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39C05E5A" w:rsidR="00872E8F" w:rsidRPr="007A5C88" w:rsidRDefault="00933346" w:rsidP="00505330">
      <w:pPr>
        <w:pStyle w:val="1MainTitle"/>
        <w:jc w:val="left"/>
      </w:pPr>
      <w:r>
        <w:t>6.11</w:t>
      </w:r>
      <w:r w:rsidR="00872E8F">
        <w:tab/>
      </w:r>
      <w:r w:rsidR="00505330">
        <w:t>NATALIZUMAB</w:t>
      </w:r>
      <w:r w:rsidR="70971A32">
        <w:t>,</w:t>
      </w:r>
      <w:r w:rsidR="00505330">
        <w:br/>
      </w:r>
      <w:r w:rsidR="00505330" w:rsidRPr="00505330">
        <w:t>Solution concentrate for I.V. infusion 300 mg in 15</w:t>
      </w:r>
      <w:r w:rsidR="00505330">
        <w:t> </w:t>
      </w:r>
      <w:r w:rsidR="00505330" w:rsidRPr="00505330">
        <w:t>mL</w:t>
      </w:r>
      <w:r w:rsidR="70971A32">
        <w:t>,</w:t>
      </w:r>
      <w:r w:rsidR="00872E8F">
        <w:br/>
      </w:r>
      <w:r w:rsidR="00505330">
        <w:t>Tysabri</w:t>
      </w:r>
      <w:r w:rsidR="70971A32">
        <w:t>®,</w:t>
      </w:r>
      <w:r w:rsidR="00872E8F">
        <w:br/>
      </w:r>
      <w:r w:rsidR="00505330">
        <w:t>Biogen Australia Pty Ltd</w:t>
      </w:r>
    </w:p>
    <w:p w14:paraId="5F4D54C1" w14:textId="74646E52"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5A4DA78C" w:rsidR="007E490F" w:rsidRPr="00505330" w:rsidRDefault="006C6C10" w:rsidP="00505330">
      <w:pPr>
        <w:pStyle w:val="3Bodytext"/>
        <w:rPr>
          <w:rFonts w:cstheme="minorHAnsi"/>
          <w:szCs w:val="24"/>
        </w:rPr>
      </w:pPr>
      <w:bookmarkStart w:id="0" w:name="_Hlk100233734"/>
      <w:r w:rsidRPr="00EF4580">
        <w:rPr>
          <w:rFonts w:cstheme="minorHAnsi"/>
          <w:szCs w:val="24"/>
        </w:rPr>
        <w:t>The</w:t>
      </w:r>
      <w:r w:rsidR="00505330">
        <w:rPr>
          <w:rFonts w:cstheme="minorHAnsi"/>
          <w:szCs w:val="24"/>
        </w:rPr>
        <w:t xml:space="preserve"> </w:t>
      </w:r>
      <w:r w:rsidR="00933346">
        <w:rPr>
          <w:rFonts w:cstheme="minorHAnsi"/>
          <w:szCs w:val="24"/>
        </w:rPr>
        <w:t>Committee secretariat</w:t>
      </w:r>
      <w:r w:rsidR="00505330">
        <w:rPr>
          <w:rFonts w:cstheme="minorHAnsi"/>
          <w:szCs w:val="24"/>
        </w:rPr>
        <w:t xml:space="preserve"> submission</w:t>
      </w:r>
      <w:r w:rsidRPr="00EF4580">
        <w:rPr>
          <w:rFonts w:cstheme="minorHAnsi"/>
          <w:szCs w:val="24"/>
        </w:rPr>
        <w:t xml:space="preserve"> </w:t>
      </w:r>
      <w:r w:rsidR="00505330">
        <w:rPr>
          <w:rFonts w:cstheme="minorHAnsi"/>
          <w:szCs w:val="24"/>
        </w:rPr>
        <w:t xml:space="preserve">requested to </w:t>
      </w:r>
      <w:r w:rsidR="00C46AD2">
        <w:rPr>
          <w:rFonts w:cstheme="minorHAnsi"/>
          <w:szCs w:val="24"/>
        </w:rPr>
        <w:t xml:space="preserve">remove </w:t>
      </w:r>
      <w:r w:rsidR="00505330">
        <w:rPr>
          <w:rFonts w:cstheme="minorHAnsi"/>
          <w:iCs/>
          <w:color w:val="000000" w:themeColor="text1"/>
          <w:szCs w:val="24"/>
        </w:rPr>
        <w:t>the</w:t>
      </w:r>
      <w:r w:rsidR="00E11F44" w:rsidRPr="00505330">
        <w:rPr>
          <w:rFonts w:cstheme="minorHAnsi"/>
          <w:iCs/>
          <w:color w:val="000000" w:themeColor="text1"/>
          <w:szCs w:val="24"/>
        </w:rPr>
        <w:t xml:space="preserve"> </w:t>
      </w:r>
      <w:r w:rsidR="00C46AD2">
        <w:rPr>
          <w:rFonts w:cstheme="minorHAnsi"/>
          <w:iCs/>
          <w:color w:val="000000" w:themeColor="text1"/>
          <w:szCs w:val="24"/>
        </w:rPr>
        <w:t>prescribing instructions</w:t>
      </w:r>
      <w:r w:rsidR="00F73241">
        <w:rPr>
          <w:rFonts w:cstheme="minorHAnsi"/>
          <w:iCs/>
          <w:color w:val="000000" w:themeColor="text1"/>
          <w:szCs w:val="24"/>
        </w:rPr>
        <w:t xml:space="preserve"> </w:t>
      </w:r>
      <w:r w:rsidR="00C46AD2" w:rsidRPr="00C46AD2">
        <w:rPr>
          <w:rFonts w:cstheme="minorHAnsi"/>
          <w:iCs/>
          <w:color w:val="000000" w:themeColor="text1"/>
          <w:szCs w:val="24"/>
        </w:rPr>
        <w:t xml:space="preserve">‘Neurologists prescribing natalizumab under the PBS listing must be registered with the Tysabri Australian Prescribing Program’ </w:t>
      </w:r>
      <w:r w:rsidR="00505330">
        <w:rPr>
          <w:rFonts w:cstheme="minorHAnsi"/>
          <w:iCs/>
          <w:color w:val="000000" w:themeColor="text1"/>
          <w:szCs w:val="24"/>
        </w:rPr>
        <w:t xml:space="preserve">of natalizumab (Tysabri®) </w:t>
      </w:r>
      <w:r w:rsidR="00F73241">
        <w:rPr>
          <w:rFonts w:cstheme="minorHAnsi"/>
          <w:iCs/>
          <w:color w:val="000000" w:themeColor="text1"/>
          <w:szCs w:val="24"/>
        </w:rPr>
        <w:t xml:space="preserve">for the treatment </w:t>
      </w:r>
      <w:r w:rsidR="00FA17AE">
        <w:rPr>
          <w:rFonts w:cstheme="minorHAnsi"/>
          <w:iCs/>
          <w:color w:val="000000" w:themeColor="text1"/>
          <w:szCs w:val="24"/>
        </w:rPr>
        <w:t>of c</w:t>
      </w:r>
      <w:r w:rsidR="00F73241" w:rsidRPr="00F73241">
        <w:rPr>
          <w:rFonts w:cstheme="minorHAnsi"/>
          <w:iCs/>
          <w:color w:val="000000" w:themeColor="text1"/>
          <w:szCs w:val="24"/>
        </w:rPr>
        <w:t>linically definite relapsing-remitting multiple sclerosis</w:t>
      </w:r>
      <w:r w:rsidR="00FA17AE">
        <w:rPr>
          <w:rFonts w:cstheme="minorHAnsi"/>
          <w:iCs/>
          <w:color w:val="000000" w:themeColor="text1"/>
          <w:szCs w:val="24"/>
        </w:rPr>
        <w:t xml:space="preserve"> (MS).</w:t>
      </w:r>
    </w:p>
    <w:bookmarkEnd w:id="0"/>
    <w:p w14:paraId="3D1D4320" w14:textId="77777777" w:rsidR="007E490F" w:rsidRPr="00FD6D8E" w:rsidRDefault="007E490F" w:rsidP="001F2311">
      <w:pPr>
        <w:pStyle w:val="2-SectionHeading"/>
        <w:numPr>
          <w:ilvl w:val="0"/>
          <w:numId w:val="2"/>
        </w:numPr>
      </w:pPr>
      <w:r w:rsidRPr="009E2E8E">
        <w:t>Background</w:t>
      </w:r>
      <w:r>
        <w:t xml:space="preserve"> </w:t>
      </w:r>
    </w:p>
    <w:p w14:paraId="3271E66C" w14:textId="77777777" w:rsidR="004E4605" w:rsidRDefault="004E4605" w:rsidP="004E4605">
      <w:pPr>
        <w:pStyle w:val="4-SubsectionHeading"/>
      </w:pPr>
      <w:r>
        <w:t>Registration</w:t>
      </w:r>
      <w:r w:rsidRPr="009324A6">
        <w:t xml:space="preserve"> status</w:t>
      </w:r>
    </w:p>
    <w:p w14:paraId="56A186AA" w14:textId="7678D94E" w:rsidR="004E4605" w:rsidRDefault="004E4605" w:rsidP="004E4605">
      <w:pPr>
        <w:pStyle w:val="3Bodytext"/>
        <w:numPr>
          <w:ilvl w:val="1"/>
          <w:numId w:val="27"/>
        </w:numPr>
      </w:pPr>
      <w:r w:rsidRPr="008A63DE">
        <w:t xml:space="preserve">Natalizumab </w:t>
      </w:r>
      <w:r w:rsidRPr="009E2E8E">
        <w:t>was</w:t>
      </w:r>
      <w:r>
        <w:t xml:space="preserve"> registered </w:t>
      </w:r>
      <w:r w:rsidR="00FA17AE" w:rsidRPr="00FA17AE">
        <w:rPr>
          <w:iCs/>
        </w:rPr>
        <w:t>in the Australian Register of Therapeutic Goods (ARTG</w:t>
      </w:r>
      <w:r w:rsidR="00FA17AE">
        <w:rPr>
          <w:iCs/>
        </w:rPr>
        <w:t>)</w:t>
      </w:r>
      <w:r w:rsidR="00FA17AE" w:rsidRPr="00FA17AE">
        <w:t xml:space="preserve"> </w:t>
      </w:r>
      <w:r>
        <w:t xml:space="preserve">on 1 November 2006 as a monotherapy for the treatment of patients </w:t>
      </w:r>
      <w:r w:rsidRPr="003D5AA5">
        <w:t>with relapsing</w:t>
      </w:r>
      <w:r w:rsidR="003D5AA5" w:rsidRPr="003D5AA5">
        <w:t>-</w:t>
      </w:r>
      <w:r w:rsidRPr="003D5AA5">
        <w:t xml:space="preserve"> remitting</w:t>
      </w:r>
      <w:r>
        <w:t xml:space="preserve"> MS to delay the progression of physical disability and to reduce the frequency of relapse</w:t>
      </w:r>
      <w:r w:rsidRPr="00657C63">
        <w:t xml:space="preserve">. </w:t>
      </w:r>
    </w:p>
    <w:p w14:paraId="18C1CC00" w14:textId="0CDFF4BE" w:rsidR="005C3694" w:rsidRDefault="00694CC5" w:rsidP="00E01E5E">
      <w:pPr>
        <w:pStyle w:val="3Bodytext"/>
        <w:rPr>
          <w:color w:val="000000" w:themeColor="text1"/>
        </w:rPr>
      </w:pPr>
      <w:r w:rsidRPr="00411F88">
        <w:rPr>
          <w:color w:val="000000" w:themeColor="text1"/>
        </w:rPr>
        <w:t xml:space="preserve">On 31 August 2020 </w:t>
      </w:r>
      <w:r w:rsidRPr="00090BED">
        <w:rPr>
          <w:color w:val="000000" w:themeColor="text1"/>
        </w:rPr>
        <w:t>the Therapeutic Goods Administration</w:t>
      </w:r>
      <w:r w:rsidR="00FE68B5">
        <w:rPr>
          <w:color w:val="000000" w:themeColor="text1"/>
        </w:rPr>
        <w:t xml:space="preserve"> (TGA)</w:t>
      </w:r>
      <w:r w:rsidRPr="00090BED">
        <w:rPr>
          <w:color w:val="000000" w:themeColor="text1"/>
        </w:rPr>
        <w:t xml:space="preserve"> approved the removal </w:t>
      </w:r>
      <w:r w:rsidR="007B2034" w:rsidRPr="00090BED">
        <w:rPr>
          <w:color w:val="000000" w:themeColor="text1"/>
        </w:rPr>
        <w:t xml:space="preserve">of </w:t>
      </w:r>
      <w:r w:rsidR="005C3694">
        <w:rPr>
          <w:color w:val="000000" w:themeColor="text1"/>
        </w:rPr>
        <w:t xml:space="preserve">following </w:t>
      </w:r>
      <w:r w:rsidR="007B2034" w:rsidRPr="00090BED">
        <w:rPr>
          <w:color w:val="000000" w:themeColor="text1"/>
        </w:rPr>
        <w:t xml:space="preserve">specific condition on the </w:t>
      </w:r>
      <w:r w:rsidR="007B2034" w:rsidRPr="004E5D69">
        <w:rPr>
          <w:color w:val="000000" w:themeColor="text1"/>
        </w:rPr>
        <w:t xml:space="preserve">registration </w:t>
      </w:r>
      <w:r w:rsidR="00411F88" w:rsidRPr="004E5D69">
        <w:rPr>
          <w:color w:val="000000" w:themeColor="text1"/>
        </w:rPr>
        <w:t>of natalizumab</w:t>
      </w:r>
      <w:r w:rsidR="005C3694">
        <w:rPr>
          <w:color w:val="000000" w:themeColor="text1"/>
        </w:rPr>
        <w:t>:</w:t>
      </w:r>
    </w:p>
    <w:p w14:paraId="6E3CF786" w14:textId="08692FAD" w:rsidR="00090BED" w:rsidRPr="005C3694" w:rsidRDefault="00090BED" w:rsidP="005C3694">
      <w:pPr>
        <w:pStyle w:val="3Bodytext"/>
        <w:numPr>
          <w:ilvl w:val="0"/>
          <w:numId w:val="26"/>
        </w:numPr>
        <w:rPr>
          <w:color w:val="000000" w:themeColor="text1"/>
        </w:rPr>
      </w:pPr>
      <w:r w:rsidRPr="005C3694">
        <w:rPr>
          <w:color w:val="000000" w:themeColor="text1"/>
        </w:rPr>
        <w:t xml:space="preserve">‘Prescribing neurologists must undergo mandatory training on use of the medicine (with emphasis on key requirements described in the Product Information) and the clinical features of </w:t>
      </w:r>
      <w:r w:rsidR="00E505A8" w:rsidRPr="00E505A8">
        <w:rPr>
          <w:color w:val="000000" w:themeColor="text1"/>
        </w:rPr>
        <w:t>Progressive Multifocal Leukoencephalopathy</w:t>
      </w:r>
      <w:r w:rsidRPr="005C3694">
        <w:rPr>
          <w:color w:val="000000" w:themeColor="text1"/>
        </w:rPr>
        <w:t>. The names of these neurologists are to be kept on a central registry to be held by Biogen Idec Australia Pty Ltd</w:t>
      </w:r>
      <w:r w:rsidR="007A7B37">
        <w:rPr>
          <w:color w:val="000000" w:themeColor="text1"/>
        </w:rPr>
        <w:t>,</w:t>
      </w:r>
      <w:r w:rsidR="005C3694">
        <w:rPr>
          <w:color w:val="000000" w:themeColor="text1"/>
        </w:rPr>
        <w:t>’</w:t>
      </w:r>
    </w:p>
    <w:p w14:paraId="0B097C12" w14:textId="5F80F246" w:rsidR="001A048E" w:rsidRPr="001A048E" w:rsidRDefault="008A51BB" w:rsidP="001A048E">
      <w:pPr>
        <w:pStyle w:val="3Bodytext"/>
        <w:rPr>
          <w:color w:val="000000" w:themeColor="text1"/>
          <w:szCs w:val="24"/>
        </w:rPr>
      </w:pPr>
      <w:r>
        <w:rPr>
          <w:szCs w:val="24"/>
        </w:rPr>
        <w:t>Further, o</w:t>
      </w:r>
      <w:r w:rsidR="00F57E80">
        <w:rPr>
          <w:szCs w:val="24"/>
        </w:rPr>
        <w:t xml:space="preserve">n 7 September 2021 the </w:t>
      </w:r>
      <w:r w:rsidR="00FE68B5">
        <w:rPr>
          <w:szCs w:val="24"/>
        </w:rPr>
        <w:t>TGA</w:t>
      </w:r>
      <w:r w:rsidR="00F57E80" w:rsidRPr="00F57E80">
        <w:rPr>
          <w:szCs w:val="24"/>
        </w:rPr>
        <w:t xml:space="preserve"> approv</w:t>
      </w:r>
      <w:r w:rsidR="00F57E80">
        <w:rPr>
          <w:szCs w:val="24"/>
        </w:rPr>
        <w:t>ed</w:t>
      </w:r>
      <w:r w:rsidR="00F57E80" w:rsidRPr="00F57E80">
        <w:rPr>
          <w:szCs w:val="24"/>
        </w:rPr>
        <w:t xml:space="preserve"> </w:t>
      </w:r>
      <w:r w:rsidR="00F57E80">
        <w:rPr>
          <w:szCs w:val="24"/>
        </w:rPr>
        <w:t xml:space="preserve">the revised </w:t>
      </w:r>
      <w:r w:rsidR="00F57E80" w:rsidRPr="00F57E80">
        <w:rPr>
          <w:szCs w:val="24"/>
        </w:rPr>
        <w:t>Tysabri Australian Specific Annex (ASA). The main impact of this</w:t>
      </w:r>
      <w:r w:rsidR="001A048E">
        <w:rPr>
          <w:szCs w:val="24"/>
        </w:rPr>
        <w:t xml:space="preserve"> w</w:t>
      </w:r>
      <w:r w:rsidR="000B4F97">
        <w:rPr>
          <w:szCs w:val="24"/>
        </w:rPr>
        <w:t>as</w:t>
      </w:r>
      <w:r w:rsidR="00F57E80" w:rsidRPr="00F57E80">
        <w:rPr>
          <w:szCs w:val="24"/>
        </w:rPr>
        <w:t xml:space="preserve">: </w:t>
      </w:r>
    </w:p>
    <w:p w14:paraId="5756EBE9" w14:textId="383DD015" w:rsidR="00495D73" w:rsidRPr="008A51BB" w:rsidRDefault="00F57E80" w:rsidP="00106005">
      <w:pPr>
        <w:pStyle w:val="3Bodytext"/>
        <w:numPr>
          <w:ilvl w:val="0"/>
          <w:numId w:val="25"/>
        </w:numPr>
        <w:rPr>
          <w:color w:val="000000" w:themeColor="text1"/>
          <w:szCs w:val="24"/>
        </w:rPr>
      </w:pPr>
      <w:r w:rsidRPr="00F57E80">
        <w:t>H</w:t>
      </w:r>
      <w:r w:rsidR="001A048E">
        <w:t>ealthcare professional</w:t>
      </w:r>
      <w:r w:rsidRPr="00F57E80">
        <w:t xml:space="preserve">s no longer need to be trained by the </w:t>
      </w:r>
      <w:r w:rsidR="001A048E">
        <w:t>Tysabri Australian Prescribing Program (</w:t>
      </w:r>
      <w:r w:rsidRPr="00F57E80">
        <w:t>TAPP</w:t>
      </w:r>
      <w:r w:rsidR="001A048E">
        <w:t>)</w:t>
      </w:r>
      <w:r w:rsidRPr="00F57E80">
        <w:t xml:space="preserve">. As per the ASA, </w:t>
      </w:r>
      <w:r w:rsidR="001A048E">
        <w:t>healthcare professional</w:t>
      </w:r>
      <w:r w:rsidRPr="00F57E80">
        <w:t xml:space="preserve"> training by use of the Physician Information and Management Guideline and Product Information (PI) is sufficient</w:t>
      </w:r>
      <w:r w:rsidR="001A048E">
        <w:t>.</w:t>
      </w:r>
    </w:p>
    <w:p w14:paraId="1567C9B3" w14:textId="77777777" w:rsidR="001D4895" w:rsidRPr="002457C4" w:rsidRDefault="001D4895" w:rsidP="001D4895">
      <w:pPr>
        <w:pStyle w:val="4-SubsectionHeading"/>
        <w:keepNext w:val="0"/>
        <w:rPr>
          <w:rFonts w:cstheme="minorHAnsi"/>
          <w:szCs w:val="28"/>
        </w:rPr>
      </w:pPr>
      <w:r>
        <w:rPr>
          <w:rFonts w:cstheme="minorHAnsi"/>
          <w:szCs w:val="28"/>
        </w:rPr>
        <w:t xml:space="preserve">Current status </w:t>
      </w:r>
    </w:p>
    <w:p w14:paraId="72B50018" w14:textId="4CBE8719" w:rsidR="001D4895" w:rsidRPr="00932D18" w:rsidRDefault="001D4895" w:rsidP="007E490F">
      <w:pPr>
        <w:pStyle w:val="3Bodytext"/>
        <w:rPr>
          <w:color w:val="000000" w:themeColor="text1"/>
        </w:rPr>
      </w:pPr>
      <w:r>
        <w:rPr>
          <w:rFonts w:cstheme="minorHAnsi"/>
          <w:iCs/>
          <w:color w:val="000000" w:themeColor="text1"/>
          <w:szCs w:val="24"/>
        </w:rPr>
        <w:t xml:space="preserve">Natalizumab (Tysabri) is currently listed on the PBS as a Section 100 Highly Specialised Drug program (S100 HSD) Authority Required (STREAMLINED) </w:t>
      </w:r>
      <w:r w:rsidRPr="00F26CC6">
        <w:rPr>
          <w:color w:val="000000" w:themeColor="text1"/>
        </w:rPr>
        <w:t xml:space="preserve">listing for </w:t>
      </w:r>
      <w:r>
        <w:rPr>
          <w:color w:val="000000" w:themeColor="text1"/>
        </w:rPr>
        <w:t>the treatment of c</w:t>
      </w:r>
      <w:r w:rsidRPr="00505330">
        <w:rPr>
          <w:color w:val="000000" w:themeColor="text1"/>
        </w:rPr>
        <w:t>linically definite relapsing-remitting multiple sclerosis</w:t>
      </w:r>
      <w:r w:rsidR="00147FC9">
        <w:rPr>
          <w:color w:val="000000" w:themeColor="text1"/>
        </w:rPr>
        <w:t>.</w:t>
      </w:r>
    </w:p>
    <w:p w14:paraId="1B8790B6" w14:textId="77777777" w:rsidR="00964A9F" w:rsidRDefault="00964A9F" w:rsidP="00964A9F">
      <w:pPr>
        <w:pStyle w:val="2-SectionHeading"/>
      </w:pPr>
      <w:r w:rsidRPr="009D507A">
        <w:lastRenderedPageBreak/>
        <w:t xml:space="preserve">Requested listing </w:t>
      </w:r>
    </w:p>
    <w:p w14:paraId="754FF25B" w14:textId="104500AE" w:rsidR="00964A9F" w:rsidRPr="00E0207E" w:rsidRDefault="00964A9F" w:rsidP="00964A9F">
      <w:pPr>
        <w:pStyle w:val="3Bodytext"/>
      </w:pPr>
      <w:r w:rsidRPr="00E0207E">
        <w:t xml:space="preserve">The submission requested the </w:t>
      </w:r>
      <w:r w:rsidRPr="00005D6B">
        <w:t>following changes to the existing</w:t>
      </w:r>
      <w:r w:rsidR="00B0384A">
        <w:t xml:space="preserve"> listings</w:t>
      </w:r>
      <w:r w:rsidR="00A94D80" w:rsidRPr="00005D6B">
        <w:t xml:space="preserve">. Suggested </w:t>
      </w:r>
      <w:r w:rsidR="00A94D80" w:rsidRPr="00120A12">
        <w:t xml:space="preserve">additions are in </w:t>
      </w:r>
      <w:r w:rsidR="00A94D80" w:rsidRPr="000D4972">
        <w:rPr>
          <w:iCs/>
        </w:rPr>
        <w:t>italics</w:t>
      </w:r>
      <w:r w:rsidR="00A94D80" w:rsidRPr="00120A12">
        <w:t xml:space="preserve"> and deletions are in </w:t>
      </w:r>
      <w:r w:rsidR="00A94D80" w:rsidRPr="009D507A">
        <w:t>strikethrough.</w:t>
      </w:r>
    </w:p>
    <w:p w14:paraId="47AF3472" w14:textId="18B60B79" w:rsidR="00964A9F" w:rsidRPr="00FD0C5D" w:rsidRDefault="00964A9F" w:rsidP="00964A9F">
      <w:pPr>
        <w:spacing w:after="120"/>
        <w:rPr>
          <w:rFonts w:asciiTheme="minorHAnsi" w:hAnsiTheme="minorHAnsi" w:cstheme="minorHAnsi"/>
          <w:iCs/>
        </w:rPr>
      </w:pPr>
      <w:r w:rsidRPr="00FD0C5D">
        <w:rPr>
          <w:rFonts w:asciiTheme="minorHAnsi" w:hAnsiTheme="minorHAnsi" w:cstheme="minorHAnsi"/>
          <w:iCs/>
        </w:rPr>
        <w:t>Amend restriction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851"/>
        <w:gridCol w:w="708"/>
        <w:gridCol w:w="1701"/>
      </w:tblGrid>
      <w:tr w:rsidR="00A94D80" w:rsidRPr="009A610D" w14:paraId="594D2ADF" w14:textId="77777777" w:rsidTr="00005D6B">
        <w:trPr>
          <w:cantSplit/>
          <w:trHeight w:val="471"/>
        </w:trPr>
        <w:tc>
          <w:tcPr>
            <w:tcW w:w="3964" w:type="dxa"/>
            <w:gridSpan w:val="2"/>
          </w:tcPr>
          <w:p w14:paraId="41C46D99" w14:textId="77777777" w:rsidR="00A94D80" w:rsidRPr="00005D6B" w:rsidRDefault="00A94D80" w:rsidP="00906FE4">
            <w:pPr>
              <w:keepNext/>
              <w:ind w:left="-57"/>
              <w:rPr>
                <w:rFonts w:ascii="Arial Narrow" w:hAnsi="Arial Narrow" w:cs="Arial"/>
                <w:b/>
                <w:bCs/>
                <w:sz w:val="20"/>
                <w:szCs w:val="20"/>
              </w:rPr>
            </w:pPr>
            <w:r w:rsidRPr="00005D6B">
              <w:rPr>
                <w:rFonts w:ascii="Arial Narrow" w:hAnsi="Arial Narrow" w:cs="Arial"/>
                <w:b/>
                <w:bCs/>
                <w:sz w:val="20"/>
                <w:szCs w:val="20"/>
              </w:rPr>
              <w:t>MEDICINAL PRODUCT</w:t>
            </w:r>
          </w:p>
          <w:p w14:paraId="27AD4D51" w14:textId="77777777" w:rsidR="00A94D80" w:rsidRPr="00005D6B" w:rsidRDefault="00A94D80" w:rsidP="00906FE4">
            <w:pPr>
              <w:keepNext/>
              <w:ind w:left="-57"/>
              <w:rPr>
                <w:rFonts w:ascii="Arial Narrow" w:hAnsi="Arial Narrow" w:cs="Arial"/>
                <w:b/>
                <w:sz w:val="20"/>
                <w:szCs w:val="20"/>
              </w:rPr>
            </w:pPr>
            <w:r w:rsidRPr="00005D6B">
              <w:rPr>
                <w:rFonts w:ascii="Arial Narrow" w:hAnsi="Arial Narrow" w:cs="Arial"/>
                <w:b/>
                <w:bCs/>
                <w:sz w:val="20"/>
                <w:szCs w:val="20"/>
              </w:rPr>
              <w:t>medicinal product pack</w:t>
            </w:r>
          </w:p>
        </w:tc>
        <w:tc>
          <w:tcPr>
            <w:tcW w:w="993" w:type="dxa"/>
          </w:tcPr>
          <w:p w14:paraId="3E7BE1E2" w14:textId="77777777" w:rsidR="00A94D80" w:rsidRPr="00005D6B" w:rsidRDefault="00A94D80" w:rsidP="00906FE4">
            <w:pPr>
              <w:keepNext/>
              <w:ind w:left="-108"/>
              <w:jc w:val="center"/>
              <w:rPr>
                <w:rFonts w:ascii="Arial Narrow" w:hAnsi="Arial Narrow" w:cs="Arial"/>
                <w:b/>
                <w:sz w:val="20"/>
                <w:szCs w:val="20"/>
              </w:rPr>
            </w:pPr>
            <w:r w:rsidRPr="00005D6B">
              <w:rPr>
                <w:rFonts w:ascii="Arial Narrow" w:hAnsi="Arial Narrow" w:cs="Arial"/>
                <w:b/>
                <w:sz w:val="20"/>
                <w:szCs w:val="20"/>
              </w:rPr>
              <w:t>PBS item code</w:t>
            </w:r>
          </w:p>
        </w:tc>
        <w:tc>
          <w:tcPr>
            <w:tcW w:w="850" w:type="dxa"/>
          </w:tcPr>
          <w:p w14:paraId="3195838E" w14:textId="77777777" w:rsidR="00A94D80" w:rsidRPr="00005D6B" w:rsidRDefault="00A94D80" w:rsidP="00906FE4">
            <w:pPr>
              <w:keepNext/>
              <w:ind w:left="-108"/>
              <w:jc w:val="center"/>
              <w:rPr>
                <w:rFonts w:ascii="Arial Narrow" w:hAnsi="Arial Narrow" w:cs="Arial"/>
                <w:b/>
                <w:sz w:val="20"/>
                <w:szCs w:val="20"/>
              </w:rPr>
            </w:pPr>
            <w:r w:rsidRPr="00005D6B">
              <w:rPr>
                <w:rFonts w:ascii="Arial Narrow" w:hAnsi="Arial Narrow" w:cs="Arial"/>
                <w:b/>
                <w:sz w:val="20"/>
                <w:szCs w:val="20"/>
              </w:rPr>
              <w:t>Max. qty packs</w:t>
            </w:r>
          </w:p>
        </w:tc>
        <w:tc>
          <w:tcPr>
            <w:tcW w:w="851" w:type="dxa"/>
          </w:tcPr>
          <w:p w14:paraId="4FE49A01" w14:textId="77777777" w:rsidR="00A94D80" w:rsidRPr="00005D6B" w:rsidRDefault="00A94D80" w:rsidP="00906FE4">
            <w:pPr>
              <w:keepNext/>
              <w:ind w:left="-108"/>
              <w:jc w:val="center"/>
              <w:rPr>
                <w:rFonts w:ascii="Arial Narrow" w:hAnsi="Arial Narrow" w:cs="Arial"/>
                <w:b/>
                <w:sz w:val="20"/>
                <w:szCs w:val="20"/>
              </w:rPr>
            </w:pPr>
            <w:r w:rsidRPr="00005D6B">
              <w:rPr>
                <w:rFonts w:ascii="Arial Narrow" w:hAnsi="Arial Narrow" w:cs="Arial"/>
                <w:b/>
                <w:sz w:val="20"/>
                <w:szCs w:val="20"/>
              </w:rPr>
              <w:t>Max. qty units</w:t>
            </w:r>
          </w:p>
        </w:tc>
        <w:tc>
          <w:tcPr>
            <w:tcW w:w="708" w:type="dxa"/>
          </w:tcPr>
          <w:p w14:paraId="0FF4F3C7" w14:textId="77777777" w:rsidR="00A94D80" w:rsidRPr="00005D6B" w:rsidRDefault="00A94D80" w:rsidP="00906FE4">
            <w:pPr>
              <w:keepNext/>
              <w:ind w:left="-108"/>
              <w:jc w:val="center"/>
              <w:rPr>
                <w:rFonts w:ascii="Arial Narrow" w:hAnsi="Arial Narrow" w:cs="Arial"/>
                <w:b/>
                <w:sz w:val="20"/>
                <w:szCs w:val="20"/>
              </w:rPr>
            </w:pPr>
            <w:r w:rsidRPr="00005D6B">
              <w:rPr>
                <w:rFonts w:ascii="Arial Narrow" w:hAnsi="Arial Narrow" w:cs="Arial"/>
                <w:b/>
                <w:sz w:val="20"/>
                <w:szCs w:val="20"/>
              </w:rPr>
              <w:t>№.of</w:t>
            </w:r>
          </w:p>
          <w:p w14:paraId="4338E3D9" w14:textId="77777777" w:rsidR="00A94D80" w:rsidRPr="00005D6B" w:rsidRDefault="00A94D80" w:rsidP="00906FE4">
            <w:pPr>
              <w:keepNext/>
              <w:ind w:left="-108"/>
              <w:jc w:val="center"/>
              <w:rPr>
                <w:rFonts w:ascii="Arial Narrow" w:hAnsi="Arial Narrow" w:cs="Arial"/>
                <w:b/>
                <w:sz w:val="20"/>
                <w:szCs w:val="20"/>
              </w:rPr>
            </w:pPr>
            <w:r w:rsidRPr="00005D6B">
              <w:rPr>
                <w:rFonts w:ascii="Arial Narrow" w:hAnsi="Arial Narrow" w:cs="Arial"/>
                <w:b/>
                <w:sz w:val="20"/>
                <w:szCs w:val="20"/>
              </w:rPr>
              <w:t>Rpts</w:t>
            </w:r>
          </w:p>
        </w:tc>
        <w:tc>
          <w:tcPr>
            <w:tcW w:w="1701" w:type="dxa"/>
          </w:tcPr>
          <w:p w14:paraId="7889CB67" w14:textId="77777777" w:rsidR="00A94D80" w:rsidRPr="00005D6B" w:rsidRDefault="00A94D80" w:rsidP="00906FE4">
            <w:pPr>
              <w:keepNext/>
              <w:rPr>
                <w:rFonts w:ascii="Arial Narrow" w:hAnsi="Arial Narrow" w:cs="Arial"/>
                <w:b/>
                <w:sz w:val="20"/>
                <w:szCs w:val="20"/>
                <w:lang w:val="fr-FR"/>
              </w:rPr>
            </w:pPr>
            <w:r w:rsidRPr="00005D6B">
              <w:rPr>
                <w:rFonts w:ascii="Arial Narrow" w:hAnsi="Arial Narrow" w:cs="Arial"/>
                <w:b/>
                <w:sz w:val="20"/>
                <w:szCs w:val="20"/>
              </w:rPr>
              <w:t>Available brands</w:t>
            </w:r>
          </w:p>
        </w:tc>
      </w:tr>
      <w:tr w:rsidR="00A94D80" w:rsidRPr="001A5667" w14:paraId="48BCBC0D" w14:textId="77777777" w:rsidTr="00906FE4">
        <w:trPr>
          <w:cantSplit/>
          <w:trHeight w:val="224"/>
        </w:trPr>
        <w:tc>
          <w:tcPr>
            <w:tcW w:w="9067" w:type="dxa"/>
            <w:gridSpan w:val="7"/>
          </w:tcPr>
          <w:p w14:paraId="0072A1FB" w14:textId="11472F1B" w:rsidR="00A94D80" w:rsidRPr="00005D6B" w:rsidRDefault="00B02276" w:rsidP="00906FE4">
            <w:pPr>
              <w:keepNext/>
              <w:ind w:left="-57"/>
              <w:rPr>
                <w:rFonts w:ascii="Arial Narrow" w:hAnsi="Arial Narrow" w:cs="Arial"/>
                <w:sz w:val="20"/>
                <w:szCs w:val="20"/>
              </w:rPr>
            </w:pPr>
            <w:r w:rsidRPr="00005D6B">
              <w:rPr>
                <w:rFonts w:ascii="Arial Narrow" w:hAnsi="Arial Narrow" w:cs="Arial"/>
                <w:sz w:val="20"/>
                <w:szCs w:val="20"/>
              </w:rPr>
              <w:t>NATALIZUMAB</w:t>
            </w:r>
          </w:p>
        </w:tc>
      </w:tr>
      <w:tr w:rsidR="00A94D80" w:rsidRPr="009A610D" w14:paraId="581E7306" w14:textId="77777777" w:rsidTr="00005D6B">
        <w:trPr>
          <w:cantSplit/>
          <w:trHeight w:val="553"/>
        </w:trPr>
        <w:tc>
          <w:tcPr>
            <w:tcW w:w="3964" w:type="dxa"/>
            <w:gridSpan w:val="2"/>
          </w:tcPr>
          <w:p w14:paraId="0B871C76" w14:textId="45C97E9D" w:rsidR="00A94D80" w:rsidRPr="00005D6B" w:rsidRDefault="00B02276" w:rsidP="00906FE4">
            <w:pPr>
              <w:keepNext/>
              <w:ind w:left="-57"/>
              <w:rPr>
                <w:rFonts w:ascii="Arial Narrow" w:hAnsi="Arial Narrow" w:cs="Arial"/>
                <w:sz w:val="20"/>
                <w:szCs w:val="20"/>
              </w:rPr>
            </w:pPr>
            <w:r w:rsidRPr="00005D6B">
              <w:rPr>
                <w:rFonts w:ascii="Arial Narrow" w:hAnsi="Arial Narrow" w:cs="Arial"/>
                <w:sz w:val="20"/>
                <w:szCs w:val="20"/>
              </w:rPr>
              <w:t>natalizumab 300 mg/15 mL injection, 15 mL vial</w:t>
            </w:r>
          </w:p>
        </w:tc>
        <w:tc>
          <w:tcPr>
            <w:tcW w:w="993" w:type="dxa"/>
          </w:tcPr>
          <w:p w14:paraId="66C57FD2" w14:textId="77777777" w:rsidR="00A94D80" w:rsidRPr="00005D6B" w:rsidRDefault="00B02276" w:rsidP="00906FE4">
            <w:pPr>
              <w:keepNext/>
              <w:jc w:val="center"/>
              <w:rPr>
                <w:rFonts w:ascii="Arial Narrow" w:hAnsi="Arial Narrow" w:cs="Arial"/>
                <w:sz w:val="20"/>
                <w:szCs w:val="20"/>
              </w:rPr>
            </w:pPr>
            <w:r w:rsidRPr="00005D6B">
              <w:rPr>
                <w:rFonts w:ascii="Arial Narrow" w:hAnsi="Arial Narrow" w:cs="Arial"/>
                <w:sz w:val="20"/>
                <w:szCs w:val="20"/>
              </w:rPr>
              <w:t>9505G</w:t>
            </w:r>
          </w:p>
          <w:p w14:paraId="595BA2B9" w14:textId="01AAAC89" w:rsidR="00B02276" w:rsidRPr="00005D6B" w:rsidRDefault="00B02276" w:rsidP="00906FE4">
            <w:pPr>
              <w:keepNext/>
              <w:jc w:val="center"/>
              <w:rPr>
                <w:rFonts w:ascii="Arial Narrow" w:hAnsi="Arial Narrow" w:cs="Arial"/>
                <w:sz w:val="20"/>
                <w:szCs w:val="20"/>
              </w:rPr>
            </w:pPr>
            <w:r w:rsidRPr="00005D6B">
              <w:rPr>
                <w:rFonts w:ascii="Arial Narrow" w:hAnsi="Arial Narrow" w:cs="Arial"/>
                <w:sz w:val="20"/>
                <w:szCs w:val="20"/>
              </w:rPr>
              <w:t>9624M</w:t>
            </w:r>
          </w:p>
        </w:tc>
        <w:tc>
          <w:tcPr>
            <w:tcW w:w="850" w:type="dxa"/>
          </w:tcPr>
          <w:p w14:paraId="2B7E7477" w14:textId="77777777" w:rsidR="00A94D80" w:rsidRPr="00005D6B" w:rsidRDefault="00A94D80" w:rsidP="00906FE4">
            <w:pPr>
              <w:keepNext/>
              <w:jc w:val="center"/>
              <w:rPr>
                <w:rFonts w:ascii="Arial Narrow" w:hAnsi="Arial Narrow" w:cs="Arial"/>
                <w:sz w:val="20"/>
                <w:szCs w:val="20"/>
              </w:rPr>
            </w:pPr>
            <w:r w:rsidRPr="00005D6B">
              <w:rPr>
                <w:rFonts w:ascii="Arial Narrow" w:hAnsi="Arial Narrow" w:cs="Arial"/>
                <w:sz w:val="20"/>
                <w:szCs w:val="20"/>
              </w:rPr>
              <w:t>1</w:t>
            </w:r>
          </w:p>
        </w:tc>
        <w:tc>
          <w:tcPr>
            <w:tcW w:w="851" w:type="dxa"/>
          </w:tcPr>
          <w:p w14:paraId="2D46CA3B" w14:textId="0A778064" w:rsidR="00A94D80" w:rsidRPr="00005D6B" w:rsidRDefault="00B02276" w:rsidP="00906FE4">
            <w:pPr>
              <w:keepNext/>
              <w:jc w:val="center"/>
              <w:rPr>
                <w:rFonts w:ascii="Arial Narrow" w:hAnsi="Arial Narrow" w:cs="Arial"/>
                <w:sz w:val="20"/>
                <w:szCs w:val="20"/>
              </w:rPr>
            </w:pPr>
            <w:r w:rsidRPr="00005D6B">
              <w:rPr>
                <w:rFonts w:ascii="Arial Narrow" w:hAnsi="Arial Narrow" w:cs="Arial"/>
                <w:sz w:val="20"/>
                <w:szCs w:val="20"/>
              </w:rPr>
              <w:t>1</w:t>
            </w:r>
          </w:p>
        </w:tc>
        <w:tc>
          <w:tcPr>
            <w:tcW w:w="708" w:type="dxa"/>
          </w:tcPr>
          <w:p w14:paraId="0FC8FA7A" w14:textId="77777777" w:rsidR="00A94D80" w:rsidRPr="00005D6B" w:rsidRDefault="00A94D80" w:rsidP="00906FE4">
            <w:pPr>
              <w:keepNext/>
              <w:jc w:val="center"/>
              <w:rPr>
                <w:rFonts w:ascii="Arial Narrow" w:hAnsi="Arial Narrow" w:cs="Arial"/>
                <w:sz w:val="20"/>
                <w:szCs w:val="20"/>
              </w:rPr>
            </w:pPr>
            <w:r w:rsidRPr="00005D6B">
              <w:rPr>
                <w:rFonts w:ascii="Arial Narrow" w:hAnsi="Arial Narrow" w:cs="Arial"/>
                <w:sz w:val="20"/>
                <w:szCs w:val="20"/>
              </w:rPr>
              <w:t>5</w:t>
            </w:r>
          </w:p>
        </w:tc>
        <w:tc>
          <w:tcPr>
            <w:tcW w:w="1701" w:type="dxa"/>
          </w:tcPr>
          <w:p w14:paraId="2C3DC0E9" w14:textId="2D109B31" w:rsidR="00A94D80" w:rsidRPr="00005D6B" w:rsidRDefault="00B02276" w:rsidP="00906FE4">
            <w:pPr>
              <w:keepNext/>
              <w:rPr>
                <w:rFonts w:ascii="Arial Narrow" w:hAnsi="Arial Narrow" w:cs="Arial"/>
                <w:sz w:val="20"/>
                <w:szCs w:val="20"/>
              </w:rPr>
            </w:pPr>
            <w:r w:rsidRPr="00005D6B">
              <w:rPr>
                <w:rFonts w:ascii="Arial Narrow" w:hAnsi="Arial Narrow" w:cs="Arial"/>
                <w:sz w:val="20"/>
                <w:szCs w:val="20"/>
              </w:rPr>
              <w:t>Tysabri</w:t>
            </w:r>
          </w:p>
        </w:tc>
      </w:tr>
      <w:tr w:rsidR="00A94D80" w:rsidRPr="00320925" w14:paraId="4EF8750A" w14:textId="77777777" w:rsidTr="00906FE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43561DF" w14:textId="75FF7F25" w:rsidR="00A94D80" w:rsidRPr="00005D6B" w:rsidRDefault="00A94D80" w:rsidP="00906FE4">
            <w:pPr>
              <w:rPr>
                <w:rFonts w:ascii="Arial Narrow" w:hAnsi="Arial Narrow" w:cs="Arial"/>
                <w:sz w:val="20"/>
                <w:szCs w:val="20"/>
              </w:rPr>
            </w:pPr>
          </w:p>
        </w:tc>
      </w:tr>
      <w:tr w:rsidR="00A94D80" w:rsidRPr="0020649C" w14:paraId="496DB7BC" w14:textId="77777777" w:rsidTr="00906FE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CAECFFC" w14:textId="2FC06147" w:rsidR="00A94D80" w:rsidRPr="00005D6B" w:rsidRDefault="00A94D80" w:rsidP="00906FE4">
            <w:pPr>
              <w:rPr>
                <w:rFonts w:ascii="Arial Narrow" w:hAnsi="Arial Narrow" w:cs="Arial"/>
                <w:b/>
                <w:sz w:val="20"/>
                <w:szCs w:val="20"/>
              </w:rPr>
            </w:pPr>
            <w:r w:rsidRPr="00005D6B">
              <w:rPr>
                <w:rFonts w:ascii="Arial Narrow" w:hAnsi="Arial Narrow"/>
                <w:b/>
                <w:sz w:val="20"/>
                <w:szCs w:val="20"/>
              </w:rPr>
              <w:t xml:space="preserve">Restriction Summary </w:t>
            </w:r>
            <w:r w:rsidR="00B02276" w:rsidRPr="00005D6B">
              <w:rPr>
                <w:rFonts w:ascii="Arial Narrow" w:hAnsi="Arial Narrow"/>
                <w:b/>
                <w:sz w:val="20"/>
                <w:szCs w:val="20"/>
              </w:rPr>
              <w:t xml:space="preserve">9830 </w:t>
            </w:r>
            <w:r w:rsidRPr="00005D6B">
              <w:rPr>
                <w:rFonts w:ascii="Arial Narrow" w:hAnsi="Arial Narrow"/>
                <w:b/>
                <w:sz w:val="20"/>
                <w:szCs w:val="20"/>
              </w:rPr>
              <w:t xml:space="preserve">/ Treatment of Concept: </w:t>
            </w:r>
            <w:r w:rsidR="00B02276" w:rsidRPr="00005D6B">
              <w:rPr>
                <w:rFonts w:ascii="Arial Narrow" w:hAnsi="Arial Narrow"/>
                <w:b/>
                <w:sz w:val="20"/>
                <w:szCs w:val="20"/>
              </w:rPr>
              <w:t>9818</w:t>
            </w:r>
          </w:p>
        </w:tc>
      </w:tr>
      <w:tr w:rsidR="00A94D80" w:rsidRPr="00120A12" w14:paraId="63E15947" w14:textId="77777777" w:rsidTr="00906FE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37EC9870" w14:textId="545606E8" w:rsidR="00A94D80" w:rsidRPr="00005D6B" w:rsidRDefault="00A94D80" w:rsidP="00E35BB5">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646596C" w14:textId="36685C56" w:rsidR="00A94D80" w:rsidRPr="00005D6B" w:rsidRDefault="00A94D80" w:rsidP="00E35BB5">
            <w:pPr>
              <w:rPr>
                <w:rFonts w:ascii="Arial Narrow" w:hAnsi="Arial Narrow" w:cs="Arial"/>
                <w:sz w:val="20"/>
                <w:szCs w:val="20"/>
              </w:rPr>
            </w:pPr>
            <w:r w:rsidRPr="00005D6B">
              <w:rPr>
                <w:rFonts w:ascii="Arial Narrow" w:hAnsi="Arial Narrow" w:cs="Arial"/>
                <w:b/>
                <w:sz w:val="20"/>
                <w:szCs w:val="20"/>
              </w:rPr>
              <w:t>Category / Program:</w:t>
            </w:r>
            <w:r w:rsidR="00E35BB5" w:rsidRPr="00005D6B">
              <w:rPr>
                <w:rFonts w:ascii="Arial Narrow" w:hAnsi="Arial Narrow" w:cs="Arial"/>
                <w:b/>
                <w:sz w:val="20"/>
                <w:szCs w:val="20"/>
              </w:rPr>
              <w:t xml:space="preserve"> </w:t>
            </w:r>
            <w:r w:rsidRPr="00005D6B">
              <w:rPr>
                <w:rFonts w:ascii="Arial Narrow" w:hAnsi="Arial Narrow" w:cs="Arial"/>
                <w:sz w:val="20"/>
                <w:szCs w:val="20"/>
              </w:rPr>
              <w:t xml:space="preserve">Section 100 – Highly Specialised Drugs Program </w:t>
            </w:r>
            <w:r w:rsidR="00E35BB5" w:rsidRPr="00005D6B">
              <w:rPr>
                <w:rFonts w:ascii="Arial Narrow" w:hAnsi="Arial Narrow" w:cs="Arial"/>
                <w:sz w:val="20"/>
                <w:szCs w:val="20"/>
              </w:rPr>
              <w:t>(HB)</w:t>
            </w:r>
          </w:p>
        </w:tc>
      </w:tr>
      <w:tr w:rsidR="00A94D80" w:rsidRPr="00772067" w14:paraId="75A7DCFE" w14:textId="77777777" w:rsidTr="00906FE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72AD8DA" w14:textId="77777777" w:rsidR="00A94D80" w:rsidRPr="00005D6B" w:rsidRDefault="00A94D80" w:rsidP="00906FE4">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1CDF7CB" w14:textId="23C3B0C5" w:rsidR="00A94D80" w:rsidRPr="00005D6B" w:rsidRDefault="00A94D80" w:rsidP="00906FE4">
            <w:pPr>
              <w:rPr>
                <w:rFonts w:ascii="Arial Narrow" w:hAnsi="Arial Narrow" w:cs="Arial"/>
                <w:b/>
                <w:sz w:val="20"/>
                <w:szCs w:val="20"/>
              </w:rPr>
            </w:pPr>
            <w:r w:rsidRPr="00005D6B">
              <w:rPr>
                <w:rFonts w:ascii="Arial Narrow" w:hAnsi="Arial Narrow" w:cs="Arial"/>
                <w:b/>
                <w:sz w:val="20"/>
                <w:szCs w:val="20"/>
              </w:rPr>
              <w:t xml:space="preserve">Prescriber type: </w:t>
            </w:r>
            <w:r w:rsidR="00E35BB5" w:rsidRPr="00005D6B">
              <w:rPr>
                <w:rFonts w:ascii="Arial Narrow" w:hAnsi="Arial Narrow" w:cs="Arial"/>
                <w:sz w:val="20"/>
                <w:szCs w:val="20"/>
              </w:rPr>
              <w:fldChar w:fldCharType="begin">
                <w:ffData>
                  <w:name w:val=""/>
                  <w:enabled/>
                  <w:calcOnExit w:val="0"/>
                  <w:checkBox>
                    <w:sizeAuto/>
                    <w:default w:val="1"/>
                  </w:checkBox>
                </w:ffData>
              </w:fldChar>
            </w:r>
            <w:r w:rsidR="00E35BB5" w:rsidRPr="00005D6B">
              <w:rPr>
                <w:rFonts w:ascii="Arial Narrow" w:hAnsi="Arial Narrow" w:cs="Arial"/>
                <w:sz w:val="20"/>
                <w:szCs w:val="20"/>
              </w:rPr>
              <w:instrText xml:space="preserve"> FORMCHECKBOX </w:instrText>
            </w:r>
            <w:r w:rsidR="00BE0D79">
              <w:rPr>
                <w:rFonts w:ascii="Arial Narrow" w:hAnsi="Arial Narrow" w:cs="Arial"/>
                <w:sz w:val="20"/>
                <w:szCs w:val="20"/>
              </w:rPr>
            </w:r>
            <w:r w:rsidR="00BE0D79">
              <w:rPr>
                <w:rFonts w:ascii="Arial Narrow" w:hAnsi="Arial Narrow" w:cs="Arial"/>
                <w:sz w:val="20"/>
                <w:szCs w:val="20"/>
              </w:rPr>
              <w:fldChar w:fldCharType="separate"/>
            </w:r>
            <w:r w:rsidR="00E35BB5" w:rsidRPr="00005D6B">
              <w:rPr>
                <w:rFonts w:ascii="Arial Narrow" w:hAnsi="Arial Narrow" w:cs="Arial"/>
                <w:sz w:val="20"/>
                <w:szCs w:val="20"/>
              </w:rPr>
              <w:fldChar w:fldCharType="end"/>
            </w:r>
            <w:r w:rsidRPr="00005D6B">
              <w:rPr>
                <w:rFonts w:ascii="Arial Narrow" w:hAnsi="Arial Narrow" w:cs="Arial"/>
                <w:sz w:val="20"/>
                <w:szCs w:val="20"/>
              </w:rPr>
              <w:t xml:space="preserve">Medical Practitioners </w:t>
            </w:r>
          </w:p>
        </w:tc>
      </w:tr>
      <w:tr w:rsidR="00A94D80" w:rsidRPr="00677540" w14:paraId="4AA9FFF8" w14:textId="77777777" w:rsidTr="00906FE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3D5E998" w14:textId="77777777" w:rsidR="00A94D80" w:rsidRPr="00005D6B" w:rsidRDefault="00A94D80" w:rsidP="00906FE4">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44C356B" w14:textId="62F0704E" w:rsidR="00A94D80" w:rsidRPr="00005D6B" w:rsidRDefault="00A94D80" w:rsidP="00906FE4">
            <w:pPr>
              <w:rPr>
                <w:rFonts w:ascii="Arial Narrow" w:eastAsia="Calibri" w:hAnsi="Arial Narrow" w:cs="Arial"/>
                <w:sz w:val="20"/>
                <w:szCs w:val="20"/>
              </w:rPr>
            </w:pPr>
            <w:r w:rsidRPr="00005D6B">
              <w:rPr>
                <w:rFonts w:ascii="Arial Narrow" w:hAnsi="Arial Narrow" w:cs="Arial"/>
                <w:b/>
                <w:sz w:val="20"/>
                <w:szCs w:val="20"/>
              </w:rPr>
              <w:t xml:space="preserve">Restriction type: </w:t>
            </w:r>
            <w:r w:rsidR="00E35BB5" w:rsidRPr="00005D6B">
              <w:rPr>
                <w:rFonts w:ascii="Arial Narrow" w:eastAsia="Calibri" w:hAnsi="Arial Narrow" w:cs="Arial"/>
                <w:sz w:val="20"/>
                <w:szCs w:val="20"/>
              </w:rPr>
              <w:fldChar w:fldCharType="begin">
                <w:ffData>
                  <w:name w:val=""/>
                  <w:enabled/>
                  <w:calcOnExit w:val="0"/>
                  <w:checkBox>
                    <w:sizeAuto/>
                    <w:default w:val="1"/>
                  </w:checkBox>
                </w:ffData>
              </w:fldChar>
            </w:r>
            <w:r w:rsidR="00E35BB5" w:rsidRPr="00005D6B">
              <w:rPr>
                <w:rFonts w:ascii="Arial Narrow" w:eastAsia="Calibri" w:hAnsi="Arial Narrow" w:cs="Arial"/>
                <w:sz w:val="20"/>
                <w:szCs w:val="20"/>
              </w:rPr>
              <w:instrText xml:space="preserve"> FORMCHECKBOX </w:instrText>
            </w:r>
            <w:r w:rsidR="00BE0D79">
              <w:rPr>
                <w:rFonts w:ascii="Arial Narrow" w:eastAsia="Calibri" w:hAnsi="Arial Narrow" w:cs="Arial"/>
                <w:sz w:val="20"/>
                <w:szCs w:val="20"/>
              </w:rPr>
            </w:r>
            <w:r w:rsidR="00BE0D79">
              <w:rPr>
                <w:rFonts w:ascii="Arial Narrow" w:eastAsia="Calibri" w:hAnsi="Arial Narrow" w:cs="Arial"/>
                <w:sz w:val="20"/>
                <w:szCs w:val="20"/>
              </w:rPr>
              <w:fldChar w:fldCharType="separate"/>
            </w:r>
            <w:r w:rsidR="00E35BB5" w:rsidRPr="00005D6B">
              <w:rPr>
                <w:rFonts w:ascii="Arial Narrow" w:eastAsia="Calibri" w:hAnsi="Arial Narrow" w:cs="Arial"/>
                <w:sz w:val="20"/>
                <w:szCs w:val="20"/>
              </w:rPr>
              <w:fldChar w:fldCharType="end"/>
            </w:r>
            <w:r w:rsidRPr="00005D6B">
              <w:rPr>
                <w:rFonts w:ascii="Arial Narrow" w:eastAsia="Calibri" w:hAnsi="Arial Narrow" w:cs="Arial"/>
                <w:sz w:val="20"/>
                <w:szCs w:val="20"/>
              </w:rPr>
              <w:t xml:space="preserve">Authority Required (Streamlined) </w:t>
            </w:r>
          </w:p>
        </w:tc>
      </w:tr>
      <w:tr w:rsidR="00A94D80" w:rsidRPr="00120A12" w14:paraId="56AD92B5" w14:textId="77777777" w:rsidTr="00B46372">
        <w:tblPrEx>
          <w:tblCellMar>
            <w:top w:w="15" w:type="dxa"/>
            <w:left w:w="15" w:type="dxa"/>
            <w:bottom w:w="15" w:type="dxa"/>
            <w:right w:w="15" w:type="dxa"/>
          </w:tblCellMar>
        </w:tblPrEx>
        <w:tc>
          <w:tcPr>
            <w:tcW w:w="981" w:type="dxa"/>
            <w:vAlign w:val="center"/>
          </w:tcPr>
          <w:p w14:paraId="1878E4AF" w14:textId="0353C4EE"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70E9DC19" w14:textId="6E6D75C7" w:rsidR="00A94D80" w:rsidRPr="00005D6B" w:rsidRDefault="00A94D80" w:rsidP="00906FE4">
            <w:pPr>
              <w:rPr>
                <w:rFonts w:ascii="Arial Narrow" w:hAnsi="Arial Narrow"/>
                <w:color w:val="333333"/>
                <w:sz w:val="20"/>
                <w:szCs w:val="20"/>
              </w:rPr>
            </w:pPr>
            <w:r w:rsidRPr="00005D6B">
              <w:rPr>
                <w:rFonts w:ascii="Arial Narrow" w:hAnsi="Arial Narrow"/>
                <w:b/>
                <w:bCs/>
                <w:color w:val="333333"/>
                <w:sz w:val="20"/>
                <w:szCs w:val="20"/>
              </w:rPr>
              <w:t>Indication:</w:t>
            </w:r>
            <w:r w:rsidRPr="00005D6B">
              <w:rPr>
                <w:rFonts w:ascii="Arial Narrow" w:hAnsi="Arial Narrow"/>
                <w:color w:val="333333"/>
                <w:sz w:val="20"/>
                <w:szCs w:val="20"/>
              </w:rPr>
              <w:t xml:space="preserve"> </w:t>
            </w:r>
            <w:r w:rsidR="00E35BB5" w:rsidRPr="001A048E">
              <w:rPr>
                <w:rFonts w:ascii="Arial Narrow" w:eastAsia="Calibri" w:hAnsi="Arial Narrow" w:cs="Arial"/>
                <w:sz w:val="20"/>
                <w:szCs w:val="20"/>
              </w:rPr>
              <w:t>clinically definite relapsing-remitting multiple sclerosis</w:t>
            </w:r>
          </w:p>
        </w:tc>
      </w:tr>
      <w:tr w:rsidR="00A94D80" w:rsidRPr="00B90897" w14:paraId="030D436A" w14:textId="77777777" w:rsidTr="00E35BB5">
        <w:tblPrEx>
          <w:tblCellMar>
            <w:top w:w="15" w:type="dxa"/>
            <w:left w:w="15" w:type="dxa"/>
            <w:bottom w:w="15" w:type="dxa"/>
            <w:right w:w="15" w:type="dxa"/>
          </w:tblCellMar>
          <w:tblLook w:val="04A0" w:firstRow="1" w:lastRow="0" w:firstColumn="1" w:lastColumn="0" w:noHBand="0" w:noVBand="1"/>
        </w:tblPrEx>
        <w:tc>
          <w:tcPr>
            <w:tcW w:w="981" w:type="dxa"/>
            <w:vAlign w:val="center"/>
          </w:tcPr>
          <w:p w14:paraId="5BE20BAF" w14:textId="3FB69F59"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09E721ED" w14:textId="323E5BF6" w:rsidR="00A94D80" w:rsidRPr="00005D6B" w:rsidRDefault="00E35BB5" w:rsidP="00906FE4">
            <w:pPr>
              <w:rPr>
                <w:rFonts w:ascii="Arial Narrow" w:hAnsi="Arial Narrow"/>
                <w:color w:val="FF00FF"/>
                <w:sz w:val="20"/>
                <w:szCs w:val="20"/>
              </w:rPr>
            </w:pPr>
            <w:r w:rsidRPr="00005D6B">
              <w:rPr>
                <w:rFonts w:ascii="Arial Narrow" w:hAnsi="Arial Narrow"/>
                <w:b/>
                <w:bCs/>
                <w:color w:val="333333"/>
                <w:sz w:val="20"/>
                <w:szCs w:val="20"/>
              </w:rPr>
              <w:t>Treatment criteria:</w:t>
            </w:r>
          </w:p>
        </w:tc>
      </w:tr>
      <w:tr w:rsidR="00A94D80" w:rsidRPr="007F2BB2" w14:paraId="35FC6B12" w14:textId="77777777" w:rsidTr="00E35BB5">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2641A5" w14:textId="5C0BFEB6" w:rsidR="00A94D80" w:rsidRPr="00005D6B" w:rsidRDefault="00A94D80" w:rsidP="00906FE4">
            <w:pPr>
              <w:jc w:val="center"/>
              <w:rPr>
                <w:rFonts w:ascii="Arial Narrow" w:hAnsi="Arial Narrow"/>
                <w:sz w:val="20"/>
                <w:szCs w:val="20"/>
              </w:rPr>
            </w:pPr>
          </w:p>
        </w:tc>
        <w:tc>
          <w:tcPr>
            <w:tcW w:w="8086" w:type="dxa"/>
            <w:gridSpan w:val="6"/>
            <w:vAlign w:val="center"/>
          </w:tcPr>
          <w:p w14:paraId="7CB1399E" w14:textId="242C16D5" w:rsidR="00A94D80" w:rsidRPr="00005D6B" w:rsidRDefault="00E35BB5" w:rsidP="00906FE4">
            <w:pPr>
              <w:rPr>
                <w:rFonts w:ascii="Arial Narrow" w:hAnsi="Arial Narrow"/>
                <w:sz w:val="20"/>
                <w:szCs w:val="20"/>
              </w:rPr>
            </w:pPr>
            <w:r w:rsidRPr="00005D6B">
              <w:rPr>
                <w:rFonts w:ascii="Arial Narrow" w:hAnsi="Arial Narrow"/>
                <w:sz w:val="20"/>
                <w:szCs w:val="20"/>
              </w:rPr>
              <w:t>Must be treated by a neurologist</w:t>
            </w:r>
          </w:p>
        </w:tc>
      </w:tr>
      <w:tr w:rsidR="00A94D80" w:rsidRPr="00720161" w14:paraId="443BDE01" w14:textId="77777777" w:rsidTr="00E35BB5">
        <w:tblPrEx>
          <w:tblCellMar>
            <w:top w:w="15" w:type="dxa"/>
            <w:left w:w="15" w:type="dxa"/>
            <w:bottom w:w="15" w:type="dxa"/>
            <w:right w:w="15" w:type="dxa"/>
          </w:tblCellMar>
          <w:tblLook w:val="04A0" w:firstRow="1" w:lastRow="0" w:firstColumn="1" w:lastColumn="0" w:noHBand="0" w:noVBand="1"/>
        </w:tblPrEx>
        <w:tc>
          <w:tcPr>
            <w:tcW w:w="981" w:type="dxa"/>
            <w:vAlign w:val="center"/>
          </w:tcPr>
          <w:p w14:paraId="4DC4676F" w14:textId="12687BB4"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3C4BD51F" w14:textId="40A5E1C1"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AND</w:t>
            </w:r>
          </w:p>
        </w:tc>
      </w:tr>
      <w:tr w:rsidR="00A94D80" w:rsidRPr="00120A12" w14:paraId="41F322DD" w14:textId="77777777" w:rsidTr="00E35BB5">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C0B1BE" w14:textId="533773BE"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466F96A5" w14:textId="4BED2244"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Clinical criteria:</w:t>
            </w:r>
          </w:p>
        </w:tc>
      </w:tr>
      <w:tr w:rsidR="00A94D80" w:rsidRPr="00120A12" w14:paraId="7DA042BC"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8D59D8" w14:textId="116021E2"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74BC79F9" w14:textId="460B1B78" w:rsidR="00A94D80" w:rsidRPr="00005D6B" w:rsidRDefault="00E35BB5" w:rsidP="00906FE4">
            <w:pPr>
              <w:rPr>
                <w:rFonts w:ascii="Arial Narrow" w:hAnsi="Arial Narrow"/>
                <w:color w:val="333333"/>
                <w:sz w:val="20"/>
                <w:szCs w:val="20"/>
              </w:rPr>
            </w:pPr>
            <w:r w:rsidRPr="00005D6B">
              <w:rPr>
                <w:rFonts w:ascii="Arial Narrow" w:hAnsi="Arial Narrow"/>
                <w:color w:val="333333"/>
                <w:sz w:val="20"/>
                <w:szCs w:val="20"/>
              </w:rPr>
              <w:t>The treatment must be the sole PBS-subsidised disease modifying therapy for this condition</w:t>
            </w:r>
          </w:p>
        </w:tc>
      </w:tr>
      <w:tr w:rsidR="00A94D80" w:rsidRPr="00120A12" w14:paraId="4C57B718"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99C72B" w14:textId="77777777"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1B7AAD51" w14:textId="77777777" w:rsidR="00A94D80" w:rsidRPr="00005D6B" w:rsidRDefault="00A94D80" w:rsidP="00906FE4">
            <w:pPr>
              <w:rPr>
                <w:rFonts w:ascii="Arial Narrow" w:hAnsi="Arial Narrow"/>
                <w:color w:val="333333"/>
                <w:sz w:val="20"/>
                <w:szCs w:val="20"/>
              </w:rPr>
            </w:pPr>
            <w:r w:rsidRPr="00005D6B">
              <w:rPr>
                <w:rFonts w:ascii="Arial Narrow" w:hAnsi="Arial Narrow"/>
                <w:b/>
                <w:bCs/>
                <w:color w:val="333333"/>
                <w:sz w:val="20"/>
                <w:szCs w:val="20"/>
              </w:rPr>
              <w:t>AND</w:t>
            </w:r>
          </w:p>
        </w:tc>
      </w:tr>
      <w:tr w:rsidR="00A94D80" w:rsidRPr="00120A12" w14:paraId="61533693"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17F62C" w14:textId="3000971F"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1E4BE9C0" w14:textId="77777777" w:rsidR="00A94D80" w:rsidRPr="00005D6B" w:rsidRDefault="00A94D80" w:rsidP="00906FE4">
            <w:pPr>
              <w:rPr>
                <w:rFonts w:ascii="Arial Narrow" w:hAnsi="Arial Narrow"/>
                <w:color w:val="333333"/>
                <w:sz w:val="20"/>
                <w:szCs w:val="20"/>
              </w:rPr>
            </w:pPr>
            <w:r w:rsidRPr="00005D6B">
              <w:rPr>
                <w:rFonts w:ascii="Arial Narrow" w:hAnsi="Arial Narrow"/>
                <w:b/>
                <w:bCs/>
                <w:color w:val="333333"/>
                <w:sz w:val="20"/>
                <w:szCs w:val="20"/>
              </w:rPr>
              <w:t>Clinical criteria:</w:t>
            </w:r>
          </w:p>
        </w:tc>
      </w:tr>
      <w:tr w:rsidR="00A94D80" w:rsidRPr="00120A12" w14:paraId="44CABCF9"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1288E1" w14:textId="21B246B2" w:rsidR="00A94D80" w:rsidRPr="00005D6B" w:rsidRDefault="00A94D80" w:rsidP="00E35BB5">
            <w:pPr>
              <w:jc w:val="center"/>
              <w:rPr>
                <w:rFonts w:ascii="Arial Narrow" w:hAnsi="Arial Narrow"/>
                <w:color w:val="333333"/>
                <w:sz w:val="20"/>
                <w:szCs w:val="20"/>
              </w:rPr>
            </w:pPr>
          </w:p>
        </w:tc>
        <w:tc>
          <w:tcPr>
            <w:tcW w:w="8086" w:type="dxa"/>
            <w:gridSpan w:val="6"/>
            <w:vAlign w:val="center"/>
            <w:hideMark/>
          </w:tcPr>
          <w:p w14:paraId="7E19F4A1" w14:textId="6C5D26FD" w:rsidR="00A94D80" w:rsidRPr="00005D6B" w:rsidRDefault="00E35BB5" w:rsidP="00906FE4">
            <w:pPr>
              <w:rPr>
                <w:rFonts w:ascii="Arial Narrow" w:hAnsi="Arial Narrow"/>
                <w:color w:val="333333"/>
                <w:sz w:val="20"/>
                <w:szCs w:val="20"/>
              </w:rPr>
            </w:pPr>
            <w:r w:rsidRPr="00005D6B">
              <w:rPr>
                <w:rFonts w:ascii="Arial Narrow" w:hAnsi="Arial Narrow"/>
                <w:color w:val="333333"/>
                <w:sz w:val="20"/>
                <w:szCs w:val="20"/>
              </w:rPr>
              <w:t>Patient must be ambulatory (without assistance or support)</w:t>
            </w:r>
          </w:p>
        </w:tc>
      </w:tr>
      <w:tr w:rsidR="00E35BB5" w:rsidRPr="00120A12" w14:paraId="3EC3C538"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7231E2" w14:textId="77777777" w:rsidR="00E35BB5" w:rsidRPr="00005D6B" w:rsidRDefault="00E35BB5" w:rsidP="00E35BB5">
            <w:pPr>
              <w:jc w:val="center"/>
              <w:rPr>
                <w:rFonts w:ascii="Arial Narrow" w:hAnsi="Arial Narrow"/>
                <w:color w:val="333333"/>
                <w:sz w:val="20"/>
                <w:szCs w:val="20"/>
              </w:rPr>
            </w:pPr>
          </w:p>
        </w:tc>
        <w:tc>
          <w:tcPr>
            <w:tcW w:w="8086" w:type="dxa"/>
            <w:gridSpan w:val="6"/>
            <w:vAlign w:val="center"/>
          </w:tcPr>
          <w:p w14:paraId="0EF09654" w14:textId="4890FC0F" w:rsidR="00E35BB5"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AND</w:t>
            </w:r>
          </w:p>
        </w:tc>
      </w:tr>
      <w:tr w:rsidR="00A94D80" w:rsidRPr="00120A12" w14:paraId="2DFC162C"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0C0794B" w14:textId="4F4EEA9D"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62FA0E1B" w14:textId="3E75D8F5"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Clinical criteria:</w:t>
            </w:r>
          </w:p>
        </w:tc>
      </w:tr>
      <w:tr w:rsidR="00A94D80" w:rsidRPr="00120A12" w14:paraId="7A6205EA" w14:textId="77777777" w:rsidTr="00E35BB5">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AF1D80" w14:textId="218B5B9C" w:rsidR="00A94D80" w:rsidRPr="00005D6B" w:rsidRDefault="00A94D80" w:rsidP="00E35BB5">
            <w:pPr>
              <w:jc w:val="center"/>
              <w:rPr>
                <w:rFonts w:ascii="Arial Narrow" w:hAnsi="Arial Narrow"/>
                <w:color w:val="333333"/>
                <w:sz w:val="20"/>
                <w:szCs w:val="20"/>
              </w:rPr>
            </w:pPr>
          </w:p>
        </w:tc>
        <w:tc>
          <w:tcPr>
            <w:tcW w:w="8086" w:type="dxa"/>
            <w:gridSpan w:val="6"/>
            <w:vAlign w:val="center"/>
          </w:tcPr>
          <w:p w14:paraId="4AB41A4E" w14:textId="72AFDBCC" w:rsidR="00A94D80" w:rsidRPr="00005D6B" w:rsidRDefault="00E35BB5" w:rsidP="00906FE4">
            <w:pPr>
              <w:autoSpaceDE w:val="0"/>
              <w:autoSpaceDN w:val="0"/>
              <w:adjustRightInd w:val="0"/>
              <w:rPr>
                <w:rFonts w:ascii="Arial Narrow" w:hAnsi="Arial Narrow" w:cs="Arial Narrow"/>
                <w:sz w:val="20"/>
                <w:szCs w:val="20"/>
              </w:rPr>
            </w:pPr>
            <w:r w:rsidRPr="00005D6B">
              <w:rPr>
                <w:rFonts w:ascii="Arial Narrow" w:hAnsi="Arial Narrow" w:cs="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A94D80" w:rsidRPr="003D201F" w14:paraId="68F20AD6"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89CB36" w14:textId="77777777"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4A458AFE" w14:textId="1EA54893" w:rsidR="00A94D80" w:rsidRPr="00005D6B" w:rsidRDefault="00E35BB5" w:rsidP="00906FE4">
            <w:pPr>
              <w:autoSpaceDE w:val="0"/>
              <w:autoSpaceDN w:val="0"/>
              <w:adjustRightInd w:val="0"/>
              <w:rPr>
                <w:rFonts w:ascii="Arial Narrow" w:hAnsi="Arial Narrow" w:cs="Arial Narrow"/>
                <w:i/>
                <w:iCs/>
                <w:sz w:val="20"/>
                <w:szCs w:val="20"/>
              </w:rPr>
            </w:pPr>
            <w:r w:rsidRPr="00005D6B">
              <w:rPr>
                <w:rFonts w:ascii="Arial Narrow" w:hAnsi="Arial Narrow"/>
                <w:b/>
                <w:bCs/>
                <w:color w:val="333333"/>
                <w:sz w:val="20"/>
                <w:szCs w:val="20"/>
              </w:rPr>
              <w:t>AND</w:t>
            </w:r>
          </w:p>
        </w:tc>
      </w:tr>
      <w:tr w:rsidR="00A94D80" w14:paraId="1C33CCB9"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96A868" w14:textId="7A462997"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36C77081" w14:textId="669DB713" w:rsidR="00A94D80" w:rsidRPr="00005D6B" w:rsidRDefault="00E35BB5" w:rsidP="00906FE4">
            <w:pPr>
              <w:rPr>
                <w:rFonts w:ascii="Arial Narrow" w:hAnsi="Arial Narrow"/>
                <w:b/>
                <w:bCs/>
                <w:color w:val="333333"/>
                <w:sz w:val="20"/>
                <w:szCs w:val="20"/>
              </w:rPr>
            </w:pPr>
            <w:r w:rsidRPr="00005D6B">
              <w:rPr>
                <w:rFonts w:ascii="Arial Narrow" w:hAnsi="Arial Narrow"/>
                <w:b/>
                <w:bCs/>
                <w:color w:val="333333"/>
                <w:sz w:val="20"/>
                <w:szCs w:val="20"/>
              </w:rPr>
              <w:t>Clinical criteria:</w:t>
            </w:r>
          </w:p>
        </w:tc>
      </w:tr>
      <w:tr w:rsidR="00E35BB5" w14:paraId="62D4D9C3"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A2F1E52" w14:textId="7F232B83" w:rsidR="00E35BB5" w:rsidRPr="00005D6B" w:rsidRDefault="00E35BB5" w:rsidP="00906FE4">
            <w:pPr>
              <w:jc w:val="center"/>
              <w:rPr>
                <w:rFonts w:ascii="Arial Narrow" w:hAnsi="Arial Narrow"/>
                <w:color w:val="333333"/>
                <w:sz w:val="20"/>
                <w:szCs w:val="20"/>
              </w:rPr>
            </w:pPr>
          </w:p>
        </w:tc>
        <w:tc>
          <w:tcPr>
            <w:tcW w:w="8086" w:type="dxa"/>
            <w:gridSpan w:val="6"/>
            <w:vAlign w:val="center"/>
          </w:tcPr>
          <w:p w14:paraId="1CAAE30B" w14:textId="15796441" w:rsidR="00E35BB5" w:rsidRPr="00005D6B" w:rsidRDefault="00E35BB5" w:rsidP="00E35BB5">
            <w:pPr>
              <w:jc w:val="left"/>
              <w:rPr>
                <w:rFonts w:ascii="Arial Narrow" w:hAnsi="Arial Narrow"/>
                <w:color w:val="333333"/>
                <w:sz w:val="20"/>
                <w:szCs w:val="20"/>
              </w:rPr>
            </w:pPr>
            <w:r w:rsidRPr="00005D6B">
              <w:rPr>
                <w:rFonts w:ascii="Arial Narrow" w:hAnsi="Arial Narrow"/>
                <w:color w:val="333333"/>
                <w:sz w:val="20"/>
                <w:szCs w:val="20"/>
              </w:rPr>
              <w:t>The condition must be confirmed by magnetic resonance imaging of the brain and/or spinal cord; or</w:t>
            </w:r>
            <w:r w:rsidRPr="00005D6B">
              <w:rPr>
                <w:rFonts w:ascii="Arial Narrow" w:hAnsi="Arial Narrow"/>
                <w:color w:val="333333"/>
                <w:sz w:val="20"/>
                <w:szCs w:val="20"/>
              </w:rPr>
              <w:br/>
              <w:t>Patient must be deemed unsuitable for magnetic resonance imaging due to the risk of physical (not psychological) injury to the patient</w:t>
            </w:r>
          </w:p>
        </w:tc>
      </w:tr>
      <w:tr w:rsidR="00A94D80" w:rsidRPr="00120A12" w14:paraId="51E5E2C1"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FDA317" w14:textId="21DAC64F"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43669819" w14:textId="011D5FD4"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 xml:space="preserve">Caution: </w:t>
            </w:r>
            <w:r w:rsidRPr="00005D6B">
              <w:rPr>
                <w:rFonts w:ascii="Arial Narrow" w:hAnsi="Arial Narrow"/>
                <w:color w:val="333333"/>
                <w:sz w:val="20"/>
                <w:szCs w:val="20"/>
              </w:rPr>
              <w:t>Progressive multifocal leukoencephalopathy has been reported with this drug.</w:t>
            </w:r>
          </w:p>
        </w:tc>
      </w:tr>
      <w:tr w:rsidR="00A94D80" w:rsidRPr="00120A12" w14:paraId="1E4C4D1D" w14:textId="77777777" w:rsidTr="00B46372">
        <w:tblPrEx>
          <w:tblCellMar>
            <w:top w:w="15" w:type="dxa"/>
            <w:left w:w="15" w:type="dxa"/>
            <w:bottom w:w="15" w:type="dxa"/>
            <w:right w:w="15" w:type="dxa"/>
          </w:tblCellMar>
        </w:tblPrEx>
        <w:tc>
          <w:tcPr>
            <w:tcW w:w="981" w:type="dxa"/>
            <w:vAlign w:val="center"/>
          </w:tcPr>
          <w:p w14:paraId="500E4426" w14:textId="60F68CDA" w:rsidR="00A94D80" w:rsidRPr="00005D6B" w:rsidRDefault="00A94D80" w:rsidP="00906FE4">
            <w:pPr>
              <w:jc w:val="center"/>
              <w:rPr>
                <w:rFonts w:ascii="Arial Narrow" w:hAnsi="Arial Narrow"/>
                <w:color w:val="333333"/>
                <w:sz w:val="20"/>
                <w:szCs w:val="20"/>
              </w:rPr>
            </w:pPr>
          </w:p>
        </w:tc>
        <w:tc>
          <w:tcPr>
            <w:tcW w:w="8086" w:type="dxa"/>
            <w:gridSpan w:val="6"/>
            <w:vAlign w:val="center"/>
            <w:hideMark/>
          </w:tcPr>
          <w:p w14:paraId="510DED10" w14:textId="1B3D6210"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tc>
      </w:tr>
      <w:tr w:rsidR="00A94D80" w14:paraId="7CAA2FB5"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372441" w14:textId="6D868453"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0E76BFD6" w14:textId="11488F9F"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Treatment with this drug must cease if there is continuing progression of disability whilst the patient is being treated with this drug.</w:t>
            </w:r>
          </w:p>
        </w:tc>
      </w:tr>
      <w:tr w:rsidR="00A94D80" w14:paraId="44E8D8B6"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F53116" w14:textId="5C8F4B07" w:rsidR="00A94D80" w:rsidRPr="00005D6B" w:rsidRDefault="00A94D80" w:rsidP="00906FE4">
            <w:pPr>
              <w:jc w:val="center"/>
              <w:rPr>
                <w:rFonts w:ascii="Arial Narrow" w:hAnsi="Arial Narrow"/>
                <w:color w:val="333333"/>
                <w:sz w:val="20"/>
                <w:szCs w:val="20"/>
              </w:rPr>
            </w:pPr>
          </w:p>
        </w:tc>
        <w:tc>
          <w:tcPr>
            <w:tcW w:w="8086" w:type="dxa"/>
            <w:gridSpan w:val="6"/>
            <w:vAlign w:val="center"/>
          </w:tcPr>
          <w:p w14:paraId="0468D610" w14:textId="04CB4BC9" w:rsidR="00A94D80" w:rsidRPr="00005D6B" w:rsidRDefault="00E35BB5" w:rsidP="00906FE4">
            <w:pPr>
              <w:rPr>
                <w:rFonts w:ascii="Arial Narrow" w:hAnsi="Arial Narrow"/>
                <w:color w:val="333333"/>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For continued treatment the patient must demonstrate compliance with, and an ability to tolerate, this drug.</w:t>
            </w:r>
          </w:p>
        </w:tc>
      </w:tr>
      <w:tr w:rsidR="00A94D80" w14:paraId="3F9333E6" w14:textId="77777777" w:rsidTr="00906FE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CEA119" w14:textId="6D719826" w:rsidR="00A94D80" w:rsidRPr="00005D6B" w:rsidRDefault="00D056A9" w:rsidP="00906FE4">
            <w:pPr>
              <w:jc w:val="center"/>
              <w:rPr>
                <w:rFonts w:ascii="Arial Narrow" w:hAnsi="Arial Narrow"/>
                <w:strike/>
                <w:color w:val="333333"/>
                <w:sz w:val="20"/>
                <w:szCs w:val="20"/>
              </w:rPr>
            </w:pPr>
            <w:r w:rsidRPr="00D056A9">
              <w:rPr>
                <w:rFonts w:ascii="Arial Narrow" w:hAnsi="Arial Narrow"/>
                <w:color w:val="333333"/>
                <w:sz w:val="20"/>
                <w:szCs w:val="20"/>
              </w:rPr>
              <w:t>Remove</w:t>
            </w:r>
          </w:p>
        </w:tc>
        <w:tc>
          <w:tcPr>
            <w:tcW w:w="8086" w:type="dxa"/>
            <w:gridSpan w:val="6"/>
            <w:vAlign w:val="center"/>
          </w:tcPr>
          <w:p w14:paraId="190713E7" w14:textId="4C3C6464" w:rsidR="00A94D80" w:rsidRPr="00005D6B" w:rsidRDefault="00E35BB5" w:rsidP="00906FE4">
            <w:pPr>
              <w:rPr>
                <w:rFonts w:ascii="Arial Narrow" w:hAnsi="Arial Narrow"/>
                <w:strike/>
                <w:color w:val="333333"/>
                <w:sz w:val="20"/>
                <w:szCs w:val="20"/>
              </w:rPr>
            </w:pPr>
            <w:r w:rsidRPr="00005D6B">
              <w:rPr>
                <w:rFonts w:ascii="Arial Narrow" w:hAnsi="Arial Narrow"/>
                <w:b/>
                <w:bCs/>
                <w:strike/>
                <w:color w:val="333333"/>
                <w:sz w:val="20"/>
                <w:szCs w:val="20"/>
              </w:rPr>
              <w:t xml:space="preserve">Prescribing Instructions: </w:t>
            </w:r>
            <w:r w:rsidRPr="00005D6B">
              <w:rPr>
                <w:rFonts w:ascii="Arial Narrow" w:hAnsi="Arial Narrow"/>
                <w:strike/>
                <w:color w:val="333333"/>
                <w:sz w:val="20"/>
                <w:szCs w:val="20"/>
              </w:rPr>
              <w:t>Neurologists prescribing natalizumab under the PBS listing must be registered with the Tysabri Australian Prescribing Program.</w:t>
            </w:r>
          </w:p>
        </w:tc>
      </w:tr>
      <w:tr w:rsidR="00A94D80" w:rsidRPr="00DB2FF7" w14:paraId="23EC6D02" w14:textId="77777777" w:rsidTr="00906FE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845AC35" w14:textId="777A5567" w:rsidR="00E35BB5" w:rsidRPr="00005D6B" w:rsidRDefault="00E35BB5" w:rsidP="00906FE4">
            <w:pPr>
              <w:rPr>
                <w:rFonts w:ascii="Arial Narrow" w:hAnsi="Arial Narrow"/>
                <w:bCs/>
                <w:color w:val="FF0000"/>
                <w:sz w:val="20"/>
                <w:szCs w:val="20"/>
              </w:rPr>
            </w:pPr>
          </w:p>
        </w:tc>
      </w:tr>
      <w:tr w:rsidR="00A94D80" w14:paraId="74ED4343" w14:textId="77777777" w:rsidTr="00906FE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01EB407" w14:textId="2F6CED13" w:rsidR="00A94D80" w:rsidRPr="00005D6B" w:rsidRDefault="00A94D80" w:rsidP="00906FE4">
            <w:pPr>
              <w:rPr>
                <w:rFonts w:ascii="Arial Narrow" w:hAnsi="Arial Narrow"/>
                <w:b/>
                <w:bCs/>
                <w:color w:val="333333"/>
                <w:sz w:val="20"/>
                <w:szCs w:val="20"/>
              </w:rPr>
            </w:pPr>
            <w:r w:rsidRPr="00005D6B">
              <w:rPr>
                <w:rFonts w:ascii="Arial Narrow" w:hAnsi="Arial Narrow"/>
                <w:b/>
                <w:bCs/>
                <w:color w:val="333333"/>
                <w:sz w:val="20"/>
                <w:szCs w:val="20"/>
              </w:rPr>
              <w:t xml:space="preserve">Restriction Summary </w:t>
            </w:r>
            <w:r w:rsidR="00E35BB5" w:rsidRPr="00005D6B">
              <w:rPr>
                <w:rFonts w:ascii="Arial Narrow" w:hAnsi="Arial Narrow"/>
                <w:b/>
                <w:bCs/>
                <w:color w:val="333333"/>
                <w:sz w:val="20"/>
                <w:szCs w:val="20"/>
              </w:rPr>
              <w:t>9795</w:t>
            </w:r>
            <w:r w:rsidRPr="00005D6B">
              <w:rPr>
                <w:rFonts w:ascii="Arial Narrow" w:hAnsi="Arial Narrow"/>
                <w:b/>
                <w:bCs/>
                <w:color w:val="333333"/>
                <w:sz w:val="20"/>
                <w:szCs w:val="20"/>
              </w:rPr>
              <w:t xml:space="preserve"> / Treatment of Concept: </w:t>
            </w:r>
            <w:r w:rsidR="00E35BB5" w:rsidRPr="00005D6B">
              <w:rPr>
                <w:rFonts w:ascii="Arial Narrow" w:hAnsi="Arial Narrow"/>
                <w:b/>
                <w:bCs/>
                <w:color w:val="333333"/>
                <w:sz w:val="20"/>
                <w:szCs w:val="20"/>
              </w:rPr>
              <w:t>9744</w:t>
            </w:r>
          </w:p>
        </w:tc>
      </w:tr>
      <w:tr w:rsidR="00A94D80" w:rsidRPr="00120A12" w14:paraId="7BF09CBA" w14:textId="77777777" w:rsidTr="00906FE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59F45D2" w14:textId="48BB28BB" w:rsidR="00A94D80" w:rsidRPr="00005D6B" w:rsidRDefault="00A94D80" w:rsidP="00005D6B">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A467482" w14:textId="5C246DB8" w:rsidR="00A94D80" w:rsidRPr="00005D6B" w:rsidRDefault="00A94D80" w:rsidP="00906FE4">
            <w:pPr>
              <w:rPr>
                <w:rFonts w:ascii="Arial Narrow" w:hAnsi="Arial Narrow" w:cs="Arial"/>
                <w:sz w:val="20"/>
                <w:szCs w:val="20"/>
              </w:rPr>
            </w:pPr>
            <w:r w:rsidRPr="00005D6B">
              <w:rPr>
                <w:rFonts w:ascii="Arial Narrow" w:hAnsi="Arial Narrow" w:cs="Arial"/>
                <w:b/>
                <w:sz w:val="20"/>
                <w:szCs w:val="20"/>
              </w:rPr>
              <w:t xml:space="preserve">Category / Program: </w:t>
            </w:r>
            <w:r w:rsidR="00E35BB5" w:rsidRPr="00005D6B">
              <w:rPr>
                <w:rFonts w:ascii="Arial Narrow" w:hAnsi="Arial Narrow" w:cs="Arial"/>
                <w:sz w:val="20"/>
                <w:szCs w:val="20"/>
              </w:rPr>
              <w:t>Section 100 – Highly Specialised Drugs Program (HS)</w:t>
            </w:r>
          </w:p>
        </w:tc>
      </w:tr>
      <w:tr w:rsidR="00A94D80" w:rsidRPr="00772067" w14:paraId="45A64B36" w14:textId="77777777" w:rsidTr="00906FE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8B9955D" w14:textId="77777777" w:rsidR="00A94D80" w:rsidRPr="00005D6B" w:rsidRDefault="00A94D80" w:rsidP="00906FE4">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2A3EC1F" w14:textId="50DB8871" w:rsidR="00A94D80" w:rsidRPr="00005D6B" w:rsidRDefault="00A94D80" w:rsidP="00906FE4">
            <w:pPr>
              <w:rPr>
                <w:rFonts w:ascii="Arial Narrow" w:hAnsi="Arial Narrow" w:cs="Arial"/>
                <w:b/>
                <w:sz w:val="20"/>
                <w:szCs w:val="20"/>
              </w:rPr>
            </w:pPr>
            <w:r w:rsidRPr="00005D6B">
              <w:rPr>
                <w:rFonts w:ascii="Arial Narrow" w:hAnsi="Arial Narrow" w:cs="Arial"/>
                <w:b/>
                <w:sz w:val="20"/>
                <w:szCs w:val="20"/>
              </w:rPr>
              <w:t xml:space="preserve">Prescriber type: </w:t>
            </w:r>
            <w:r w:rsidR="00005D6B" w:rsidRPr="00005D6B">
              <w:rPr>
                <w:rFonts w:ascii="Arial Narrow" w:hAnsi="Arial Narrow" w:cs="Arial"/>
                <w:sz w:val="20"/>
                <w:szCs w:val="20"/>
              </w:rPr>
              <w:fldChar w:fldCharType="begin">
                <w:ffData>
                  <w:name w:val=""/>
                  <w:enabled/>
                  <w:calcOnExit w:val="0"/>
                  <w:checkBox>
                    <w:sizeAuto/>
                    <w:default w:val="1"/>
                  </w:checkBox>
                </w:ffData>
              </w:fldChar>
            </w:r>
            <w:r w:rsidR="00005D6B" w:rsidRPr="00005D6B">
              <w:rPr>
                <w:rFonts w:ascii="Arial Narrow" w:hAnsi="Arial Narrow" w:cs="Arial"/>
                <w:sz w:val="20"/>
                <w:szCs w:val="20"/>
              </w:rPr>
              <w:instrText xml:space="preserve"> FORMCHECKBOX </w:instrText>
            </w:r>
            <w:r w:rsidR="00BE0D79">
              <w:rPr>
                <w:rFonts w:ascii="Arial Narrow" w:hAnsi="Arial Narrow" w:cs="Arial"/>
                <w:sz w:val="20"/>
                <w:szCs w:val="20"/>
              </w:rPr>
            </w:r>
            <w:r w:rsidR="00BE0D79">
              <w:rPr>
                <w:rFonts w:ascii="Arial Narrow" w:hAnsi="Arial Narrow" w:cs="Arial"/>
                <w:sz w:val="20"/>
                <w:szCs w:val="20"/>
              </w:rPr>
              <w:fldChar w:fldCharType="separate"/>
            </w:r>
            <w:r w:rsidR="00005D6B" w:rsidRPr="00005D6B">
              <w:rPr>
                <w:rFonts w:ascii="Arial Narrow" w:hAnsi="Arial Narrow" w:cs="Arial"/>
                <w:sz w:val="20"/>
                <w:szCs w:val="20"/>
              </w:rPr>
              <w:fldChar w:fldCharType="end"/>
            </w:r>
            <w:r w:rsidRPr="00005D6B">
              <w:rPr>
                <w:rFonts w:ascii="Arial Narrow" w:hAnsi="Arial Narrow" w:cs="Arial"/>
                <w:sz w:val="20"/>
                <w:szCs w:val="20"/>
              </w:rPr>
              <w:t>Medical Practitioners</w:t>
            </w:r>
          </w:p>
        </w:tc>
      </w:tr>
      <w:tr w:rsidR="00A94D80" w:rsidRPr="00677540" w14:paraId="2C26958D" w14:textId="77777777" w:rsidTr="00906FE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17A02A51" w14:textId="77777777" w:rsidR="00A94D80" w:rsidRPr="00005D6B" w:rsidRDefault="00A94D80" w:rsidP="00906FE4">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1469749" w14:textId="0430ECEC" w:rsidR="00A94D80" w:rsidRPr="00005D6B" w:rsidRDefault="00A94D80" w:rsidP="00005D6B">
            <w:pPr>
              <w:rPr>
                <w:rFonts w:ascii="Arial Narrow" w:eastAsia="Calibri" w:hAnsi="Arial Narrow" w:cs="Arial"/>
                <w:color w:val="FF00FF"/>
                <w:sz w:val="20"/>
                <w:szCs w:val="20"/>
              </w:rPr>
            </w:pPr>
            <w:r w:rsidRPr="00005D6B">
              <w:rPr>
                <w:rFonts w:ascii="Arial Narrow" w:hAnsi="Arial Narrow" w:cs="Arial"/>
                <w:b/>
                <w:sz w:val="20"/>
                <w:szCs w:val="20"/>
              </w:rPr>
              <w:t xml:space="preserve">Restriction type: </w:t>
            </w:r>
            <w:r w:rsidR="00005D6B" w:rsidRPr="00005D6B">
              <w:rPr>
                <w:rFonts w:ascii="Arial Narrow" w:eastAsia="Calibri" w:hAnsi="Arial Narrow" w:cs="Arial"/>
                <w:sz w:val="20"/>
                <w:szCs w:val="20"/>
              </w:rPr>
              <w:fldChar w:fldCharType="begin">
                <w:ffData>
                  <w:name w:val=""/>
                  <w:enabled/>
                  <w:calcOnExit w:val="0"/>
                  <w:checkBox>
                    <w:sizeAuto/>
                    <w:default w:val="1"/>
                  </w:checkBox>
                </w:ffData>
              </w:fldChar>
            </w:r>
            <w:r w:rsidR="00005D6B" w:rsidRPr="00005D6B">
              <w:rPr>
                <w:rFonts w:ascii="Arial Narrow" w:eastAsia="Calibri" w:hAnsi="Arial Narrow" w:cs="Arial"/>
                <w:sz w:val="20"/>
                <w:szCs w:val="20"/>
              </w:rPr>
              <w:instrText xml:space="preserve"> FORMCHECKBOX </w:instrText>
            </w:r>
            <w:r w:rsidR="00BE0D79">
              <w:rPr>
                <w:rFonts w:ascii="Arial Narrow" w:eastAsia="Calibri" w:hAnsi="Arial Narrow" w:cs="Arial"/>
                <w:sz w:val="20"/>
                <w:szCs w:val="20"/>
              </w:rPr>
            </w:r>
            <w:r w:rsidR="00BE0D79">
              <w:rPr>
                <w:rFonts w:ascii="Arial Narrow" w:eastAsia="Calibri" w:hAnsi="Arial Narrow" w:cs="Arial"/>
                <w:sz w:val="20"/>
                <w:szCs w:val="20"/>
              </w:rPr>
              <w:fldChar w:fldCharType="separate"/>
            </w:r>
            <w:r w:rsidR="00005D6B" w:rsidRPr="00005D6B">
              <w:rPr>
                <w:rFonts w:ascii="Arial Narrow" w:eastAsia="Calibri" w:hAnsi="Arial Narrow" w:cs="Arial"/>
                <w:sz w:val="20"/>
                <w:szCs w:val="20"/>
              </w:rPr>
              <w:fldChar w:fldCharType="end"/>
            </w:r>
            <w:r w:rsidRPr="00005D6B">
              <w:rPr>
                <w:rFonts w:ascii="Arial Narrow" w:eastAsia="Calibri" w:hAnsi="Arial Narrow" w:cs="Arial"/>
                <w:sz w:val="20"/>
                <w:szCs w:val="20"/>
              </w:rPr>
              <w:t xml:space="preserve">Authority Required – Streamlined </w:t>
            </w:r>
          </w:p>
        </w:tc>
      </w:tr>
      <w:tr w:rsidR="00005D6B" w:rsidRPr="00120A12" w14:paraId="3B57CFF3"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FDC072D" w14:textId="4F166526"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470C3B9D" w14:textId="363860F7" w:rsidR="00005D6B" w:rsidRPr="00005D6B" w:rsidRDefault="00005D6B" w:rsidP="00005D6B">
            <w:pPr>
              <w:rPr>
                <w:rFonts w:ascii="Arial Narrow" w:hAnsi="Arial Narrow"/>
                <w:color w:val="333333"/>
                <w:sz w:val="20"/>
                <w:szCs w:val="20"/>
              </w:rPr>
            </w:pPr>
            <w:r w:rsidRPr="00005D6B">
              <w:rPr>
                <w:rFonts w:ascii="Arial Narrow" w:hAnsi="Arial Narrow"/>
                <w:b/>
                <w:bCs/>
                <w:color w:val="333333"/>
                <w:sz w:val="20"/>
                <w:szCs w:val="20"/>
              </w:rPr>
              <w:t>Indication:</w:t>
            </w:r>
            <w:r w:rsidRPr="00005D6B">
              <w:rPr>
                <w:rFonts w:ascii="Arial Narrow" w:hAnsi="Arial Narrow"/>
                <w:color w:val="333333"/>
                <w:sz w:val="20"/>
                <w:szCs w:val="20"/>
              </w:rPr>
              <w:t xml:space="preserve"> </w:t>
            </w:r>
            <w:r w:rsidRPr="001A048E">
              <w:rPr>
                <w:rFonts w:ascii="Arial Narrow" w:hAnsi="Arial Narrow"/>
                <w:sz w:val="20"/>
                <w:szCs w:val="20"/>
              </w:rPr>
              <w:t>clinically definite relapsing-remitting multiple sclerosis</w:t>
            </w:r>
          </w:p>
        </w:tc>
      </w:tr>
      <w:tr w:rsidR="00005D6B" w:rsidRPr="00B90897" w14:paraId="72379B2D"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D175EB" w14:textId="29334D21"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28A58DA4" w14:textId="342B9BF8"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Treatment criteria:</w:t>
            </w:r>
          </w:p>
        </w:tc>
      </w:tr>
      <w:tr w:rsidR="00005D6B" w:rsidRPr="00B90897" w14:paraId="0DCEE931"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8F6F80" w14:textId="3022BB2A"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68B5496E" w14:textId="36A45F0C" w:rsidR="00005D6B" w:rsidRPr="00005D6B" w:rsidRDefault="00005D6B" w:rsidP="00005D6B">
            <w:pPr>
              <w:rPr>
                <w:rFonts w:ascii="Arial Narrow" w:hAnsi="Arial Narrow"/>
                <w:color w:val="FF00FF"/>
                <w:sz w:val="20"/>
                <w:szCs w:val="20"/>
              </w:rPr>
            </w:pPr>
            <w:r w:rsidRPr="00005D6B">
              <w:rPr>
                <w:rFonts w:ascii="Arial Narrow" w:hAnsi="Arial Narrow"/>
                <w:sz w:val="20"/>
                <w:szCs w:val="20"/>
              </w:rPr>
              <w:t>Must be treated by a neurologist</w:t>
            </w:r>
          </w:p>
        </w:tc>
      </w:tr>
      <w:tr w:rsidR="00005D6B" w:rsidRPr="00B90897" w14:paraId="1F933ED4"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25AD08A" w14:textId="7777777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10FEF1E9" w14:textId="5ADF2227"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AND</w:t>
            </w:r>
          </w:p>
        </w:tc>
      </w:tr>
      <w:tr w:rsidR="00005D6B" w:rsidRPr="00B90897" w14:paraId="3B666119"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FB0B088" w14:textId="3F72FB5F"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48713E0D" w14:textId="2EA8AB32"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Clinical criteria:</w:t>
            </w:r>
          </w:p>
        </w:tc>
      </w:tr>
      <w:tr w:rsidR="00005D6B" w:rsidRPr="00B90897" w14:paraId="0B1C97E9"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321FC0" w14:textId="39223F6F"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69F8DBFE" w14:textId="32E961A6" w:rsidR="00005D6B" w:rsidRPr="00005D6B" w:rsidRDefault="00005D6B" w:rsidP="00005D6B">
            <w:pPr>
              <w:rPr>
                <w:rFonts w:ascii="Arial Narrow" w:hAnsi="Arial Narrow"/>
                <w:color w:val="FF00FF"/>
                <w:sz w:val="20"/>
                <w:szCs w:val="20"/>
              </w:rPr>
            </w:pPr>
            <w:r w:rsidRPr="00005D6B">
              <w:rPr>
                <w:rFonts w:ascii="Arial Narrow" w:hAnsi="Arial Narrow"/>
                <w:color w:val="333333"/>
                <w:sz w:val="20"/>
                <w:szCs w:val="20"/>
              </w:rPr>
              <w:t>The treatment must be the sole PBS-subsidised disease modifying therapy for this condition</w:t>
            </w:r>
          </w:p>
        </w:tc>
      </w:tr>
      <w:tr w:rsidR="00005D6B" w:rsidRPr="00B90897" w14:paraId="7A8CCB65"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6C60481" w14:textId="7777777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35A79F08" w14:textId="3E53FC04"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AND</w:t>
            </w:r>
          </w:p>
        </w:tc>
      </w:tr>
      <w:tr w:rsidR="00005D6B" w:rsidRPr="00B90897" w14:paraId="05EF6442"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5D5692" w14:textId="71E84995"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13CEF73C" w14:textId="60B3CCD1"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Clinical criteria:</w:t>
            </w:r>
          </w:p>
        </w:tc>
      </w:tr>
      <w:tr w:rsidR="00005D6B" w:rsidRPr="00B90897" w14:paraId="4A5CA2D2"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3D8346" w14:textId="775BC52C"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43E1D95D" w14:textId="6947A5E3" w:rsidR="00005D6B" w:rsidRPr="00005D6B" w:rsidRDefault="00005D6B" w:rsidP="00005D6B">
            <w:pPr>
              <w:rPr>
                <w:rFonts w:ascii="Arial Narrow" w:hAnsi="Arial Narrow"/>
                <w:color w:val="FF00FF"/>
                <w:sz w:val="20"/>
                <w:szCs w:val="20"/>
              </w:rPr>
            </w:pPr>
            <w:r w:rsidRPr="00005D6B">
              <w:rPr>
                <w:rFonts w:ascii="Arial Narrow" w:hAnsi="Arial Narrow"/>
                <w:color w:val="333333"/>
                <w:sz w:val="20"/>
                <w:szCs w:val="20"/>
              </w:rPr>
              <w:t>Patient must be ambulatory (without assistance or support)</w:t>
            </w:r>
          </w:p>
        </w:tc>
      </w:tr>
      <w:tr w:rsidR="00005D6B" w:rsidRPr="00B90897" w14:paraId="00B6F1E5"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C7AE015" w14:textId="7777777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30F34BFD" w14:textId="7CB3EB2C"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AND</w:t>
            </w:r>
          </w:p>
        </w:tc>
      </w:tr>
      <w:tr w:rsidR="00005D6B" w:rsidRPr="00B90897" w14:paraId="01C2B05E"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13D73A" w14:textId="16A8267E"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3E34919B" w14:textId="6E92C697"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Clinical criteria:</w:t>
            </w:r>
          </w:p>
        </w:tc>
      </w:tr>
      <w:tr w:rsidR="00005D6B" w:rsidRPr="00B90897" w14:paraId="574B1E93"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6C9AEE" w14:textId="4BD96CD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6A804E5C" w14:textId="268EB894" w:rsidR="00005D6B" w:rsidRPr="00005D6B" w:rsidRDefault="00005D6B" w:rsidP="00005D6B">
            <w:pPr>
              <w:rPr>
                <w:rFonts w:ascii="Arial Narrow" w:hAnsi="Arial Narrow"/>
                <w:color w:val="FF00FF"/>
                <w:sz w:val="20"/>
                <w:szCs w:val="20"/>
              </w:rPr>
            </w:pPr>
            <w:r w:rsidRPr="00005D6B">
              <w:rPr>
                <w:rFonts w:ascii="Arial Narrow" w:hAnsi="Arial Narrow" w:cs="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005D6B" w:rsidRPr="00B90897" w14:paraId="70907D54"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E0D76F7" w14:textId="7777777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05999908" w14:textId="4C4BC18F"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AND</w:t>
            </w:r>
          </w:p>
        </w:tc>
      </w:tr>
      <w:tr w:rsidR="00005D6B" w:rsidRPr="00B90897" w14:paraId="34FF5C31"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EA59DD" w14:textId="6F314F5E"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2186372C" w14:textId="60D5AE6A"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Clinical criteria:</w:t>
            </w:r>
          </w:p>
        </w:tc>
      </w:tr>
      <w:tr w:rsidR="00005D6B" w:rsidRPr="00B90897" w14:paraId="437AA31D"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EAA6B6" w14:textId="77777777"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360A480B" w14:textId="582BDE46" w:rsidR="00005D6B" w:rsidRPr="00005D6B" w:rsidRDefault="00005D6B" w:rsidP="00005D6B">
            <w:pPr>
              <w:rPr>
                <w:rFonts w:ascii="Arial Narrow" w:hAnsi="Arial Narrow"/>
                <w:color w:val="FF00FF"/>
                <w:sz w:val="20"/>
                <w:szCs w:val="20"/>
              </w:rPr>
            </w:pPr>
            <w:r w:rsidRPr="00005D6B">
              <w:rPr>
                <w:rFonts w:ascii="Arial Narrow" w:hAnsi="Arial Narrow"/>
                <w:color w:val="333333"/>
                <w:sz w:val="20"/>
                <w:szCs w:val="20"/>
              </w:rPr>
              <w:t>The condition must be confirmed by magnetic resonance imaging of the brain and/or spinal cord; or</w:t>
            </w:r>
            <w:r w:rsidRPr="00005D6B">
              <w:rPr>
                <w:rFonts w:ascii="Arial Narrow" w:hAnsi="Arial Narrow"/>
                <w:color w:val="333333"/>
                <w:sz w:val="20"/>
                <w:szCs w:val="20"/>
              </w:rPr>
              <w:br/>
              <w:t>Patient must be deemed unsuitable for magnetic resonance imaging due to the risk of physical (not psychological) injury to the patient</w:t>
            </w:r>
          </w:p>
        </w:tc>
      </w:tr>
      <w:tr w:rsidR="00005D6B" w:rsidRPr="00B90897" w14:paraId="01740705"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4BF602" w14:textId="1ADE45E2"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65296E29" w14:textId="28EFDBE9"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 xml:space="preserve">Caution: </w:t>
            </w:r>
            <w:r w:rsidRPr="00005D6B">
              <w:rPr>
                <w:rFonts w:ascii="Arial Narrow" w:hAnsi="Arial Narrow"/>
                <w:color w:val="333333"/>
                <w:sz w:val="20"/>
                <w:szCs w:val="20"/>
              </w:rPr>
              <w:t>Progressive multifocal leukoencephalopathy has been reported with this drug.</w:t>
            </w:r>
          </w:p>
        </w:tc>
      </w:tr>
      <w:tr w:rsidR="00005D6B" w:rsidRPr="00B90897" w14:paraId="5AC7855D"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0546037" w14:textId="5C2BA50C"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5FFBD281" w14:textId="2EE18140"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tc>
      </w:tr>
      <w:tr w:rsidR="00005D6B" w:rsidRPr="00B90897" w14:paraId="6E850ED5"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1C2963" w14:textId="1167B52C"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2F6C7303" w14:textId="4CBC6E67"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Treatment with this drug must cease if there is continuing progression of disability whilst the patient is being treated with this drug.</w:t>
            </w:r>
          </w:p>
        </w:tc>
      </w:tr>
      <w:tr w:rsidR="00005D6B" w:rsidRPr="00B90897" w14:paraId="301E4742"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430134" w14:textId="529E1D78" w:rsidR="00005D6B" w:rsidRPr="00005D6B" w:rsidRDefault="00005D6B" w:rsidP="00005D6B">
            <w:pPr>
              <w:jc w:val="center"/>
              <w:rPr>
                <w:rFonts w:ascii="Arial Narrow" w:hAnsi="Arial Narrow"/>
                <w:color w:val="333333"/>
                <w:sz w:val="20"/>
                <w:szCs w:val="20"/>
              </w:rPr>
            </w:pPr>
          </w:p>
        </w:tc>
        <w:tc>
          <w:tcPr>
            <w:tcW w:w="8086" w:type="dxa"/>
            <w:gridSpan w:val="6"/>
            <w:vAlign w:val="center"/>
          </w:tcPr>
          <w:p w14:paraId="44920032" w14:textId="1932D7EF" w:rsidR="00005D6B" w:rsidRPr="00005D6B" w:rsidRDefault="00005D6B" w:rsidP="00005D6B">
            <w:pPr>
              <w:rPr>
                <w:rFonts w:ascii="Arial Narrow" w:hAnsi="Arial Narrow"/>
                <w:color w:val="FF00FF"/>
                <w:sz w:val="20"/>
                <w:szCs w:val="20"/>
              </w:rPr>
            </w:pPr>
            <w:r w:rsidRPr="00005D6B">
              <w:rPr>
                <w:rFonts w:ascii="Arial Narrow" w:hAnsi="Arial Narrow"/>
                <w:b/>
                <w:bCs/>
                <w:color w:val="333333"/>
                <w:sz w:val="20"/>
                <w:szCs w:val="20"/>
              </w:rPr>
              <w:t xml:space="preserve">Prescribing Instructions: </w:t>
            </w:r>
            <w:r w:rsidRPr="00005D6B">
              <w:rPr>
                <w:rFonts w:ascii="Arial Narrow" w:hAnsi="Arial Narrow"/>
                <w:color w:val="333333"/>
                <w:sz w:val="20"/>
                <w:szCs w:val="20"/>
              </w:rPr>
              <w:t>For continued treatment the patient must demonstrate compliance with, and an ability to tolerate, this drug.</w:t>
            </w:r>
          </w:p>
        </w:tc>
      </w:tr>
      <w:tr w:rsidR="00005D6B" w:rsidRPr="00B90897" w14:paraId="0B301467" w14:textId="77777777" w:rsidTr="00005D6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15815B" w14:textId="459958B4" w:rsidR="00005D6B" w:rsidRPr="00005D6B" w:rsidRDefault="00D056A9" w:rsidP="00005D6B">
            <w:pPr>
              <w:jc w:val="center"/>
              <w:rPr>
                <w:rFonts w:ascii="Arial Narrow" w:hAnsi="Arial Narrow"/>
                <w:strike/>
                <w:color w:val="333333"/>
                <w:sz w:val="20"/>
                <w:szCs w:val="20"/>
              </w:rPr>
            </w:pPr>
            <w:r w:rsidRPr="00D056A9">
              <w:rPr>
                <w:rFonts w:ascii="Arial Narrow" w:hAnsi="Arial Narrow"/>
                <w:color w:val="333333"/>
                <w:sz w:val="20"/>
                <w:szCs w:val="20"/>
              </w:rPr>
              <w:t>Remove</w:t>
            </w:r>
          </w:p>
        </w:tc>
        <w:tc>
          <w:tcPr>
            <w:tcW w:w="8086" w:type="dxa"/>
            <w:gridSpan w:val="6"/>
            <w:vAlign w:val="center"/>
          </w:tcPr>
          <w:p w14:paraId="2C105F98" w14:textId="68E22B0F" w:rsidR="00005D6B" w:rsidRPr="00005D6B" w:rsidRDefault="00005D6B" w:rsidP="00005D6B">
            <w:pPr>
              <w:rPr>
                <w:rFonts w:ascii="Arial Narrow" w:hAnsi="Arial Narrow"/>
                <w:strike/>
                <w:color w:val="FF00FF"/>
                <w:sz w:val="20"/>
                <w:szCs w:val="20"/>
              </w:rPr>
            </w:pPr>
            <w:r w:rsidRPr="00005D6B">
              <w:rPr>
                <w:rFonts w:ascii="Arial Narrow" w:hAnsi="Arial Narrow"/>
                <w:b/>
                <w:bCs/>
                <w:strike/>
                <w:color w:val="333333"/>
                <w:sz w:val="20"/>
                <w:szCs w:val="20"/>
              </w:rPr>
              <w:t xml:space="preserve">Prescribing Instructions: </w:t>
            </w:r>
            <w:r w:rsidRPr="00005D6B">
              <w:rPr>
                <w:rFonts w:ascii="Arial Narrow" w:hAnsi="Arial Narrow"/>
                <w:strike/>
                <w:color w:val="333333"/>
                <w:sz w:val="20"/>
                <w:szCs w:val="20"/>
              </w:rPr>
              <w:t>Neurologists prescribing natalizumab under the PBS listing must be registered with the Tysabri Australian Prescribing Program.</w:t>
            </w:r>
          </w:p>
        </w:tc>
      </w:tr>
    </w:tbl>
    <w:p w14:paraId="77FA9B49" w14:textId="77777777" w:rsidR="00F57E80" w:rsidRPr="00F57E80" w:rsidRDefault="00F57E80" w:rsidP="00F57E80">
      <w:pPr>
        <w:pStyle w:val="3Bodytext"/>
        <w:numPr>
          <w:ilvl w:val="0"/>
          <w:numId w:val="0"/>
        </w:numPr>
        <w:spacing w:after="0"/>
        <w:ind w:left="720" w:hanging="720"/>
        <w:rPr>
          <w:i/>
        </w:rPr>
      </w:pPr>
    </w:p>
    <w:p w14:paraId="7AB67C15" w14:textId="620FA504" w:rsidR="000D4972" w:rsidRPr="000D4972" w:rsidRDefault="000D4972" w:rsidP="000D4972">
      <w:pPr>
        <w:pStyle w:val="3Bodytext"/>
        <w:numPr>
          <w:ilvl w:val="0"/>
          <w:numId w:val="0"/>
        </w:numPr>
        <w:ind w:left="720"/>
        <w:jc w:val="both"/>
        <w:rPr>
          <w:i/>
          <w:iCs/>
        </w:rPr>
      </w:pPr>
      <w:r w:rsidRPr="003B47DA">
        <w:rPr>
          <w:i/>
          <w:iCs/>
        </w:rPr>
        <w:t xml:space="preserve">For more detail on PBAC’s view, see section </w:t>
      </w:r>
      <w:r>
        <w:rPr>
          <w:i/>
          <w:iCs/>
        </w:rPr>
        <w:t>5</w:t>
      </w:r>
      <w:r w:rsidRPr="003B47DA">
        <w:rPr>
          <w:i/>
          <w:iCs/>
        </w:rPr>
        <w:t xml:space="preserve"> PBAC outcome.</w:t>
      </w:r>
    </w:p>
    <w:p w14:paraId="0436B7D8" w14:textId="170F9CBA"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2A13BA2E" w14:textId="77777777" w:rsidR="00FD0C5D" w:rsidRDefault="00FD0C5D" w:rsidP="00FD0C5D">
      <w:pPr>
        <w:pStyle w:val="4-SubsectionHeading"/>
        <w:rPr>
          <w:lang w:eastAsia="en-US"/>
        </w:rPr>
      </w:pPr>
      <w:bookmarkStart w:id="1" w:name="_Hlk76375935"/>
      <w:r>
        <w:rPr>
          <w:lang w:eastAsia="en-US"/>
        </w:rPr>
        <w:t>Sponsor hearing</w:t>
      </w:r>
    </w:p>
    <w:p w14:paraId="51DA4BFB" w14:textId="77777777" w:rsidR="00FD0C5D" w:rsidRPr="00FD0C5D" w:rsidRDefault="00FD0C5D" w:rsidP="00FD0C5D">
      <w:pPr>
        <w:pStyle w:val="3Bodytext"/>
        <w:rPr>
          <w:rFonts w:ascii="Calibri" w:hAnsi="Calibri" w:cs="Calibri"/>
          <w:bCs/>
          <w:snapToGrid w:val="0"/>
        </w:rPr>
      </w:pPr>
      <w:r w:rsidRPr="00FD0C5D">
        <w:rPr>
          <w:rFonts w:ascii="Calibri" w:hAnsi="Calibri" w:cs="Calibri"/>
          <w:bCs/>
          <w:snapToGrid w:val="0"/>
        </w:rPr>
        <w:t>There was no hearing for this item.</w:t>
      </w:r>
    </w:p>
    <w:p w14:paraId="3EA1AAC9" w14:textId="77777777" w:rsidR="00FD0C5D" w:rsidRDefault="00FD0C5D" w:rsidP="00FD0C5D">
      <w:pPr>
        <w:pStyle w:val="4-SubsectionHeading"/>
        <w:rPr>
          <w:lang w:eastAsia="en-US"/>
        </w:rPr>
      </w:pPr>
      <w:r>
        <w:rPr>
          <w:lang w:eastAsia="en-US"/>
        </w:rPr>
        <w:t>Consumer comments</w:t>
      </w:r>
    </w:p>
    <w:p w14:paraId="5B21A940" w14:textId="77777777" w:rsidR="00FD0C5D" w:rsidRDefault="00FD0C5D" w:rsidP="00FD0C5D">
      <w:pPr>
        <w:pStyle w:val="3Bodytext"/>
        <w:rPr>
          <w:rFonts w:cs="Arial"/>
          <w:bCs/>
          <w:snapToGrid w:val="0"/>
        </w:rPr>
      </w:pPr>
      <w:bookmarkStart w:id="2" w:name="_Hlk76382618"/>
      <w:r>
        <w:rPr>
          <w:rFonts w:cs="Arial"/>
          <w:bCs/>
          <w:snapToGrid w:val="0"/>
        </w:rPr>
        <w:t xml:space="preserve"> The PBAC noted that no consumer comments were received for this item</w:t>
      </w:r>
      <w:bookmarkEnd w:id="1"/>
      <w:bookmarkEnd w:id="2"/>
      <w:r>
        <w:rPr>
          <w:rFonts w:cs="Arial"/>
          <w:bCs/>
          <w:snapToGrid w:val="0"/>
        </w:rPr>
        <w:t>.</w:t>
      </w:r>
    </w:p>
    <w:p w14:paraId="109EBF43" w14:textId="77777777" w:rsidR="00EA390A" w:rsidRPr="00EA390A" w:rsidRDefault="00EA390A" w:rsidP="00FD0C5D">
      <w:pPr>
        <w:pStyle w:val="4-SubsectionHeading"/>
        <w:rPr>
          <w:lang w:eastAsia="en-US"/>
        </w:rPr>
      </w:pPr>
      <w:r w:rsidRPr="009D507A">
        <w:rPr>
          <w:lang w:eastAsia="en-US"/>
        </w:rPr>
        <w:t>Estimated PBS utilisation and financial implications</w:t>
      </w:r>
    </w:p>
    <w:p w14:paraId="2DB67DF7" w14:textId="3026A3EF" w:rsidR="00A067BC" w:rsidRDefault="00A067BC" w:rsidP="00FD0C5D">
      <w:pPr>
        <w:pStyle w:val="3Bodytext"/>
      </w:pPr>
      <w:r>
        <w:t xml:space="preserve">The submission states that </w:t>
      </w:r>
      <w:r w:rsidR="00147FC9">
        <w:t>h</w:t>
      </w:r>
      <w:r w:rsidR="00106005" w:rsidRPr="00106005">
        <w:t xml:space="preserve">ealthcare professionals </w:t>
      </w:r>
      <w:r>
        <w:t xml:space="preserve">(HCP) are no longer </w:t>
      </w:r>
      <w:r w:rsidR="004E5D69">
        <w:t xml:space="preserve">required </w:t>
      </w:r>
      <w:r>
        <w:t xml:space="preserve">to be trained by the </w:t>
      </w:r>
      <w:r w:rsidRPr="00932D18">
        <w:t>TAPP</w:t>
      </w:r>
      <w:r w:rsidR="007A7B37" w:rsidRPr="00932D18">
        <w:t xml:space="preserve">. </w:t>
      </w:r>
      <w:r w:rsidR="007A7B37">
        <w:t xml:space="preserve">The submission also stated the proposed change to the </w:t>
      </w:r>
      <w:r w:rsidR="007A7B37" w:rsidRPr="007A7B37">
        <w:t xml:space="preserve">prescribing instructions </w:t>
      </w:r>
      <w:r w:rsidR="007A7B37">
        <w:t xml:space="preserve">will not impact patient safety of </w:t>
      </w:r>
      <w:r w:rsidR="00932D18">
        <w:t xml:space="preserve">the </w:t>
      </w:r>
      <w:r w:rsidR="007A7B37">
        <w:t>current listing</w:t>
      </w:r>
      <w:r w:rsidR="007A7B37" w:rsidRPr="00881CA1">
        <w:t>.</w:t>
      </w:r>
      <w:r w:rsidR="007A7B37">
        <w:t xml:space="preserve"> The </w:t>
      </w:r>
      <w:r w:rsidR="00932D18">
        <w:t>s</w:t>
      </w:r>
      <w:r w:rsidR="007A7B37">
        <w:t xml:space="preserve">ubmission </w:t>
      </w:r>
      <w:r w:rsidR="00133C36">
        <w:t xml:space="preserve">considers </w:t>
      </w:r>
      <w:r>
        <w:t>Physician Information and Management Guideline</w:t>
      </w:r>
      <w:r w:rsidR="00932D18">
        <w:t>,</w:t>
      </w:r>
      <w:r>
        <w:t xml:space="preserve"> and </w:t>
      </w:r>
      <w:r w:rsidR="00932D18">
        <w:t xml:space="preserve">the </w:t>
      </w:r>
      <w:r w:rsidR="00CB2E2C">
        <w:t>PI</w:t>
      </w:r>
      <w:r>
        <w:t xml:space="preserve"> </w:t>
      </w:r>
      <w:r w:rsidR="00133C36">
        <w:t xml:space="preserve">are </w:t>
      </w:r>
      <w:r>
        <w:t xml:space="preserve">sufficient </w:t>
      </w:r>
      <w:r w:rsidR="00133C36">
        <w:t>for HCP training.</w:t>
      </w:r>
    </w:p>
    <w:p w14:paraId="1508D376" w14:textId="5DA85A53" w:rsidR="006812EE" w:rsidRDefault="006812EE" w:rsidP="006812EE">
      <w:pPr>
        <w:pStyle w:val="3Bodytext"/>
      </w:pPr>
      <w:r>
        <w:lastRenderedPageBreak/>
        <w:t xml:space="preserve">The submission </w:t>
      </w:r>
      <w:r w:rsidR="00495D73">
        <w:t xml:space="preserve">stated </w:t>
      </w:r>
      <w:r>
        <w:t xml:space="preserve">there is no financial implication with the proposed change </w:t>
      </w:r>
      <w:r w:rsidR="00D13FE7">
        <w:t xml:space="preserve">and would result in a nil cost to Government. </w:t>
      </w:r>
    </w:p>
    <w:p w14:paraId="1E9E1B17" w14:textId="6AEA30CE" w:rsidR="000D4972" w:rsidRPr="000D4972" w:rsidRDefault="000D4972" w:rsidP="000D4972">
      <w:pPr>
        <w:pStyle w:val="3Bodytext"/>
        <w:numPr>
          <w:ilvl w:val="0"/>
          <w:numId w:val="0"/>
        </w:numPr>
        <w:ind w:left="720"/>
        <w:jc w:val="both"/>
        <w:rPr>
          <w:i/>
          <w:iCs/>
        </w:rPr>
      </w:pPr>
      <w:r w:rsidRPr="003B47DA">
        <w:rPr>
          <w:i/>
          <w:iCs/>
        </w:rPr>
        <w:t xml:space="preserve">For more detail on PBAC’s view, see section </w:t>
      </w:r>
      <w:r>
        <w:rPr>
          <w:i/>
          <w:iCs/>
        </w:rPr>
        <w:t xml:space="preserve">5 </w:t>
      </w:r>
      <w:r w:rsidRPr="003B47DA">
        <w:rPr>
          <w:i/>
          <w:iCs/>
        </w:rPr>
        <w:t>PBAC outcome.</w:t>
      </w:r>
    </w:p>
    <w:p w14:paraId="3F09D737" w14:textId="77777777" w:rsidR="00FD0C5D" w:rsidRDefault="00FD0C5D" w:rsidP="00FD0C5D">
      <w:pPr>
        <w:pStyle w:val="Heading1"/>
        <w:keepLines/>
        <w:numPr>
          <w:ilvl w:val="0"/>
          <w:numId w:val="2"/>
        </w:numPr>
        <w:spacing w:before="240"/>
        <w:ind w:left="709" w:hanging="709"/>
        <w:rPr>
          <w:sz w:val="32"/>
          <w:szCs w:val="32"/>
        </w:rPr>
      </w:pPr>
      <w:bookmarkStart w:id="3" w:name="_Hlk76381249"/>
      <w:bookmarkStart w:id="4" w:name="_Hlk76377955"/>
      <w:r w:rsidRPr="00FD0C5D">
        <w:rPr>
          <w:sz w:val="32"/>
          <w:szCs w:val="32"/>
        </w:rPr>
        <w:t>PBAC Outcome</w:t>
      </w:r>
    </w:p>
    <w:p w14:paraId="5D50C357" w14:textId="4B1F9CB2" w:rsidR="00EA34DE" w:rsidRPr="00EA34DE" w:rsidRDefault="00FD0C5D" w:rsidP="00DA42F5">
      <w:pPr>
        <w:pStyle w:val="3Bodytext"/>
        <w:rPr>
          <w:rFonts w:cs="Arial"/>
          <w:snapToGrid w:val="0"/>
          <w:lang w:val="en-GB"/>
        </w:rPr>
      </w:pPr>
      <w:r>
        <w:rPr>
          <w:rFonts w:cs="Arial"/>
          <w:snapToGrid w:val="0"/>
          <w:lang w:val="en-GB"/>
        </w:rPr>
        <w:t xml:space="preserve">The PBAC recommended </w:t>
      </w:r>
      <w:r w:rsidR="00EA34DE">
        <w:rPr>
          <w:rFonts w:cs="Arial"/>
          <w:snapToGrid w:val="0"/>
          <w:lang w:val="en-GB"/>
        </w:rPr>
        <w:t xml:space="preserve">removing </w:t>
      </w:r>
      <w:r w:rsidR="00EA34DE">
        <w:rPr>
          <w:rFonts w:cstheme="minorHAnsi"/>
          <w:iCs/>
          <w:color w:val="000000" w:themeColor="text1"/>
        </w:rPr>
        <w:t>the</w:t>
      </w:r>
      <w:r w:rsidR="00EA34DE" w:rsidRPr="00505330">
        <w:rPr>
          <w:rFonts w:cstheme="minorHAnsi"/>
          <w:iCs/>
          <w:color w:val="000000" w:themeColor="text1"/>
        </w:rPr>
        <w:t xml:space="preserve"> </w:t>
      </w:r>
      <w:r w:rsidR="00EA34DE">
        <w:rPr>
          <w:rFonts w:cstheme="minorHAnsi"/>
          <w:iCs/>
          <w:color w:val="000000" w:themeColor="text1"/>
        </w:rPr>
        <w:t xml:space="preserve">prescribing instruction </w:t>
      </w:r>
      <w:r w:rsidR="00EA34DE" w:rsidRPr="00CA7E47">
        <w:rPr>
          <w:rFonts w:cstheme="minorHAnsi"/>
          <w:iCs/>
          <w:color w:val="000000" w:themeColor="text1"/>
        </w:rPr>
        <w:t>‘Neurologists prescribing natalizumab under the PBS listing must be registered with the Tysabri Australian Prescribing Program’ from the circumstances under which natalizumab</w:t>
      </w:r>
      <w:r w:rsidR="00EA34DE">
        <w:rPr>
          <w:rFonts w:cstheme="minorHAnsi"/>
          <w:iCs/>
          <w:color w:val="000000" w:themeColor="text1"/>
        </w:rPr>
        <w:t xml:space="preserve"> (Tysabri®) is available on the PBS for the treatment of c</w:t>
      </w:r>
      <w:r w:rsidR="00EA34DE" w:rsidRPr="00F73241">
        <w:rPr>
          <w:rFonts w:cstheme="minorHAnsi"/>
          <w:iCs/>
          <w:color w:val="000000" w:themeColor="text1"/>
        </w:rPr>
        <w:t xml:space="preserve">linically definite relapsing-remitting </w:t>
      </w:r>
      <w:r w:rsidR="00EA34DE">
        <w:rPr>
          <w:rFonts w:cstheme="minorHAnsi"/>
          <w:iCs/>
          <w:color w:val="000000" w:themeColor="text1"/>
        </w:rPr>
        <w:t>MS.</w:t>
      </w:r>
    </w:p>
    <w:p w14:paraId="7EB33866" w14:textId="27B34628" w:rsidR="00EA34DE" w:rsidRDefault="00EA34DE" w:rsidP="00DA42F5">
      <w:pPr>
        <w:pStyle w:val="3Bodytext"/>
        <w:rPr>
          <w:snapToGrid w:val="0"/>
          <w:lang w:val="en-GB"/>
        </w:rPr>
      </w:pPr>
      <w:r w:rsidRPr="00EA34DE">
        <w:rPr>
          <w:snapToGrid w:val="0"/>
          <w:lang w:val="en-GB"/>
        </w:rPr>
        <w:t>The PBAC noted that the TGA had approved the revised Tysabri ASA</w:t>
      </w:r>
      <w:r>
        <w:rPr>
          <w:snapToGrid w:val="0"/>
          <w:lang w:val="en-GB"/>
        </w:rPr>
        <w:t xml:space="preserve">, confirming that </w:t>
      </w:r>
      <w:r w:rsidRPr="00EA34DE">
        <w:rPr>
          <w:snapToGrid w:val="0"/>
          <w:lang w:val="en-GB"/>
        </w:rPr>
        <w:t>healthcare professional training by use of the Physician Information and Management Guideline</w:t>
      </w:r>
      <w:r>
        <w:rPr>
          <w:snapToGrid w:val="0"/>
          <w:lang w:val="en-GB"/>
        </w:rPr>
        <w:t>,</w:t>
      </w:r>
      <w:r w:rsidRPr="00EA34DE">
        <w:rPr>
          <w:snapToGrid w:val="0"/>
          <w:lang w:val="en-GB"/>
        </w:rPr>
        <w:t xml:space="preserve"> and PI is sufficient.</w:t>
      </w:r>
    </w:p>
    <w:p w14:paraId="1B0C67CD" w14:textId="3FE88163" w:rsidR="00EA34DE" w:rsidRPr="00EA34DE" w:rsidRDefault="00EA34DE" w:rsidP="00DA42F5">
      <w:pPr>
        <w:pStyle w:val="3Bodytext"/>
        <w:widowControl w:val="0"/>
        <w:rPr>
          <w:rFonts w:eastAsia="Times New Roman" w:cs="Arial"/>
          <w:snapToGrid w:val="0"/>
          <w:szCs w:val="24"/>
          <w:lang w:val="en-GB"/>
        </w:rPr>
      </w:pPr>
      <w:r>
        <w:rPr>
          <w:rFonts w:eastAsia="Times New Roman" w:cs="Arial"/>
          <w:snapToGrid w:val="0"/>
          <w:szCs w:val="24"/>
          <w:lang w:val="en-GB"/>
        </w:rPr>
        <w:t>The PBAC noted the change in restrictions would have nil financial implication.</w:t>
      </w:r>
    </w:p>
    <w:p w14:paraId="1A19F896" w14:textId="1CEAC021" w:rsidR="00BC5446" w:rsidRDefault="00BC5446" w:rsidP="00DA42F5">
      <w:pPr>
        <w:pStyle w:val="3Bodytext"/>
      </w:pPr>
      <w:r w:rsidRPr="009274A6">
        <w:t xml:space="preserve">The PBAC noted </w:t>
      </w:r>
      <w:r w:rsidR="00EA34DE">
        <w:t xml:space="preserve">the change in </w:t>
      </w:r>
      <w:r w:rsidR="00EA34DE">
        <w:rPr>
          <w:iCs/>
        </w:rPr>
        <w:t>natalizumab restrictions</w:t>
      </w:r>
      <w:r>
        <w:rPr>
          <w:iCs/>
        </w:rPr>
        <w:t xml:space="preserve"> </w:t>
      </w:r>
      <w:r w:rsidRPr="009274A6">
        <w:t xml:space="preserve">is not expected to provide a substantial and clinically relevant improvement in efficacy, or reduction of toxicity, or not expected to address a high and </w:t>
      </w:r>
      <w:r w:rsidRPr="00BC5446">
        <w:rPr>
          <w:rFonts w:cs="Arial"/>
          <w:snapToGrid w:val="0"/>
          <w:lang w:val="en-GB"/>
        </w:rPr>
        <w:t>urgent</w:t>
      </w:r>
      <w:r w:rsidRPr="009274A6">
        <w:t xml:space="preserve"> unmet clinical need, the criteria prescribed by the </w:t>
      </w:r>
      <w:r w:rsidRPr="00754832">
        <w:rPr>
          <w:i/>
          <w:iCs/>
        </w:rPr>
        <w:t>National Health (Pharmaceuticals and Vaccines – Cost Recovery) Regulations 20</w:t>
      </w:r>
      <w:r w:rsidR="00584AD9">
        <w:rPr>
          <w:i/>
          <w:iCs/>
        </w:rPr>
        <w:t>22</w:t>
      </w:r>
      <w:r w:rsidRPr="00754832">
        <w:rPr>
          <w:i/>
          <w:iCs/>
        </w:rPr>
        <w:t xml:space="preserve"> </w:t>
      </w:r>
      <w:r w:rsidRPr="009274A6">
        <w:t>for Pricing Pathway A were not met</w:t>
      </w:r>
      <w:r>
        <w:t>.</w:t>
      </w:r>
    </w:p>
    <w:p w14:paraId="68C51B62" w14:textId="77777777" w:rsidR="00FD0C5D" w:rsidRPr="00FD0C5D" w:rsidRDefault="00FD0C5D" w:rsidP="00DA42F5">
      <w:pPr>
        <w:pStyle w:val="3Bodytext"/>
        <w:rPr>
          <w:rFonts w:cs="Arial"/>
          <w:b/>
          <w:bCs/>
          <w:snapToGrid w:val="0"/>
          <w:lang w:val="en-GB"/>
        </w:rPr>
      </w:pPr>
      <w:r>
        <w:rPr>
          <w:rFonts w:cs="Arial"/>
          <w:bCs/>
          <w:snapToGrid w:val="0"/>
          <w:lang w:val="en-GB"/>
        </w:rPr>
        <w:t xml:space="preserve">The PBAC noted that this submission is not eligible for an Independent Review as it received a positive recommendation. </w:t>
      </w:r>
    </w:p>
    <w:p w14:paraId="7ACA7B6B" w14:textId="62B22F15" w:rsidR="00FD0C5D" w:rsidRDefault="00FD0C5D" w:rsidP="00FD0C5D">
      <w:pPr>
        <w:widowControl w:val="0"/>
        <w:spacing w:after="120"/>
        <w:rPr>
          <w:rFonts w:asciiTheme="minorHAnsi" w:hAnsiTheme="minorHAnsi" w:cs="Arial"/>
          <w:b/>
          <w:bCs/>
          <w:snapToGrid w:val="0"/>
          <w:lang w:val="en-GB"/>
        </w:rPr>
      </w:pPr>
      <w:r>
        <w:rPr>
          <w:rFonts w:asciiTheme="minorHAnsi" w:hAnsiTheme="minorHAnsi" w:cs="Arial"/>
          <w:b/>
          <w:bCs/>
          <w:snapToGrid w:val="0"/>
          <w:lang w:val="en-GB"/>
        </w:rPr>
        <w:t>Outcome:</w:t>
      </w:r>
    </w:p>
    <w:p w14:paraId="6F7C1A0E" w14:textId="5896F6A2" w:rsidR="00FD0C5D" w:rsidRPr="00FD0C5D" w:rsidRDefault="00FD0C5D" w:rsidP="00FD0C5D">
      <w:pPr>
        <w:spacing w:after="120"/>
        <w:rPr>
          <w:rFonts w:asciiTheme="minorHAnsi" w:hAnsiTheme="minorHAnsi" w:cs="Arial"/>
          <w:bCs/>
          <w:snapToGrid w:val="0"/>
          <w:lang w:val="en-GB"/>
        </w:rPr>
      </w:pPr>
      <w:r>
        <w:rPr>
          <w:rFonts w:asciiTheme="minorHAnsi" w:hAnsiTheme="minorHAnsi" w:cs="Arial"/>
          <w:bCs/>
          <w:snapToGrid w:val="0"/>
          <w:lang w:val="en-GB"/>
        </w:rPr>
        <w:t xml:space="preserve">Recommended </w:t>
      </w:r>
    </w:p>
    <w:bookmarkEnd w:id="3"/>
    <w:p w14:paraId="696F11C0" w14:textId="77777777" w:rsidR="00FD0C5D" w:rsidRPr="00FD0C5D" w:rsidRDefault="00FD0C5D" w:rsidP="00FD0C5D">
      <w:pPr>
        <w:pStyle w:val="Heading1"/>
        <w:keepLines/>
        <w:numPr>
          <w:ilvl w:val="0"/>
          <w:numId w:val="2"/>
        </w:numPr>
        <w:spacing w:before="240"/>
        <w:ind w:left="709" w:hanging="709"/>
        <w:rPr>
          <w:sz w:val="32"/>
          <w:szCs w:val="32"/>
        </w:rPr>
      </w:pPr>
      <w:r w:rsidRPr="00FD0C5D">
        <w:rPr>
          <w:sz w:val="32"/>
          <w:szCs w:val="32"/>
        </w:rPr>
        <w:t>Recommended listing</w:t>
      </w:r>
    </w:p>
    <w:p w14:paraId="206EEF06" w14:textId="02963E40" w:rsidR="00FD0C5D" w:rsidRPr="00FD0C5D" w:rsidRDefault="00FD0C5D" w:rsidP="00DA42F5">
      <w:pPr>
        <w:pStyle w:val="3Bodytext"/>
        <w:rPr>
          <w:rFonts w:cs="Arial"/>
          <w:bCs/>
          <w:snapToGrid w:val="0"/>
        </w:rPr>
      </w:pPr>
      <w:r w:rsidRPr="00FD0C5D">
        <w:rPr>
          <w:rFonts w:cs="Arial"/>
          <w:bCs/>
          <w:snapToGrid w:val="0"/>
        </w:rPr>
        <w:t>Amend existing listing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851"/>
        <w:gridCol w:w="708"/>
        <w:gridCol w:w="1701"/>
      </w:tblGrid>
      <w:tr w:rsidR="00FD0C5D" w:rsidRPr="00005D6B" w14:paraId="0610D87A" w14:textId="77777777" w:rsidTr="00676252">
        <w:trPr>
          <w:cantSplit/>
          <w:trHeight w:val="471"/>
        </w:trPr>
        <w:tc>
          <w:tcPr>
            <w:tcW w:w="3964" w:type="dxa"/>
            <w:gridSpan w:val="2"/>
          </w:tcPr>
          <w:bookmarkEnd w:id="4"/>
          <w:p w14:paraId="099615CE" w14:textId="77777777" w:rsidR="00FD0C5D" w:rsidRPr="00DA42F5" w:rsidRDefault="00FD0C5D" w:rsidP="00676252">
            <w:pPr>
              <w:keepNext/>
              <w:ind w:left="-57"/>
              <w:rPr>
                <w:rFonts w:ascii="Arial Narrow" w:hAnsi="Arial Narrow" w:cs="Arial"/>
                <w:b/>
                <w:bCs/>
                <w:sz w:val="20"/>
                <w:szCs w:val="20"/>
              </w:rPr>
            </w:pPr>
            <w:r w:rsidRPr="00DA42F5">
              <w:rPr>
                <w:rFonts w:ascii="Arial Narrow" w:hAnsi="Arial Narrow" w:cs="Arial"/>
                <w:b/>
                <w:bCs/>
                <w:sz w:val="20"/>
                <w:szCs w:val="20"/>
              </w:rPr>
              <w:t>MEDICINAL PRODUCT</w:t>
            </w:r>
          </w:p>
          <w:p w14:paraId="5DCF25E6" w14:textId="77777777" w:rsidR="00FD0C5D" w:rsidRPr="00DA42F5" w:rsidRDefault="00FD0C5D" w:rsidP="00676252">
            <w:pPr>
              <w:keepNext/>
              <w:ind w:left="-57"/>
              <w:rPr>
                <w:rFonts w:ascii="Arial Narrow" w:hAnsi="Arial Narrow" w:cs="Arial"/>
                <w:b/>
                <w:sz w:val="20"/>
                <w:szCs w:val="20"/>
              </w:rPr>
            </w:pPr>
            <w:r w:rsidRPr="00DA42F5">
              <w:rPr>
                <w:rFonts w:ascii="Arial Narrow" w:hAnsi="Arial Narrow" w:cs="Arial"/>
                <w:b/>
                <w:bCs/>
                <w:sz w:val="20"/>
                <w:szCs w:val="20"/>
              </w:rPr>
              <w:t>medicinal product pack</w:t>
            </w:r>
          </w:p>
        </w:tc>
        <w:tc>
          <w:tcPr>
            <w:tcW w:w="993" w:type="dxa"/>
          </w:tcPr>
          <w:p w14:paraId="6EEDCCE2" w14:textId="77777777" w:rsidR="00FD0C5D" w:rsidRPr="00DA42F5" w:rsidRDefault="00FD0C5D" w:rsidP="00676252">
            <w:pPr>
              <w:keepNext/>
              <w:ind w:left="-108"/>
              <w:jc w:val="center"/>
              <w:rPr>
                <w:rFonts w:ascii="Arial Narrow" w:hAnsi="Arial Narrow" w:cs="Arial"/>
                <w:b/>
                <w:sz w:val="20"/>
                <w:szCs w:val="20"/>
              </w:rPr>
            </w:pPr>
            <w:r w:rsidRPr="00DA42F5">
              <w:rPr>
                <w:rFonts w:ascii="Arial Narrow" w:hAnsi="Arial Narrow" w:cs="Arial"/>
                <w:b/>
                <w:sz w:val="20"/>
                <w:szCs w:val="20"/>
              </w:rPr>
              <w:t>PBS item code</w:t>
            </w:r>
          </w:p>
        </w:tc>
        <w:tc>
          <w:tcPr>
            <w:tcW w:w="850" w:type="dxa"/>
          </w:tcPr>
          <w:p w14:paraId="33D9DC42" w14:textId="77777777" w:rsidR="00FD0C5D" w:rsidRPr="00DA42F5" w:rsidRDefault="00FD0C5D" w:rsidP="00676252">
            <w:pPr>
              <w:keepNext/>
              <w:ind w:left="-108"/>
              <w:jc w:val="center"/>
              <w:rPr>
                <w:rFonts w:ascii="Arial Narrow" w:hAnsi="Arial Narrow" w:cs="Arial"/>
                <w:b/>
                <w:sz w:val="20"/>
                <w:szCs w:val="20"/>
              </w:rPr>
            </w:pPr>
            <w:r w:rsidRPr="00DA42F5">
              <w:rPr>
                <w:rFonts w:ascii="Arial Narrow" w:hAnsi="Arial Narrow" w:cs="Arial"/>
                <w:b/>
                <w:sz w:val="20"/>
                <w:szCs w:val="20"/>
              </w:rPr>
              <w:t>Max. qty packs</w:t>
            </w:r>
          </w:p>
        </w:tc>
        <w:tc>
          <w:tcPr>
            <w:tcW w:w="851" w:type="dxa"/>
          </w:tcPr>
          <w:p w14:paraId="47E3A804" w14:textId="77777777" w:rsidR="00FD0C5D" w:rsidRPr="00DA42F5" w:rsidRDefault="00FD0C5D" w:rsidP="00676252">
            <w:pPr>
              <w:keepNext/>
              <w:ind w:left="-108"/>
              <w:jc w:val="center"/>
              <w:rPr>
                <w:rFonts w:ascii="Arial Narrow" w:hAnsi="Arial Narrow" w:cs="Arial"/>
                <w:b/>
                <w:sz w:val="20"/>
                <w:szCs w:val="20"/>
              </w:rPr>
            </w:pPr>
            <w:r w:rsidRPr="00DA42F5">
              <w:rPr>
                <w:rFonts w:ascii="Arial Narrow" w:hAnsi="Arial Narrow" w:cs="Arial"/>
                <w:b/>
                <w:sz w:val="20"/>
                <w:szCs w:val="20"/>
              </w:rPr>
              <w:t>Max. qty units</w:t>
            </w:r>
          </w:p>
        </w:tc>
        <w:tc>
          <w:tcPr>
            <w:tcW w:w="708" w:type="dxa"/>
          </w:tcPr>
          <w:p w14:paraId="03B18BB5" w14:textId="77777777" w:rsidR="00FD0C5D" w:rsidRPr="00DA42F5" w:rsidRDefault="00FD0C5D" w:rsidP="00676252">
            <w:pPr>
              <w:keepNext/>
              <w:ind w:left="-108"/>
              <w:jc w:val="center"/>
              <w:rPr>
                <w:rFonts w:ascii="Arial Narrow" w:hAnsi="Arial Narrow" w:cs="Arial"/>
                <w:b/>
                <w:sz w:val="20"/>
                <w:szCs w:val="20"/>
              </w:rPr>
            </w:pPr>
            <w:r w:rsidRPr="00DA42F5">
              <w:rPr>
                <w:rFonts w:ascii="Arial Narrow" w:hAnsi="Arial Narrow" w:cs="Arial"/>
                <w:b/>
                <w:sz w:val="20"/>
                <w:szCs w:val="20"/>
              </w:rPr>
              <w:t>№.of</w:t>
            </w:r>
          </w:p>
          <w:p w14:paraId="4D494198" w14:textId="77777777" w:rsidR="00FD0C5D" w:rsidRPr="00DA42F5" w:rsidRDefault="00FD0C5D" w:rsidP="00676252">
            <w:pPr>
              <w:keepNext/>
              <w:ind w:left="-108"/>
              <w:jc w:val="center"/>
              <w:rPr>
                <w:rFonts w:ascii="Arial Narrow" w:hAnsi="Arial Narrow" w:cs="Arial"/>
                <w:b/>
                <w:sz w:val="20"/>
                <w:szCs w:val="20"/>
              </w:rPr>
            </w:pPr>
            <w:r w:rsidRPr="00DA42F5">
              <w:rPr>
                <w:rFonts w:ascii="Arial Narrow" w:hAnsi="Arial Narrow" w:cs="Arial"/>
                <w:b/>
                <w:sz w:val="20"/>
                <w:szCs w:val="20"/>
              </w:rPr>
              <w:t>Rpts</w:t>
            </w:r>
          </w:p>
        </w:tc>
        <w:tc>
          <w:tcPr>
            <w:tcW w:w="1701" w:type="dxa"/>
          </w:tcPr>
          <w:p w14:paraId="0E664FD2" w14:textId="77777777" w:rsidR="00FD0C5D" w:rsidRPr="00DA42F5" w:rsidRDefault="00FD0C5D" w:rsidP="00676252">
            <w:pPr>
              <w:keepNext/>
              <w:rPr>
                <w:rFonts w:ascii="Arial Narrow" w:hAnsi="Arial Narrow" w:cs="Arial"/>
                <w:b/>
                <w:sz w:val="20"/>
                <w:szCs w:val="20"/>
                <w:lang w:val="fr-FR"/>
              </w:rPr>
            </w:pPr>
            <w:r w:rsidRPr="00DA42F5">
              <w:rPr>
                <w:rFonts w:ascii="Arial Narrow" w:hAnsi="Arial Narrow" w:cs="Arial"/>
                <w:b/>
                <w:sz w:val="20"/>
                <w:szCs w:val="20"/>
              </w:rPr>
              <w:t>Available brands</w:t>
            </w:r>
          </w:p>
        </w:tc>
      </w:tr>
      <w:tr w:rsidR="00FD0C5D" w:rsidRPr="00005D6B" w14:paraId="66AB69F2" w14:textId="77777777" w:rsidTr="00676252">
        <w:trPr>
          <w:cantSplit/>
          <w:trHeight w:val="224"/>
        </w:trPr>
        <w:tc>
          <w:tcPr>
            <w:tcW w:w="9067" w:type="dxa"/>
            <w:gridSpan w:val="7"/>
          </w:tcPr>
          <w:p w14:paraId="4F4D61BD" w14:textId="77777777" w:rsidR="00FD0C5D" w:rsidRPr="00DA42F5" w:rsidRDefault="00FD0C5D" w:rsidP="00676252">
            <w:pPr>
              <w:keepNext/>
              <w:ind w:left="-57"/>
              <w:rPr>
                <w:rFonts w:ascii="Arial Narrow" w:hAnsi="Arial Narrow" w:cs="Arial"/>
                <w:sz w:val="20"/>
                <w:szCs w:val="20"/>
              </w:rPr>
            </w:pPr>
            <w:r w:rsidRPr="00DA42F5">
              <w:rPr>
                <w:rFonts w:ascii="Arial Narrow" w:hAnsi="Arial Narrow" w:cs="Arial"/>
                <w:sz w:val="20"/>
                <w:szCs w:val="20"/>
              </w:rPr>
              <w:t>NATALIZUMAB</w:t>
            </w:r>
          </w:p>
        </w:tc>
      </w:tr>
      <w:tr w:rsidR="00FD0C5D" w:rsidRPr="00005D6B" w14:paraId="6242BCDC" w14:textId="77777777" w:rsidTr="00676252">
        <w:trPr>
          <w:cantSplit/>
          <w:trHeight w:val="553"/>
        </w:trPr>
        <w:tc>
          <w:tcPr>
            <w:tcW w:w="3964" w:type="dxa"/>
            <w:gridSpan w:val="2"/>
          </w:tcPr>
          <w:p w14:paraId="590C6465" w14:textId="77777777" w:rsidR="00FD0C5D" w:rsidRPr="00DA42F5" w:rsidRDefault="00FD0C5D" w:rsidP="00676252">
            <w:pPr>
              <w:keepNext/>
              <w:ind w:left="-57"/>
              <w:rPr>
                <w:rFonts w:ascii="Arial Narrow" w:hAnsi="Arial Narrow" w:cs="Arial"/>
                <w:sz w:val="20"/>
                <w:szCs w:val="20"/>
              </w:rPr>
            </w:pPr>
            <w:r w:rsidRPr="00DA42F5">
              <w:rPr>
                <w:rFonts w:ascii="Arial Narrow" w:hAnsi="Arial Narrow" w:cs="Arial"/>
                <w:sz w:val="20"/>
                <w:szCs w:val="20"/>
              </w:rPr>
              <w:t>natalizumab 300 mg/15 mL injection, 15 mL vial</w:t>
            </w:r>
          </w:p>
        </w:tc>
        <w:tc>
          <w:tcPr>
            <w:tcW w:w="993" w:type="dxa"/>
          </w:tcPr>
          <w:p w14:paraId="4B745DB8" w14:textId="77777777" w:rsidR="00FD0C5D" w:rsidRPr="00DA42F5" w:rsidRDefault="00FD0C5D" w:rsidP="00676252">
            <w:pPr>
              <w:keepNext/>
              <w:jc w:val="center"/>
              <w:rPr>
                <w:rFonts w:ascii="Arial Narrow" w:hAnsi="Arial Narrow" w:cs="Arial"/>
                <w:sz w:val="20"/>
                <w:szCs w:val="20"/>
              </w:rPr>
            </w:pPr>
            <w:r w:rsidRPr="00DA42F5">
              <w:rPr>
                <w:rFonts w:ascii="Arial Narrow" w:hAnsi="Arial Narrow" w:cs="Arial"/>
                <w:sz w:val="20"/>
                <w:szCs w:val="20"/>
              </w:rPr>
              <w:t>9505G</w:t>
            </w:r>
          </w:p>
          <w:p w14:paraId="4A3C2C51" w14:textId="77777777" w:rsidR="00FD0C5D" w:rsidRPr="00DA42F5" w:rsidRDefault="00FD0C5D" w:rsidP="00676252">
            <w:pPr>
              <w:keepNext/>
              <w:jc w:val="center"/>
              <w:rPr>
                <w:rFonts w:ascii="Arial Narrow" w:hAnsi="Arial Narrow" w:cs="Arial"/>
                <w:sz w:val="20"/>
                <w:szCs w:val="20"/>
              </w:rPr>
            </w:pPr>
            <w:r w:rsidRPr="00DA42F5">
              <w:rPr>
                <w:rFonts w:ascii="Arial Narrow" w:hAnsi="Arial Narrow" w:cs="Arial"/>
                <w:sz w:val="20"/>
                <w:szCs w:val="20"/>
              </w:rPr>
              <w:t>9624M</w:t>
            </w:r>
          </w:p>
        </w:tc>
        <w:tc>
          <w:tcPr>
            <w:tcW w:w="850" w:type="dxa"/>
          </w:tcPr>
          <w:p w14:paraId="017CFC6A" w14:textId="77777777" w:rsidR="00FD0C5D" w:rsidRPr="00DA42F5" w:rsidRDefault="00FD0C5D" w:rsidP="00676252">
            <w:pPr>
              <w:keepNext/>
              <w:jc w:val="center"/>
              <w:rPr>
                <w:rFonts w:ascii="Arial Narrow" w:hAnsi="Arial Narrow" w:cs="Arial"/>
                <w:sz w:val="20"/>
                <w:szCs w:val="20"/>
              </w:rPr>
            </w:pPr>
            <w:r w:rsidRPr="00DA42F5">
              <w:rPr>
                <w:rFonts w:ascii="Arial Narrow" w:hAnsi="Arial Narrow" w:cs="Arial"/>
                <w:sz w:val="20"/>
                <w:szCs w:val="20"/>
              </w:rPr>
              <w:t>1</w:t>
            </w:r>
          </w:p>
        </w:tc>
        <w:tc>
          <w:tcPr>
            <w:tcW w:w="851" w:type="dxa"/>
          </w:tcPr>
          <w:p w14:paraId="32EC31F2" w14:textId="77777777" w:rsidR="00FD0C5D" w:rsidRPr="00DA42F5" w:rsidRDefault="00FD0C5D" w:rsidP="00676252">
            <w:pPr>
              <w:keepNext/>
              <w:jc w:val="center"/>
              <w:rPr>
                <w:rFonts w:ascii="Arial Narrow" w:hAnsi="Arial Narrow" w:cs="Arial"/>
                <w:sz w:val="20"/>
                <w:szCs w:val="20"/>
              </w:rPr>
            </w:pPr>
            <w:r w:rsidRPr="00DA42F5">
              <w:rPr>
                <w:rFonts w:ascii="Arial Narrow" w:hAnsi="Arial Narrow" w:cs="Arial"/>
                <w:sz w:val="20"/>
                <w:szCs w:val="20"/>
              </w:rPr>
              <w:t>1</w:t>
            </w:r>
          </w:p>
        </w:tc>
        <w:tc>
          <w:tcPr>
            <w:tcW w:w="708" w:type="dxa"/>
          </w:tcPr>
          <w:p w14:paraId="2A44D6AD" w14:textId="77777777" w:rsidR="00FD0C5D" w:rsidRPr="00DA42F5" w:rsidRDefault="00FD0C5D" w:rsidP="00676252">
            <w:pPr>
              <w:keepNext/>
              <w:jc w:val="center"/>
              <w:rPr>
                <w:rFonts w:ascii="Arial Narrow" w:hAnsi="Arial Narrow" w:cs="Arial"/>
                <w:sz w:val="20"/>
                <w:szCs w:val="20"/>
              </w:rPr>
            </w:pPr>
            <w:r w:rsidRPr="00DA42F5">
              <w:rPr>
                <w:rFonts w:ascii="Arial Narrow" w:hAnsi="Arial Narrow" w:cs="Arial"/>
                <w:sz w:val="20"/>
                <w:szCs w:val="20"/>
              </w:rPr>
              <w:t>5</w:t>
            </w:r>
          </w:p>
        </w:tc>
        <w:tc>
          <w:tcPr>
            <w:tcW w:w="1701" w:type="dxa"/>
          </w:tcPr>
          <w:p w14:paraId="2DEC6DF3" w14:textId="77777777" w:rsidR="00FD0C5D" w:rsidRPr="00DA42F5" w:rsidRDefault="00FD0C5D" w:rsidP="00676252">
            <w:pPr>
              <w:keepNext/>
              <w:rPr>
                <w:rFonts w:ascii="Arial Narrow" w:hAnsi="Arial Narrow" w:cs="Arial"/>
                <w:sz w:val="20"/>
                <w:szCs w:val="20"/>
              </w:rPr>
            </w:pPr>
            <w:r w:rsidRPr="00DA42F5">
              <w:rPr>
                <w:rFonts w:ascii="Arial Narrow" w:hAnsi="Arial Narrow" w:cs="Arial"/>
                <w:sz w:val="20"/>
                <w:szCs w:val="20"/>
              </w:rPr>
              <w:t>Tysabri</w:t>
            </w:r>
          </w:p>
        </w:tc>
      </w:tr>
      <w:tr w:rsidR="00FD0C5D" w:rsidRPr="00005D6B" w14:paraId="778C3D75" w14:textId="77777777" w:rsidTr="0067625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554213F" w14:textId="77777777" w:rsidR="00FD0C5D" w:rsidRPr="00DA42F5" w:rsidRDefault="00FD0C5D" w:rsidP="00676252">
            <w:pPr>
              <w:rPr>
                <w:rFonts w:ascii="Arial Narrow" w:hAnsi="Arial Narrow" w:cs="Arial"/>
                <w:sz w:val="20"/>
                <w:szCs w:val="20"/>
              </w:rPr>
            </w:pPr>
          </w:p>
        </w:tc>
      </w:tr>
      <w:tr w:rsidR="00FD0C5D" w:rsidRPr="00005D6B" w14:paraId="660484F7" w14:textId="77777777" w:rsidTr="0067625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A1EADF5" w14:textId="77777777" w:rsidR="00FD0C5D" w:rsidRPr="00DA42F5" w:rsidRDefault="00FD0C5D" w:rsidP="00676252">
            <w:pPr>
              <w:rPr>
                <w:rFonts w:ascii="Arial Narrow" w:hAnsi="Arial Narrow" w:cs="Arial"/>
                <w:b/>
                <w:sz w:val="20"/>
                <w:szCs w:val="20"/>
              </w:rPr>
            </w:pPr>
            <w:r w:rsidRPr="00DA42F5">
              <w:rPr>
                <w:rFonts w:ascii="Arial Narrow" w:hAnsi="Arial Narrow"/>
                <w:b/>
                <w:sz w:val="20"/>
                <w:szCs w:val="20"/>
              </w:rPr>
              <w:t>Restriction Summary 9830 / Treatment of Concept: 9818</w:t>
            </w:r>
          </w:p>
        </w:tc>
      </w:tr>
      <w:tr w:rsidR="00FD0C5D" w:rsidRPr="00005D6B" w14:paraId="76F52B9D" w14:textId="77777777" w:rsidTr="00676252">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5129DBE3" w14:textId="64BEEDCB" w:rsidR="00FD0C5D" w:rsidRPr="00DA42F5" w:rsidRDefault="00FD0C5D" w:rsidP="00676252">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DE57638" w14:textId="77777777" w:rsidR="00FD0C5D" w:rsidRPr="00DA42F5" w:rsidRDefault="00FD0C5D" w:rsidP="00676252">
            <w:pPr>
              <w:rPr>
                <w:rFonts w:ascii="Arial Narrow" w:hAnsi="Arial Narrow" w:cs="Arial"/>
                <w:sz w:val="20"/>
                <w:szCs w:val="20"/>
              </w:rPr>
            </w:pPr>
            <w:r w:rsidRPr="00DA42F5">
              <w:rPr>
                <w:rFonts w:ascii="Arial Narrow" w:hAnsi="Arial Narrow" w:cs="Arial"/>
                <w:b/>
                <w:sz w:val="20"/>
                <w:szCs w:val="20"/>
              </w:rPr>
              <w:t xml:space="preserve">Category / Program: </w:t>
            </w:r>
            <w:r w:rsidRPr="00DA42F5">
              <w:rPr>
                <w:rFonts w:ascii="Arial Narrow" w:hAnsi="Arial Narrow" w:cs="Arial"/>
                <w:sz w:val="20"/>
                <w:szCs w:val="20"/>
              </w:rPr>
              <w:t>Section 100 – Highly Specialised Drugs Program (HB)</w:t>
            </w:r>
          </w:p>
        </w:tc>
      </w:tr>
      <w:tr w:rsidR="00FD0C5D" w:rsidRPr="00005D6B" w14:paraId="3D210A4A" w14:textId="77777777" w:rsidTr="00676252">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6972E1B" w14:textId="77777777" w:rsidR="00FD0C5D" w:rsidRPr="00DA42F5" w:rsidRDefault="00FD0C5D" w:rsidP="00676252">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0D09640" w14:textId="77777777" w:rsidR="00FD0C5D" w:rsidRPr="00DA42F5" w:rsidRDefault="00FD0C5D" w:rsidP="00676252">
            <w:pPr>
              <w:rPr>
                <w:rFonts w:ascii="Arial Narrow" w:hAnsi="Arial Narrow" w:cs="Arial"/>
                <w:b/>
                <w:sz w:val="20"/>
                <w:szCs w:val="20"/>
              </w:rPr>
            </w:pPr>
            <w:r w:rsidRPr="00DA42F5">
              <w:rPr>
                <w:rFonts w:ascii="Arial Narrow" w:hAnsi="Arial Narrow" w:cs="Arial"/>
                <w:b/>
                <w:sz w:val="20"/>
                <w:szCs w:val="20"/>
              </w:rPr>
              <w:t xml:space="preserve">Prescriber type: </w:t>
            </w:r>
            <w:r w:rsidRPr="00DA42F5">
              <w:rPr>
                <w:rFonts w:ascii="Arial Narrow" w:hAnsi="Arial Narrow" w:cs="Arial"/>
                <w:sz w:val="20"/>
                <w:szCs w:val="20"/>
              </w:rPr>
              <w:fldChar w:fldCharType="begin">
                <w:ffData>
                  <w:name w:val=""/>
                  <w:enabled/>
                  <w:calcOnExit w:val="0"/>
                  <w:checkBox>
                    <w:sizeAuto/>
                    <w:default w:val="1"/>
                  </w:checkBox>
                </w:ffData>
              </w:fldChar>
            </w:r>
            <w:r w:rsidRPr="00DA42F5">
              <w:rPr>
                <w:rFonts w:ascii="Arial Narrow" w:hAnsi="Arial Narrow" w:cs="Arial"/>
                <w:sz w:val="20"/>
                <w:szCs w:val="20"/>
              </w:rPr>
              <w:instrText xml:space="preserve"> FORMCHECKBOX </w:instrText>
            </w:r>
            <w:r w:rsidR="00BE0D79">
              <w:rPr>
                <w:rFonts w:ascii="Arial Narrow" w:hAnsi="Arial Narrow" w:cs="Arial"/>
                <w:sz w:val="20"/>
                <w:szCs w:val="20"/>
              </w:rPr>
            </w:r>
            <w:r w:rsidR="00BE0D79">
              <w:rPr>
                <w:rFonts w:ascii="Arial Narrow" w:hAnsi="Arial Narrow" w:cs="Arial"/>
                <w:sz w:val="20"/>
                <w:szCs w:val="20"/>
              </w:rPr>
              <w:fldChar w:fldCharType="separate"/>
            </w:r>
            <w:r w:rsidRPr="00DA42F5">
              <w:rPr>
                <w:rFonts w:ascii="Arial Narrow" w:hAnsi="Arial Narrow" w:cs="Arial"/>
                <w:sz w:val="20"/>
                <w:szCs w:val="20"/>
              </w:rPr>
              <w:fldChar w:fldCharType="end"/>
            </w:r>
            <w:r w:rsidRPr="00DA42F5">
              <w:rPr>
                <w:rFonts w:ascii="Arial Narrow" w:hAnsi="Arial Narrow" w:cs="Arial"/>
                <w:sz w:val="20"/>
                <w:szCs w:val="20"/>
              </w:rPr>
              <w:t xml:space="preserve">Medical Practitioners </w:t>
            </w:r>
          </w:p>
        </w:tc>
      </w:tr>
      <w:tr w:rsidR="00FD0C5D" w:rsidRPr="00005D6B" w14:paraId="13C698A8" w14:textId="77777777" w:rsidTr="00676252">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37948815" w14:textId="77777777" w:rsidR="00FD0C5D" w:rsidRPr="00DA42F5" w:rsidRDefault="00FD0C5D" w:rsidP="00676252">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835673E" w14:textId="77777777" w:rsidR="00FD0C5D" w:rsidRPr="00DA42F5" w:rsidRDefault="00FD0C5D" w:rsidP="00676252">
            <w:pPr>
              <w:rPr>
                <w:rFonts w:ascii="Arial Narrow" w:eastAsia="Calibri" w:hAnsi="Arial Narrow" w:cs="Arial"/>
                <w:sz w:val="20"/>
                <w:szCs w:val="20"/>
              </w:rPr>
            </w:pPr>
            <w:r w:rsidRPr="00DA42F5">
              <w:rPr>
                <w:rFonts w:ascii="Arial Narrow" w:hAnsi="Arial Narrow" w:cs="Arial"/>
                <w:b/>
                <w:sz w:val="20"/>
                <w:szCs w:val="20"/>
              </w:rPr>
              <w:t xml:space="preserve">Restriction type: </w:t>
            </w:r>
            <w:r w:rsidRPr="00DA42F5">
              <w:rPr>
                <w:rFonts w:ascii="Arial Narrow" w:eastAsia="Calibri" w:hAnsi="Arial Narrow" w:cs="Arial"/>
                <w:sz w:val="20"/>
                <w:szCs w:val="20"/>
              </w:rPr>
              <w:fldChar w:fldCharType="begin">
                <w:ffData>
                  <w:name w:val=""/>
                  <w:enabled/>
                  <w:calcOnExit w:val="0"/>
                  <w:checkBox>
                    <w:sizeAuto/>
                    <w:default w:val="1"/>
                  </w:checkBox>
                </w:ffData>
              </w:fldChar>
            </w:r>
            <w:r w:rsidRPr="00DA42F5">
              <w:rPr>
                <w:rFonts w:ascii="Arial Narrow" w:eastAsia="Calibri" w:hAnsi="Arial Narrow" w:cs="Arial"/>
                <w:sz w:val="20"/>
                <w:szCs w:val="20"/>
              </w:rPr>
              <w:instrText xml:space="preserve"> FORMCHECKBOX </w:instrText>
            </w:r>
            <w:r w:rsidR="00BE0D79">
              <w:rPr>
                <w:rFonts w:ascii="Arial Narrow" w:eastAsia="Calibri" w:hAnsi="Arial Narrow" w:cs="Arial"/>
                <w:sz w:val="20"/>
                <w:szCs w:val="20"/>
              </w:rPr>
            </w:r>
            <w:r w:rsidR="00BE0D79">
              <w:rPr>
                <w:rFonts w:ascii="Arial Narrow" w:eastAsia="Calibri" w:hAnsi="Arial Narrow" w:cs="Arial"/>
                <w:sz w:val="20"/>
                <w:szCs w:val="20"/>
              </w:rPr>
              <w:fldChar w:fldCharType="separate"/>
            </w:r>
            <w:r w:rsidRPr="00DA42F5">
              <w:rPr>
                <w:rFonts w:ascii="Arial Narrow" w:eastAsia="Calibri" w:hAnsi="Arial Narrow" w:cs="Arial"/>
                <w:sz w:val="20"/>
                <w:szCs w:val="20"/>
              </w:rPr>
              <w:fldChar w:fldCharType="end"/>
            </w:r>
            <w:r w:rsidRPr="00DA42F5">
              <w:rPr>
                <w:rFonts w:ascii="Arial Narrow" w:eastAsia="Calibri" w:hAnsi="Arial Narrow" w:cs="Arial"/>
                <w:sz w:val="20"/>
                <w:szCs w:val="20"/>
              </w:rPr>
              <w:t xml:space="preserve">Authority Required (Streamlined) </w:t>
            </w:r>
          </w:p>
        </w:tc>
      </w:tr>
      <w:tr w:rsidR="00FD0C5D" w:rsidRPr="00005D6B" w14:paraId="77AC898E" w14:textId="77777777" w:rsidTr="00B46372">
        <w:tblPrEx>
          <w:tblCellMar>
            <w:top w:w="15" w:type="dxa"/>
            <w:left w:w="15" w:type="dxa"/>
            <w:bottom w:w="15" w:type="dxa"/>
            <w:right w:w="15" w:type="dxa"/>
          </w:tblCellMar>
        </w:tblPrEx>
        <w:tc>
          <w:tcPr>
            <w:tcW w:w="981" w:type="dxa"/>
            <w:vAlign w:val="center"/>
          </w:tcPr>
          <w:p w14:paraId="44DB246C" w14:textId="0BB57A03" w:rsidR="00FD0C5D" w:rsidRPr="00DA42F5" w:rsidRDefault="00FD0C5D" w:rsidP="00676252">
            <w:pPr>
              <w:jc w:val="center"/>
              <w:rPr>
                <w:rFonts w:ascii="Arial Narrow" w:hAnsi="Arial Narrow"/>
                <w:sz w:val="20"/>
                <w:szCs w:val="20"/>
              </w:rPr>
            </w:pPr>
          </w:p>
        </w:tc>
        <w:tc>
          <w:tcPr>
            <w:tcW w:w="8086" w:type="dxa"/>
            <w:gridSpan w:val="6"/>
            <w:vAlign w:val="center"/>
            <w:hideMark/>
          </w:tcPr>
          <w:p w14:paraId="26111056"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Indication:</w:t>
            </w:r>
            <w:r w:rsidRPr="00DA42F5">
              <w:rPr>
                <w:rFonts w:ascii="Arial Narrow" w:hAnsi="Arial Narrow"/>
                <w:sz w:val="20"/>
                <w:szCs w:val="20"/>
              </w:rPr>
              <w:t xml:space="preserve"> </w:t>
            </w:r>
            <w:r w:rsidRPr="00DA42F5">
              <w:rPr>
                <w:rFonts w:ascii="Arial Narrow" w:eastAsia="Calibri" w:hAnsi="Arial Narrow" w:cs="Arial"/>
                <w:sz w:val="20"/>
                <w:szCs w:val="20"/>
              </w:rPr>
              <w:t>clinically definite relapsing-remitting multiple sclerosis</w:t>
            </w:r>
          </w:p>
        </w:tc>
      </w:tr>
      <w:tr w:rsidR="00FD0C5D" w:rsidRPr="00005D6B" w14:paraId="24138B5A"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261661" w14:textId="4C1682D5" w:rsidR="00FD0C5D" w:rsidRPr="00DA42F5" w:rsidRDefault="00FD0C5D" w:rsidP="00676252">
            <w:pPr>
              <w:jc w:val="center"/>
              <w:rPr>
                <w:rFonts w:ascii="Arial Narrow" w:hAnsi="Arial Narrow"/>
                <w:sz w:val="20"/>
                <w:szCs w:val="20"/>
              </w:rPr>
            </w:pPr>
          </w:p>
        </w:tc>
        <w:tc>
          <w:tcPr>
            <w:tcW w:w="8086" w:type="dxa"/>
            <w:gridSpan w:val="6"/>
            <w:vAlign w:val="center"/>
          </w:tcPr>
          <w:p w14:paraId="1D356294"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Treatment criteria:</w:t>
            </w:r>
          </w:p>
        </w:tc>
      </w:tr>
      <w:tr w:rsidR="00FD0C5D" w:rsidRPr="00005D6B" w14:paraId="04086F69"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CD5CF65" w14:textId="16A5F2A2" w:rsidR="00FD0C5D" w:rsidRPr="00DA42F5" w:rsidRDefault="00FD0C5D" w:rsidP="00676252">
            <w:pPr>
              <w:jc w:val="center"/>
              <w:rPr>
                <w:rFonts w:ascii="Arial Narrow" w:hAnsi="Arial Narrow"/>
                <w:sz w:val="20"/>
                <w:szCs w:val="20"/>
              </w:rPr>
            </w:pPr>
          </w:p>
        </w:tc>
        <w:tc>
          <w:tcPr>
            <w:tcW w:w="8086" w:type="dxa"/>
            <w:gridSpan w:val="6"/>
            <w:vAlign w:val="center"/>
          </w:tcPr>
          <w:p w14:paraId="5182050C"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Must be treated by a neurologist</w:t>
            </w:r>
          </w:p>
        </w:tc>
      </w:tr>
      <w:tr w:rsidR="00FD0C5D" w:rsidRPr="00005D6B" w14:paraId="537FD282"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2A6BEA6"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61ECC649"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02910C2B"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69BBA5F5" w14:textId="7759EEBD" w:rsidR="00FD0C5D" w:rsidRPr="00DA42F5" w:rsidRDefault="00FD0C5D" w:rsidP="00676252">
            <w:pPr>
              <w:jc w:val="center"/>
              <w:rPr>
                <w:rFonts w:ascii="Arial Narrow" w:hAnsi="Arial Narrow"/>
                <w:sz w:val="20"/>
                <w:szCs w:val="20"/>
              </w:rPr>
            </w:pPr>
          </w:p>
        </w:tc>
        <w:tc>
          <w:tcPr>
            <w:tcW w:w="8086" w:type="dxa"/>
            <w:gridSpan w:val="6"/>
            <w:vAlign w:val="center"/>
          </w:tcPr>
          <w:p w14:paraId="5EDA94F3"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7C2CD623"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8C7197" w14:textId="5028CA36" w:rsidR="00FD0C5D" w:rsidRPr="00DA42F5" w:rsidRDefault="00FD0C5D" w:rsidP="00676252">
            <w:pPr>
              <w:jc w:val="center"/>
              <w:rPr>
                <w:rFonts w:ascii="Arial Narrow" w:hAnsi="Arial Narrow"/>
                <w:sz w:val="20"/>
                <w:szCs w:val="20"/>
              </w:rPr>
            </w:pPr>
          </w:p>
        </w:tc>
        <w:tc>
          <w:tcPr>
            <w:tcW w:w="8086" w:type="dxa"/>
            <w:gridSpan w:val="6"/>
            <w:vAlign w:val="center"/>
            <w:hideMark/>
          </w:tcPr>
          <w:p w14:paraId="53EE6887"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The treatment must be the sole PBS-subsidised disease modifying therapy for this condition</w:t>
            </w:r>
          </w:p>
        </w:tc>
      </w:tr>
      <w:tr w:rsidR="00FD0C5D" w:rsidRPr="00005D6B" w14:paraId="4D0FE9C4"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F1FE769" w14:textId="77777777" w:rsidR="00FD0C5D" w:rsidRPr="00DA42F5" w:rsidRDefault="00FD0C5D" w:rsidP="00676252">
            <w:pPr>
              <w:jc w:val="center"/>
              <w:rPr>
                <w:rFonts w:ascii="Arial Narrow" w:hAnsi="Arial Narrow"/>
                <w:sz w:val="20"/>
                <w:szCs w:val="20"/>
              </w:rPr>
            </w:pPr>
          </w:p>
        </w:tc>
        <w:tc>
          <w:tcPr>
            <w:tcW w:w="8086" w:type="dxa"/>
            <w:gridSpan w:val="6"/>
            <w:vAlign w:val="center"/>
            <w:hideMark/>
          </w:tcPr>
          <w:p w14:paraId="65FD9A28"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53CAAC6A"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687D9FE" w14:textId="47E255B4" w:rsidR="00FD0C5D" w:rsidRPr="00DA42F5" w:rsidRDefault="00FD0C5D" w:rsidP="00676252">
            <w:pPr>
              <w:jc w:val="center"/>
              <w:rPr>
                <w:rFonts w:ascii="Arial Narrow" w:hAnsi="Arial Narrow"/>
                <w:sz w:val="20"/>
                <w:szCs w:val="20"/>
              </w:rPr>
            </w:pPr>
          </w:p>
        </w:tc>
        <w:tc>
          <w:tcPr>
            <w:tcW w:w="8086" w:type="dxa"/>
            <w:gridSpan w:val="6"/>
            <w:vAlign w:val="center"/>
            <w:hideMark/>
          </w:tcPr>
          <w:p w14:paraId="54C2E4A7"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511C7C3D"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1453EDE" w14:textId="50FEBD4C" w:rsidR="00FD0C5D" w:rsidRPr="00DA42F5" w:rsidRDefault="00FD0C5D" w:rsidP="00676252">
            <w:pPr>
              <w:jc w:val="center"/>
              <w:rPr>
                <w:rFonts w:ascii="Arial Narrow" w:hAnsi="Arial Narrow"/>
                <w:sz w:val="20"/>
                <w:szCs w:val="20"/>
              </w:rPr>
            </w:pPr>
          </w:p>
        </w:tc>
        <w:tc>
          <w:tcPr>
            <w:tcW w:w="8086" w:type="dxa"/>
            <w:gridSpan w:val="6"/>
            <w:vAlign w:val="center"/>
            <w:hideMark/>
          </w:tcPr>
          <w:p w14:paraId="788994C0"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Patient must be ambulatory (without assistance or support)</w:t>
            </w:r>
          </w:p>
        </w:tc>
      </w:tr>
      <w:tr w:rsidR="00FD0C5D" w:rsidRPr="00005D6B" w14:paraId="00113844"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D71EFB"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73CC4F75"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55E7DC56"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A82673" w14:textId="57B0DD75" w:rsidR="00FD0C5D" w:rsidRPr="00DA42F5" w:rsidRDefault="00FD0C5D" w:rsidP="00676252">
            <w:pPr>
              <w:jc w:val="center"/>
              <w:rPr>
                <w:rFonts w:ascii="Arial Narrow" w:hAnsi="Arial Narrow"/>
                <w:sz w:val="20"/>
                <w:szCs w:val="20"/>
              </w:rPr>
            </w:pPr>
          </w:p>
        </w:tc>
        <w:tc>
          <w:tcPr>
            <w:tcW w:w="8086" w:type="dxa"/>
            <w:gridSpan w:val="6"/>
            <w:vAlign w:val="center"/>
            <w:hideMark/>
          </w:tcPr>
          <w:p w14:paraId="60D7E7E3"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71FAADA0"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FCA629" w14:textId="372CAAF8" w:rsidR="00FD0C5D" w:rsidRPr="00DA42F5" w:rsidRDefault="00FD0C5D" w:rsidP="00676252">
            <w:pPr>
              <w:jc w:val="center"/>
              <w:rPr>
                <w:rFonts w:ascii="Arial Narrow" w:hAnsi="Arial Narrow"/>
                <w:sz w:val="20"/>
                <w:szCs w:val="20"/>
              </w:rPr>
            </w:pPr>
          </w:p>
        </w:tc>
        <w:tc>
          <w:tcPr>
            <w:tcW w:w="8086" w:type="dxa"/>
            <w:gridSpan w:val="6"/>
            <w:vAlign w:val="center"/>
          </w:tcPr>
          <w:p w14:paraId="097F4159" w14:textId="77777777" w:rsidR="00FD0C5D" w:rsidRPr="00DA42F5" w:rsidRDefault="00FD0C5D" w:rsidP="00676252">
            <w:pPr>
              <w:autoSpaceDE w:val="0"/>
              <w:autoSpaceDN w:val="0"/>
              <w:adjustRightInd w:val="0"/>
              <w:rPr>
                <w:rFonts w:ascii="Arial Narrow" w:hAnsi="Arial Narrow" w:cs="Arial Narrow"/>
                <w:sz w:val="20"/>
                <w:szCs w:val="20"/>
              </w:rPr>
            </w:pPr>
            <w:r w:rsidRPr="00DA42F5">
              <w:rPr>
                <w:rFonts w:ascii="Arial Narrow" w:hAnsi="Arial Narrow" w:cs="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FD0C5D" w:rsidRPr="00005D6B" w14:paraId="3F2497F7"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E3B91A"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1340FC88" w14:textId="77777777" w:rsidR="00FD0C5D" w:rsidRPr="00DA42F5" w:rsidRDefault="00FD0C5D" w:rsidP="00676252">
            <w:pPr>
              <w:autoSpaceDE w:val="0"/>
              <w:autoSpaceDN w:val="0"/>
              <w:adjustRightInd w:val="0"/>
              <w:rPr>
                <w:rFonts w:ascii="Arial Narrow" w:hAnsi="Arial Narrow" w:cs="Arial Narrow"/>
                <w:i/>
                <w:iCs/>
                <w:sz w:val="20"/>
                <w:szCs w:val="20"/>
              </w:rPr>
            </w:pPr>
            <w:r w:rsidRPr="00DA42F5">
              <w:rPr>
                <w:rFonts w:ascii="Arial Narrow" w:hAnsi="Arial Narrow"/>
                <w:b/>
                <w:bCs/>
                <w:sz w:val="20"/>
                <w:szCs w:val="20"/>
              </w:rPr>
              <w:t>AND</w:t>
            </w:r>
          </w:p>
        </w:tc>
      </w:tr>
      <w:tr w:rsidR="00FD0C5D" w:rsidRPr="00005D6B" w14:paraId="5961A809"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E6BF29" w14:textId="47A7C149" w:rsidR="00FD0C5D" w:rsidRPr="00DA42F5" w:rsidRDefault="00FD0C5D" w:rsidP="00676252">
            <w:pPr>
              <w:jc w:val="center"/>
              <w:rPr>
                <w:rFonts w:ascii="Arial Narrow" w:hAnsi="Arial Narrow"/>
                <w:sz w:val="20"/>
                <w:szCs w:val="20"/>
              </w:rPr>
            </w:pPr>
          </w:p>
        </w:tc>
        <w:tc>
          <w:tcPr>
            <w:tcW w:w="8086" w:type="dxa"/>
            <w:gridSpan w:val="6"/>
            <w:vAlign w:val="center"/>
          </w:tcPr>
          <w:p w14:paraId="24407F55" w14:textId="77777777" w:rsidR="00FD0C5D" w:rsidRPr="00DA42F5" w:rsidRDefault="00FD0C5D" w:rsidP="00676252">
            <w:pPr>
              <w:rPr>
                <w:rFonts w:ascii="Arial Narrow" w:hAnsi="Arial Narrow"/>
                <w:b/>
                <w:bCs/>
                <w:sz w:val="20"/>
                <w:szCs w:val="20"/>
              </w:rPr>
            </w:pPr>
            <w:r w:rsidRPr="00DA42F5">
              <w:rPr>
                <w:rFonts w:ascii="Arial Narrow" w:hAnsi="Arial Narrow"/>
                <w:b/>
                <w:bCs/>
                <w:sz w:val="20"/>
                <w:szCs w:val="20"/>
              </w:rPr>
              <w:t>Clinical criteria:</w:t>
            </w:r>
          </w:p>
        </w:tc>
      </w:tr>
      <w:tr w:rsidR="00FD0C5D" w:rsidRPr="00005D6B" w14:paraId="218F6AD6"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0A9826"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167BAC58" w14:textId="77777777" w:rsidR="00FD0C5D" w:rsidRPr="00DA42F5" w:rsidRDefault="00FD0C5D" w:rsidP="00676252">
            <w:pPr>
              <w:jc w:val="left"/>
              <w:rPr>
                <w:rFonts w:ascii="Arial Narrow" w:hAnsi="Arial Narrow"/>
                <w:sz w:val="20"/>
                <w:szCs w:val="20"/>
              </w:rPr>
            </w:pPr>
            <w:r w:rsidRPr="00DA42F5">
              <w:rPr>
                <w:rFonts w:ascii="Arial Narrow" w:hAnsi="Arial Narrow"/>
                <w:sz w:val="20"/>
                <w:szCs w:val="20"/>
              </w:rPr>
              <w:t>The condition must be confirmed by magnetic resonance imaging of the brain and/or spinal cord; or</w:t>
            </w:r>
            <w:r w:rsidRPr="00DA42F5">
              <w:rPr>
                <w:rFonts w:ascii="Arial Narrow" w:hAnsi="Arial Narrow"/>
                <w:sz w:val="20"/>
                <w:szCs w:val="20"/>
              </w:rPr>
              <w:br/>
              <w:t>Patient must be deemed unsuitable for magnetic resonance imaging due to the risk of physical (not psychological) injury to the patient</w:t>
            </w:r>
          </w:p>
        </w:tc>
      </w:tr>
      <w:tr w:rsidR="00FD0C5D" w:rsidRPr="00005D6B" w14:paraId="78D0C7A5"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02566E" w14:textId="18F3C34F" w:rsidR="00FD0C5D" w:rsidRPr="00DA42F5" w:rsidRDefault="00FD0C5D" w:rsidP="00676252">
            <w:pPr>
              <w:jc w:val="center"/>
              <w:rPr>
                <w:rFonts w:ascii="Arial Narrow" w:hAnsi="Arial Narrow"/>
                <w:sz w:val="20"/>
                <w:szCs w:val="20"/>
              </w:rPr>
            </w:pPr>
          </w:p>
        </w:tc>
        <w:tc>
          <w:tcPr>
            <w:tcW w:w="8086" w:type="dxa"/>
            <w:gridSpan w:val="6"/>
            <w:vAlign w:val="center"/>
            <w:hideMark/>
          </w:tcPr>
          <w:p w14:paraId="72BA86C2"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Caution: </w:t>
            </w:r>
            <w:r w:rsidRPr="00DA42F5">
              <w:rPr>
                <w:rFonts w:ascii="Arial Narrow" w:hAnsi="Arial Narrow"/>
                <w:sz w:val="20"/>
                <w:szCs w:val="20"/>
              </w:rPr>
              <w:t>Progressive multifocal leukoencephalopathy has been reported with this drug.</w:t>
            </w:r>
          </w:p>
        </w:tc>
      </w:tr>
      <w:tr w:rsidR="00FD0C5D" w:rsidRPr="00005D6B" w14:paraId="72EEF1CC" w14:textId="77777777" w:rsidTr="00B46372">
        <w:tblPrEx>
          <w:tblCellMar>
            <w:top w:w="15" w:type="dxa"/>
            <w:left w:w="15" w:type="dxa"/>
            <w:bottom w:w="15" w:type="dxa"/>
            <w:right w:w="15" w:type="dxa"/>
          </w:tblCellMar>
        </w:tblPrEx>
        <w:tc>
          <w:tcPr>
            <w:tcW w:w="981" w:type="dxa"/>
            <w:vAlign w:val="center"/>
          </w:tcPr>
          <w:p w14:paraId="7C87F8DA" w14:textId="5A9864B2" w:rsidR="00FD0C5D" w:rsidRPr="00DA42F5" w:rsidRDefault="00FD0C5D" w:rsidP="00676252">
            <w:pPr>
              <w:jc w:val="center"/>
              <w:rPr>
                <w:rFonts w:ascii="Arial Narrow" w:hAnsi="Arial Narrow"/>
                <w:sz w:val="20"/>
                <w:szCs w:val="20"/>
              </w:rPr>
            </w:pPr>
          </w:p>
        </w:tc>
        <w:tc>
          <w:tcPr>
            <w:tcW w:w="8086" w:type="dxa"/>
            <w:gridSpan w:val="6"/>
            <w:vAlign w:val="center"/>
            <w:hideMark/>
          </w:tcPr>
          <w:p w14:paraId="0762C367"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tc>
      </w:tr>
      <w:tr w:rsidR="00FD0C5D" w:rsidRPr="00005D6B" w14:paraId="17A5EEEB"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BF25D4" w14:textId="235BE6F1" w:rsidR="00FD0C5D" w:rsidRPr="00DA42F5" w:rsidRDefault="00FD0C5D" w:rsidP="00676252">
            <w:pPr>
              <w:jc w:val="center"/>
              <w:rPr>
                <w:rFonts w:ascii="Arial Narrow" w:hAnsi="Arial Narrow"/>
                <w:sz w:val="20"/>
                <w:szCs w:val="20"/>
              </w:rPr>
            </w:pPr>
          </w:p>
        </w:tc>
        <w:tc>
          <w:tcPr>
            <w:tcW w:w="8086" w:type="dxa"/>
            <w:gridSpan w:val="6"/>
            <w:vAlign w:val="center"/>
          </w:tcPr>
          <w:p w14:paraId="671B26A1"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Treatment with this drug must cease if there is continuing progression of disability whilst the patient is being treated with this drug.</w:t>
            </w:r>
          </w:p>
        </w:tc>
      </w:tr>
      <w:tr w:rsidR="00FD0C5D" w:rsidRPr="00005D6B" w14:paraId="00AD1DAB"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CB6D95" w14:textId="17B78312" w:rsidR="00FD0C5D" w:rsidRPr="00DA42F5" w:rsidRDefault="00FD0C5D" w:rsidP="00676252">
            <w:pPr>
              <w:jc w:val="center"/>
              <w:rPr>
                <w:rFonts w:ascii="Arial Narrow" w:hAnsi="Arial Narrow"/>
                <w:sz w:val="20"/>
                <w:szCs w:val="20"/>
              </w:rPr>
            </w:pPr>
          </w:p>
        </w:tc>
        <w:tc>
          <w:tcPr>
            <w:tcW w:w="8086" w:type="dxa"/>
            <w:gridSpan w:val="6"/>
            <w:vAlign w:val="center"/>
          </w:tcPr>
          <w:p w14:paraId="3E37E085"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For continued treatment the patient must demonstrate compliance with, and an ability to tolerate, this drug.</w:t>
            </w:r>
          </w:p>
        </w:tc>
      </w:tr>
      <w:tr w:rsidR="007943B1" w:rsidRPr="00005D6B" w14:paraId="0FE7454F"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0D1938C" w14:textId="762C0302" w:rsidR="007943B1" w:rsidRPr="00DA42F5" w:rsidRDefault="007943B1" w:rsidP="007943B1">
            <w:pPr>
              <w:jc w:val="center"/>
              <w:rPr>
                <w:rFonts w:ascii="Arial Narrow" w:hAnsi="Arial Narrow"/>
                <w:sz w:val="20"/>
                <w:szCs w:val="20"/>
              </w:rPr>
            </w:pPr>
            <w:r w:rsidRPr="00DA42F5">
              <w:rPr>
                <w:rFonts w:ascii="Arial Narrow" w:hAnsi="Arial Narrow"/>
                <w:sz w:val="20"/>
                <w:szCs w:val="20"/>
              </w:rPr>
              <w:t>Remove</w:t>
            </w:r>
            <w:r w:rsidRPr="00DA42F5">
              <w:rPr>
                <w:rFonts w:ascii="Arial Narrow" w:hAnsi="Arial Narrow"/>
                <w:strike/>
                <w:sz w:val="20"/>
                <w:szCs w:val="20"/>
              </w:rPr>
              <w:t xml:space="preserve"> </w:t>
            </w:r>
          </w:p>
        </w:tc>
        <w:tc>
          <w:tcPr>
            <w:tcW w:w="8086" w:type="dxa"/>
            <w:gridSpan w:val="6"/>
            <w:vAlign w:val="center"/>
          </w:tcPr>
          <w:p w14:paraId="53160C6B" w14:textId="080C159D" w:rsidR="007943B1" w:rsidRPr="00DA42F5" w:rsidRDefault="007943B1" w:rsidP="007943B1">
            <w:pPr>
              <w:rPr>
                <w:rFonts w:ascii="Arial Narrow" w:hAnsi="Arial Narrow"/>
                <w:b/>
                <w:bCs/>
                <w:sz w:val="20"/>
                <w:szCs w:val="20"/>
              </w:rPr>
            </w:pPr>
            <w:r w:rsidRPr="00DA42F5">
              <w:rPr>
                <w:rFonts w:ascii="Arial Narrow" w:hAnsi="Arial Narrow"/>
                <w:b/>
                <w:bCs/>
                <w:strike/>
                <w:sz w:val="20"/>
                <w:szCs w:val="20"/>
              </w:rPr>
              <w:t xml:space="preserve">Prescribing Instructions: </w:t>
            </w:r>
            <w:r w:rsidRPr="00DA42F5">
              <w:rPr>
                <w:rFonts w:ascii="Arial Narrow" w:hAnsi="Arial Narrow"/>
                <w:strike/>
                <w:sz w:val="20"/>
                <w:szCs w:val="20"/>
              </w:rPr>
              <w:t>Neurologists prescribing natalizumab under the PBS listing must be registered with the Tysabri Australian Prescribing Program.</w:t>
            </w:r>
          </w:p>
        </w:tc>
      </w:tr>
      <w:tr w:rsidR="00FD0C5D" w:rsidRPr="00005D6B" w14:paraId="150EE597" w14:textId="77777777" w:rsidTr="0067625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1A36964" w14:textId="77777777" w:rsidR="00FD0C5D" w:rsidRPr="00DA42F5" w:rsidRDefault="00FD0C5D" w:rsidP="00676252">
            <w:pPr>
              <w:rPr>
                <w:rFonts w:ascii="Arial Narrow" w:hAnsi="Arial Narrow"/>
                <w:bCs/>
                <w:sz w:val="20"/>
                <w:szCs w:val="20"/>
              </w:rPr>
            </w:pPr>
          </w:p>
        </w:tc>
      </w:tr>
      <w:tr w:rsidR="00FD0C5D" w:rsidRPr="00005D6B" w14:paraId="1AE46021" w14:textId="77777777" w:rsidTr="0067625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78A9789" w14:textId="77777777" w:rsidR="00FD0C5D" w:rsidRPr="00DA42F5" w:rsidRDefault="00FD0C5D" w:rsidP="00676252">
            <w:pPr>
              <w:rPr>
                <w:rFonts w:ascii="Arial Narrow" w:hAnsi="Arial Narrow"/>
                <w:b/>
                <w:bCs/>
                <w:sz w:val="20"/>
                <w:szCs w:val="20"/>
              </w:rPr>
            </w:pPr>
            <w:r w:rsidRPr="00DA42F5">
              <w:rPr>
                <w:rFonts w:ascii="Arial Narrow" w:hAnsi="Arial Narrow"/>
                <w:b/>
                <w:bCs/>
                <w:sz w:val="20"/>
                <w:szCs w:val="20"/>
              </w:rPr>
              <w:t>Restriction Summary 9795 / Treatment of Concept: 9744</w:t>
            </w:r>
          </w:p>
        </w:tc>
      </w:tr>
      <w:tr w:rsidR="00FD0C5D" w:rsidRPr="00005D6B" w14:paraId="33A7A32A" w14:textId="77777777" w:rsidTr="00676252">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68E3F67" w14:textId="44DF1CA4" w:rsidR="00FD0C5D" w:rsidRPr="00DA42F5" w:rsidRDefault="00FD0C5D" w:rsidP="00676252">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A2334A5" w14:textId="77777777" w:rsidR="00FD0C5D" w:rsidRPr="00DA42F5" w:rsidRDefault="00FD0C5D" w:rsidP="00676252">
            <w:pPr>
              <w:rPr>
                <w:rFonts w:ascii="Arial Narrow" w:hAnsi="Arial Narrow" w:cs="Arial"/>
                <w:sz w:val="20"/>
                <w:szCs w:val="20"/>
              </w:rPr>
            </w:pPr>
            <w:r w:rsidRPr="00DA42F5">
              <w:rPr>
                <w:rFonts w:ascii="Arial Narrow" w:hAnsi="Arial Narrow" w:cs="Arial"/>
                <w:b/>
                <w:sz w:val="20"/>
                <w:szCs w:val="20"/>
              </w:rPr>
              <w:t xml:space="preserve">Category / Program: </w:t>
            </w:r>
            <w:r w:rsidRPr="00DA42F5">
              <w:rPr>
                <w:rFonts w:ascii="Arial Narrow" w:hAnsi="Arial Narrow" w:cs="Arial"/>
                <w:sz w:val="20"/>
                <w:szCs w:val="20"/>
              </w:rPr>
              <w:t>Section 100 – Highly Specialised Drugs Program (HS)</w:t>
            </w:r>
          </w:p>
        </w:tc>
      </w:tr>
      <w:tr w:rsidR="00FD0C5D" w:rsidRPr="00005D6B" w14:paraId="1A050BB1" w14:textId="77777777" w:rsidTr="00676252">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12B5A99" w14:textId="77777777" w:rsidR="00FD0C5D" w:rsidRPr="00DA42F5" w:rsidRDefault="00FD0C5D" w:rsidP="00676252">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73F7F57" w14:textId="77777777" w:rsidR="00FD0C5D" w:rsidRPr="00DA42F5" w:rsidRDefault="00FD0C5D" w:rsidP="00676252">
            <w:pPr>
              <w:rPr>
                <w:rFonts w:ascii="Arial Narrow" w:hAnsi="Arial Narrow" w:cs="Arial"/>
                <w:b/>
                <w:sz w:val="20"/>
                <w:szCs w:val="20"/>
              </w:rPr>
            </w:pPr>
            <w:r w:rsidRPr="00DA42F5">
              <w:rPr>
                <w:rFonts w:ascii="Arial Narrow" w:hAnsi="Arial Narrow" w:cs="Arial"/>
                <w:b/>
                <w:sz w:val="20"/>
                <w:szCs w:val="20"/>
              </w:rPr>
              <w:t xml:space="preserve">Prescriber type: </w:t>
            </w:r>
            <w:r w:rsidRPr="00DA42F5">
              <w:rPr>
                <w:rFonts w:ascii="Arial Narrow" w:hAnsi="Arial Narrow" w:cs="Arial"/>
                <w:sz w:val="20"/>
                <w:szCs w:val="20"/>
              </w:rPr>
              <w:fldChar w:fldCharType="begin">
                <w:ffData>
                  <w:name w:val=""/>
                  <w:enabled/>
                  <w:calcOnExit w:val="0"/>
                  <w:checkBox>
                    <w:sizeAuto/>
                    <w:default w:val="1"/>
                  </w:checkBox>
                </w:ffData>
              </w:fldChar>
            </w:r>
            <w:r w:rsidRPr="00DA42F5">
              <w:rPr>
                <w:rFonts w:ascii="Arial Narrow" w:hAnsi="Arial Narrow" w:cs="Arial"/>
                <w:sz w:val="20"/>
                <w:szCs w:val="20"/>
              </w:rPr>
              <w:instrText xml:space="preserve"> FORMCHECKBOX </w:instrText>
            </w:r>
            <w:r w:rsidR="00BE0D79">
              <w:rPr>
                <w:rFonts w:ascii="Arial Narrow" w:hAnsi="Arial Narrow" w:cs="Arial"/>
                <w:sz w:val="20"/>
                <w:szCs w:val="20"/>
              </w:rPr>
            </w:r>
            <w:r w:rsidR="00BE0D79">
              <w:rPr>
                <w:rFonts w:ascii="Arial Narrow" w:hAnsi="Arial Narrow" w:cs="Arial"/>
                <w:sz w:val="20"/>
                <w:szCs w:val="20"/>
              </w:rPr>
              <w:fldChar w:fldCharType="separate"/>
            </w:r>
            <w:r w:rsidRPr="00DA42F5">
              <w:rPr>
                <w:rFonts w:ascii="Arial Narrow" w:hAnsi="Arial Narrow" w:cs="Arial"/>
                <w:sz w:val="20"/>
                <w:szCs w:val="20"/>
              </w:rPr>
              <w:fldChar w:fldCharType="end"/>
            </w:r>
            <w:r w:rsidRPr="00DA42F5">
              <w:rPr>
                <w:rFonts w:ascii="Arial Narrow" w:hAnsi="Arial Narrow" w:cs="Arial"/>
                <w:sz w:val="20"/>
                <w:szCs w:val="20"/>
              </w:rPr>
              <w:t>Medical Practitioners</w:t>
            </w:r>
          </w:p>
        </w:tc>
      </w:tr>
      <w:tr w:rsidR="00FD0C5D" w:rsidRPr="00005D6B" w14:paraId="54235A05" w14:textId="77777777" w:rsidTr="00676252">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E9E4C08" w14:textId="77777777" w:rsidR="00FD0C5D" w:rsidRPr="00DA42F5" w:rsidRDefault="00FD0C5D" w:rsidP="00676252">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9D7BABB" w14:textId="77777777" w:rsidR="00FD0C5D" w:rsidRPr="00DA42F5" w:rsidRDefault="00FD0C5D" w:rsidP="00676252">
            <w:pPr>
              <w:rPr>
                <w:rFonts w:ascii="Arial Narrow" w:eastAsia="Calibri" w:hAnsi="Arial Narrow" w:cs="Arial"/>
                <w:sz w:val="20"/>
                <w:szCs w:val="20"/>
              </w:rPr>
            </w:pPr>
            <w:r w:rsidRPr="00DA42F5">
              <w:rPr>
                <w:rFonts w:ascii="Arial Narrow" w:hAnsi="Arial Narrow" w:cs="Arial"/>
                <w:b/>
                <w:sz w:val="20"/>
                <w:szCs w:val="20"/>
              </w:rPr>
              <w:t xml:space="preserve">Restriction type: </w:t>
            </w:r>
            <w:r w:rsidRPr="00DA42F5">
              <w:rPr>
                <w:rFonts w:ascii="Arial Narrow" w:eastAsia="Calibri" w:hAnsi="Arial Narrow" w:cs="Arial"/>
                <w:sz w:val="20"/>
                <w:szCs w:val="20"/>
              </w:rPr>
              <w:fldChar w:fldCharType="begin">
                <w:ffData>
                  <w:name w:val=""/>
                  <w:enabled/>
                  <w:calcOnExit w:val="0"/>
                  <w:checkBox>
                    <w:sizeAuto/>
                    <w:default w:val="1"/>
                  </w:checkBox>
                </w:ffData>
              </w:fldChar>
            </w:r>
            <w:r w:rsidRPr="00DA42F5">
              <w:rPr>
                <w:rFonts w:ascii="Arial Narrow" w:eastAsia="Calibri" w:hAnsi="Arial Narrow" w:cs="Arial"/>
                <w:sz w:val="20"/>
                <w:szCs w:val="20"/>
              </w:rPr>
              <w:instrText xml:space="preserve"> FORMCHECKBOX </w:instrText>
            </w:r>
            <w:r w:rsidR="00BE0D79">
              <w:rPr>
                <w:rFonts w:ascii="Arial Narrow" w:eastAsia="Calibri" w:hAnsi="Arial Narrow" w:cs="Arial"/>
                <w:sz w:val="20"/>
                <w:szCs w:val="20"/>
              </w:rPr>
            </w:r>
            <w:r w:rsidR="00BE0D79">
              <w:rPr>
                <w:rFonts w:ascii="Arial Narrow" w:eastAsia="Calibri" w:hAnsi="Arial Narrow" w:cs="Arial"/>
                <w:sz w:val="20"/>
                <w:szCs w:val="20"/>
              </w:rPr>
              <w:fldChar w:fldCharType="separate"/>
            </w:r>
            <w:r w:rsidRPr="00DA42F5">
              <w:rPr>
                <w:rFonts w:ascii="Arial Narrow" w:eastAsia="Calibri" w:hAnsi="Arial Narrow" w:cs="Arial"/>
                <w:sz w:val="20"/>
                <w:szCs w:val="20"/>
              </w:rPr>
              <w:fldChar w:fldCharType="end"/>
            </w:r>
            <w:r w:rsidRPr="00DA42F5">
              <w:rPr>
                <w:rFonts w:ascii="Arial Narrow" w:eastAsia="Calibri" w:hAnsi="Arial Narrow" w:cs="Arial"/>
                <w:sz w:val="20"/>
                <w:szCs w:val="20"/>
              </w:rPr>
              <w:t xml:space="preserve">Authority Required – Streamlined </w:t>
            </w:r>
          </w:p>
        </w:tc>
      </w:tr>
      <w:tr w:rsidR="00FD0C5D" w:rsidRPr="00005D6B" w14:paraId="2473D431"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6B415398" w14:textId="3E5A9C44" w:rsidR="00FD0C5D" w:rsidRPr="00DA42F5" w:rsidRDefault="00FD0C5D" w:rsidP="00676252">
            <w:pPr>
              <w:jc w:val="center"/>
              <w:rPr>
                <w:rFonts w:ascii="Arial Narrow" w:hAnsi="Arial Narrow"/>
                <w:sz w:val="20"/>
                <w:szCs w:val="20"/>
              </w:rPr>
            </w:pPr>
          </w:p>
        </w:tc>
        <w:tc>
          <w:tcPr>
            <w:tcW w:w="8086" w:type="dxa"/>
            <w:gridSpan w:val="6"/>
            <w:vAlign w:val="center"/>
          </w:tcPr>
          <w:p w14:paraId="4430EFFF"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Indication:</w:t>
            </w:r>
            <w:r w:rsidRPr="00DA42F5">
              <w:rPr>
                <w:rFonts w:ascii="Arial Narrow" w:hAnsi="Arial Narrow"/>
                <w:sz w:val="20"/>
                <w:szCs w:val="20"/>
              </w:rPr>
              <w:t xml:space="preserve"> clinically definite relapsing-remitting multiple sclerosis</w:t>
            </w:r>
          </w:p>
        </w:tc>
      </w:tr>
      <w:tr w:rsidR="00FD0C5D" w:rsidRPr="00005D6B" w14:paraId="2AE6139F"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A02B61" w14:textId="3529AAA1" w:rsidR="00FD0C5D" w:rsidRPr="00DA42F5" w:rsidRDefault="00FD0C5D" w:rsidP="00676252">
            <w:pPr>
              <w:jc w:val="center"/>
              <w:rPr>
                <w:rFonts w:ascii="Arial Narrow" w:hAnsi="Arial Narrow"/>
                <w:sz w:val="20"/>
                <w:szCs w:val="20"/>
              </w:rPr>
            </w:pPr>
          </w:p>
        </w:tc>
        <w:tc>
          <w:tcPr>
            <w:tcW w:w="8086" w:type="dxa"/>
            <w:gridSpan w:val="6"/>
            <w:vAlign w:val="center"/>
          </w:tcPr>
          <w:p w14:paraId="3DACD7F8"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Treatment criteria:</w:t>
            </w:r>
          </w:p>
        </w:tc>
      </w:tr>
      <w:tr w:rsidR="00FD0C5D" w:rsidRPr="00005D6B" w14:paraId="35D03FA7"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8B7C06" w14:textId="1A83B8BC" w:rsidR="00FD0C5D" w:rsidRPr="00DA42F5" w:rsidRDefault="00FD0C5D" w:rsidP="00676252">
            <w:pPr>
              <w:jc w:val="center"/>
              <w:rPr>
                <w:rFonts w:ascii="Arial Narrow" w:hAnsi="Arial Narrow"/>
                <w:sz w:val="20"/>
                <w:szCs w:val="20"/>
              </w:rPr>
            </w:pPr>
          </w:p>
        </w:tc>
        <w:tc>
          <w:tcPr>
            <w:tcW w:w="8086" w:type="dxa"/>
            <w:gridSpan w:val="6"/>
            <w:vAlign w:val="center"/>
          </w:tcPr>
          <w:p w14:paraId="1D21D40A"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Must be treated by a neurologist</w:t>
            </w:r>
          </w:p>
        </w:tc>
      </w:tr>
      <w:tr w:rsidR="00FD0C5D" w:rsidRPr="00005D6B" w14:paraId="425BE643"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26B01B"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143EA566"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5AB8BB96"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A9D789F" w14:textId="4A52BA65" w:rsidR="00FD0C5D" w:rsidRPr="00DA42F5" w:rsidRDefault="00FD0C5D" w:rsidP="00676252">
            <w:pPr>
              <w:jc w:val="center"/>
              <w:rPr>
                <w:rFonts w:ascii="Arial Narrow" w:hAnsi="Arial Narrow"/>
                <w:sz w:val="20"/>
                <w:szCs w:val="20"/>
              </w:rPr>
            </w:pPr>
          </w:p>
        </w:tc>
        <w:tc>
          <w:tcPr>
            <w:tcW w:w="8086" w:type="dxa"/>
            <w:gridSpan w:val="6"/>
            <w:vAlign w:val="center"/>
          </w:tcPr>
          <w:p w14:paraId="66295542"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7C96EB9E"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C0157EF" w14:textId="62C59413" w:rsidR="00FD0C5D" w:rsidRPr="00DA42F5" w:rsidRDefault="00FD0C5D" w:rsidP="00676252">
            <w:pPr>
              <w:jc w:val="center"/>
              <w:rPr>
                <w:rFonts w:ascii="Arial Narrow" w:hAnsi="Arial Narrow"/>
                <w:sz w:val="20"/>
                <w:szCs w:val="20"/>
              </w:rPr>
            </w:pPr>
          </w:p>
        </w:tc>
        <w:tc>
          <w:tcPr>
            <w:tcW w:w="8086" w:type="dxa"/>
            <w:gridSpan w:val="6"/>
            <w:vAlign w:val="center"/>
          </w:tcPr>
          <w:p w14:paraId="5A9761FC"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The treatment must be the sole PBS-subsidised disease modifying therapy for this condition</w:t>
            </w:r>
          </w:p>
        </w:tc>
      </w:tr>
      <w:tr w:rsidR="00FD0C5D" w:rsidRPr="00005D6B" w14:paraId="39E5E62C"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D9FBE4"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79A13E74"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329F4339"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BBED8A" w14:textId="50CE7F82" w:rsidR="00FD0C5D" w:rsidRPr="00DA42F5" w:rsidRDefault="00FD0C5D" w:rsidP="00676252">
            <w:pPr>
              <w:jc w:val="center"/>
              <w:rPr>
                <w:rFonts w:ascii="Arial Narrow" w:hAnsi="Arial Narrow"/>
                <w:sz w:val="20"/>
                <w:szCs w:val="20"/>
              </w:rPr>
            </w:pPr>
          </w:p>
        </w:tc>
        <w:tc>
          <w:tcPr>
            <w:tcW w:w="8086" w:type="dxa"/>
            <w:gridSpan w:val="6"/>
            <w:vAlign w:val="center"/>
          </w:tcPr>
          <w:p w14:paraId="1B94B2E2"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1538FA2D"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2E2A140" w14:textId="1CFE7991" w:rsidR="00FD0C5D" w:rsidRPr="00DA42F5" w:rsidRDefault="00FD0C5D" w:rsidP="00676252">
            <w:pPr>
              <w:jc w:val="center"/>
              <w:rPr>
                <w:rFonts w:ascii="Arial Narrow" w:hAnsi="Arial Narrow"/>
                <w:sz w:val="20"/>
                <w:szCs w:val="20"/>
              </w:rPr>
            </w:pPr>
          </w:p>
        </w:tc>
        <w:tc>
          <w:tcPr>
            <w:tcW w:w="8086" w:type="dxa"/>
            <w:gridSpan w:val="6"/>
            <w:vAlign w:val="center"/>
          </w:tcPr>
          <w:p w14:paraId="6B50C8EC"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Patient must be ambulatory (without assistance or support)</w:t>
            </w:r>
          </w:p>
        </w:tc>
      </w:tr>
      <w:tr w:rsidR="00FD0C5D" w:rsidRPr="00005D6B" w14:paraId="487D7D3C"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E24E50"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15E33539"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7DFA4A3E"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3A431D" w14:textId="698A7342" w:rsidR="00FD0C5D" w:rsidRPr="00DA42F5" w:rsidRDefault="00FD0C5D" w:rsidP="00676252">
            <w:pPr>
              <w:jc w:val="center"/>
              <w:rPr>
                <w:rFonts w:ascii="Arial Narrow" w:hAnsi="Arial Narrow"/>
                <w:sz w:val="20"/>
                <w:szCs w:val="20"/>
              </w:rPr>
            </w:pPr>
          </w:p>
        </w:tc>
        <w:tc>
          <w:tcPr>
            <w:tcW w:w="8086" w:type="dxa"/>
            <w:gridSpan w:val="6"/>
            <w:vAlign w:val="center"/>
          </w:tcPr>
          <w:p w14:paraId="032D5A9F"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422C981E"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FF2D7B" w14:textId="7F74A508" w:rsidR="00FD0C5D" w:rsidRPr="00DA42F5" w:rsidRDefault="00FD0C5D" w:rsidP="00676252">
            <w:pPr>
              <w:jc w:val="center"/>
              <w:rPr>
                <w:rFonts w:ascii="Arial Narrow" w:hAnsi="Arial Narrow"/>
                <w:sz w:val="20"/>
                <w:szCs w:val="20"/>
              </w:rPr>
            </w:pPr>
          </w:p>
        </w:tc>
        <w:tc>
          <w:tcPr>
            <w:tcW w:w="8086" w:type="dxa"/>
            <w:gridSpan w:val="6"/>
            <w:vAlign w:val="center"/>
          </w:tcPr>
          <w:p w14:paraId="298082F4" w14:textId="77777777" w:rsidR="00FD0C5D" w:rsidRPr="00DA42F5" w:rsidRDefault="00FD0C5D" w:rsidP="00676252">
            <w:pPr>
              <w:rPr>
                <w:rFonts w:ascii="Arial Narrow" w:hAnsi="Arial Narrow"/>
                <w:sz w:val="20"/>
                <w:szCs w:val="20"/>
              </w:rPr>
            </w:pPr>
            <w:r w:rsidRPr="00DA42F5">
              <w:rPr>
                <w:rFonts w:ascii="Arial Narrow" w:hAnsi="Arial Narrow" w:cs="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FD0C5D" w:rsidRPr="00005D6B" w14:paraId="36BDD88C"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D489B2"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4BB3407D"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AND</w:t>
            </w:r>
          </w:p>
        </w:tc>
      </w:tr>
      <w:tr w:rsidR="00FD0C5D" w:rsidRPr="00005D6B" w14:paraId="0B5A2EC7"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29443C" w14:textId="38EC1FFD" w:rsidR="00FD0C5D" w:rsidRPr="00DA42F5" w:rsidRDefault="00FD0C5D" w:rsidP="00676252">
            <w:pPr>
              <w:jc w:val="center"/>
              <w:rPr>
                <w:rFonts w:ascii="Arial Narrow" w:hAnsi="Arial Narrow"/>
                <w:sz w:val="20"/>
                <w:szCs w:val="20"/>
              </w:rPr>
            </w:pPr>
          </w:p>
        </w:tc>
        <w:tc>
          <w:tcPr>
            <w:tcW w:w="8086" w:type="dxa"/>
            <w:gridSpan w:val="6"/>
            <w:vAlign w:val="center"/>
          </w:tcPr>
          <w:p w14:paraId="462B6F50"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Clinical criteria:</w:t>
            </w:r>
          </w:p>
        </w:tc>
      </w:tr>
      <w:tr w:rsidR="00FD0C5D" w:rsidRPr="00005D6B" w14:paraId="33032446"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C8E124" w14:textId="77777777" w:rsidR="00FD0C5D" w:rsidRPr="00DA42F5" w:rsidRDefault="00FD0C5D" w:rsidP="00676252">
            <w:pPr>
              <w:jc w:val="center"/>
              <w:rPr>
                <w:rFonts w:ascii="Arial Narrow" w:hAnsi="Arial Narrow"/>
                <w:sz w:val="20"/>
                <w:szCs w:val="20"/>
              </w:rPr>
            </w:pPr>
          </w:p>
        </w:tc>
        <w:tc>
          <w:tcPr>
            <w:tcW w:w="8086" w:type="dxa"/>
            <w:gridSpan w:val="6"/>
            <w:vAlign w:val="center"/>
          </w:tcPr>
          <w:p w14:paraId="3371E24B" w14:textId="77777777" w:rsidR="00FD0C5D" w:rsidRPr="00DA42F5" w:rsidRDefault="00FD0C5D" w:rsidP="00676252">
            <w:pPr>
              <w:rPr>
                <w:rFonts w:ascii="Arial Narrow" w:hAnsi="Arial Narrow"/>
                <w:sz w:val="20"/>
                <w:szCs w:val="20"/>
              </w:rPr>
            </w:pPr>
            <w:r w:rsidRPr="00DA42F5">
              <w:rPr>
                <w:rFonts w:ascii="Arial Narrow" w:hAnsi="Arial Narrow"/>
                <w:sz w:val="20"/>
                <w:szCs w:val="20"/>
              </w:rPr>
              <w:t>The condition must be confirmed by magnetic resonance imaging of the brain and/or spinal cord; or</w:t>
            </w:r>
            <w:r w:rsidRPr="00DA42F5">
              <w:rPr>
                <w:rFonts w:ascii="Arial Narrow" w:hAnsi="Arial Narrow"/>
                <w:sz w:val="20"/>
                <w:szCs w:val="20"/>
              </w:rPr>
              <w:br/>
              <w:t>Patient must be deemed unsuitable for magnetic resonance imaging due to the risk of physical (not psychological) injury to the patient</w:t>
            </w:r>
          </w:p>
        </w:tc>
      </w:tr>
      <w:tr w:rsidR="00FD0C5D" w:rsidRPr="00005D6B" w14:paraId="1CBECE5C"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1A9360C8" w14:textId="29A8D2E0" w:rsidR="00FD0C5D" w:rsidRPr="00DA42F5" w:rsidRDefault="00FD0C5D" w:rsidP="00676252">
            <w:pPr>
              <w:jc w:val="center"/>
              <w:rPr>
                <w:rFonts w:ascii="Arial Narrow" w:hAnsi="Arial Narrow"/>
                <w:sz w:val="20"/>
                <w:szCs w:val="20"/>
              </w:rPr>
            </w:pPr>
          </w:p>
        </w:tc>
        <w:tc>
          <w:tcPr>
            <w:tcW w:w="8086" w:type="dxa"/>
            <w:gridSpan w:val="6"/>
            <w:vAlign w:val="center"/>
          </w:tcPr>
          <w:p w14:paraId="22F499D9"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Caution: </w:t>
            </w:r>
            <w:r w:rsidRPr="00DA42F5">
              <w:rPr>
                <w:rFonts w:ascii="Arial Narrow" w:hAnsi="Arial Narrow"/>
                <w:sz w:val="20"/>
                <w:szCs w:val="20"/>
              </w:rPr>
              <w:t>Progressive multifocal leukoencephalopathy has been reported with this drug.</w:t>
            </w:r>
          </w:p>
        </w:tc>
      </w:tr>
      <w:tr w:rsidR="00FD0C5D" w:rsidRPr="00005D6B" w14:paraId="109658FC"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FF5F8F" w14:textId="4CAE94FF" w:rsidR="00FD0C5D" w:rsidRPr="00DA42F5" w:rsidRDefault="00FD0C5D" w:rsidP="00676252">
            <w:pPr>
              <w:jc w:val="center"/>
              <w:rPr>
                <w:rFonts w:ascii="Arial Narrow" w:hAnsi="Arial Narrow"/>
                <w:sz w:val="20"/>
                <w:szCs w:val="20"/>
              </w:rPr>
            </w:pPr>
          </w:p>
        </w:tc>
        <w:tc>
          <w:tcPr>
            <w:tcW w:w="8086" w:type="dxa"/>
            <w:gridSpan w:val="6"/>
            <w:vAlign w:val="center"/>
          </w:tcPr>
          <w:p w14:paraId="0601DD60"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tc>
      </w:tr>
      <w:tr w:rsidR="00FD0C5D" w:rsidRPr="00005D6B" w14:paraId="5A72C71F"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E07C5B" w14:textId="6096C843" w:rsidR="00FD0C5D" w:rsidRPr="00DA42F5" w:rsidRDefault="00FD0C5D" w:rsidP="00676252">
            <w:pPr>
              <w:jc w:val="center"/>
              <w:rPr>
                <w:rFonts w:ascii="Arial Narrow" w:hAnsi="Arial Narrow"/>
                <w:sz w:val="20"/>
                <w:szCs w:val="20"/>
              </w:rPr>
            </w:pPr>
          </w:p>
        </w:tc>
        <w:tc>
          <w:tcPr>
            <w:tcW w:w="8086" w:type="dxa"/>
            <w:gridSpan w:val="6"/>
            <w:vAlign w:val="center"/>
          </w:tcPr>
          <w:p w14:paraId="290FB3D5"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Treatment with this drug must cease if there is continuing progression of disability whilst the patient is being treated with this drug.</w:t>
            </w:r>
          </w:p>
        </w:tc>
      </w:tr>
      <w:tr w:rsidR="00FD0C5D" w:rsidRPr="00005D6B" w14:paraId="5BD9AAE8"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04DDAD0" w14:textId="138D9313" w:rsidR="00FD0C5D" w:rsidRPr="00DA42F5" w:rsidRDefault="00FD0C5D" w:rsidP="00676252">
            <w:pPr>
              <w:jc w:val="center"/>
              <w:rPr>
                <w:rFonts w:ascii="Arial Narrow" w:hAnsi="Arial Narrow"/>
                <w:sz w:val="20"/>
                <w:szCs w:val="20"/>
              </w:rPr>
            </w:pPr>
          </w:p>
        </w:tc>
        <w:tc>
          <w:tcPr>
            <w:tcW w:w="8086" w:type="dxa"/>
            <w:gridSpan w:val="6"/>
            <w:vAlign w:val="center"/>
          </w:tcPr>
          <w:p w14:paraId="45D01C47" w14:textId="77777777" w:rsidR="00FD0C5D" w:rsidRPr="00DA42F5" w:rsidRDefault="00FD0C5D" w:rsidP="00676252">
            <w:pPr>
              <w:rPr>
                <w:rFonts w:ascii="Arial Narrow" w:hAnsi="Arial Narrow"/>
                <w:sz w:val="20"/>
                <w:szCs w:val="20"/>
              </w:rPr>
            </w:pPr>
            <w:r w:rsidRPr="00DA42F5">
              <w:rPr>
                <w:rFonts w:ascii="Arial Narrow" w:hAnsi="Arial Narrow"/>
                <w:b/>
                <w:bCs/>
                <w:sz w:val="20"/>
                <w:szCs w:val="20"/>
              </w:rPr>
              <w:t xml:space="preserve">Prescribing Instructions: </w:t>
            </w:r>
            <w:r w:rsidRPr="00DA42F5">
              <w:rPr>
                <w:rFonts w:ascii="Arial Narrow" w:hAnsi="Arial Narrow"/>
                <w:sz w:val="20"/>
                <w:szCs w:val="20"/>
              </w:rPr>
              <w:t>For continued treatment the patient must demonstrate compliance with, and an ability to tolerate, this drug.</w:t>
            </w:r>
          </w:p>
        </w:tc>
      </w:tr>
      <w:tr w:rsidR="007943B1" w:rsidRPr="00005D6B" w14:paraId="5CFF1C5D" w14:textId="77777777" w:rsidTr="006762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19714EE" w14:textId="3950067C" w:rsidR="007943B1" w:rsidRPr="00DA42F5" w:rsidRDefault="007943B1" w:rsidP="007943B1">
            <w:pPr>
              <w:jc w:val="center"/>
              <w:rPr>
                <w:rFonts w:ascii="Arial Narrow" w:hAnsi="Arial Narrow"/>
                <w:sz w:val="20"/>
                <w:szCs w:val="20"/>
              </w:rPr>
            </w:pPr>
            <w:r w:rsidRPr="00DA42F5">
              <w:rPr>
                <w:rFonts w:ascii="Arial Narrow" w:hAnsi="Arial Narrow"/>
                <w:sz w:val="20"/>
                <w:szCs w:val="20"/>
              </w:rPr>
              <w:t>Remove</w:t>
            </w:r>
          </w:p>
        </w:tc>
        <w:tc>
          <w:tcPr>
            <w:tcW w:w="8086" w:type="dxa"/>
            <w:gridSpan w:val="6"/>
            <w:vAlign w:val="center"/>
          </w:tcPr>
          <w:p w14:paraId="1C0A94E7" w14:textId="2A4ECD03" w:rsidR="007943B1" w:rsidRPr="00DA42F5" w:rsidRDefault="007943B1" w:rsidP="007943B1">
            <w:pPr>
              <w:rPr>
                <w:rFonts w:ascii="Arial Narrow" w:hAnsi="Arial Narrow"/>
                <w:b/>
                <w:bCs/>
                <w:sz w:val="20"/>
                <w:szCs w:val="20"/>
              </w:rPr>
            </w:pPr>
            <w:r w:rsidRPr="00DA42F5">
              <w:rPr>
                <w:rFonts w:ascii="Arial Narrow" w:hAnsi="Arial Narrow"/>
                <w:b/>
                <w:bCs/>
                <w:strike/>
                <w:sz w:val="20"/>
                <w:szCs w:val="20"/>
              </w:rPr>
              <w:t xml:space="preserve">Prescribing Instructions: </w:t>
            </w:r>
            <w:r w:rsidRPr="00DA42F5">
              <w:rPr>
                <w:rFonts w:ascii="Arial Narrow" w:hAnsi="Arial Narrow"/>
                <w:strike/>
                <w:sz w:val="20"/>
                <w:szCs w:val="20"/>
              </w:rPr>
              <w:t>Neurologists prescribing natalizumab under the PBS listing must be registered with the Tysabri Australian Prescribing Program.</w:t>
            </w:r>
          </w:p>
        </w:tc>
      </w:tr>
    </w:tbl>
    <w:p w14:paraId="36C6F5FB" w14:textId="27AE4DD4" w:rsidR="00FD0C5D" w:rsidRDefault="00FD0C5D" w:rsidP="00FD0C5D">
      <w:pPr>
        <w:pStyle w:val="NoSpacing"/>
        <w:rPr>
          <w:rFonts w:ascii="Times New Roman" w:hAnsi="Times New Roman"/>
          <w:lang w:val="en-GB"/>
        </w:rPr>
      </w:pPr>
    </w:p>
    <w:p w14:paraId="21A53277" w14:textId="77777777" w:rsidR="00FD0C5D" w:rsidRDefault="00FD0C5D" w:rsidP="00FD0C5D">
      <w:pPr>
        <w:widowControl w:val="0"/>
        <w:rPr>
          <w:rFonts w:asciiTheme="minorHAnsi" w:hAnsiTheme="minorHAnsi" w:cs="Arial"/>
          <w:b/>
          <w:i/>
          <w:iCs/>
          <w:snapToGrid w:val="0"/>
        </w:rPr>
      </w:pPr>
      <w:r w:rsidRPr="000F6AF4">
        <w:rPr>
          <w:rFonts w:asciiTheme="minorHAnsi" w:hAnsiTheme="minorHAnsi" w:cs="Arial"/>
          <w:b/>
          <w:i/>
          <w:iCs/>
          <w:snapToGrid w:val="0"/>
        </w:rPr>
        <w:t>This restriction may be subject to further review. Should there be any changes made to the restriction the Sponsor will be informed.</w:t>
      </w:r>
    </w:p>
    <w:p w14:paraId="5E07DBAD" w14:textId="7E2E1D33" w:rsidR="00077A9A" w:rsidRDefault="00077A9A" w:rsidP="00B46372">
      <w:pPr>
        <w:pStyle w:val="2-SectionHeading"/>
        <w:rPr>
          <w:bCs/>
          <w:lang w:val="en-GB"/>
        </w:rPr>
      </w:pPr>
      <w:r w:rsidRPr="00C07617">
        <w:t>Context for Decision</w:t>
      </w:r>
    </w:p>
    <w:p w14:paraId="6E835995" w14:textId="77777777" w:rsidR="00077A9A" w:rsidRPr="007129F2" w:rsidRDefault="00077A9A" w:rsidP="00077A9A">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108BE2" w14:textId="4228560F" w:rsidR="00077A9A" w:rsidRPr="00C07617" w:rsidRDefault="00077A9A" w:rsidP="00B46372">
      <w:pPr>
        <w:pStyle w:val="2-SectionHeading"/>
      </w:pPr>
      <w:r>
        <w:t>Sponsor’s Comment</w:t>
      </w:r>
    </w:p>
    <w:p w14:paraId="25457253" w14:textId="77777777" w:rsidR="00077A9A" w:rsidRPr="001179AC" w:rsidRDefault="00077A9A" w:rsidP="00077A9A">
      <w:pPr>
        <w:spacing w:after="120"/>
        <w:ind w:left="426"/>
        <w:rPr>
          <w:rFonts w:asciiTheme="minorHAnsi" w:hAnsiTheme="minorHAnsi" w:cs="Arial"/>
          <w:bCs/>
        </w:rPr>
      </w:pPr>
      <w:r w:rsidRPr="00C07617">
        <w:rPr>
          <w:rFonts w:asciiTheme="minorHAnsi" w:hAnsiTheme="minorHAnsi" w:cs="Arial"/>
          <w:bCs/>
        </w:rPr>
        <w:t>The sponsor had no comment.</w:t>
      </w:r>
    </w:p>
    <w:sectPr w:rsidR="00077A9A" w:rsidRPr="001179A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18D7" w14:textId="77777777" w:rsidR="00505330" w:rsidRDefault="00505330">
      <w:r>
        <w:separator/>
      </w:r>
    </w:p>
    <w:p w14:paraId="30ACAD79" w14:textId="77777777" w:rsidR="00505330" w:rsidRDefault="00505330"/>
  </w:endnote>
  <w:endnote w:type="continuationSeparator" w:id="0">
    <w:p w14:paraId="539F976E" w14:textId="77777777" w:rsidR="00505330" w:rsidRDefault="00505330">
      <w:r>
        <w:continuationSeparator/>
      </w:r>
    </w:p>
    <w:p w14:paraId="2C81305A" w14:textId="77777777" w:rsidR="00505330" w:rsidRDefault="00505330"/>
  </w:endnote>
  <w:endnote w:type="continuationNotice" w:id="1">
    <w:p w14:paraId="7C97BB7C" w14:textId="77777777" w:rsidR="00505330" w:rsidRDefault="00505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05330" w14:paraId="4075D3FE" w14:textId="77777777" w:rsidTr="005A3173">
      <w:trPr>
        <w:trHeight w:val="151"/>
      </w:trPr>
      <w:tc>
        <w:tcPr>
          <w:tcW w:w="2250" w:type="pct"/>
          <w:tcBorders>
            <w:top w:val="nil"/>
            <w:left w:val="nil"/>
            <w:bottom w:val="single" w:sz="4" w:space="0" w:color="4F81BD"/>
            <w:right w:val="nil"/>
          </w:tcBorders>
        </w:tcPr>
        <w:p w14:paraId="096D0DDE" w14:textId="77777777" w:rsidR="00505330" w:rsidRPr="005A3173" w:rsidRDefault="00505330"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505330" w:rsidRPr="005A3173" w:rsidRDefault="005053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505330" w:rsidRPr="005A3173" w:rsidRDefault="00505330" w:rsidP="005A3173">
          <w:pPr>
            <w:pStyle w:val="Header"/>
            <w:spacing w:line="276" w:lineRule="auto"/>
            <w:rPr>
              <w:rFonts w:eastAsia="MS Gothic"/>
              <w:b/>
              <w:bCs/>
              <w:color w:val="4F81BD"/>
            </w:rPr>
          </w:pPr>
        </w:p>
      </w:tc>
    </w:tr>
    <w:tr w:rsidR="00505330" w14:paraId="32EF4DB8" w14:textId="77777777" w:rsidTr="005A3173">
      <w:trPr>
        <w:trHeight w:val="150"/>
      </w:trPr>
      <w:tc>
        <w:tcPr>
          <w:tcW w:w="2250" w:type="pct"/>
          <w:tcBorders>
            <w:top w:val="single" w:sz="4" w:space="0" w:color="4F81BD"/>
            <w:left w:val="nil"/>
            <w:bottom w:val="nil"/>
            <w:right w:val="nil"/>
          </w:tcBorders>
        </w:tcPr>
        <w:p w14:paraId="03528A4C" w14:textId="77777777" w:rsidR="00505330" w:rsidRPr="005A3173" w:rsidRDefault="00505330" w:rsidP="005A3173">
          <w:pPr>
            <w:pStyle w:val="Header"/>
            <w:spacing w:line="276" w:lineRule="auto"/>
            <w:rPr>
              <w:rFonts w:eastAsia="MS Gothic"/>
              <w:b/>
              <w:bCs/>
              <w:color w:val="4F81BD"/>
            </w:rPr>
          </w:pPr>
        </w:p>
      </w:tc>
      <w:tc>
        <w:tcPr>
          <w:tcW w:w="0" w:type="auto"/>
          <w:vMerge/>
          <w:vAlign w:val="center"/>
          <w:hideMark/>
        </w:tcPr>
        <w:p w14:paraId="109042FB" w14:textId="77777777" w:rsidR="00505330" w:rsidRPr="005A3173" w:rsidRDefault="00505330" w:rsidP="005A3173">
          <w:pPr>
            <w:rPr>
              <w:color w:val="365F91"/>
              <w:sz w:val="22"/>
              <w:szCs w:val="22"/>
            </w:rPr>
          </w:pPr>
        </w:p>
      </w:tc>
      <w:tc>
        <w:tcPr>
          <w:tcW w:w="2250" w:type="pct"/>
          <w:tcBorders>
            <w:top w:val="single" w:sz="4" w:space="0" w:color="4F81BD"/>
            <w:left w:val="nil"/>
            <w:bottom w:val="nil"/>
            <w:right w:val="nil"/>
          </w:tcBorders>
        </w:tcPr>
        <w:p w14:paraId="09664199" w14:textId="77777777" w:rsidR="00505330" w:rsidRPr="005A3173" w:rsidRDefault="00505330" w:rsidP="005A3173">
          <w:pPr>
            <w:pStyle w:val="Header"/>
            <w:spacing w:line="276" w:lineRule="auto"/>
            <w:rPr>
              <w:rFonts w:eastAsia="MS Gothic"/>
              <w:b/>
              <w:bCs/>
              <w:color w:val="4F81BD"/>
            </w:rPr>
          </w:pPr>
        </w:p>
      </w:tc>
    </w:tr>
  </w:tbl>
  <w:p w14:paraId="21855C18" w14:textId="52E22CA7" w:rsidR="00505330" w:rsidRDefault="0050533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5AA5">
      <w:rPr>
        <w:rStyle w:val="PageNumber"/>
        <w:noProof/>
      </w:rPr>
      <w:t>1</w:t>
    </w:r>
    <w:r>
      <w:rPr>
        <w:rStyle w:val="PageNumber"/>
      </w:rPr>
      <w:fldChar w:fldCharType="end"/>
    </w:r>
  </w:p>
  <w:p w14:paraId="142ACCCE" w14:textId="77777777" w:rsidR="00505330" w:rsidRDefault="00505330">
    <w:pPr>
      <w:pStyle w:val="Footer"/>
    </w:pPr>
  </w:p>
  <w:p w14:paraId="48FFA445" w14:textId="77777777" w:rsidR="00505330" w:rsidRDefault="005053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784000"/>
      <w:docPartObj>
        <w:docPartGallery w:val="Page Numbers (Bottom of Page)"/>
        <w:docPartUnique/>
      </w:docPartObj>
    </w:sdtPr>
    <w:sdtEndPr>
      <w:rPr>
        <w:b/>
        <w:bCs/>
        <w:noProof/>
      </w:rPr>
    </w:sdtEndPr>
    <w:sdtContent>
      <w:p w14:paraId="355827FE" w14:textId="18FCD0E3" w:rsidR="00505330" w:rsidRPr="00FD0C5D" w:rsidRDefault="00FD0C5D" w:rsidP="00FD0C5D">
        <w:pPr>
          <w:pStyle w:val="Footer"/>
          <w:jc w:val="center"/>
          <w:rPr>
            <w:b/>
            <w:bCs/>
          </w:rPr>
        </w:pPr>
        <w:r w:rsidRPr="00FD0C5D">
          <w:rPr>
            <w:b/>
            <w:bCs/>
          </w:rPr>
          <w:fldChar w:fldCharType="begin"/>
        </w:r>
        <w:r w:rsidRPr="00FD0C5D">
          <w:rPr>
            <w:b/>
            <w:bCs/>
          </w:rPr>
          <w:instrText xml:space="preserve"> PAGE   \* MERGEFORMAT </w:instrText>
        </w:r>
        <w:r w:rsidRPr="00FD0C5D">
          <w:rPr>
            <w:b/>
            <w:bCs/>
          </w:rPr>
          <w:fldChar w:fldCharType="separate"/>
        </w:r>
        <w:r w:rsidRPr="00FD0C5D">
          <w:rPr>
            <w:b/>
            <w:bCs/>
            <w:noProof/>
          </w:rPr>
          <w:t>2</w:t>
        </w:r>
        <w:r w:rsidRPr="00FD0C5D">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505330" w14:paraId="1B1A9BFB" w14:textId="77777777" w:rsidTr="005A3173">
      <w:trPr>
        <w:trHeight w:val="151"/>
      </w:trPr>
      <w:tc>
        <w:tcPr>
          <w:tcW w:w="2250" w:type="pct"/>
          <w:tcBorders>
            <w:top w:val="nil"/>
            <w:left w:val="nil"/>
            <w:bottom w:val="single" w:sz="4" w:space="0" w:color="4F81BD"/>
            <w:right w:val="nil"/>
          </w:tcBorders>
        </w:tcPr>
        <w:p w14:paraId="1AEC0F9B" w14:textId="77777777" w:rsidR="00505330" w:rsidRPr="005A3173" w:rsidRDefault="00505330"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505330" w:rsidRPr="005A3173" w:rsidRDefault="005053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505330" w:rsidRPr="005A3173" w:rsidRDefault="00505330" w:rsidP="005A3173">
          <w:pPr>
            <w:pStyle w:val="Header"/>
            <w:spacing w:line="276" w:lineRule="auto"/>
            <w:rPr>
              <w:rFonts w:eastAsia="MS Gothic"/>
              <w:b/>
              <w:bCs/>
              <w:color w:val="4F81BD"/>
            </w:rPr>
          </w:pPr>
        </w:p>
      </w:tc>
    </w:tr>
    <w:tr w:rsidR="00505330" w14:paraId="0A17FD7B" w14:textId="77777777" w:rsidTr="005A3173">
      <w:trPr>
        <w:trHeight w:val="150"/>
      </w:trPr>
      <w:tc>
        <w:tcPr>
          <w:tcW w:w="2250" w:type="pct"/>
          <w:tcBorders>
            <w:top w:val="single" w:sz="4" w:space="0" w:color="4F81BD"/>
            <w:left w:val="nil"/>
            <w:bottom w:val="nil"/>
            <w:right w:val="nil"/>
          </w:tcBorders>
        </w:tcPr>
        <w:p w14:paraId="66DEA9D9" w14:textId="77777777" w:rsidR="00505330" w:rsidRPr="005A3173" w:rsidRDefault="00505330" w:rsidP="005A3173">
          <w:pPr>
            <w:pStyle w:val="Header"/>
            <w:spacing w:line="276" w:lineRule="auto"/>
            <w:rPr>
              <w:rFonts w:eastAsia="MS Gothic"/>
              <w:b/>
              <w:bCs/>
              <w:color w:val="4F81BD"/>
            </w:rPr>
          </w:pPr>
        </w:p>
      </w:tc>
      <w:tc>
        <w:tcPr>
          <w:tcW w:w="0" w:type="auto"/>
          <w:vMerge/>
          <w:vAlign w:val="center"/>
          <w:hideMark/>
        </w:tcPr>
        <w:p w14:paraId="0726D67B" w14:textId="77777777" w:rsidR="00505330" w:rsidRPr="005A3173" w:rsidRDefault="00505330" w:rsidP="005A3173">
          <w:pPr>
            <w:rPr>
              <w:color w:val="365F91"/>
              <w:sz w:val="22"/>
              <w:szCs w:val="22"/>
            </w:rPr>
          </w:pPr>
        </w:p>
      </w:tc>
      <w:tc>
        <w:tcPr>
          <w:tcW w:w="2250" w:type="pct"/>
          <w:tcBorders>
            <w:top w:val="single" w:sz="4" w:space="0" w:color="4F81BD"/>
            <w:left w:val="nil"/>
            <w:bottom w:val="nil"/>
            <w:right w:val="nil"/>
          </w:tcBorders>
        </w:tcPr>
        <w:p w14:paraId="77FEEEB1" w14:textId="77777777" w:rsidR="00505330" w:rsidRPr="005A3173" w:rsidRDefault="0050533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05330" w14:paraId="434C4AE3" w14:textId="77777777" w:rsidTr="005A3173">
      <w:trPr>
        <w:trHeight w:val="151"/>
      </w:trPr>
      <w:tc>
        <w:tcPr>
          <w:tcW w:w="2250" w:type="pct"/>
          <w:tcBorders>
            <w:top w:val="nil"/>
            <w:left w:val="nil"/>
            <w:bottom w:val="single" w:sz="4" w:space="0" w:color="4F81BD"/>
            <w:right w:val="nil"/>
          </w:tcBorders>
        </w:tcPr>
        <w:p w14:paraId="556410DA" w14:textId="77777777" w:rsidR="00505330" w:rsidRPr="005A3173" w:rsidRDefault="00505330"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505330" w:rsidRPr="005A3173" w:rsidRDefault="005053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505330" w:rsidRPr="005A3173" w:rsidRDefault="00505330" w:rsidP="005A3173">
          <w:pPr>
            <w:pStyle w:val="Header"/>
            <w:spacing w:line="276" w:lineRule="auto"/>
            <w:rPr>
              <w:rFonts w:eastAsia="MS Gothic"/>
              <w:b/>
              <w:bCs/>
              <w:color w:val="4F81BD"/>
            </w:rPr>
          </w:pPr>
        </w:p>
      </w:tc>
    </w:tr>
    <w:tr w:rsidR="00505330" w14:paraId="2F5EEC4C" w14:textId="77777777" w:rsidTr="005A3173">
      <w:trPr>
        <w:trHeight w:val="150"/>
      </w:trPr>
      <w:tc>
        <w:tcPr>
          <w:tcW w:w="2250" w:type="pct"/>
          <w:tcBorders>
            <w:top w:val="single" w:sz="4" w:space="0" w:color="4F81BD"/>
            <w:left w:val="nil"/>
            <w:bottom w:val="nil"/>
            <w:right w:val="nil"/>
          </w:tcBorders>
        </w:tcPr>
        <w:p w14:paraId="60E1BA15" w14:textId="77777777" w:rsidR="00505330" w:rsidRPr="005A3173" w:rsidRDefault="00505330" w:rsidP="005A3173">
          <w:pPr>
            <w:pStyle w:val="Header"/>
            <w:spacing w:line="276" w:lineRule="auto"/>
            <w:rPr>
              <w:rFonts w:eastAsia="MS Gothic"/>
              <w:b/>
              <w:bCs/>
              <w:color w:val="4F81BD"/>
            </w:rPr>
          </w:pPr>
        </w:p>
      </w:tc>
      <w:tc>
        <w:tcPr>
          <w:tcW w:w="0" w:type="auto"/>
          <w:vMerge/>
          <w:vAlign w:val="center"/>
          <w:hideMark/>
        </w:tcPr>
        <w:p w14:paraId="4EACACBE" w14:textId="77777777" w:rsidR="00505330" w:rsidRPr="005A3173" w:rsidRDefault="00505330" w:rsidP="005A3173">
          <w:pPr>
            <w:rPr>
              <w:color w:val="365F91"/>
              <w:sz w:val="22"/>
              <w:szCs w:val="22"/>
            </w:rPr>
          </w:pPr>
        </w:p>
      </w:tc>
      <w:tc>
        <w:tcPr>
          <w:tcW w:w="2250" w:type="pct"/>
          <w:tcBorders>
            <w:top w:val="single" w:sz="4" w:space="0" w:color="4F81BD"/>
            <w:left w:val="nil"/>
            <w:bottom w:val="nil"/>
            <w:right w:val="nil"/>
          </w:tcBorders>
        </w:tcPr>
        <w:p w14:paraId="516BCB31" w14:textId="77777777" w:rsidR="00505330" w:rsidRPr="005A3173" w:rsidRDefault="00505330" w:rsidP="005A3173">
          <w:pPr>
            <w:pStyle w:val="Header"/>
            <w:spacing w:line="276" w:lineRule="auto"/>
            <w:rPr>
              <w:rFonts w:eastAsia="MS Gothic"/>
              <w:b/>
              <w:bCs/>
              <w:color w:val="4F81BD"/>
            </w:rPr>
          </w:pPr>
        </w:p>
      </w:tc>
    </w:tr>
  </w:tbl>
  <w:p w14:paraId="679BDCC0" w14:textId="77777777" w:rsidR="00505330" w:rsidRPr="007C0F57" w:rsidRDefault="0050533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505330" w:rsidRPr="007C0F57" w:rsidRDefault="00505330" w:rsidP="007C0F57">
    <w:pPr>
      <w:pStyle w:val="Footer"/>
      <w:jc w:val="center"/>
      <w:rPr>
        <w:b/>
        <w:i/>
        <w:sz w:val="20"/>
        <w:szCs w:val="20"/>
      </w:rPr>
    </w:pPr>
    <w:r w:rsidRPr="007C0F57">
      <w:rPr>
        <w:b/>
        <w:i/>
        <w:sz w:val="20"/>
        <w:szCs w:val="20"/>
      </w:rPr>
      <w:t>Commercial-in-Confidence</w:t>
    </w:r>
  </w:p>
  <w:p w14:paraId="36E9E30B" w14:textId="77777777" w:rsidR="00505330" w:rsidRDefault="005053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8F6" w14:textId="77777777" w:rsidR="00505330" w:rsidRDefault="00505330">
      <w:r>
        <w:separator/>
      </w:r>
    </w:p>
    <w:p w14:paraId="01F08E1F" w14:textId="77777777" w:rsidR="00505330" w:rsidRDefault="00505330"/>
  </w:footnote>
  <w:footnote w:type="continuationSeparator" w:id="0">
    <w:p w14:paraId="13D9DEBC" w14:textId="77777777" w:rsidR="00505330" w:rsidRDefault="00505330">
      <w:r>
        <w:continuationSeparator/>
      </w:r>
    </w:p>
    <w:p w14:paraId="28428EFB" w14:textId="77777777" w:rsidR="00505330" w:rsidRDefault="00505330"/>
  </w:footnote>
  <w:footnote w:type="continuationNotice" w:id="1">
    <w:p w14:paraId="299932A3" w14:textId="77777777" w:rsidR="00505330" w:rsidRDefault="00505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05330"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505330" w:rsidRPr="00A06225" w:rsidRDefault="00505330">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505330" w:rsidRPr="00A06225" w:rsidRDefault="0050533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505330" w:rsidRPr="00A06225" w:rsidRDefault="00505330">
          <w:pPr>
            <w:pStyle w:val="Header"/>
            <w:spacing w:line="276" w:lineRule="auto"/>
            <w:rPr>
              <w:rFonts w:ascii="Cambria" w:eastAsia="MS Gothic" w:hAnsi="Cambria"/>
              <w:b/>
              <w:bCs/>
              <w:color w:val="4F81BD"/>
            </w:rPr>
          </w:pPr>
        </w:p>
      </w:tc>
    </w:tr>
    <w:tr w:rsidR="00505330"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505330" w:rsidRPr="00A06225" w:rsidRDefault="00505330">
          <w:pPr>
            <w:pStyle w:val="Header"/>
            <w:spacing w:line="276" w:lineRule="auto"/>
            <w:rPr>
              <w:rFonts w:ascii="Cambria" w:eastAsia="MS Gothic" w:hAnsi="Cambria"/>
              <w:b/>
              <w:bCs/>
              <w:color w:val="4F81BD"/>
            </w:rPr>
          </w:pPr>
        </w:p>
      </w:tc>
      <w:tc>
        <w:tcPr>
          <w:tcW w:w="0" w:type="auto"/>
          <w:vMerge/>
          <w:vAlign w:val="center"/>
          <w:hideMark/>
        </w:tcPr>
        <w:p w14:paraId="00B70FF1" w14:textId="77777777" w:rsidR="00505330" w:rsidRPr="00A06225" w:rsidRDefault="00505330">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505330" w:rsidRPr="00A06225" w:rsidRDefault="00505330">
          <w:pPr>
            <w:pStyle w:val="Header"/>
            <w:spacing w:line="276" w:lineRule="auto"/>
            <w:rPr>
              <w:rFonts w:ascii="Cambria" w:eastAsia="MS Gothic" w:hAnsi="Cambria"/>
              <w:b/>
              <w:bCs/>
              <w:color w:val="4F81BD"/>
            </w:rPr>
          </w:pPr>
        </w:p>
      </w:tc>
    </w:tr>
  </w:tbl>
  <w:p w14:paraId="7DCC695F" w14:textId="77777777" w:rsidR="00505330" w:rsidRDefault="00505330">
    <w:pPr>
      <w:pStyle w:val="Header"/>
    </w:pPr>
  </w:p>
  <w:p w14:paraId="25F34A60" w14:textId="77777777" w:rsidR="00505330" w:rsidRDefault="005053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182B" w14:textId="45AF1227" w:rsidR="00FD0C5D" w:rsidRDefault="002134B1" w:rsidP="00FD0C5D">
    <w:pPr>
      <w:pStyle w:val="Header"/>
      <w:ind w:left="360"/>
      <w:rPr>
        <w:rFonts w:asciiTheme="minorHAnsi" w:hAnsiTheme="minorHAnsi" w:cs="Arial"/>
        <w:i/>
        <w:color w:val="808080"/>
      </w:rPr>
    </w:pPr>
    <w:bookmarkStart w:id="5" w:name="_Hlk76375146"/>
    <w:r>
      <w:rPr>
        <w:rFonts w:asciiTheme="minorHAnsi" w:hAnsiTheme="minorHAnsi" w:cs="Arial"/>
        <w:i/>
        <w:color w:val="808080"/>
      </w:rPr>
      <w:t>Public Summary Document</w:t>
    </w:r>
    <w:r w:rsidR="00FD0C5D">
      <w:rPr>
        <w:rFonts w:asciiTheme="minorHAnsi" w:hAnsiTheme="minorHAnsi" w:cs="Arial"/>
        <w:i/>
        <w:color w:val="808080"/>
      </w:rPr>
      <w:t xml:space="preserve"> – July 2022 PBAC Meeting</w:t>
    </w:r>
  </w:p>
  <w:bookmarkEnd w:id="5"/>
  <w:p w14:paraId="49E1B9F5" w14:textId="77777777" w:rsidR="00505330" w:rsidRDefault="0050533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93A" w14:textId="77777777" w:rsidR="00B42317" w:rsidRDefault="00B42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452DE4"/>
    <w:multiLevelType w:val="hybridMultilevel"/>
    <w:tmpl w:val="68E474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20F03E"/>
    <w:multiLevelType w:val="hybridMultilevel"/>
    <w:tmpl w:val="A6DF45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3"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6" w15:restartNumberingAfterBreak="0">
    <w:nsid w:val="042B0FEC"/>
    <w:multiLevelType w:val="hybridMultilevel"/>
    <w:tmpl w:val="F572CB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4A651A"/>
    <w:multiLevelType w:val="hybridMultilevel"/>
    <w:tmpl w:val="BD90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44933"/>
    <w:multiLevelType w:val="hybridMultilevel"/>
    <w:tmpl w:val="58B80BA8"/>
    <w:lvl w:ilvl="0" w:tplc="3F1ECEA6">
      <w:start w:val="1"/>
      <w:numFmt w:val="upp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EB10448"/>
    <w:multiLevelType w:val="hybridMultilevel"/>
    <w:tmpl w:val="DB806AA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8320F778"/>
    <w:lvl w:ilvl="0" w:tplc="5FA21D4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BBB7FF1"/>
    <w:multiLevelType w:val="hybridMultilevel"/>
    <w:tmpl w:val="852ED10C"/>
    <w:lvl w:ilvl="0" w:tplc="60F052EA">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2"/>
  </w:num>
  <w:num w:numId="3">
    <w:abstractNumId w:val="2"/>
  </w:num>
  <w:num w:numId="4">
    <w:abstractNumId w:val="23"/>
  </w:num>
  <w:num w:numId="5">
    <w:abstractNumId w:val="34"/>
  </w:num>
  <w:num w:numId="6">
    <w:abstractNumId w:val="30"/>
  </w:num>
  <w:num w:numId="7">
    <w:abstractNumId w:val="19"/>
  </w:num>
  <w:num w:numId="8">
    <w:abstractNumId w:val="17"/>
  </w:num>
  <w:num w:numId="9">
    <w:abstractNumId w:val="3"/>
  </w:num>
  <w:num w:numId="10">
    <w:abstractNumId w:val="32"/>
  </w:num>
  <w:num w:numId="11">
    <w:abstractNumId w:val="28"/>
  </w:num>
  <w:num w:numId="12">
    <w:abstractNumId w:val="31"/>
  </w:num>
  <w:num w:numId="13">
    <w:abstractNumId w:val="14"/>
  </w:num>
  <w:num w:numId="14">
    <w:abstractNumId w:val="10"/>
  </w:num>
  <w:num w:numId="15">
    <w:abstractNumId w:val="26"/>
  </w:num>
  <w:num w:numId="16">
    <w:abstractNumId w:val="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2"/>
  </w:num>
  <w:num w:numId="20">
    <w:abstractNumId w:val="9"/>
  </w:num>
  <w:num w:numId="21">
    <w:abstractNumId w:val="8"/>
  </w:num>
  <w:num w:numId="22">
    <w:abstractNumId w:val="18"/>
  </w:num>
  <w:num w:numId="23">
    <w:abstractNumId w:val="1"/>
  </w:num>
  <w:num w:numId="24">
    <w:abstractNumId w:val="0"/>
  </w:num>
  <w:num w:numId="25">
    <w:abstractNumId w:val="6"/>
  </w:num>
  <w:num w:numId="26">
    <w:abstractNumId w:val="24"/>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4DB8"/>
    <w:rsid w:val="00005D6B"/>
    <w:rsid w:val="00006782"/>
    <w:rsid w:val="0001179A"/>
    <w:rsid w:val="00011A59"/>
    <w:rsid w:val="000121EA"/>
    <w:rsid w:val="00014D69"/>
    <w:rsid w:val="00016A41"/>
    <w:rsid w:val="000214D1"/>
    <w:rsid w:val="0002464A"/>
    <w:rsid w:val="00025A04"/>
    <w:rsid w:val="0002693D"/>
    <w:rsid w:val="0003050E"/>
    <w:rsid w:val="0003106B"/>
    <w:rsid w:val="00034905"/>
    <w:rsid w:val="00040A30"/>
    <w:rsid w:val="000421A1"/>
    <w:rsid w:val="0004240E"/>
    <w:rsid w:val="00044EC4"/>
    <w:rsid w:val="00045E26"/>
    <w:rsid w:val="00046903"/>
    <w:rsid w:val="000514B5"/>
    <w:rsid w:val="0005322E"/>
    <w:rsid w:val="00054E2B"/>
    <w:rsid w:val="00060E64"/>
    <w:rsid w:val="000621AB"/>
    <w:rsid w:val="00062E88"/>
    <w:rsid w:val="00066193"/>
    <w:rsid w:val="00066755"/>
    <w:rsid w:val="00071A5B"/>
    <w:rsid w:val="00072730"/>
    <w:rsid w:val="0007337F"/>
    <w:rsid w:val="00074320"/>
    <w:rsid w:val="000763D5"/>
    <w:rsid w:val="00076C38"/>
    <w:rsid w:val="00077143"/>
    <w:rsid w:val="00077A9A"/>
    <w:rsid w:val="00077DF7"/>
    <w:rsid w:val="0008050C"/>
    <w:rsid w:val="00082169"/>
    <w:rsid w:val="000834BE"/>
    <w:rsid w:val="00083F01"/>
    <w:rsid w:val="00087C4C"/>
    <w:rsid w:val="00090BED"/>
    <w:rsid w:val="000918CB"/>
    <w:rsid w:val="00091B06"/>
    <w:rsid w:val="00092AF0"/>
    <w:rsid w:val="000951C4"/>
    <w:rsid w:val="00095ADA"/>
    <w:rsid w:val="000969AD"/>
    <w:rsid w:val="000975FB"/>
    <w:rsid w:val="000A02F8"/>
    <w:rsid w:val="000A3AA2"/>
    <w:rsid w:val="000A44B2"/>
    <w:rsid w:val="000A52F6"/>
    <w:rsid w:val="000A58B8"/>
    <w:rsid w:val="000A75CD"/>
    <w:rsid w:val="000B44C3"/>
    <w:rsid w:val="000B4F97"/>
    <w:rsid w:val="000B558D"/>
    <w:rsid w:val="000B5A89"/>
    <w:rsid w:val="000B65F6"/>
    <w:rsid w:val="000B7767"/>
    <w:rsid w:val="000C5F95"/>
    <w:rsid w:val="000C6996"/>
    <w:rsid w:val="000C7C46"/>
    <w:rsid w:val="000D09E9"/>
    <w:rsid w:val="000D113F"/>
    <w:rsid w:val="000D23BA"/>
    <w:rsid w:val="000D4972"/>
    <w:rsid w:val="000D49C7"/>
    <w:rsid w:val="000E19B7"/>
    <w:rsid w:val="000E20FC"/>
    <w:rsid w:val="000E3DFB"/>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3118"/>
    <w:rsid w:val="00103F1B"/>
    <w:rsid w:val="00104227"/>
    <w:rsid w:val="001053D5"/>
    <w:rsid w:val="00106005"/>
    <w:rsid w:val="001107BF"/>
    <w:rsid w:val="00113649"/>
    <w:rsid w:val="00113990"/>
    <w:rsid w:val="00113D5C"/>
    <w:rsid w:val="00116B03"/>
    <w:rsid w:val="00120AA6"/>
    <w:rsid w:val="001239DB"/>
    <w:rsid w:val="0012417C"/>
    <w:rsid w:val="00124BF2"/>
    <w:rsid w:val="00125837"/>
    <w:rsid w:val="0012597F"/>
    <w:rsid w:val="00126B19"/>
    <w:rsid w:val="00126D3A"/>
    <w:rsid w:val="0012749D"/>
    <w:rsid w:val="001304E8"/>
    <w:rsid w:val="001306A5"/>
    <w:rsid w:val="00130918"/>
    <w:rsid w:val="001311AE"/>
    <w:rsid w:val="00133C36"/>
    <w:rsid w:val="001366C2"/>
    <w:rsid w:val="00136C17"/>
    <w:rsid w:val="00140B74"/>
    <w:rsid w:val="00140D94"/>
    <w:rsid w:val="00142395"/>
    <w:rsid w:val="00142714"/>
    <w:rsid w:val="00144D09"/>
    <w:rsid w:val="001452ED"/>
    <w:rsid w:val="00147D84"/>
    <w:rsid w:val="00147FC9"/>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77CBF"/>
    <w:rsid w:val="00180713"/>
    <w:rsid w:val="00180720"/>
    <w:rsid w:val="001830CE"/>
    <w:rsid w:val="001836E3"/>
    <w:rsid w:val="00184659"/>
    <w:rsid w:val="001860E5"/>
    <w:rsid w:val="0018643B"/>
    <w:rsid w:val="00196307"/>
    <w:rsid w:val="00197C70"/>
    <w:rsid w:val="00197F03"/>
    <w:rsid w:val="001A048E"/>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A0F"/>
    <w:rsid w:val="001C2E42"/>
    <w:rsid w:val="001D1F5F"/>
    <w:rsid w:val="001D4895"/>
    <w:rsid w:val="001E06D2"/>
    <w:rsid w:val="001E0A12"/>
    <w:rsid w:val="001E17C4"/>
    <w:rsid w:val="001E2D65"/>
    <w:rsid w:val="001F005B"/>
    <w:rsid w:val="001F1850"/>
    <w:rsid w:val="001F1FBF"/>
    <w:rsid w:val="001F2311"/>
    <w:rsid w:val="001F2B80"/>
    <w:rsid w:val="001F2F1C"/>
    <w:rsid w:val="001F3189"/>
    <w:rsid w:val="00200BEA"/>
    <w:rsid w:val="00201FB8"/>
    <w:rsid w:val="00203FAC"/>
    <w:rsid w:val="002133FB"/>
    <w:rsid w:val="002134B1"/>
    <w:rsid w:val="00213CFB"/>
    <w:rsid w:val="0021553C"/>
    <w:rsid w:val="0021557B"/>
    <w:rsid w:val="00216B87"/>
    <w:rsid w:val="002174FD"/>
    <w:rsid w:val="00217BE1"/>
    <w:rsid w:val="002214B9"/>
    <w:rsid w:val="00222680"/>
    <w:rsid w:val="00223370"/>
    <w:rsid w:val="00226650"/>
    <w:rsid w:val="00227BC5"/>
    <w:rsid w:val="00230F63"/>
    <w:rsid w:val="00234252"/>
    <w:rsid w:val="0023466E"/>
    <w:rsid w:val="0023486A"/>
    <w:rsid w:val="00237AC6"/>
    <w:rsid w:val="00242BFD"/>
    <w:rsid w:val="00244139"/>
    <w:rsid w:val="00244490"/>
    <w:rsid w:val="00244BEC"/>
    <w:rsid w:val="00245B9C"/>
    <w:rsid w:val="00252587"/>
    <w:rsid w:val="00253499"/>
    <w:rsid w:val="002551A4"/>
    <w:rsid w:val="00257664"/>
    <w:rsid w:val="00260165"/>
    <w:rsid w:val="00265151"/>
    <w:rsid w:val="00265C2C"/>
    <w:rsid w:val="00266509"/>
    <w:rsid w:val="00271BA1"/>
    <w:rsid w:val="00273AC5"/>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EF7"/>
    <w:rsid w:val="002A2B7B"/>
    <w:rsid w:val="002A3F6E"/>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2641"/>
    <w:rsid w:val="002D283A"/>
    <w:rsid w:val="002D4543"/>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3FB7"/>
    <w:rsid w:val="003476EE"/>
    <w:rsid w:val="003541DD"/>
    <w:rsid w:val="00356E5B"/>
    <w:rsid w:val="00360887"/>
    <w:rsid w:val="0036249F"/>
    <w:rsid w:val="00371246"/>
    <w:rsid w:val="003736C9"/>
    <w:rsid w:val="00383B77"/>
    <w:rsid w:val="00384486"/>
    <w:rsid w:val="00384988"/>
    <w:rsid w:val="00384B72"/>
    <w:rsid w:val="003872CF"/>
    <w:rsid w:val="003874CB"/>
    <w:rsid w:val="003917E1"/>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5FFE"/>
    <w:rsid w:val="003D24C5"/>
    <w:rsid w:val="003D4594"/>
    <w:rsid w:val="003D4AC4"/>
    <w:rsid w:val="003D5433"/>
    <w:rsid w:val="003D5AA5"/>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590E"/>
    <w:rsid w:val="00407CC8"/>
    <w:rsid w:val="00411F88"/>
    <w:rsid w:val="00414F0C"/>
    <w:rsid w:val="00420400"/>
    <w:rsid w:val="00423E78"/>
    <w:rsid w:val="004252EC"/>
    <w:rsid w:val="00430D39"/>
    <w:rsid w:val="0043392E"/>
    <w:rsid w:val="00442C91"/>
    <w:rsid w:val="004465BD"/>
    <w:rsid w:val="00446938"/>
    <w:rsid w:val="004528FA"/>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5D73"/>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463D"/>
    <w:rsid w:val="004C524C"/>
    <w:rsid w:val="004C5EDD"/>
    <w:rsid w:val="004C5FFA"/>
    <w:rsid w:val="004C691D"/>
    <w:rsid w:val="004C6C07"/>
    <w:rsid w:val="004C7E15"/>
    <w:rsid w:val="004D2CD1"/>
    <w:rsid w:val="004D4FF6"/>
    <w:rsid w:val="004D5ADD"/>
    <w:rsid w:val="004E4605"/>
    <w:rsid w:val="004E5D69"/>
    <w:rsid w:val="004E692D"/>
    <w:rsid w:val="004E7230"/>
    <w:rsid w:val="004E7D87"/>
    <w:rsid w:val="004F2553"/>
    <w:rsid w:val="004F306A"/>
    <w:rsid w:val="004F45C7"/>
    <w:rsid w:val="00501554"/>
    <w:rsid w:val="00502AFE"/>
    <w:rsid w:val="00502E64"/>
    <w:rsid w:val="00503AD7"/>
    <w:rsid w:val="00503E89"/>
    <w:rsid w:val="00504E0C"/>
    <w:rsid w:val="00504E13"/>
    <w:rsid w:val="00505330"/>
    <w:rsid w:val="005109D4"/>
    <w:rsid w:val="0051230A"/>
    <w:rsid w:val="00514CD7"/>
    <w:rsid w:val="005167EC"/>
    <w:rsid w:val="00516983"/>
    <w:rsid w:val="005170DA"/>
    <w:rsid w:val="00520D6A"/>
    <w:rsid w:val="00522DB6"/>
    <w:rsid w:val="005264A7"/>
    <w:rsid w:val="0052792D"/>
    <w:rsid w:val="0053146B"/>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484E"/>
    <w:rsid w:val="00565999"/>
    <w:rsid w:val="00567D8A"/>
    <w:rsid w:val="00570231"/>
    <w:rsid w:val="005764CD"/>
    <w:rsid w:val="00577C4D"/>
    <w:rsid w:val="00580532"/>
    <w:rsid w:val="00580D19"/>
    <w:rsid w:val="00581932"/>
    <w:rsid w:val="00584AD9"/>
    <w:rsid w:val="005903BB"/>
    <w:rsid w:val="00593893"/>
    <w:rsid w:val="005963BB"/>
    <w:rsid w:val="005A15D2"/>
    <w:rsid w:val="005A3173"/>
    <w:rsid w:val="005A3223"/>
    <w:rsid w:val="005A3DA3"/>
    <w:rsid w:val="005A52C4"/>
    <w:rsid w:val="005A63A1"/>
    <w:rsid w:val="005B0486"/>
    <w:rsid w:val="005B1473"/>
    <w:rsid w:val="005B36FA"/>
    <w:rsid w:val="005C3694"/>
    <w:rsid w:val="005C4F73"/>
    <w:rsid w:val="005D03AB"/>
    <w:rsid w:val="005D2591"/>
    <w:rsid w:val="005D401D"/>
    <w:rsid w:val="005D5017"/>
    <w:rsid w:val="005D5708"/>
    <w:rsid w:val="005D63FA"/>
    <w:rsid w:val="005D73C7"/>
    <w:rsid w:val="005E0C2D"/>
    <w:rsid w:val="005E0D82"/>
    <w:rsid w:val="005E0F59"/>
    <w:rsid w:val="005E1333"/>
    <w:rsid w:val="005E3136"/>
    <w:rsid w:val="005E507D"/>
    <w:rsid w:val="005F096C"/>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1169"/>
    <w:rsid w:val="00653D69"/>
    <w:rsid w:val="006552E6"/>
    <w:rsid w:val="00655794"/>
    <w:rsid w:val="00656F2F"/>
    <w:rsid w:val="00657C63"/>
    <w:rsid w:val="00661CBC"/>
    <w:rsid w:val="00662B85"/>
    <w:rsid w:val="006670BE"/>
    <w:rsid w:val="00670A76"/>
    <w:rsid w:val="006711AA"/>
    <w:rsid w:val="00672B57"/>
    <w:rsid w:val="00673F1F"/>
    <w:rsid w:val="00675622"/>
    <w:rsid w:val="0067747D"/>
    <w:rsid w:val="006812EE"/>
    <w:rsid w:val="006818D5"/>
    <w:rsid w:val="00681CA4"/>
    <w:rsid w:val="0069039D"/>
    <w:rsid w:val="006906DB"/>
    <w:rsid w:val="00691900"/>
    <w:rsid w:val="00691E6C"/>
    <w:rsid w:val="0069342D"/>
    <w:rsid w:val="00693DFB"/>
    <w:rsid w:val="00694CC5"/>
    <w:rsid w:val="00694FD5"/>
    <w:rsid w:val="0069501D"/>
    <w:rsid w:val="00696129"/>
    <w:rsid w:val="00697CF2"/>
    <w:rsid w:val="006A12A5"/>
    <w:rsid w:val="006A2515"/>
    <w:rsid w:val="006A5E20"/>
    <w:rsid w:val="006B0D94"/>
    <w:rsid w:val="006B16B6"/>
    <w:rsid w:val="006B485D"/>
    <w:rsid w:val="006C0C45"/>
    <w:rsid w:val="006C334C"/>
    <w:rsid w:val="006C6C10"/>
    <w:rsid w:val="006C708E"/>
    <w:rsid w:val="006D14E7"/>
    <w:rsid w:val="006D4444"/>
    <w:rsid w:val="006D6493"/>
    <w:rsid w:val="006D6EC7"/>
    <w:rsid w:val="006D7E45"/>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0B6C"/>
    <w:rsid w:val="0073137C"/>
    <w:rsid w:val="007340B9"/>
    <w:rsid w:val="007353D3"/>
    <w:rsid w:val="0074156B"/>
    <w:rsid w:val="00741619"/>
    <w:rsid w:val="00747092"/>
    <w:rsid w:val="007526E6"/>
    <w:rsid w:val="00754DF9"/>
    <w:rsid w:val="007555E8"/>
    <w:rsid w:val="00755CC5"/>
    <w:rsid w:val="00762862"/>
    <w:rsid w:val="0076420C"/>
    <w:rsid w:val="00771D07"/>
    <w:rsid w:val="00772649"/>
    <w:rsid w:val="007738A8"/>
    <w:rsid w:val="00773BE3"/>
    <w:rsid w:val="007743DD"/>
    <w:rsid w:val="00774E2C"/>
    <w:rsid w:val="0077503C"/>
    <w:rsid w:val="0077518D"/>
    <w:rsid w:val="007753C2"/>
    <w:rsid w:val="00776068"/>
    <w:rsid w:val="007838B8"/>
    <w:rsid w:val="00785779"/>
    <w:rsid w:val="00785EEB"/>
    <w:rsid w:val="00787FD8"/>
    <w:rsid w:val="007915BA"/>
    <w:rsid w:val="00791844"/>
    <w:rsid w:val="00793CE9"/>
    <w:rsid w:val="007943B1"/>
    <w:rsid w:val="00796667"/>
    <w:rsid w:val="00797068"/>
    <w:rsid w:val="007979BD"/>
    <w:rsid w:val="007A5C88"/>
    <w:rsid w:val="007A6A2F"/>
    <w:rsid w:val="007A7B37"/>
    <w:rsid w:val="007B024E"/>
    <w:rsid w:val="007B2034"/>
    <w:rsid w:val="007B3BAF"/>
    <w:rsid w:val="007B3DDC"/>
    <w:rsid w:val="007B72A6"/>
    <w:rsid w:val="007B7E7E"/>
    <w:rsid w:val="007C06D2"/>
    <w:rsid w:val="007C08E0"/>
    <w:rsid w:val="007C0F57"/>
    <w:rsid w:val="007C40B6"/>
    <w:rsid w:val="007C5975"/>
    <w:rsid w:val="007C729F"/>
    <w:rsid w:val="007D39B9"/>
    <w:rsid w:val="007D503D"/>
    <w:rsid w:val="007D59E7"/>
    <w:rsid w:val="007D5F2A"/>
    <w:rsid w:val="007E07AC"/>
    <w:rsid w:val="007E1014"/>
    <w:rsid w:val="007E12F8"/>
    <w:rsid w:val="007E1D28"/>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5FD6"/>
    <w:rsid w:val="00856DDD"/>
    <w:rsid w:val="00860233"/>
    <w:rsid w:val="00863E68"/>
    <w:rsid w:val="008647B5"/>
    <w:rsid w:val="00867D64"/>
    <w:rsid w:val="00872E8F"/>
    <w:rsid w:val="00875DCB"/>
    <w:rsid w:val="00876FBF"/>
    <w:rsid w:val="0087755A"/>
    <w:rsid w:val="00881137"/>
    <w:rsid w:val="00881CA1"/>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1BB"/>
    <w:rsid w:val="008A59D9"/>
    <w:rsid w:val="008A63DE"/>
    <w:rsid w:val="008A643E"/>
    <w:rsid w:val="008A6819"/>
    <w:rsid w:val="008B007A"/>
    <w:rsid w:val="008B2EC0"/>
    <w:rsid w:val="008B63F9"/>
    <w:rsid w:val="008B6DCF"/>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16D1"/>
    <w:rsid w:val="00926560"/>
    <w:rsid w:val="00926B15"/>
    <w:rsid w:val="00930291"/>
    <w:rsid w:val="00930937"/>
    <w:rsid w:val="009324A6"/>
    <w:rsid w:val="00932D18"/>
    <w:rsid w:val="00933346"/>
    <w:rsid w:val="00933B7D"/>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44D9"/>
    <w:rsid w:val="00964A9F"/>
    <w:rsid w:val="00966D0D"/>
    <w:rsid w:val="00967732"/>
    <w:rsid w:val="0096783C"/>
    <w:rsid w:val="00970023"/>
    <w:rsid w:val="009722B3"/>
    <w:rsid w:val="00973E24"/>
    <w:rsid w:val="00974C21"/>
    <w:rsid w:val="00975948"/>
    <w:rsid w:val="00977006"/>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4BC"/>
    <w:rsid w:val="009A4BDF"/>
    <w:rsid w:val="009A5D04"/>
    <w:rsid w:val="009A61CA"/>
    <w:rsid w:val="009B0C64"/>
    <w:rsid w:val="009B0F67"/>
    <w:rsid w:val="009B208A"/>
    <w:rsid w:val="009B2756"/>
    <w:rsid w:val="009B3D56"/>
    <w:rsid w:val="009B3F8C"/>
    <w:rsid w:val="009B533B"/>
    <w:rsid w:val="009B6FCC"/>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7BC"/>
    <w:rsid w:val="00A110D1"/>
    <w:rsid w:val="00A12587"/>
    <w:rsid w:val="00A128E6"/>
    <w:rsid w:val="00A144D3"/>
    <w:rsid w:val="00A21D7D"/>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9B3"/>
    <w:rsid w:val="00A44EC1"/>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677"/>
    <w:rsid w:val="00A77613"/>
    <w:rsid w:val="00A77B87"/>
    <w:rsid w:val="00A81851"/>
    <w:rsid w:val="00A8390C"/>
    <w:rsid w:val="00A86AE0"/>
    <w:rsid w:val="00A91362"/>
    <w:rsid w:val="00A9151C"/>
    <w:rsid w:val="00A919C6"/>
    <w:rsid w:val="00A928BD"/>
    <w:rsid w:val="00A94D80"/>
    <w:rsid w:val="00A97DE9"/>
    <w:rsid w:val="00AA12CD"/>
    <w:rsid w:val="00AA4D1C"/>
    <w:rsid w:val="00AA52FD"/>
    <w:rsid w:val="00AA7006"/>
    <w:rsid w:val="00AB4684"/>
    <w:rsid w:val="00AB5856"/>
    <w:rsid w:val="00AC081D"/>
    <w:rsid w:val="00AC0C6F"/>
    <w:rsid w:val="00AC1266"/>
    <w:rsid w:val="00AC193C"/>
    <w:rsid w:val="00AC30C1"/>
    <w:rsid w:val="00AC4DE5"/>
    <w:rsid w:val="00AC5206"/>
    <w:rsid w:val="00AD3106"/>
    <w:rsid w:val="00AD4322"/>
    <w:rsid w:val="00AE11A5"/>
    <w:rsid w:val="00AE13E2"/>
    <w:rsid w:val="00AE22D3"/>
    <w:rsid w:val="00AE5A49"/>
    <w:rsid w:val="00AF11D8"/>
    <w:rsid w:val="00AF4A74"/>
    <w:rsid w:val="00AF5867"/>
    <w:rsid w:val="00AF62DF"/>
    <w:rsid w:val="00AF68CC"/>
    <w:rsid w:val="00AF70D7"/>
    <w:rsid w:val="00B00CD0"/>
    <w:rsid w:val="00B00E7F"/>
    <w:rsid w:val="00B01FF4"/>
    <w:rsid w:val="00B02276"/>
    <w:rsid w:val="00B0326D"/>
    <w:rsid w:val="00B0384A"/>
    <w:rsid w:val="00B06037"/>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52A9"/>
    <w:rsid w:val="00B37A23"/>
    <w:rsid w:val="00B37CF8"/>
    <w:rsid w:val="00B42317"/>
    <w:rsid w:val="00B42AF4"/>
    <w:rsid w:val="00B43E90"/>
    <w:rsid w:val="00B44308"/>
    <w:rsid w:val="00B45722"/>
    <w:rsid w:val="00B46372"/>
    <w:rsid w:val="00B467DC"/>
    <w:rsid w:val="00B52303"/>
    <w:rsid w:val="00B5392A"/>
    <w:rsid w:val="00B539EF"/>
    <w:rsid w:val="00B56118"/>
    <w:rsid w:val="00B566E1"/>
    <w:rsid w:val="00B56AFB"/>
    <w:rsid w:val="00B602F6"/>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956ED"/>
    <w:rsid w:val="00BA2DA8"/>
    <w:rsid w:val="00BA347C"/>
    <w:rsid w:val="00BA4C79"/>
    <w:rsid w:val="00BB298A"/>
    <w:rsid w:val="00BB3469"/>
    <w:rsid w:val="00BB5C49"/>
    <w:rsid w:val="00BB6240"/>
    <w:rsid w:val="00BB6285"/>
    <w:rsid w:val="00BB69F5"/>
    <w:rsid w:val="00BB6AF8"/>
    <w:rsid w:val="00BB7EC3"/>
    <w:rsid w:val="00BC04B1"/>
    <w:rsid w:val="00BC470E"/>
    <w:rsid w:val="00BC4B9A"/>
    <w:rsid w:val="00BC5446"/>
    <w:rsid w:val="00BD02C3"/>
    <w:rsid w:val="00BD7483"/>
    <w:rsid w:val="00BD784C"/>
    <w:rsid w:val="00BE020A"/>
    <w:rsid w:val="00BE0D79"/>
    <w:rsid w:val="00BE13DF"/>
    <w:rsid w:val="00BE1EF0"/>
    <w:rsid w:val="00BE25D7"/>
    <w:rsid w:val="00BF092C"/>
    <w:rsid w:val="00BF27A0"/>
    <w:rsid w:val="00BF4CB6"/>
    <w:rsid w:val="00BF6CBD"/>
    <w:rsid w:val="00C00DA7"/>
    <w:rsid w:val="00C034FB"/>
    <w:rsid w:val="00C04CDE"/>
    <w:rsid w:val="00C068A6"/>
    <w:rsid w:val="00C12768"/>
    <w:rsid w:val="00C12D70"/>
    <w:rsid w:val="00C16724"/>
    <w:rsid w:val="00C21B09"/>
    <w:rsid w:val="00C25EFF"/>
    <w:rsid w:val="00C2673A"/>
    <w:rsid w:val="00C278CD"/>
    <w:rsid w:val="00C27B58"/>
    <w:rsid w:val="00C27C1C"/>
    <w:rsid w:val="00C33186"/>
    <w:rsid w:val="00C35996"/>
    <w:rsid w:val="00C42BCD"/>
    <w:rsid w:val="00C46AD2"/>
    <w:rsid w:val="00C46C13"/>
    <w:rsid w:val="00C4747E"/>
    <w:rsid w:val="00C5151E"/>
    <w:rsid w:val="00C5342C"/>
    <w:rsid w:val="00C53B2B"/>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48D9"/>
    <w:rsid w:val="00CA5728"/>
    <w:rsid w:val="00CA7E47"/>
    <w:rsid w:val="00CB1193"/>
    <w:rsid w:val="00CB2E2C"/>
    <w:rsid w:val="00CB4767"/>
    <w:rsid w:val="00CB493D"/>
    <w:rsid w:val="00CB4A54"/>
    <w:rsid w:val="00CC3B97"/>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56A9"/>
    <w:rsid w:val="00D069EB"/>
    <w:rsid w:val="00D07A8A"/>
    <w:rsid w:val="00D10E31"/>
    <w:rsid w:val="00D11199"/>
    <w:rsid w:val="00D13FE7"/>
    <w:rsid w:val="00D1455A"/>
    <w:rsid w:val="00D14A70"/>
    <w:rsid w:val="00D207EA"/>
    <w:rsid w:val="00D22093"/>
    <w:rsid w:val="00D31150"/>
    <w:rsid w:val="00D3138B"/>
    <w:rsid w:val="00D31FCE"/>
    <w:rsid w:val="00D32770"/>
    <w:rsid w:val="00D3280C"/>
    <w:rsid w:val="00D3406A"/>
    <w:rsid w:val="00D34D24"/>
    <w:rsid w:val="00D40B11"/>
    <w:rsid w:val="00D42864"/>
    <w:rsid w:val="00D429EC"/>
    <w:rsid w:val="00D441F1"/>
    <w:rsid w:val="00D4572C"/>
    <w:rsid w:val="00D469B2"/>
    <w:rsid w:val="00D52B24"/>
    <w:rsid w:val="00D54745"/>
    <w:rsid w:val="00D54B09"/>
    <w:rsid w:val="00D568AF"/>
    <w:rsid w:val="00D6243E"/>
    <w:rsid w:val="00D65658"/>
    <w:rsid w:val="00D67EB2"/>
    <w:rsid w:val="00D70349"/>
    <w:rsid w:val="00D72B6F"/>
    <w:rsid w:val="00D741EB"/>
    <w:rsid w:val="00D7679C"/>
    <w:rsid w:val="00D820F3"/>
    <w:rsid w:val="00D83605"/>
    <w:rsid w:val="00D84934"/>
    <w:rsid w:val="00D866EB"/>
    <w:rsid w:val="00D87D1A"/>
    <w:rsid w:val="00D906DA"/>
    <w:rsid w:val="00D91271"/>
    <w:rsid w:val="00D919F5"/>
    <w:rsid w:val="00D945CA"/>
    <w:rsid w:val="00D945F6"/>
    <w:rsid w:val="00D9493E"/>
    <w:rsid w:val="00D94F03"/>
    <w:rsid w:val="00D95161"/>
    <w:rsid w:val="00D95C23"/>
    <w:rsid w:val="00DA0A82"/>
    <w:rsid w:val="00DA0D14"/>
    <w:rsid w:val="00DA1FC9"/>
    <w:rsid w:val="00DA2CB5"/>
    <w:rsid w:val="00DA383E"/>
    <w:rsid w:val="00DA42F5"/>
    <w:rsid w:val="00DA4BAC"/>
    <w:rsid w:val="00DA722E"/>
    <w:rsid w:val="00DA792A"/>
    <w:rsid w:val="00DB0151"/>
    <w:rsid w:val="00DB04D7"/>
    <w:rsid w:val="00DB50E1"/>
    <w:rsid w:val="00DC0566"/>
    <w:rsid w:val="00DC05E1"/>
    <w:rsid w:val="00DC1499"/>
    <w:rsid w:val="00DC16CF"/>
    <w:rsid w:val="00DC2C3E"/>
    <w:rsid w:val="00DC3137"/>
    <w:rsid w:val="00DC4880"/>
    <w:rsid w:val="00DC5E90"/>
    <w:rsid w:val="00DD0773"/>
    <w:rsid w:val="00DD0BE9"/>
    <w:rsid w:val="00DD26F9"/>
    <w:rsid w:val="00DD42AB"/>
    <w:rsid w:val="00DE06AF"/>
    <w:rsid w:val="00DE6D27"/>
    <w:rsid w:val="00DE76EA"/>
    <w:rsid w:val="00DF01F8"/>
    <w:rsid w:val="00DF021D"/>
    <w:rsid w:val="00DF14EE"/>
    <w:rsid w:val="00DF217D"/>
    <w:rsid w:val="00DF26A7"/>
    <w:rsid w:val="00DF3277"/>
    <w:rsid w:val="00DF6A31"/>
    <w:rsid w:val="00DF77A1"/>
    <w:rsid w:val="00DF7919"/>
    <w:rsid w:val="00E019CD"/>
    <w:rsid w:val="00E0207E"/>
    <w:rsid w:val="00E02AE6"/>
    <w:rsid w:val="00E03912"/>
    <w:rsid w:val="00E04748"/>
    <w:rsid w:val="00E05FE5"/>
    <w:rsid w:val="00E078D9"/>
    <w:rsid w:val="00E10293"/>
    <w:rsid w:val="00E103A0"/>
    <w:rsid w:val="00E1043F"/>
    <w:rsid w:val="00E11F44"/>
    <w:rsid w:val="00E13E60"/>
    <w:rsid w:val="00E15627"/>
    <w:rsid w:val="00E164B3"/>
    <w:rsid w:val="00E16910"/>
    <w:rsid w:val="00E239E2"/>
    <w:rsid w:val="00E24E09"/>
    <w:rsid w:val="00E27234"/>
    <w:rsid w:val="00E33228"/>
    <w:rsid w:val="00E3495C"/>
    <w:rsid w:val="00E35BB5"/>
    <w:rsid w:val="00E42BDB"/>
    <w:rsid w:val="00E505A8"/>
    <w:rsid w:val="00E5726D"/>
    <w:rsid w:val="00E57EEB"/>
    <w:rsid w:val="00E62D94"/>
    <w:rsid w:val="00E62ECC"/>
    <w:rsid w:val="00E64F37"/>
    <w:rsid w:val="00E65091"/>
    <w:rsid w:val="00E65393"/>
    <w:rsid w:val="00E65E54"/>
    <w:rsid w:val="00E661C7"/>
    <w:rsid w:val="00E732C4"/>
    <w:rsid w:val="00E74E41"/>
    <w:rsid w:val="00E80155"/>
    <w:rsid w:val="00E8134B"/>
    <w:rsid w:val="00E81E0D"/>
    <w:rsid w:val="00E81F28"/>
    <w:rsid w:val="00E848C0"/>
    <w:rsid w:val="00E84BB8"/>
    <w:rsid w:val="00E86F92"/>
    <w:rsid w:val="00E90B10"/>
    <w:rsid w:val="00E91B96"/>
    <w:rsid w:val="00E92F2E"/>
    <w:rsid w:val="00E935DA"/>
    <w:rsid w:val="00E93D1E"/>
    <w:rsid w:val="00E941A1"/>
    <w:rsid w:val="00E95CE3"/>
    <w:rsid w:val="00E95F9A"/>
    <w:rsid w:val="00EA0856"/>
    <w:rsid w:val="00EA1DC4"/>
    <w:rsid w:val="00EA252F"/>
    <w:rsid w:val="00EA2825"/>
    <w:rsid w:val="00EA34DE"/>
    <w:rsid w:val="00EA390A"/>
    <w:rsid w:val="00EA5027"/>
    <w:rsid w:val="00EA64C2"/>
    <w:rsid w:val="00EA6518"/>
    <w:rsid w:val="00EA71A2"/>
    <w:rsid w:val="00EA7466"/>
    <w:rsid w:val="00EA7EDE"/>
    <w:rsid w:val="00EB0B63"/>
    <w:rsid w:val="00EB1936"/>
    <w:rsid w:val="00EB3545"/>
    <w:rsid w:val="00EB37BE"/>
    <w:rsid w:val="00EB4BAE"/>
    <w:rsid w:val="00EB5088"/>
    <w:rsid w:val="00EB5894"/>
    <w:rsid w:val="00EB7210"/>
    <w:rsid w:val="00EC2726"/>
    <w:rsid w:val="00EC456E"/>
    <w:rsid w:val="00EC681C"/>
    <w:rsid w:val="00EC7B87"/>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50CF"/>
    <w:rsid w:val="00F553D2"/>
    <w:rsid w:val="00F56A2D"/>
    <w:rsid w:val="00F57A6D"/>
    <w:rsid w:val="00F57E80"/>
    <w:rsid w:val="00F6044B"/>
    <w:rsid w:val="00F62F19"/>
    <w:rsid w:val="00F638CC"/>
    <w:rsid w:val="00F64C9E"/>
    <w:rsid w:val="00F64CC1"/>
    <w:rsid w:val="00F708B1"/>
    <w:rsid w:val="00F72317"/>
    <w:rsid w:val="00F73241"/>
    <w:rsid w:val="00F73DC1"/>
    <w:rsid w:val="00F75BB8"/>
    <w:rsid w:val="00F77714"/>
    <w:rsid w:val="00F80475"/>
    <w:rsid w:val="00F80E6E"/>
    <w:rsid w:val="00F81390"/>
    <w:rsid w:val="00F81F7A"/>
    <w:rsid w:val="00F8247A"/>
    <w:rsid w:val="00F82E5C"/>
    <w:rsid w:val="00F83F58"/>
    <w:rsid w:val="00F85206"/>
    <w:rsid w:val="00F87CEA"/>
    <w:rsid w:val="00F90D94"/>
    <w:rsid w:val="00F9629A"/>
    <w:rsid w:val="00F97EFC"/>
    <w:rsid w:val="00FA0B04"/>
    <w:rsid w:val="00FA0C7C"/>
    <w:rsid w:val="00FA17AE"/>
    <w:rsid w:val="00FA1BDD"/>
    <w:rsid w:val="00FA305C"/>
    <w:rsid w:val="00FA462E"/>
    <w:rsid w:val="00FA4DD5"/>
    <w:rsid w:val="00FA5883"/>
    <w:rsid w:val="00FA6055"/>
    <w:rsid w:val="00FB0B39"/>
    <w:rsid w:val="00FB0F22"/>
    <w:rsid w:val="00FB322F"/>
    <w:rsid w:val="00FB442F"/>
    <w:rsid w:val="00FB4BC9"/>
    <w:rsid w:val="00FC118C"/>
    <w:rsid w:val="00FC1929"/>
    <w:rsid w:val="00FC5B46"/>
    <w:rsid w:val="00FD0C5D"/>
    <w:rsid w:val="00FD1D4F"/>
    <w:rsid w:val="00FD24BF"/>
    <w:rsid w:val="00FD3B6E"/>
    <w:rsid w:val="00FD4140"/>
    <w:rsid w:val="00FD57EB"/>
    <w:rsid w:val="00FD6D8E"/>
    <w:rsid w:val="00FE0663"/>
    <w:rsid w:val="00FE0E94"/>
    <w:rsid w:val="00FE369C"/>
    <w:rsid w:val="00FE3CD9"/>
    <w:rsid w:val="00FE68B5"/>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3-SubsectionHeadingChar">
    <w:name w:val="3-Subsection Heading Char"/>
    <w:basedOn w:val="DefaultParagraphFont"/>
    <w:link w:val="3-SubsectionHeading"/>
    <w:locked/>
    <w:rsid w:val="00FD0C5D"/>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FD0C5D"/>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0636169">
      <w:bodyDiv w:val="1"/>
      <w:marLeft w:val="0"/>
      <w:marRight w:val="0"/>
      <w:marTop w:val="0"/>
      <w:marBottom w:val="0"/>
      <w:divBdr>
        <w:top w:val="none" w:sz="0" w:space="0" w:color="auto"/>
        <w:left w:val="none" w:sz="0" w:space="0" w:color="auto"/>
        <w:bottom w:val="none" w:sz="0" w:space="0" w:color="auto"/>
        <w:right w:val="none" w:sz="0" w:space="0" w:color="auto"/>
      </w:divBdr>
      <w:divsChild>
        <w:div w:id="1131554274">
          <w:marLeft w:val="0"/>
          <w:marRight w:val="0"/>
          <w:marTop w:val="0"/>
          <w:marBottom w:val="0"/>
          <w:divBdr>
            <w:top w:val="none" w:sz="0" w:space="0" w:color="auto"/>
            <w:left w:val="none" w:sz="0" w:space="0" w:color="auto"/>
            <w:bottom w:val="none" w:sz="0" w:space="0" w:color="auto"/>
            <w:right w:val="none" w:sz="0" w:space="0" w:color="auto"/>
          </w:divBdr>
          <w:divsChild>
            <w:div w:id="1577856872">
              <w:marLeft w:val="0"/>
              <w:marRight w:val="0"/>
              <w:marTop w:val="0"/>
              <w:marBottom w:val="0"/>
              <w:divBdr>
                <w:top w:val="none" w:sz="0" w:space="0" w:color="auto"/>
                <w:left w:val="none" w:sz="0" w:space="0" w:color="auto"/>
                <w:bottom w:val="none" w:sz="0" w:space="0" w:color="auto"/>
                <w:right w:val="none" w:sz="0" w:space="0" w:color="auto"/>
              </w:divBdr>
              <w:divsChild>
                <w:div w:id="8310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405">
          <w:marLeft w:val="0"/>
          <w:marRight w:val="0"/>
          <w:marTop w:val="0"/>
          <w:marBottom w:val="0"/>
          <w:divBdr>
            <w:top w:val="none" w:sz="0" w:space="0" w:color="auto"/>
            <w:left w:val="none" w:sz="0" w:space="0" w:color="auto"/>
            <w:bottom w:val="none" w:sz="0" w:space="0" w:color="auto"/>
            <w:right w:val="none" w:sz="0" w:space="0" w:color="auto"/>
          </w:divBdr>
          <w:divsChild>
            <w:div w:id="293803003">
              <w:marLeft w:val="0"/>
              <w:marRight w:val="0"/>
              <w:marTop w:val="0"/>
              <w:marBottom w:val="0"/>
              <w:divBdr>
                <w:top w:val="none" w:sz="0" w:space="0" w:color="auto"/>
                <w:left w:val="none" w:sz="0" w:space="0" w:color="auto"/>
                <w:bottom w:val="none" w:sz="0" w:space="0" w:color="auto"/>
                <w:right w:val="none" w:sz="0" w:space="0" w:color="auto"/>
              </w:divBdr>
              <w:divsChild>
                <w:div w:id="19372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7992">
          <w:marLeft w:val="0"/>
          <w:marRight w:val="0"/>
          <w:marTop w:val="0"/>
          <w:marBottom w:val="0"/>
          <w:divBdr>
            <w:top w:val="none" w:sz="0" w:space="0" w:color="auto"/>
            <w:left w:val="none" w:sz="0" w:space="0" w:color="auto"/>
            <w:bottom w:val="none" w:sz="0" w:space="0" w:color="auto"/>
            <w:right w:val="none" w:sz="0" w:space="0" w:color="auto"/>
          </w:divBdr>
          <w:divsChild>
            <w:div w:id="1211260662">
              <w:marLeft w:val="0"/>
              <w:marRight w:val="0"/>
              <w:marTop w:val="0"/>
              <w:marBottom w:val="0"/>
              <w:divBdr>
                <w:top w:val="none" w:sz="0" w:space="0" w:color="auto"/>
                <w:left w:val="none" w:sz="0" w:space="0" w:color="auto"/>
                <w:bottom w:val="none" w:sz="0" w:space="0" w:color="auto"/>
                <w:right w:val="none" w:sz="0" w:space="0" w:color="auto"/>
              </w:divBdr>
              <w:divsChild>
                <w:div w:id="20757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7288">
          <w:marLeft w:val="0"/>
          <w:marRight w:val="0"/>
          <w:marTop w:val="0"/>
          <w:marBottom w:val="0"/>
          <w:divBdr>
            <w:top w:val="none" w:sz="0" w:space="0" w:color="auto"/>
            <w:left w:val="none" w:sz="0" w:space="0" w:color="auto"/>
            <w:bottom w:val="none" w:sz="0" w:space="0" w:color="auto"/>
            <w:right w:val="none" w:sz="0" w:space="0" w:color="auto"/>
          </w:divBdr>
          <w:divsChild>
            <w:div w:id="1077362917">
              <w:marLeft w:val="0"/>
              <w:marRight w:val="0"/>
              <w:marTop w:val="0"/>
              <w:marBottom w:val="0"/>
              <w:divBdr>
                <w:top w:val="none" w:sz="0" w:space="0" w:color="auto"/>
                <w:left w:val="none" w:sz="0" w:space="0" w:color="auto"/>
                <w:bottom w:val="none" w:sz="0" w:space="0" w:color="auto"/>
                <w:right w:val="none" w:sz="0" w:space="0" w:color="auto"/>
              </w:divBdr>
              <w:divsChild>
                <w:div w:id="12386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6515">
          <w:marLeft w:val="0"/>
          <w:marRight w:val="0"/>
          <w:marTop w:val="0"/>
          <w:marBottom w:val="0"/>
          <w:divBdr>
            <w:top w:val="none" w:sz="0" w:space="0" w:color="auto"/>
            <w:left w:val="none" w:sz="0" w:space="0" w:color="auto"/>
            <w:bottom w:val="none" w:sz="0" w:space="0" w:color="auto"/>
            <w:right w:val="none" w:sz="0" w:space="0" w:color="auto"/>
          </w:divBdr>
          <w:divsChild>
            <w:div w:id="704714691">
              <w:marLeft w:val="0"/>
              <w:marRight w:val="0"/>
              <w:marTop w:val="0"/>
              <w:marBottom w:val="0"/>
              <w:divBdr>
                <w:top w:val="none" w:sz="0" w:space="0" w:color="auto"/>
                <w:left w:val="none" w:sz="0" w:space="0" w:color="auto"/>
                <w:bottom w:val="none" w:sz="0" w:space="0" w:color="auto"/>
                <w:right w:val="none" w:sz="0" w:space="0" w:color="auto"/>
              </w:divBdr>
              <w:divsChild>
                <w:div w:id="11626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8804">
          <w:marLeft w:val="0"/>
          <w:marRight w:val="0"/>
          <w:marTop w:val="0"/>
          <w:marBottom w:val="0"/>
          <w:divBdr>
            <w:top w:val="none" w:sz="0" w:space="0" w:color="auto"/>
            <w:left w:val="none" w:sz="0" w:space="0" w:color="auto"/>
            <w:bottom w:val="none" w:sz="0" w:space="0" w:color="auto"/>
            <w:right w:val="none" w:sz="0" w:space="0" w:color="auto"/>
          </w:divBdr>
          <w:divsChild>
            <w:div w:id="644504094">
              <w:marLeft w:val="0"/>
              <w:marRight w:val="0"/>
              <w:marTop w:val="0"/>
              <w:marBottom w:val="0"/>
              <w:divBdr>
                <w:top w:val="none" w:sz="0" w:space="0" w:color="auto"/>
                <w:left w:val="none" w:sz="0" w:space="0" w:color="auto"/>
                <w:bottom w:val="none" w:sz="0" w:space="0" w:color="auto"/>
                <w:right w:val="none" w:sz="0" w:space="0" w:color="auto"/>
              </w:divBdr>
              <w:divsChild>
                <w:div w:id="13716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8847">
          <w:marLeft w:val="0"/>
          <w:marRight w:val="0"/>
          <w:marTop w:val="0"/>
          <w:marBottom w:val="0"/>
          <w:divBdr>
            <w:top w:val="none" w:sz="0" w:space="0" w:color="auto"/>
            <w:left w:val="none" w:sz="0" w:space="0" w:color="auto"/>
            <w:bottom w:val="none" w:sz="0" w:space="0" w:color="auto"/>
            <w:right w:val="none" w:sz="0" w:space="0" w:color="auto"/>
          </w:divBdr>
          <w:divsChild>
            <w:div w:id="13921564">
              <w:marLeft w:val="0"/>
              <w:marRight w:val="0"/>
              <w:marTop w:val="0"/>
              <w:marBottom w:val="0"/>
              <w:divBdr>
                <w:top w:val="none" w:sz="0" w:space="0" w:color="auto"/>
                <w:left w:val="none" w:sz="0" w:space="0" w:color="auto"/>
                <w:bottom w:val="none" w:sz="0" w:space="0" w:color="auto"/>
                <w:right w:val="none" w:sz="0" w:space="0" w:color="auto"/>
              </w:divBdr>
              <w:divsChild>
                <w:div w:id="11038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835">
          <w:marLeft w:val="0"/>
          <w:marRight w:val="0"/>
          <w:marTop w:val="0"/>
          <w:marBottom w:val="0"/>
          <w:divBdr>
            <w:top w:val="none" w:sz="0" w:space="0" w:color="auto"/>
            <w:left w:val="none" w:sz="0" w:space="0" w:color="auto"/>
            <w:bottom w:val="none" w:sz="0" w:space="0" w:color="auto"/>
            <w:right w:val="none" w:sz="0" w:space="0" w:color="auto"/>
          </w:divBdr>
          <w:divsChild>
            <w:div w:id="801121639">
              <w:marLeft w:val="0"/>
              <w:marRight w:val="0"/>
              <w:marTop w:val="0"/>
              <w:marBottom w:val="0"/>
              <w:divBdr>
                <w:top w:val="none" w:sz="0" w:space="0" w:color="auto"/>
                <w:left w:val="none" w:sz="0" w:space="0" w:color="auto"/>
                <w:bottom w:val="none" w:sz="0" w:space="0" w:color="auto"/>
                <w:right w:val="none" w:sz="0" w:space="0" w:color="auto"/>
              </w:divBdr>
              <w:divsChild>
                <w:div w:id="12467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117">
          <w:marLeft w:val="0"/>
          <w:marRight w:val="0"/>
          <w:marTop w:val="0"/>
          <w:marBottom w:val="0"/>
          <w:divBdr>
            <w:top w:val="none" w:sz="0" w:space="0" w:color="auto"/>
            <w:left w:val="none" w:sz="0" w:space="0" w:color="auto"/>
            <w:bottom w:val="none" w:sz="0" w:space="0" w:color="auto"/>
            <w:right w:val="none" w:sz="0" w:space="0" w:color="auto"/>
          </w:divBdr>
          <w:divsChild>
            <w:div w:id="1172136971">
              <w:marLeft w:val="0"/>
              <w:marRight w:val="0"/>
              <w:marTop w:val="0"/>
              <w:marBottom w:val="0"/>
              <w:divBdr>
                <w:top w:val="none" w:sz="0" w:space="0" w:color="auto"/>
                <w:left w:val="none" w:sz="0" w:space="0" w:color="auto"/>
                <w:bottom w:val="none" w:sz="0" w:space="0" w:color="auto"/>
                <w:right w:val="none" w:sz="0" w:space="0" w:color="auto"/>
              </w:divBdr>
              <w:divsChild>
                <w:div w:id="17009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3822">
          <w:marLeft w:val="0"/>
          <w:marRight w:val="0"/>
          <w:marTop w:val="0"/>
          <w:marBottom w:val="0"/>
          <w:divBdr>
            <w:top w:val="none" w:sz="0" w:space="0" w:color="auto"/>
            <w:left w:val="none" w:sz="0" w:space="0" w:color="auto"/>
            <w:bottom w:val="none" w:sz="0" w:space="0" w:color="auto"/>
            <w:right w:val="none" w:sz="0" w:space="0" w:color="auto"/>
          </w:divBdr>
          <w:divsChild>
            <w:div w:id="1059940914">
              <w:marLeft w:val="0"/>
              <w:marRight w:val="0"/>
              <w:marTop w:val="0"/>
              <w:marBottom w:val="0"/>
              <w:divBdr>
                <w:top w:val="none" w:sz="0" w:space="0" w:color="auto"/>
                <w:left w:val="none" w:sz="0" w:space="0" w:color="auto"/>
                <w:bottom w:val="none" w:sz="0" w:space="0" w:color="auto"/>
                <w:right w:val="none" w:sz="0" w:space="0" w:color="auto"/>
              </w:divBdr>
              <w:divsChild>
                <w:div w:id="16105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7191">
          <w:marLeft w:val="0"/>
          <w:marRight w:val="0"/>
          <w:marTop w:val="0"/>
          <w:marBottom w:val="0"/>
          <w:divBdr>
            <w:top w:val="none" w:sz="0" w:space="0" w:color="auto"/>
            <w:left w:val="none" w:sz="0" w:space="0" w:color="auto"/>
            <w:bottom w:val="none" w:sz="0" w:space="0" w:color="auto"/>
            <w:right w:val="none" w:sz="0" w:space="0" w:color="auto"/>
          </w:divBdr>
          <w:divsChild>
            <w:div w:id="1680499778">
              <w:marLeft w:val="0"/>
              <w:marRight w:val="0"/>
              <w:marTop w:val="0"/>
              <w:marBottom w:val="0"/>
              <w:divBdr>
                <w:top w:val="none" w:sz="0" w:space="0" w:color="auto"/>
                <w:left w:val="none" w:sz="0" w:space="0" w:color="auto"/>
                <w:bottom w:val="none" w:sz="0" w:space="0" w:color="auto"/>
                <w:right w:val="none" w:sz="0" w:space="0" w:color="auto"/>
              </w:divBdr>
              <w:divsChild>
                <w:div w:id="1401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793">
          <w:marLeft w:val="0"/>
          <w:marRight w:val="0"/>
          <w:marTop w:val="0"/>
          <w:marBottom w:val="0"/>
          <w:divBdr>
            <w:top w:val="none" w:sz="0" w:space="0" w:color="auto"/>
            <w:left w:val="none" w:sz="0" w:space="0" w:color="auto"/>
            <w:bottom w:val="none" w:sz="0" w:space="0" w:color="auto"/>
            <w:right w:val="none" w:sz="0" w:space="0" w:color="auto"/>
          </w:divBdr>
          <w:divsChild>
            <w:div w:id="227495044">
              <w:marLeft w:val="0"/>
              <w:marRight w:val="0"/>
              <w:marTop w:val="0"/>
              <w:marBottom w:val="0"/>
              <w:divBdr>
                <w:top w:val="none" w:sz="0" w:space="0" w:color="auto"/>
                <w:left w:val="none" w:sz="0" w:space="0" w:color="auto"/>
                <w:bottom w:val="none" w:sz="0" w:space="0" w:color="auto"/>
                <w:right w:val="none" w:sz="0" w:space="0" w:color="auto"/>
              </w:divBdr>
              <w:divsChild>
                <w:div w:id="374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5450">
          <w:marLeft w:val="0"/>
          <w:marRight w:val="0"/>
          <w:marTop w:val="0"/>
          <w:marBottom w:val="0"/>
          <w:divBdr>
            <w:top w:val="none" w:sz="0" w:space="0" w:color="auto"/>
            <w:left w:val="none" w:sz="0" w:space="0" w:color="auto"/>
            <w:bottom w:val="none" w:sz="0" w:space="0" w:color="auto"/>
            <w:right w:val="none" w:sz="0" w:space="0" w:color="auto"/>
          </w:divBdr>
          <w:divsChild>
            <w:div w:id="644159517">
              <w:marLeft w:val="0"/>
              <w:marRight w:val="0"/>
              <w:marTop w:val="0"/>
              <w:marBottom w:val="0"/>
              <w:divBdr>
                <w:top w:val="none" w:sz="0" w:space="0" w:color="auto"/>
                <w:left w:val="none" w:sz="0" w:space="0" w:color="auto"/>
                <w:bottom w:val="none" w:sz="0" w:space="0" w:color="auto"/>
                <w:right w:val="none" w:sz="0" w:space="0" w:color="auto"/>
              </w:divBdr>
              <w:divsChild>
                <w:div w:id="5516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3604">
          <w:marLeft w:val="0"/>
          <w:marRight w:val="0"/>
          <w:marTop w:val="0"/>
          <w:marBottom w:val="0"/>
          <w:divBdr>
            <w:top w:val="none" w:sz="0" w:space="0" w:color="auto"/>
            <w:left w:val="none" w:sz="0" w:space="0" w:color="auto"/>
            <w:bottom w:val="none" w:sz="0" w:space="0" w:color="auto"/>
            <w:right w:val="none" w:sz="0" w:space="0" w:color="auto"/>
          </w:divBdr>
          <w:divsChild>
            <w:div w:id="764113612">
              <w:marLeft w:val="0"/>
              <w:marRight w:val="0"/>
              <w:marTop w:val="0"/>
              <w:marBottom w:val="0"/>
              <w:divBdr>
                <w:top w:val="none" w:sz="0" w:space="0" w:color="auto"/>
                <w:left w:val="none" w:sz="0" w:space="0" w:color="auto"/>
                <w:bottom w:val="none" w:sz="0" w:space="0" w:color="auto"/>
                <w:right w:val="none" w:sz="0" w:space="0" w:color="auto"/>
              </w:divBdr>
              <w:divsChild>
                <w:div w:id="17386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560">
          <w:marLeft w:val="0"/>
          <w:marRight w:val="0"/>
          <w:marTop w:val="0"/>
          <w:marBottom w:val="0"/>
          <w:divBdr>
            <w:top w:val="none" w:sz="0" w:space="0" w:color="auto"/>
            <w:left w:val="none" w:sz="0" w:space="0" w:color="auto"/>
            <w:bottom w:val="none" w:sz="0" w:space="0" w:color="auto"/>
            <w:right w:val="none" w:sz="0" w:space="0" w:color="auto"/>
          </w:divBdr>
          <w:divsChild>
            <w:div w:id="1817137399">
              <w:marLeft w:val="0"/>
              <w:marRight w:val="0"/>
              <w:marTop w:val="0"/>
              <w:marBottom w:val="0"/>
              <w:divBdr>
                <w:top w:val="none" w:sz="0" w:space="0" w:color="auto"/>
                <w:left w:val="none" w:sz="0" w:space="0" w:color="auto"/>
                <w:bottom w:val="none" w:sz="0" w:space="0" w:color="auto"/>
                <w:right w:val="none" w:sz="0" w:space="0" w:color="auto"/>
              </w:divBdr>
              <w:divsChild>
                <w:div w:id="19827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603">
          <w:marLeft w:val="0"/>
          <w:marRight w:val="0"/>
          <w:marTop w:val="0"/>
          <w:marBottom w:val="0"/>
          <w:divBdr>
            <w:top w:val="none" w:sz="0" w:space="0" w:color="auto"/>
            <w:left w:val="none" w:sz="0" w:space="0" w:color="auto"/>
            <w:bottom w:val="none" w:sz="0" w:space="0" w:color="auto"/>
            <w:right w:val="none" w:sz="0" w:space="0" w:color="auto"/>
          </w:divBdr>
          <w:divsChild>
            <w:div w:id="1860464678">
              <w:marLeft w:val="0"/>
              <w:marRight w:val="0"/>
              <w:marTop w:val="0"/>
              <w:marBottom w:val="0"/>
              <w:divBdr>
                <w:top w:val="none" w:sz="0" w:space="0" w:color="auto"/>
                <w:left w:val="none" w:sz="0" w:space="0" w:color="auto"/>
                <w:bottom w:val="none" w:sz="0" w:space="0" w:color="auto"/>
                <w:right w:val="none" w:sz="0" w:space="0" w:color="auto"/>
              </w:divBdr>
              <w:divsChild>
                <w:div w:id="7572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3649324">
      <w:bodyDiv w:val="1"/>
      <w:marLeft w:val="0"/>
      <w:marRight w:val="0"/>
      <w:marTop w:val="0"/>
      <w:marBottom w:val="0"/>
      <w:divBdr>
        <w:top w:val="none" w:sz="0" w:space="0" w:color="auto"/>
        <w:left w:val="none" w:sz="0" w:space="0" w:color="auto"/>
        <w:bottom w:val="none" w:sz="0" w:space="0" w:color="auto"/>
        <w:right w:val="none" w:sz="0" w:space="0" w:color="auto"/>
      </w:divBdr>
    </w:div>
    <w:div w:id="430585540">
      <w:bodyDiv w:val="1"/>
      <w:marLeft w:val="0"/>
      <w:marRight w:val="0"/>
      <w:marTop w:val="0"/>
      <w:marBottom w:val="0"/>
      <w:divBdr>
        <w:top w:val="none" w:sz="0" w:space="0" w:color="auto"/>
        <w:left w:val="none" w:sz="0" w:space="0" w:color="auto"/>
        <w:bottom w:val="none" w:sz="0" w:space="0" w:color="auto"/>
        <w:right w:val="none" w:sz="0" w:space="0" w:color="auto"/>
      </w:divBdr>
    </w:div>
    <w:div w:id="69554635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3553757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2022-10-20T04:55:00Z</dcterms:created>
  <dcterms:modified xsi:type="dcterms:W3CDTF">2022-10-20T04:55:00Z</dcterms:modified>
</cp:coreProperties>
</file>