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524434F4" w:rsidR="00B60939" w:rsidRPr="0040247D" w:rsidRDefault="004E6E76" w:rsidP="002663D8">
      <w:pPr>
        <w:pStyle w:val="1-MainHeading"/>
        <w:spacing w:before="0" w:after="0"/>
      </w:pPr>
      <w:bookmarkStart w:id="0" w:name="_Toc103764949"/>
      <w:r w:rsidRPr="0040247D">
        <w:t>6</w:t>
      </w:r>
      <w:r w:rsidR="005F4CA2" w:rsidRPr="0040247D">
        <w:t>.</w:t>
      </w:r>
      <w:r w:rsidRPr="0040247D">
        <w:t>04</w:t>
      </w:r>
      <w:r w:rsidR="00163F66" w:rsidRPr="0040247D">
        <w:tab/>
      </w:r>
      <w:r w:rsidR="004D2219" w:rsidRPr="0040247D">
        <w:t>LEUPRORELIN ACETATE,</w:t>
      </w:r>
      <w:r w:rsidR="00163F66" w:rsidRPr="0040247D">
        <w:br/>
      </w:r>
      <w:r w:rsidR="004D2219" w:rsidRPr="0040247D">
        <w:t>Suspension for subcutaneous injection (modified release) containing 45 mg leuprorelin acetate, injection set</w:t>
      </w:r>
      <w:r w:rsidR="00FC4141" w:rsidRPr="0040247D">
        <w:t>,</w:t>
      </w:r>
      <w:bookmarkStart w:id="1" w:name="_Toc103764950"/>
      <w:bookmarkEnd w:id="0"/>
      <w:r w:rsidR="002663D8">
        <w:br/>
      </w:r>
      <w:proofErr w:type="spellStart"/>
      <w:r w:rsidR="004D2219" w:rsidRPr="0040247D">
        <w:t>Eligard</w:t>
      </w:r>
      <w:proofErr w:type="spellEnd"/>
      <w:r w:rsidR="00BC2F88" w:rsidRPr="0040247D">
        <w:t>®</w:t>
      </w:r>
      <w:r w:rsidR="004D2219" w:rsidRPr="0040247D">
        <w:t xml:space="preserve"> 6 month</w:t>
      </w:r>
      <w:r w:rsidR="00BC2F88" w:rsidRPr="0040247D">
        <w:t>,</w:t>
      </w:r>
      <w:r w:rsidR="004A6040" w:rsidRPr="0040247D">
        <w:br/>
      </w:r>
      <w:proofErr w:type="spellStart"/>
      <w:r w:rsidR="004D2219" w:rsidRPr="0040247D">
        <w:t>Mundipharma</w:t>
      </w:r>
      <w:proofErr w:type="spellEnd"/>
      <w:r w:rsidR="00BC2F88" w:rsidRPr="0040247D">
        <w:t xml:space="preserve"> Pty Ltd</w:t>
      </w:r>
      <w:r w:rsidR="00B60939" w:rsidRPr="0040247D">
        <w:t>.</w:t>
      </w:r>
      <w:bookmarkEnd w:id="1"/>
    </w:p>
    <w:p w14:paraId="11C00795" w14:textId="3DFB6D23" w:rsidR="00B50DB8" w:rsidRPr="0040247D" w:rsidRDefault="00B50DB8" w:rsidP="004A6040">
      <w:pPr>
        <w:pStyle w:val="2-SectionHeading"/>
      </w:pPr>
      <w:bookmarkStart w:id="2" w:name="_Toc103764952"/>
      <w:r w:rsidRPr="0040247D">
        <w:t xml:space="preserve">Purpose of </w:t>
      </w:r>
      <w:r w:rsidR="00CD7193" w:rsidRPr="0040247D">
        <w:t>s</w:t>
      </w:r>
      <w:r w:rsidR="00BB3A45" w:rsidRPr="0040247D">
        <w:t>ubmission</w:t>
      </w:r>
      <w:bookmarkEnd w:id="2"/>
    </w:p>
    <w:p w14:paraId="19414AA1" w14:textId="69CD7647" w:rsidR="002C2775" w:rsidRPr="0040247D" w:rsidRDefault="005103FB" w:rsidP="00DE6DA1">
      <w:pPr>
        <w:pStyle w:val="3-BodyText"/>
      </w:pPr>
      <w:r w:rsidRPr="0040247D">
        <w:t>The</w:t>
      </w:r>
      <w:r w:rsidR="00AF20FA">
        <w:t xml:space="preserve"> Category 2</w:t>
      </w:r>
      <w:r w:rsidRPr="0040247D">
        <w:t xml:space="preserve"> submission requested PBS listing for leuprorelin acetate 45 mg syringe (</w:t>
      </w:r>
      <w:proofErr w:type="spellStart"/>
      <w:r w:rsidRPr="0040247D">
        <w:t>Eligard</w:t>
      </w:r>
      <w:proofErr w:type="spellEnd"/>
      <w:r w:rsidRPr="0040247D">
        <w:t xml:space="preserve"> 6 month</w:t>
      </w:r>
      <w:r w:rsidR="00FF645F" w:rsidRPr="0040247D">
        <w:t>®</w:t>
      </w:r>
      <w:r w:rsidRPr="0040247D">
        <w:t xml:space="preserve">) for the treatment of central precocious puberty (CPP). The proposed </w:t>
      </w:r>
      <w:r w:rsidR="00AB7657" w:rsidRPr="0040247D">
        <w:t xml:space="preserve">main </w:t>
      </w:r>
      <w:r w:rsidRPr="0040247D">
        <w:t xml:space="preserve">comparator was </w:t>
      </w:r>
      <w:r w:rsidR="00EB6635" w:rsidRPr="0040247D">
        <w:t>a prefilled dual chamber (PDS) leuprorelin acetate 30 mg depot injection (</w:t>
      </w:r>
      <w:proofErr w:type="spellStart"/>
      <w:r w:rsidR="002B4FCF" w:rsidRPr="0040247D">
        <w:t>Lucrin</w:t>
      </w:r>
      <w:proofErr w:type="spellEnd"/>
      <w:r w:rsidR="002B4FCF" w:rsidRPr="0040247D">
        <w:t xml:space="preserve"> </w:t>
      </w:r>
      <w:r w:rsidR="006E5033" w:rsidRPr="0040247D">
        <w:t xml:space="preserve">Depot </w:t>
      </w:r>
      <w:r w:rsidR="002B4FCF" w:rsidRPr="0040247D">
        <w:t>Paediatric</w:t>
      </w:r>
      <w:r w:rsidR="006E5033" w:rsidRPr="0040247D">
        <w:t xml:space="preserve"> 30 mg PDS</w:t>
      </w:r>
      <w:r w:rsidR="00EB6635" w:rsidRPr="0040247D">
        <w:t>®, herein referred to as “</w:t>
      </w:r>
      <w:proofErr w:type="spellStart"/>
      <w:r w:rsidR="00EB6635" w:rsidRPr="0040247D">
        <w:t>Lucrin</w:t>
      </w:r>
      <w:proofErr w:type="spellEnd"/>
      <w:r w:rsidR="002B4FCF" w:rsidRPr="0040247D">
        <w:t xml:space="preserve"> Paediatric</w:t>
      </w:r>
      <w:r w:rsidR="00EB6635" w:rsidRPr="0040247D">
        <w:t>”)</w:t>
      </w:r>
      <w:r w:rsidR="00AB7657" w:rsidRPr="0040247D">
        <w:t xml:space="preserve">. </w:t>
      </w:r>
      <w:bookmarkStart w:id="3" w:name="_Hlk101954256"/>
      <w:r w:rsidR="008E26D2" w:rsidRPr="0040247D">
        <w:t>T</w:t>
      </w:r>
      <w:r w:rsidR="00AD0D28" w:rsidRPr="0040247D">
        <w:t xml:space="preserve">riptorelin </w:t>
      </w:r>
      <w:bookmarkEnd w:id="3"/>
      <w:proofErr w:type="spellStart"/>
      <w:r w:rsidR="00AD0D28" w:rsidRPr="0040247D">
        <w:t>embonate</w:t>
      </w:r>
      <w:proofErr w:type="spellEnd"/>
      <w:r w:rsidR="008E26D2" w:rsidRPr="0040247D">
        <w:t xml:space="preserve"> (</w:t>
      </w:r>
      <w:proofErr w:type="spellStart"/>
      <w:r w:rsidR="008E26D2" w:rsidRPr="0040247D">
        <w:t>Diphereline</w:t>
      </w:r>
      <w:proofErr w:type="spellEnd"/>
      <w:r w:rsidR="00FF645F" w:rsidRPr="0040247D">
        <w:t>®</w:t>
      </w:r>
      <w:r w:rsidR="008E26D2" w:rsidRPr="0040247D">
        <w:t>)</w:t>
      </w:r>
      <w:r w:rsidR="00224647" w:rsidRPr="0040247D">
        <w:t xml:space="preserve">, a </w:t>
      </w:r>
      <w:r w:rsidR="002F5A03">
        <w:t>gonadotropin-releasing hormone (</w:t>
      </w:r>
      <w:r w:rsidR="00224647" w:rsidRPr="0040247D">
        <w:t>GnRH</w:t>
      </w:r>
      <w:r w:rsidR="002F5A03">
        <w:t>)</w:t>
      </w:r>
      <w:r w:rsidR="00224647" w:rsidRPr="0040247D">
        <w:t xml:space="preserve"> analogue, </w:t>
      </w:r>
      <w:r w:rsidR="00AB7657" w:rsidRPr="0040247D">
        <w:t xml:space="preserve">was </w:t>
      </w:r>
      <w:r w:rsidR="0096236D" w:rsidRPr="0040247D">
        <w:t xml:space="preserve">proposed as a </w:t>
      </w:r>
      <w:r w:rsidR="00BA7CAD" w:rsidRPr="0040247D">
        <w:t>secondary comparator</w:t>
      </w:r>
      <w:r w:rsidR="00AB7657" w:rsidRPr="0040247D">
        <w:t>.</w:t>
      </w:r>
    </w:p>
    <w:p w14:paraId="75A1BE75" w14:textId="75B1EC7E" w:rsidR="00BC2F88" w:rsidRPr="0040247D" w:rsidRDefault="005750C5" w:rsidP="00DE6DA1">
      <w:pPr>
        <w:pStyle w:val="3-BodyText"/>
      </w:pPr>
      <w:r w:rsidRPr="0040247D">
        <w:t xml:space="preserve">Listing was requested </w:t>
      </w:r>
      <w:r w:rsidR="0096236D" w:rsidRPr="0040247D">
        <w:t>based on</w:t>
      </w:r>
      <w:r w:rsidRPr="0040247D">
        <w:t xml:space="preserve"> a cost-minimisation</w:t>
      </w:r>
      <w:r w:rsidR="00D24402" w:rsidRPr="0040247D">
        <w:t xml:space="preserve"> approach</w:t>
      </w:r>
      <w:r w:rsidR="004679D8" w:rsidRPr="0040247D">
        <w:t xml:space="preserve"> </w:t>
      </w:r>
      <w:r w:rsidRPr="0040247D">
        <w:t>a</w:t>
      </w:r>
      <w:r w:rsidR="005103FB" w:rsidRPr="0040247D">
        <w:t xml:space="preserve">gainst </w:t>
      </w:r>
      <w:r w:rsidR="004D2219" w:rsidRPr="0040247D">
        <w:t xml:space="preserve">the </w:t>
      </w:r>
      <w:r w:rsidR="00D24402" w:rsidRPr="0040247D">
        <w:t>least costly</w:t>
      </w:r>
      <w:r w:rsidR="00EB6635" w:rsidRPr="0040247D">
        <w:t xml:space="preserve"> medicine on the </w:t>
      </w:r>
      <w:r w:rsidR="0096236D" w:rsidRPr="0040247D">
        <w:t>PBS</w:t>
      </w:r>
      <w:r w:rsidR="005103FB" w:rsidRPr="0040247D">
        <w:t xml:space="preserve"> </w:t>
      </w:r>
      <w:r w:rsidR="00EB6635" w:rsidRPr="0040247D">
        <w:t xml:space="preserve">for the treatment of </w:t>
      </w:r>
      <w:r w:rsidR="005103FB" w:rsidRPr="0040247D">
        <w:t>CPP</w:t>
      </w:r>
      <w:r w:rsidR="004D2219" w:rsidRPr="0040247D">
        <w:t xml:space="preserve">, </w:t>
      </w:r>
      <w:proofErr w:type="spellStart"/>
      <w:r w:rsidR="007F5A54" w:rsidRPr="0040247D">
        <w:t>Diphereline</w:t>
      </w:r>
      <w:proofErr w:type="spellEnd"/>
      <w:r w:rsidR="005103FB" w:rsidRPr="0040247D">
        <w:t>.</w:t>
      </w:r>
      <w:r w:rsidR="004D2219" w:rsidRPr="0040247D">
        <w:t xml:space="preserve"> </w:t>
      </w:r>
      <w:r w:rsidR="00AB7657" w:rsidRPr="0040247D">
        <w:t xml:space="preserve">The submission </w:t>
      </w:r>
      <w:r w:rsidR="0017188D" w:rsidRPr="0040247D">
        <w:t xml:space="preserve">requested </w:t>
      </w:r>
      <w:r w:rsidR="00AB7657" w:rsidRPr="0040247D">
        <w:t xml:space="preserve">a price that equals the current price of </w:t>
      </w:r>
      <w:proofErr w:type="spellStart"/>
      <w:r w:rsidR="00AB7657" w:rsidRPr="0040247D">
        <w:t>Eligard</w:t>
      </w:r>
      <w:proofErr w:type="spellEnd"/>
      <w:r w:rsidR="00AB7657" w:rsidRPr="0040247D">
        <w:t xml:space="preserve"> 6 month for </w:t>
      </w:r>
      <w:r w:rsidR="0017188D" w:rsidRPr="0040247D">
        <w:t xml:space="preserve">the </w:t>
      </w:r>
      <w:r w:rsidR="00AB7657" w:rsidRPr="0040247D">
        <w:t>prostate cancer</w:t>
      </w:r>
      <w:r w:rsidR="0017188D" w:rsidRPr="0040247D">
        <w:t xml:space="preserve"> indication</w:t>
      </w:r>
      <w:r w:rsidR="00AB7657" w:rsidRPr="0040247D">
        <w:t xml:space="preserve">, noting that </w:t>
      </w:r>
      <w:r w:rsidR="0017188D" w:rsidRPr="0040247D">
        <w:t xml:space="preserve">this </w:t>
      </w:r>
      <w:r w:rsidR="00AB7657" w:rsidRPr="0040247D">
        <w:t>price is lower than</w:t>
      </w:r>
      <w:r w:rsidR="0017188D" w:rsidRPr="0040247D">
        <w:t xml:space="preserve"> the price of</w:t>
      </w:r>
      <w:r w:rsidR="00AB7657" w:rsidRPr="0040247D">
        <w:t xml:space="preserve"> </w:t>
      </w:r>
      <w:proofErr w:type="spellStart"/>
      <w:r w:rsidR="007F5A54" w:rsidRPr="0040247D">
        <w:t>Diphereline</w:t>
      </w:r>
      <w:proofErr w:type="spellEnd"/>
      <w:r w:rsidR="00C71948" w:rsidRPr="0040247D">
        <w:t xml:space="preserve"> for</w:t>
      </w:r>
      <w:r w:rsidR="0017188D" w:rsidRPr="0040247D">
        <w:t xml:space="preserve"> the </w:t>
      </w:r>
      <w:r w:rsidR="00C71948" w:rsidRPr="0040247D">
        <w:t>CPP</w:t>
      </w:r>
      <w:r w:rsidR="0017188D" w:rsidRPr="0040247D">
        <w:t xml:space="preserve"> indication</w:t>
      </w:r>
      <w:r w:rsidR="00AB7657" w:rsidRPr="0040247D">
        <w:t>.</w:t>
      </w:r>
    </w:p>
    <w:p w14:paraId="3E360B0B" w14:textId="084DD143" w:rsidR="00DE6DA1" w:rsidRPr="0040247D" w:rsidRDefault="00BA7CAD" w:rsidP="00DE6DA1">
      <w:pPr>
        <w:pStyle w:val="3-BodyText"/>
      </w:pPr>
      <w:r w:rsidRPr="0040247D">
        <w:t xml:space="preserve">The submission presented </w:t>
      </w:r>
      <w:r w:rsidR="0017188D" w:rsidRPr="0040247D">
        <w:t xml:space="preserve">four </w:t>
      </w:r>
      <w:r w:rsidR="00DE6DA1" w:rsidRPr="0040247D">
        <w:t>‘</w:t>
      </w:r>
      <w:r w:rsidRPr="0040247D">
        <w:t xml:space="preserve">key </w:t>
      </w:r>
      <w:r w:rsidR="00A7361F" w:rsidRPr="0040247D">
        <w:t>reasons</w:t>
      </w:r>
      <w:r w:rsidR="00DE6DA1" w:rsidRPr="0040247D">
        <w:t xml:space="preserve">’ as to how this preparation of leuprorelin meets an unmet </w:t>
      </w:r>
      <w:r w:rsidR="0017188D" w:rsidRPr="0040247D">
        <w:t>clinical need</w:t>
      </w:r>
      <w:r w:rsidR="00DE6DA1" w:rsidRPr="0040247D">
        <w:t xml:space="preserve"> in</w:t>
      </w:r>
      <w:r w:rsidR="0017188D" w:rsidRPr="0040247D">
        <w:t xml:space="preserve"> patients with</w:t>
      </w:r>
      <w:r w:rsidR="00DE6DA1" w:rsidRPr="0040247D">
        <w:t xml:space="preserve"> CPP, including that </w:t>
      </w:r>
      <w:proofErr w:type="spellStart"/>
      <w:r w:rsidR="00DE6DA1" w:rsidRPr="0040247D">
        <w:t>Eligard</w:t>
      </w:r>
      <w:proofErr w:type="spellEnd"/>
      <w:r w:rsidR="00DE6DA1" w:rsidRPr="0040247D">
        <w:t xml:space="preserve"> 6 month:</w:t>
      </w:r>
    </w:p>
    <w:p w14:paraId="49FC9BE7" w14:textId="79D45150" w:rsidR="00DE6DA1" w:rsidRPr="0040247D" w:rsidRDefault="006470EB" w:rsidP="00DE6DA1">
      <w:pPr>
        <w:pStyle w:val="3-BodyText"/>
        <w:numPr>
          <w:ilvl w:val="0"/>
          <w:numId w:val="22"/>
        </w:numPr>
        <w:ind w:left="1134"/>
      </w:pPr>
      <w:r w:rsidRPr="0040247D">
        <w:t>provid</w:t>
      </w:r>
      <w:r w:rsidR="00800E0B" w:rsidRPr="0040247D">
        <w:t>es</w:t>
      </w:r>
      <w:r w:rsidRPr="0040247D">
        <w:t xml:space="preserve"> longer lasting treatment compared to </w:t>
      </w:r>
      <w:proofErr w:type="spellStart"/>
      <w:r w:rsidRPr="0040247D">
        <w:t>Lucrin</w:t>
      </w:r>
      <w:proofErr w:type="spellEnd"/>
      <w:r w:rsidRPr="0040247D">
        <w:t xml:space="preserve"> Paediatric</w:t>
      </w:r>
      <w:r w:rsidR="00DE6DA1" w:rsidRPr="0040247D">
        <w:t>;</w:t>
      </w:r>
      <w:r w:rsidR="00C83F50" w:rsidRPr="0040247D">
        <w:t xml:space="preserve"> </w:t>
      </w:r>
    </w:p>
    <w:p w14:paraId="3FF9A79E" w14:textId="2C106F7E" w:rsidR="00DE6DA1" w:rsidRPr="0040247D" w:rsidRDefault="00800E0B" w:rsidP="00DE6DA1">
      <w:pPr>
        <w:pStyle w:val="3-BodyText"/>
        <w:numPr>
          <w:ilvl w:val="0"/>
          <w:numId w:val="22"/>
        </w:numPr>
        <w:ind w:left="1134"/>
      </w:pPr>
      <w:r w:rsidRPr="0040247D">
        <w:t>is</w:t>
      </w:r>
      <w:r w:rsidR="006470EB" w:rsidRPr="0040247D">
        <w:t xml:space="preserve"> administered less frequently compared to </w:t>
      </w:r>
      <w:proofErr w:type="spellStart"/>
      <w:r w:rsidR="006E5033" w:rsidRPr="0040247D">
        <w:t>Lucrin</w:t>
      </w:r>
      <w:proofErr w:type="spellEnd"/>
      <w:r w:rsidR="006E5033" w:rsidRPr="0040247D">
        <w:t xml:space="preserve"> Paediatric</w:t>
      </w:r>
      <w:r w:rsidR="00DE6DA1" w:rsidRPr="0040247D">
        <w:t>;</w:t>
      </w:r>
      <w:r w:rsidR="00C83F50" w:rsidRPr="0040247D">
        <w:t xml:space="preserve"> </w:t>
      </w:r>
    </w:p>
    <w:p w14:paraId="06ABABBC" w14:textId="117464B1" w:rsidR="00DE6DA1" w:rsidRPr="0040247D" w:rsidRDefault="006470EB" w:rsidP="00DE6DA1">
      <w:pPr>
        <w:pStyle w:val="3-BodyText"/>
        <w:numPr>
          <w:ilvl w:val="0"/>
          <w:numId w:val="22"/>
        </w:numPr>
        <w:ind w:left="1134"/>
      </w:pPr>
      <w:r w:rsidRPr="0040247D">
        <w:t>provid</w:t>
      </w:r>
      <w:r w:rsidR="00800E0B" w:rsidRPr="0040247D">
        <w:t>es</w:t>
      </w:r>
      <w:r w:rsidRPr="0040247D">
        <w:t xml:space="preserve"> an alternative </w:t>
      </w:r>
      <w:r w:rsidR="00C83F50" w:rsidRPr="0040247D">
        <w:t>leuprorelin</w:t>
      </w:r>
      <w:r w:rsidRPr="0040247D">
        <w:t xml:space="preserve"> acetate depot product for children with CPP in case of medication shortages on the PBS</w:t>
      </w:r>
      <w:r w:rsidR="00DE6DA1" w:rsidRPr="0040247D">
        <w:t>;</w:t>
      </w:r>
      <w:r w:rsidR="00C83F50" w:rsidRPr="0040247D">
        <w:t xml:space="preserve"> and </w:t>
      </w:r>
    </w:p>
    <w:p w14:paraId="70F7EA49" w14:textId="77059F45" w:rsidR="00DE6DA1" w:rsidRPr="00A369BD" w:rsidRDefault="00800E0B" w:rsidP="00DE6DA1">
      <w:pPr>
        <w:pStyle w:val="3-BodyText"/>
        <w:numPr>
          <w:ilvl w:val="0"/>
          <w:numId w:val="22"/>
        </w:numPr>
        <w:ind w:left="1134"/>
        <w:rPr>
          <w:iCs/>
        </w:rPr>
      </w:pPr>
      <w:r w:rsidRPr="0040247D">
        <w:t>is</w:t>
      </w:r>
      <w:r w:rsidR="00C83F50" w:rsidRPr="0040247D">
        <w:t xml:space="preserve"> </w:t>
      </w:r>
      <w:r w:rsidR="006470EB" w:rsidRPr="0040247D">
        <w:t xml:space="preserve">administered by </w:t>
      </w:r>
      <w:r w:rsidRPr="0040247D">
        <w:t xml:space="preserve">a </w:t>
      </w:r>
      <w:r w:rsidR="006470EB" w:rsidRPr="0040247D">
        <w:t xml:space="preserve">less painful subcutaneous injection compared to </w:t>
      </w:r>
      <w:proofErr w:type="spellStart"/>
      <w:r w:rsidR="006E5033" w:rsidRPr="0040247D">
        <w:t>Lucrin</w:t>
      </w:r>
      <w:proofErr w:type="spellEnd"/>
      <w:r w:rsidR="006E5033" w:rsidRPr="0040247D">
        <w:t xml:space="preserve"> Paediatric</w:t>
      </w:r>
      <w:r w:rsidR="006717E3" w:rsidRPr="0040247D">
        <w:t xml:space="preserve"> which is</w:t>
      </w:r>
      <w:r w:rsidR="00FB4522">
        <w:t xml:space="preserve"> an</w:t>
      </w:r>
      <w:r w:rsidR="006717E3" w:rsidRPr="0040247D">
        <w:t xml:space="preserve"> intramuscular injection</w:t>
      </w:r>
      <w:r w:rsidR="006470EB" w:rsidRPr="0040247D">
        <w:t>.</w:t>
      </w:r>
    </w:p>
    <w:p w14:paraId="465289AB" w14:textId="2DBC0CC8" w:rsidR="002B437C" w:rsidRPr="00E57B4B" w:rsidRDefault="00C329BB" w:rsidP="00DE6DA1">
      <w:pPr>
        <w:pStyle w:val="3-BodyText"/>
      </w:pPr>
      <w:r w:rsidRPr="00E57B4B">
        <w:t>The submission</w:t>
      </w:r>
      <w:r w:rsidR="00C83F50" w:rsidRPr="00E57B4B">
        <w:t xml:space="preserve">, however, </w:t>
      </w:r>
      <w:r w:rsidRPr="00E57B4B">
        <w:t xml:space="preserve">did not supply any </w:t>
      </w:r>
      <w:r w:rsidR="00C83F50" w:rsidRPr="00E57B4B">
        <w:t xml:space="preserve">empirical </w:t>
      </w:r>
      <w:r w:rsidRPr="00E57B4B">
        <w:t xml:space="preserve">evidence to support the </w:t>
      </w:r>
      <w:r w:rsidR="00251605" w:rsidRPr="00E57B4B">
        <w:t xml:space="preserve">claim that it was </w:t>
      </w:r>
      <w:r w:rsidR="008A1578" w:rsidRPr="00E57B4B">
        <w:t xml:space="preserve">inappropriate </w:t>
      </w:r>
      <w:r w:rsidR="00251605" w:rsidRPr="00E57B4B">
        <w:t>to</w:t>
      </w:r>
      <w:r w:rsidRPr="00E57B4B">
        <w:t xml:space="preserve"> </w:t>
      </w:r>
      <w:r w:rsidR="00251605" w:rsidRPr="00E57B4B">
        <w:t>switch</w:t>
      </w:r>
      <w:r w:rsidRPr="00E57B4B">
        <w:t xml:space="preserve"> between </w:t>
      </w:r>
      <w:r w:rsidR="00C83F50" w:rsidRPr="00E57B4B">
        <w:t>leuprorelin</w:t>
      </w:r>
      <w:r w:rsidRPr="00E57B4B">
        <w:t xml:space="preserve"> acetate depot products and </w:t>
      </w:r>
      <w:proofErr w:type="spellStart"/>
      <w:r w:rsidR="007F5A54" w:rsidRPr="00E57B4B">
        <w:t>Diphereline</w:t>
      </w:r>
      <w:proofErr w:type="spellEnd"/>
      <w:r w:rsidR="00251605" w:rsidRPr="00E57B4B">
        <w:t xml:space="preserve"> during a medication shortage</w:t>
      </w:r>
      <w:r w:rsidRPr="00E57B4B">
        <w:t>.</w:t>
      </w:r>
      <w:r w:rsidR="00DE6DA1" w:rsidRPr="00E57B4B">
        <w:t xml:space="preserve"> </w:t>
      </w:r>
      <w:r w:rsidR="00E57BD8">
        <w:t>However</w:t>
      </w:r>
      <w:r w:rsidR="00DE6DA1" w:rsidRPr="00E57B4B">
        <w:t>,</w:t>
      </w:r>
      <w:r w:rsidR="00663969" w:rsidRPr="00E57B4B">
        <w:t xml:space="preserve"> in its July 2021 </w:t>
      </w:r>
      <w:r w:rsidR="00576F4A" w:rsidRPr="00E57B4B">
        <w:t>consideration of triptorelin</w:t>
      </w:r>
      <w:r w:rsidR="00663969" w:rsidRPr="00E57B4B">
        <w:t>, the PBAC</w:t>
      </w:r>
      <w:r w:rsidR="00DE6DA1" w:rsidRPr="00E57B4B">
        <w:t xml:space="preserve"> </w:t>
      </w:r>
      <w:r w:rsidR="0055154C" w:rsidRPr="00E57B4B">
        <w:t>considered that flexibility in the restrictions for leuprorelin and triptorelin to allow for switching between GnR</w:t>
      </w:r>
      <w:r w:rsidR="002F639B" w:rsidRPr="00E57B4B">
        <w:t>H</w:t>
      </w:r>
      <w:r w:rsidR="0055154C" w:rsidRPr="00E57B4B">
        <w:t xml:space="preserve"> analogues in continuing therapy was reasonable.</w:t>
      </w:r>
      <w:r w:rsidRPr="00E57B4B">
        <w:t xml:space="preserve"> </w:t>
      </w:r>
      <w:r w:rsidR="008E26D2" w:rsidRPr="00E57B4B">
        <w:t>Additionally, the percentage of adverse event</w:t>
      </w:r>
      <w:r w:rsidR="00587805" w:rsidRPr="00E57B4B">
        <w:t>s</w:t>
      </w:r>
      <w:r w:rsidR="008E26D2" w:rsidRPr="00E57B4B">
        <w:t xml:space="preserve"> related to injection pain appeared to be higher in the </w:t>
      </w:r>
      <w:proofErr w:type="spellStart"/>
      <w:r w:rsidR="008E26D2" w:rsidRPr="00E57B4B">
        <w:t>Eligard</w:t>
      </w:r>
      <w:proofErr w:type="spellEnd"/>
      <w:r w:rsidR="008E26D2" w:rsidRPr="00E57B4B">
        <w:t xml:space="preserve"> </w:t>
      </w:r>
      <w:r w:rsidR="00556D13" w:rsidRPr="00E57B4B">
        <w:t>6-month</w:t>
      </w:r>
      <w:r w:rsidR="008E26D2" w:rsidRPr="00E57B4B">
        <w:t xml:space="preserve"> trial, compared to the trial</w:t>
      </w:r>
      <w:r w:rsidR="0049155E" w:rsidRPr="00E57B4B">
        <w:t xml:space="preserve"> of </w:t>
      </w:r>
      <w:proofErr w:type="spellStart"/>
      <w:r w:rsidR="006E5033" w:rsidRPr="00E57B4B">
        <w:t>Lucrin</w:t>
      </w:r>
      <w:proofErr w:type="spellEnd"/>
      <w:r w:rsidR="006E5033" w:rsidRPr="00E57B4B">
        <w:t xml:space="preserve"> Paediatric</w:t>
      </w:r>
      <w:r w:rsidR="008E26D2" w:rsidRPr="00E57B4B">
        <w:t xml:space="preserve"> (see the Comparative harms)</w:t>
      </w:r>
      <w:r w:rsidR="00DE6DA1" w:rsidRPr="00E57B4B">
        <w:t>.</w:t>
      </w:r>
    </w:p>
    <w:p w14:paraId="73C53300" w14:textId="763D5DA2" w:rsidR="00BC2F88" w:rsidRPr="0040247D" w:rsidRDefault="005E6C02" w:rsidP="00CD2ED2">
      <w:pPr>
        <w:pStyle w:val="TableFigureHeading"/>
      </w:pPr>
      <w:bookmarkStart w:id="4" w:name="_Hlk102727276"/>
      <w:r w:rsidRPr="0040247D">
        <w:lastRenderedPageBreak/>
        <w:t xml:space="preserve">Table </w:t>
      </w:r>
      <w:fldSimple w:instr=" SEQ Table \* ARABIC ">
        <w:r w:rsidRPr="0040247D">
          <w:t>1</w:t>
        </w:r>
      </w:fldSimple>
      <w:bookmarkEnd w:id="4"/>
      <w:r w:rsidRPr="0040247D">
        <w:t xml:space="preserve">: </w:t>
      </w:r>
      <w:r w:rsidR="008B1757" w:rsidRPr="0040247D">
        <w:rPr>
          <w:rStyle w:val="CommentReference"/>
          <w:b/>
          <w:szCs w:val="24"/>
        </w:rPr>
        <w:t>Key components of the clinical issue addressed by the submission</w:t>
      </w:r>
      <w:r w:rsidR="007170DA" w:rsidRPr="0040247D">
        <w:rPr>
          <w:rStyle w:val="CommentReference"/>
          <w:b/>
          <w:szCs w:val="24"/>
        </w:rPr>
        <w:t xml:space="preserve"> (as stated in the submission)</w:t>
      </w:r>
    </w:p>
    <w:tbl>
      <w:tblPr>
        <w:tblW w:w="9067" w:type="dxa"/>
        <w:tblLook w:val="04A0" w:firstRow="1" w:lastRow="0" w:firstColumn="1" w:lastColumn="0" w:noHBand="0" w:noVBand="1"/>
        <w:tblCaption w:val="Table 1: Key components of the clinical issue addressed by the submission (as stated in the submission)"/>
        <w:tblDescription w:val="Table 1: Key components of the clinical issue addressed by the submission (as stated in the submission)"/>
      </w:tblPr>
      <w:tblGrid>
        <w:gridCol w:w="1155"/>
        <w:gridCol w:w="7912"/>
      </w:tblGrid>
      <w:tr w:rsidR="00067771" w:rsidRPr="0040247D" w14:paraId="3297AED6" w14:textId="77777777" w:rsidTr="00CA1457">
        <w:tc>
          <w:tcPr>
            <w:tcW w:w="1155" w:type="dxa"/>
            <w:tcBorders>
              <w:top w:val="single" w:sz="4" w:space="0" w:color="auto"/>
              <w:left w:val="single" w:sz="4" w:space="0" w:color="auto"/>
              <w:bottom w:val="single" w:sz="4" w:space="0" w:color="auto"/>
              <w:right w:val="single" w:sz="4" w:space="0" w:color="auto"/>
            </w:tcBorders>
            <w:shd w:val="clear" w:color="auto" w:fill="auto"/>
          </w:tcPr>
          <w:p w14:paraId="716AD87B" w14:textId="77777777" w:rsidR="000D7B88" w:rsidRPr="0040247D" w:rsidRDefault="000D7B88" w:rsidP="00CD2ED2">
            <w:pPr>
              <w:pStyle w:val="KMC16-TableHeading"/>
              <w:keepNext/>
              <w:jc w:val="left"/>
              <w:rPr>
                <w:color w:val="auto"/>
              </w:rPr>
            </w:pPr>
            <w:bookmarkStart w:id="5" w:name="_Hlk494270761"/>
            <w:r w:rsidRPr="0040247D">
              <w:rPr>
                <w:color w:val="auto"/>
              </w:rPr>
              <w:t>Component</w:t>
            </w:r>
          </w:p>
        </w:tc>
        <w:tc>
          <w:tcPr>
            <w:tcW w:w="7912" w:type="dxa"/>
            <w:tcBorders>
              <w:top w:val="single" w:sz="4" w:space="0" w:color="auto"/>
              <w:left w:val="single" w:sz="4" w:space="0" w:color="auto"/>
              <w:bottom w:val="single" w:sz="4" w:space="0" w:color="auto"/>
              <w:right w:val="single" w:sz="4" w:space="0" w:color="auto"/>
            </w:tcBorders>
            <w:shd w:val="clear" w:color="auto" w:fill="auto"/>
          </w:tcPr>
          <w:p w14:paraId="2AFFCE3C" w14:textId="77777777" w:rsidR="000D7B88" w:rsidRPr="0040247D" w:rsidRDefault="000D7B88" w:rsidP="00CD2ED2">
            <w:pPr>
              <w:pStyle w:val="KMC16-TableHeading"/>
              <w:keepNext/>
              <w:jc w:val="left"/>
              <w:rPr>
                <w:color w:val="auto"/>
              </w:rPr>
            </w:pPr>
            <w:r w:rsidRPr="0040247D">
              <w:rPr>
                <w:color w:val="auto"/>
              </w:rPr>
              <w:t xml:space="preserve">Description </w:t>
            </w:r>
          </w:p>
        </w:tc>
      </w:tr>
      <w:tr w:rsidR="00067771" w:rsidRPr="0040247D" w14:paraId="48E8FB07" w14:textId="77777777" w:rsidTr="00CA1457">
        <w:trPr>
          <w:tblHeader/>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001B15D2" w14:textId="77777777" w:rsidR="000D7B88" w:rsidRPr="0040247D" w:rsidRDefault="000D7B88" w:rsidP="00CD2ED2">
            <w:pPr>
              <w:pStyle w:val="KMC16-TableHeading"/>
              <w:keepNext/>
              <w:jc w:val="left"/>
              <w:rPr>
                <w:color w:val="auto"/>
              </w:rPr>
            </w:pPr>
            <w:r w:rsidRPr="0040247D">
              <w:rPr>
                <w:color w:val="auto"/>
              </w:rPr>
              <w:t>Population</w:t>
            </w:r>
          </w:p>
        </w:tc>
        <w:tc>
          <w:tcPr>
            <w:tcW w:w="7912" w:type="dxa"/>
            <w:tcBorders>
              <w:top w:val="single" w:sz="4" w:space="0" w:color="auto"/>
              <w:left w:val="single" w:sz="4" w:space="0" w:color="auto"/>
              <w:bottom w:val="single" w:sz="4" w:space="0" w:color="auto"/>
              <w:right w:val="single" w:sz="4" w:space="0" w:color="auto"/>
            </w:tcBorders>
            <w:shd w:val="clear" w:color="auto" w:fill="auto"/>
          </w:tcPr>
          <w:p w14:paraId="2A20D71B" w14:textId="203285F3" w:rsidR="000D7B88" w:rsidRPr="0040247D" w:rsidRDefault="006106F5" w:rsidP="00CD2ED2">
            <w:pPr>
              <w:pStyle w:val="KMC16-Tablecontent"/>
              <w:keepNext/>
              <w:rPr>
                <w:bCs/>
                <w:color w:val="auto"/>
                <w:lang w:val="en-AU"/>
              </w:rPr>
            </w:pPr>
            <w:r w:rsidRPr="0040247D">
              <w:rPr>
                <w:bCs/>
                <w:color w:val="auto"/>
                <w:lang w:val="en-AU"/>
              </w:rPr>
              <w:t xml:space="preserve">Central </w:t>
            </w:r>
            <w:r w:rsidR="000D7B88" w:rsidRPr="0040247D">
              <w:rPr>
                <w:bCs/>
                <w:color w:val="auto"/>
                <w:lang w:val="en-AU"/>
              </w:rPr>
              <w:t xml:space="preserve">Precocious Puberty (CPP) in girls 10 years or younger or boys 11 years or younger. </w:t>
            </w:r>
          </w:p>
        </w:tc>
      </w:tr>
      <w:tr w:rsidR="00067771" w:rsidRPr="0040247D" w14:paraId="5981DAA4" w14:textId="77777777" w:rsidTr="00CA1457">
        <w:trPr>
          <w:trHeight w:val="243"/>
          <w:tblHeader/>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2CF32A10" w14:textId="77777777" w:rsidR="000D7B88" w:rsidRPr="0040247D" w:rsidRDefault="000D7B88" w:rsidP="00CD2ED2">
            <w:pPr>
              <w:pStyle w:val="KMC16-TableHeading"/>
              <w:keepNext/>
              <w:jc w:val="left"/>
              <w:rPr>
                <w:color w:val="auto"/>
              </w:rPr>
            </w:pPr>
            <w:r w:rsidRPr="0040247D">
              <w:rPr>
                <w:color w:val="auto"/>
              </w:rPr>
              <w:t>Intervention</w:t>
            </w:r>
          </w:p>
        </w:tc>
        <w:tc>
          <w:tcPr>
            <w:tcW w:w="7912" w:type="dxa"/>
            <w:tcBorders>
              <w:top w:val="single" w:sz="4" w:space="0" w:color="auto"/>
              <w:left w:val="single" w:sz="4" w:space="0" w:color="auto"/>
              <w:bottom w:val="single" w:sz="4" w:space="0" w:color="auto"/>
              <w:right w:val="single" w:sz="4" w:space="0" w:color="auto"/>
            </w:tcBorders>
            <w:shd w:val="clear" w:color="auto" w:fill="auto"/>
          </w:tcPr>
          <w:p w14:paraId="07A17E95" w14:textId="77777777" w:rsidR="000D7B88" w:rsidRPr="0040247D" w:rsidRDefault="000D7B88" w:rsidP="00CD2ED2">
            <w:pPr>
              <w:pStyle w:val="KMC16-Tablecontent"/>
              <w:keepNext/>
              <w:rPr>
                <w:bCs/>
                <w:color w:val="auto"/>
                <w:lang w:val="en-AU"/>
              </w:rPr>
            </w:pPr>
            <w:r w:rsidRPr="0040247D">
              <w:rPr>
                <w:bCs/>
                <w:color w:val="auto"/>
                <w:lang w:val="en-AU"/>
              </w:rPr>
              <w:t>Leuprorelin acetate modified release injection syringe (</w:t>
            </w:r>
            <w:proofErr w:type="spellStart"/>
            <w:r w:rsidRPr="0040247D">
              <w:rPr>
                <w:bCs/>
                <w:color w:val="auto"/>
                <w:lang w:val="en-AU"/>
              </w:rPr>
              <w:t>Eligard</w:t>
            </w:r>
            <w:proofErr w:type="spellEnd"/>
            <w:r w:rsidRPr="0040247D">
              <w:rPr>
                <w:bCs/>
                <w:color w:val="auto"/>
                <w:lang w:val="en-AU"/>
              </w:rPr>
              <w:t xml:space="preserve"> 6 month), administered every 6 months as a single subcutaneous injection.</w:t>
            </w:r>
          </w:p>
        </w:tc>
      </w:tr>
      <w:tr w:rsidR="00067771" w:rsidRPr="0040247D" w14:paraId="76F6DAE8" w14:textId="77777777" w:rsidTr="00CA1457">
        <w:trPr>
          <w:tblHeader/>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65ADAE7A" w14:textId="77777777" w:rsidR="000D7B88" w:rsidRPr="0040247D" w:rsidRDefault="000D7B88" w:rsidP="00CD2ED2">
            <w:pPr>
              <w:pStyle w:val="KMC16-TableHeading"/>
              <w:keepNext/>
              <w:jc w:val="left"/>
              <w:rPr>
                <w:color w:val="auto"/>
              </w:rPr>
            </w:pPr>
            <w:r w:rsidRPr="0040247D">
              <w:rPr>
                <w:color w:val="auto"/>
              </w:rPr>
              <w:t>Comparator</w:t>
            </w:r>
          </w:p>
        </w:tc>
        <w:tc>
          <w:tcPr>
            <w:tcW w:w="7912" w:type="dxa"/>
            <w:tcBorders>
              <w:top w:val="single" w:sz="4" w:space="0" w:color="auto"/>
              <w:left w:val="single" w:sz="4" w:space="0" w:color="auto"/>
              <w:bottom w:val="single" w:sz="4" w:space="0" w:color="auto"/>
              <w:right w:val="single" w:sz="4" w:space="0" w:color="auto"/>
            </w:tcBorders>
            <w:shd w:val="clear" w:color="auto" w:fill="auto"/>
          </w:tcPr>
          <w:p w14:paraId="530B638C" w14:textId="39C57D1D" w:rsidR="000D7B88" w:rsidRPr="0040247D" w:rsidRDefault="000D7B88" w:rsidP="00CD2ED2">
            <w:pPr>
              <w:pStyle w:val="KMC16-Tablecontent"/>
              <w:keepNext/>
              <w:rPr>
                <w:bCs/>
                <w:color w:val="auto"/>
                <w:lang w:val="en-AU"/>
              </w:rPr>
            </w:pPr>
            <w:r w:rsidRPr="0040247D">
              <w:rPr>
                <w:bCs/>
                <w:color w:val="auto"/>
                <w:lang w:val="en-AU"/>
              </w:rPr>
              <w:t>Leuprorelin acetate 30 mg modified release injection syringe (</w:t>
            </w:r>
            <w:proofErr w:type="spellStart"/>
            <w:r w:rsidR="002B4FCF" w:rsidRPr="0040247D">
              <w:rPr>
                <w:bCs/>
                <w:color w:val="auto"/>
                <w:lang w:val="en-AU"/>
              </w:rPr>
              <w:t>Lucrin</w:t>
            </w:r>
            <w:proofErr w:type="spellEnd"/>
            <w:r w:rsidR="002B4FCF" w:rsidRPr="0040247D">
              <w:rPr>
                <w:bCs/>
                <w:color w:val="auto"/>
                <w:lang w:val="en-AU"/>
              </w:rPr>
              <w:t xml:space="preserve"> Paediatric</w:t>
            </w:r>
            <w:r w:rsidRPr="0040247D">
              <w:rPr>
                <w:bCs/>
                <w:color w:val="auto"/>
                <w:lang w:val="en-AU"/>
              </w:rPr>
              <w:t>), administered every 3 months via intramuscular injection.</w:t>
            </w:r>
          </w:p>
        </w:tc>
      </w:tr>
      <w:tr w:rsidR="00067771" w:rsidRPr="0040247D" w14:paraId="4082F185" w14:textId="77777777" w:rsidTr="00CA1457">
        <w:trPr>
          <w:tblHeader/>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7738E971" w14:textId="77777777" w:rsidR="000D7B88" w:rsidRPr="0040247D" w:rsidRDefault="000D7B88" w:rsidP="00CD2ED2">
            <w:pPr>
              <w:pStyle w:val="KMC16-Tablecontent"/>
              <w:keepNext/>
              <w:rPr>
                <w:b/>
                <w:color w:val="auto"/>
                <w:lang w:val="en-AU"/>
              </w:rPr>
            </w:pPr>
            <w:r w:rsidRPr="0040247D">
              <w:rPr>
                <w:b/>
                <w:color w:val="auto"/>
                <w:lang w:val="en-AU"/>
              </w:rPr>
              <w:t>Outcomes</w:t>
            </w:r>
          </w:p>
        </w:tc>
        <w:tc>
          <w:tcPr>
            <w:tcW w:w="7912" w:type="dxa"/>
            <w:tcBorders>
              <w:top w:val="single" w:sz="4" w:space="0" w:color="auto"/>
              <w:left w:val="single" w:sz="4" w:space="0" w:color="auto"/>
              <w:bottom w:val="single" w:sz="4" w:space="0" w:color="auto"/>
              <w:right w:val="single" w:sz="4" w:space="0" w:color="auto"/>
            </w:tcBorders>
            <w:shd w:val="clear" w:color="auto" w:fill="auto"/>
          </w:tcPr>
          <w:p w14:paraId="5D609B4B" w14:textId="77777777" w:rsidR="000D7B88" w:rsidRPr="0040247D" w:rsidRDefault="000D7B88" w:rsidP="00CD2ED2">
            <w:pPr>
              <w:pStyle w:val="KMC16ES-tabletext"/>
              <w:rPr>
                <w:color w:val="auto"/>
                <w:u w:val="single"/>
              </w:rPr>
            </w:pPr>
            <w:r w:rsidRPr="0040247D">
              <w:rPr>
                <w:color w:val="auto"/>
                <w:u w:val="single"/>
              </w:rPr>
              <w:t>Primary</w:t>
            </w:r>
          </w:p>
          <w:p w14:paraId="5E328734" w14:textId="77777777" w:rsidR="000D7B88" w:rsidRPr="0040247D" w:rsidRDefault="000D7B88" w:rsidP="00CD2ED2">
            <w:pPr>
              <w:pStyle w:val="KMC16ES-tabletext"/>
              <w:rPr>
                <w:bCs/>
                <w:color w:val="auto"/>
              </w:rPr>
            </w:pPr>
            <w:r w:rsidRPr="0040247D">
              <w:rPr>
                <w:bCs/>
                <w:color w:val="auto"/>
              </w:rPr>
              <w:t>Percentage of children with luteinising hormone suppression (LH) (&lt;4 IU/L) at week 24.</w:t>
            </w:r>
          </w:p>
          <w:p w14:paraId="5379B280" w14:textId="77777777" w:rsidR="000D7B88" w:rsidRPr="0040247D" w:rsidRDefault="000D7B88" w:rsidP="00CD2ED2">
            <w:pPr>
              <w:pStyle w:val="KMC16ES-tabletext"/>
              <w:rPr>
                <w:color w:val="auto"/>
                <w:u w:val="single"/>
              </w:rPr>
            </w:pPr>
            <w:r w:rsidRPr="0040247D">
              <w:rPr>
                <w:color w:val="auto"/>
                <w:u w:val="single"/>
              </w:rPr>
              <w:t>Secondary</w:t>
            </w:r>
          </w:p>
          <w:p w14:paraId="7EC1C5D1" w14:textId="77777777" w:rsidR="000D7B88" w:rsidRPr="0040247D" w:rsidRDefault="000D7B88" w:rsidP="00CD2ED2">
            <w:pPr>
              <w:pStyle w:val="KMC16ES-tabletext"/>
              <w:rPr>
                <w:bCs/>
                <w:color w:val="auto"/>
              </w:rPr>
            </w:pPr>
            <w:r w:rsidRPr="0040247D">
              <w:rPr>
                <w:bCs/>
                <w:color w:val="auto"/>
              </w:rPr>
              <w:t>Percentage of children with LH suppression (&lt;4 IU/L) at week 12, 36, week 48.</w:t>
            </w:r>
          </w:p>
          <w:p w14:paraId="6ACEE3A6" w14:textId="77777777" w:rsidR="000D7B88" w:rsidRPr="0040247D" w:rsidRDefault="000D7B88" w:rsidP="00CD2ED2">
            <w:pPr>
              <w:pStyle w:val="KMC16ES-tabletext"/>
              <w:rPr>
                <w:bCs/>
                <w:color w:val="auto"/>
              </w:rPr>
            </w:pPr>
            <w:r w:rsidRPr="0040247D">
              <w:rPr>
                <w:bCs/>
                <w:color w:val="auto"/>
              </w:rPr>
              <w:t>Mean LH levels across timepoints, post stimulation test.</w:t>
            </w:r>
          </w:p>
          <w:p w14:paraId="1E0059E8" w14:textId="67D9EF78" w:rsidR="000D7B88" w:rsidRPr="0040247D" w:rsidRDefault="000D7B88" w:rsidP="00CD2ED2">
            <w:pPr>
              <w:pStyle w:val="KMC16ES-tabletext"/>
              <w:rPr>
                <w:bCs/>
                <w:color w:val="auto"/>
              </w:rPr>
            </w:pPr>
            <w:r w:rsidRPr="0040247D">
              <w:rPr>
                <w:bCs/>
                <w:color w:val="auto"/>
              </w:rPr>
              <w:t xml:space="preserve">LH, follicle stimulating hormone (FSH), basal </w:t>
            </w:r>
            <w:r w:rsidR="00F86B85" w:rsidRPr="0040247D">
              <w:rPr>
                <w:bCs/>
                <w:color w:val="auto"/>
              </w:rPr>
              <w:t>oestradiol</w:t>
            </w:r>
            <w:r w:rsidRPr="0040247D">
              <w:rPr>
                <w:bCs/>
                <w:color w:val="auto"/>
              </w:rPr>
              <w:t xml:space="preserve"> (in girls) and testosterone (in boys) levels at baseline, on-treatment, end-of treatment, and corresponding changes from baseline, percent responders with suppression of hormone levels.</w:t>
            </w:r>
          </w:p>
          <w:p w14:paraId="0E85E3D7" w14:textId="77777777" w:rsidR="000D7B88" w:rsidRPr="0040247D" w:rsidRDefault="000D7B88" w:rsidP="00CD2ED2">
            <w:pPr>
              <w:pStyle w:val="KMC16ES-tabletext"/>
              <w:rPr>
                <w:bCs/>
                <w:color w:val="auto"/>
              </w:rPr>
            </w:pPr>
            <w:r w:rsidRPr="0040247D">
              <w:rPr>
                <w:bCs/>
                <w:color w:val="auto"/>
              </w:rPr>
              <w:t>Change in height and growth velocity, sexual maturation, and testicular volume in boys, percent with suppression.</w:t>
            </w:r>
          </w:p>
          <w:p w14:paraId="41825851" w14:textId="77777777" w:rsidR="000D7B88" w:rsidRPr="0040247D" w:rsidRDefault="000D7B88" w:rsidP="00CD2ED2">
            <w:pPr>
              <w:pStyle w:val="KMC16ES-tabletext"/>
              <w:rPr>
                <w:bCs/>
                <w:color w:val="auto"/>
              </w:rPr>
            </w:pPr>
            <w:r w:rsidRPr="0040247D">
              <w:rPr>
                <w:bCs/>
                <w:color w:val="auto"/>
              </w:rPr>
              <w:t>Adverse events.</w:t>
            </w:r>
          </w:p>
        </w:tc>
      </w:tr>
      <w:tr w:rsidR="00067771" w:rsidRPr="0040247D" w14:paraId="1A7D7BDE" w14:textId="77777777" w:rsidTr="00CA1457">
        <w:trPr>
          <w:tblHeader/>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7A7849D7" w14:textId="77777777" w:rsidR="000D7B88" w:rsidRPr="0040247D" w:rsidRDefault="000D7B88" w:rsidP="00CD2ED2">
            <w:pPr>
              <w:pStyle w:val="KMC16-Tablecontent"/>
              <w:keepNext/>
              <w:rPr>
                <w:b/>
                <w:bCs/>
                <w:color w:val="auto"/>
                <w:lang w:val="en-AU"/>
              </w:rPr>
            </w:pPr>
            <w:r w:rsidRPr="0040247D">
              <w:rPr>
                <w:b/>
                <w:bCs/>
                <w:color w:val="auto"/>
                <w:lang w:val="en-AU"/>
              </w:rPr>
              <w:t>Clinical Claim</w:t>
            </w:r>
          </w:p>
        </w:tc>
        <w:tc>
          <w:tcPr>
            <w:tcW w:w="7912" w:type="dxa"/>
            <w:tcBorders>
              <w:top w:val="single" w:sz="4" w:space="0" w:color="auto"/>
              <w:left w:val="single" w:sz="4" w:space="0" w:color="auto"/>
              <w:bottom w:val="single" w:sz="4" w:space="0" w:color="auto"/>
              <w:right w:val="single" w:sz="4" w:space="0" w:color="auto"/>
            </w:tcBorders>
            <w:shd w:val="clear" w:color="auto" w:fill="auto"/>
          </w:tcPr>
          <w:p w14:paraId="73B5A4BA" w14:textId="4D496EAD" w:rsidR="000D7B88" w:rsidRPr="0040247D" w:rsidRDefault="000D7B88" w:rsidP="00CD2ED2">
            <w:pPr>
              <w:pStyle w:val="KMC16-Tablecontent"/>
              <w:keepNext/>
              <w:ind w:left="2" w:hanging="2"/>
              <w:jc w:val="both"/>
              <w:rPr>
                <w:color w:val="auto"/>
                <w:lang w:val="en-AU"/>
              </w:rPr>
            </w:pPr>
            <w:r w:rsidRPr="0040247D">
              <w:rPr>
                <w:color w:val="auto"/>
                <w:lang w:val="en-AU"/>
              </w:rPr>
              <w:t xml:space="preserve">For the treatment of central precocious puberty, leuprorelin modified release </w:t>
            </w:r>
            <w:proofErr w:type="gramStart"/>
            <w:r w:rsidRPr="0040247D">
              <w:rPr>
                <w:color w:val="auto"/>
                <w:lang w:val="en-AU"/>
              </w:rPr>
              <w:t>6 month</w:t>
            </w:r>
            <w:proofErr w:type="gramEnd"/>
            <w:r w:rsidRPr="0040247D">
              <w:rPr>
                <w:color w:val="auto"/>
                <w:lang w:val="en-AU"/>
              </w:rPr>
              <w:t xml:space="preserve"> injection (leuprorelin acetate 45 mg) is non-inferior compared to leuprorelin depot paediatric 30 mg PDS IM (administered to cover 6 months treatment) at suppression with respect to luteinising hormone levels with a comparable safety profile.</w:t>
            </w:r>
          </w:p>
        </w:tc>
      </w:tr>
    </w:tbl>
    <w:bookmarkEnd w:id="5"/>
    <w:p w14:paraId="79FA1B4A" w14:textId="5EA27056" w:rsidR="000D7B88" w:rsidRPr="0040247D" w:rsidRDefault="000D7B88" w:rsidP="000D7B88">
      <w:pPr>
        <w:pStyle w:val="TableFigureFooter"/>
      </w:pPr>
      <w:r w:rsidRPr="0040247D">
        <w:t>Source: Table 1-1, p11 of the submission.</w:t>
      </w:r>
    </w:p>
    <w:p w14:paraId="18BC7B3F" w14:textId="76AC3A50" w:rsidR="006106F5" w:rsidRPr="0040247D" w:rsidRDefault="006106F5" w:rsidP="000D7B88">
      <w:pPr>
        <w:pStyle w:val="TableFigureFooter"/>
      </w:pPr>
      <w:r w:rsidRPr="0040247D">
        <w:t xml:space="preserve">Note: Table 1-1 in the submission prefers to CPP as Chronic Precocious Puberty. The error is corrected here.   </w:t>
      </w:r>
    </w:p>
    <w:p w14:paraId="0AF5DD9F" w14:textId="3D2BE8F0" w:rsidR="000D7B88" w:rsidRPr="0040247D" w:rsidRDefault="000D7B88" w:rsidP="000D7B88">
      <w:pPr>
        <w:pStyle w:val="TableFigureFooter"/>
      </w:pPr>
      <w:r w:rsidRPr="0040247D">
        <w:t xml:space="preserve">CPP, </w:t>
      </w:r>
      <w:r w:rsidR="006106F5" w:rsidRPr="0040247D">
        <w:t xml:space="preserve">Central </w:t>
      </w:r>
      <w:r w:rsidRPr="0040247D">
        <w:t>Precocious Puberty; LH, luteinising hormone; FSH, follicle stimulating hormone; IM, intramuscular injection</w:t>
      </w:r>
    </w:p>
    <w:p w14:paraId="6B4AB6C2" w14:textId="2FF0E1D3" w:rsidR="005C25FF" w:rsidRPr="0040247D" w:rsidRDefault="005C25FF" w:rsidP="004A6040">
      <w:pPr>
        <w:pStyle w:val="2-SectionHeading"/>
      </w:pPr>
      <w:bookmarkStart w:id="6" w:name="_Toc103764953"/>
      <w:r w:rsidRPr="0040247D">
        <w:t>Background</w:t>
      </w:r>
      <w:bookmarkEnd w:id="6"/>
    </w:p>
    <w:p w14:paraId="2C521D6D" w14:textId="072D8CB8" w:rsidR="005C25FF" w:rsidRPr="0040247D" w:rsidRDefault="005C25FF" w:rsidP="00703F04">
      <w:pPr>
        <w:pStyle w:val="4-SubsectionHeading"/>
      </w:pPr>
      <w:bookmarkStart w:id="7" w:name="_Toc22897638"/>
      <w:bookmarkStart w:id="8" w:name="_Toc103764954"/>
      <w:r w:rsidRPr="0040247D">
        <w:t>Registration status</w:t>
      </w:r>
      <w:bookmarkEnd w:id="7"/>
      <w:bookmarkEnd w:id="8"/>
    </w:p>
    <w:p w14:paraId="4E801665" w14:textId="105DD56F" w:rsidR="00E364A2" w:rsidRPr="0040247D" w:rsidRDefault="005C25FF" w:rsidP="0055154C">
      <w:pPr>
        <w:pStyle w:val="3-BodyText"/>
        <w:ind w:left="709"/>
      </w:pPr>
      <w:r w:rsidRPr="007D3075">
        <w:t>The</w:t>
      </w:r>
      <w:r w:rsidRPr="0040247D">
        <w:t xml:space="preserve"> submission was made under </w:t>
      </w:r>
      <w:r w:rsidR="00E244F6" w:rsidRPr="0040247D">
        <w:t xml:space="preserve">the </w:t>
      </w:r>
      <w:r w:rsidRPr="0040247D">
        <w:t xml:space="preserve">TGA/PBAC Parallel Process. At the time of PBAC consideration, </w:t>
      </w:r>
      <w:r w:rsidR="00810458">
        <w:t xml:space="preserve">the </w:t>
      </w:r>
      <w:r w:rsidR="00A12D64">
        <w:t>TGA Delegate’s overview</w:t>
      </w:r>
      <w:r w:rsidR="00764B65" w:rsidRPr="0040247D">
        <w:t xml:space="preserve"> was available</w:t>
      </w:r>
      <w:r w:rsidR="005066DE" w:rsidRPr="0040247D">
        <w:t>.</w:t>
      </w:r>
    </w:p>
    <w:p w14:paraId="33AE7395" w14:textId="28374272" w:rsidR="00FB12F2" w:rsidRPr="0040247D" w:rsidRDefault="00FB12F2" w:rsidP="0055154C">
      <w:pPr>
        <w:pStyle w:val="3-BodyText"/>
        <w:ind w:left="709"/>
      </w:pPr>
      <w:r w:rsidRPr="0040247D">
        <w:t xml:space="preserve">The proposed indication in the draft </w:t>
      </w:r>
      <w:r w:rsidR="006B0822" w:rsidRPr="0040247D">
        <w:t>product information (</w:t>
      </w:r>
      <w:r w:rsidRPr="0040247D">
        <w:t>PI</w:t>
      </w:r>
      <w:r w:rsidR="006B0822" w:rsidRPr="0040247D">
        <w:t>)</w:t>
      </w:r>
      <w:r w:rsidR="002B437C" w:rsidRPr="0040247D">
        <w:t xml:space="preserve"> </w:t>
      </w:r>
      <w:r w:rsidRPr="0040247D">
        <w:t>is</w:t>
      </w:r>
      <w:r w:rsidR="002B437C" w:rsidRPr="0040247D">
        <w:t xml:space="preserve"> ‘</w:t>
      </w:r>
      <w:proofErr w:type="spellStart"/>
      <w:r w:rsidR="002B437C" w:rsidRPr="0040247D">
        <w:t>Eligard</w:t>
      </w:r>
      <w:proofErr w:type="spellEnd"/>
      <w:r w:rsidR="002B437C" w:rsidRPr="0040247D">
        <w:t xml:space="preserve"> 6 month is indicated for the treatment of children with central precocious puberty.’</w:t>
      </w:r>
      <w:r w:rsidR="001247E3" w:rsidRPr="0040247D">
        <w:t xml:space="preserve"> </w:t>
      </w:r>
      <w:r w:rsidR="001247E3" w:rsidRPr="00E57B4B">
        <w:t xml:space="preserve">This </w:t>
      </w:r>
      <w:r w:rsidR="00FB4522" w:rsidRPr="00E57B4B">
        <w:t xml:space="preserve">was </w:t>
      </w:r>
      <w:r w:rsidR="001247E3" w:rsidRPr="00E57B4B">
        <w:t xml:space="preserve">consistent with the requested </w:t>
      </w:r>
      <w:r w:rsidR="0055154C" w:rsidRPr="00E57B4B">
        <w:t xml:space="preserve">listing; </w:t>
      </w:r>
      <w:r w:rsidR="001F196A" w:rsidRPr="00E57B4B">
        <w:t>however,</w:t>
      </w:r>
      <w:r w:rsidR="0055154C" w:rsidRPr="00E57B4B">
        <w:t xml:space="preserve"> the requested listing include</w:t>
      </w:r>
      <w:r w:rsidR="00927598" w:rsidRPr="00E57B4B">
        <w:t>d</w:t>
      </w:r>
      <w:r w:rsidR="0055154C" w:rsidRPr="00E57B4B">
        <w:t xml:space="preserve"> additional age criteria, consistent with the </w:t>
      </w:r>
      <w:proofErr w:type="spellStart"/>
      <w:r w:rsidR="0055154C" w:rsidRPr="00E57B4B">
        <w:t>Lucrin</w:t>
      </w:r>
      <w:proofErr w:type="spellEnd"/>
      <w:r w:rsidR="0055154C" w:rsidRPr="00E57B4B">
        <w:t xml:space="preserve"> Paediatric listing</w:t>
      </w:r>
      <w:r w:rsidR="001247E3" w:rsidRPr="00E57B4B">
        <w:t>.</w:t>
      </w:r>
    </w:p>
    <w:p w14:paraId="0B4C68F5" w14:textId="68A64A5F" w:rsidR="004C18FA" w:rsidRPr="0040247D" w:rsidRDefault="005C25FF" w:rsidP="00703F04">
      <w:pPr>
        <w:pStyle w:val="4-SubsectionHeading"/>
      </w:pPr>
      <w:bookmarkStart w:id="9" w:name="_Toc22897639"/>
      <w:bookmarkStart w:id="10" w:name="_Toc103764955"/>
      <w:r w:rsidRPr="0040247D">
        <w:t>Previous PBAC consideration</w:t>
      </w:r>
      <w:bookmarkEnd w:id="9"/>
      <w:bookmarkEnd w:id="10"/>
    </w:p>
    <w:p w14:paraId="2E703D5C" w14:textId="62E217A3" w:rsidR="007C5774" w:rsidRDefault="007C5774" w:rsidP="0055154C">
      <w:pPr>
        <w:pStyle w:val="3-BodyText"/>
        <w:ind w:left="709"/>
      </w:pPr>
      <w:r w:rsidRPr="0040247D">
        <w:t xml:space="preserve">This is the first submission for </w:t>
      </w:r>
      <w:proofErr w:type="spellStart"/>
      <w:r w:rsidRPr="0040247D">
        <w:t>Eligard</w:t>
      </w:r>
      <w:proofErr w:type="spellEnd"/>
      <w:r w:rsidRPr="0040247D">
        <w:t xml:space="preserve"> 6 month for the</w:t>
      </w:r>
      <w:r w:rsidR="00F17A78" w:rsidRPr="0040247D">
        <w:t xml:space="preserve"> CPP</w:t>
      </w:r>
      <w:r w:rsidRPr="0040247D">
        <w:t xml:space="preserve"> indication. </w:t>
      </w:r>
      <w:r w:rsidR="005066DE" w:rsidRPr="0040247D">
        <w:t>The first</w:t>
      </w:r>
      <w:r w:rsidR="001247E3" w:rsidRPr="0040247D">
        <w:t xml:space="preserve"> </w:t>
      </w:r>
      <w:r w:rsidR="005066DE" w:rsidRPr="0040247D">
        <w:t>leuprorelin</w:t>
      </w:r>
      <w:r w:rsidR="0055154C" w:rsidRPr="0040247D">
        <w:t xml:space="preserve"> listing</w:t>
      </w:r>
      <w:r w:rsidR="005066DE" w:rsidRPr="0040247D">
        <w:t xml:space="preserve"> </w:t>
      </w:r>
      <w:r w:rsidR="00F17A78" w:rsidRPr="0040247D">
        <w:t xml:space="preserve">for the treatment of </w:t>
      </w:r>
      <w:r w:rsidR="005066DE" w:rsidRPr="0040247D">
        <w:t xml:space="preserve">CPP was </w:t>
      </w:r>
      <w:proofErr w:type="spellStart"/>
      <w:r w:rsidR="006E5033" w:rsidRPr="0040247D">
        <w:t>Lucrin</w:t>
      </w:r>
      <w:proofErr w:type="spellEnd"/>
      <w:r w:rsidR="006E5033" w:rsidRPr="0040247D">
        <w:t xml:space="preserve"> Paediatric</w:t>
      </w:r>
      <w:r w:rsidR="001247E3" w:rsidRPr="0040247D">
        <w:t xml:space="preserve"> (</w:t>
      </w:r>
      <w:r w:rsidR="00F17A78" w:rsidRPr="0040247D">
        <w:t xml:space="preserve">listed in </w:t>
      </w:r>
      <w:r w:rsidR="005066DE" w:rsidRPr="0040247D">
        <w:t>December 2015</w:t>
      </w:r>
      <w:r w:rsidR="001247E3" w:rsidRPr="0040247D">
        <w:t>)</w:t>
      </w:r>
      <w:r w:rsidR="005066DE" w:rsidRPr="0040247D">
        <w:t xml:space="preserve">. </w:t>
      </w:r>
      <w:r w:rsidR="008D340A" w:rsidRPr="00A369BD">
        <w:rPr>
          <w:iCs/>
        </w:rPr>
        <w:t>C</w:t>
      </w:r>
      <w:r w:rsidR="008D340A" w:rsidRPr="00E57B4B">
        <w:t>urrently, b</w:t>
      </w:r>
      <w:r w:rsidRPr="00E57B4B">
        <w:t xml:space="preserve">oth </w:t>
      </w:r>
      <w:r w:rsidR="00F17A78" w:rsidRPr="00E57B4B">
        <w:t xml:space="preserve">the </w:t>
      </w:r>
      <w:proofErr w:type="spellStart"/>
      <w:r w:rsidRPr="00E57B4B">
        <w:t>Eligard</w:t>
      </w:r>
      <w:proofErr w:type="spellEnd"/>
      <w:r w:rsidRPr="00E57B4B">
        <w:t xml:space="preserve"> </w:t>
      </w:r>
      <w:r w:rsidR="00170F86" w:rsidRPr="00E57B4B">
        <w:t xml:space="preserve">6 month </w:t>
      </w:r>
      <w:r w:rsidRPr="00E57B4B">
        <w:t xml:space="preserve">and </w:t>
      </w:r>
      <w:proofErr w:type="spellStart"/>
      <w:r w:rsidR="00170F86" w:rsidRPr="00E57B4B">
        <w:t>Lucrin</w:t>
      </w:r>
      <w:proofErr w:type="spellEnd"/>
      <w:r w:rsidR="00170F86" w:rsidRPr="00E57B4B">
        <w:t xml:space="preserve"> Paediatric </w:t>
      </w:r>
      <w:r w:rsidRPr="00E57B4B">
        <w:t>brands of leuprorelin are PBS listed for locally advanced or metastatic carcinoma of the prostate</w:t>
      </w:r>
      <w:r w:rsidR="008D340A" w:rsidRPr="00E57B4B">
        <w:t xml:space="preserve">. </w:t>
      </w:r>
      <w:proofErr w:type="spellStart"/>
      <w:r w:rsidR="007F5A54" w:rsidRPr="0040247D">
        <w:t>Diphereline</w:t>
      </w:r>
      <w:proofErr w:type="spellEnd"/>
      <w:r w:rsidR="00224647" w:rsidRPr="0040247D">
        <w:t xml:space="preserve"> (triptorelin </w:t>
      </w:r>
      <w:proofErr w:type="spellStart"/>
      <w:r w:rsidR="00224647" w:rsidRPr="0040247D">
        <w:t>embonate</w:t>
      </w:r>
      <w:proofErr w:type="spellEnd"/>
      <w:r w:rsidR="00224647" w:rsidRPr="0040247D">
        <w:t>)</w:t>
      </w:r>
      <w:r w:rsidRPr="0040247D">
        <w:t xml:space="preserve"> was recommended for </w:t>
      </w:r>
      <w:r w:rsidR="00F17A78" w:rsidRPr="0040247D">
        <w:t xml:space="preserve">the treatment of </w:t>
      </w:r>
      <w:r w:rsidRPr="0040247D">
        <w:t>CPP at the July 2021 PBAC meeting and listed in November 2021.</w:t>
      </w:r>
    </w:p>
    <w:p w14:paraId="16B1C14D" w14:textId="3C516ED4" w:rsidR="00FF5DCF" w:rsidRPr="0040247D" w:rsidRDefault="00FF5DCF" w:rsidP="00FF5DCF">
      <w:pPr>
        <w:pStyle w:val="3-BodyText"/>
        <w:numPr>
          <w:ilvl w:val="0"/>
          <w:numId w:val="0"/>
        </w:numPr>
        <w:ind w:left="709"/>
      </w:pPr>
      <w:r w:rsidRPr="00C33D30">
        <w:rPr>
          <w:i/>
        </w:rPr>
        <w:t>For more detail on PBAC’s view, see section 7 PBAC outcome.</w:t>
      </w:r>
    </w:p>
    <w:p w14:paraId="76E4EF3C" w14:textId="13040F70" w:rsidR="00B60939" w:rsidRPr="0040247D" w:rsidRDefault="00B50DB8" w:rsidP="004E18E9">
      <w:pPr>
        <w:pStyle w:val="2-SectionHeading"/>
      </w:pPr>
      <w:bookmarkStart w:id="11" w:name="_Toc103764956"/>
      <w:r w:rsidRPr="0040247D">
        <w:lastRenderedPageBreak/>
        <w:t>Requested listing</w:t>
      </w:r>
      <w:bookmarkEnd w:id="11"/>
    </w:p>
    <w:tbl>
      <w:tblPr>
        <w:tblW w:w="4977" w:type="pct"/>
        <w:tblInd w:w="28" w:type="dxa"/>
        <w:tblCellMar>
          <w:left w:w="28" w:type="dxa"/>
          <w:right w:w="28" w:type="dxa"/>
        </w:tblCellMar>
        <w:tblLook w:val="0000" w:firstRow="0" w:lastRow="0" w:firstColumn="0" w:lastColumn="0" w:noHBand="0" w:noVBand="0"/>
      </w:tblPr>
      <w:tblGrid>
        <w:gridCol w:w="2145"/>
        <w:gridCol w:w="1056"/>
        <w:gridCol w:w="1017"/>
        <w:gridCol w:w="780"/>
        <w:gridCol w:w="1433"/>
        <w:gridCol w:w="883"/>
        <w:gridCol w:w="1412"/>
      </w:tblGrid>
      <w:tr w:rsidR="00067771" w:rsidRPr="0040247D" w14:paraId="3F3E5DD2" w14:textId="77777777" w:rsidTr="000A4023">
        <w:trPr>
          <w:cantSplit/>
          <w:trHeight w:val="463"/>
        </w:trPr>
        <w:tc>
          <w:tcPr>
            <w:tcW w:w="1834" w:type="pct"/>
            <w:gridSpan w:val="2"/>
            <w:tcBorders>
              <w:top w:val="single" w:sz="4" w:space="0" w:color="auto"/>
              <w:bottom w:val="single" w:sz="4" w:space="0" w:color="auto"/>
            </w:tcBorders>
            <w:vAlign w:val="center"/>
          </w:tcPr>
          <w:p w14:paraId="0F6E847E" w14:textId="77777777" w:rsidR="00617E12" w:rsidRPr="0040247D" w:rsidRDefault="00617E12" w:rsidP="00617E12">
            <w:pPr>
              <w:keepNext/>
              <w:jc w:val="left"/>
              <w:rPr>
                <w:rFonts w:ascii="Arial Narrow" w:hAnsi="Arial Narrow"/>
                <w:b/>
                <w:sz w:val="20"/>
              </w:rPr>
            </w:pPr>
            <w:r w:rsidRPr="0040247D">
              <w:rPr>
                <w:rFonts w:ascii="Arial Narrow" w:hAnsi="Arial Narrow"/>
                <w:b/>
                <w:sz w:val="20"/>
              </w:rPr>
              <w:t>Name, Restriction,</w:t>
            </w:r>
          </w:p>
          <w:p w14:paraId="1DDDA174" w14:textId="77777777" w:rsidR="00617E12" w:rsidRPr="0040247D" w:rsidRDefault="00617E12" w:rsidP="00617E12">
            <w:pPr>
              <w:keepNext/>
              <w:jc w:val="left"/>
              <w:rPr>
                <w:rFonts w:ascii="Arial Narrow" w:hAnsi="Arial Narrow"/>
                <w:b/>
                <w:sz w:val="20"/>
              </w:rPr>
            </w:pPr>
            <w:r w:rsidRPr="0040247D">
              <w:rPr>
                <w:rFonts w:ascii="Arial Narrow" w:hAnsi="Arial Narrow"/>
                <w:b/>
                <w:sz w:val="20"/>
              </w:rPr>
              <w:t>Manner of administration and form</w:t>
            </w:r>
          </w:p>
        </w:tc>
        <w:tc>
          <w:tcPr>
            <w:tcW w:w="583" w:type="pct"/>
            <w:tcBorders>
              <w:top w:val="single" w:sz="4" w:space="0" w:color="auto"/>
              <w:bottom w:val="single" w:sz="4" w:space="0" w:color="auto"/>
            </w:tcBorders>
            <w:vAlign w:val="center"/>
          </w:tcPr>
          <w:p w14:paraId="5A87A426" w14:textId="77777777" w:rsidR="00617E12" w:rsidRPr="0040247D" w:rsidRDefault="00617E12" w:rsidP="00617E12">
            <w:pPr>
              <w:keepNext/>
              <w:jc w:val="center"/>
              <w:rPr>
                <w:rFonts w:ascii="Arial Narrow" w:hAnsi="Arial Narrow"/>
                <w:b/>
                <w:sz w:val="20"/>
              </w:rPr>
            </w:pPr>
            <w:r w:rsidRPr="0040247D">
              <w:rPr>
                <w:rFonts w:ascii="Arial Narrow" w:hAnsi="Arial Narrow"/>
                <w:b/>
                <w:sz w:val="20"/>
              </w:rPr>
              <w:t>Max.</w:t>
            </w:r>
          </w:p>
          <w:p w14:paraId="20B12ACF" w14:textId="4D23C0A5" w:rsidR="00617E12" w:rsidRPr="0040247D" w:rsidRDefault="00617E12" w:rsidP="00617E12">
            <w:pPr>
              <w:keepNext/>
              <w:jc w:val="center"/>
              <w:rPr>
                <w:rFonts w:ascii="Arial Narrow" w:hAnsi="Arial Narrow"/>
                <w:b/>
                <w:sz w:val="20"/>
              </w:rPr>
            </w:pPr>
            <w:r w:rsidRPr="0040247D">
              <w:rPr>
                <w:rFonts w:ascii="Arial Narrow" w:hAnsi="Arial Narrow"/>
                <w:b/>
                <w:sz w:val="20"/>
              </w:rPr>
              <w:t>Qty</w:t>
            </w:r>
            <w:r w:rsidR="00591957" w:rsidRPr="0040247D">
              <w:rPr>
                <w:rFonts w:ascii="Arial Narrow" w:hAnsi="Arial Narrow"/>
                <w:b/>
                <w:sz w:val="20"/>
              </w:rPr>
              <w:t xml:space="preserve"> </w:t>
            </w:r>
          </w:p>
        </w:tc>
        <w:tc>
          <w:tcPr>
            <w:tcW w:w="447" w:type="pct"/>
            <w:tcBorders>
              <w:top w:val="single" w:sz="4" w:space="0" w:color="auto"/>
              <w:bottom w:val="single" w:sz="4" w:space="0" w:color="auto"/>
            </w:tcBorders>
            <w:vAlign w:val="center"/>
          </w:tcPr>
          <w:p w14:paraId="47C41B58" w14:textId="77777777" w:rsidR="00617E12" w:rsidRPr="0040247D" w:rsidRDefault="00617E12" w:rsidP="00617E12">
            <w:pPr>
              <w:keepNext/>
              <w:jc w:val="center"/>
              <w:rPr>
                <w:rFonts w:ascii="Arial Narrow" w:hAnsi="Arial Narrow"/>
                <w:b/>
                <w:sz w:val="20"/>
              </w:rPr>
            </w:pPr>
            <w:r w:rsidRPr="0040247D">
              <w:rPr>
                <w:rFonts w:ascii="Arial Narrow" w:hAnsi="Arial Narrow" w:cs="Times New Roman"/>
                <w:b/>
                <w:sz w:val="20"/>
              </w:rPr>
              <w:t>№</w:t>
            </w:r>
            <w:r w:rsidRPr="0040247D">
              <w:rPr>
                <w:rFonts w:ascii="Arial Narrow" w:hAnsi="Arial Narrow"/>
                <w:b/>
                <w:sz w:val="20"/>
              </w:rPr>
              <w:t>.of</w:t>
            </w:r>
          </w:p>
          <w:p w14:paraId="4959D822" w14:textId="77777777" w:rsidR="00617E12" w:rsidRPr="0040247D" w:rsidRDefault="00617E12" w:rsidP="00617E12">
            <w:pPr>
              <w:keepNext/>
              <w:jc w:val="center"/>
              <w:rPr>
                <w:rFonts w:ascii="Arial Narrow" w:hAnsi="Arial Narrow"/>
                <w:b/>
                <w:sz w:val="20"/>
              </w:rPr>
            </w:pPr>
            <w:proofErr w:type="spellStart"/>
            <w:r w:rsidRPr="0040247D">
              <w:rPr>
                <w:rFonts w:ascii="Arial Narrow" w:hAnsi="Arial Narrow"/>
                <w:b/>
                <w:sz w:val="20"/>
              </w:rPr>
              <w:t>Rpts</w:t>
            </w:r>
            <w:proofErr w:type="spellEnd"/>
          </w:p>
        </w:tc>
        <w:tc>
          <w:tcPr>
            <w:tcW w:w="821" w:type="pct"/>
            <w:tcBorders>
              <w:top w:val="single" w:sz="4" w:space="0" w:color="auto"/>
              <w:bottom w:val="single" w:sz="4" w:space="0" w:color="auto"/>
            </w:tcBorders>
            <w:vAlign w:val="center"/>
          </w:tcPr>
          <w:p w14:paraId="16C5700A" w14:textId="6FA25713" w:rsidR="00617E12" w:rsidRPr="0040247D" w:rsidRDefault="00617E12" w:rsidP="00617E12">
            <w:pPr>
              <w:keepNext/>
              <w:jc w:val="center"/>
              <w:rPr>
                <w:rFonts w:ascii="Arial Narrow" w:hAnsi="Arial Narrow"/>
                <w:b/>
                <w:sz w:val="20"/>
              </w:rPr>
            </w:pPr>
            <w:r w:rsidRPr="0040247D">
              <w:rPr>
                <w:rFonts w:ascii="Arial Narrow" w:hAnsi="Arial Narrow"/>
                <w:b/>
                <w:sz w:val="20"/>
              </w:rPr>
              <w:t>Dispensed Price for Max. Qty</w:t>
            </w:r>
            <w:r w:rsidR="00591957" w:rsidRPr="0040247D">
              <w:rPr>
                <w:rFonts w:ascii="Arial Narrow" w:hAnsi="Arial Narrow"/>
                <w:b/>
                <w:sz w:val="20"/>
              </w:rPr>
              <w:t xml:space="preserve"> </w:t>
            </w:r>
          </w:p>
        </w:tc>
        <w:tc>
          <w:tcPr>
            <w:tcW w:w="1315" w:type="pct"/>
            <w:gridSpan w:val="2"/>
            <w:tcBorders>
              <w:top w:val="single" w:sz="4" w:space="0" w:color="auto"/>
              <w:bottom w:val="single" w:sz="4" w:space="0" w:color="auto"/>
            </w:tcBorders>
            <w:vAlign w:val="center"/>
          </w:tcPr>
          <w:p w14:paraId="2F67E163" w14:textId="77777777" w:rsidR="00617E12" w:rsidRPr="0040247D" w:rsidRDefault="00617E12" w:rsidP="00617E12">
            <w:pPr>
              <w:keepNext/>
              <w:jc w:val="center"/>
              <w:rPr>
                <w:rFonts w:ascii="Arial Narrow" w:hAnsi="Arial Narrow"/>
                <w:b/>
                <w:sz w:val="20"/>
              </w:rPr>
            </w:pPr>
            <w:r w:rsidRPr="0040247D">
              <w:rPr>
                <w:rFonts w:ascii="Arial Narrow" w:hAnsi="Arial Narrow"/>
                <w:b/>
                <w:sz w:val="20"/>
              </w:rPr>
              <w:t>Proprietary Name and Manufacturer</w:t>
            </w:r>
          </w:p>
        </w:tc>
      </w:tr>
      <w:tr w:rsidR="00067771" w:rsidRPr="0040247D" w14:paraId="7FCBB5F3" w14:textId="77777777" w:rsidTr="008C1487">
        <w:trPr>
          <w:cantSplit/>
          <w:trHeight w:val="567"/>
        </w:trPr>
        <w:tc>
          <w:tcPr>
            <w:tcW w:w="1834" w:type="pct"/>
            <w:gridSpan w:val="2"/>
            <w:tcBorders>
              <w:bottom w:val="single" w:sz="4" w:space="0" w:color="auto"/>
            </w:tcBorders>
            <w:vAlign w:val="center"/>
          </w:tcPr>
          <w:p w14:paraId="56A2065F" w14:textId="0CACADC4" w:rsidR="00617E12" w:rsidRPr="0040247D" w:rsidRDefault="00604B06" w:rsidP="00617E12">
            <w:pPr>
              <w:keepNext/>
              <w:jc w:val="left"/>
              <w:rPr>
                <w:rFonts w:ascii="Arial Narrow" w:hAnsi="Arial Narrow"/>
                <w:smallCaps/>
                <w:sz w:val="20"/>
              </w:rPr>
            </w:pPr>
            <w:r w:rsidRPr="0040247D">
              <w:rPr>
                <w:rFonts w:ascii="Arial Narrow" w:hAnsi="Arial Narrow"/>
                <w:smallCaps/>
                <w:sz w:val="20"/>
              </w:rPr>
              <w:t>Leuprorelin</w:t>
            </w:r>
          </w:p>
          <w:p w14:paraId="4238A179" w14:textId="70A4BA1E" w:rsidR="00604B06" w:rsidRPr="0040247D" w:rsidRDefault="00604B06" w:rsidP="00604B06">
            <w:pPr>
              <w:keepNext/>
              <w:jc w:val="left"/>
              <w:rPr>
                <w:rFonts w:ascii="Arial Narrow" w:hAnsi="Arial Narrow"/>
                <w:sz w:val="20"/>
              </w:rPr>
            </w:pPr>
            <w:r w:rsidRPr="0040247D">
              <w:rPr>
                <w:rFonts w:ascii="Arial Narrow" w:hAnsi="Arial Narrow"/>
                <w:sz w:val="20"/>
              </w:rPr>
              <w:t xml:space="preserve">Suspension for subcutaneous injection (modified release) containing leuprorelin acetate 45mg, injection set </w:t>
            </w:r>
          </w:p>
          <w:p w14:paraId="20DB567C" w14:textId="7EC9193F" w:rsidR="00694F7C" w:rsidRPr="0040247D" w:rsidRDefault="00694F7C" w:rsidP="00617E12">
            <w:pPr>
              <w:keepNext/>
              <w:jc w:val="left"/>
              <w:rPr>
                <w:rFonts w:ascii="Arial Narrow" w:hAnsi="Arial Narrow"/>
                <w:sz w:val="20"/>
              </w:rPr>
            </w:pPr>
          </w:p>
        </w:tc>
        <w:tc>
          <w:tcPr>
            <w:tcW w:w="583" w:type="pct"/>
            <w:tcBorders>
              <w:bottom w:val="single" w:sz="4" w:space="0" w:color="auto"/>
            </w:tcBorders>
            <w:vAlign w:val="center"/>
          </w:tcPr>
          <w:p w14:paraId="0329C315" w14:textId="35CC13AF" w:rsidR="00617E12" w:rsidRPr="0040247D" w:rsidRDefault="00B3695D" w:rsidP="00617E12">
            <w:pPr>
              <w:keepNext/>
              <w:jc w:val="center"/>
              <w:rPr>
                <w:rFonts w:ascii="Arial Narrow" w:hAnsi="Arial Narrow"/>
                <w:sz w:val="20"/>
              </w:rPr>
            </w:pPr>
            <w:r w:rsidRPr="0040247D">
              <w:rPr>
                <w:rFonts w:ascii="Arial Narrow" w:hAnsi="Arial Narrow"/>
                <w:sz w:val="20"/>
              </w:rPr>
              <w:t>1</w:t>
            </w:r>
          </w:p>
        </w:tc>
        <w:tc>
          <w:tcPr>
            <w:tcW w:w="447" w:type="pct"/>
            <w:tcBorders>
              <w:bottom w:val="single" w:sz="4" w:space="0" w:color="auto"/>
            </w:tcBorders>
            <w:vAlign w:val="center"/>
          </w:tcPr>
          <w:p w14:paraId="1822E97A" w14:textId="5688C9CC" w:rsidR="00617E12" w:rsidRPr="0040247D" w:rsidRDefault="00604B06" w:rsidP="00617E12">
            <w:pPr>
              <w:keepNext/>
              <w:jc w:val="center"/>
              <w:rPr>
                <w:rFonts w:ascii="Arial Narrow" w:hAnsi="Arial Narrow"/>
                <w:sz w:val="20"/>
              </w:rPr>
            </w:pPr>
            <w:r w:rsidRPr="0040247D">
              <w:rPr>
                <w:rFonts w:ascii="Arial Narrow" w:hAnsi="Arial Narrow"/>
                <w:sz w:val="20"/>
              </w:rPr>
              <w:t>1</w:t>
            </w:r>
          </w:p>
        </w:tc>
        <w:tc>
          <w:tcPr>
            <w:tcW w:w="821" w:type="pct"/>
            <w:tcBorders>
              <w:bottom w:val="single" w:sz="4" w:space="0" w:color="auto"/>
            </w:tcBorders>
            <w:vAlign w:val="center"/>
          </w:tcPr>
          <w:p w14:paraId="2097F2B6" w14:textId="30431AD0" w:rsidR="00617E12" w:rsidRPr="0040247D" w:rsidRDefault="00617E12" w:rsidP="00617E12">
            <w:pPr>
              <w:keepNext/>
              <w:jc w:val="center"/>
              <w:rPr>
                <w:rFonts w:ascii="Arial Narrow" w:hAnsi="Arial Narrow"/>
                <w:sz w:val="20"/>
              </w:rPr>
            </w:pPr>
            <w:r w:rsidRPr="0040247D">
              <w:rPr>
                <w:rFonts w:ascii="Arial Narrow" w:hAnsi="Arial Narrow"/>
                <w:sz w:val="20"/>
              </w:rPr>
              <w:t>$</w:t>
            </w:r>
            <w:r w:rsidR="00604B06" w:rsidRPr="00B75A36">
              <w:rPr>
                <w:rFonts w:ascii="Arial Narrow" w:hAnsi="Arial Narrow"/>
                <w:sz w:val="20"/>
              </w:rPr>
              <w:t>1,750.56</w:t>
            </w:r>
          </w:p>
        </w:tc>
        <w:tc>
          <w:tcPr>
            <w:tcW w:w="506" w:type="pct"/>
            <w:tcBorders>
              <w:bottom w:val="single" w:sz="4" w:space="0" w:color="auto"/>
            </w:tcBorders>
            <w:vAlign w:val="center"/>
          </w:tcPr>
          <w:p w14:paraId="2D3F0C57" w14:textId="3D5BAB90" w:rsidR="00B3695D" w:rsidRPr="0040247D" w:rsidRDefault="00604B06" w:rsidP="00B3695D">
            <w:pPr>
              <w:pStyle w:val="TableText0"/>
              <w:rPr>
                <w:bCs w:val="0"/>
                <w:szCs w:val="20"/>
                <w:vertAlign w:val="superscript"/>
              </w:rPr>
            </w:pPr>
            <w:proofErr w:type="spellStart"/>
            <w:r w:rsidRPr="0040247D">
              <w:rPr>
                <w:szCs w:val="20"/>
              </w:rPr>
              <w:t>Eligard</w:t>
            </w:r>
            <w:proofErr w:type="spellEnd"/>
            <w:r w:rsidRPr="0040247D">
              <w:rPr>
                <w:szCs w:val="20"/>
              </w:rPr>
              <w:t xml:space="preserve"> 6 month</w:t>
            </w:r>
          </w:p>
          <w:p w14:paraId="0047029E" w14:textId="3000C2C4" w:rsidR="00617E12" w:rsidRPr="0040247D" w:rsidRDefault="00617E12" w:rsidP="00B3695D">
            <w:pPr>
              <w:keepNext/>
              <w:rPr>
                <w:rFonts w:ascii="Arial Narrow" w:hAnsi="Arial Narrow"/>
                <w:sz w:val="20"/>
              </w:rPr>
            </w:pPr>
          </w:p>
        </w:tc>
        <w:tc>
          <w:tcPr>
            <w:tcW w:w="809" w:type="pct"/>
            <w:tcBorders>
              <w:bottom w:val="single" w:sz="4" w:space="0" w:color="auto"/>
            </w:tcBorders>
            <w:vAlign w:val="center"/>
          </w:tcPr>
          <w:p w14:paraId="6A3BDB6B" w14:textId="62923764" w:rsidR="00B3695D" w:rsidRPr="0040247D" w:rsidRDefault="00604B06" w:rsidP="00B3695D">
            <w:pPr>
              <w:pStyle w:val="TableText0"/>
              <w:rPr>
                <w:bCs w:val="0"/>
                <w:szCs w:val="20"/>
              </w:rPr>
            </w:pPr>
            <w:proofErr w:type="spellStart"/>
            <w:r w:rsidRPr="0040247D">
              <w:rPr>
                <w:szCs w:val="20"/>
              </w:rPr>
              <w:t>Mundipharma</w:t>
            </w:r>
            <w:proofErr w:type="spellEnd"/>
            <w:r w:rsidRPr="0040247D">
              <w:rPr>
                <w:szCs w:val="20"/>
              </w:rPr>
              <w:t xml:space="preserve"> Pty Ltd</w:t>
            </w:r>
          </w:p>
          <w:p w14:paraId="3F3C1A5A" w14:textId="155D81D3" w:rsidR="00591957" w:rsidRPr="0040247D" w:rsidRDefault="00591957" w:rsidP="00EC0DD9">
            <w:pPr>
              <w:keepNext/>
              <w:jc w:val="center"/>
              <w:rPr>
                <w:rFonts w:ascii="Arial Narrow" w:hAnsi="Arial Narrow"/>
                <w:sz w:val="20"/>
              </w:rPr>
            </w:pPr>
          </w:p>
        </w:tc>
      </w:tr>
      <w:tr w:rsidR="00067771" w:rsidRPr="0040247D" w14:paraId="714ABA0E" w14:textId="77777777" w:rsidTr="008C14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9" w:type="pct"/>
            <w:tcBorders>
              <w:top w:val="single" w:sz="4" w:space="0" w:color="auto"/>
              <w:left w:val="single" w:sz="4" w:space="0" w:color="auto"/>
              <w:bottom w:val="single" w:sz="4" w:space="0" w:color="auto"/>
              <w:right w:val="single" w:sz="4" w:space="0" w:color="auto"/>
            </w:tcBorders>
            <w:hideMark/>
          </w:tcPr>
          <w:p w14:paraId="37D692F1" w14:textId="1D344C53" w:rsidR="00542C2D" w:rsidRPr="0040247D" w:rsidRDefault="00591957" w:rsidP="00863387">
            <w:pPr>
              <w:pStyle w:val="TableText0"/>
            </w:pPr>
            <w:r w:rsidRPr="0040247D">
              <w:t>Category/Program:</w:t>
            </w:r>
          </w:p>
        </w:tc>
        <w:tc>
          <w:tcPr>
            <w:tcW w:w="3771" w:type="pct"/>
            <w:gridSpan w:val="6"/>
            <w:tcBorders>
              <w:top w:val="single" w:sz="4" w:space="0" w:color="auto"/>
              <w:left w:val="single" w:sz="4" w:space="0" w:color="auto"/>
              <w:bottom w:val="single" w:sz="4" w:space="0" w:color="auto"/>
              <w:right w:val="single" w:sz="4" w:space="0" w:color="auto"/>
            </w:tcBorders>
          </w:tcPr>
          <w:p w14:paraId="3DD00B35" w14:textId="3E0BD66B" w:rsidR="00542C2D" w:rsidRPr="0040247D" w:rsidRDefault="00591957" w:rsidP="00863387">
            <w:pPr>
              <w:pStyle w:val="TableText0"/>
            </w:pPr>
            <w:r w:rsidRPr="0040247D">
              <w:t>General Schedule</w:t>
            </w:r>
          </w:p>
        </w:tc>
      </w:tr>
      <w:tr w:rsidR="00067771" w:rsidRPr="0040247D" w14:paraId="6A82E2AD" w14:textId="77777777" w:rsidTr="000A4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9" w:type="pct"/>
            <w:tcBorders>
              <w:top w:val="single" w:sz="4" w:space="0" w:color="auto"/>
              <w:left w:val="single" w:sz="4" w:space="0" w:color="auto"/>
              <w:bottom w:val="single" w:sz="4" w:space="0" w:color="auto"/>
              <w:right w:val="single" w:sz="4" w:space="0" w:color="auto"/>
            </w:tcBorders>
            <w:hideMark/>
          </w:tcPr>
          <w:p w14:paraId="5AD0A811" w14:textId="4DA0756A" w:rsidR="00542C2D" w:rsidRPr="0040247D" w:rsidRDefault="00591957" w:rsidP="00863387">
            <w:pPr>
              <w:pStyle w:val="TableText0"/>
            </w:pPr>
            <w:r w:rsidRPr="0040247D">
              <w:t>PBS indication:</w:t>
            </w:r>
          </w:p>
        </w:tc>
        <w:tc>
          <w:tcPr>
            <w:tcW w:w="3771" w:type="pct"/>
            <w:gridSpan w:val="6"/>
            <w:tcBorders>
              <w:top w:val="single" w:sz="4" w:space="0" w:color="auto"/>
              <w:left w:val="single" w:sz="4" w:space="0" w:color="auto"/>
              <w:bottom w:val="single" w:sz="4" w:space="0" w:color="auto"/>
              <w:right w:val="single" w:sz="4" w:space="0" w:color="auto"/>
            </w:tcBorders>
          </w:tcPr>
          <w:p w14:paraId="11CC6D1E" w14:textId="4C7FD34B" w:rsidR="00542C2D" w:rsidRPr="0040247D" w:rsidRDefault="00604B06" w:rsidP="00863387">
            <w:pPr>
              <w:pStyle w:val="TableText0"/>
            </w:pPr>
            <w:r w:rsidRPr="0040247D">
              <w:t>Central precocious puberty</w:t>
            </w:r>
          </w:p>
        </w:tc>
      </w:tr>
      <w:tr w:rsidR="00067771" w:rsidRPr="0040247D" w14:paraId="3B73A389" w14:textId="77777777" w:rsidTr="000A4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9" w:type="pct"/>
            <w:tcBorders>
              <w:top w:val="single" w:sz="4" w:space="0" w:color="auto"/>
              <w:left w:val="single" w:sz="4" w:space="0" w:color="auto"/>
              <w:bottom w:val="single" w:sz="4" w:space="0" w:color="auto"/>
              <w:right w:val="single" w:sz="4" w:space="0" w:color="auto"/>
            </w:tcBorders>
            <w:hideMark/>
          </w:tcPr>
          <w:p w14:paraId="3A3EEB54" w14:textId="6CEC0FB5" w:rsidR="00542C2D" w:rsidRPr="0040247D" w:rsidRDefault="00591957" w:rsidP="00863387">
            <w:pPr>
              <w:pStyle w:val="TableText0"/>
            </w:pPr>
            <w:r w:rsidRPr="0040247D">
              <w:t>Treatment phase:</w:t>
            </w:r>
          </w:p>
        </w:tc>
        <w:tc>
          <w:tcPr>
            <w:tcW w:w="3771" w:type="pct"/>
            <w:gridSpan w:val="6"/>
            <w:tcBorders>
              <w:top w:val="single" w:sz="4" w:space="0" w:color="auto"/>
              <w:left w:val="single" w:sz="4" w:space="0" w:color="auto"/>
              <w:bottom w:val="single" w:sz="4" w:space="0" w:color="auto"/>
              <w:right w:val="single" w:sz="4" w:space="0" w:color="auto"/>
            </w:tcBorders>
          </w:tcPr>
          <w:p w14:paraId="1AD6BF3F" w14:textId="3D97FC65" w:rsidR="00542C2D" w:rsidRPr="0040247D" w:rsidRDefault="00B3695D" w:rsidP="00863387">
            <w:pPr>
              <w:pStyle w:val="TableText0"/>
            </w:pPr>
            <w:r w:rsidRPr="0040247D">
              <w:t>Initial a</w:t>
            </w:r>
            <w:r w:rsidR="00BA2418" w:rsidRPr="0040247D">
              <w:t>nd continuing</w:t>
            </w:r>
          </w:p>
        </w:tc>
      </w:tr>
      <w:tr w:rsidR="00067771" w:rsidRPr="0040247D" w14:paraId="06EC54A9" w14:textId="77777777" w:rsidTr="000A4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9" w:type="pct"/>
            <w:tcBorders>
              <w:top w:val="single" w:sz="4" w:space="0" w:color="auto"/>
              <w:left w:val="single" w:sz="4" w:space="0" w:color="auto"/>
              <w:bottom w:val="single" w:sz="4" w:space="0" w:color="auto"/>
              <w:right w:val="single" w:sz="4" w:space="0" w:color="auto"/>
            </w:tcBorders>
            <w:hideMark/>
          </w:tcPr>
          <w:p w14:paraId="5E559BD4" w14:textId="37238FA9" w:rsidR="00542C2D" w:rsidRPr="0040247D" w:rsidRDefault="00542C2D" w:rsidP="00863387">
            <w:pPr>
              <w:pStyle w:val="TableText0"/>
            </w:pPr>
            <w:r w:rsidRPr="0040247D">
              <w:t>Restriction</w:t>
            </w:r>
            <w:r w:rsidR="00591957" w:rsidRPr="0040247D">
              <w:t>:</w:t>
            </w:r>
          </w:p>
        </w:tc>
        <w:tc>
          <w:tcPr>
            <w:tcW w:w="3771" w:type="pct"/>
            <w:gridSpan w:val="6"/>
            <w:tcBorders>
              <w:top w:val="single" w:sz="4" w:space="0" w:color="auto"/>
              <w:left w:val="single" w:sz="4" w:space="0" w:color="auto"/>
              <w:bottom w:val="single" w:sz="4" w:space="0" w:color="auto"/>
              <w:right w:val="single" w:sz="4" w:space="0" w:color="auto"/>
            </w:tcBorders>
          </w:tcPr>
          <w:p w14:paraId="154804C9" w14:textId="375ABD8D" w:rsidR="00542C2D" w:rsidRPr="0040247D" w:rsidRDefault="00BA2418" w:rsidP="00863387">
            <w:pPr>
              <w:pStyle w:val="TableText0"/>
            </w:pPr>
            <w:r w:rsidRPr="0040247D">
              <w:t>Restricted benefit</w:t>
            </w:r>
            <w:r w:rsidR="00E364A2" w:rsidRPr="0040247D">
              <w:t xml:space="preserve"> </w:t>
            </w:r>
          </w:p>
        </w:tc>
      </w:tr>
      <w:tr w:rsidR="00067771" w:rsidRPr="0040247D" w14:paraId="0479F7D8" w14:textId="77777777" w:rsidTr="000A4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9" w:type="pct"/>
            <w:tcBorders>
              <w:top w:val="single" w:sz="4" w:space="0" w:color="auto"/>
              <w:left w:val="single" w:sz="4" w:space="0" w:color="auto"/>
              <w:bottom w:val="single" w:sz="4" w:space="0" w:color="auto"/>
              <w:right w:val="single" w:sz="4" w:space="0" w:color="auto"/>
            </w:tcBorders>
            <w:hideMark/>
          </w:tcPr>
          <w:p w14:paraId="33B5F61F" w14:textId="6D32B304" w:rsidR="00542C2D" w:rsidRPr="0040247D" w:rsidRDefault="00BA2418" w:rsidP="00863387">
            <w:pPr>
              <w:pStyle w:val="TableText0"/>
            </w:pPr>
            <w:r w:rsidRPr="0040247D">
              <w:t>Treatment criteria:</w:t>
            </w:r>
          </w:p>
        </w:tc>
        <w:tc>
          <w:tcPr>
            <w:tcW w:w="3771" w:type="pct"/>
            <w:gridSpan w:val="6"/>
            <w:tcBorders>
              <w:top w:val="single" w:sz="4" w:space="0" w:color="auto"/>
              <w:left w:val="single" w:sz="4" w:space="0" w:color="auto"/>
              <w:bottom w:val="single" w:sz="4" w:space="0" w:color="auto"/>
              <w:right w:val="single" w:sz="4" w:space="0" w:color="auto"/>
            </w:tcBorders>
          </w:tcPr>
          <w:p w14:paraId="69C47D26" w14:textId="77777777" w:rsidR="00BA2418" w:rsidRPr="0040247D" w:rsidRDefault="00BA2418" w:rsidP="00BA2418">
            <w:pPr>
              <w:pStyle w:val="KMC16-Tablecontent"/>
              <w:spacing w:after="0"/>
              <w:rPr>
                <w:color w:val="auto"/>
                <w:szCs w:val="20"/>
                <w:lang w:val="en-AU"/>
              </w:rPr>
            </w:pPr>
            <w:r w:rsidRPr="0040247D">
              <w:rPr>
                <w:color w:val="auto"/>
                <w:szCs w:val="20"/>
                <w:lang w:val="en-AU"/>
              </w:rPr>
              <w:t xml:space="preserve">Must be treated by a paediatric endocrinologist; OR </w:t>
            </w:r>
          </w:p>
          <w:p w14:paraId="0F899F9B" w14:textId="6738BCB8" w:rsidR="00B3695D" w:rsidRPr="0040247D" w:rsidRDefault="00BA2418" w:rsidP="00BA2418">
            <w:pPr>
              <w:pStyle w:val="TableText0"/>
              <w:rPr>
                <w:szCs w:val="20"/>
              </w:rPr>
            </w:pPr>
            <w:r w:rsidRPr="0040247D">
              <w:rPr>
                <w:szCs w:val="20"/>
              </w:rPr>
              <w:t xml:space="preserve">Must be treated by an endocrinologist specialising in paediatrics </w:t>
            </w:r>
          </w:p>
          <w:p w14:paraId="7DFD948F" w14:textId="1C11755B" w:rsidR="00BA2418" w:rsidRPr="0040247D" w:rsidRDefault="00BA2418" w:rsidP="00BA2418">
            <w:pPr>
              <w:pStyle w:val="TableText0"/>
            </w:pPr>
            <w:r w:rsidRPr="0040247D">
              <w:t>OR</w:t>
            </w:r>
          </w:p>
          <w:p w14:paraId="7BB4B128" w14:textId="77777777" w:rsidR="00BA2418" w:rsidRPr="0040247D" w:rsidRDefault="00BA2418" w:rsidP="00BA2418">
            <w:pPr>
              <w:pStyle w:val="TableText0"/>
            </w:pPr>
            <w:r w:rsidRPr="0040247D">
              <w:t>Must be treated by at least one of: (</w:t>
            </w:r>
            <w:proofErr w:type="spellStart"/>
            <w:r w:rsidRPr="0040247D">
              <w:t>i</w:t>
            </w:r>
            <w:proofErr w:type="spellEnd"/>
            <w:r w:rsidRPr="0040247D">
              <w:t>) a paediatric endocrinologist, (ii) an endocrinologist specialising in paediatrics; or</w:t>
            </w:r>
          </w:p>
          <w:p w14:paraId="5DFD5579" w14:textId="77777777" w:rsidR="00BA2418" w:rsidRPr="0040247D" w:rsidRDefault="00BA2418" w:rsidP="00BA2418">
            <w:pPr>
              <w:pStyle w:val="TableText0"/>
            </w:pPr>
            <w:r w:rsidRPr="0040247D">
              <w:t>Must be treated by a medical practitioner who has consulted one of the above-mentioned specialist types, with agreement reached that treatment continue with this drug on this occasion.</w:t>
            </w:r>
          </w:p>
          <w:p w14:paraId="5AC4EC3B" w14:textId="77777777" w:rsidR="00BA2418" w:rsidRPr="0040247D" w:rsidRDefault="00BA2418" w:rsidP="00BA2418">
            <w:pPr>
              <w:pStyle w:val="TableText0"/>
            </w:pPr>
            <w:r w:rsidRPr="0040247D">
              <w:t>AND</w:t>
            </w:r>
          </w:p>
          <w:p w14:paraId="66AFE1E5" w14:textId="6645BA85" w:rsidR="00542C2D" w:rsidRPr="0040247D" w:rsidRDefault="00BA2418" w:rsidP="00BA2418">
            <w:pPr>
              <w:pStyle w:val="TableText0"/>
            </w:pPr>
            <w:r w:rsidRPr="0040247D">
              <w:t>Patient must be undergoing continuing treatment with a gonadotropin releasing hormone analogue initiated through the PBS for this PBS indication.</w:t>
            </w:r>
          </w:p>
        </w:tc>
      </w:tr>
      <w:tr w:rsidR="00067771" w:rsidRPr="0040247D" w14:paraId="00531E8B" w14:textId="77777777" w:rsidTr="000A4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9" w:type="pct"/>
            <w:tcBorders>
              <w:top w:val="single" w:sz="4" w:space="0" w:color="auto"/>
              <w:left w:val="single" w:sz="4" w:space="0" w:color="auto"/>
              <w:bottom w:val="single" w:sz="4" w:space="0" w:color="auto"/>
              <w:right w:val="single" w:sz="4" w:space="0" w:color="auto"/>
            </w:tcBorders>
            <w:hideMark/>
          </w:tcPr>
          <w:p w14:paraId="75916F5D" w14:textId="77777777" w:rsidR="00AB335A" w:rsidRPr="0040247D" w:rsidRDefault="00BA2418" w:rsidP="00863387">
            <w:pPr>
              <w:pStyle w:val="TableText0"/>
            </w:pPr>
            <w:r w:rsidRPr="0040247D">
              <w:t>Population</w:t>
            </w:r>
            <w:r w:rsidR="00591957" w:rsidRPr="0040247D">
              <w:t xml:space="preserve"> criteria:</w:t>
            </w:r>
            <w:r w:rsidR="00AB335A" w:rsidRPr="0040247D">
              <w:t xml:space="preserve"> </w:t>
            </w:r>
          </w:p>
          <w:p w14:paraId="5625D14A" w14:textId="738CA48B" w:rsidR="00542C2D" w:rsidRPr="0040247D" w:rsidRDefault="00AB335A" w:rsidP="00863387">
            <w:pPr>
              <w:pStyle w:val="TableText0"/>
            </w:pPr>
            <w:r w:rsidRPr="0040247D">
              <w:t>(</w:t>
            </w:r>
            <w:r w:rsidRPr="00A369BD">
              <w:rPr>
                <w:iCs/>
              </w:rPr>
              <w:t>initiation</w:t>
            </w:r>
            <w:r w:rsidRPr="0040247D">
              <w:t xml:space="preserve">) </w:t>
            </w:r>
          </w:p>
        </w:tc>
        <w:tc>
          <w:tcPr>
            <w:tcW w:w="3771" w:type="pct"/>
            <w:gridSpan w:val="6"/>
            <w:tcBorders>
              <w:top w:val="single" w:sz="4" w:space="0" w:color="auto"/>
              <w:left w:val="single" w:sz="4" w:space="0" w:color="auto"/>
              <w:bottom w:val="single" w:sz="4" w:space="0" w:color="auto"/>
              <w:right w:val="single" w:sz="4" w:space="0" w:color="auto"/>
            </w:tcBorders>
          </w:tcPr>
          <w:p w14:paraId="7BC3FD67" w14:textId="437A8CEA" w:rsidR="00BA2418" w:rsidRPr="0040247D" w:rsidRDefault="00BA2418" w:rsidP="00BA2418">
            <w:pPr>
              <w:rPr>
                <w:rFonts w:ascii="Arial Narrow" w:hAnsi="Arial Narrow"/>
                <w:sz w:val="20"/>
                <w:szCs w:val="20"/>
              </w:rPr>
            </w:pPr>
            <w:r w:rsidRPr="0040247D">
              <w:rPr>
                <w:rFonts w:ascii="Arial Narrow" w:hAnsi="Arial Narrow"/>
                <w:sz w:val="20"/>
                <w:szCs w:val="20"/>
              </w:rPr>
              <w:t>Patient must be aged 10 years or younger (girls) or 11 years or younger (boys),</w:t>
            </w:r>
          </w:p>
          <w:p w14:paraId="28DD58C6" w14:textId="77777777" w:rsidR="00BA2418" w:rsidRPr="0040247D" w:rsidRDefault="00BA2418" w:rsidP="00BA2418">
            <w:pPr>
              <w:rPr>
                <w:rFonts w:ascii="Arial Narrow" w:hAnsi="Arial Narrow"/>
                <w:sz w:val="20"/>
                <w:szCs w:val="20"/>
              </w:rPr>
            </w:pPr>
            <w:r w:rsidRPr="0040247D">
              <w:rPr>
                <w:rFonts w:ascii="Arial Narrow" w:hAnsi="Arial Narrow"/>
                <w:sz w:val="20"/>
                <w:szCs w:val="20"/>
              </w:rPr>
              <w:t>AND</w:t>
            </w:r>
          </w:p>
          <w:p w14:paraId="03DAEA17" w14:textId="4EA35D40" w:rsidR="00542C2D" w:rsidRPr="0040247D" w:rsidRDefault="00BA2418" w:rsidP="00BA2418">
            <w:pPr>
              <w:pStyle w:val="TableText0"/>
            </w:pPr>
            <w:r w:rsidRPr="0040247D">
              <w:rPr>
                <w:szCs w:val="20"/>
              </w:rPr>
              <w:t>Patient must have had an onset of central precocious puberty before 8 years (girls) or 9 years (boys).</w:t>
            </w:r>
          </w:p>
        </w:tc>
      </w:tr>
    </w:tbl>
    <w:p w14:paraId="63E28AE7" w14:textId="7813410C" w:rsidR="00B60939" w:rsidRPr="0040247D" w:rsidRDefault="006859C8" w:rsidP="00C27F42">
      <w:pPr>
        <w:pStyle w:val="TableFigureFooter"/>
      </w:pPr>
      <w:r w:rsidRPr="0040247D">
        <w:t xml:space="preserve">Source: Table </w:t>
      </w:r>
      <w:r w:rsidR="00D07CE8" w:rsidRPr="0040247D">
        <w:t xml:space="preserve">1-5, </w:t>
      </w:r>
      <w:r w:rsidRPr="0040247D">
        <w:t>1</w:t>
      </w:r>
      <w:r w:rsidR="008C1487" w:rsidRPr="0040247D">
        <w:t>-</w:t>
      </w:r>
      <w:r w:rsidR="00BA2418" w:rsidRPr="0040247D">
        <w:t>6, 1</w:t>
      </w:r>
      <w:r w:rsidR="008C1487" w:rsidRPr="0040247D">
        <w:t>-</w:t>
      </w:r>
      <w:r w:rsidR="00BA2418" w:rsidRPr="0040247D">
        <w:t>7</w:t>
      </w:r>
      <w:r w:rsidRPr="0040247D">
        <w:t>, p</w:t>
      </w:r>
      <w:r w:rsidR="00BA2418" w:rsidRPr="0040247D">
        <w:t>20</w:t>
      </w:r>
      <w:r w:rsidRPr="0040247D">
        <w:t>-</w:t>
      </w:r>
      <w:r w:rsidR="00BA2418" w:rsidRPr="0040247D">
        <w:t>21</w:t>
      </w:r>
      <w:r w:rsidRPr="0040247D">
        <w:t xml:space="preserve"> of the submission.</w:t>
      </w:r>
    </w:p>
    <w:p w14:paraId="07D3BCC6" w14:textId="7A1B7884" w:rsidR="00763258" w:rsidRPr="0040247D" w:rsidRDefault="00C44A91" w:rsidP="0055154C">
      <w:pPr>
        <w:pStyle w:val="3-BodyText"/>
        <w:ind w:left="709"/>
      </w:pPr>
      <w:r w:rsidRPr="0040247D">
        <w:t xml:space="preserve">The </w:t>
      </w:r>
      <w:r w:rsidR="00925048" w:rsidRPr="0040247D">
        <w:t xml:space="preserve">submission </w:t>
      </w:r>
      <w:r w:rsidRPr="0040247D">
        <w:t xml:space="preserve">requested a restricted benefit listing for </w:t>
      </w:r>
      <w:proofErr w:type="spellStart"/>
      <w:r w:rsidRPr="0040247D">
        <w:t>Eligard</w:t>
      </w:r>
      <w:proofErr w:type="spellEnd"/>
      <w:r w:rsidRPr="0040247D">
        <w:t xml:space="preserve"> 6 month</w:t>
      </w:r>
      <w:r w:rsidR="00925048" w:rsidRPr="0040247D">
        <w:t xml:space="preserve"> that was</w:t>
      </w:r>
      <w:r w:rsidRPr="0040247D">
        <w:t xml:space="preserve"> </w:t>
      </w:r>
      <w:proofErr w:type="gramStart"/>
      <w:r w:rsidRPr="0040247D">
        <w:t>similar to</w:t>
      </w:r>
      <w:proofErr w:type="gramEnd"/>
      <w:r w:rsidRPr="0040247D">
        <w:t xml:space="preserve"> the comparator </w:t>
      </w:r>
      <w:proofErr w:type="spellStart"/>
      <w:r w:rsidR="006E5033" w:rsidRPr="0040247D">
        <w:t>Lucrin</w:t>
      </w:r>
      <w:proofErr w:type="spellEnd"/>
      <w:r w:rsidR="006E5033" w:rsidRPr="0040247D">
        <w:t xml:space="preserve"> Paediatric</w:t>
      </w:r>
      <w:r w:rsidRPr="0040247D">
        <w:t xml:space="preserve">. The </w:t>
      </w:r>
      <w:r w:rsidR="00925048" w:rsidRPr="0040247D">
        <w:t xml:space="preserve">submission </w:t>
      </w:r>
      <w:r w:rsidRPr="0040247D">
        <w:t xml:space="preserve">claimed that </w:t>
      </w:r>
      <w:r w:rsidR="00925048" w:rsidRPr="0040247D">
        <w:t>treatment would be</w:t>
      </w:r>
      <w:r w:rsidRPr="0040247D">
        <w:t xml:space="preserve"> ongoing until the patient reache</w:t>
      </w:r>
      <w:r w:rsidR="00576F4A" w:rsidRPr="0040247D">
        <w:t>s</w:t>
      </w:r>
      <w:r w:rsidRPr="0040247D">
        <w:t xml:space="preserve"> puberty.</w:t>
      </w:r>
      <w:r w:rsidR="008D340A" w:rsidRPr="0040247D">
        <w:t xml:space="preserve"> </w:t>
      </w:r>
      <w:r w:rsidR="00576F4A" w:rsidRPr="00E57B4B">
        <w:t>T</w:t>
      </w:r>
      <w:r w:rsidR="0071737B" w:rsidRPr="00E57B4B">
        <w:t xml:space="preserve">he restriction for </w:t>
      </w:r>
      <w:proofErr w:type="spellStart"/>
      <w:r w:rsidR="0071737B" w:rsidRPr="00E57B4B">
        <w:t>Eligard</w:t>
      </w:r>
      <w:proofErr w:type="spellEnd"/>
      <w:r w:rsidR="0071737B" w:rsidRPr="00E57B4B">
        <w:t xml:space="preserve"> 6 month is different from that of </w:t>
      </w:r>
      <w:proofErr w:type="spellStart"/>
      <w:r w:rsidR="0071737B" w:rsidRPr="00E57B4B">
        <w:t>Diphereline</w:t>
      </w:r>
      <w:proofErr w:type="spellEnd"/>
      <w:r w:rsidR="0071737B" w:rsidRPr="00E57B4B">
        <w:t xml:space="preserve">, where </w:t>
      </w:r>
      <w:r w:rsidR="00576F4A" w:rsidRPr="00E57B4B">
        <w:t xml:space="preserve">a </w:t>
      </w:r>
      <w:r w:rsidR="0071737B" w:rsidRPr="00E57B4B">
        <w:t xml:space="preserve">patient must be aged 12 years or younger (girls) or 13 years or younger (boys), and </w:t>
      </w:r>
      <w:r w:rsidR="00576F4A" w:rsidRPr="00E57B4B">
        <w:t xml:space="preserve">the </w:t>
      </w:r>
      <w:r w:rsidR="0071737B" w:rsidRPr="00E57B4B">
        <w:t xml:space="preserve">patient must have had an onset of </w:t>
      </w:r>
      <w:r w:rsidR="00CD5F9C" w:rsidRPr="00E57B4B">
        <w:t>CPP</w:t>
      </w:r>
      <w:r w:rsidR="0071737B" w:rsidRPr="00E57B4B">
        <w:t xml:space="preserve"> before 9 years (girls) or 10 years (boys). </w:t>
      </w:r>
      <w:r w:rsidR="006D5485" w:rsidRPr="00E57B4B">
        <w:t xml:space="preserve">In its </w:t>
      </w:r>
      <w:r w:rsidR="008B5F07" w:rsidRPr="00E57B4B">
        <w:t xml:space="preserve">July 2021 </w:t>
      </w:r>
      <w:r w:rsidR="006D5485" w:rsidRPr="00E57B4B">
        <w:t xml:space="preserve">consideration of </w:t>
      </w:r>
      <w:proofErr w:type="spellStart"/>
      <w:r w:rsidR="006D5485" w:rsidRPr="00E57B4B">
        <w:t>Dipher</w:t>
      </w:r>
      <w:r w:rsidR="00576F4A" w:rsidRPr="00E57B4B">
        <w:t>e</w:t>
      </w:r>
      <w:r w:rsidR="006D5485" w:rsidRPr="00E57B4B">
        <w:t>line</w:t>
      </w:r>
      <w:proofErr w:type="spellEnd"/>
      <w:r w:rsidR="006D5485" w:rsidRPr="00E57B4B">
        <w:t>, the PBAC considered the differences in age ranges between triptorelin and leuprorelin in the registration studies were unlikely to substantially impact clinical practice and it was reasonable for the restrictions to reflect the upper subject age ranges in the TGA registration studies (paragraph 7.7, triptorelin July 2021 PBAC Public Summary Document</w:t>
      </w:r>
      <w:r w:rsidR="00A92844">
        <w:t xml:space="preserve"> (PSD)</w:t>
      </w:r>
      <w:r w:rsidR="006D5485" w:rsidRPr="00E57B4B">
        <w:t>).</w:t>
      </w:r>
    </w:p>
    <w:p w14:paraId="74E83FF3" w14:textId="4CB390AA" w:rsidR="00FF5DCF" w:rsidRPr="007D3075" w:rsidRDefault="00FF5DCF" w:rsidP="00A369BD">
      <w:pPr>
        <w:pStyle w:val="3-BodyText"/>
        <w:numPr>
          <w:ilvl w:val="0"/>
          <w:numId w:val="0"/>
        </w:numPr>
        <w:ind w:left="709"/>
        <w:rPr>
          <w:i/>
          <w:iCs/>
        </w:rPr>
      </w:pPr>
      <w:r w:rsidRPr="00C33D30">
        <w:rPr>
          <w:i/>
        </w:rPr>
        <w:t>For more detail on PBAC’s view, see section 7 PBAC outcome.</w:t>
      </w:r>
    </w:p>
    <w:p w14:paraId="7075B85C" w14:textId="1655A25A" w:rsidR="00B50DB8" w:rsidRPr="0040247D" w:rsidRDefault="00203181" w:rsidP="004E18E9">
      <w:pPr>
        <w:pStyle w:val="2-SectionHeading"/>
      </w:pPr>
      <w:bookmarkStart w:id="12" w:name="_Toc103764957"/>
      <w:r w:rsidRPr="0040247D">
        <w:lastRenderedPageBreak/>
        <w:t xml:space="preserve">Population and </w:t>
      </w:r>
      <w:r w:rsidR="008E0D3C" w:rsidRPr="0040247D">
        <w:t>d</w:t>
      </w:r>
      <w:r w:rsidRPr="0040247D">
        <w:t>isease</w:t>
      </w:r>
      <w:bookmarkEnd w:id="12"/>
    </w:p>
    <w:p w14:paraId="3DEBA124" w14:textId="01F78C62" w:rsidR="00E364A2" w:rsidRPr="0040247D" w:rsidRDefault="009C7072" w:rsidP="0055154C">
      <w:pPr>
        <w:pStyle w:val="3-BodyText"/>
        <w:ind w:left="709"/>
      </w:pPr>
      <w:r w:rsidRPr="0040247D">
        <w:t>Precocious puberty is defined as “the development of puberty younger than that which is expected for ethnicity and race”</w:t>
      </w:r>
      <w:bookmarkStart w:id="13" w:name="_Ref102113883"/>
      <w:r w:rsidR="00B8654D" w:rsidRPr="0040247D">
        <w:rPr>
          <w:rStyle w:val="FootnoteReference"/>
        </w:rPr>
        <w:footnoteReference w:id="2"/>
      </w:r>
      <w:bookmarkEnd w:id="13"/>
      <w:r w:rsidRPr="0040247D">
        <w:t>. Puberty is considered early if it commences prior to 8 years in Caucasian girls and 9 years in boys; in Hispanic and African American girls the cut-off is younger at 7.5 years</w:t>
      </w:r>
      <w:r w:rsidR="005A0EE4" w:rsidRPr="0040247D">
        <w:rPr>
          <w:rStyle w:val="FootnoteReference"/>
        </w:rPr>
        <w:fldChar w:fldCharType="begin"/>
      </w:r>
      <w:r w:rsidR="005A0EE4" w:rsidRPr="0040247D">
        <w:rPr>
          <w:rStyle w:val="FootnoteReference"/>
        </w:rPr>
        <w:instrText xml:space="preserve"> NOTEREF _Ref102113883 \h  \* MERGEFORMAT </w:instrText>
      </w:r>
      <w:r w:rsidR="005A0EE4" w:rsidRPr="0040247D">
        <w:rPr>
          <w:rStyle w:val="FootnoteReference"/>
        </w:rPr>
      </w:r>
      <w:r w:rsidR="005A0EE4" w:rsidRPr="0040247D">
        <w:rPr>
          <w:rStyle w:val="FootnoteReference"/>
        </w:rPr>
        <w:fldChar w:fldCharType="separate"/>
      </w:r>
      <w:r w:rsidR="005A0EE4" w:rsidRPr="0040247D">
        <w:rPr>
          <w:rStyle w:val="FootnoteReference"/>
        </w:rPr>
        <w:t>1</w:t>
      </w:r>
      <w:r w:rsidR="005A0EE4" w:rsidRPr="0040247D">
        <w:rPr>
          <w:rStyle w:val="FootnoteReference"/>
        </w:rPr>
        <w:fldChar w:fldCharType="end"/>
      </w:r>
      <w:r w:rsidRPr="0040247D">
        <w:t xml:space="preserve">. CPP is caused by early maturation of the hypothalamic-pituitary-gonadal (HPG) axis, with the initial clinical signs </w:t>
      </w:r>
      <w:r w:rsidR="00013315" w:rsidRPr="0040247D">
        <w:t xml:space="preserve">of </w:t>
      </w:r>
      <w:r w:rsidRPr="0040247D">
        <w:t>breast development in girls and testicular enlargement in boys</w:t>
      </w:r>
      <w:bookmarkStart w:id="14" w:name="_Ref102114128"/>
      <w:r w:rsidR="008D340A" w:rsidRPr="0040247D">
        <w:rPr>
          <w:rStyle w:val="FootnoteReference"/>
        </w:rPr>
        <w:footnoteReference w:id="3"/>
      </w:r>
      <w:bookmarkEnd w:id="14"/>
      <w:r w:rsidR="008D340A" w:rsidRPr="0040247D">
        <w:t>.</w:t>
      </w:r>
      <w:r w:rsidRPr="0040247D">
        <w:t xml:space="preserve"> Children with CPP have accelerated linear growth for</w:t>
      </w:r>
      <w:r w:rsidR="00013315" w:rsidRPr="0040247D">
        <w:t xml:space="preserve"> their</w:t>
      </w:r>
      <w:r w:rsidRPr="0040247D">
        <w:t xml:space="preserve"> age, an advanced bone age and pubertal levels of luteinizing hormone (LH) and follicle-stimulating hormone (FSH)</w:t>
      </w:r>
      <w:r w:rsidR="000D3060" w:rsidRPr="0040247D">
        <w:rPr>
          <w:vertAlign w:val="superscript"/>
        </w:rPr>
        <w:fldChar w:fldCharType="begin"/>
      </w:r>
      <w:r w:rsidR="000D3060" w:rsidRPr="0040247D">
        <w:rPr>
          <w:vertAlign w:val="superscript"/>
        </w:rPr>
        <w:instrText xml:space="preserve"> NOTEREF _Ref102114128 \h  \* MERGEFORMAT </w:instrText>
      </w:r>
      <w:r w:rsidR="000D3060" w:rsidRPr="0040247D">
        <w:rPr>
          <w:vertAlign w:val="superscript"/>
        </w:rPr>
      </w:r>
      <w:r w:rsidR="000D3060" w:rsidRPr="0040247D">
        <w:rPr>
          <w:vertAlign w:val="superscript"/>
        </w:rPr>
        <w:fldChar w:fldCharType="separate"/>
      </w:r>
      <w:r w:rsidR="000D3060" w:rsidRPr="0040247D">
        <w:rPr>
          <w:vertAlign w:val="superscript"/>
        </w:rPr>
        <w:t>2</w:t>
      </w:r>
      <w:r w:rsidR="000D3060" w:rsidRPr="0040247D">
        <w:rPr>
          <w:vertAlign w:val="superscript"/>
        </w:rPr>
        <w:fldChar w:fldCharType="end"/>
      </w:r>
      <w:r w:rsidR="008D340A" w:rsidRPr="0040247D">
        <w:t>.</w:t>
      </w:r>
      <w:r w:rsidRPr="0040247D">
        <w:t xml:space="preserve"> </w:t>
      </w:r>
      <w:r w:rsidR="00C30A8F" w:rsidRPr="0040247D">
        <w:t>CPP has an incidence of 1 in 5,000-to-10,000 children</w:t>
      </w:r>
      <w:r w:rsidR="008D340A" w:rsidRPr="0040247D">
        <w:rPr>
          <w:rStyle w:val="FootnoteReference"/>
        </w:rPr>
        <w:footnoteReference w:id="4"/>
      </w:r>
      <w:r w:rsidR="00C30A8F" w:rsidRPr="0040247D">
        <w:t xml:space="preserve"> with a female to male ratio of about 20:1</w:t>
      </w:r>
      <w:r w:rsidR="008D340A" w:rsidRPr="0040247D">
        <w:rPr>
          <w:rStyle w:val="FootnoteReference"/>
        </w:rPr>
        <w:footnoteReference w:id="5"/>
      </w:r>
      <w:r w:rsidR="00C30A8F" w:rsidRPr="0040247D">
        <w:t xml:space="preserve">. </w:t>
      </w:r>
      <w:r w:rsidR="00013315" w:rsidRPr="0040247D">
        <w:t xml:space="preserve">The </w:t>
      </w:r>
      <w:r w:rsidR="00B9055A">
        <w:t>d</w:t>
      </w:r>
      <w:r w:rsidR="00C30A8F" w:rsidRPr="0040247D">
        <w:t>rug utilisation sub-committee (DUSC) estimated that</w:t>
      </w:r>
      <w:r w:rsidR="00013315" w:rsidRPr="0040247D">
        <w:t xml:space="preserve"> in Australia</w:t>
      </w:r>
      <w:r w:rsidR="00C30A8F" w:rsidRPr="0040247D">
        <w:t xml:space="preserve"> between 2014 to 2018 there were a total of 711 patients with CPP</w:t>
      </w:r>
      <w:r w:rsidR="00013315" w:rsidRPr="0040247D">
        <w:t xml:space="preserve"> (</w:t>
      </w:r>
      <w:r w:rsidR="00C30A8F" w:rsidRPr="0040247D">
        <w:t>102 male patients and 609 female patients</w:t>
      </w:r>
      <w:r w:rsidR="00013315" w:rsidRPr="0040247D">
        <w:t>)</w:t>
      </w:r>
      <w:r w:rsidR="00C30A8F" w:rsidRPr="0040247D">
        <w:t xml:space="preserve"> using leuprorelin paediatric (DUSC 2019). </w:t>
      </w:r>
    </w:p>
    <w:p w14:paraId="7447B16A" w14:textId="1D792B16" w:rsidR="00333F85" w:rsidRDefault="0084262D" w:rsidP="0055154C">
      <w:pPr>
        <w:pStyle w:val="3-BodyText"/>
        <w:ind w:left="709"/>
      </w:pPr>
      <w:r w:rsidRPr="0040247D">
        <w:t>The aims of treatment are to arrest physical maturation, prevent early menarche, bring final adult height closer to genetic expectation</w:t>
      </w:r>
      <w:r w:rsidR="00013315" w:rsidRPr="0040247D">
        <w:t>,</w:t>
      </w:r>
      <w:r w:rsidRPr="0040247D">
        <w:t xml:space="preserve"> and allow normal psychosocial development (National Organization for Rare Disorders 2021). The submission </w:t>
      </w:r>
      <w:r w:rsidR="00013315" w:rsidRPr="0040247D">
        <w:t>did not</w:t>
      </w:r>
      <w:r w:rsidRPr="0040247D">
        <w:t xml:space="preserve"> anticipate change</w:t>
      </w:r>
      <w:r w:rsidR="00013315" w:rsidRPr="0040247D">
        <w:t>s</w:t>
      </w:r>
      <w:r w:rsidRPr="0040247D">
        <w:t xml:space="preserve"> to the clinical treatment algorithm (including age of commencement and discontinuation) for </w:t>
      </w:r>
      <w:proofErr w:type="spellStart"/>
      <w:r w:rsidRPr="0040247D">
        <w:t>Eligard</w:t>
      </w:r>
      <w:proofErr w:type="spellEnd"/>
      <w:r w:rsidRPr="0040247D">
        <w:t xml:space="preserve"> 6 month and </w:t>
      </w:r>
      <w:proofErr w:type="spellStart"/>
      <w:r w:rsidR="006E5033" w:rsidRPr="0040247D">
        <w:t>Lucrin</w:t>
      </w:r>
      <w:proofErr w:type="spellEnd"/>
      <w:r w:rsidR="006E5033" w:rsidRPr="0040247D">
        <w:t xml:space="preserve"> Paediatric</w:t>
      </w:r>
      <w:r w:rsidRPr="0040247D">
        <w:t>.</w:t>
      </w:r>
    </w:p>
    <w:p w14:paraId="4C769ADF" w14:textId="7D203978" w:rsidR="00FF5DCF" w:rsidRPr="0040247D" w:rsidRDefault="00FF5DCF" w:rsidP="00FF5DCF">
      <w:pPr>
        <w:pStyle w:val="3-BodyText"/>
        <w:numPr>
          <w:ilvl w:val="0"/>
          <w:numId w:val="0"/>
        </w:numPr>
        <w:ind w:left="709"/>
      </w:pPr>
      <w:r w:rsidRPr="00C33D30">
        <w:rPr>
          <w:i/>
        </w:rPr>
        <w:t>For more detail on PBAC’s view, see section 7 PBAC outcome.</w:t>
      </w:r>
    </w:p>
    <w:p w14:paraId="51E5AE96" w14:textId="72A130F3" w:rsidR="00B50DB8" w:rsidRPr="0040247D" w:rsidRDefault="00B50DB8" w:rsidP="004E18E9">
      <w:pPr>
        <w:pStyle w:val="2-SectionHeading"/>
      </w:pPr>
      <w:bookmarkStart w:id="15" w:name="_Toc103764958"/>
      <w:r w:rsidRPr="0040247D">
        <w:t>Comparator</w:t>
      </w:r>
      <w:bookmarkEnd w:id="15"/>
    </w:p>
    <w:p w14:paraId="4F3A0DC0" w14:textId="2AEBE5BD" w:rsidR="00E3260E" w:rsidRPr="0040247D" w:rsidRDefault="00572D26" w:rsidP="0055154C">
      <w:pPr>
        <w:pStyle w:val="3-BodyText"/>
        <w:ind w:left="709"/>
      </w:pPr>
      <w:r w:rsidRPr="0040247D">
        <w:t>The submission nominated leuprorelin acetate 30 mg modified release injection (</w:t>
      </w:r>
      <w:proofErr w:type="spellStart"/>
      <w:r w:rsidR="006E5033" w:rsidRPr="0040247D">
        <w:t>Lucrin</w:t>
      </w:r>
      <w:proofErr w:type="spellEnd"/>
      <w:r w:rsidR="006E5033" w:rsidRPr="0040247D">
        <w:t xml:space="preserve"> Paediatric</w:t>
      </w:r>
      <w:r w:rsidRPr="0040247D">
        <w:t xml:space="preserve">) as the main comparator. The main arguments provided in support of this nomination were that both </w:t>
      </w:r>
      <w:proofErr w:type="spellStart"/>
      <w:r w:rsidR="006E5033" w:rsidRPr="0040247D">
        <w:t>Lucrin</w:t>
      </w:r>
      <w:proofErr w:type="spellEnd"/>
      <w:r w:rsidR="006E5033" w:rsidRPr="0040247D">
        <w:t xml:space="preserve"> Paediatric</w:t>
      </w:r>
      <w:r w:rsidR="00AE08E5" w:rsidRPr="0040247D">
        <w:t xml:space="preserve"> </w:t>
      </w:r>
      <w:r w:rsidRPr="0040247D">
        <w:t xml:space="preserve">and </w:t>
      </w:r>
      <w:proofErr w:type="spellStart"/>
      <w:r w:rsidRPr="0040247D">
        <w:t>Eligard</w:t>
      </w:r>
      <w:proofErr w:type="spellEnd"/>
      <w:r w:rsidRPr="0040247D">
        <w:t xml:space="preserve"> 6 month have the same ATC code (L02AE02) and are pharmacologically the same with the same mode of action. </w:t>
      </w:r>
      <w:proofErr w:type="spellStart"/>
      <w:r w:rsidR="006E5033" w:rsidRPr="0040247D">
        <w:t>Lucrin</w:t>
      </w:r>
      <w:proofErr w:type="spellEnd"/>
      <w:r w:rsidR="006E5033" w:rsidRPr="0040247D">
        <w:t xml:space="preserve"> Paediatric</w:t>
      </w:r>
      <w:r w:rsidR="009515C8" w:rsidRPr="0040247D" w:rsidDel="009515C8">
        <w:t xml:space="preserve"> </w:t>
      </w:r>
      <w:r w:rsidRPr="0040247D">
        <w:t>is the only leuprorelin acetate product</w:t>
      </w:r>
      <w:r w:rsidR="000E4A17">
        <w:t xml:space="preserve"> that is</w:t>
      </w:r>
      <w:r w:rsidRPr="0040247D">
        <w:t xml:space="preserve"> PBS listed for </w:t>
      </w:r>
      <w:r w:rsidR="00013315" w:rsidRPr="0040247D">
        <w:t xml:space="preserve">the treatment of </w:t>
      </w:r>
      <w:r w:rsidRPr="0040247D">
        <w:t>CPP (item 11944P, 11960</w:t>
      </w:r>
      <w:r w:rsidR="00DE7468" w:rsidRPr="0040247D">
        <w:t xml:space="preserve">L). </w:t>
      </w:r>
      <w:r w:rsidR="00EA2616">
        <w:t xml:space="preserve">The PBAC considered that </w:t>
      </w:r>
      <w:proofErr w:type="spellStart"/>
      <w:r w:rsidR="00EA2616">
        <w:t>Lucrin</w:t>
      </w:r>
      <w:proofErr w:type="spellEnd"/>
      <w:r w:rsidR="00EA2616">
        <w:t xml:space="preserve"> Paediatric was an appropriate comparator.</w:t>
      </w:r>
    </w:p>
    <w:p w14:paraId="2264D941" w14:textId="3C367243" w:rsidR="00DE7468" w:rsidRPr="0040247D" w:rsidRDefault="00572D26" w:rsidP="0055154C">
      <w:pPr>
        <w:pStyle w:val="3-BodyText"/>
        <w:ind w:left="709"/>
      </w:pPr>
      <w:r w:rsidRPr="0040247D">
        <w:t xml:space="preserve">The submission also nominated </w:t>
      </w:r>
      <w:proofErr w:type="spellStart"/>
      <w:r w:rsidR="007F5A54" w:rsidRPr="0040247D">
        <w:t>Diphereline</w:t>
      </w:r>
      <w:proofErr w:type="spellEnd"/>
      <w:r w:rsidRPr="0040247D">
        <w:t xml:space="preserve">, a GnRH analogue, as </w:t>
      </w:r>
      <w:r w:rsidR="000302C9" w:rsidRPr="0040247D">
        <w:t xml:space="preserve">a </w:t>
      </w:r>
      <w:r w:rsidRPr="0040247D">
        <w:t xml:space="preserve">supplementary comparator. </w:t>
      </w:r>
      <w:proofErr w:type="spellStart"/>
      <w:r w:rsidR="00EF56C4" w:rsidRPr="0040247D">
        <w:t>Diphereline</w:t>
      </w:r>
      <w:proofErr w:type="spellEnd"/>
      <w:r w:rsidR="00EF56C4" w:rsidRPr="0040247D">
        <w:t xml:space="preserve"> </w:t>
      </w:r>
      <w:r w:rsidRPr="0040247D">
        <w:t>was recommended for</w:t>
      </w:r>
      <w:r w:rsidR="000302C9" w:rsidRPr="0040247D">
        <w:t xml:space="preserve"> the treatment of</w:t>
      </w:r>
      <w:r w:rsidRPr="0040247D">
        <w:t xml:space="preserve"> CPP at the July 2021 </w:t>
      </w:r>
      <w:r w:rsidR="00DE7468" w:rsidRPr="0040247D">
        <w:t xml:space="preserve">PBAC </w:t>
      </w:r>
      <w:r w:rsidRPr="0040247D">
        <w:t xml:space="preserve">meeting and listed in November 2021. It is administered as a depot intramuscular injection every 6 months. </w:t>
      </w:r>
      <w:r w:rsidR="00DE7468" w:rsidRPr="0040247D">
        <w:t xml:space="preserve">The submission argued that </w:t>
      </w:r>
      <w:proofErr w:type="spellStart"/>
      <w:r w:rsidR="00812CAB" w:rsidRPr="0040247D">
        <w:t>Diphereline</w:t>
      </w:r>
      <w:proofErr w:type="spellEnd"/>
      <w:r w:rsidR="00812CAB" w:rsidRPr="0040247D">
        <w:t xml:space="preserve"> </w:t>
      </w:r>
      <w:r w:rsidR="00DE7468" w:rsidRPr="0040247D">
        <w:t xml:space="preserve">was </w:t>
      </w:r>
      <w:r w:rsidRPr="0040247D">
        <w:t xml:space="preserve">not the main comparator </w:t>
      </w:r>
      <w:r w:rsidR="00DE7468" w:rsidRPr="0040247D">
        <w:t xml:space="preserve">because </w:t>
      </w:r>
      <w:r w:rsidRPr="0040247D">
        <w:t xml:space="preserve">it </w:t>
      </w:r>
      <w:r w:rsidR="00641179" w:rsidRPr="0040247D">
        <w:t>did not contain</w:t>
      </w:r>
      <w:r w:rsidR="00DE7468" w:rsidRPr="0040247D">
        <w:t xml:space="preserve"> leuprorelin acetate</w:t>
      </w:r>
      <w:r w:rsidR="00DE7468" w:rsidRPr="0040247D" w:rsidDel="00DE7468">
        <w:t xml:space="preserve"> </w:t>
      </w:r>
      <w:r w:rsidR="00DE7468" w:rsidRPr="0040247D">
        <w:t xml:space="preserve">and </w:t>
      </w:r>
      <w:r w:rsidR="00DE7468" w:rsidRPr="0040247D">
        <w:lastRenderedPageBreak/>
        <w:t xml:space="preserve">had </w:t>
      </w:r>
      <w:r w:rsidRPr="0040247D">
        <w:t xml:space="preserve">limited PBS usage at </w:t>
      </w:r>
      <w:r w:rsidR="00DE7468" w:rsidRPr="0040247D">
        <w:t xml:space="preserve">the time of </w:t>
      </w:r>
      <w:r w:rsidR="00641179" w:rsidRPr="0040247D">
        <w:t xml:space="preserve">the </w:t>
      </w:r>
      <w:proofErr w:type="spellStart"/>
      <w:r w:rsidR="00DE7468" w:rsidRPr="0040247D">
        <w:t>El</w:t>
      </w:r>
      <w:r w:rsidR="00013315" w:rsidRPr="0040247D">
        <w:t>i</w:t>
      </w:r>
      <w:r w:rsidR="00DE7468" w:rsidRPr="0040247D">
        <w:t>gard</w:t>
      </w:r>
      <w:proofErr w:type="spellEnd"/>
      <w:r w:rsidR="00DE7468" w:rsidRPr="0040247D">
        <w:t xml:space="preserve"> </w:t>
      </w:r>
      <w:proofErr w:type="gramStart"/>
      <w:r w:rsidR="00736A53" w:rsidRPr="0040247D">
        <w:t>6 month</w:t>
      </w:r>
      <w:proofErr w:type="gramEnd"/>
      <w:r w:rsidR="00DE7468" w:rsidRPr="0040247D">
        <w:t xml:space="preserve"> submission</w:t>
      </w:r>
      <w:r w:rsidR="00DD60B9" w:rsidRPr="0040247D">
        <w:t>.</w:t>
      </w:r>
      <w:r w:rsidR="00EA2616">
        <w:t xml:space="preserve"> The PBAC accepted </w:t>
      </w:r>
      <w:proofErr w:type="spellStart"/>
      <w:r w:rsidR="00EA2616">
        <w:t>Diphereline</w:t>
      </w:r>
      <w:proofErr w:type="spellEnd"/>
      <w:r w:rsidR="006A37A9">
        <w:t xml:space="preserve"> (triptorelin)</w:t>
      </w:r>
      <w:r w:rsidR="00EA2616">
        <w:t xml:space="preserve"> as a supplementary comparator.</w:t>
      </w:r>
    </w:p>
    <w:p w14:paraId="1A2BFEAF" w14:textId="0FCA4B2F" w:rsidR="00841D97" w:rsidRDefault="00841D97" w:rsidP="00E21B6F">
      <w:pPr>
        <w:pStyle w:val="3-BodyText"/>
        <w:ind w:left="709"/>
      </w:pPr>
      <w:r w:rsidRPr="00E57B4B">
        <w:t xml:space="preserve">Under Section 101(3B) of the </w:t>
      </w:r>
      <w:r w:rsidRPr="00E57B4B">
        <w:rPr>
          <w:i/>
          <w:iCs/>
        </w:rPr>
        <w:t>National Health Act 1953</w:t>
      </w:r>
      <w:r w:rsidRPr="00E57B4B">
        <w:t xml:space="preserve">,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 Given the PBAC has previously considered that triptorelin is of non-inferior comparative effectiveness and safety to leuprorelin for the </w:t>
      </w:r>
      <w:r w:rsidR="00AC3748">
        <w:t>treatment</w:t>
      </w:r>
      <w:r w:rsidR="00AC3748" w:rsidRPr="00E57B4B">
        <w:t xml:space="preserve"> </w:t>
      </w:r>
      <w:r w:rsidRPr="00E57B4B">
        <w:t>of CPP, forms of both leuprorelin and triptorelin listed for this indication are</w:t>
      </w:r>
      <w:r w:rsidR="00641179" w:rsidRPr="00E57B4B">
        <w:t xml:space="preserve"> considered</w:t>
      </w:r>
      <w:r w:rsidRPr="00E57B4B">
        <w:t xml:space="preserve"> relevant alternative</w:t>
      </w:r>
      <w:r w:rsidR="00641179" w:rsidRPr="00E57B4B">
        <w:t xml:space="preserve"> therapies</w:t>
      </w:r>
      <w:r w:rsidRPr="00E57B4B">
        <w:t xml:space="preserve">. Based on the recent price reduction of </w:t>
      </w:r>
      <w:proofErr w:type="spellStart"/>
      <w:r w:rsidR="002B4FCF" w:rsidRPr="00E57B4B">
        <w:t>Lucrin</w:t>
      </w:r>
      <w:proofErr w:type="spellEnd"/>
      <w:r w:rsidR="002B4FCF" w:rsidRPr="00E57B4B">
        <w:t xml:space="preserve"> Paediatric</w:t>
      </w:r>
      <w:r w:rsidRPr="00E57B4B">
        <w:t xml:space="preserve"> (AEMP = $</w:t>
      </w:r>
      <w:r w:rsidRPr="00B75A36">
        <w:t>845.46</w:t>
      </w:r>
      <w:r w:rsidRPr="00E57B4B">
        <w:t xml:space="preserve">), the annualised (direct treatment) cost for </w:t>
      </w:r>
      <w:proofErr w:type="spellStart"/>
      <w:r w:rsidRPr="00E57B4B">
        <w:t>Diphereline</w:t>
      </w:r>
      <w:proofErr w:type="spellEnd"/>
      <w:r w:rsidRPr="00E57B4B">
        <w:t xml:space="preserve"> (used every 6 months) and </w:t>
      </w:r>
      <w:proofErr w:type="spellStart"/>
      <w:r w:rsidR="006E5033" w:rsidRPr="00E57B4B">
        <w:t>Lucrin</w:t>
      </w:r>
      <w:proofErr w:type="spellEnd"/>
      <w:r w:rsidR="006E5033" w:rsidRPr="00E57B4B">
        <w:t xml:space="preserve"> Paediatric</w:t>
      </w:r>
      <w:r w:rsidRPr="00E57B4B">
        <w:t xml:space="preserve"> (used every </w:t>
      </w:r>
      <w:r w:rsidR="00C77076">
        <w:t>3</w:t>
      </w:r>
      <w:r w:rsidRPr="00E57B4B">
        <w:t xml:space="preserve"> months) are the same (approximately </w:t>
      </w:r>
      <w:r w:rsidRPr="00B75A36">
        <w:t>$3,381</w:t>
      </w:r>
      <w:r w:rsidRPr="00E57B4B">
        <w:t>) (discussed further in the Economic analysis section).</w:t>
      </w:r>
    </w:p>
    <w:p w14:paraId="15275E9B" w14:textId="39C86354" w:rsidR="00FF5DCF" w:rsidRPr="00E57B4B" w:rsidRDefault="00FF5DCF" w:rsidP="00FF5DCF">
      <w:pPr>
        <w:pStyle w:val="3-BodyText"/>
        <w:numPr>
          <w:ilvl w:val="0"/>
          <w:numId w:val="0"/>
        </w:numPr>
        <w:ind w:left="709"/>
      </w:pPr>
      <w:r w:rsidRPr="00C33D30">
        <w:rPr>
          <w:i/>
        </w:rPr>
        <w:t>For more detail on PBAC’s view, see section 7 PBAC outcome.</w:t>
      </w:r>
    </w:p>
    <w:p w14:paraId="7F9C27C8" w14:textId="59876695" w:rsidR="00223D5A" w:rsidRPr="0040247D" w:rsidRDefault="00223D5A" w:rsidP="00223D5A">
      <w:pPr>
        <w:pStyle w:val="2-SectionHeading"/>
      </w:pPr>
      <w:bookmarkStart w:id="16" w:name="_Toc103764959"/>
      <w:bookmarkStart w:id="17" w:name="_Toc22897640"/>
      <w:r w:rsidRPr="0040247D">
        <w:t>Consideration of the evidence</w:t>
      </w:r>
      <w:bookmarkEnd w:id="16"/>
    </w:p>
    <w:p w14:paraId="28C66582" w14:textId="55A98E83" w:rsidR="00FF5DCF" w:rsidRDefault="00FF5DCF" w:rsidP="00703F04">
      <w:pPr>
        <w:pStyle w:val="4-SubsectionHeading"/>
      </w:pPr>
      <w:bookmarkStart w:id="18" w:name="_Toc103764960"/>
      <w:r>
        <w:t>Sponsor hearing</w:t>
      </w:r>
    </w:p>
    <w:p w14:paraId="64CD2608" w14:textId="7AB2F192" w:rsidR="00FF5DCF" w:rsidRPr="00FF5DCF" w:rsidRDefault="00FF5DCF" w:rsidP="00FF5DCF">
      <w:pPr>
        <w:pStyle w:val="3-BodyText"/>
        <w:rPr>
          <w:lang w:eastAsia="en-US"/>
        </w:rPr>
      </w:pPr>
      <w:r w:rsidRPr="00F91542">
        <w:rPr>
          <w:rFonts w:ascii="Calibri" w:hAnsi="Calibri" w:cs="Calibri"/>
          <w:bCs/>
          <w:snapToGrid w:val="0"/>
        </w:rPr>
        <w:t>There was no hearing for this item</w:t>
      </w:r>
      <w:r>
        <w:rPr>
          <w:rFonts w:ascii="Calibri" w:hAnsi="Calibri" w:cs="Calibri"/>
          <w:bCs/>
          <w:snapToGrid w:val="0"/>
        </w:rPr>
        <w:t>.</w:t>
      </w:r>
    </w:p>
    <w:p w14:paraId="6D613C60" w14:textId="0C6282C9" w:rsidR="00FF5DCF" w:rsidRDefault="00FF5DCF" w:rsidP="00703F04">
      <w:pPr>
        <w:pStyle w:val="4-SubsectionHeading"/>
      </w:pPr>
      <w:r>
        <w:t>Consumer comments</w:t>
      </w:r>
    </w:p>
    <w:p w14:paraId="3A400CF2" w14:textId="1FB79AFF" w:rsidR="00FF5DCF" w:rsidRPr="00FF5DCF" w:rsidRDefault="00FF5DCF" w:rsidP="00FF5DCF">
      <w:pPr>
        <w:pStyle w:val="3-BodyText"/>
        <w:rPr>
          <w:lang w:eastAsia="en-US"/>
        </w:rPr>
      </w:pPr>
      <w:r w:rsidRPr="00836F75">
        <w:rPr>
          <w:rFonts w:cs="Arial"/>
          <w:bCs/>
          <w:snapToGrid w:val="0"/>
        </w:rPr>
        <w:t>The PBAC noted that no consumer comments were received for this item</w:t>
      </w:r>
      <w:r>
        <w:rPr>
          <w:rFonts w:cs="Arial"/>
          <w:bCs/>
          <w:snapToGrid w:val="0"/>
        </w:rPr>
        <w:t>.</w:t>
      </w:r>
    </w:p>
    <w:p w14:paraId="609C0765" w14:textId="61469F7C" w:rsidR="00B60939" w:rsidRPr="0040247D" w:rsidRDefault="00B60939" w:rsidP="00703F04">
      <w:pPr>
        <w:pStyle w:val="4-SubsectionHeading"/>
      </w:pPr>
      <w:r w:rsidRPr="0040247D">
        <w:t>Clinical trials</w:t>
      </w:r>
      <w:bookmarkEnd w:id="17"/>
      <w:bookmarkEnd w:id="18"/>
    </w:p>
    <w:p w14:paraId="49F884BD" w14:textId="77777777" w:rsidR="00ED33E6" w:rsidRPr="0040247D" w:rsidRDefault="00A73134" w:rsidP="0055154C">
      <w:pPr>
        <w:pStyle w:val="3-BodyText"/>
        <w:ind w:left="709"/>
      </w:pPr>
      <w:r w:rsidRPr="0040247D">
        <w:t xml:space="preserve">The submission </w:t>
      </w:r>
      <w:r w:rsidR="00D5243B" w:rsidRPr="0040247D">
        <w:t>wa</w:t>
      </w:r>
      <w:r w:rsidRPr="0040247D">
        <w:t xml:space="preserve">s based on </w:t>
      </w:r>
      <w:r w:rsidR="005B201B" w:rsidRPr="0040247D">
        <w:t xml:space="preserve">a naïve indirect comparison consisting of: </w:t>
      </w:r>
    </w:p>
    <w:p w14:paraId="69D5C6C5" w14:textId="77777777" w:rsidR="00812CAB" w:rsidRPr="0040247D" w:rsidRDefault="005B201B" w:rsidP="0067763C">
      <w:pPr>
        <w:pStyle w:val="3-BodyText"/>
        <w:numPr>
          <w:ilvl w:val="0"/>
          <w:numId w:val="12"/>
        </w:numPr>
        <w:ind w:left="1134"/>
      </w:pPr>
      <w:r w:rsidRPr="0040247D">
        <w:t xml:space="preserve">one open label, single arm, multicentre study of </w:t>
      </w:r>
      <w:proofErr w:type="spellStart"/>
      <w:r w:rsidRPr="0040247D">
        <w:t>Eligard</w:t>
      </w:r>
      <w:proofErr w:type="spellEnd"/>
      <w:r w:rsidRPr="0040247D">
        <w:t xml:space="preserve"> 6 month (TOL2581A, N=64), leuprorelin administered at 45 mg every 6 months; </w:t>
      </w:r>
    </w:p>
    <w:p w14:paraId="48EB768B" w14:textId="06CD5178" w:rsidR="00ED33E6" w:rsidRPr="0040247D" w:rsidRDefault="005B201B" w:rsidP="0067763C">
      <w:pPr>
        <w:pStyle w:val="3-BodyText"/>
        <w:numPr>
          <w:ilvl w:val="0"/>
          <w:numId w:val="12"/>
        </w:numPr>
        <w:ind w:left="1134"/>
      </w:pPr>
      <w:r w:rsidRPr="0040247D">
        <w:t xml:space="preserve">one open label, phase 3, randomised, multicentre study of </w:t>
      </w:r>
      <w:proofErr w:type="spellStart"/>
      <w:r w:rsidR="006E5033" w:rsidRPr="0040247D">
        <w:t>Lucrin</w:t>
      </w:r>
      <w:proofErr w:type="spellEnd"/>
      <w:r w:rsidR="006E5033" w:rsidRPr="0040247D">
        <w:t xml:space="preserve"> Paediatric</w:t>
      </w:r>
      <w:r w:rsidR="00812CAB" w:rsidRPr="0040247D" w:rsidDel="00812CAB">
        <w:t xml:space="preserve"> </w:t>
      </w:r>
      <w:r w:rsidRPr="0040247D">
        <w:t xml:space="preserve">(Lee 2012, N=84) and its extension study (Lee 2014, N=72), leuprorelin administered at 30 mg every 3 months; </w:t>
      </w:r>
    </w:p>
    <w:p w14:paraId="13F122A9" w14:textId="47F7A557" w:rsidR="005B201B" w:rsidRPr="0040247D" w:rsidRDefault="005B201B" w:rsidP="0067763C">
      <w:pPr>
        <w:pStyle w:val="3-BodyText"/>
        <w:numPr>
          <w:ilvl w:val="0"/>
          <w:numId w:val="12"/>
        </w:numPr>
        <w:ind w:left="1134"/>
      </w:pPr>
      <w:r w:rsidRPr="0040247D">
        <w:t xml:space="preserve">one open label, single arm, multicentre study of </w:t>
      </w:r>
      <w:proofErr w:type="spellStart"/>
      <w:r w:rsidR="007F5A54" w:rsidRPr="0040247D">
        <w:t>Diphereline</w:t>
      </w:r>
      <w:proofErr w:type="spellEnd"/>
      <w:r w:rsidRPr="0040247D">
        <w:t xml:space="preserve"> (Study 301, N=44), triptorelin </w:t>
      </w:r>
      <w:proofErr w:type="spellStart"/>
      <w:r w:rsidRPr="0040247D">
        <w:t>embonate</w:t>
      </w:r>
      <w:proofErr w:type="spellEnd"/>
      <w:r w:rsidRPr="0040247D">
        <w:t xml:space="preserve"> administered at 22.5 mg every 6 months. </w:t>
      </w:r>
    </w:p>
    <w:p w14:paraId="3663AB32" w14:textId="44B431D7" w:rsidR="00E364A2" w:rsidRPr="0040247D" w:rsidRDefault="00EF4A93" w:rsidP="0055154C">
      <w:pPr>
        <w:pStyle w:val="3-BodyText"/>
        <w:ind w:left="709"/>
      </w:pPr>
      <w:r w:rsidRPr="0040247D">
        <w:t>The d</w:t>
      </w:r>
      <w:r w:rsidR="00A73134" w:rsidRPr="0040247D">
        <w:t>etails of the trial</w:t>
      </w:r>
      <w:r w:rsidR="005B201B" w:rsidRPr="0040247D">
        <w:t>s</w:t>
      </w:r>
      <w:r w:rsidR="00A73134" w:rsidRPr="0040247D">
        <w:t xml:space="preserve"> presented in the submission are provided in </w:t>
      </w:r>
      <w:r w:rsidR="00B4526F" w:rsidRPr="0040247D">
        <w:fldChar w:fldCharType="begin"/>
      </w:r>
      <w:r w:rsidR="00B4526F" w:rsidRPr="0040247D">
        <w:instrText xml:space="preserve"> REF _Ref102726728 \h </w:instrText>
      </w:r>
      <w:r w:rsidR="00B4526F" w:rsidRPr="0040247D">
        <w:fldChar w:fldCharType="separate"/>
      </w:r>
      <w:r w:rsidR="00B4526F" w:rsidRPr="0040247D">
        <w:t>Table 2</w:t>
      </w:r>
      <w:r w:rsidR="00B4526F" w:rsidRPr="0040247D">
        <w:fldChar w:fldCharType="end"/>
      </w:r>
      <w:r w:rsidR="00A77F67" w:rsidRPr="0040247D">
        <w:t xml:space="preserve"> below. </w:t>
      </w:r>
    </w:p>
    <w:p w14:paraId="534562BB" w14:textId="30EFA71E" w:rsidR="005B201B" w:rsidRPr="0040247D" w:rsidRDefault="005E6C02" w:rsidP="005E6C02">
      <w:pPr>
        <w:pStyle w:val="TableFigureHeading"/>
      </w:pPr>
      <w:bookmarkStart w:id="19" w:name="_Ref102726728"/>
      <w:r w:rsidRPr="0040247D">
        <w:t xml:space="preserve">Table </w:t>
      </w:r>
      <w:fldSimple w:instr=" SEQ Table \* ARABIC ">
        <w:r w:rsidRPr="0040247D">
          <w:t>2</w:t>
        </w:r>
      </w:fldSimple>
      <w:bookmarkEnd w:id="19"/>
      <w:r w:rsidRPr="0040247D">
        <w:t xml:space="preserve">: </w:t>
      </w:r>
      <w:r w:rsidR="008E0D3C" w:rsidRPr="0040247D">
        <w:rPr>
          <w:rStyle w:val="CommentReference"/>
          <w:b/>
          <w:szCs w:val="24"/>
        </w:rPr>
        <w:t>Trials</w:t>
      </w:r>
      <w:r w:rsidR="00080F3B" w:rsidRPr="0040247D">
        <w:rPr>
          <w:rStyle w:val="CommentReference"/>
          <w:b/>
          <w:szCs w:val="24"/>
        </w:rPr>
        <w:t xml:space="preserve"> </w:t>
      </w:r>
      <w:r w:rsidR="008E0D3C" w:rsidRPr="0040247D">
        <w:rPr>
          <w:rStyle w:val="CommentReference"/>
          <w:b/>
          <w:szCs w:val="24"/>
        </w:rPr>
        <w:t>and associated reports presented in the submission</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Trials and associated reports presented in the submission"/>
        <w:tblDescription w:val="Table 2: Trials and associated reports presented in the submission"/>
      </w:tblPr>
      <w:tblGrid>
        <w:gridCol w:w="1036"/>
        <w:gridCol w:w="6189"/>
        <w:gridCol w:w="1847"/>
        <w:gridCol w:w="7"/>
      </w:tblGrid>
      <w:tr w:rsidR="00067771" w:rsidRPr="0040247D" w14:paraId="46433637" w14:textId="77777777" w:rsidTr="00CA1457">
        <w:trPr>
          <w:gridAfter w:val="1"/>
          <w:wAfter w:w="7" w:type="dxa"/>
          <w:tblHeader/>
        </w:trPr>
        <w:tc>
          <w:tcPr>
            <w:tcW w:w="1036" w:type="dxa"/>
            <w:shd w:val="clear" w:color="auto" w:fill="auto"/>
          </w:tcPr>
          <w:p w14:paraId="3A052E57" w14:textId="77777777" w:rsidR="005B201B" w:rsidRPr="0040247D" w:rsidRDefault="005B201B" w:rsidP="00552D3C">
            <w:pPr>
              <w:pStyle w:val="KMC16-TableHeading"/>
              <w:rPr>
                <w:color w:val="auto"/>
              </w:rPr>
            </w:pPr>
            <w:r w:rsidRPr="0040247D">
              <w:rPr>
                <w:color w:val="auto"/>
              </w:rPr>
              <w:t>Study identifier (ID)</w:t>
            </w:r>
          </w:p>
        </w:tc>
        <w:tc>
          <w:tcPr>
            <w:tcW w:w="6189" w:type="dxa"/>
            <w:shd w:val="clear" w:color="auto" w:fill="auto"/>
          </w:tcPr>
          <w:p w14:paraId="73CF90C0" w14:textId="77777777" w:rsidR="005B201B" w:rsidRPr="0040247D" w:rsidRDefault="005B201B" w:rsidP="00552D3C">
            <w:pPr>
              <w:pStyle w:val="KMC16-TableHeading"/>
              <w:rPr>
                <w:color w:val="auto"/>
              </w:rPr>
            </w:pPr>
            <w:r w:rsidRPr="0040247D">
              <w:rPr>
                <w:color w:val="auto"/>
              </w:rPr>
              <w:t>Key data sources: Clinical Study Reports (CSR) or key publication</w:t>
            </w:r>
          </w:p>
        </w:tc>
        <w:tc>
          <w:tcPr>
            <w:tcW w:w="1847" w:type="dxa"/>
            <w:shd w:val="clear" w:color="auto" w:fill="auto"/>
          </w:tcPr>
          <w:p w14:paraId="7CF10B16" w14:textId="77777777" w:rsidR="005B201B" w:rsidRPr="0040247D" w:rsidRDefault="005B201B" w:rsidP="00552D3C">
            <w:pPr>
              <w:pStyle w:val="KMC16-TableHeading"/>
              <w:rPr>
                <w:color w:val="auto"/>
              </w:rPr>
            </w:pPr>
            <w:r w:rsidRPr="0040247D">
              <w:rPr>
                <w:color w:val="auto"/>
              </w:rPr>
              <w:t>Publication citation</w:t>
            </w:r>
          </w:p>
        </w:tc>
      </w:tr>
      <w:tr w:rsidR="00067771" w:rsidRPr="0040247D" w14:paraId="267B8F9E" w14:textId="77777777" w:rsidTr="00CA1457">
        <w:tc>
          <w:tcPr>
            <w:tcW w:w="9079" w:type="dxa"/>
            <w:gridSpan w:val="4"/>
            <w:shd w:val="clear" w:color="auto" w:fill="auto"/>
          </w:tcPr>
          <w:p w14:paraId="1B83B320" w14:textId="77777777" w:rsidR="005B201B" w:rsidRPr="0040247D" w:rsidRDefault="005B201B" w:rsidP="00552D3C">
            <w:pPr>
              <w:pStyle w:val="KMC16-Tablecontent"/>
              <w:rPr>
                <w:color w:val="auto"/>
                <w:lang w:val="en-AU"/>
              </w:rPr>
            </w:pPr>
            <w:proofErr w:type="spellStart"/>
            <w:r w:rsidRPr="0040247D">
              <w:rPr>
                <w:b/>
                <w:color w:val="auto"/>
                <w:lang w:val="en-AU"/>
              </w:rPr>
              <w:t>Eligard</w:t>
            </w:r>
            <w:proofErr w:type="spellEnd"/>
            <w:r w:rsidRPr="0040247D">
              <w:rPr>
                <w:b/>
                <w:color w:val="auto"/>
                <w:lang w:val="en-AU"/>
              </w:rPr>
              <w:t xml:space="preserve"> </w:t>
            </w:r>
            <w:proofErr w:type="gramStart"/>
            <w:r w:rsidRPr="0040247D">
              <w:rPr>
                <w:b/>
                <w:color w:val="auto"/>
                <w:lang w:val="en-AU"/>
              </w:rPr>
              <w:t>6 month</w:t>
            </w:r>
            <w:proofErr w:type="gramEnd"/>
            <w:r w:rsidRPr="0040247D">
              <w:rPr>
                <w:b/>
                <w:color w:val="auto"/>
                <w:lang w:val="en-AU"/>
              </w:rPr>
              <w:t xml:space="preserve"> study</w:t>
            </w:r>
          </w:p>
        </w:tc>
      </w:tr>
      <w:tr w:rsidR="00067771" w:rsidRPr="0040247D" w14:paraId="482C17CA" w14:textId="77777777" w:rsidTr="00CA1457">
        <w:trPr>
          <w:gridAfter w:val="1"/>
          <w:wAfter w:w="7" w:type="dxa"/>
        </w:trPr>
        <w:tc>
          <w:tcPr>
            <w:tcW w:w="1036" w:type="dxa"/>
            <w:vMerge w:val="restart"/>
            <w:shd w:val="clear" w:color="auto" w:fill="auto"/>
          </w:tcPr>
          <w:p w14:paraId="6D4174B1" w14:textId="77777777" w:rsidR="005B201B" w:rsidRPr="0040247D" w:rsidRDefault="005B201B" w:rsidP="00552D3C">
            <w:pPr>
              <w:pStyle w:val="KMC16-Tablecontent"/>
              <w:rPr>
                <w:b/>
                <w:color w:val="auto"/>
                <w:lang w:val="en-AU"/>
              </w:rPr>
            </w:pPr>
            <w:r w:rsidRPr="0040247D">
              <w:rPr>
                <w:b/>
                <w:color w:val="auto"/>
                <w:lang w:val="en-AU"/>
              </w:rPr>
              <w:lastRenderedPageBreak/>
              <w:t>TOL2581A</w:t>
            </w:r>
          </w:p>
        </w:tc>
        <w:tc>
          <w:tcPr>
            <w:tcW w:w="6189" w:type="dxa"/>
            <w:shd w:val="clear" w:color="auto" w:fill="auto"/>
          </w:tcPr>
          <w:p w14:paraId="03269168" w14:textId="77777777" w:rsidR="005B201B" w:rsidRPr="0040247D" w:rsidRDefault="005B201B" w:rsidP="00552D3C">
            <w:pPr>
              <w:pStyle w:val="KMC16-Tablecontent"/>
              <w:rPr>
                <w:color w:val="auto"/>
                <w:lang w:val="en-AU"/>
              </w:rPr>
            </w:pPr>
            <w:proofErr w:type="spellStart"/>
            <w:r w:rsidRPr="0040247D">
              <w:rPr>
                <w:color w:val="auto"/>
                <w:lang w:val="en-AU"/>
              </w:rPr>
              <w:t>Tolmar</w:t>
            </w:r>
            <w:proofErr w:type="spellEnd"/>
            <w:r w:rsidRPr="0040247D">
              <w:rPr>
                <w:color w:val="auto"/>
                <w:lang w:val="en-AU"/>
              </w:rPr>
              <w:t xml:space="preserve"> Inc. An Open-label, Single Arm, </w:t>
            </w:r>
            <w:proofErr w:type="spellStart"/>
            <w:r w:rsidRPr="0040247D">
              <w:rPr>
                <w:color w:val="auto"/>
                <w:lang w:val="en-AU"/>
              </w:rPr>
              <w:t>Multicenter</w:t>
            </w:r>
            <w:proofErr w:type="spellEnd"/>
            <w:r w:rsidRPr="0040247D">
              <w:rPr>
                <w:color w:val="auto"/>
                <w:lang w:val="en-AU"/>
              </w:rPr>
              <w:t xml:space="preserve"> Study on the Efficacy, Safety, and Pharmacokinetics of Leuprolide Acetate for Injectable Suspension Controlled Release in Subjects with Central (Gonadotropin-Dependent) Precocious Puberty. 12 March 2021. </w:t>
            </w:r>
            <w:r w:rsidRPr="0040247D">
              <w:rPr>
                <w:color w:val="auto"/>
                <w:lang w:val="en-AU"/>
              </w:rPr>
              <w:fldChar w:fldCharType="begin"/>
            </w:r>
            <w:r w:rsidRPr="0040247D">
              <w:rPr>
                <w:color w:val="auto"/>
                <w:lang w:val="en-AU"/>
              </w:rPr>
              <w:instrText xml:space="preserve"> ADDIN EN.CITE &lt;EndNote&gt;&lt;Cite&gt;&lt;Author&gt;Tolmar Inc&lt;/Author&gt;&lt;Year&gt;2021&lt;/Year&gt;&lt;RecNum&gt;1&lt;/RecNum&gt;&lt;DisplayText&gt;(Tolmar Inc 2021)&lt;/DisplayText&gt;&lt;record&gt;&lt;rec-number&gt;1&lt;/rec-number&gt;&lt;foreign-keys&gt;&lt;key app="EN" db-id="zxwzx05tovzr2yew22qxefe3pt9trawdzetz" timestamp="1637641068"&gt;1&lt;/key&gt;&lt;/foreign-keys&gt;&lt;ref-type name="Journal Article"&gt;17&lt;/ref-type&gt;&lt;contributors&gt;&lt;authors&gt;&lt;author&gt;Tolmar Inc,&lt;/author&gt;&lt;/authors&gt;&lt;/contributors&gt;&lt;titles&gt;&lt;title&gt;Clinical Study Report. An Open-label, Single Arm, Multicenter Study on the Efficacy, Safety, and Pharmacokinetics of Leuprolide Acetate for Injectable Suspension Controlled Release in Subjects with Central (Gonadotropin-Dependent) Precocious Puberty. 12 March 2021&lt;/title&gt;&lt;/titles&gt;&lt;dates&gt;&lt;year&gt;2021&lt;/year&gt;&lt;/dates&gt;&lt;urls&gt;&lt;/urls&gt;&lt;/record&gt;&lt;/Cite&gt;&lt;/EndNote&gt;</w:instrText>
            </w:r>
            <w:r w:rsidRPr="0040247D">
              <w:rPr>
                <w:color w:val="auto"/>
                <w:lang w:val="en-AU"/>
              </w:rPr>
              <w:fldChar w:fldCharType="end"/>
            </w:r>
            <w:r w:rsidRPr="0040247D">
              <w:rPr>
                <w:color w:val="auto"/>
                <w:lang w:val="en-AU"/>
              </w:rPr>
              <w:t>(</w:t>
            </w:r>
            <w:proofErr w:type="spellStart"/>
            <w:r w:rsidR="007D7C36">
              <w:fldChar w:fldCharType="begin"/>
            </w:r>
            <w:r w:rsidR="007D7C36">
              <w:instrText xml:space="preserve"> HYPERLINK \l "_ENREF_34" \o "Tolmar Inc, 2021 #1" </w:instrText>
            </w:r>
            <w:r w:rsidR="007D7C36">
              <w:fldChar w:fldCharType="separate"/>
            </w:r>
            <w:r w:rsidRPr="0040247D">
              <w:rPr>
                <w:color w:val="auto"/>
                <w:lang w:val="en-AU"/>
              </w:rPr>
              <w:t>Tolmar</w:t>
            </w:r>
            <w:proofErr w:type="spellEnd"/>
            <w:r w:rsidRPr="0040247D">
              <w:rPr>
                <w:color w:val="auto"/>
                <w:lang w:val="en-AU"/>
              </w:rPr>
              <w:t xml:space="preserve"> Inc 2021</w:t>
            </w:r>
            <w:r w:rsidR="007D7C36">
              <w:rPr>
                <w:color w:val="auto"/>
                <w:lang w:val="en-AU"/>
              </w:rPr>
              <w:fldChar w:fldCharType="end"/>
            </w:r>
            <w:r w:rsidRPr="0040247D">
              <w:rPr>
                <w:color w:val="auto"/>
                <w:lang w:val="en-AU"/>
              </w:rPr>
              <w:t>)</w:t>
            </w:r>
          </w:p>
        </w:tc>
        <w:tc>
          <w:tcPr>
            <w:tcW w:w="1847" w:type="dxa"/>
            <w:shd w:val="clear" w:color="auto" w:fill="auto"/>
          </w:tcPr>
          <w:p w14:paraId="79A4F3DB" w14:textId="77777777" w:rsidR="005B201B" w:rsidRPr="0040247D" w:rsidRDefault="005B201B" w:rsidP="00552D3C">
            <w:pPr>
              <w:pStyle w:val="KMC16-Tablecontent"/>
              <w:rPr>
                <w:color w:val="auto"/>
                <w:lang w:val="en-AU"/>
              </w:rPr>
            </w:pPr>
            <w:r w:rsidRPr="0040247D">
              <w:rPr>
                <w:color w:val="auto"/>
                <w:lang w:val="en-AU"/>
              </w:rPr>
              <w:t>CSR – key data source</w:t>
            </w:r>
          </w:p>
        </w:tc>
      </w:tr>
      <w:tr w:rsidR="00067771" w:rsidRPr="0040247D" w14:paraId="3439CD66" w14:textId="77777777" w:rsidTr="00CA1457">
        <w:trPr>
          <w:gridAfter w:val="1"/>
          <w:wAfter w:w="7" w:type="dxa"/>
        </w:trPr>
        <w:tc>
          <w:tcPr>
            <w:tcW w:w="1036" w:type="dxa"/>
            <w:vMerge/>
            <w:shd w:val="clear" w:color="auto" w:fill="auto"/>
          </w:tcPr>
          <w:p w14:paraId="5E997B45" w14:textId="77777777" w:rsidR="005B201B" w:rsidRPr="0040247D" w:rsidRDefault="005B201B" w:rsidP="00552D3C">
            <w:pPr>
              <w:pStyle w:val="KMC16-Tablecontent"/>
              <w:rPr>
                <w:b/>
                <w:color w:val="auto"/>
                <w:lang w:val="en-AU"/>
              </w:rPr>
            </w:pPr>
          </w:p>
        </w:tc>
        <w:tc>
          <w:tcPr>
            <w:tcW w:w="6189" w:type="dxa"/>
            <w:shd w:val="clear" w:color="auto" w:fill="auto"/>
          </w:tcPr>
          <w:p w14:paraId="411AEC92" w14:textId="77777777" w:rsidR="005B201B" w:rsidRPr="0040247D" w:rsidRDefault="005B201B" w:rsidP="00552D3C">
            <w:pPr>
              <w:autoSpaceDE w:val="0"/>
              <w:autoSpaceDN w:val="0"/>
              <w:adjustRightInd w:val="0"/>
              <w:rPr>
                <w:rFonts w:ascii="Arial Narrow" w:hAnsi="Arial Narrow"/>
                <w:sz w:val="20"/>
              </w:rPr>
            </w:pPr>
            <w:proofErr w:type="spellStart"/>
            <w:r w:rsidRPr="0040247D">
              <w:rPr>
                <w:rFonts w:ascii="Arial Narrow" w:hAnsi="Arial Narrow"/>
                <w:sz w:val="20"/>
              </w:rPr>
              <w:t>Tolmar</w:t>
            </w:r>
            <w:proofErr w:type="spellEnd"/>
            <w:r w:rsidRPr="0040247D">
              <w:rPr>
                <w:rFonts w:ascii="Arial Narrow" w:hAnsi="Arial Narrow"/>
                <w:sz w:val="20"/>
              </w:rPr>
              <w:t xml:space="preserve"> Inc (2018). TOL2581A: Appendix 16.1.9 Documentation of Statistical Methods, </w:t>
            </w:r>
            <w:proofErr w:type="spellStart"/>
            <w:r w:rsidRPr="0040247D">
              <w:rPr>
                <w:rFonts w:ascii="Arial Narrow" w:hAnsi="Arial Narrow"/>
                <w:sz w:val="20"/>
              </w:rPr>
              <w:t>Tolmar</w:t>
            </w:r>
            <w:proofErr w:type="spellEnd"/>
            <w:r w:rsidRPr="0040247D">
              <w:rPr>
                <w:rFonts w:ascii="Arial Narrow" w:hAnsi="Arial Narrow"/>
                <w:sz w:val="20"/>
              </w:rPr>
              <w:t xml:space="preserve"> </w:t>
            </w:r>
            <w:proofErr w:type="gramStart"/>
            <w:r w:rsidRPr="0040247D">
              <w:rPr>
                <w:rFonts w:ascii="Arial Narrow" w:hAnsi="Arial Narrow"/>
                <w:sz w:val="20"/>
              </w:rPr>
              <w:t>Inc,.</w:t>
            </w:r>
            <w:proofErr w:type="gramEnd"/>
          </w:p>
          <w:p w14:paraId="40F26319" w14:textId="77777777" w:rsidR="005B201B" w:rsidRPr="0040247D" w:rsidRDefault="005B201B" w:rsidP="00552D3C">
            <w:pPr>
              <w:pStyle w:val="KMC16-Tablecontent"/>
              <w:rPr>
                <w:color w:val="auto"/>
                <w:lang w:val="en-AU"/>
              </w:rPr>
            </w:pPr>
            <w:r w:rsidRPr="0040247D">
              <w:rPr>
                <w:color w:val="auto"/>
                <w:lang w:val="en-AU"/>
              </w:rPr>
              <w:fldChar w:fldCharType="begin"/>
            </w:r>
            <w:r w:rsidRPr="0040247D">
              <w:rPr>
                <w:color w:val="auto"/>
                <w:lang w:val="en-AU"/>
              </w:rPr>
              <w:instrText xml:space="preserve"> ADDIN EN.CITE &lt;EndNote&gt;&lt;Cite&gt;&lt;Author&gt;Tolmar Inc&lt;/Author&gt;&lt;Year&gt;2018&lt;/Year&gt;&lt;RecNum&gt;74&lt;/RecNum&gt;&lt;DisplayText&gt;(Tolmar Inc 2018)&lt;/DisplayText&gt;&lt;record&gt;&lt;rec-number&gt;74&lt;/rec-number&gt;&lt;foreign-keys&gt;&lt;key app="EN" db-id="9zsxx0f929dx23eaeevxzv53dv5wdsv9059a" timestamp="1644465806"&gt;74&lt;/key&gt;&lt;/foreign-keys&gt;&lt;ref-type name="Report"&gt;27&lt;/ref-type&gt;&lt;contributors&gt;&lt;authors&gt;&lt;author&gt;Tolmar Inc,&lt;/author&gt;&lt;/authors&gt;&lt;/contributors&gt;&lt;titles&gt;&lt;title&gt;TOL2581A: Appendix 16.1.9 Documentation of Statistical Methods&lt;/title&gt;&lt;/titles&gt;&lt;dates&gt;&lt;year&gt;2018&lt;/year&gt;&lt;/dates&gt;&lt;publisher&gt;Tolmar Inc,&lt;/publisher&gt;&lt;urls&gt;&lt;/urls&gt;&lt;/record&gt;&lt;/Cite&gt;&lt;/EndNote&gt;</w:instrText>
            </w:r>
            <w:r w:rsidRPr="0040247D">
              <w:rPr>
                <w:color w:val="auto"/>
                <w:lang w:val="en-AU"/>
              </w:rPr>
              <w:fldChar w:fldCharType="separate"/>
            </w:r>
            <w:r w:rsidRPr="0040247D">
              <w:rPr>
                <w:color w:val="auto"/>
                <w:lang w:val="en-AU"/>
              </w:rPr>
              <w:t>(</w:t>
            </w:r>
            <w:hyperlink w:anchor="_ENREF_32" w:tooltip="Tolmar Inc, 2018 #74" w:history="1">
              <w:r w:rsidRPr="0040247D">
                <w:rPr>
                  <w:color w:val="auto"/>
                  <w:lang w:val="en-AU"/>
                </w:rPr>
                <w:t>Tolmar Inc 2018</w:t>
              </w:r>
            </w:hyperlink>
            <w:r w:rsidRPr="0040247D">
              <w:rPr>
                <w:color w:val="auto"/>
                <w:lang w:val="en-AU"/>
              </w:rPr>
              <w:t>)</w:t>
            </w:r>
            <w:r w:rsidRPr="0040247D">
              <w:rPr>
                <w:color w:val="auto"/>
                <w:lang w:val="en-AU"/>
              </w:rPr>
              <w:fldChar w:fldCharType="end"/>
            </w:r>
          </w:p>
        </w:tc>
        <w:tc>
          <w:tcPr>
            <w:tcW w:w="1847" w:type="dxa"/>
            <w:shd w:val="clear" w:color="auto" w:fill="auto"/>
          </w:tcPr>
          <w:p w14:paraId="2DD0898E" w14:textId="77777777" w:rsidR="005B201B" w:rsidRPr="0040247D" w:rsidRDefault="005B201B" w:rsidP="00552D3C">
            <w:pPr>
              <w:pStyle w:val="KMC16-Tablecontent"/>
              <w:rPr>
                <w:color w:val="auto"/>
                <w:lang w:val="en-AU"/>
              </w:rPr>
            </w:pPr>
            <w:r w:rsidRPr="0040247D">
              <w:rPr>
                <w:color w:val="auto"/>
                <w:lang w:val="en-AU"/>
              </w:rPr>
              <w:t>CSR Statistical Analysis Plan – key data source</w:t>
            </w:r>
          </w:p>
        </w:tc>
      </w:tr>
      <w:tr w:rsidR="00067771" w:rsidRPr="0040247D" w14:paraId="25964B72" w14:textId="77777777" w:rsidTr="00CA1457">
        <w:trPr>
          <w:gridAfter w:val="1"/>
          <w:wAfter w:w="7" w:type="dxa"/>
        </w:trPr>
        <w:tc>
          <w:tcPr>
            <w:tcW w:w="1036" w:type="dxa"/>
            <w:vMerge/>
            <w:shd w:val="clear" w:color="auto" w:fill="auto"/>
          </w:tcPr>
          <w:p w14:paraId="2889A077" w14:textId="77777777" w:rsidR="005B201B" w:rsidRPr="0040247D" w:rsidRDefault="005B201B" w:rsidP="00552D3C">
            <w:pPr>
              <w:pStyle w:val="KMC16-Tablecontent"/>
              <w:rPr>
                <w:b/>
                <w:color w:val="auto"/>
                <w:lang w:val="en-AU"/>
              </w:rPr>
            </w:pPr>
          </w:p>
        </w:tc>
        <w:tc>
          <w:tcPr>
            <w:tcW w:w="6189" w:type="dxa"/>
            <w:shd w:val="clear" w:color="auto" w:fill="auto"/>
          </w:tcPr>
          <w:p w14:paraId="42DDC9F9" w14:textId="77777777" w:rsidR="005B201B" w:rsidRPr="0040247D" w:rsidRDefault="005B201B" w:rsidP="00552D3C">
            <w:pPr>
              <w:pStyle w:val="KMC16-Tablecontent"/>
              <w:rPr>
                <w:color w:val="auto"/>
                <w:lang w:val="en-AU"/>
              </w:rPr>
            </w:pPr>
            <w:r w:rsidRPr="0040247D">
              <w:rPr>
                <w:color w:val="auto"/>
                <w:lang w:val="en-AU"/>
              </w:rPr>
              <w:t xml:space="preserve">Klein, KO, Freire, A, et al. (2020). "Phase 3 Trial of a Small-volume Subcutaneous 6-Month Duration Leuprolide Acetate Treatment for Central Precocious Puberty." The Journal of clinical endocrinology and metabolism 105(10). </w:t>
            </w:r>
            <w:r w:rsidRPr="0040247D">
              <w:rPr>
                <w:color w:val="auto"/>
                <w:lang w:val="en-AU"/>
              </w:rPr>
              <w:fldChar w:fldCharType="begin">
                <w:fldData xml:space="preserve">PEVuZE5vdGU+PENpdGU+PEF1dGhvcj5LbGVpbjwvQXV0aG9yPjxZZWFyPjIwMjA8L1llYXI+PFJl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=
</w:fldData>
              </w:fldChar>
            </w:r>
            <w:r w:rsidRPr="0040247D">
              <w:rPr>
                <w:color w:val="auto"/>
                <w:lang w:val="en-AU"/>
              </w:rPr>
              <w:instrText xml:space="preserve"> ADDIN EN.CITE </w:instrText>
            </w:r>
            <w:r w:rsidRPr="0040247D">
              <w:rPr>
                <w:color w:val="auto"/>
                <w:lang w:val="en-AU"/>
              </w:rPr>
              <w:fldChar w:fldCharType="begin">
                <w:fldData xml:space="preserve">PEVuZE5vdGU+PENpdGU+PEF1dGhvcj5LbGVpbjwvQXV0aG9yPjxZZWFyPjIwMjA8L1llYXI+PFJl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=
</w:fldData>
              </w:fldChar>
            </w:r>
            <w:r w:rsidRPr="0040247D">
              <w:rPr>
                <w:color w:val="auto"/>
                <w:lang w:val="en-AU"/>
              </w:rPr>
              <w:instrText xml:space="preserve"> ADDIN EN.CITE.DATA </w:instrText>
            </w:r>
            <w:r w:rsidRPr="0040247D">
              <w:rPr>
                <w:color w:val="auto"/>
                <w:lang w:val="en-AU"/>
              </w:rPr>
            </w:r>
            <w:r w:rsidRPr="0040247D">
              <w:rPr>
                <w:color w:val="auto"/>
                <w:lang w:val="en-AU"/>
              </w:rPr>
              <w:fldChar w:fldCharType="end"/>
            </w:r>
            <w:r w:rsidRPr="0040247D">
              <w:rPr>
                <w:color w:val="auto"/>
                <w:lang w:val="en-AU"/>
              </w:rPr>
            </w:r>
            <w:r w:rsidRPr="0040247D">
              <w:rPr>
                <w:color w:val="auto"/>
                <w:lang w:val="en-AU"/>
              </w:rPr>
              <w:fldChar w:fldCharType="separate"/>
            </w:r>
            <w:r w:rsidRPr="0040247D">
              <w:rPr>
                <w:color w:val="auto"/>
                <w:lang w:val="en-AU"/>
              </w:rPr>
              <w:t>(</w:t>
            </w:r>
            <w:hyperlink w:anchor="_ENREF_19" w:tooltip="Klein, 2020 #3" w:history="1">
              <w:r w:rsidRPr="0040247D">
                <w:rPr>
                  <w:color w:val="auto"/>
                  <w:lang w:val="en-AU"/>
                </w:rPr>
                <w:t>Klein, Freire et al. 2020</w:t>
              </w:r>
            </w:hyperlink>
            <w:r w:rsidRPr="0040247D">
              <w:rPr>
                <w:color w:val="auto"/>
                <w:lang w:val="en-AU"/>
              </w:rPr>
              <w:t>)</w:t>
            </w:r>
            <w:r w:rsidRPr="0040247D">
              <w:rPr>
                <w:color w:val="auto"/>
                <w:lang w:val="en-AU"/>
              </w:rPr>
              <w:fldChar w:fldCharType="end"/>
            </w:r>
          </w:p>
        </w:tc>
        <w:tc>
          <w:tcPr>
            <w:tcW w:w="1847" w:type="dxa"/>
            <w:shd w:val="clear" w:color="auto" w:fill="auto"/>
          </w:tcPr>
          <w:p w14:paraId="519A4001" w14:textId="77777777" w:rsidR="005B201B" w:rsidRPr="0040247D" w:rsidRDefault="005B201B" w:rsidP="00552D3C">
            <w:pPr>
              <w:pStyle w:val="KMC16-Tablecontent"/>
              <w:rPr>
                <w:color w:val="auto"/>
                <w:lang w:val="en-AU"/>
              </w:rPr>
            </w:pPr>
            <w:r w:rsidRPr="0040247D">
              <w:rPr>
                <w:color w:val="auto"/>
                <w:lang w:val="en-AU"/>
              </w:rPr>
              <w:t>Key full study publication</w:t>
            </w:r>
          </w:p>
        </w:tc>
      </w:tr>
      <w:tr w:rsidR="00067771" w:rsidRPr="0040247D" w14:paraId="2691D681" w14:textId="77777777" w:rsidTr="00CA1457">
        <w:trPr>
          <w:gridAfter w:val="1"/>
          <w:wAfter w:w="7" w:type="dxa"/>
        </w:trPr>
        <w:tc>
          <w:tcPr>
            <w:tcW w:w="1036" w:type="dxa"/>
            <w:vMerge/>
            <w:shd w:val="clear" w:color="auto" w:fill="auto"/>
          </w:tcPr>
          <w:p w14:paraId="11D9092B" w14:textId="77777777" w:rsidR="005B201B" w:rsidRPr="0040247D" w:rsidRDefault="005B201B" w:rsidP="00552D3C">
            <w:pPr>
              <w:pStyle w:val="KMC16-Tablecontent"/>
              <w:rPr>
                <w:b/>
                <w:color w:val="auto"/>
                <w:lang w:val="en-AU"/>
              </w:rPr>
            </w:pPr>
          </w:p>
        </w:tc>
        <w:tc>
          <w:tcPr>
            <w:tcW w:w="6189" w:type="dxa"/>
            <w:shd w:val="clear" w:color="auto" w:fill="auto"/>
          </w:tcPr>
          <w:p w14:paraId="4E41654D" w14:textId="77777777" w:rsidR="005B201B" w:rsidRPr="0040247D" w:rsidRDefault="005B201B" w:rsidP="00552D3C">
            <w:pPr>
              <w:pStyle w:val="KMC16-Tablecontent"/>
              <w:rPr>
                <w:color w:val="auto"/>
                <w:lang w:val="en-AU"/>
              </w:rPr>
            </w:pPr>
            <w:r w:rsidRPr="0040247D">
              <w:rPr>
                <w:color w:val="auto"/>
                <w:lang w:val="en-AU"/>
              </w:rPr>
              <w:t xml:space="preserve">Klein, KO, </w:t>
            </w:r>
            <w:proofErr w:type="spellStart"/>
            <w:r w:rsidRPr="0040247D">
              <w:rPr>
                <w:color w:val="auto"/>
                <w:lang w:val="en-AU"/>
              </w:rPr>
              <w:t>Dragnic</w:t>
            </w:r>
            <w:proofErr w:type="spellEnd"/>
            <w:r w:rsidRPr="0040247D">
              <w:rPr>
                <w:color w:val="auto"/>
                <w:lang w:val="en-AU"/>
              </w:rPr>
              <w:t xml:space="preserve">, S, et al. (2018). "Predictors of bone maturation, growth rate and adult height in children with central precocious puberty treated with depot leuprolide acetate." Journal of </w:t>
            </w:r>
            <w:proofErr w:type="spellStart"/>
            <w:r w:rsidRPr="0040247D">
              <w:rPr>
                <w:color w:val="auto"/>
                <w:lang w:val="en-AU"/>
              </w:rPr>
              <w:t>pediatric</w:t>
            </w:r>
            <w:proofErr w:type="spellEnd"/>
            <w:r w:rsidRPr="0040247D">
              <w:rPr>
                <w:color w:val="auto"/>
                <w:lang w:val="en-AU"/>
              </w:rPr>
              <w:t xml:space="preserve"> endocrinology &amp; metabolism: JPEM 31(6): 655-663. </w:t>
            </w:r>
            <w:r w:rsidRPr="0040247D">
              <w:rPr>
                <w:color w:val="auto"/>
                <w:lang w:val="en-AU"/>
              </w:rPr>
              <w:fldChar w:fldCharType="begin">
                <w:fldData xml:space="preserve">PEVuZE5vdGU+PENpdGU+PEF1dGhvcj5LbGVpbjwvQXV0aG9yPjxZZWFyPjIwMTg8L1llYXI+PFJl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</w:fldData>
              </w:fldChar>
            </w:r>
            <w:r w:rsidRPr="0040247D">
              <w:rPr>
                <w:color w:val="auto"/>
                <w:lang w:val="en-AU"/>
              </w:rPr>
              <w:instrText xml:space="preserve"> ADDIN EN.CITE </w:instrText>
            </w:r>
            <w:r w:rsidRPr="0040247D">
              <w:rPr>
                <w:color w:val="auto"/>
                <w:lang w:val="en-AU"/>
              </w:rPr>
              <w:fldChar w:fldCharType="begin">
                <w:fldData xml:space="preserve">PEVuZE5vdGU+PENpdGU+PEF1dGhvcj5LbGVpbjwvQXV0aG9yPjxZZWFyPjIwMTg8L1llYXI+PFJl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</w:fldData>
              </w:fldChar>
            </w:r>
            <w:r w:rsidRPr="0040247D">
              <w:rPr>
                <w:color w:val="auto"/>
                <w:lang w:val="en-AU"/>
              </w:rPr>
              <w:instrText xml:space="preserve"> ADDIN EN.CITE.DATA </w:instrText>
            </w:r>
            <w:r w:rsidRPr="0040247D">
              <w:rPr>
                <w:color w:val="auto"/>
                <w:lang w:val="en-AU"/>
              </w:rPr>
            </w:r>
            <w:r w:rsidRPr="0040247D">
              <w:rPr>
                <w:color w:val="auto"/>
                <w:lang w:val="en-AU"/>
              </w:rPr>
              <w:fldChar w:fldCharType="end"/>
            </w:r>
            <w:r w:rsidRPr="0040247D">
              <w:rPr>
                <w:color w:val="auto"/>
                <w:lang w:val="en-AU"/>
              </w:rPr>
            </w:r>
            <w:r w:rsidRPr="0040247D">
              <w:rPr>
                <w:color w:val="auto"/>
                <w:lang w:val="en-AU"/>
              </w:rPr>
              <w:fldChar w:fldCharType="separate"/>
            </w:r>
            <w:r w:rsidRPr="0040247D">
              <w:rPr>
                <w:color w:val="auto"/>
                <w:lang w:val="en-AU"/>
              </w:rPr>
              <w:t>(</w:t>
            </w:r>
            <w:hyperlink w:anchor="_ENREF_21" w:tooltip="Klein, 2018 #5" w:history="1">
              <w:r w:rsidRPr="0040247D">
                <w:rPr>
                  <w:color w:val="auto"/>
                  <w:lang w:val="en-AU"/>
                </w:rPr>
                <w:t>Klein, Dragnic et al. 2018</w:t>
              </w:r>
            </w:hyperlink>
            <w:r w:rsidRPr="0040247D">
              <w:rPr>
                <w:color w:val="auto"/>
                <w:lang w:val="en-AU"/>
              </w:rPr>
              <w:t>)</w:t>
            </w:r>
            <w:r w:rsidRPr="0040247D">
              <w:rPr>
                <w:color w:val="auto"/>
                <w:lang w:val="en-AU"/>
              </w:rPr>
              <w:fldChar w:fldCharType="end"/>
            </w:r>
          </w:p>
        </w:tc>
        <w:tc>
          <w:tcPr>
            <w:tcW w:w="1847" w:type="dxa"/>
            <w:shd w:val="clear" w:color="auto" w:fill="auto"/>
          </w:tcPr>
          <w:p w14:paraId="3DD81B08" w14:textId="77777777" w:rsidR="005B201B" w:rsidRPr="0040247D" w:rsidRDefault="005B201B" w:rsidP="00552D3C">
            <w:pPr>
              <w:pStyle w:val="KMC16-Tablecontent"/>
              <w:rPr>
                <w:color w:val="auto"/>
                <w:lang w:val="en-AU"/>
              </w:rPr>
            </w:pPr>
            <w:r w:rsidRPr="0040247D">
              <w:rPr>
                <w:color w:val="auto"/>
                <w:lang w:val="en-AU"/>
              </w:rPr>
              <w:t>Additional publication. Post hoc analyses.</w:t>
            </w:r>
          </w:p>
        </w:tc>
      </w:tr>
      <w:tr w:rsidR="00067771" w:rsidRPr="0040247D" w14:paraId="3C37AACD" w14:textId="77777777" w:rsidTr="00CA1457">
        <w:trPr>
          <w:gridAfter w:val="1"/>
          <w:wAfter w:w="7" w:type="dxa"/>
        </w:trPr>
        <w:tc>
          <w:tcPr>
            <w:tcW w:w="1036" w:type="dxa"/>
            <w:vMerge/>
            <w:shd w:val="clear" w:color="auto" w:fill="auto"/>
          </w:tcPr>
          <w:p w14:paraId="43DEC91D" w14:textId="77777777" w:rsidR="005B201B" w:rsidRPr="0040247D" w:rsidRDefault="005B201B" w:rsidP="00552D3C">
            <w:pPr>
              <w:pStyle w:val="KMC16-Tablecontent"/>
              <w:rPr>
                <w:b/>
                <w:color w:val="auto"/>
                <w:lang w:val="en-AU"/>
              </w:rPr>
            </w:pPr>
          </w:p>
        </w:tc>
        <w:tc>
          <w:tcPr>
            <w:tcW w:w="6189" w:type="dxa"/>
            <w:shd w:val="clear" w:color="auto" w:fill="auto"/>
          </w:tcPr>
          <w:p w14:paraId="54D6247E" w14:textId="3DDAFCCD" w:rsidR="005B201B" w:rsidRPr="0040247D" w:rsidRDefault="005B201B" w:rsidP="00552D3C">
            <w:pPr>
              <w:pStyle w:val="KMC16-Tablecontent"/>
              <w:rPr>
                <w:color w:val="auto"/>
                <w:lang w:val="en-AU"/>
              </w:rPr>
            </w:pPr>
            <w:r w:rsidRPr="0040247D">
              <w:rPr>
                <w:color w:val="auto"/>
                <w:lang w:val="en-AU"/>
              </w:rPr>
              <w:t xml:space="preserve">NCT02452931. </w:t>
            </w:r>
            <w:r w:rsidR="00427208" w:rsidRPr="0040247D">
              <w:rPr>
                <w:color w:val="auto"/>
                <w:lang w:val="en-AU"/>
              </w:rPr>
              <w:t>“</w:t>
            </w:r>
            <w:r w:rsidRPr="0040247D">
              <w:rPr>
                <w:color w:val="auto"/>
                <w:lang w:val="en-AU"/>
              </w:rPr>
              <w:t xml:space="preserve">Study of Leuprolide Acetate Injectable Suspension in the Treatment of Central Precocious Puberty." </w:t>
            </w:r>
            <w:proofErr w:type="spellStart"/>
            <w:r w:rsidRPr="0040247D">
              <w:rPr>
                <w:color w:val="auto"/>
                <w:lang w:val="en-AU"/>
              </w:rPr>
              <w:t>ClinTrials</w:t>
            </w:r>
            <w:proofErr w:type="spellEnd"/>
            <w:r w:rsidRPr="0040247D">
              <w:rPr>
                <w:color w:val="auto"/>
                <w:lang w:val="en-AU"/>
              </w:rPr>
              <w:t xml:space="preserve"> listing. </w:t>
            </w:r>
            <w:r w:rsidRPr="0040247D">
              <w:rPr>
                <w:color w:val="auto"/>
                <w:lang w:val="en-AU"/>
              </w:rPr>
              <w:fldChar w:fldCharType="begin"/>
            </w:r>
            <w:r w:rsidRPr="0040247D">
              <w:rPr>
                <w:color w:val="auto"/>
                <w:lang w:val="en-AU"/>
              </w:rPr>
              <w:instrText xml:space="preserve"> ADDIN EN.CITE &lt;EndNote&gt;&lt;Cite&gt;&lt;Author&gt;Tolmar Inc&lt;/Author&gt;&lt;Year&gt;2020&lt;/Year&gt;&lt;RecNum&gt;25&lt;/RecNum&gt;&lt;DisplayText&gt;(Tolmar Inc 2020)&lt;/DisplayText&gt;&lt;record&gt;&lt;rec-number&gt;25&lt;/rec-number&gt;&lt;foreign-keys&gt;&lt;key app="EN" db-id="9zsxx0f929dx23eaeevxzv53dv5wdsv9059a" timestamp="1644374268"&gt;25&lt;/key&gt;&lt;/foreign-keys&gt;&lt;ref-type name="Journal Article"&gt;17&lt;/ref-type&gt;&lt;contributors&gt;&lt;authors&gt;&lt;author&gt;Tolmar Inc,&lt;/author&gt;&lt;/authors&gt;&lt;/contributors&gt;&lt;titles&gt;&lt;title&gt;NCT02452931. Study of Leuprolide Acetate Injectable Suspension in the Treatment of Central Precocious Puberty&lt;/title&gt;&lt;secondary-title&gt;ClinTrials listing, available at: https://clinicaltrials.gov/ct2/show/NCT02452931?term=NCT02452931&amp;amp;draw=2&amp;amp;rank=1 (accessed January 2022)&lt;/secondary-title&gt;&lt;/titles&gt;&lt;periodical&gt;&lt;full-title&gt;ClinTrials listing, available at: https://clinicaltrials.gov/ct2/show/NCT02452931?term=NCT02452931&amp;amp;draw=2&amp;amp;rank=1 (accessed January 2022)&lt;/full-title&gt;&lt;/periodical&gt;&lt;dates&gt;&lt;year&gt;2020&lt;/year&gt;&lt;/dates&gt;&lt;urls&gt;&lt;/urls&gt;&lt;/record&gt;&lt;/Cite&gt;&lt;/EndNote&gt;</w:instrText>
            </w:r>
            <w:r w:rsidRPr="0040247D">
              <w:rPr>
                <w:color w:val="auto"/>
                <w:lang w:val="en-AU"/>
              </w:rPr>
              <w:fldChar w:fldCharType="end"/>
            </w:r>
            <w:r w:rsidRPr="0040247D">
              <w:rPr>
                <w:color w:val="auto"/>
                <w:lang w:val="en-AU"/>
              </w:rPr>
              <w:t>(</w:t>
            </w:r>
            <w:proofErr w:type="spellStart"/>
            <w:r w:rsidR="007D7C36">
              <w:fldChar w:fldCharType="begin"/>
            </w:r>
            <w:r w:rsidR="007D7C36">
              <w:instrText xml:space="preserve"> HYPERLINK \l "_ENREF_33" \o "Tolmar Inc, 2020 #25" </w:instrText>
            </w:r>
            <w:r w:rsidR="007D7C36">
              <w:fldChar w:fldCharType="separate"/>
            </w:r>
            <w:r w:rsidRPr="0040247D">
              <w:rPr>
                <w:color w:val="auto"/>
                <w:lang w:val="en-AU"/>
              </w:rPr>
              <w:t>Tolmar</w:t>
            </w:r>
            <w:proofErr w:type="spellEnd"/>
            <w:r w:rsidRPr="0040247D">
              <w:rPr>
                <w:color w:val="auto"/>
                <w:lang w:val="en-AU"/>
              </w:rPr>
              <w:t xml:space="preserve"> Inc 2020</w:t>
            </w:r>
            <w:r w:rsidR="007D7C36">
              <w:rPr>
                <w:color w:val="auto"/>
                <w:lang w:val="en-AU"/>
              </w:rPr>
              <w:fldChar w:fldCharType="end"/>
            </w:r>
            <w:r w:rsidRPr="0040247D">
              <w:rPr>
                <w:color w:val="auto"/>
                <w:lang w:val="en-AU"/>
              </w:rPr>
              <w:t>)</w:t>
            </w:r>
          </w:p>
        </w:tc>
        <w:tc>
          <w:tcPr>
            <w:tcW w:w="1847" w:type="dxa"/>
            <w:shd w:val="clear" w:color="auto" w:fill="auto"/>
          </w:tcPr>
          <w:p w14:paraId="3642D023" w14:textId="77777777" w:rsidR="005B201B" w:rsidRPr="0040247D" w:rsidRDefault="005B201B" w:rsidP="00552D3C">
            <w:pPr>
              <w:pStyle w:val="KMC16-Tablecontent"/>
              <w:rPr>
                <w:color w:val="auto"/>
                <w:lang w:val="en-AU"/>
              </w:rPr>
            </w:pPr>
            <w:proofErr w:type="spellStart"/>
            <w:r w:rsidRPr="0040247D">
              <w:rPr>
                <w:color w:val="auto"/>
                <w:lang w:val="en-AU"/>
              </w:rPr>
              <w:t>ClinTrials</w:t>
            </w:r>
            <w:proofErr w:type="spellEnd"/>
            <w:r w:rsidRPr="0040247D">
              <w:rPr>
                <w:color w:val="auto"/>
                <w:lang w:val="en-AU"/>
              </w:rPr>
              <w:t xml:space="preserve"> listing of TOL2581A</w:t>
            </w:r>
          </w:p>
        </w:tc>
      </w:tr>
      <w:tr w:rsidR="00067771" w:rsidRPr="0040247D" w14:paraId="292B2316" w14:textId="77777777" w:rsidTr="00CA1457">
        <w:tc>
          <w:tcPr>
            <w:tcW w:w="9079" w:type="dxa"/>
            <w:gridSpan w:val="4"/>
            <w:shd w:val="clear" w:color="auto" w:fill="auto"/>
          </w:tcPr>
          <w:p w14:paraId="3EA05D61" w14:textId="0DBB1D0C" w:rsidR="005B201B" w:rsidRPr="0040247D" w:rsidRDefault="005B201B" w:rsidP="00552D3C">
            <w:pPr>
              <w:pStyle w:val="KMC16-Tablecontent"/>
              <w:rPr>
                <w:color w:val="auto"/>
                <w:lang w:val="en-AU"/>
              </w:rPr>
            </w:pPr>
            <w:r w:rsidRPr="0040247D">
              <w:rPr>
                <w:b/>
                <w:color w:val="auto"/>
                <w:lang w:val="en-AU"/>
              </w:rPr>
              <w:t xml:space="preserve">Comparator - </w:t>
            </w:r>
            <w:proofErr w:type="spellStart"/>
            <w:r w:rsidR="006E5033" w:rsidRPr="0040247D">
              <w:rPr>
                <w:b/>
                <w:color w:val="auto"/>
                <w:lang w:val="en-AU"/>
              </w:rPr>
              <w:t>Lucrin</w:t>
            </w:r>
            <w:proofErr w:type="spellEnd"/>
            <w:r w:rsidR="006E5033" w:rsidRPr="0040247D">
              <w:rPr>
                <w:b/>
                <w:color w:val="auto"/>
                <w:lang w:val="en-AU"/>
              </w:rPr>
              <w:t xml:space="preserve"> Paediatric</w:t>
            </w:r>
            <w:r w:rsidRPr="0040247D">
              <w:rPr>
                <w:b/>
                <w:color w:val="auto"/>
                <w:lang w:val="en-AU"/>
              </w:rPr>
              <w:t xml:space="preserve"> </w:t>
            </w:r>
          </w:p>
        </w:tc>
      </w:tr>
      <w:tr w:rsidR="00067771" w:rsidRPr="0040247D" w14:paraId="6C6D429D" w14:textId="77777777" w:rsidTr="00CA1457">
        <w:trPr>
          <w:gridAfter w:val="1"/>
          <w:wAfter w:w="7" w:type="dxa"/>
        </w:trPr>
        <w:tc>
          <w:tcPr>
            <w:tcW w:w="1036" w:type="dxa"/>
            <w:vMerge w:val="restart"/>
            <w:shd w:val="clear" w:color="auto" w:fill="auto"/>
          </w:tcPr>
          <w:p w14:paraId="76EDDC74" w14:textId="77777777" w:rsidR="005B201B" w:rsidRPr="0040247D" w:rsidRDefault="005B201B" w:rsidP="00552D3C">
            <w:pPr>
              <w:pStyle w:val="KMC16-Tablecontent"/>
              <w:rPr>
                <w:b/>
                <w:color w:val="auto"/>
                <w:lang w:val="en-AU"/>
              </w:rPr>
            </w:pPr>
            <w:r w:rsidRPr="0040247D">
              <w:rPr>
                <w:b/>
                <w:color w:val="auto"/>
                <w:lang w:val="en-AU"/>
              </w:rPr>
              <w:t>Lee 2012</w:t>
            </w:r>
          </w:p>
        </w:tc>
        <w:tc>
          <w:tcPr>
            <w:tcW w:w="6189" w:type="dxa"/>
            <w:shd w:val="clear" w:color="auto" w:fill="auto"/>
          </w:tcPr>
          <w:p w14:paraId="1E2F49B3" w14:textId="77777777" w:rsidR="005B201B" w:rsidRPr="0040247D" w:rsidRDefault="005B201B" w:rsidP="00552D3C">
            <w:pPr>
              <w:pStyle w:val="KMC16-Tablecontent"/>
              <w:rPr>
                <w:color w:val="auto"/>
                <w:lang w:val="en-AU"/>
              </w:rPr>
            </w:pPr>
            <w:r w:rsidRPr="0040247D">
              <w:rPr>
                <w:color w:val="auto"/>
                <w:lang w:val="en-AU"/>
              </w:rPr>
              <w:t xml:space="preserve">Lee, PA, Klein, K, et al. (2012). "Efficacy and safety of leuprolide acetate 3-month depot 11.25 milligrams or 30 milligrams for the treatment of central precocious puberty." The Journal of clinical endocrinology and metabolism 97(5): 1572-1580. </w:t>
            </w:r>
            <w:r w:rsidRPr="0040247D">
              <w:rPr>
                <w:color w:val="auto"/>
                <w:lang w:val="en-AU"/>
              </w:rPr>
              <w:fldChar w:fldCharType="begin">
                <w:fldData xml:space="preserve">PEVuZE5vdGU+PENpdGU+PEF1dGhvcj5MZWU8L0F1dGhvcj48WWVhcj4yMDEyPC9ZZWFyPjxSZWNO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=
</w:fldData>
              </w:fldChar>
            </w:r>
            <w:r w:rsidRPr="0040247D">
              <w:rPr>
                <w:color w:val="auto"/>
                <w:lang w:val="en-AU"/>
              </w:rPr>
              <w:instrText xml:space="preserve"> ADDIN EN.CITE </w:instrText>
            </w:r>
            <w:r w:rsidRPr="0040247D">
              <w:rPr>
                <w:color w:val="auto"/>
                <w:lang w:val="en-AU"/>
              </w:rPr>
              <w:fldChar w:fldCharType="begin">
                <w:fldData xml:space="preserve">PEVuZE5vdGU+PENpdGU+PEF1dGhvcj5MZWU8L0F1dGhvcj48WWVhcj4yMDEyPC9ZZWFyPjxSZWNO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=
</w:fldData>
              </w:fldChar>
            </w:r>
            <w:r w:rsidRPr="0040247D">
              <w:rPr>
                <w:color w:val="auto"/>
                <w:lang w:val="en-AU"/>
              </w:rPr>
              <w:instrText xml:space="preserve"> ADDIN EN.CITE.DATA </w:instrText>
            </w:r>
            <w:r w:rsidRPr="0040247D">
              <w:rPr>
                <w:color w:val="auto"/>
                <w:lang w:val="en-AU"/>
              </w:rPr>
            </w:r>
            <w:r w:rsidRPr="0040247D">
              <w:rPr>
                <w:color w:val="auto"/>
                <w:lang w:val="en-AU"/>
              </w:rPr>
              <w:fldChar w:fldCharType="end"/>
            </w:r>
            <w:r w:rsidRPr="0040247D">
              <w:rPr>
                <w:color w:val="auto"/>
                <w:lang w:val="en-AU"/>
              </w:rPr>
            </w:r>
            <w:r w:rsidRPr="0040247D">
              <w:rPr>
                <w:color w:val="auto"/>
                <w:lang w:val="en-AU"/>
              </w:rPr>
              <w:fldChar w:fldCharType="separate"/>
            </w:r>
            <w:r w:rsidRPr="0040247D">
              <w:rPr>
                <w:color w:val="auto"/>
                <w:lang w:val="en-AU"/>
              </w:rPr>
              <w:t>(</w:t>
            </w:r>
            <w:hyperlink w:anchor="_ENREF_24" w:tooltip="Lee, 2012 #11" w:history="1">
              <w:r w:rsidRPr="0040247D">
                <w:rPr>
                  <w:color w:val="auto"/>
                  <w:lang w:val="en-AU"/>
                </w:rPr>
                <w:t>Lee, Klein et al. 2012</w:t>
              </w:r>
            </w:hyperlink>
            <w:r w:rsidRPr="0040247D">
              <w:rPr>
                <w:color w:val="auto"/>
                <w:lang w:val="en-AU"/>
              </w:rPr>
              <w:t>)</w:t>
            </w:r>
            <w:r w:rsidRPr="0040247D">
              <w:rPr>
                <w:color w:val="auto"/>
                <w:lang w:val="en-AU"/>
              </w:rPr>
              <w:fldChar w:fldCharType="end"/>
            </w:r>
          </w:p>
        </w:tc>
        <w:tc>
          <w:tcPr>
            <w:tcW w:w="1847" w:type="dxa"/>
            <w:shd w:val="clear" w:color="auto" w:fill="auto"/>
          </w:tcPr>
          <w:p w14:paraId="172B1FBD" w14:textId="77777777" w:rsidR="005B201B" w:rsidRPr="0040247D" w:rsidRDefault="005B201B" w:rsidP="00552D3C">
            <w:pPr>
              <w:pStyle w:val="KMC16-Tablecontent"/>
              <w:rPr>
                <w:color w:val="auto"/>
                <w:lang w:val="en-AU"/>
              </w:rPr>
            </w:pPr>
            <w:r w:rsidRPr="0040247D">
              <w:rPr>
                <w:color w:val="auto"/>
                <w:lang w:val="en-AU"/>
              </w:rPr>
              <w:t>Key comparator study publication.</w:t>
            </w:r>
          </w:p>
        </w:tc>
      </w:tr>
      <w:tr w:rsidR="00067771" w:rsidRPr="0040247D" w14:paraId="49775236" w14:textId="77777777" w:rsidTr="00CA1457">
        <w:trPr>
          <w:gridAfter w:val="1"/>
          <w:wAfter w:w="7" w:type="dxa"/>
        </w:trPr>
        <w:tc>
          <w:tcPr>
            <w:tcW w:w="1036" w:type="dxa"/>
            <w:vMerge/>
            <w:shd w:val="clear" w:color="auto" w:fill="auto"/>
          </w:tcPr>
          <w:p w14:paraId="36A180A4" w14:textId="77777777" w:rsidR="005B201B" w:rsidRPr="0040247D" w:rsidRDefault="005B201B" w:rsidP="00552D3C">
            <w:pPr>
              <w:pStyle w:val="KMC16-Tablecontent"/>
              <w:rPr>
                <w:b/>
                <w:color w:val="auto"/>
                <w:lang w:val="en-AU"/>
              </w:rPr>
            </w:pPr>
          </w:p>
        </w:tc>
        <w:tc>
          <w:tcPr>
            <w:tcW w:w="6189" w:type="dxa"/>
            <w:shd w:val="clear" w:color="auto" w:fill="auto"/>
          </w:tcPr>
          <w:p w14:paraId="6CD0D3F0" w14:textId="77777777" w:rsidR="005B201B" w:rsidRPr="0040247D" w:rsidRDefault="005B201B" w:rsidP="00552D3C">
            <w:pPr>
              <w:pStyle w:val="KMC16-Tablecontent"/>
              <w:rPr>
                <w:color w:val="auto"/>
                <w:lang w:val="en-AU"/>
              </w:rPr>
            </w:pPr>
            <w:r w:rsidRPr="0040247D">
              <w:rPr>
                <w:color w:val="auto"/>
                <w:lang w:val="en-AU"/>
              </w:rPr>
              <w:t xml:space="preserve">NCT00635817. “A Study of Leuprolide 11.25 mg and 30 mg Administered Every 3 Months to Treat Central Precocious Puberty " </w:t>
            </w:r>
            <w:proofErr w:type="spellStart"/>
            <w:r w:rsidRPr="0040247D">
              <w:rPr>
                <w:color w:val="auto"/>
                <w:lang w:val="en-AU"/>
              </w:rPr>
              <w:t>ClinTrials</w:t>
            </w:r>
            <w:proofErr w:type="spellEnd"/>
            <w:r w:rsidRPr="0040247D">
              <w:rPr>
                <w:color w:val="auto"/>
                <w:lang w:val="en-AU"/>
              </w:rPr>
              <w:t xml:space="preserve"> listing. </w:t>
            </w:r>
            <w:r w:rsidRPr="0040247D">
              <w:rPr>
                <w:color w:val="auto"/>
                <w:lang w:val="en-AU"/>
              </w:rPr>
              <w:fldChar w:fldCharType="begin"/>
            </w:r>
            <w:r w:rsidRPr="0040247D">
              <w:rPr>
                <w:color w:val="auto"/>
                <w:lang w:val="en-AU"/>
              </w:rPr>
              <w:instrText xml:space="preserve"> ADDIN EN.CITE &lt;EndNote&gt;&lt;Cite&gt;&lt;Author&gt;Abbott&lt;/Author&gt;&lt;Year&gt;2011&lt;/Year&gt;&lt;RecNum&gt;23&lt;/RecNum&gt;&lt;DisplayText&gt;(Abbott 2011)&lt;/DisplayText&gt;&lt;record&gt;&lt;rec-number&gt;23&lt;/rec-number&gt;&lt;foreign-keys&gt;&lt;key app="EN" db-id="9zsxx0f929dx23eaeevxzv53dv5wdsv9059a" timestamp="1644374268"&gt;23&lt;/key&gt;&lt;/foreign-keys&gt;&lt;ref-type name="Journal Article"&gt;17&lt;/ref-type&gt;&lt;contributors&gt;&lt;authors&gt;&lt;author&gt;Abbott,&lt;/author&gt;&lt;/authors&gt;&lt;/contributors&gt;&lt;titles&gt;&lt;title&gt;NCT00635817. A Study of Leuprolide 11.25 mg and 30 mg Administered Every 3 Months to Treat Central Precocious Puberty &lt;/title&gt;&lt;secondary-title&gt;ClinTrials listing, available at: https://clinicaltrials.gov/ct2/show/results/NCT00635817 (accessed January 2022)&lt;/secondary-title&gt;&lt;/titles&gt;&lt;periodical&gt;&lt;full-title&gt;ClinTrials listing, available at: https://clinicaltrials.gov/ct2/show/results/NCT00635817 (accessed January 2022)&lt;/full-title&gt;&lt;/periodical&gt;&lt;dates&gt;&lt;year&gt;2011&lt;/year&gt;&lt;/dates&gt;&lt;urls&gt;&lt;/urls&gt;&lt;/record&gt;&lt;/Cite&gt;&lt;/EndNote&gt;</w:instrText>
            </w:r>
            <w:r w:rsidRPr="0040247D">
              <w:rPr>
                <w:color w:val="auto"/>
                <w:lang w:val="en-AU"/>
              </w:rPr>
              <w:fldChar w:fldCharType="separate"/>
            </w:r>
            <w:r w:rsidRPr="0040247D">
              <w:rPr>
                <w:color w:val="auto"/>
                <w:lang w:val="en-AU"/>
              </w:rPr>
              <w:t>(</w:t>
            </w:r>
            <w:hyperlink w:anchor="_ENREF_2" w:tooltip="Abbott, 2011 #23" w:history="1">
              <w:r w:rsidRPr="0040247D">
                <w:rPr>
                  <w:color w:val="auto"/>
                  <w:lang w:val="en-AU"/>
                </w:rPr>
                <w:t>Abbott 2011</w:t>
              </w:r>
            </w:hyperlink>
            <w:r w:rsidRPr="0040247D">
              <w:rPr>
                <w:color w:val="auto"/>
                <w:lang w:val="en-AU"/>
              </w:rPr>
              <w:t>)</w:t>
            </w:r>
            <w:r w:rsidRPr="0040247D">
              <w:rPr>
                <w:color w:val="auto"/>
                <w:lang w:val="en-AU"/>
              </w:rPr>
              <w:fldChar w:fldCharType="end"/>
            </w:r>
          </w:p>
        </w:tc>
        <w:tc>
          <w:tcPr>
            <w:tcW w:w="1847" w:type="dxa"/>
            <w:shd w:val="clear" w:color="auto" w:fill="auto"/>
          </w:tcPr>
          <w:p w14:paraId="225F9F84" w14:textId="77777777" w:rsidR="005B201B" w:rsidRPr="0040247D" w:rsidRDefault="005B201B" w:rsidP="00552D3C">
            <w:pPr>
              <w:pStyle w:val="KMC16-Tablecontent"/>
              <w:rPr>
                <w:color w:val="auto"/>
                <w:lang w:val="en-AU"/>
              </w:rPr>
            </w:pPr>
            <w:proofErr w:type="spellStart"/>
            <w:r w:rsidRPr="0040247D">
              <w:rPr>
                <w:color w:val="auto"/>
                <w:lang w:val="en-AU"/>
              </w:rPr>
              <w:t>ClinTrials</w:t>
            </w:r>
            <w:proofErr w:type="spellEnd"/>
            <w:r w:rsidRPr="0040247D">
              <w:rPr>
                <w:color w:val="auto"/>
                <w:lang w:val="en-AU"/>
              </w:rPr>
              <w:t xml:space="preserve"> listing of Lee 2012</w:t>
            </w:r>
          </w:p>
        </w:tc>
      </w:tr>
      <w:tr w:rsidR="00067771" w:rsidRPr="0040247D" w14:paraId="3F6AAD6B" w14:textId="77777777" w:rsidTr="00CA1457">
        <w:trPr>
          <w:gridAfter w:val="1"/>
          <w:wAfter w:w="7" w:type="dxa"/>
        </w:trPr>
        <w:tc>
          <w:tcPr>
            <w:tcW w:w="1036" w:type="dxa"/>
            <w:vMerge/>
            <w:shd w:val="clear" w:color="auto" w:fill="auto"/>
          </w:tcPr>
          <w:p w14:paraId="0199B17F" w14:textId="77777777" w:rsidR="005B201B" w:rsidRPr="0040247D" w:rsidRDefault="005B201B" w:rsidP="00552D3C">
            <w:pPr>
              <w:pStyle w:val="KMC16-Tablecontent"/>
              <w:rPr>
                <w:b/>
                <w:color w:val="auto"/>
                <w:lang w:val="en-AU"/>
              </w:rPr>
            </w:pPr>
          </w:p>
        </w:tc>
        <w:tc>
          <w:tcPr>
            <w:tcW w:w="6189" w:type="dxa"/>
            <w:shd w:val="clear" w:color="auto" w:fill="auto"/>
          </w:tcPr>
          <w:p w14:paraId="003AFA61" w14:textId="77777777" w:rsidR="005B201B" w:rsidRPr="0040247D" w:rsidRDefault="005B201B" w:rsidP="00552D3C">
            <w:pPr>
              <w:pStyle w:val="KMC16-Tablecontent"/>
              <w:rPr>
                <w:color w:val="auto"/>
                <w:highlight w:val="yellow"/>
                <w:lang w:val="en-AU"/>
              </w:rPr>
            </w:pPr>
            <w:r w:rsidRPr="0040247D">
              <w:rPr>
                <w:color w:val="auto"/>
                <w:lang w:val="en-AU"/>
              </w:rPr>
              <w:t xml:space="preserve">Klein, K, </w:t>
            </w:r>
            <w:proofErr w:type="spellStart"/>
            <w:r w:rsidRPr="0040247D">
              <w:rPr>
                <w:color w:val="auto"/>
                <w:lang w:val="en-AU"/>
              </w:rPr>
              <w:t>Mauras</w:t>
            </w:r>
            <w:proofErr w:type="spellEnd"/>
            <w:r w:rsidRPr="0040247D">
              <w:rPr>
                <w:color w:val="auto"/>
                <w:lang w:val="en-AU"/>
              </w:rPr>
              <w:t xml:space="preserve">, N, et al. (2010). "Treatment of central precocious puberty with leuprolide acetate 3 Month depot 11.25 or 30 mg: A U.S. </w:t>
            </w:r>
            <w:proofErr w:type="spellStart"/>
            <w:r w:rsidRPr="0040247D">
              <w:rPr>
                <w:color w:val="auto"/>
                <w:lang w:val="en-AU"/>
              </w:rPr>
              <w:t>Multicenter</w:t>
            </w:r>
            <w:proofErr w:type="spellEnd"/>
            <w:r w:rsidRPr="0040247D">
              <w:rPr>
                <w:color w:val="auto"/>
                <w:lang w:val="en-AU"/>
              </w:rPr>
              <w:t xml:space="preserve"> Study." Hormone Research in Paediatrics 74(SUPPL. 3): 150. </w:t>
            </w:r>
            <w:r w:rsidRPr="0040247D">
              <w:rPr>
                <w:color w:val="auto"/>
                <w:lang w:val="en-AU"/>
              </w:rPr>
              <w:fldChar w:fldCharType="begin">
                <w:fldData xml:space="preserve">PEVuZE5vdGU+PENpdGU+PEF1dGhvcj5LbGVpbjwvQXV0aG9yPjxZZWFyPjIwMTA8L1llYXI+PFJl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</w:fldData>
              </w:fldChar>
            </w:r>
            <w:r w:rsidRPr="0040247D">
              <w:rPr>
                <w:color w:val="auto"/>
                <w:lang w:val="en-AU"/>
              </w:rPr>
              <w:instrText xml:space="preserve"> ADDIN EN.CITE </w:instrText>
            </w:r>
            <w:r w:rsidRPr="0040247D">
              <w:rPr>
                <w:color w:val="auto"/>
                <w:lang w:val="en-AU"/>
              </w:rPr>
              <w:fldChar w:fldCharType="begin">
                <w:fldData xml:space="preserve">PEVuZE5vdGU+PENpdGU+PEF1dGhvcj5LbGVpbjwvQXV0aG9yPjxZZWFyPjIwMTA8L1llYXI+PFJl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</w:fldData>
              </w:fldChar>
            </w:r>
            <w:r w:rsidRPr="0040247D">
              <w:rPr>
                <w:color w:val="auto"/>
                <w:lang w:val="en-AU"/>
              </w:rPr>
              <w:instrText xml:space="preserve"> ADDIN EN.CITE.DATA </w:instrText>
            </w:r>
            <w:r w:rsidRPr="0040247D">
              <w:rPr>
                <w:color w:val="auto"/>
                <w:lang w:val="en-AU"/>
              </w:rPr>
            </w:r>
            <w:r w:rsidRPr="0040247D">
              <w:rPr>
                <w:color w:val="auto"/>
                <w:lang w:val="en-AU"/>
              </w:rPr>
              <w:fldChar w:fldCharType="end"/>
            </w:r>
            <w:r w:rsidRPr="0040247D">
              <w:rPr>
                <w:color w:val="auto"/>
                <w:lang w:val="en-AU"/>
              </w:rPr>
            </w:r>
            <w:r w:rsidRPr="0040247D">
              <w:rPr>
                <w:color w:val="auto"/>
                <w:lang w:val="en-AU"/>
              </w:rPr>
              <w:fldChar w:fldCharType="separate"/>
            </w:r>
            <w:r w:rsidRPr="0040247D">
              <w:rPr>
                <w:color w:val="auto"/>
                <w:lang w:val="en-AU"/>
              </w:rPr>
              <w:t>(</w:t>
            </w:r>
            <w:hyperlink w:anchor="_ENREF_20" w:tooltip="Klein, 2010 #1" w:history="1">
              <w:r w:rsidRPr="0040247D">
                <w:rPr>
                  <w:color w:val="auto"/>
                  <w:lang w:val="en-AU"/>
                </w:rPr>
                <w:t>Klein, Mauras et al. 2010</w:t>
              </w:r>
            </w:hyperlink>
            <w:r w:rsidRPr="0040247D">
              <w:rPr>
                <w:color w:val="auto"/>
                <w:lang w:val="en-AU"/>
              </w:rPr>
              <w:t>)</w:t>
            </w:r>
            <w:r w:rsidRPr="0040247D">
              <w:rPr>
                <w:color w:val="auto"/>
                <w:lang w:val="en-AU"/>
              </w:rPr>
              <w:fldChar w:fldCharType="end"/>
            </w:r>
          </w:p>
        </w:tc>
        <w:tc>
          <w:tcPr>
            <w:tcW w:w="1847" w:type="dxa"/>
            <w:shd w:val="clear" w:color="auto" w:fill="auto"/>
          </w:tcPr>
          <w:p w14:paraId="71A41947" w14:textId="77777777" w:rsidR="005B201B" w:rsidRPr="0040247D" w:rsidRDefault="005B201B" w:rsidP="00552D3C">
            <w:pPr>
              <w:pStyle w:val="KMC16-Tablecontent"/>
              <w:rPr>
                <w:color w:val="auto"/>
                <w:lang w:val="en-AU"/>
              </w:rPr>
            </w:pPr>
            <w:r w:rsidRPr="0040247D">
              <w:rPr>
                <w:color w:val="auto"/>
                <w:lang w:val="en-AU"/>
              </w:rPr>
              <w:t>Abstract publication of Lee 2012</w:t>
            </w:r>
          </w:p>
        </w:tc>
      </w:tr>
      <w:tr w:rsidR="00067771" w:rsidRPr="0040247D" w14:paraId="28A7D6EE" w14:textId="77777777" w:rsidTr="00CA1457">
        <w:trPr>
          <w:gridAfter w:val="1"/>
          <w:wAfter w:w="7" w:type="dxa"/>
        </w:trPr>
        <w:tc>
          <w:tcPr>
            <w:tcW w:w="1036" w:type="dxa"/>
            <w:vMerge w:val="restart"/>
            <w:shd w:val="clear" w:color="auto" w:fill="auto"/>
          </w:tcPr>
          <w:p w14:paraId="7A8BB02B" w14:textId="77777777" w:rsidR="005B201B" w:rsidRPr="0040247D" w:rsidRDefault="005B201B" w:rsidP="00552D3C">
            <w:pPr>
              <w:pStyle w:val="KMC16-Tablecontent"/>
              <w:rPr>
                <w:b/>
                <w:color w:val="auto"/>
                <w:lang w:val="en-AU"/>
              </w:rPr>
            </w:pPr>
            <w:r w:rsidRPr="0040247D">
              <w:rPr>
                <w:b/>
                <w:color w:val="auto"/>
                <w:lang w:val="en-AU"/>
              </w:rPr>
              <w:t>Lee 2014</w:t>
            </w:r>
          </w:p>
        </w:tc>
        <w:tc>
          <w:tcPr>
            <w:tcW w:w="6189" w:type="dxa"/>
            <w:shd w:val="clear" w:color="auto" w:fill="auto"/>
          </w:tcPr>
          <w:p w14:paraId="5BF25AB4" w14:textId="77777777" w:rsidR="005B201B" w:rsidRPr="0040247D" w:rsidRDefault="005B201B" w:rsidP="00552D3C">
            <w:pPr>
              <w:pStyle w:val="KMC16-Tablecontent"/>
              <w:rPr>
                <w:color w:val="auto"/>
                <w:lang w:val="en-AU"/>
              </w:rPr>
            </w:pPr>
            <w:r w:rsidRPr="0040247D">
              <w:rPr>
                <w:color w:val="auto"/>
                <w:lang w:val="en-AU"/>
              </w:rPr>
              <w:t xml:space="preserve">Lee, PA, Klein, K, et al. (2014). "36-month treatment experience of two doses of leuprolide acetate 3-month depot for children with central precocious puberty." The Journal of clinical endocrinology and metabolism 99(9): 3153-3159. </w:t>
            </w:r>
            <w:r w:rsidRPr="0040247D">
              <w:rPr>
                <w:color w:val="auto"/>
                <w:lang w:val="en-AU"/>
              </w:rPr>
              <w:fldChar w:fldCharType="begin">
                <w:fldData xml:space="preserve">PEVuZE5vdGU+PENpdGU+PEF1dGhvcj5MZWU8L0F1dGhvcj48WWVhcj4yMDE0PC9ZZWFyPjxSZWNO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</w:fldData>
              </w:fldChar>
            </w:r>
            <w:r w:rsidRPr="0040247D">
              <w:rPr>
                <w:color w:val="auto"/>
                <w:lang w:val="en-AU"/>
              </w:rPr>
              <w:instrText xml:space="preserve"> ADDIN EN.CITE </w:instrText>
            </w:r>
            <w:r w:rsidRPr="0040247D">
              <w:rPr>
                <w:color w:val="auto"/>
                <w:lang w:val="en-AU"/>
              </w:rPr>
              <w:fldChar w:fldCharType="begin">
                <w:fldData xml:space="preserve">PEVuZE5vdGU+PENpdGU+PEF1dGhvcj5MZWU8L0F1dGhvcj48WWVhcj4yMDE0PC9ZZWFyPjxSZWNO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</w:fldData>
              </w:fldChar>
            </w:r>
            <w:r w:rsidRPr="0040247D">
              <w:rPr>
                <w:color w:val="auto"/>
                <w:lang w:val="en-AU"/>
              </w:rPr>
              <w:instrText xml:space="preserve"> ADDIN EN.CITE.DATA </w:instrText>
            </w:r>
            <w:r w:rsidRPr="0040247D">
              <w:rPr>
                <w:color w:val="auto"/>
                <w:lang w:val="en-AU"/>
              </w:rPr>
            </w:r>
            <w:r w:rsidRPr="0040247D">
              <w:rPr>
                <w:color w:val="auto"/>
                <w:lang w:val="en-AU"/>
              </w:rPr>
              <w:fldChar w:fldCharType="end"/>
            </w:r>
            <w:r w:rsidRPr="0040247D">
              <w:rPr>
                <w:color w:val="auto"/>
                <w:lang w:val="en-AU"/>
              </w:rPr>
            </w:r>
            <w:r w:rsidRPr="0040247D">
              <w:rPr>
                <w:color w:val="auto"/>
                <w:lang w:val="en-AU"/>
              </w:rPr>
              <w:fldChar w:fldCharType="separate"/>
            </w:r>
            <w:r w:rsidRPr="0040247D">
              <w:rPr>
                <w:color w:val="auto"/>
                <w:lang w:val="en-AU"/>
              </w:rPr>
              <w:t>(</w:t>
            </w:r>
            <w:hyperlink w:anchor="_ENREF_23" w:tooltip="Lee, 2014 #10" w:history="1">
              <w:r w:rsidRPr="0040247D">
                <w:rPr>
                  <w:color w:val="auto"/>
                  <w:lang w:val="en-AU"/>
                </w:rPr>
                <w:t>Lee, Klein et al. 2014</w:t>
              </w:r>
            </w:hyperlink>
            <w:r w:rsidRPr="0040247D">
              <w:rPr>
                <w:color w:val="auto"/>
                <w:lang w:val="en-AU"/>
              </w:rPr>
              <w:t>)</w:t>
            </w:r>
            <w:r w:rsidRPr="0040247D">
              <w:rPr>
                <w:color w:val="auto"/>
                <w:lang w:val="en-AU"/>
              </w:rPr>
              <w:fldChar w:fldCharType="end"/>
            </w:r>
          </w:p>
        </w:tc>
        <w:tc>
          <w:tcPr>
            <w:tcW w:w="1847" w:type="dxa"/>
            <w:shd w:val="clear" w:color="auto" w:fill="auto"/>
          </w:tcPr>
          <w:p w14:paraId="7B8E999B" w14:textId="77777777" w:rsidR="005B201B" w:rsidRPr="0040247D" w:rsidRDefault="005B201B" w:rsidP="00552D3C">
            <w:pPr>
              <w:pStyle w:val="KMC16-Tablecontent"/>
              <w:rPr>
                <w:color w:val="auto"/>
                <w:lang w:val="en-AU"/>
              </w:rPr>
            </w:pPr>
            <w:r w:rsidRPr="0040247D">
              <w:rPr>
                <w:color w:val="auto"/>
                <w:lang w:val="en-AU"/>
              </w:rPr>
              <w:t>Extension study of Lee 2012</w:t>
            </w:r>
          </w:p>
        </w:tc>
      </w:tr>
      <w:tr w:rsidR="00067771" w:rsidRPr="0040247D" w14:paraId="17F2D3C3" w14:textId="77777777" w:rsidTr="00CA1457">
        <w:trPr>
          <w:gridAfter w:val="1"/>
          <w:wAfter w:w="7" w:type="dxa"/>
        </w:trPr>
        <w:tc>
          <w:tcPr>
            <w:tcW w:w="1036" w:type="dxa"/>
            <w:vMerge/>
            <w:shd w:val="clear" w:color="auto" w:fill="auto"/>
          </w:tcPr>
          <w:p w14:paraId="49ED399C" w14:textId="77777777" w:rsidR="005B201B" w:rsidRPr="0040247D" w:rsidRDefault="005B201B" w:rsidP="00552D3C">
            <w:pPr>
              <w:pStyle w:val="KMC16-Tablecontent"/>
              <w:rPr>
                <w:b/>
                <w:color w:val="auto"/>
                <w:lang w:val="en-AU"/>
              </w:rPr>
            </w:pPr>
          </w:p>
        </w:tc>
        <w:tc>
          <w:tcPr>
            <w:tcW w:w="6189" w:type="dxa"/>
            <w:shd w:val="clear" w:color="auto" w:fill="auto"/>
          </w:tcPr>
          <w:p w14:paraId="2CC7E4A6" w14:textId="77777777" w:rsidR="005B201B" w:rsidRPr="0040247D" w:rsidRDefault="005B201B" w:rsidP="00552D3C">
            <w:pPr>
              <w:pStyle w:val="KMC16-Tablecontent"/>
              <w:rPr>
                <w:color w:val="auto"/>
                <w:lang w:val="en-AU"/>
              </w:rPr>
            </w:pPr>
            <w:r w:rsidRPr="0040247D">
              <w:rPr>
                <w:color w:val="auto"/>
                <w:lang w:val="en-AU"/>
              </w:rPr>
              <w:t xml:space="preserve">NCT00667446. “Safety Extension Study Of Leuprolide Acetate (Lupron Depot) In The Treatment Of Central Precocious Puberty”. </w:t>
            </w:r>
            <w:proofErr w:type="spellStart"/>
            <w:r w:rsidRPr="0040247D">
              <w:rPr>
                <w:color w:val="auto"/>
                <w:lang w:val="en-AU"/>
              </w:rPr>
              <w:t>ClinTrials</w:t>
            </w:r>
            <w:proofErr w:type="spellEnd"/>
            <w:r w:rsidRPr="0040247D">
              <w:rPr>
                <w:color w:val="auto"/>
                <w:lang w:val="en-AU"/>
              </w:rPr>
              <w:t xml:space="preserve"> listing.</w:t>
            </w:r>
          </w:p>
          <w:p w14:paraId="0B9B7904" w14:textId="77777777" w:rsidR="005B201B" w:rsidRPr="0040247D" w:rsidRDefault="005B201B" w:rsidP="00552D3C">
            <w:pPr>
              <w:pStyle w:val="KMC16-Tablecontent"/>
              <w:rPr>
                <w:color w:val="auto"/>
                <w:lang w:val="en-AU"/>
              </w:rPr>
            </w:pPr>
            <w:r w:rsidRPr="0040247D">
              <w:rPr>
                <w:color w:val="auto"/>
                <w:lang w:val="en-AU"/>
              </w:rPr>
              <w:fldChar w:fldCharType="begin"/>
            </w:r>
            <w:r w:rsidRPr="0040247D">
              <w:rPr>
                <w:color w:val="auto"/>
                <w:lang w:val="en-AU"/>
              </w:rPr>
              <w:instrText xml:space="preserve"> ADDIN EN.CITE &lt;EndNote&gt;&lt;Cite&gt;&lt;Author&gt;AbbVie (prior sponsor Abbott)&lt;/Author&gt;&lt;Year&gt;2014&lt;/Year&gt;&lt;RecNum&gt;24&lt;/RecNum&gt;&lt;DisplayText&gt;(AbbVie (prior sponsor Abbott) 2014)&lt;/DisplayText&gt;&lt;record&gt;&lt;rec-number&gt;24&lt;/rec-number&gt;&lt;foreign-keys&gt;&lt;key app="EN" db-id="9zsxx0f929dx23eaeevxzv53dv5wdsv9059a" timestamp="1644374268"&gt;24&lt;/key&gt;&lt;/foreign-keys&gt;&lt;ref-type name="Journal Article"&gt;17&lt;/ref-type&gt;&lt;contributors&gt;&lt;authors&gt;&lt;author&gt;AbbVie (prior sponsor Abbott),&lt;/author&gt;&lt;/authors&gt;&lt;/contributors&gt;&lt;titles&gt;&lt;title&gt;NCT00667446. Safety Extension Study Of Leuprolide Acetate (Lupron Depot) In The Treatment Of Central Precocious Puberty&lt;/title&gt;&lt;secondary-title&gt;ClinTrials listing, available at: https://clinicaltrials.gov/ct2/show/NCT00667446 (accessed January 2022)&lt;/secondary-title&gt;&lt;/titles&gt;&lt;periodical&gt;&lt;full-title&gt;ClinTrials listing, available at: https://clinicaltrials.gov/ct2/show/NCT00667446 (accessed January 2022)&lt;/full-title&gt;&lt;/periodical&gt;&lt;dates&gt;&lt;year&gt;2014&lt;/year&gt;&lt;/dates&gt;&lt;urls&gt;&lt;/urls&gt;&lt;/record&gt;&lt;/Cite&gt;&lt;/EndNote&gt;</w:instrText>
            </w:r>
            <w:r w:rsidRPr="0040247D">
              <w:rPr>
                <w:color w:val="auto"/>
                <w:lang w:val="en-AU"/>
              </w:rPr>
              <w:fldChar w:fldCharType="separate"/>
            </w:r>
            <w:r w:rsidRPr="0040247D">
              <w:rPr>
                <w:color w:val="auto"/>
                <w:lang w:val="en-AU"/>
              </w:rPr>
              <w:t>(</w:t>
            </w:r>
            <w:hyperlink w:anchor="_ENREF_3" w:tooltip="AbbVie (prior sponsor Abbott), 2014 #24" w:history="1">
              <w:r w:rsidRPr="0040247D">
                <w:rPr>
                  <w:color w:val="auto"/>
                  <w:lang w:val="en-AU"/>
                </w:rPr>
                <w:t>AbbVie (prior sponsor Abbott) 2014</w:t>
              </w:r>
            </w:hyperlink>
            <w:r w:rsidRPr="0040247D">
              <w:rPr>
                <w:color w:val="auto"/>
                <w:lang w:val="en-AU"/>
              </w:rPr>
              <w:t>)</w:t>
            </w:r>
            <w:r w:rsidRPr="0040247D">
              <w:rPr>
                <w:color w:val="auto"/>
                <w:lang w:val="en-AU"/>
              </w:rPr>
              <w:fldChar w:fldCharType="end"/>
            </w:r>
          </w:p>
        </w:tc>
        <w:tc>
          <w:tcPr>
            <w:tcW w:w="1847" w:type="dxa"/>
            <w:shd w:val="clear" w:color="auto" w:fill="auto"/>
          </w:tcPr>
          <w:p w14:paraId="667E5795" w14:textId="77777777" w:rsidR="005B201B" w:rsidRPr="0040247D" w:rsidRDefault="005B201B" w:rsidP="00552D3C">
            <w:pPr>
              <w:pStyle w:val="KMC16-Tablecontent"/>
              <w:rPr>
                <w:color w:val="auto"/>
                <w:lang w:val="en-AU"/>
              </w:rPr>
            </w:pPr>
            <w:proofErr w:type="spellStart"/>
            <w:r w:rsidRPr="0040247D">
              <w:rPr>
                <w:color w:val="auto"/>
                <w:lang w:val="en-AU"/>
              </w:rPr>
              <w:t>ClinTrials</w:t>
            </w:r>
            <w:proofErr w:type="spellEnd"/>
            <w:r w:rsidRPr="0040247D">
              <w:rPr>
                <w:color w:val="auto"/>
                <w:lang w:val="en-AU"/>
              </w:rPr>
              <w:t xml:space="preserve"> listing of Lee 2014</w:t>
            </w:r>
          </w:p>
        </w:tc>
      </w:tr>
      <w:tr w:rsidR="00067771" w:rsidRPr="0040247D" w14:paraId="54AF6EE0" w14:textId="77777777" w:rsidTr="00CA1457">
        <w:tc>
          <w:tcPr>
            <w:tcW w:w="9079" w:type="dxa"/>
            <w:gridSpan w:val="4"/>
            <w:shd w:val="clear" w:color="auto" w:fill="auto"/>
          </w:tcPr>
          <w:p w14:paraId="0CB346CA" w14:textId="028ECE01" w:rsidR="00ED33E6" w:rsidRPr="0040247D" w:rsidRDefault="00ED33E6" w:rsidP="00552D3C">
            <w:pPr>
              <w:pStyle w:val="KMC16-Tablecontent"/>
              <w:rPr>
                <w:color w:val="auto"/>
                <w:lang w:val="en-AU"/>
              </w:rPr>
            </w:pPr>
            <w:r w:rsidRPr="0040247D">
              <w:rPr>
                <w:b/>
                <w:color w:val="auto"/>
                <w:lang w:val="en-AU"/>
              </w:rPr>
              <w:t xml:space="preserve">Comparator – </w:t>
            </w:r>
            <w:proofErr w:type="spellStart"/>
            <w:r w:rsidR="007F5A54" w:rsidRPr="0040247D">
              <w:rPr>
                <w:b/>
                <w:color w:val="auto"/>
                <w:lang w:val="en-AU"/>
              </w:rPr>
              <w:t>Diphereline</w:t>
            </w:r>
            <w:proofErr w:type="spellEnd"/>
            <w:r w:rsidRPr="0040247D">
              <w:rPr>
                <w:b/>
                <w:color w:val="auto"/>
                <w:lang w:val="en-AU"/>
              </w:rPr>
              <w:t xml:space="preserve"> </w:t>
            </w:r>
          </w:p>
        </w:tc>
      </w:tr>
      <w:tr w:rsidR="00067771" w:rsidRPr="0040247D" w14:paraId="3D9684F1" w14:textId="77777777" w:rsidTr="00CA1457">
        <w:trPr>
          <w:gridAfter w:val="1"/>
          <w:wAfter w:w="7" w:type="dxa"/>
        </w:trPr>
        <w:tc>
          <w:tcPr>
            <w:tcW w:w="1036" w:type="dxa"/>
            <w:shd w:val="clear" w:color="auto" w:fill="auto"/>
          </w:tcPr>
          <w:p w14:paraId="205C17CA" w14:textId="368CE403" w:rsidR="00ED33E6" w:rsidRPr="0040247D" w:rsidRDefault="00A34D67" w:rsidP="00552D3C">
            <w:pPr>
              <w:pStyle w:val="KMC16-Tablecontent"/>
              <w:rPr>
                <w:b/>
                <w:color w:val="auto"/>
                <w:lang w:val="en-AU"/>
              </w:rPr>
            </w:pPr>
            <w:r w:rsidRPr="0040247D">
              <w:rPr>
                <w:b/>
                <w:color w:val="auto"/>
                <w:lang w:val="en-AU"/>
              </w:rPr>
              <w:t>Study 301</w:t>
            </w:r>
          </w:p>
        </w:tc>
        <w:tc>
          <w:tcPr>
            <w:tcW w:w="6189" w:type="dxa"/>
            <w:shd w:val="clear" w:color="auto" w:fill="auto"/>
          </w:tcPr>
          <w:p w14:paraId="08095D3A" w14:textId="120ACE95" w:rsidR="00ED33E6" w:rsidRPr="009A29A8" w:rsidRDefault="00B842E5" w:rsidP="00552D3C">
            <w:pPr>
              <w:pStyle w:val="KMC16-Tablecontent"/>
              <w:rPr>
                <w:color w:val="auto"/>
                <w:lang w:val="en-AU"/>
              </w:rPr>
            </w:pPr>
            <w:r w:rsidRPr="009A29A8">
              <w:rPr>
                <w:color w:val="auto"/>
                <w:lang w:val="en-AU"/>
              </w:rPr>
              <w:t xml:space="preserve">Klein, Karen, et al. "Efficacy and safety of triptorelin 6-month formulation in patients with central precocious puberty." Journal of </w:t>
            </w:r>
            <w:proofErr w:type="spellStart"/>
            <w:r w:rsidRPr="009A29A8">
              <w:rPr>
                <w:color w:val="auto"/>
                <w:lang w:val="en-AU"/>
              </w:rPr>
              <w:t>Pediatric</w:t>
            </w:r>
            <w:proofErr w:type="spellEnd"/>
            <w:r w:rsidRPr="009A29A8">
              <w:rPr>
                <w:color w:val="auto"/>
                <w:lang w:val="en-AU"/>
              </w:rPr>
              <w:t xml:space="preserve"> Endocrinology and Metabolism 29.11 (2016): 1241-1248.</w:t>
            </w:r>
          </w:p>
        </w:tc>
        <w:tc>
          <w:tcPr>
            <w:tcW w:w="1847" w:type="dxa"/>
            <w:shd w:val="clear" w:color="auto" w:fill="auto"/>
          </w:tcPr>
          <w:p w14:paraId="6A4A406D" w14:textId="2ABF93C0" w:rsidR="00ED33E6" w:rsidRPr="009A29A8" w:rsidRDefault="0098008B" w:rsidP="00552D3C">
            <w:pPr>
              <w:pStyle w:val="KMC16-Tablecontent"/>
              <w:rPr>
                <w:color w:val="auto"/>
                <w:lang w:val="en-AU"/>
              </w:rPr>
            </w:pPr>
            <w:r w:rsidRPr="009A29A8">
              <w:rPr>
                <w:color w:val="auto"/>
                <w:lang w:val="en-AU"/>
              </w:rPr>
              <w:t>Supplementary comparator study publication</w:t>
            </w:r>
          </w:p>
        </w:tc>
      </w:tr>
      <w:tr w:rsidR="00067771" w:rsidRPr="00A369BD" w14:paraId="223DD587" w14:textId="77777777" w:rsidTr="00CA1457">
        <w:trPr>
          <w:gridAfter w:val="1"/>
          <w:wAfter w:w="7" w:type="dxa"/>
        </w:trPr>
        <w:tc>
          <w:tcPr>
            <w:tcW w:w="1036" w:type="dxa"/>
            <w:shd w:val="clear" w:color="auto" w:fill="auto"/>
          </w:tcPr>
          <w:p w14:paraId="034CCC0B" w14:textId="77777777" w:rsidR="00ED33E6" w:rsidRPr="00A369BD" w:rsidRDefault="00ED33E6" w:rsidP="00552D3C">
            <w:pPr>
              <w:pStyle w:val="KMC16-Tablecontent"/>
              <w:rPr>
                <w:iCs/>
                <w:color w:val="auto"/>
                <w:lang w:val="en-AU"/>
              </w:rPr>
            </w:pPr>
          </w:p>
        </w:tc>
        <w:tc>
          <w:tcPr>
            <w:tcW w:w="6189" w:type="dxa"/>
            <w:shd w:val="clear" w:color="auto" w:fill="auto"/>
          </w:tcPr>
          <w:p w14:paraId="343C61D7" w14:textId="1830F97E" w:rsidR="00ED33E6" w:rsidRPr="00A369BD" w:rsidRDefault="004E0EDD" w:rsidP="00552D3C">
            <w:pPr>
              <w:pStyle w:val="KMC16-Tablecontent"/>
              <w:rPr>
                <w:color w:val="auto"/>
                <w:lang w:val="en-AU"/>
              </w:rPr>
            </w:pPr>
            <w:r w:rsidRPr="00A369BD">
              <w:rPr>
                <w:color w:val="auto"/>
                <w:lang w:val="en-AU"/>
              </w:rPr>
              <w:t xml:space="preserve">NCT01467882. “Efficacy, Safety, and Pharmacokinetics (PK) of Triptorelin 6-month Formulation in Patients With Central Precocious Puberty”. </w:t>
            </w:r>
            <w:proofErr w:type="spellStart"/>
            <w:r w:rsidRPr="00A369BD">
              <w:rPr>
                <w:color w:val="auto"/>
                <w:lang w:val="en-AU"/>
              </w:rPr>
              <w:t>ClinTrials</w:t>
            </w:r>
            <w:proofErr w:type="spellEnd"/>
            <w:r w:rsidRPr="00A369BD">
              <w:rPr>
                <w:color w:val="auto"/>
                <w:lang w:val="en-AU"/>
              </w:rPr>
              <w:t xml:space="preserve"> listing. (</w:t>
            </w:r>
            <w:proofErr w:type="spellStart"/>
            <w:r w:rsidRPr="00A369BD">
              <w:rPr>
                <w:color w:val="auto"/>
                <w:lang w:val="en-AU"/>
              </w:rPr>
              <w:t>Debiopharm</w:t>
            </w:r>
            <w:proofErr w:type="spellEnd"/>
            <w:r w:rsidRPr="00A369BD">
              <w:rPr>
                <w:color w:val="auto"/>
                <w:lang w:val="en-AU"/>
              </w:rPr>
              <w:t xml:space="preserve"> International SA 2017)</w:t>
            </w:r>
          </w:p>
        </w:tc>
        <w:tc>
          <w:tcPr>
            <w:tcW w:w="1847" w:type="dxa"/>
            <w:shd w:val="clear" w:color="auto" w:fill="auto"/>
          </w:tcPr>
          <w:p w14:paraId="0B825685" w14:textId="3B81B635" w:rsidR="00ED33E6" w:rsidRPr="00A369BD" w:rsidRDefault="0098008B" w:rsidP="00552D3C">
            <w:pPr>
              <w:pStyle w:val="KMC16-Tablecontent"/>
              <w:rPr>
                <w:color w:val="auto"/>
                <w:lang w:val="en-AU"/>
              </w:rPr>
            </w:pPr>
            <w:proofErr w:type="spellStart"/>
            <w:r w:rsidRPr="00A369BD">
              <w:rPr>
                <w:color w:val="auto"/>
                <w:lang w:val="en-AU"/>
              </w:rPr>
              <w:t>ClinTrials</w:t>
            </w:r>
            <w:proofErr w:type="spellEnd"/>
            <w:r w:rsidRPr="00A369BD">
              <w:rPr>
                <w:color w:val="auto"/>
                <w:lang w:val="en-AU"/>
              </w:rPr>
              <w:t xml:space="preserve"> listing (</w:t>
            </w:r>
            <w:proofErr w:type="spellStart"/>
            <w:r w:rsidRPr="00A369BD">
              <w:rPr>
                <w:color w:val="auto"/>
                <w:lang w:val="en-AU"/>
              </w:rPr>
              <w:t>Debiopharm</w:t>
            </w:r>
            <w:proofErr w:type="spellEnd"/>
            <w:r w:rsidRPr="00A369BD">
              <w:rPr>
                <w:color w:val="auto"/>
                <w:lang w:val="en-AU"/>
              </w:rPr>
              <w:t xml:space="preserve"> International SA 2017)</w:t>
            </w:r>
            <w:r w:rsidRPr="00A369BD" w:rsidDel="0098008B">
              <w:rPr>
                <w:color w:val="auto"/>
                <w:lang w:val="en-AU"/>
              </w:rPr>
              <w:t xml:space="preserve"> </w:t>
            </w:r>
          </w:p>
        </w:tc>
      </w:tr>
    </w:tbl>
    <w:p w14:paraId="42BC5506" w14:textId="7A37F1C9" w:rsidR="005B201B" w:rsidRPr="0040247D" w:rsidRDefault="005B201B" w:rsidP="005B201B">
      <w:pPr>
        <w:pStyle w:val="TableFigureFooter"/>
        <w:spacing w:after="0"/>
        <w:rPr>
          <w:sz w:val="20"/>
        </w:rPr>
      </w:pPr>
      <w:r w:rsidRPr="0040247D">
        <w:t>Source:  Table 2-4, p26 of the submission</w:t>
      </w:r>
      <w:r w:rsidR="006A1B5D" w:rsidRPr="0040247D">
        <w:t xml:space="preserve">, and text and references in the supplementary information. </w:t>
      </w:r>
    </w:p>
    <w:p w14:paraId="52F5C7F7" w14:textId="77777777" w:rsidR="005B201B" w:rsidRPr="0040247D" w:rsidRDefault="005B201B" w:rsidP="005B201B">
      <w:pPr>
        <w:pStyle w:val="In-tableHeading"/>
        <w:rPr>
          <w:lang w:val="en-AU"/>
        </w:rPr>
      </w:pPr>
    </w:p>
    <w:p w14:paraId="5477393E" w14:textId="4FE8DA4C" w:rsidR="00E364A2" w:rsidRPr="0040247D" w:rsidRDefault="008F120A" w:rsidP="0055154C">
      <w:pPr>
        <w:pStyle w:val="3-BodyText"/>
        <w:ind w:left="709"/>
      </w:pPr>
      <w:r w:rsidRPr="0040247D">
        <w:t>The key features of the trial</w:t>
      </w:r>
      <w:r w:rsidR="005B201B" w:rsidRPr="0040247D">
        <w:t>s</w:t>
      </w:r>
      <w:r w:rsidR="00761124" w:rsidRPr="0040247D">
        <w:t xml:space="preserve"> </w:t>
      </w:r>
      <w:r w:rsidRPr="0040247D">
        <w:t xml:space="preserve">are summarised in </w:t>
      </w:r>
      <w:r w:rsidR="005C226C" w:rsidRPr="0040247D">
        <w:fldChar w:fldCharType="begin"/>
      </w:r>
      <w:r w:rsidR="005C226C" w:rsidRPr="0040247D">
        <w:instrText xml:space="preserve"> REF _Ref102727894 \h </w:instrText>
      </w:r>
      <w:r w:rsidR="005C226C" w:rsidRPr="0040247D">
        <w:fldChar w:fldCharType="separate"/>
      </w:r>
      <w:r w:rsidR="005C226C" w:rsidRPr="0040247D">
        <w:t>Table 3</w:t>
      </w:r>
      <w:r w:rsidR="005C226C" w:rsidRPr="0040247D">
        <w:fldChar w:fldCharType="end"/>
      </w:r>
      <w:r w:rsidRPr="0040247D">
        <w:t>.</w:t>
      </w:r>
      <w:r w:rsidR="00DA27DA" w:rsidRPr="0040247D">
        <w:t xml:space="preserve"> </w:t>
      </w:r>
    </w:p>
    <w:p w14:paraId="6C1FB565" w14:textId="0E9397FE" w:rsidR="00392FB5" w:rsidRPr="0040247D" w:rsidRDefault="00B4526F" w:rsidP="00C96640">
      <w:pPr>
        <w:pStyle w:val="TableFigureHeading"/>
      </w:pPr>
      <w:bookmarkStart w:id="20" w:name="_Ref102727894"/>
      <w:r w:rsidRPr="0040247D">
        <w:lastRenderedPageBreak/>
        <w:t xml:space="preserve">Table </w:t>
      </w:r>
      <w:fldSimple w:instr=" SEQ Table \* ARABIC ">
        <w:r w:rsidRPr="0040247D">
          <w:t>3</w:t>
        </w:r>
      </w:fldSimple>
      <w:bookmarkEnd w:id="20"/>
      <w:r w:rsidRPr="0040247D">
        <w:t xml:space="preserve">: </w:t>
      </w:r>
      <w:r w:rsidR="007F1017" w:rsidRPr="0040247D">
        <w:rPr>
          <w:rStyle w:val="CommentReference"/>
          <w:b/>
          <w:szCs w:val="24"/>
        </w:rPr>
        <w:t xml:space="preserve">Key features of </w:t>
      </w:r>
      <w:r w:rsidR="006A1B5D" w:rsidRPr="0040247D">
        <w:rPr>
          <w:rStyle w:val="CommentReference"/>
          <w:b/>
          <w:szCs w:val="24"/>
        </w:rPr>
        <w:t xml:space="preserve">the included </w:t>
      </w:r>
      <w:r w:rsidR="00EE26B3" w:rsidRPr="0040247D">
        <w:rPr>
          <w:rStyle w:val="CommentReference"/>
          <w:b/>
          <w:szCs w:val="24"/>
        </w:rPr>
        <w:t>trials</w:t>
      </w:r>
    </w:p>
    <w:tbl>
      <w:tblPr>
        <w:tblpPr w:leftFromText="180" w:rightFromText="180" w:vertAnchor="text" w:tblpXSpec="right" w:tblpY="1"/>
        <w:tblOverlap w:val="neve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trials"/>
        <w:tblDescription w:val="Table 3: Key features of the included trials"/>
      </w:tblPr>
      <w:tblGrid>
        <w:gridCol w:w="1231"/>
        <w:gridCol w:w="421"/>
        <w:gridCol w:w="1352"/>
        <w:gridCol w:w="1072"/>
        <w:gridCol w:w="1536"/>
        <w:gridCol w:w="3193"/>
      </w:tblGrid>
      <w:tr w:rsidR="00067771" w:rsidRPr="0040247D" w14:paraId="564CC140" w14:textId="77777777" w:rsidTr="00CA1457">
        <w:trPr>
          <w:tblHeader/>
        </w:trPr>
        <w:tc>
          <w:tcPr>
            <w:tcW w:w="699" w:type="pct"/>
            <w:shd w:val="clear" w:color="auto" w:fill="auto"/>
            <w:vAlign w:val="center"/>
          </w:tcPr>
          <w:p w14:paraId="33CB2A7B" w14:textId="77777777" w:rsidR="00392FB5" w:rsidRPr="0040247D" w:rsidRDefault="00392FB5" w:rsidP="00A27CEA">
            <w:pPr>
              <w:pStyle w:val="KMC16-TableHeading"/>
              <w:rPr>
                <w:color w:val="auto"/>
              </w:rPr>
            </w:pPr>
            <w:r w:rsidRPr="0040247D">
              <w:rPr>
                <w:color w:val="auto"/>
              </w:rPr>
              <w:t>Trial</w:t>
            </w:r>
          </w:p>
        </w:tc>
        <w:tc>
          <w:tcPr>
            <w:tcW w:w="239" w:type="pct"/>
            <w:shd w:val="clear" w:color="auto" w:fill="auto"/>
            <w:vAlign w:val="center"/>
          </w:tcPr>
          <w:p w14:paraId="14297FF6" w14:textId="77777777" w:rsidR="00392FB5" w:rsidRPr="0040247D" w:rsidRDefault="00392FB5" w:rsidP="00A27CEA">
            <w:pPr>
              <w:pStyle w:val="KMC16-TableHeading"/>
              <w:rPr>
                <w:color w:val="auto"/>
              </w:rPr>
            </w:pPr>
            <w:r w:rsidRPr="0040247D">
              <w:rPr>
                <w:color w:val="auto"/>
              </w:rPr>
              <w:t>N</w:t>
            </w:r>
          </w:p>
        </w:tc>
        <w:tc>
          <w:tcPr>
            <w:tcW w:w="768" w:type="pct"/>
            <w:shd w:val="clear" w:color="auto" w:fill="auto"/>
            <w:vAlign w:val="center"/>
          </w:tcPr>
          <w:p w14:paraId="171EBA97" w14:textId="77777777" w:rsidR="00392FB5" w:rsidRPr="0040247D" w:rsidRDefault="00392FB5" w:rsidP="00A27CEA">
            <w:pPr>
              <w:pStyle w:val="KMC16-TableHeading"/>
              <w:rPr>
                <w:color w:val="auto"/>
              </w:rPr>
            </w:pPr>
            <w:r w:rsidRPr="0040247D">
              <w:rPr>
                <w:color w:val="auto"/>
              </w:rPr>
              <w:t>Design/ duration</w:t>
            </w:r>
          </w:p>
        </w:tc>
        <w:tc>
          <w:tcPr>
            <w:tcW w:w="609" w:type="pct"/>
            <w:shd w:val="clear" w:color="auto" w:fill="auto"/>
            <w:vAlign w:val="center"/>
          </w:tcPr>
          <w:p w14:paraId="10E8EB81" w14:textId="77777777" w:rsidR="00392FB5" w:rsidRPr="0040247D" w:rsidRDefault="00392FB5" w:rsidP="00A27CEA">
            <w:pPr>
              <w:pStyle w:val="KMC16-TableHeading"/>
              <w:rPr>
                <w:color w:val="auto"/>
              </w:rPr>
            </w:pPr>
            <w:r w:rsidRPr="0040247D">
              <w:rPr>
                <w:color w:val="auto"/>
              </w:rPr>
              <w:t>Risk of bias</w:t>
            </w:r>
          </w:p>
        </w:tc>
        <w:tc>
          <w:tcPr>
            <w:tcW w:w="872" w:type="pct"/>
            <w:shd w:val="clear" w:color="auto" w:fill="auto"/>
            <w:vAlign w:val="center"/>
          </w:tcPr>
          <w:p w14:paraId="529F73A0" w14:textId="77777777" w:rsidR="00392FB5" w:rsidRPr="0040247D" w:rsidRDefault="00392FB5" w:rsidP="00A27CEA">
            <w:pPr>
              <w:pStyle w:val="KMC16-TableHeading"/>
              <w:rPr>
                <w:color w:val="auto"/>
              </w:rPr>
            </w:pPr>
            <w:r w:rsidRPr="0040247D">
              <w:rPr>
                <w:color w:val="auto"/>
              </w:rPr>
              <w:t>Patient population</w:t>
            </w:r>
          </w:p>
        </w:tc>
        <w:tc>
          <w:tcPr>
            <w:tcW w:w="1814" w:type="pct"/>
            <w:shd w:val="clear" w:color="auto" w:fill="auto"/>
            <w:vAlign w:val="center"/>
          </w:tcPr>
          <w:p w14:paraId="4A23B111" w14:textId="77777777" w:rsidR="00392FB5" w:rsidRPr="0040247D" w:rsidRDefault="00392FB5" w:rsidP="00A27CEA">
            <w:pPr>
              <w:pStyle w:val="KMC16-TableHeading"/>
              <w:rPr>
                <w:color w:val="auto"/>
              </w:rPr>
            </w:pPr>
            <w:r w:rsidRPr="0040247D">
              <w:rPr>
                <w:color w:val="auto"/>
              </w:rPr>
              <w:t>Key outcomes</w:t>
            </w:r>
          </w:p>
        </w:tc>
      </w:tr>
      <w:tr w:rsidR="00067771" w:rsidRPr="0040247D" w14:paraId="3475A63E" w14:textId="77777777" w:rsidTr="00CA1457">
        <w:tc>
          <w:tcPr>
            <w:tcW w:w="5000" w:type="pct"/>
            <w:gridSpan w:val="6"/>
            <w:shd w:val="clear" w:color="auto" w:fill="auto"/>
            <w:vAlign w:val="center"/>
          </w:tcPr>
          <w:p w14:paraId="599E998D" w14:textId="77777777" w:rsidR="00392FB5" w:rsidRPr="0040247D" w:rsidRDefault="00392FB5" w:rsidP="00A27CEA">
            <w:pPr>
              <w:pStyle w:val="In-tableHeading"/>
              <w:rPr>
                <w:lang w:val="en-AU"/>
              </w:rPr>
            </w:pPr>
            <w:proofErr w:type="spellStart"/>
            <w:r w:rsidRPr="0040247D">
              <w:rPr>
                <w:lang w:val="en-AU"/>
              </w:rPr>
              <w:t>Eligard</w:t>
            </w:r>
            <w:proofErr w:type="spellEnd"/>
            <w:r w:rsidRPr="0040247D">
              <w:rPr>
                <w:lang w:val="en-AU"/>
              </w:rPr>
              <w:t xml:space="preserve"> 6 month (leuprorelin acetate) 45 mg depot</w:t>
            </w:r>
          </w:p>
        </w:tc>
      </w:tr>
      <w:tr w:rsidR="00067771" w:rsidRPr="0040247D" w14:paraId="549F3833" w14:textId="77777777" w:rsidTr="00CA1457">
        <w:tc>
          <w:tcPr>
            <w:tcW w:w="699" w:type="pct"/>
            <w:shd w:val="clear" w:color="auto" w:fill="auto"/>
            <w:vAlign w:val="center"/>
          </w:tcPr>
          <w:p w14:paraId="20776135" w14:textId="77777777" w:rsidR="00392FB5" w:rsidRPr="0040247D" w:rsidRDefault="00392FB5" w:rsidP="00A27CEA">
            <w:pPr>
              <w:pStyle w:val="KMC16-Tablecontent"/>
              <w:rPr>
                <w:color w:val="auto"/>
                <w:lang w:val="en-AU"/>
              </w:rPr>
            </w:pPr>
            <w:r w:rsidRPr="0040247D">
              <w:rPr>
                <w:color w:val="auto"/>
                <w:lang w:val="en-AU"/>
              </w:rPr>
              <w:t>TOL2581A</w:t>
            </w:r>
          </w:p>
        </w:tc>
        <w:tc>
          <w:tcPr>
            <w:tcW w:w="239" w:type="pct"/>
            <w:shd w:val="clear" w:color="auto" w:fill="auto"/>
            <w:vAlign w:val="center"/>
          </w:tcPr>
          <w:p w14:paraId="1ED8E913" w14:textId="77777777" w:rsidR="00392FB5" w:rsidRPr="0040247D" w:rsidRDefault="00392FB5" w:rsidP="00A27CEA">
            <w:pPr>
              <w:pStyle w:val="KMC16-Tablecontent"/>
              <w:jc w:val="center"/>
              <w:rPr>
                <w:color w:val="auto"/>
                <w:lang w:val="en-AU"/>
              </w:rPr>
            </w:pPr>
            <w:r w:rsidRPr="0040247D">
              <w:rPr>
                <w:color w:val="auto"/>
                <w:lang w:val="en-AU"/>
              </w:rPr>
              <w:t>62</w:t>
            </w:r>
          </w:p>
        </w:tc>
        <w:tc>
          <w:tcPr>
            <w:tcW w:w="768" w:type="pct"/>
            <w:shd w:val="clear" w:color="auto" w:fill="auto"/>
            <w:vAlign w:val="center"/>
          </w:tcPr>
          <w:p w14:paraId="72F5625A" w14:textId="77777777" w:rsidR="00ED33E6" w:rsidRPr="0040247D" w:rsidRDefault="00392FB5" w:rsidP="00A27CEA">
            <w:pPr>
              <w:pStyle w:val="KMC16-Tablecontent"/>
              <w:rPr>
                <w:color w:val="auto"/>
                <w:lang w:val="en-AU"/>
              </w:rPr>
            </w:pPr>
            <w:r w:rsidRPr="0040247D">
              <w:rPr>
                <w:color w:val="auto"/>
                <w:lang w:val="en-AU"/>
              </w:rPr>
              <w:t>SAS, OL,</w:t>
            </w:r>
            <w:r w:rsidR="00272EAF" w:rsidRPr="0040247D">
              <w:rPr>
                <w:color w:val="auto"/>
                <w:lang w:val="en-AU"/>
              </w:rPr>
              <w:t xml:space="preserve"> MC</w:t>
            </w:r>
          </w:p>
          <w:p w14:paraId="027247F0" w14:textId="60CE7127" w:rsidR="00392FB5" w:rsidRPr="0040247D" w:rsidRDefault="00392FB5" w:rsidP="00A27CEA">
            <w:pPr>
              <w:pStyle w:val="KMC16-Tablecontent"/>
              <w:rPr>
                <w:color w:val="auto"/>
                <w:lang w:val="en-AU"/>
              </w:rPr>
            </w:pPr>
            <w:r w:rsidRPr="0040247D">
              <w:rPr>
                <w:color w:val="auto"/>
                <w:lang w:val="en-AU"/>
              </w:rPr>
              <w:t>48</w:t>
            </w:r>
            <w:r w:rsidR="00ED33E6" w:rsidRPr="0040247D">
              <w:rPr>
                <w:color w:val="auto"/>
                <w:lang w:val="en-AU"/>
              </w:rPr>
              <w:t xml:space="preserve"> </w:t>
            </w:r>
            <w:proofErr w:type="gramStart"/>
            <w:r w:rsidRPr="0040247D">
              <w:rPr>
                <w:color w:val="auto"/>
                <w:lang w:val="en-AU"/>
              </w:rPr>
              <w:t>week</w:t>
            </w:r>
            <w:proofErr w:type="gramEnd"/>
            <w:r w:rsidRPr="0040247D">
              <w:rPr>
                <w:color w:val="auto"/>
                <w:lang w:val="en-AU"/>
              </w:rPr>
              <w:t xml:space="preserve"> </w:t>
            </w:r>
          </w:p>
        </w:tc>
        <w:tc>
          <w:tcPr>
            <w:tcW w:w="609" w:type="pct"/>
            <w:shd w:val="clear" w:color="auto" w:fill="auto"/>
            <w:vAlign w:val="center"/>
          </w:tcPr>
          <w:p w14:paraId="753E60FB" w14:textId="77777777" w:rsidR="00392FB5" w:rsidRPr="0040247D" w:rsidRDefault="00392FB5" w:rsidP="00A27CEA">
            <w:pPr>
              <w:pStyle w:val="KMC16-Tablecontent"/>
              <w:jc w:val="center"/>
              <w:rPr>
                <w:color w:val="auto"/>
                <w:lang w:val="en-AU"/>
              </w:rPr>
            </w:pPr>
            <w:r w:rsidRPr="0040247D">
              <w:rPr>
                <w:color w:val="auto"/>
                <w:lang w:val="en-AU"/>
              </w:rPr>
              <w:t>High</w:t>
            </w:r>
          </w:p>
        </w:tc>
        <w:tc>
          <w:tcPr>
            <w:tcW w:w="872" w:type="pct"/>
            <w:shd w:val="clear" w:color="auto" w:fill="auto"/>
            <w:vAlign w:val="center"/>
          </w:tcPr>
          <w:p w14:paraId="751B701F" w14:textId="77777777" w:rsidR="00392FB5" w:rsidRPr="0040247D" w:rsidRDefault="00392FB5" w:rsidP="00A27CEA">
            <w:pPr>
              <w:pStyle w:val="KMC16-Tablecontent"/>
              <w:jc w:val="center"/>
              <w:rPr>
                <w:color w:val="auto"/>
                <w:lang w:val="en-AU"/>
              </w:rPr>
            </w:pPr>
            <w:r w:rsidRPr="0040247D">
              <w:rPr>
                <w:color w:val="auto"/>
                <w:lang w:val="en-AU"/>
              </w:rPr>
              <w:t>CPP</w:t>
            </w:r>
          </w:p>
        </w:tc>
        <w:tc>
          <w:tcPr>
            <w:tcW w:w="1814" w:type="pct"/>
            <w:shd w:val="clear" w:color="auto" w:fill="auto"/>
            <w:vAlign w:val="center"/>
          </w:tcPr>
          <w:p w14:paraId="420B2C6D" w14:textId="7F99DF1F" w:rsidR="00392FB5" w:rsidRPr="0040247D" w:rsidRDefault="00CE3EDD" w:rsidP="00A27CEA">
            <w:pPr>
              <w:pStyle w:val="KMC16-Tablecontent"/>
              <w:rPr>
                <w:color w:val="auto"/>
                <w:lang w:val="en-AU"/>
              </w:rPr>
            </w:pPr>
            <w:r w:rsidRPr="0040247D">
              <w:rPr>
                <w:color w:val="auto"/>
                <w:lang w:val="en-AU"/>
              </w:rPr>
              <w:t xml:space="preserve">Primary: </w:t>
            </w:r>
            <w:r w:rsidR="00CC7DA9" w:rsidRPr="0040247D">
              <w:rPr>
                <w:color w:val="auto"/>
                <w:lang w:val="en-AU"/>
              </w:rPr>
              <w:t>%</w:t>
            </w:r>
            <w:r w:rsidR="00AE4DC3" w:rsidRPr="0040247D">
              <w:rPr>
                <w:color w:val="auto"/>
                <w:lang w:val="en-AU"/>
              </w:rPr>
              <w:t xml:space="preserve"> responders (defined as serum LH</w:t>
            </w:r>
            <w:r w:rsidR="00494603" w:rsidRPr="0040247D">
              <w:rPr>
                <w:color w:val="auto"/>
                <w:lang w:val="en-AU"/>
              </w:rPr>
              <w:t xml:space="preserve">C </w:t>
            </w:r>
            <w:r w:rsidR="00AE4DC3" w:rsidRPr="0040247D">
              <w:rPr>
                <w:color w:val="auto"/>
                <w:lang w:val="en-AU"/>
              </w:rPr>
              <w:t xml:space="preserve">&lt;4 IU/L 30 min after </w:t>
            </w:r>
            <w:proofErr w:type="spellStart"/>
            <w:r w:rsidR="00AE4DC3" w:rsidRPr="0040247D">
              <w:rPr>
                <w:color w:val="auto"/>
                <w:lang w:val="en-AU"/>
              </w:rPr>
              <w:t>GnRHa</w:t>
            </w:r>
            <w:proofErr w:type="spellEnd"/>
            <w:r w:rsidR="00AE4DC3" w:rsidRPr="0040247D">
              <w:rPr>
                <w:color w:val="auto"/>
                <w:lang w:val="en-AU"/>
              </w:rPr>
              <w:t xml:space="preserve"> agonist stimulation) at Week 24.</w:t>
            </w:r>
          </w:p>
          <w:p w14:paraId="6C11F071" w14:textId="77777777" w:rsidR="008B523F" w:rsidRPr="0040247D" w:rsidRDefault="008B523F" w:rsidP="00A27CEA">
            <w:pPr>
              <w:pStyle w:val="KMC16-Tablecontent"/>
              <w:rPr>
                <w:color w:val="auto"/>
                <w:lang w:val="en-AU"/>
              </w:rPr>
            </w:pPr>
          </w:p>
          <w:p w14:paraId="6616CEAA" w14:textId="77777777" w:rsidR="00CE3EDD" w:rsidRPr="0040247D" w:rsidRDefault="00CE3EDD" w:rsidP="00A27CEA">
            <w:pPr>
              <w:pStyle w:val="KMC16-Tablecontent"/>
              <w:rPr>
                <w:color w:val="auto"/>
                <w:lang w:val="en-AU"/>
              </w:rPr>
            </w:pPr>
            <w:r w:rsidRPr="0040247D">
              <w:rPr>
                <w:color w:val="auto"/>
                <w:lang w:val="en-AU"/>
              </w:rPr>
              <w:t xml:space="preserve">Secondary: </w:t>
            </w:r>
          </w:p>
          <w:p w14:paraId="269C9B6C" w14:textId="38AF7808" w:rsidR="00AE4DC3" w:rsidRPr="0040247D" w:rsidRDefault="0084144C" w:rsidP="00FE3F3C">
            <w:pPr>
              <w:pStyle w:val="KMC16-Tablecontent"/>
              <w:numPr>
                <w:ilvl w:val="0"/>
                <w:numId w:val="16"/>
              </w:numPr>
              <w:ind w:left="149" w:hanging="142"/>
              <w:rPr>
                <w:color w:val="auto"/>
                <w:lang w:val="en-AU"/>
              </w:rPr>
            </w:pPr>
            <w:r w:rsidRPr="0040247D">
              <w:rPr>
                <w:color w:val="auto"/>
                <w:lang w:val="en-AU"/>
              </w:rPr>
              <w:t>%</w:t>
            </w:r>
            <w:r w:rsidR="00AE4DC3" w:rsidRPr="0040247D">
              <w:rPr>
                <w:color w:val="auto"/>
                <w:lang w:val="en-AU"/>
              </w:rPr>
              <w:t xml:space="preserve"> responders at all study visits</w:t>
            </w:r>
          </w:p>
          <w:p w14:paraId="7C1ADE35" w14:textId="77777777" w:rsidR="00AE4DC3" w:rsidRPr="0040247D" w:rsidRDefault="00AE4DC3" w:rsidP="00FE3F3C">
            <w:pPr>
              <w:pStyle w:val="KMC16-Tablecontent"/>
              <w:numPr>
                <w:ilvl w:val="0"/>
                <w:numId w:val="16"/>
              </w:numPr>
              <w:ind w:left="149" w:hanging="142"/>
              <w:rPr>
                <w:color w:val="auto"/>
                <w:lang w:val="en-AU"/>
              </w:rPr>
            </w:pPr>
            <w:r w:rsidRPr="0040247D">
              <w:rPr>
                <w:color w:val="auto"/>
                <w:lang w:val="en-AU"/>
              </w:rPr>
              <w:t xml:space="preserve">Mean serum LH (IU/L) post stimulation </w:t>
            </w:r>
            <w:proofErr w:type="spellStart"/>
            <w:r w:rsidRPr="0040247D">
              <w:rPr>
                <w:color w:val="auto"/>
                <w:lang w:val="en-AU"/>
              </w:rPr>
              <w:t>GnRHa</w:t>
            </w:r>
            <w:proofErr w:type="spellEnd"/>
            <w:r w:rsidRPr="0040247D">
              <w:rPr>
                <w:color w:val="auto"/>
                <w:lang w:val="en-AU"/>
              </w:rPr>
              <w:t xml:space="preserve"> stimulation at study visits</w:t>
            </w:r>
          </w:p>
          <w:p w14:paraId="28C13923" w14:textId="77777777" w:rsidR="00AE4DC3" w:rsidRPr="0040247D" w:rsidRDefault="00AE4DC3" w:rsidP="00FE3F3C">
            <w:pPr>
              <w:pStyle w:val="KMC16-Tablecontent"/>
              <w:numPr>
                <w:ilvl w:val="0"/>
                <w:numId w:val="16"/>
              </w:numPr>
              <w:ind w:left="149" w:hanging="142"/>
              <w:rPr>
                <w:color w:val="auto"/>
                <w:lang w:val="en-AU"/>
              </w:rPr>
            </w:pPr>
            <w:r w:rsidRPr="0040247D">
              <w:rPr>
                <w:color w:val="auto"/>
                <w:lang w:val="en-AU"/>
              </w:rPr>
              <w:t>Ratio of bone age to chronological age.</w:t>
            </w:r>
          </w:p>
          <w:p w14:paraId="6C04495B" w14:textId="189FF9A0" w:rsidR="00AE4DC3" w:rsidRPr="0040247D" w:rsidRDefault="00AE4DC3" w:rsidP="00FE3F3C">
            <w:pPr>
              <w:pStyle w:val="KMC16-Tablecontent"/>
              <w:numPr>
                <w:ilvl w:val="0"/>
                <w:numId w:val="16"/>
              </w:numPr>
              <w:ind w:left="149" w:hanging="142"/>
              <w:rPr>
                <w:color w:val="auto"/>
                <w:lang w:val="en-AU"/>
              </w:rPr>
            </w:pPr>
            <w:r w:rsidRPr="0040247D">
              <w:rPr>
                <w:color w:val="auto"/>
                <w:lang w:val="en-AU"/>
              </w:rPr>
              <w:t>Growth velocity (cm/year)</w:t>
            </w:r>
          </w:p>
          <w:p w14:paraId="24E86CCC" w14:textId="412524CB" w:rsidR="00FE3F3C" w:rsidRPr="0040247D" w:rsidRDefault="0084144C" w:rsidP="00FE3F3C">
            <w:pPr>
              <w:pStyle w:val="KMC16-Tablecontent"/>
              <w:numPr>
                <w:ilvl w:val="0"/>
                <w:numId w:val="16"/>
              </w:numPr>
              <w:ind w:left="149" w:hanging="142"/>
              <w:rPr>
                <w:color w:val="auto"/>
                <w:lang w:val="en-AU"/>
              </w:rPr>
            </w:pPr>
            <w:r w:rsidRPr="0040247D">
              <w:rPr>
                <w:color w:val="auto"/>
                <w:lang w:val="en-AU"/>
              </w:rPr>
              <w:t>%</w:t>
            </w:r>
            <w:r w:rsidR="00AE4DC3" w:rsidRPr="0040247D">
              <w:rPr>
                <w:color w:val="auto"/>
                <w:lang w:val="en-AU"/>
              </w:rPr>
              <w:t xml:space="preserve"> patients with response in serum </w:t>
            </w:r>
            <w:r w:rsidR="00F86B85" w:rsidRPr="0040247D">
              <w:rPr>
                <w:color w:val="auto"/>
                <w:lang w:val="en-AU"/>
              </w:rPr>
              <w:t>oestradiol</w:t>
            </w:r>
            <w:r w:rsidR="00AE4DC3" w:rsidRPr="0040247D">
              <w:rPr>
                <w:color w:val="auto"/>
                <w:lang w:val="en-AU"/>
              </w:rPr>
              <w:t xml:space="preserve"> and testosterone </w:t>
            </w:r>
          </w:p>
          <w:p w14:paraId="0E87A4BF" w14:textId="6CD96A15" w:rsidR="00BD5E0B" w:rsidRPr="00E57B4B" w:rsidRDefault="00BD5E0B" w:rsidP="00FE3F3C">
            <w:pPr>
              <w:pStyle w:val="KMC16-Tablecontent"/>
              <w:numPr>
                <w:ilvl w:val="0"/>
                <w:numId w:val="16"/>
              </w:numPr>
              <w:ind w:left="149" w:hanging="142"/>
              <w:rPr>
                <w:color w:val="auto"/>
                <w:lang w:val="en-AU"/>
              </w:rPr>
            </w:pPr>
            <w:r w:rsidRPr="00E57B4B">
              <w:rPr>
                <w:color w:val="auto"/>
                <w:lang w:val="en-AU"/>
              </w:rPr>
              <w:t>Height (cm) at each timepoint</w:t>
            </w:r>
          </w:p>
          <w:p w14:paraId="6BC79074" w14:textId="49015730" w:rsidR="00BD5E0B" w:rsidRPr="00E57B4B" w:rsidRDefault="00BD5E0B" w:rsidP="00FE3F3C">
            <w:pPr>
              <w:pStyle w:val="KMC16-Tablecontent"/>
              <w:numPr>
                <w:ilvl w:val="0"/>
                <w:numId w:val="16"/>
              </w:numPr>
              <w:ind w:left="149" w:hanging="142"/>
              <w:rPr>
                <w:color w:val="auto"/>
                <w:lang w:val="en-AU"/>
              </w:rPr>
            </w:pPr>
            <w:r w:rsidRPr="00E57B4B">
              <w:rPr>
                <w:color w:val="auto"/>
                <w:lang w:val="en-AU"/>
              </w:rPr>
              <w:t xml:space="preserve">Mean </w:t>
            </w:r>
            <w:r w:rsidR="00494603" w:rsidRPr="00E57B4B">
              <w:rPr>
                <w:color w:val="auto"/>
                <w:lang w:val="en-AU"/>
              </w:rPr>
              <w:t>HC</w:t>
            </w:r>
            <w:r w:rsidRPr="00E57B4B">
              <w:rPr>
                <w:color w:val="auto"/>
                <w:lang w:val="en-AU"/>
              </w:rPr>
              <w:t xml:space="preserve"> of FSH, </w:t>
            </w:r>
            <w:r w:rsidR="00F86B85" w:rsidRPr="00E57B4B">
              <w:rPr>
                <w:color w:val="auto"/>
                <w:lang w:val="en-AU"/>
              </w:rPr>
              <w:t>oestradiol</w:t>
            </w:r>
            <w:r w:rsidRPr="00E57B4B">
              <w:rPr>
                <w:color w:val="auto"/>
                <w:lang w:val="en-AU"/>
              </w:rPr>
              <w:t xml:space="preserve"> and testosterone post stimulation at study visits</w:t>
            </w:r>
          </w:p>
          <w:p w14:paraId="29CAD0DA" w14:textId="783DAFEB" w:rsidR="00BD5E0B" w:rsidRPr="00E57B4B" w:rsidRDefault="00BD5E0B" w:rsidP="00FE3F3C">
            <w:pPr>
              <w:pStyle w:val="KMC16-Tablecontent"/>
              <w:numPr>
                <w:ilvl w:val="0"/>
                <w:numId w:val="16"/>
              </w:numPr>
              <w:ind w:left="149" w:hanging="142"/>
              <w:rPr>
                <w:color w:val="auto"/>
                <w:lang w:val="en-AU"/>
              </w:rPr>
            </w:pPr>
            <w:r w:rsidRPr="00E57B4B">
              <w:rPr>
                <w:color w:val="auto"/>
                <w:lang w:val="en-AU"/>
              </w:rPr>
              <w:t>Changes in Tanner category from baseline to end of study</w:t>
            </w:r>
          </w:p>
          <w:p w14:paraId="7192D117" w14:textId="54731B2D" w:rsidR="00BD5E0B" w:rsidRPr="00E57B4B" w:rsidRDefault="00BD5E0B" w:rsidP="00FE3F3C">
            <w:pPr>
              <w:pStyle w:val="KMC16-Tablecontent"/>
              <w:numPr>
                <w:ilvl w:val="0"/>
                <w:numId w:val="16"/>
              </w:numPr>
              <w:ind w:left="149" w:hanging="142"/>
              <w:rPr>
                <w:color w:val="auto"/>
                <w:lang w:val="en-AU"/>
              </w:rPr>
            </w:pPr>
            <w:r w:rsidRPr="00E57B4B">
              <w:rPr>
                <w:color w:val="auto"/>
                <w:lang w:val="en-AU"/>
              </w:rPr>
              <w:t>Menses presence and change</w:t>
            </w:r>
          </w:p>
          <w:p w14:paraId="5EE666E3" w14:textId="6851F656" w:rsidR="00BD5E0B" w:rsidRPr="00E57B4B" w:rsidRDefault="00BD5E0B" w:rsidP="00FE3F3C">
            <w:pPr>
              <w:pStyle w:val="KMC16-Tablecontent"/>
              <w:numPr>
                <w:ilvl w:val="0"/>
                <w:numId w:val="16"/>
              </w:numPr>
              <w:ind w:left="149" w:hanging="142"/>
              <w:rPr>
                <w:color w:val="auto"/>
                <w:lang w:val="en-AU"/>
              </w:rPr>
            </w:pPr>
            <w:r w:rsidRPr="00E57B4B">
              <w:rPr>
                <w:color w:val="auto"/>
                <w:lang w:val="en-AU"/>
              </w:rPr>
              <w:t>PK outcomes for serum leuprorelin at each study visit</w:t>
            </w:r>
          </w:p>
          <w:p w14:paraId="4BE08437" w14:textId="77777777" w:rsidR="004114B0" w:rsidRPr="0040247D" w:rsidRDefault="004114B0" w:rsidP="00AE4DC3">
            <w:pPr>
              <w:pStyle w:val="KMC16-Tablecontent"/>
              <w:rPr>
                <w:color w:val="auto"/>
                <w:lang w:val="en-AU"/>
              </w:rPr>
            </w:pPr>
          </w:p>
          <w:p w14:paraId="38A95E9B" w14:textId="694309EC" w:rsidR="00AE4DC3" w:rsidRPr="0040247D" w:rsidRDefault="00AE4DC3" w:rsidP="00AE4DC3">
            <w:pPr>
              <w:pStyle w:val="KMC16-Tablecontent"/>
              <w:rPr>
                <w:color w:val="auto"/>
                <w:lang w:val="en-AU"/>
              </w:rPr>
            </w:pPr>
            <w:r w:rsidRPr="0040247D">
              <w:rPr>
                <w:color w:val="auto"/>
                <w:lang w:val="en-AU"/>
              </w:rPr>
              <w:t>Safety: TEAEs, treatment related TEAEs, individual TEAE and SOC TEAE rates</w:t>
            </w:r>
          </w:p>
        </w:tc>
      </w:tr>
      <w:tr w:rsidR="00067771" w:rsidRPr="0040247D" w14:paraId="0F6A0163" w14:textId="77777777" w:rsidTr="00CA1457">
        <w:tc>
          <w:tcPr>
            <w:tcW w:w="5000" w:type="pct"/>
            <w:gridSpan w:val="6"/>
            <w:shd w:val="clear" w:color="auto" w:fill="auto"/>
            <w:vAlign w:val="center"/>
          </w:tcPr>
          <w:p w14:paraId="7DE32E09" w14:textId="0D191B83" w:rsidR="00EE26B3" w:rsidRPr="0040247D" w:rsidRDefault="006E5033" w:rsidP="00A27CEA">
            <w:pPr>
              <w:pStyle w:val="In-tableHeading"/>
              <w:rPr>
                <w:lang w:val="en-AU"/>
              </w:rPr>
            </w:pPr>
            <w:proofErr w:type="spellStart"/>
            <w:r w:rsidRPr="0040247D">
              <w:rPr>
                <w:lang w:val="en-AU"/>
              </w:rPr>
              <w:t>Lucrin</w:t>
            </w:r>
            <w:proofErr w:type="spellEnd"/>
            <w:r w:rsidRPr="0040247D">
              <w:rPr>
                <w:lang w:val="en-AU"/>
              </w:rPr>
              <w:t xml:space="preserve"> Paediatric</w:t>
            </w:r>
          </w:p>
        </w:tc>
      </w:tr>
      <w:tr w:rsidR="00067771" w:rsidRPr="0040247D" w14:paraId="3B4A0E9D" w14:textId="77777777" w:rsidTr="00CA1457">
        <w:tc>
          <w:tcPr>
            <w:tcW w:w="699" w:type="pct"/>
            <w:shd w:val="clear" w:color="auto" w:fill="auto"/>
            <w:vAlign w:val="center"/>
          </w:tcPr>
          <w:p w14:paraId="70C3FF04" w14:textId="1B08ACA7" w:rsidR="00EE26B3" w:rsidRPr="0040247D" w:rsidRDefault="00EE26B3" w:rsidP="00A27CEA">
            <w:pPr>
              <w:pStyle w:val="KMC16-Tablecontent"/>
              <w:rPr>
                <w:color w:val="auto"/>
                <w:lang w:val="en-AU"/>
              </w:rPr>
            </w:pPr>
            <w:r w:rsidRPr="0040247D">
              <w:rPr>
                <w:color w:val="auto"/>
                <w:lang w:val="en-AU"/>
              </w:rPr>
              <w:t>Lee 2012</w:t>
            </w:r>
          </w:p>
        </w:tc>
        <w:tc>
          <w:tcPr>
            <w:tcW w:w="239" w:type="pct"/>
            <w:shd w:val="clear" w:color="auto" w:fill="auto"/>
            <w:vAlign w:val="center"/>
          </w:tcPr>
          <w:p w14:paraId="2A1B244E" w14:textId="7130D06F" w:rsidR="00EE26B3" w:rsidRPr="0040247D" w:rsidRDefault="000F0857" w:rsidP="00A27CEA">
            <w:pPr>
              <w:pStyle w:val="KMC16-Tablecontent"/>
              <w:jc w:val="center"/>
              <w:rPr>
                <w:color w:val="auto"/>
                <w:lang w:val="en-AU"/>
              </w:rPr>
            </w:pPr>
            <w:r w:rsidRPr="0040247D">
              <w:rPr>
                <w:color w:val="auto"/>
                <w:lang w:val="en-AU"/>
              </w:rPr>
              <w:t>42</w:t>
            </w:r>
          </w:p>
        </w:tc>
        <w:tc>
          <w:tcPr>
            <w:tcW w:w="768" w:type="pct"/>
            <w:shd w:val="clear" w:color="auto" w:fill="auto"/>
            <w:vAlign w:val="center"/>
          </w:tcPr>
          <w:p w14:paraId="6C798474" w14:textId="77777777" w:rsidR="00ED33E6" w:rsidRPr="0040247D" w:rsidRDefault="00272EAF" w:rsidP="00A27CEA">
            <w:pPr>
              <w:pStyle w:val="KMC16-Tablecontent"/>
              <w:rPr>
                <w:color w:val="auto"/>
                <w:lang w:val="en-AU"/>
              </w:rPr>
            </w:pPr>
            <w:r w:rsidRPr="0040247D">
              <w:rPr>
                <w:color w:val="auto"/>
                <w:lang w:val="en-AU"/>
              </w:rPr>
              <w:t>MC, R</w:t>
            </w:r>
            <w:r w:rsidR="00EE26B3" w:rsidRPr="0040247D">
              <w:rPr>
                <w:color w:val="auto"/>
                <w:lang w:val="en-AU"/>
              </w:rPr>
              <w:t xml:space="preserve">, OL, </w:t>
            </w:r>
          </w:p>
          <w:p w14:paraId="6E4C94E2" w14:textId="1D1977D2" w:rsidR="00EE26B3" w:rsidRPr="0040247D" w:rsidRDefault="00272EAF" w:rsidP="00A27CEA">
            <w:pPr>
              <w:pStyle w:val="KMC16-Tablecontent"/>
              <w:rPr>
                <w:color w:val="auto"/>
                <w:lang w:val="en-AU"/>
              </w:rPr>
            </w:pPr>
            <w:r w:rsidRPr="0040247D">
              <w:rPr>
                <w:color w:val="auto"/>
                <w:lang w:val="en-AU"/>
              </w:rPr>
              <w:t>36</w:t>
            </w:r>
            <w:r w:rsidR="00EE26B3" w:rsidRPr="0040247D">
              <w:rPr>
                <w:color w:val="auto"/>
                <w:lang w:val="en-AU"/>
              </w:rPr>
              <w:t xml:space="preserve"> </w:t>
            </w:r>
            <w:proofErr w:type="gramStart"/>
            <w:r w:rsidR="00EE26B3" w:rsidRPr="0040247D">
              <w:rPr>
                <w:color w:val="auto"/>
                <w:lang w:val="en-AU"/>
              </w:rPr>
              <w:t>week</w:t>
            </w:r>
            <w:proofErr w:type="gramEnd"/>
            <w:r w:rsidR="00EE26B3" w:rsidRPr="0040247D">
              <w:rPr>
                <w:color w:val="auto"/>
                <w:lang w:val="en-AU"/>
              </w:rPr>
              <w:t xml:space="preserve"> </w:t>
            </w:r>
          </w:p>
        </w:tc>
        <w:tc>
          <w:tcPr>
            <w:tcW w:w="609" w:type="pct"/>
            <w:shd w:val="clear" w:color="auto" w:fill="auto"/>
            <w:vAlign w:val="center"/>
          </w:tcPr>
          <w:p w14:paraId="0AF8860F" w14:textId="77777777" w:rsidR="00EE26B3" w:rsidRPr="0040247D" w:rsidRDefault="00EE26B3" w:rsidP="00A27CEA">
            <w:pPr>
              <w:pStyle w:val="KMC16-Tablecontent"/>
              <w:jc w:val="center"/>
              <w:rPr>
                <w:color w:val="auto"/>
                <w:lang w:val="en-AU"/>
              </w:rPr>
            </w:pPr>
            <w:r w:rsidRPr="0040247D">
              <w:rPr>
                <w:color w:val="auto"/>
                <w:lang w:val="en-AU"/>
              </w:rPr>
              <w:t>High</w:t>
            </w:r>
          </w:p>
        </w:tc>
        <w:tc>
          <w:tcPr>
            <w:tcW w:w="872" w:type="pct"/>
            <w:shd w:val="clear" w:color="auto" w:fill="auto"/>
            <w:vAlign w:val="center"/>
          </w:tcPr>
          <w:p w14:paraId="7B3BACE9" w14:textId="77777777" w:rsidR="00EE26B3" w:rsidRPr="0040247D" w:rsidRDefault="00EE26B3" w:rsidP="00A27CEA">
            <w:pPr>
              <w:pStyle w:val="KMC16-Tablecontent"/>
              <w:jc w:val="center"/>
              <w:rPr>
                <w:color w:val="auto"/>
                <w:lang w:val="en-AU"/>
              </w:rPr>
            </w:pPr>
            <w:r w:rsidRPr="0040247D">
              <w:rPr>
                <w:color w:val="auto"/>
                <w:lang w:val="en-AU"/>
              </w:rPr>
              <w:t>CPP</w:t>
            </w:r>
          </w:p>
        </w:tc>
        <w:tc>
          <w:tcPr>
            <w:tcW w:w="1814" w:type="pct"/>
            <w:shd w:val="clear" w:color="auto" w:fill="auto"/>
            <w:vAlign w:val="center"/>
          </w:tcPr>
          <w:p w14:paraId="1C64FBA3" w14:textId="275D2E59" w:rsidR="00EE26B3" w:rsidRPr="0040247D" w:rsidRDefault="009C5F1F" w:rsidP="00A27CEA">
            <w:pPr>
              <w:pStyle w:val="KMC16-Tablecontent"/>
              <w:rPr>
                <w:color w:val="auto"/>
                <w:lang w:val="en-AU"/>
              </w:rPr>
            </w:pPr>
            <w:r w:rsidRPr="0040247D">
              <w:rPr>
                <w:color w:val="auto"/>
                <w:lang w:val="en-AU"/>
              </w:rPr>
              <w:t xml:space="preserve">Primary: </w:t>
            </w:r>
            <w:r w:rsidR="00AB335A" w:rsidRPr="0040247D">
              <w:rPr>
                <w:color w:val="auto"/>
                <w:lang w:val="en-AU"/>
              </w:rPr>
              <w:t>%</w:t>
            </w:r>
            <w:r w:rsidR="00CC7DA9" w:rsidRPr="0040247D">
              <w:rPr>
                <w:color w:val="auto"/>
                <w:lang w:val="en-AU"/>
              </w:rPr>
              <w:t xml:space="preserve"> </w:t>
            </w:r>
            <w:r w:rsidRPr="0040247D">
              <w:rPr>
                <w:color w:val="auto"/>
                <w:lang w:val="en-AU"/>
              </w:rPr>
              <w:t>patients with serum LH concentration &lt;4 IU/L</w:t>
            </w:r>
            <w:r w:rsidR="00AB335A" w:rsidRPr="0040247D">
              <w:rPr>
                <w:color w:val="auto"/>
                <w:lang w:val="en-AU"/>
              </w:rPr>
              <w:t xml:space="preserve">, </w:t>
            </w:r>
            <w:r w:rsidRPr="0040247D">
              <w:rPr>
                <w:color w:val="auto"/>
                <w:lang w:val="en-AU"/>
              </w:rPr>
              <w:t>month</w:t>
            </w:r>
            <w:r w:rsidR="00AB335A" w:rsidRPr="0040247D">
              <w:rPr>
                <w:color w:val="auto"/>
                <w:lang w:val="en-AU"/>
              </w:rPr>
              <w:t>s</w:t>
            </w:r>
            <w:r w:rsidRPr="0040247D">
              <w:rPr>
                <w:color w:val="auto"/>
                <w:lang w:val="en-AU"/>
              </w:rPr>
              <w:t xml:space="preserve"> 2</w:t>
            </w:r>
            <w:r w:rsidR="00AB335A" w:rsidRPr="0040247D">
              <w:rPr>
                <w:color w:val="auto"/>
                <w:lang w:val="en-AU"/>
              </w:rPr>
              <w:t xml:space="preserve"> to </w:t>
            </w:r>
            <w:r w:rsidRPr="0040247D">
              <w:rPr>
                <w:color w:val="auto"/>
                <w:lang w:val="en-AU"/>
              </w:rPr>
              <w:t>6.</w:t>
            </w:r>
          </w:p>
          <w:p w14:paraId="0A5A848B" w14:textId="77777777" w:rsidR="008B523F" w:rsidRPr="0040247D" w:rsidRDefault="008B523F" w:rsidP="00A27CEA">
            <w:pPr>
              <w:pStyle w:val="KMC16-Tablecontent"/>
              <w:rPr>
                <w:color w:val="auto"/>
                <w:lang w:val="en-AU"/>
              </w:rPr>
            </w:pPr>
          </w:p>
          <w:p w14:paraId="024197EB" w14:textId="77777777" w:rsidR="00E40CFC" w:rsidRPr="0040247D" w:rsidRDefault="00E40CFC" w:rsidP="00A27CEA">
            <w:pPr>
              <w:pStyle w:val="KMC16-Tablecontent"/>
              <w:rPr>
                <w:color w:val="auto"/>
                <w:lang w:val="en-AU"/>
              </w:rPr>
            </w:pPr>
            <w:r w:rsidRPr="0040247D">
              <w:rPr>
                <w:color w:val="auto"/>
                <w:lang w:val="en-AU"/>
              </w:rPr>
              <w:t>Secondary:</w:t>
            </w:r>
          </w:p>
          <w:p w14:paraId="587F61B5" w14:textId="23246526" w:rsidR="00E40CFC" w:rsidRPr="0040247D" w:rsidRDefault="00AB335A" w:rsidP="00FE3F3C">
            <w:pPr>
              <w:pStyle w:val="KMC16-Tablecontent"/>
              <w:numPr>
                <w:ilvl w:val="0"/>
                <w:numId w:val="16"/>
              </w:numPr>
              <w:ind w:left="149" w:hanging="142"/>
              <w:rPr>
                <w:color w:val="auto"/>
                <w:lang w:val="en-AU"/>
              </w:rPr>
            </w:pPr>
            <w:r w:rsidRPr="0040247D">
              <w:rPr>
                <w:color w:val="auto"/>
                <w:lang w:val="en-AU"/>
              </w:rPr>
              <w:t>%</w:t>
            </w:r>
            <w:r w:rsidR="0072158D" w:rsidRPr="0040247D">
              <w:rPr>
                <w:color w:val="auto"/>
                <w:lang w:val="en-AU"/>
              </w:rPr>
              <w:t xml:space="preserve"> </w:t>
            </w:r>
            <w:r w:rsidR="00E40CFC" w:rsidRPr="0040247D">
              <w:rPr>
                <w:color w:val="auto"/>
                <w:lang w:val="en-AU"/>
              </w:rPr>
              <w:t xml:space="preserve">patients </w:t>
            </w:r>
            <w:r w:rsidRPr="0040247D">
              <w:rPr>
                <w:color w:val="auto"/>
                <w:lang w:val="en-AU"/>
              </w:rPr>
              <w:t>w</w:t>
            </w:r>
            <w:r w:rsidR="00E40CFC" w:rsidRPr="0040247D">
              <w:rPr>
                <w:color w:val="auto"/>
                <w:lang w:val="en-AU"/>
              </w:rPr>
              <w:t xml:space="preserve">ith </w:t>
            </w:r>
            <w:r w:rsidRPr="0040247D">
              <w:rPr>
                <w:color w:val="auto"/>
                <w:lang w:val="en-AU"/>
              </w:rPr>
              <w:t>s</w:t>
            </w:r>
            <w:r w:rsidR="00E40CFC" w:rsidRPr="0040247D">
              <w:rPr>
                <w:color w:val="auto"/>
                <w:lang w:val="en-AU"/>
              </w:rPr>
              <w:t xml:space="preserve">uppression of </w:t>
            </w:r>
            <w:r w:rsidR="00460E56" w:rsidRPr="0040247D">
              <w:rPr>
                <w:color w:val="auto"/>
                <w:lang w:val="en-AU"/>
              </w:rPr>
              <w:t>b</w:t>
            </w:r>
            <w:r w:rsidR="00E40CFC" w:rsidRPr="0040247D">
              <w:rPr>
                <w:color w:val="auto"/>
                <w:lang w:val="en-AU"/>
              </w:rPr>
              <w:t xml:space="preserve">asal </w:t>
            </w:r>
            <w:r w:rsidR="00F86B85" w:rsidRPr="0040247D">
              <w:rPr>
                <w:color w:val="auto"/>
                <w:lang w:val="en-AU"/>
              </w:rPr>
              <w:t>oestradiol</w:t>
            </w:r>
            <w:r w:rsidR="00E40CFC" w:rsidRPr="0040247D">
              <w:rPr>
                <w:color w:val="auto"/>
                <w:lang w:val="en-AU"/>
              </w:rPr>
              <w:t xml:space="preserve"> &lt;20 </w:t>
            </w:r>
            <w:proofErr w:type="spellStart"/>
            <w:r w:rsidR="00E40CFC" w:rsidRPr="0040247D">
              <w:rPr>
                <w:color w:val="auto"/>
                <w:lang w:val="en-AU"/>
              </w:rPr>
              <w:t>pg</w:t>
            </w:r>
            <w:proofErr w:type="spellEnd"/>
            <w:r w:rsidR="00E40CFC" w:rsidRPr="0040247D">
              <w:rPr>
                <w:color w:val="auto"/>
                <w:lang w:val="en-AU"/>
              </w:rPr>
              <w:t>/mL</w:t>
            </w:r>
          </w:p>
          <w:p w14:paraId="45211C71" w14:textId="70C682F6" w:rsidR="00E40CFC" w:rsidRPr="0040247D" w:rsidRDefault="00AB335A" w:rsidP="00FE3F3C">
            <w:pPr>
              <w:pStyle w:val="KMC16-Tablecontent"/>
              <w:numPr>
                <w:ilvl w:val="0"/>
                <w:numId w:val="16"/>
              </w:numPr>
              <w:ind w:left="149" w:hanging="142"/>
              <w:rPr>
                <w:color w:val="auto"/>
                <w:lang w:val="en-AU"/>
              </w:rPr>
            </w:pPr>
            <w:r w:rsidRPr="0040247D">
              <w:rPr>
                <w:color w:val="auto"/>
                <w:lang w:val="en-AU"/>
              </w:rPr>
              <w:t>%</w:t>
            </w:r>
            <w:r w:rsidR="008B523F" w:rsidRPr="0040247D">
              <w:rPr>
                <w:color w:val="auto"/>
                <w:lang w:val="en-AU"/>
              </w:rPr>
              <w:t xml:space="preserve"> </w:t>
            </w:r>
            <w:r w:rsidRPr="0040247D">
              <w:rPr>
                <w:color w:val="auto"/>
                <w:lang w:val="en-AU"/>
              </w:rPr>
              <w:t>p</w:t>
            </w:r>
            <w:r w:rsidR="00E40CFC" w:rsidRPr="0040247D">
              <w:rPr>
                <w:color w:val="auto"/>
                <w:lang w:val="en-AU"/>
              </w:rPr>
              <w:t xml:space="preserve">articipants </w:t>
            </w:r>
            <w:r w:rsidRPr="0040247D">
              <w:rPr>
                <w:color w:val="auto"/>
                <w:lang w:val="en-AU"/>
              </w:rPr>
              <w:t>w</w:t>
            </w:r>
            <w:r w:rsidR="00E40CFC" w:rsidRPr="0040247D">
              <w:rPr>
                <w:color w:val="auto"/>
                <w:lang w:val="en-AU"/>
              </w:rPr>
              <w:t xml:space="preserve">ith </w:t>
            </w:r>
            <w:r w:rsidRPr="0040247D">
              <w:rPr>
                <w:color w:val="auto"/>
                <w:lang w:val="en-AU"/>
              </w:rPr>
              <w:t>s</w:t>
            </w:r>
            <w:r w:rsidR="00E40CFC" w:rsidRPr="0040247D">
              <w:rPr>
                <w:color w:val="auto"/>
                <w:lang w:val="en-AU"/>
              </w:rPr>
              <w:t xml:space="preserve">uppression of </w:t>
            </w:r>
            <w:r w:rsidR="008B523F" w:rsidRPr="0040247D">
              <w:rPr>
                <w:color w:val="auto"/>
                <w:lang w:val="en-AU"/>
              </w:rPr>
              <w:t>t</w:t>
            </w:r>
            <w:r w:rsidR="00E40CFC" w:rsidRPr="0040247D">
              <w:rPr>
                <w:color w:val="auto"/>
                <w:lang w:val="en-AU"/>
              </w:rPr>
              <w:t>estosterone in &lt;30 ng/dL</w:t>
            </w:r>
          </w:p>
          <w:p w14:paraId="0402866D" w14:textId="78CA85E4" w:rsidR="00E40CFC" w:rsidRPr="0040247D" w:rsidRDefault="00E40CFC" w:rsidP="00FE3F3C">
            <w:pPr>
              <w:pStyle w:val="KMC16-Tablecontent"/>
              <w:numPr>
                <w:ilvl w:val="0"/>
                <w:numId w:val="16"/>
              </w:numPr>
              <w:ind w:left="149" w:hanging="142"/>
              <w:rPr>
                <w:color w:val="auto"/>
                <w:lang w:val="en-AU"/>
              </w:rPr>
            </w:pPr>
            <w:r w:rsidRPr="0040247D">
              <w:rPr>
                <w:color w:val="auto"/>
                <w:lang w:val="en-AU"/>
              </w:rPr>
              <w:t xml:space="preserve">Peak-stimulated </w:t>
            </w:r>
            <w:r w:rsidR="00C96640" w:rsidRPr="0040247D">
              <w:rPr>
                <w:color w:val="auto"/>
                <w:lang w:val="en-AU"/>
              </w:rPr>
              <w:t xml:space="preserve">LHC </w:t>
            </w:r>
            <w:r w:rsidRPr="0040247D">
              <w:rPr>
                <w:color w:val="auto"/>
                <w:lang w:val="en-AU"/>
              </w:rPr>
              <w:t xml:space="preserve">by </w:t>
            </w:r>
            <w:r w:rsidR="008B523F" w:rsidRPr="0040247D">
              <w:rPr>
                <w:color w:val="auto"/>
                <w:lang w:val="en-AU"/>
              </w:rPr>
              <w:t>v</w:t>
            </w:r>
            <w:r w:rsidRPr="0040247D">
              <w:rPr>
                <w:color w:val="auto"/>
                <w:lang w:val="en-AU"/>
              </w:rPr>
              <w:t>isit</w:t>
            </w:r>
          </w:p>
          <w:p w14:paraId="27CC996C" w14:textId="1A2A70F1" w:rsidR="00E40CFC" w:rsidRPr="0040247D" w:rsidRDefault="00872B82" w:rsidP="00FE3F3C">
            <w:pPr>
              <w:pStyle w:val="KMC16-Tablecontent"/>
              <w:numPr>
                <w:ilvl w:val="0"/>
                <w:numId w:val="16"/>
              </w:numPr>
              <w:ind w:left="149" w:hanging="142"/>
              <w:rPr>
                <w:color w:val="auto"/>
                <w:lang w:val="en-AU"/>
              </w:rPr>
            </w:pPr>
            <w:r w:rsidRPr="0040247D">
              <w:rPr>
                <w:color w:val="auto"/>
                <w:lang w:val="en-AU"/>
              </w:rPr>
              <w:t xml:space="preserve">% </w:t>
            </w:r>
            <w:r w:rsidR="0097393D" w:rsidRPr="0040247D">
              <w:rPr>
                <w:color w:val="auto"/>
                <w:lang w:val="en-AU"/>
              </w:rPr>
              <w:t>p</w:t>
            </w:r>
            <w:r w:rsidR="00E40CFC" w:rsidRPr="0040247D">
              <w:rPr>
                <w:color w:val="auto"/>
                <w:lang w:val="en-AU"/>
              </w:rPr>
              <w:t xml:space="preserve">articipants with </w:t>
            </w:r>
            <w:r w:rsidR="0097393D" w:rsidRPr="0040247D">
              <w:rPr>
                <w:color w:val="auto"/>
                <w:lang w:val="en-AU"/>
              </w:rPr>
              <w:t xml:space="preserve">suppression </w:t>
            </w:r>
            <w:r w:rsidR="00E40CFC" w:rsidRPr="0040247D">
              <w:rPr>
                <w:color w:val="auto"/>
                <w:lang w:val="en-AU"/>
              </w:rPr>
              <w:t xml:space="preserve">of the </w:t>
            </w:r>
            <w:r w:rsidR="0097393D" w:rsidRPr="0040247D">
              <w:rPr>
                <w:color w:val="auto"/>
                <w:lang w:val="en-AU"/>
              </w:rPr>
              <w:t>physical s</w:t>
            </w:r>
            <w:r w:rsidR="00E40CFC" w:rsidRPr="0040247D">
              <w:rPr>
                <w:color w:val="auto"/>
                <w:lang w:val="en-AU"/>
              </w:rPr>
              <w:t xml:space="preserve">igns of </w:t>
            </w:r>
            <w:r w:rsidR="0097393D" w:rsidRPr="0040247D">
              <w:rPr>
                <w:color w:val="auto"/>
                <w:lang w:val="en-AU"/>
              </w:rPr>
              <w:t>p</w:t>
            </w:r>
            <w:r w:rsidR="00E40CFC" w:rsidRPr="0040247D">
              <w:rPr>
                <w:color w:val="auto"/>
                <w:lang w:val="en-AU"/>
              </w:rPr>
              <w:t xml:space="preserve">uberty </w:t>
            </w:r>
          </w:p>
          <w:p w14:paraId="18DE27E7" w14:textId="3CB6D9B7" w:rsidR="00E40CFC" w:rsidRPr="0040247D" w:rsidRDefault="00E40CFC" w:rsidP="00FE3F3C">
            <w:pPr>
              <w:pStyle w:val="KMC16-Tablecontent"/>
              <w:numPr>
                <w:ilvl w:val="0"/>
                <w:numId w:val="16"/>
              </w:numPr>
              <w:ind w:left="149" w:hanging="142"/>
              <w:rPr>
                <w:color w:val="auto"/>
                <w:lang w:val="en-AU"/>
              </w:rPr>
            </w:pPr>
            <w:r w:rsidRPr="0040247D">
              <w:rPr>
                <w:color w:val="auto"/>
                <w:lang w:val="en-AU"/>
              </w:rPr>
              <w:t xml:space="preserve">Change from </w:t>
            </w:r>
            <w:r w:rsidR="00872B82" w:rsidRPr="0040247D">
              <w:rPr>
                <w:color w:val="auto"/>
                <w:lang w:val="en-AU"/>
              </w:rPr>
              <w:t>b</w:t>
            </w:r>
            <w:r w:rsidRPr="0040247D">
              <w:rPr>
                <w:color w:val="auto"/>
                <w:lang w:val="en-AU"/>
              </w:rPr>
              <w:t xml:space="preserve">aseline in </w:t>
            </w:r>
            <w:r w:rsidR="00872B82" w:rsidRPr="0040247D">
              <w:rPr>
                <w:color w:val="auto"/>
                <w:lang w:val="en-AU"/>
              </w:rPr>
              <w:t>i</w:t>
            </w:r>
            <w:r w:rsidRPr="0040247D">
              <w:rPr>
                <w:color w:val="auto"/>
                <w:lang w:val="en-AU"/>
              </w:rPr>
              <w:t xml:space="preserve">ncremental </w:t>
            </w:r>
            <w:r w:rsidR="00872B82" w:rsidRPr="0040247D">
              <w:rPr>
                <w:color w:val="auto"/>
                <w:lang w:val="en-AU"/>
              </w:rPr>
              <w:t>g</w:t>
            </w:r>
            <w:r w:rsidRPr="0040247D">
              <w:rPr>
                <w:color w:val="auto"/>
                <w:lang w:val="en-AU"/>
              </w:rPr>
              <w:t xml:space="preserve">rowth </w:t>
            </w:r>
            <w:r w:rsidR="00872B82" w:rsidRPr="0040247D">
              <w:rPr>
                <w:color w:val="auto"/>
                <w:lang w:val="en-AU"/>
              </w:rPr>
              <w:t>r</w:t>
            </w:r>
            <w:r w:rsidRPr="0040247D">
              <w:rPr>
                <w:color w:val="auto"/>
                <w:lang w:val="en-AU"/>
              </w:rPr>
              <w:t>ate</w:t>
            </w:r>
          </w:p>
          <w:p w14:paraId="390512F1" w14:textId="4D7B2AA4" w:rsidR="000A3B7F" w:rsidRPr="0040247D" w:rsidRDefault="00E40CFC" w:rsidP="00552D3C">
            <w:pPr>
              <w:pStyle w:val="KMC16-Tablecontent"/>
              <w:numPr>
                <w:ilvl w:val="0"/>
                <w:numId w:val="16"/>
              </w:numPr>
              <w:ind w:left="149" w:hanging="142"/>
              <w:rPr>
                <w:color w:val="auto"/>
                <w:lang w:val="en-AU"/>
              </w:rPr>
            </w:pPr>
            <w:r w:rsidRPr="0040247D">
              <w:rPr>
                <w:color w:val="auto"/>
                <w:lang w:val="en-AU"/>
              </w:rPr>
              <w:t xml:space="preserve">Ratio of </w:t>
            </w:r>
            <w:r w:rsidR="000A3B7F" w:rsidRPr="0040247D">
              <w:rPr>
                <w:color w:val="auto"/>
                <w:lang w:val="en-AU"/>
              </w:rPr>
              <w:t>c</w:t>
            </w:r>
            <w:r w:rsidRPr="0040247D">
              <w:rPr>
                <w:color w:val="auto"/>
                <w:lang w:val="en-AU"/>
              </w:rPr>
              <w:t xml:space="preserve">hange from </w:t>
            </w:r>
            <w:r w:rsidR="000A3B7F" w:rsidRPr="0040247D">
              <w:rPr>
                <w:color w:val="auto"/>
                <w:lang w:val="en-AU"/>
              </w:rPr>
              <w:t>b</w:t>
            </w:r>
            <w:r w:rsidRPr="0040247D">
              <w:rPr>
                <w:color w:val="auto"/>
                <w:lang w:val="en-AU"/>
              </w:rPr>
              <w:t xml:space="preserve">aseline in </w:t>
            </w:r>
            <w:r w:rsidR="000A3B7F" w:rsidRPr="0040247D">
              <w:rPr>
                <w:color w:val="auto"/>
                <w:lang w:val="en-AU"/>
              </w:rPr>
              <w:t>b</w:t>
            </w:r>
            <w:r w:rsidRPr="0040247D">
              <w:rPr>
                <w:color w:val="auto"/>
                <w:lang w:val="en-AU"/>
              </w:rPr>
              <w:t xml:space="preserve">one </w:t>
            </w:r>
            <w:r w:rsidR="000A3B7F" w:rsidRPr="0040247D">
              <w:rPr>
                <w:color w:val="auto"/>
                <w:lang w:val="en-AU"/>
              </w:rPr>
              <w:t>a</w:t>
            </w:r>
            <w:r w:rsidRPr="0040247D">
              <w:rPr>
                <w:color w:val="auto"/>
                <w:lang w:val="en-AU"/>
              </w:rPr>
              <w:t xml:space="preserve">ge/Change from </w:t>
            </w:r>
            <w:r w:rsidR="000A3B7F" w:rsidRPr="0040247D">
              <w:rPr>
                <w:color w:val="auto"/>
                <w:lang w:val="en-AU"/>
              </w:rPr>
              <w:t>b</w:t>
            </w:r>
            <w:r w:rsidRPr="0040247D">
              <w:rPr>
                <w:color w:val="auto"/>
                <w:lang w:val="en-AU"/>
              </w:rPr>
              <w:t xml:space="preserve">aseline in </w:t>
            </w:r>
            <w:r w:rsidR="000A3B7F" w:rsidRPr="0040247D">
              <w:rPr>
                <w:color w:val="auto"/>
                <w:lang w:val="en-AU"/>
              </w:rPr>
              <w:t>c</w:t>
            </w:r>
            <w:r w:rsidRPr="0040247D">
              <w:rPr>
                <w:color w:val="auto"/>
                <w:lang w:val="en-AU"/>
              </w:rPr>
              <w:t xml:space="preserve">hronological </w:t>
            </w:r>
            <w:r w:rsidR="000A3B7F" w:rsidRPr="0040247D">
              <w:rPr>
                <w:color w:val="auto"/>
                <w:lang w:val="en-AU"/>
              </w:rPr>
              <w:t>a</w:t>
            </w:r>
            <w:r w:rsidRPr="0040247D">
              <w:rPr>
                <w:color w:val="auto"/>
                <w:lang w:val="en-AU"/>
              </w:rPr>
              <w:t xml:space="preserve">ge </w:t>
            </w:r>
          </w:p>
          <w:p w14:paraId="7297A64B" w14:textId="77777777" w:rsidR="00FE3F3C" w:rsidRPr="0040247D" w:rsidRDefault="00FE3F3C" w:rsidP="000A3B7F">
            <w:pPr>
              <w:pStyle w:val="KMC16-Tablecontent"/>
              <w:ind w:left="7"/>
              <w:rPr>
                <w:color w:val="auto"/>
                <w:lang w:val="en-AU"/>
              </w:rPr>
            </w:pPr>
          </w:p>
          <w:p w14:paraId="3B656114" w14:textId="67D2A0A4" w:rsidR="00E40CFC" w:rsidRPr="0040247D" w:rsidRDefault="00E40CFC" w:rsidP="006A194A">
            <w:pPr>
              <w:pStyle w:val="KMC16-Tablecontent"/>
              <w:rPr>
                <w:color w:val="auto"/>
                <w:lang w:val="en-AU"/>
              </w:rPr>
            </w:pPr>
            <w:r w:rsidRPr="0040247D">
              <w:rPr>
                <w:color w:val="auto"/>
                <w:lang w:val="en-AU"/>
              </w:rPr>
              <w:t>Safety: Treatment-emergent AEs</w:t>
            </w:r>
            <w:r w:rsidR="000A3B7F" w:rsidRPr="0040247D">
              <w:rPr>
                <w:color w:val="auto"/>
                <w:lang w:val="en-AU"/>
              </w:rPr>
              <w:t>;</w:t>
            </w:r>
            <w:r w:rsidRPr="0040247D">
              <w:rPr>
                <w:color w:val="auto"/>
                <w:lang w:val="en-AU"/>
              </w:rPr>
              <w:t xml:space="preserve"> Serious AEs</w:t>
            </w:r>
            <w:r w:rsidR="000A3B7F" w:rsidRPr="0040247D">
              <w:rPr>
                <w:color w:val="auto"/>
                <w:lang w:val="en-AU"/>
              </w:rPr>
              <w:t xml:space="preserve">; </w:t>
            </w:r>
            <w:r w:rsidR="006A194A" w:rsidRPr="0040247D">
              <w:rPr>
                <w:color w:val="auto"/>
                <w:lang w:val="en-AU"/>
              </w:rPr>
              <w:t xml:space="preserve">and </w:t>
            </w:r>
            <w:r w:rsidRPr="0040247D">
              <w:rPr>
                <w:color w:val="auto"/>
                <w:lang w:val="en-AU"/>
              </w:rPr>
              <w:t>SOC</w:t>
            </w:r>
            <w:r w:rsidR="006A194A" w:rsidRPr="0040247D">
              <w:rPr>
                <w:color w:val="auto"/>
                <w:lang w:val="en-AU"/>
              </w:rPr>
              <w:t xml:space="preserve"> TEAEs</w:t>
            </w:r>
          </w:p>
        </w:tc>
      </w:tr>
      <w:tr w:rsidR="00067771" w:rsidRPr="0040247D" w14:paraId="548C91FE" w14:textId="77777777" w:rsidTr="00CA1457">
        <w:tc>
          <w:tcPr>
            <w:tcW w:w="699" w:type="pct"/>
            <w:shd w:val="clear" w:color="auto" w:fill="auto"/>
            <w:vAlign w:val="center"/>
          </w:tcPr>
          <w:p w14:paraId="324B6818" w14:textId="6C5F6396" w:rsidR="00D97474" w:rsidRPr="0040247D" w:rsidRDefault="00D97474" w:rsidP="00A27CEA">
            <w:pPr>
              <w:pStyle w:val="KMC16-Tablecontent"/>
              <w:rPr>
                <w:color w:val="auto"/>
                <w:lang w:val="en-AU"/>
              </w:rPr>
            </w:pPr>
            <w:r w:rsidRPr="0040247D">
              <w:rPr>
                <w:color w:val="auto"/>
                <w:lang w:val="en-AU"/>
              </w:rPr>
              <w:lastRenderedPageBreak/>
              <w:t>Lee 2014</w:t>
            </w:r>
          </w:p>
        </w:tc>
        <w:tc>
          <w:tcPr>
            <w:tcW w:w="239" w:type="pct"/>
            <w:shd w:val="clear" w:color="auto" w:fill="auto"/>
            <w:vAlign w:val="center"/>
          </w:tcPr>
          <w:p w14:paraId="11E53F95" w14:textId="1EB9ED4A" w:rsidR="00D97474" w:rsidRPr="0040247D" w:rsidRDefault="00D97474" w:rsidP="00A27CEA">
            <w:pPr>
              <w:pStyle w:val="KMC16-Tablecontent"/>
              <w:jc w:val="center"/>
              <w:rPr>
                <w:color w:val="auto"/>
                <w:lang w:val="en-AU"/>
              </w:rPr>
            </w:pPr>
            <w:r w:rsidRPr="0040247D">
              <w:rPr>
                <w:color w:val="auto"/>
                <w:lang w:val="en-AU"/>
              </w:rPr>
              <w:t>38</w:t>
            </w:r>
          </w:p>
        </w:tc>
        <w:tc>
          <w:tcPr>
            <w:tcW w:w="768" w:type="pct"/>
            <w:shd w:val="clear" w:color="auto" w:fill="auto"/>
            <w:vAlign w:val="center"/>
          </w:tcPr>
          <w:p w14:paraId="75EFA73E" w14:textId="77777777" w:rsidR="00ED33E6" w:rsidRPr="0040247D" w:rsidRDefault="00D97474" w:rsidP="00A27CEA">
            <w:pPr>
              <w:pStyle w:val="KMC16-Tablecontent"/>
              <w:rPr>
                <w:color w:val="auto"/>
                <w:lang w:val="en-AU"/>
              </w:rPr>
            </w:pPr>
            <w:r w:rsidRPr="0040247D">
              <w:rPr>
                <w:color w:val="auto"/>
                <w:lang w:val="en-AU"/>
              </w:rPr>
              <w:t xml:space="preserve">MC, R, OL, </w:t>
            </w:r>
          </w:p>
          <w:p w14:paraId="22C4E8F5" w14:textId="7BF5913F" w:rsidR="00D97474" w:rsidRPr="0040247D" w:rsidRDefault="00D97474" w:rsidP="00A27CEA">
            <w:pPr>
              <w:pStyle w:val="KMC16-Tablecontent"/>
              <w:rPr>
                <w:color w:val="auto"/>
                <w:lang w:val="en-AU"/>
              </w:rPr>
            </w:pPr>
            <w:r w:rsidRPr="0040247D">
              <w:rPr>
                <w:color w:val="auto"/>
                <w:lang w:val="en-AU"/>
              </w:rPr>
              <w:t xml:space="preserve">144 </w:t>
            </w:r>
            <w:proofErr w:type="gramStart"/>
            <w:r w:rsidRPr="0040247D">
              <w:rPr>
                <w:color w:val="auto"/>
                <w:lang w:val="en-AU"/>
              </w:rPr>
              <w:t>week</w:t>
            </w:r>
            <w:proofErr w:type="gramEnd"/>
            <w:r w:rsidRPr="0040247D">
              <w:rPr>
                <w:color w:val="auto"/>
                <w:lang w:val="en-AU"/>
              </w:rPr>
              <w:t xml:space="preserve"> </w:t>
            </w:r>
          </w:p>
        </w:tc>
        <w:tc>
          <w:tcPr>
            <w:tcW w:w="609" w:type="pct"/>
            <w:shd w:val="clear" w:color="auto" w:fill="auto"/>
            <w:vAlign w:val="center"/>
          </w:tcPr>
          <w:p w14:paraId="7729D0D3" w14:textId="07717CD5" w:rsidR="00D97474" w:rsidRPr="0040247D" w:rsidRDefault="00D97474" w:rsidP="00A27CEA">
            <w:pPr>
              <w:pStyle w:val="KMC16-Tablecontent"/>
              <w:jc w:val="center"/>
              <w:rPr>
                <w:color w:val="auto"/>
                <w:lang w:val="en-AU"/>
              </w:rPr>
            </w:pPr>
            <w:r w:rsidRPr="0040247D">
              <w:rPr>
                <w:color w:val="auto"/>
                <w:lang w:val="en-AU"/>
              </w:rPr>
              <w:t>High</w:t>
            </w:r>
          </w:p>
        </w:tc>
        <w:tc>
          <w:tcPr>
            <w:tcW w:w="872" w:type="pct"/>
            <w:shd w:val="clear" w:color="auto" w:fill="auto"/>
            <w:vAlign w:val="center"/>
          </w:tcPr>
          <w:p w14:paraId="1A3D15FB" w14:textId="7BCC0BF0" w:rsidR="00D97474" w:rsidRPr="0040247D" w:rsidRDefault="00D97474" w:rsidP="00A27CEA">
            <w:pPr>
              <w:pStyle w:val="KMC16-Tablecontent"/>
              <w:jc w:val="center"/>
              <w:rPr>
                <w:color w:val="auto"/>
                <w:lang w:val="en-AU"/>
              </w:rPr>
            </w:pPr>
            <w:r w:rsidRPr="0040247D">
              <w:rPr>
                <w:color w:val="auto"/>
                <w:lang w:val="en-AU"/>
              </w:rPr>
              <w:t>CPP</w:t>
            </w:r>
          </w:p>
        </w:tc>
        <w:tc>
          <w:tcPr>
            <w:tcW w:w="1814" w:type="pct"/>
            <w:shd w:val="clear" w:color="auto" w:fill="auto"/>
            <w:vAlign w:val="center"/>
          </w:tcPr>
          <w:p w14:paraId="4FDFC66E" w14:textId="1669A313" w:rsidR="00C5564D" w:rsidRPr="0040247D" w:rsidRDefault="0039402E" w:rsidP="00A27CEA">
            <w:pPr>
              <w:pStyle w:val="KMC16-Tablecontent"/>
              <w:rPr>
                <w:color w:val="auto"/>
                <w:lang w:val="en-AU"/>
              </w:rPr>
            </w:pPr>
            <w:r w:rsidRPr="0040247D">
              <w:rPr>
                <w:color w:val="auto"/>
                <w:lang w:val="en-AU"/>
              </w:rPr>
              <w:t xml:space="preserve">Primary: </w:t>
            </w:r>
            <w:r w:rsidR="00253F1D" w:rsidRPr="0040247D">
              <w:rPr>
                <w:color w:val="auto"/>
                <w:lang w:val="en-AU"/>
              </w:rPr>
              <w:t>%</w:t>
            </w:r>
            <w:r w:rsidR="00C5564D" w:rsidRPr="0040247D">
              <w:rPr>
                <w:color w:val="auto"/>
                <w:lang w:val="en-AU"/>
              </w:rPr>
              <w:t xml:space="preserve"> patients with serum LH concentration &lt;4 IU/L at month 6, 12, 24 and 36.</w:t>
            </w:r>
          </w:p>
          <w:p w14:paraId="6248448D" w14:textId="77777777" w:rsidR="00C942C8" w:rsidRPr="0040247D" w:rsidRDefault="00C942C8" w:rsidP="00A27CEA">
            <w:pPr>
              <w:pStyle w:val="KMC16-Tablecontent"/>
              <w:rPr>
                <w:color w:val="auto"/>
                <w:lang w:val="en-AU"/>
              </w:rPr>
            </w:pPr>
            <w:r w:rsidRPr="0040247D">
              <w:rPr>
                <w:color w:val="auto"/>
                <w:lang w:val="en-AU"/>
              </w:rPr>
              <w:t>Secondary:</w:t>
            </w:r>
          </w:p>
          <w:p w14:paraId="7E6C6EA4" w14:textId="736F1F49" w:rsidR="00C942C8" w:rsidRPr="00E57B4B" w:rsidRDefault="00C942C8" w:rsidP="00FE3F3C">
            <w:pPr>
              <w:pStyle w:val="KMC16-Tablecontent"/>
              <w:numPr>
                <w:ilvl w:val="0"/>
                <w:numId w:val="16"/>
              </w:numPr>
              <w:ind w:left="149" w:hanging="142"/>
              <w:rPr>
                <w:color w:val="auto"/>
                <w:lang w:val="en-AU"/>
              </w:rPr>
            </w:pPr>
            <w:r w:rsidRPr="00E57B4B">
              <w:rPr>
                <w:color w:val="auto"/>
                <w:lang w:val="en-AU"/>
              </w:rPr>
              <w:t xml:space="preserve">Mean peak simulated </w:t>
            </w:r>
            <w:r w:rsidR="006D0132" w:rsidRPr="00E57B4B">
              <w:rPr>
                <w:color w:val="auto"/>
                <w:lang w:val="en-AU"/>
              </w:rPr>
              <w:t>LHC</w:t>
            </w:r>
            <w:r w:rsidRPr="00E57B4B">
              <w:rPr>
                <w:color w:val="auto"/>
                <w:lang w:val="en-AU"/>
              </w:rPr>
              <w:t xml:space="preserve"> </w:t>
            </w:r>
          </w:p>
          <w:p w14:paraId="60587A1E" w14:textId="7F1EE059" w:rsidR="009A0F88" w:rsidRPr="00E57B4B" w:rsidRDefault="006C27C6" w:rsidP="00FE3F3C">
            <w:pPr>
              <w:pStyle w:val="KMC16-Tablecontent"/>
              <w:numPr>
                <w:ilvl w:val="0"/>
                <w:numId w:val="16"/>
              </w:numPr>
              <w:ind w:left="149" w:hanging="142"/>
              <w:rPr>
                <w:color w:val="auto"/>
                <w:lang w:val="en-AU"/>
              </w:rPr>
            </w:pPr>
            <w:r w:rsidRPr="00E57B4B">
              <w:rPr>
                <w:color w:val="auto"/>
                <w:lang w:val="en-AU"/>
              </w:rPr>
              <w:t>%</w:t>
            </w:r>
            <w:r w:rsidR="009A0F88" w:rsidRPr="00E57B4B">
              <w:rPr>
                <w:color w:val="auto"/>
                <w:lang w:val="en-AU"/>
              </w:rPr>
              <w:t xml:space="preserve"> girls with suppression of </w:t>
            </w:r>
            <w:r w:rsidR="00253F1D" w:rsidRPr="00E57B4B">
              <w:rPr>
                <w:color w:val="auto"/>
                <w:lang w:val="en-AU"/>
              </w:rPr>
              <w:t>b</w:t>
            </w:r>
            <w:r w:rsidR="009A0F88" w:rsidRPr="00E57B4B">
              <w:rPr>
                <w:color w:val="auto"/>
                <w:lang w:val="en-AU"/>
              </w:rPr>
              <w:t xml:space="preserve">asal </w:t>
            </w:r>
            <w:r w:rsidR="00F86B85" w:rsidRPr="00E57B4B">
              <w:rPr>
                <w:color w:val="auto"/>
                <w:lang w:val="en-AU"/>
              </w:rPr>
              <w:t>oestradiol</w:t>
            </w:r>
            <w:r w:rsidR="009A0F88" w:rsidRPr="00E57B4B">
              <w:rPr>
                <w:color w:val="auto"/>
                <w:lang w:val="en-AU"/>
              </w:rPr>
              <w:t xml:space="preserve"> </w:t>
            </w:r>
          </w:p>
          <w:p w14:paraId="4D45C1A7" w14:textId="68FD01E7" w:rsidR="00C942C8" w:rsidRPr="00E57B4B" w:rsidRDefault="00C942C8" w:rsidP="00FE3F3C">
            <w:pPr>
              <w:pStyle w:val="KMC16-Tablecontent"/>
              <w:numPr>
                <w:ilvl w:val="0"/>
                <w:numId w:val="16"/>
              </w:numPr>
              <w:ind w:left="149" w:hanging="142"/>
              <w:rPr>
                <w:color w:val="auto"/>
                <w:lang w:val="en-AU"/>
              </w:rPr>
            </w:pPr>
            <w:r w:rsidRPr="00E57B4B">
              <w:rPr>
                <w:color w:val="auto"/>
                <w:lang w:val="en-AU"/>
              </w:rPr>
              <w:t xml:space="preserve">Number and </w:t>
            </w:r>
            <w:r w:rsidR="006C27C6" w:rsidRPr="00E57B4B">
              <w:rPr>
                <w:color w:val="auto"/>
                <w:lang w:val="en-AU"/>
              </w:rPr>
              <w:t>%</w:t>
            </w:r>
            <w:r w:rsidRPr="00E57B4B">
              <w:rPr>
                <w:color w:val="auto"/>
                <w:lang w:val="en-AU"/>
              </w:rPr>
              <w:t xml:space="preserve"> girls</w:t>
            </w:r>
            <w:r w:rsidR="008B523F" w:rsidRPr="00E57B4B">
              <w:rPr>
                <w:color w:val="auto"/>
                <w:lang w:val="en-AU"/>
              </w:rPr>
              <w:t xml:space="preserve"> and boys</w:t>
            </w:r>
            <w:r w:rsidRPr="00E57B4B">
              <w:rPr>
                <w:color w:val="auto"/>
                <w:lang w:val="en-AU"/>
              </w:rPr>
              <w:t xml:space="preserve"> with suppression of physical signs of puberty</w:t>
            </w:r>
          </w:p>
          <w:p w14:paraId="08DB4E8C" w14:textId="03C64FF9" w:rsidR="009A0F88" w:rsidRPr="00E57B4B" w:rsidRDefault="009A0F88" w:rsidP="00FE3F3C">
            <w:pPr>
              <w:pStyle w:val="KMC16-Tablecontent"/>
              <w:numPr>
                <w:ilvl w:val="0"/>
                <w:numId w:val="16"/>
              </w:numPr>
              <w:ind w:left="149" w:hanging="142"/>
              <w:rPr>
                <w:color w:val="auto"/>
                <w:lang w:val="en-AU"/>
              </w:rPr>
            </w:pPr>
            <w:r w:rsidRPr="00E57B4B">
              <w:rPr>
                <w:color w:val="auto"/>
                <w:lang w:val="en-AU"/>
              </w:rPr>
              <w:t>Change from baseline growth rate</w:t>
            </w:r>
          </w:p>
          <w:p w14:paraId="120652DD" w14:textId="3A0E1266" w:rsidR="008B523F" w:rsidRPr="00E57B4B" w:rsidRDefault="009A0F88" w:rsidP="00552D3C">
            <w:pPr>
              <w:pStyle w:val="KMC16-Tablecontent"/>
              <w:numPr>
                <w:ilvl w:val="0"/>
                <w:numId w:val="16"/>
              </w:numPr>
              <w:ind w:left="149" w:hanging="142"/>
              <w:rPr>
                <w:color w:val="auto"/>
                <w:lang w:val="en-AU"/>
              </w:rPr>
            </w:pPr>
            <w:r w:rsidRPr="00E57B4B">
              <w:rPr>
                <w:color w:val="auto"/>
                <w:lang w:val="en-AU"/>
              </w:rPr>
              <w:t xml:space="preserve">Ratio of change from baseline in bone age/ change from baseline in chronological age </w:t>
            </w:r>
          </w:p>
          <w:p w14:paraId="613D59C1" w14:textId="77777777" w:rsidR="00D94CEB" w:rsidRPr="00A369BD" w:rsidRDefault="00D94CEB" w:rsidP="008B523F">
            <w:pPr>
              <w:pStyle w:val="KMC16-Tablecontent"/>
              <w:ind w:left="7"/>
              <w:rPr>
                <w:iCs/>
                <w:color w:val="auto"/>
                <w:lang w:val="en-AU"/>
              </w:rPr>
            </w:pPr>
          </w:p>
          <w:p w14:paraId="3481043E" w14:textId="48E4B79C" w:rsidR="00C942C8" w:rsidRPr="0040247D" w:rsidRDefault="00B85AE7" w:rsidP="00B85AE7">
            <w:pPr>
              <w:pStyle w:val="KMC16-Tablecontent"/>
              <w:rPr>
                <w:color w:val="auto"/>
                <w:lang w:val="en-AU"/>
              </w:rPr>
            </w:pPr>
            <w:r w:rsidRPr="00A369BD">
              <w:rPr>
                <w:iCs/>
                <w:color w:val="auto"/>
                <w:lang w:val="en-AU"/>
              </w:rPr>
              <w:t xml:space="preserve">Safety: </w:t>
            </w:r>
            <w:r w:rsidR="00253F1D" w:rsidRPr="00A369BD">
              <w:rPr>
                <w:iCs/>
                <w:color w:val="auto"/>
                <w:lang w:val="en-AU"/>
              </w:rPr>
              <w:t>TEAEs</w:t>
            </w:r>
          </w:p>
        </w:tc>
      </w:tr>
      <w:tr w:rsidR="00067771" w:rsidRPr="0040247D" w14:paraId="41FA818E" w14:textId="77777777" w:rsidTr="00CA1457">
        <w:tc>
          <w:tcPr>
            <w:tcW w:w="5000" w:type="pct"/>
            <w:gridSpan w:val="6"/>
            <w:shd w:val="clear" w:color="auto" w:fill="auto"/>
            <w:vAlign w:val="center"/>
          </w:tcPr>
          <w:p w14:paraId="7B3BD8D6" w14:textId="190852A7" w:rsidR="00D97474" w:rsidRPr="0040247D" w:rsidRDefault="007F5A54" w:rsidP="00A27CEA">
            <w:pPr>
              <w:pStyle w:val="In-tableHeading"/>
              <w:rPr>
                <w:lang w:val="en-AU"/>
              </w:rPr>
            </w:pPr>
            <w:proofErr w:type="spellStart"/>
            <w:r w:rsidRPr="0040247D">
              <w:rPr>
                <w:lang w:val="en-AU"/>
              </w:rPr>
              <w:t>Diphereline</w:t>
            </w:r>
            <w:proofErr w:type="spellEnd"/>
          </w:p>
        </w:tc>
      </w:tr>
      <w:tr w:rsidR="00067771" w:rsidRPr="0040247D" w14:paraId="31B94189" w14:textId="77777777" w:rsidTr="00CA1457">
        <w:tc>
          <w:tcPr>
            <w:tcW w:w="699" w:type="pct"/>
            <w:shd w:val="clear" w:color="auto" w:fill="auto"/>
            <w:vAlign w:val="center"/>
          </w:tcPr>
          <w:p w14:paraId="4248E925" w14:textId="77777777" w:rsidR="00D97474" w:rsidRPr="0040247D" w:rsidRDefault="00D97474" w:rsidP="00A27CEA">
            <w:pPr>
              <w:pStyle w:val="KMC16-Tablecontent"/>
              <w:rPr>
                <w:color w:val="auto"/>
                <w:lang w:val="en-AU"/>
              </w:rPr>
            </w:pPr>
            <w:r w:rsidRPr="0040247D">
              <w:rPr>
                <w:color w:val="auto"/>
                <w:lang w:val="en-AU"/>
              </w:rPr>
              <w:t>Study 301</w:t>
            </w:r>
          </w:p>
        </w:tc>
        <w:tc>
          <w:tcPr>
            <w:tcW w:w="239" w:type="pct"/>
            <w:shd w:val="clear" w:color="auto" w:fill="auto"/>
            <w:vAlign w:val="center"/>
          </w:tcPr>
          <w:p w14:paraId="02251201" w14:textId="77777777" w:rsidR="00D97474" w:rsidRPr="0040247D" w:rsidRDefault="00D97474" w:rsidP="00A27CEA">
            <w:pPr>
              <w:pStyle w:val="KMC16-Tablecontent"/>
              <w:jc w:val="center"/>
              <w:rPr>
                <w:color w:val="auto"/>
                <w:lang w:val="en-AU"/>
              </w:rPr>
            </w:pPr>
            <w:r w:rsidRPr="0040247D">
              <w:rPr>
                <w:color w:val="auto"/>
                <w:lang w:val="en-AU"/>
              </w:rPr>
              <w:t>44</w:t>
            </w:r>
          </w:p>
        </w:tc>
        <w:tc>
          <w:tcPr>
            <w:tcW w:w="768" w:type="pct"/>
            <w:shd w:val="clear" w:color="auto" w:fill="auto"/>
            <w:vAlign w:val="center"/>
          </w:tcPr>
          <w:p w14:paraId="217380F5" w14:textId="77777777" w:rsidR="007D058E" w:rsidRPr="0040247D" w:rsidRDefault="007D058E" w:rsidP="007D058E">
            <w:pPr>
              <w:pStyle w:val="KMC16-Tablecontent"/>
              <w:rPr>
                <w:color w:val="auto"/>
                <w:lang w:val="en-AU"/>
              </w:rPr>
            </w:pPr>
            <w:r w:rsidRPr="0040247D">
              <w:rPr>
                <w:color w:val="auto"/>
                <w:lang w:val="en-AU"/>
              </w:rPr>
              <w:t xml:space="preserve">SAS, OL, </w:t>
            </w:r>
          </w:p>
          <w:p w14:paraId="63305081" w14:textId="791A456D" w:rsidR="00D97474" w:rsidRPr="0040247D" w:rsidRDefault="007D058E" w:rsidP="00A27CEA">
            <w:pPr>
              <w:pStyle w:val="KMC16-Tablecontent"/>
              <w:rPr>
                <w:color w:val="auto"/>
                <w:lang w:val="en-AU"/>
              </w:rPr>
            </w:pPr>
            <w:proofErr w:type="gramStart"/>
            <w:r w:rsidRPr="0040247D">
              <w:rPr>
                <w:color w:val="auto"/>
                <w:lang w:val="en-AU"/>
              </w:rPr>
              <w:t>50 week</w:t>
            </w:r>
            <w:proofErr w:type="gramEnd"/>
            <w:r w:rsidRPr="0040247D">
              <w:rPr>
                <w:color w:val="auto"/>
                <w:lang w:val="en-AU"/>
              </w:rPr>
              <w:t xml:space="preserve"> max follow-up</w:t>
            </w:r>
            <w:r w:rsidRPr="0040247D" w:rsidDel="002B4F0A">
              <w:rPr>
                <w:color w:val="auto"/>
                <w:lang w:val="en-AU"/>
              </w:rPr>
              <w:t xml:space="preserve"> </w:t>
            </w:r>
          </w:p>
        </w:tc>
        <w:tc>
          <w:tcPr>
            <w:tcW w:w="609" w:type="pct"/>
            <w:shd w:val="clear" w:color="auto" w:fill="auto"/>
            <w:vAlign w:val="center"/>
          </w:tcPr>
          <w:p w14:paraId="4F8D6225" w14:textId="77777777" w:rsidR="00D97474" w:rsidRPr="0040247D" w:rsidRDefault="00D97474" w:rsidP="00A27CEA">
            <w:pPr>
              <w:pStyle w:val="KMC16-Tablecontent"/>
              <w:jc w:val="center"/>
              <w:rPr>
                <w:color w:val="auto"/>
                <w:lang w:val="en-AU"/>
              </w:rPr>
            </w:pPr>
            <w:r w:rsidRPr="0040247D">
              <w:rPr>
                <w:color w:val="auto"/>
                <w:lang w:val="en-AU"/>
              </w:rPr>
              <w:t>High</w:t>
            </w:r>
          </w:p>
        </w:tc>
        <w:tc>
          <w:tcPr>
            <w:tcW w:w="872" w:type="pct"/>
            <w:shd w:val="clear" w:color="auto" w:fill="auto"/>
            <w:vAlign w:val="center"/>
          </w:tcPr>
          <w:p w14:paraId="7DFB0AE4" w14:textId="77777777" w:rsidR="00D97474" w:rsidRPr="0040247D" w:rsidRDefault="00D97474" w:rsidP="00A27CEA">
            <w:pPr>
              <w:pStyle w:val="KMC16-Tablecontent"/>
              <w:jc w:val="center"/>
              <w:rPr>
                <w:color w:val="auto"/>
                <w:lang w:val="en-AU"/>
              </w:rPr>
            </w:pPr>
            <w:r w:rsidRPr="0040247D">
              <w:rPr>
                <w:color w:val="auto"/>
                <w:lang w:val="en-AU"/>
              </w:rPr>
              <w:t>CPP</w:t>
            </w:r>
          </w:p>
        </w:tc>
        <w:tc>
          <w:tcPr>
            <w:tcW w:w="1814" w:type="pct"/>
            <w:shd w:val="clear" w:color="auto" w:fill="auto"/>
            <w:vAlign w:val="center"/>
          </w:tcPr>
          <w:p w14:paraId="4A41BD0F" w14:textId="76358409" w:rsidR="00D97474" w:rsidRPr="00A369BD" w:rsidRDefault="00B61404" w:rsidP="00B61404">
            <w:pPr>
              <w:pStyle w:val="TableText0"/>
              <w:rPr>
                <w:iCs/>
              </w:rPr>
            </w:pPr>
            <w:r w:rsidRPr="0040247D">
              <w:t xml:space="preserve">Primary: </w:t>
            </w:r>
            <w:r w:rsidR="00253F1D" w:rsidRPr="0040247D">
              <w:t>%</w:t>
            </w:r>
            <w:r w:rsidR="00280631" w:rsidRPr="0040247D">
              <w:t xml:space="preserve"> responders (defined as LH</w:t>
            </w:r>
            <w:r w:rsidR="00A40087" w:rsidRPr="0040247D">
              <w:t>C</w:t>
            </w:r>
            <w:r w:rsidR="00280631" w:rsidRPr="0040247D">
              <w:t xml:space="preserve"> to &lt;5 IU/L 30 minutes after GnRH agonist stimulation) at Month 6 (Day 169).</w:t>
            </w:r>
            <w:r w:rsidRPr="0040247D">
              <w:t xml:space="preserve"> </w:t>
            </w:r>
            <w:r w:rsidR="00280631" w:rsidRPr="00E57B4B">
              <w:t>Exploratory analysis:</w:t>
            </w:r>
            <w:r w:rsidR="00FE3F3C" w:rsidRPr="00E57B4B">
              <w:t xml:space="preserve"> </w:t>
            </w:r>
            <w:r w:rsidR="00280631" w:rsidRPr="00E57B4B">
              <w:t>LH suppression &lt;4 IU/L</w:t>
            </w:r>
            <w:r w:rsidRPr="00E57B4B">
              <w:t>.</w:t>
            </w:r>
            <w:r w:rsidRPr="00A369BD">
              <w:rPr>
                <w:iCs/>
              </w:rPr>
              <w:t xml:space="preserve"> </w:t>
            </w:r>
          </w:p>
          <w:p w14:paraId="22A817C6" w14:textId="77777777" w:rsidR="00253F1D" w:rsidRPr="00A369BD" w:rsidRDefault="00253F1D" w:rsidP="00B61404">
            <w:pPr>
              <w:pStyle w:val="TableText0"/>
              <w:rPr>
                <w:iCs/>
              </w:rPr>
            </w:pPr>
          </w:p>
          <w:p w14:paraId="678E7D2E" w14:textId="2600EC8C" w:rsidR="000E1FA5" w:rsidRPr="0040247D" w:rsidRDefault="000E1FA5" w:rsidP="00A27CEA">
            <w:pPr>
              <w:pStyle w:val="KMC16-Tablecontent"/>
              <w:rPr>
                <w:color w:val="auto"/>
                <w:lang w:val="en-AU"/>
              </w:rPr>
            </w:pPr>
            <w:r w:rsidRPr="0040247D">
              <w:rPr>
                <w:color w:val="auto"/>
                <w:lang w:val="en-AU"/>
              </w:rPr>
              <w:t xml:space="preserve">Secondary: </w:t>
            </w:r>
          </w:p>
          <w:p w14:paraId="33D9F79B" w14:textId="61D07093" w:rsidR="00B61404" w:rsidRPr="0040247D" w:rsidRDefault="00253F1D" w:rsidP="00FE3F3C">
            <w:pPr>
              <w:pStyle w:val="KMC16-Tablecontent"/>
              <w:numPr>
                <w:ilvl w:val="0"/>
                <w:numId w:val="16"/>
              </w:numPr>
              <w:ind w:left="149" w:hanging="142"/>
              <w:rPr>
                <w:color w:val="auto"/>
                <w:lang w:val="en-AU"/>
              </w:rPr>
            </w:pPr>
            <w:r w:rsidRPr="0040247D">
              <w:rPr>
                <w:color w:val="auto"/>
                <w:lang w:val="en-AU"/>
              </w:rPr>
              <w:t>%</w:t>
            </w:r>
            <w:r w:rsidR="000E1FA5" w:rsidRPr="0040247D">
              <w:rPr>
                <w:color w:val="auto"/>
                <w:lang w:val="en-AU"/>
              </w:rPr>
              <w:t xml:space="preserve"> responders at all study visits.</w:t>
            </w:r>
            <w:r w:rsidRPr="0040247D">
              <w:rPr>
                <w:color w:val="auto"/>
                <w:lang w:val="en-AU"/>
              </w:rPr>
              <w:t xml:space="preserve"> </w:t>
            </w:r>
            <w:r w:rsidR="000E1FA5" w:rsidRPr="0040247D">
              <w:rPr>
                <w:color w:val="auto"/>
                <w:lang w:val="en-AU"/>
              </w:rPr>
              <w:t>Exploratory analysis: Used LH suppression &lt;4 IU/L.</w:t>
            </w:r>
          </w:p>
          <w:p w14:paraId="27B14A33" w14:textId="77777777" w:rsidR="000E1FA5" w:rsidRPr="0040247D" w:rsidRDefault="000E1FA5" w:rsidP="00FE3F3C">
            <w:pPr>
              <w:pStyle w:val="KMC16-Tablecontent"/>
              <w:numPr>
                <w:ilvl w:val="0"/>
                <w:numId w:val="16"/>
              </w:numPr>
              <w:ind w:left="149" w:hanging="142"/>
              <w:rPr>
                <w:color w:val="auto"/>
                <w:lang w:val="en-AU"/>
              </w:rPr>
            </w:pPr>
            <w:r w:rsidRPr="0040247D">
              <w:rPr>
                <w:color w:val="auto"/>
                <w:lang w:val="en-AU"/>
              </w:rPr>
              <w:t xml:space="preserve">Mean serum LH (IU/L) post stimulation </w:t>
            </w:r>
            <w:proofErr w:type="spellStart"/>
            <w:r w:rsidRPr="0040247D">
              <w:rPr>
                <w:color w:val="auto"/>
                <w:lang w:val="en-AU"/>
              </w:rPr>
              <w:t>GnRHa</w:t>
            </w:r>
            <w:proofErr w:type="spellEnd"/>
            <w:r w:rsidRPr="0040247D">
              <w:rPr>
                <w:color w:val="auto"/>
                <w:lang w:val="en-AU"/>
              </w:rPr>
              <w:t xml:space="preserve"> stimulation at study visits</w:t>
            </w:r>
          </w:p>
          <w:p w14:paraId="0E7BE63E" w14:textId="77777777" w:rsidR="000E1FA5" w:rsidRPr="0040247D" w:rsidRDefault="000E1FA5" w:rsidP="00FE3F3C">
            <w:pPr>
              <w:pStyle w:val="KMC16-Tablecontent"/>
              <w:numPr>
                <w:ilvl w:val="0"/>
                <w:numId w:val="16"/>
              </w:numPr>
              <w:ind w:left="149" w:hanging="142"/>
              <w:rPr>
                <w:color w:val="auto"/>
                <w:lang w:val="en-AU"/>
              </w:rPr>
            </w:pPr>
            <w:r w:rsidRPr="0040247D">
              <w:rPr>
                <w:color w:val="auto"/>
                <w:lang w:val="en-AU"/>
              </w:rPr>
              <w:t>Ratio of bone age to chronological age.</w:t>
            </w:r>
          </w:p>
          <w:p w14:paraId="0DD237B2" w14:textId="64E15949" w:rsidR="00FE3F3C" w:rsidRPr="0040247D" w:rsidRDefault="000E1FA5" w:rsidP="00FE3F3C">
            <w:pPr>
              <w:pStyle w:val="KMC16-Tablecontent"/>
              <w:numPr>
                <w:ilvl w:val="0"/>
                <w:numId w:val="16"/>
              </w:numPr>
              <w:ind w:left="149" w:hanging="142"/>
              <w:rPr>
                <w:color w:val="auto"/>
                <w:lang w:val="en-AU"/>
              </w:rPr>
            </w:pPr>
            <w:r w:rsidRPr="0040247D">
              <w:rPr>
                <w:color w:val="auto"/>
                <w:lang w:val="en-AU"/>
              </w:rPr>
              <w:t>Growth velocity measured from baseline.</w:t>
            </w:r>
          </w:p>
          <w:p w14:paraId="160DEB9E" w14:textId="5E91AFDD" w:rsidR="000E1FA5" w:rsidRPr="0040247D" w:rsidRDefault="00505A56" w:rsidP="00FE3F3C">
            <w:pPr>
              <w:pStyle w:val="KMC16-Tablecontent"/>
              <w:numPr>
                <w:ilvl w:val="0"/>
                <w:numId w:val="16"/>
              </w:numPr>
              <w:ind w:left="149" w:hanging="142"/>
              <w:rPr>
                <w:color w:val="auto"/>
                <w:lang w:val="en-AU"/>
              </w:rPr>
            </w:pPr>
            <w:r w:rsidRPr="0040247D">
              <w:rPr>
                <w:color w:val="auto"/>
                <w:lang w:val="en-AU"/>
              </w:rPr>
              <w:t>%</w:t>
            </w:r>
            <w:r w:rsidR="000E1FA5" w:rsidRPr="0040247D">
              <w:rPr>
                <w:color w:val="auto"/>
                <w:lang w:val="en-AU"/>
              </w:rPr>
              <w:t xml:space="preserve"> patients with response in serum </w:t>
            </w:r>
            <w:r w:rsidR="00F86B85" w:rsidRPr="0040247D">
              <w:rPr>
                <w:color w:val="auto"/>
                <w:lang w:val="en-AU"/>
              </w:rPr>
              <w:t>oestradiol</w:t>
            </w:r>
            <w:r w:rsidR="000E1FA5" w:rsidRPr="0040247D">
              <w:rPr>
                <w:color w:val="auto"/>
                <w:lang w:val="en-AU"/>
              </w:rPr>
              <w:t xml:space="preserve"> and testosterone.</w:t>
            </w:r>
          </w:p>
          <w:p w14:paraId="66F4BDFD" w14:textId="77777777" w:rsidR="00FE3F3C" w:rsidRPr="0040247D" w:rsidRDefault="00FE3F3C" w:rsidP="000E1FA5">
            <w:pPr>
              <w:pStyle w:val="KMC16-Tablecontent"/>
              <w:rPr>
                <w:color w:val="auto"/>
                <w:lang w:val="en-AU"/>
              </w:rPr>
            </w:pPr>
          </w:p>
          <w:p w14:paraId="22DDCAC9" w14:textId="54AF5FA2" w:rsidR="000E1FA5" w:rsidRPr="0040247D" w:rsidRDefault="000E1FA5" w:rsidP="000E1FA5">
            <w:pPr>
              <w:pStyle w:val="KMC16-Tablecontent"/>
              <w:rPr>
                <w:color w:val="auto"/>
                <w:lang w:val="en-AU"/>
              </w:rPr>
            </w:pPr>
            <w:r w:rsidRPr="0040247D">
              <w:rPr>
                <w:color w:val="auto"/>
                <w:lang w:val="en-AU"/>
              </w:rPr>
              <w:t>Safety:  TEAEs, treatment related TEAEs, individual TEAE and SOC TEAE rates</w:t>
            </w:r>
          </w:p>
        </w:tc>
      </w:tr>
    </w:tbl>
    <w:p w14:paraId="2CD2593D" w14:textId="0D928856" w:rsidR="00EE26B3" w:rsidRPr="00A369BD" w:rsidRDefault="00EE26B3" w:rsidP="00EE26B3">
      <w:pPr>
        <w:pStyle w:val="TableFigureFooter"/>
        <w:rPr>
          <w:iCs/>
        </w:rPr>
      </w:pPr>
      <w:r w:rsidRPr="0040247D">
        <w:t xml:space="preserve">Source: </w:t>
      </w:r>
      <w:r w:rsidR="00D97474" w:rsidRPr="0040247D">
        <w:t xml:space="preserve">Table 2-11, p42 of the submission; Table 1-1, </w:t>
      </w:r>
      <w:r w:rsidR="00DD2B77" w:rsidRPr="0040247D">
        <w:t xml:space="preserve">Table 2-1, </w:t>
      </w:r>
      <w:r w:rsidR="00D97474" w:rsidRPr="0040247D">
        <w:t>p2 and Table 3-1, p3 of the supplemental information</w:t>
      </w:r>
      <w:r w:rsidR="00590876" w:rsidRPr="0040247D">
        <w:t xml:space="preserve">; </w:t>
      </w:r>
      <w:r w:rsidR="00101EA5" w:rsidRPr="0040247D">
        <w:t xml:space="preserve">text in </w:t>
      </w:r>
      <w:r w:rsidR="00FE3F3C" w:rsidRPr="0040247D">
        <w:t xml:space="preserve">p81-84 of the submission; text and tables in Lee 2014. </w:t>
      </w:r>
      <w:r w:rsidR="00D97474" w:rsidRPr="00A369BD">
        <w:rPr>
          <w:iCs/>
        </w:rPr>
        <w:t xml:space="preserve"> </w:t>
      </w:r>
    </w:p>
    <w:p w14:paraId="6BD20A47" w14:textId="78C0F680" w:rsidR="00392FB5" w:rsidRPr="0040247D" w:rsidRDefault="009A29A8" w:rsidP="000F0857">
      <w:pPr>
        <w:pStyle w:val="TableFigureFooter"/>
        <w:rPr>
          <w:szCs w:val="18"/>
        </w:rPr>
      </w:pPr>
      <w:r w:rsidRPr="0040247D">
        <w:t xml:space="preserve">AE, adverse event; </w:t>
      </w:r>
      <w:r w:rsidR="00EE26B3" w:rsidRPr="0040247D">
        <w:t xml:space="preserve">CPP, central precocious puberty; </w:t>
      </w:r>
      <w:r w:rsidRPr="0040247D">
        <w:rPr>
          <w:lang w:eastAsia="zh-CN"/>
        </w:rPr>
        <w:t xml:space="preserve">FSH, follicle stimulating hormone; </w:t>
      </w:r>
      <w:proofErr w:type="spellStart"/>
      <w:r w:rsidRPr="009A29A8">
        <w:t>GnRHa</w:t>
      </w:r>
      <w:proofErr w:type="spellEnd"/>
      <w:r>
        <w:t>,</w:t>
      </w:r>
      <w:r w:rsidR="00307167">
        <w:t xml:space="preserve"> </w:t>
      </w:r>
      <w:r w:rsidR="00055702" w:rsidRPr="00055702">
        <w:t>gonadotropin-releasing hormone agonist</w:t>
      </w:r>
      <w:r w:rsidR="00055702">
        <w:t>;</w:t>
      </w:r>
      <w:r w:rsidR="00055702" w:rsidRPr="00055702">
        <w:t xml:space="preserve"> </w:t>
      </w:r>
      <w:r w:rsidRPr="0040247D">
        <w:rPr>
          <w:lang w:eastAsia="zh-CN"/>
        </w:rPr>
        <w:t xml:space="preserve">HC, </w:t>
      </w:r>
      <w:r w:rsidRPr="0040247D">
        <w:t xml:space="preserve">hormone </w:t>
      </w:r>
      <w:r w:rsidRPr="009A29A8">
        <w:t>concentration</w:t>
      </w:r>
      <w:r>
        <w:t>; L</w:t>
      </w:r>
      <w:r w:rsidR="00EE26B3" w:rsidRPr="009A29A8">
        <w:t>H</w:t>
      </w:r>
      <w:r w:rsidR="00EE26B3" w:rsidRPr="0040247D">
        <w:t>, luteinising hormone;</w:t>
      </w:r>
      <w:r>
        <w:t xml:space="preserve"> </w:t>
      </w:r>
      <w:r w:rsidRPr="0040247D">
        <w:t>LHC, luteini</w:t>
      </w:r>
      <w:r>
        <w:t>s</w:t>
      </w:r>
      <w:r w:rsidRPr="0040247D">
        <w:t>ing hormone concentration</w:t>
      </w:r>
      <w:r w:rsidRPr="0040247D">
        <w:rPr>
          <w:lang w:eastAsia="zh-CN"/>
        </w:rPr>
        <w:t xml:space="preserve">; </w:t>
      </w:r>
      <w:r w:rsidR="00EE26B3" w:rsidRPr="0040247D">
        <w:t>MC, multi-centre; OL, open label; OS, overall survival; SAS, single arm study</w:t>
      </w:r>
      <w:r w:rsidR="00825B67" w:rsidRPr="0040247D">
        <w:t>; R, randomised</w:t>
      </w:r>
      <w:r w:rsidR="00FE3F3C" w:rsidRPr="0040247D">
        <w:t>; TEAE, treatment</w:t>
      </w:r>
      <w:r w:rsidR="00085860" w:rsidRPr="0040247D">
        <w:t>-</w:t>
      </w:r>
      <w:r w:rsidR="00FE3F3C" w:rsidRPr="0040247D">
        <w:t>emergent adverse event; SOC, system order clas</w:t>
      </w:r>
      <w:r w:rsidR="00D6475B" w:rsidRPr="0040247D">
        <w:t>s</w:t>
      </w:r>
      <w:r w:rsidR="00AB335A" w:rsidRPr="0040247D">
        <w:t xml:space="preserve">; </w:t>
      </w:r>
    </w:p>
    <w:p w14:paraId="20A6A315" w14:textId="442FA18A" w:rsidR="00392FB5" w:rsidRPr="00A369BD" w:rsidRDefault="0068394A" w:rsidP="0055154C">
      <w:pPr>
        <w:pStyle w:val="3-BodyText"/>
        <w:ind w:left="709"/>
        <w:rPr>
          <w:iCs/>
        </w:rPr>
      </w:pPr>
      <w:r w:rsidRPr="00E57B4B">
        <w:t>All included studies had a high risk of bias</w:t>
      </w:r>
      <w:r w:rsidRPr="00A369BD">
        <w:rPr>
          <w:iCs/>
        </w:rPr>
        <w:t xml:space="preserve">. </w:t>
      </w:r>
      <w:r w:rsidRPr="003C79AD">
        <w:t>Both TOL2581A (</w:t>
      </w:r>
      <w:proofErr w:type="spellStart"/>
      <w:r w:rsidRPr="003C79AD">
        <w:t>Eligard</w:t>
      </w:r>
      <w:proofErr w:type="spellEnd"/>
      <w:r w:rsidRPr="003C79AD">
        <w:t xml:space="preserve"> 6 month) and Study 301 (</w:t>
      </w:r>
      <w:proofErr w:type="spellStart"/>
      <w:r w:rsidR="00F32442" w:rsidRPr="003C79AD">
        <w:t>Diphereline</w:t>
      </w:r>
      <w:proofErr w:type="spellEnd"/>
      <w:r w:rsidRPr="003C79AD">
        <w:t xml:space="preserve">) were single arm, non-randomised, non-comparative </w:t>
      </w:r>
      <w:r w:rsidR="001E48B2" w:rsidRPr="003C79AD">
        <w:t xml:space="preserve">studies </w:t>
      </w:r>
      <w:r w:rsidRPr="003C79AD">
        <w:t xml:space="preserve">while Lee 2012 was a randomised, open label, dose finding study, and Lee 2014 was Lee 2012’s extension study. </w:t>
      </w:r>
    </w:p>
    <w:p w14:paraId="7625735F" w14:textId="6414E898" w:rsidR="00E4058F" w:rsidRPr="00A369BD" w:rsidRDefault="003145C7" w:rsidP="0055154C">
      <w:pPr>
        <w:pStyle w:val="3-BodyText"/>
        <w:ind w:left="709"/>
        <w:rPr>
          <w:iCs/>
        </w:rPr>
      </w:pPr>
      <w:r w:rsidRPr="0040247D">
        <w:t>The submission compared the population, disease, circumstances</w:t>
      </w:r>
      <w:r w:rsidR="009F1BAC" w:rsidRPr="0040247D">
        <w:t xml:space="preserve"> and </w:t>
      </w:r>
      <w:r w:rsidRPr="0040247D">
        <w:t xml:space="preserve">treatments in the TOL2581A setting and the Australian setting. The submission </w:t>
      </w:r>
      <w:r w:rsidR="00FC39F4">
        <w:t>claimed</w:t>
      </w:r>
      <w:r w:rsidR="00FC39F4" w:rsidRPr="0040247D">
        <w:t xml:space="preserve"> </w:t>
      </w:r>
      <w:r w:rsidRPr="0040247D">
        <w:t xml:space="preserve">that </w:t>
      </w:r>
      <w:r w:rsidR="00FC39F4">
        <w:t xml:space="preserve">the </w:t>
      </w:r>
      <w:r w:rsidRPr="0040247D">
        <w:t xml:space="preserve">use of </w:t>
      </w:r>
      <w:proofErr w:type="spellStart"/>
      <w:r w:rsidRPr="0040247D">
        <w:t>Eligard</w:t>
      </w:r>
      <w:proofErr w:type="spellEnd"/>
      <w:r w:rsidRPr="0040247D">
        <w:t xml:space="preserve"> 6 month </w:t>
      </w:r>
      <w:r w:rsidR="00FC39F4">
        <w:t>would</w:t>
      </w:r>
      <w:r w:rsidRPr="0040247D">
        <w:t xml:space="preserve"> be generally consistent with use in Australian children with CPP</w:t>
      </w:r>
      <w:r w:rsidR="00503E6F">
        <w:t xml:space="preserve">. </w:t>
      </w:r>
      <w:r w:rsidRPr="00A369BD">
        <w:rPr>
          <w:iCs/>
        </w:rPr>
        <w:t xml:space="preserve"> </w:t>
      </w:r>
    </w:p>
    <w:p w14:paraId="386E8E24" w14:textId="23EA45A3" w:rsidR="006E3481" w:rsidRPr="00DB490D" w:rsidRDefault="003145C7" w:rsidP="0055154C">
      <w:pPr>
        <w:pStyle w:val="3-BodyText"/>
        <w:ind w:left="709"/>
        <w:rPr>
          <w:iCs/>
        </w:rPr>
      </w:pPr>
      <w:r w:rsidRPr="00E57B4B">
        <w:lastRenderedPageBreak/>
        <w:t>There were concerns regarding the sample size of male participants</w:t>
      </w:r>
      <w:r w:rsidR="00E4058F" w:rsidRPr="00E57B4B">
        <w:t xml:space="preserve"> in the key trial</w:t>
      </w:r>
      <w:r w:rsidR="00801E5F" w:rsidRPr="00E57B4B">
        <w:t>s</w:t>
      </w:r>
      <w:r w:rsidRPr="00E57B4B">
        <w:t>.</w:t>
      </w:r>
      <w:r w:rsidRPr="00A369BD">
        <w:rPr>
          <w:iCs/>
        </w:rPr>
        <w:t xml:space="preserve"> </w:t>
      </w:r>
      <w:r w:rsidRPr="0040247D">
        <w:t>In the trial of TOL2581A</w:t>
      </w:r>
      <w:r w:rsidR="0043335F" w:rsidRPr="0040247D">
        <w:t xml:space="preserve"> (</w:t>
      </w:r>
      <w:proofErr w:type="spellStart"/>
      <w:r w:rsidR="0043335F" w:rsidRPr="0040247D">
        <w:t>Eligard</w:t>
      </w:r>
      <w:proofErr w:type="spellEnd"/>
      <w:r w:rsidR="00AF44B4" w:rsidRPr="0040247D">
        <w:t xml:space="preserve"> 6 month</w:t>
      </w:r>
      <w:r w:rsidR="0043335F" w:rsidRPr="0040247D">
        <w:t>)</w:t>
      </w:r>
      <w:r w:rsidRPr="0040247D">
        <w:t xml:space="preserve">, the ratio of females to males </w:t>
      </w:r>
      <w:r w:rsidR="007F6DFD">
        <w:t xml:space="preserve">in the ITT population </w:t>
      </w:r>
      <w:r w:rsidRPr="0040247D">
        <w:t>was 6</w:t>
      </w:r>
      <w:r w:rsidR="007F6DFD">
        <w:t>0</w:t>
      </w:r>
      <w:r w:rsidRPr="0040247D">
        <w:t xml:space="preserve"> to 2</w:t>
      </w:r>
      <w:r w:rsidR="00141F7D">
        <w:t xml:space="preserve"> participants</w:t>
      </w:r>
      <w:r w:rsidRPr="0040247D">
        <w:t xml:space="preserve"> (3</w:t>
      </w:r>
      <w:r w:rsidR="007F6DFD">
        <w:t>0</w:t>
      </w:r>
      <w:r w:rsidRPr="0040247D">
        <w:t>:1). In the trial of Lee 2012</w:t>
      </w:r>
      <w:r w:rsidR="0043335F" w:rsidRPr="0040247D">
        <w:t xml:space="preserve"> (</w:t>
      </w:r>
      <w:proofErr w:type="spellStart"/>
      <w:r w:rsidR="006E5033" w:rsidRPr="0040247D">
        <w:t>Lucrin</w:t>
      </w:r>
      <w:proofErr w:type="spellEnd"/>
      <w:r w:rsidR="006E5033" w:rsidRPr="0040247D">
        <w:t xml:space="preserve"> Paediatric</w:t>
      </w:r>
      <w:r w:rsidR="0043335F" w:rsidRPr="0040247D">
        <w:t>)</w:t>
      </w:r>
      <w:r w:rsidRPr="00A369BD">
        <w:t xml:space="preserve">, </w:t>
      </w:r>
      <w:r w:rsidR="007F6DFD" w:rsidRPr="00A369BD">
        <w:t>o</w:t>
      </w:r>
      <w:r w:rsidR="0043335F" w:rsidRPr="00A369BD">
        <w:t xml:space="preserve">f the </w:t>
      </w:r>
      <w:r w:rsidR="007F6DFD" w:rsidRPr="00A369BD">
        <w:t xml:space="preserve">treatment naïve </w:t>
      </w:r>
      <w:r w:rsidR="0043335F" w:rsidRPr="00A369BD">
        <w:t>patients</w:t>
      </w:r>
      <w:r w:rsidR="007F6DFD" w:rsidRPr="00A369BD">
        <w:t xml:space="preserve"> (N=21), which was the population more comparable to the population in the trial of </w:t>
      </w:r>
      <w:proofErr w:type="spellStart"/>
      <w:r w:rsidR="007F6DFD" w:rsidRPr="00A369BD">
        <w:t>Eligard</w:t>
      </w:r>
      <w:proofErr w:type="spellEnd"/>
      <w:r w:rsidR="007F6DFD" w:rsidRPr="00A369BD">
        <w:t xml:space="preserve"> 6 month, there were </w:t>
      </w:r>
      <w:r w:rsidR="0043335F" w:rsidRPr="00A369BD">
        <w:t>19 girls and 2 boys (</w:t>
      </w:r>
      <w:r w:rsidR="007F6DFD" w:rsidRPr="00A369BD">
        <w:t xml:space="preserve">a ratio of 9.5:1, </w:t>
      </w:r>
      <w:r w:rsidR="0043335F" w:rsidRPr="00A369BD">
        <w:t>NCT00635817)</w:t>
      </w:r>
      <w:r w:rsidR="00A369BD" w:rsidRPr="00A369BD">
        <w:t>.</w:t>
      </w:r>
      <w:r w:rsidR="0043335F" w:rsidRPr="00DB490D">
        <w:rPr>
          <w:iCs/>
        </w:rPr>
        <w:t xml:space="preserve"> </w:t>
      </w:r>
      <w:r w:rsidR="00A34D67" w:rsidRPr="0040247D">
        <w:t xml:space="preserve">The </w:t>
      </w:r>
      <w:r w:rsidRPr="0040247D">
        <w:t>submission</w:t>
      </w:r>
      <w:r w:rsidR="00A34D67" w:rsidRPr="0040247D">
        <w:t xml:space="preserve"> noted that during the period 2014-2</w:t>
      </w:r>
      <w:r w:rsidR="00410B65" w:rsidRPr="0040247D">
        <w:t>01</w:t>
      </w:r>
      <w:r w:rsidR="00A34D67" w:rsidRPr="0040247D">
        <w:t xml:space="preserve">8, </w:t>
      </w:r>
      <w:r w:rsidRPr="0040247D">
        <w:t xml:space="preserve">there were a total of 711 </w:t>
      </w:r>
      <w:r w:rsidR="00A34D67" w:rsidRPr="0040247D">
        <w:t xml:space="preserve">children </w:t>
      </w:r>
      <w:r w:rsidR="00444342">
        <w:t xml:space="preserve">in Australia </w:t>
      </w:r>
      <w:r w:rsidRPr="0040247D">
        <w:t>with CPP</w:t>
      </w:r>
      <w:r w:rsidR="00A34D67" w:rsidRPr="0040247D">
        <w:t xml:space="preserve">, as estimated by </w:t>
      </w:r>
      <w:r w:rsidR="00444342">
        <w:t xml:space="preserve">the </w:t>
      </w:r>
      <w:r w:rsidR="00A34D67" w:rsidRPr="0040247D">
        <w:t>DUSC (</w:t>
      </w:r>
      <w:r w:rsidR="009C0EE8" w:rsidRPr="0040247D">
        <w:t>2019</w:t>
      </w:r>
      <w:r w:rsidR="00A34D67" w:rsidRPr="0040247D">
        <w:t>)</w:t>
      </w:r>
      <w:r w:rsidRPr="0040247D">
        <w:t>.</w:t>
      </w:r>
      <w:r w:rsidRPr="00DB490D">
        <w:rPr>
          <w:iCs/>
        </w:rPr>
        <w:t xml:space="preserve"> </w:t>
      </w:r>
      <w:r w:rsidRPr="0040247D">
        <w:t xml:space="preserve">The ratio of females to males </w:t>
      </w:r>
      <w:r w:rsidR="00A34D67" w:rsidRPr="0040247D">
        <w:t xml:space="preserve">was </w:t>
      </w:r>
      <w:r w:rsidRPr="0040247D">
        <w:t>609 to 102 (6:1).</w:t>
      </w:r>
      <w:r w:rsidRPr="00DB490D">
        <w:rPr>
          <w:iCs/>
        </w:rPr>
        <w:t xml:space="preserve"> </w:t>
      </w:r>
      <w:r w:rsidRPr="00E57B4B">
        <w:t>The ratios</w:t>
      </w:r>
      <w:r w:rsidR="00DC5DF8" w:rsidRPr="00E57B4B">
        <w:t xml:space="preserve"> of females to males</w:t>
      </w:r>
      <w:r w:rsidRPr="00E57B4B">
        <w:t xml:space="preserve"> in the trials were </w:t>
      </w:r>
      <w:r w:rsidR="00DC5DF8" w:rsidRPr="00E57B4B">
        <w:t>different to those</w:t>
      </w:r>
      <w:r w:rsidRPr="00E57B4B">
        <w:t xml:space="preserve"> of Australian</w:t>
      </w:r>
      <w:r w:rsidR="00DC5DF8" w:rsidRPr="00E57B4B">
        <w:t xml:space="preserve"> children</w:t>
      </w:r>
      <w:r w:rsidR="005D1FD3" w:rsidRPr="00E57B4B">
        <w:t xml:space="preserve">. </w:t>
      </w:r>
      <w:r w:rsidR="00EB233F" w:rsidRPr="00E57B4B">
        <w:t>Furthermore, the low numbers of boys in either trial leads to high uncertainty in conclusions regarding</w:t>
      </w:r>
      <w:r w:rsidR="000507A2" w:rsidRPr="00E57B4B">
        <w:t xml:space="preserve"> the</w:t>
      </w:r>
      <w:r w:rsidR="00EB233F" w:rsidRPr="00E57B4B">
        <w:t xml:space="preserve"> efficacy and safety in the treatment of boys with CPP</w:t>
      </w:r>
      <w:r w:rsidR="003C79AD" w:rsidRPr="00E57B4B">
        <w:t xml:space="preserve">, especially the durability of effect out to 6 months in one injection. </w:t>
      </w:r>
      <w:r w:rsidR="00307167" w:rsidRPr="00E57B4B">
        <w:t>It is noteworthy that the TGA’s Round 2 Clinical evaluation report also noted that</w:t>
      </w:r>
      <w:r w:rsidR="00141F7D" w:rsidRPr="00E57B4B">
        <w:t xml:space="preserve"> the low male numbers with CPP included in the TOL2581A was a concern (Round 2 Clinical evaluation report</w:t>
      </w:r>
      <w:r w:rsidR="0063547E" w:rsidRPr="00E57B4B">
        <w:t>).</w:t>
      </w:r>
      <w:r w:rsidR="0063547E" w:rsidRPr="00DB490D">
        <w:rPr>
          <w:iCs/>
        </w:rPr>
        <w:t xml:space="preserve"> </w:t>
      </w:r>
      <w:r w:rsidR="0063547E" w:rsidRPr="002663D8">
        <w:t>The</w:t>
      </w:r>
      <w:r w:rsidR="0066642A" w:rsidRPr="0066642A">
        <w:t xml:space="preserve"> </w:t>
      </w:r>
      <w:r w:rsidR="0066642A">
        <w:t>Pre-Sub-Committee Response</w:t>
      </w:r>
      <w:r w:rsidR="0063547E" w:rsidRPr="002663D8">
        <w:t xml:space="preserve"> </w:t>
      </w:r>
      <w:r w:rsidR="00A35ED8">
        <w:t>(</w:t>
      </w:r>
      <w:r w:rsidR="0063547E" w:rsidRPr="002663D8">
        <w:t>PSCR</w:t>
      </w:r>
      <w:r w:rsidR="00A35ED8">
        <w:t>)</w:t>
      </w:r>
      <w:r w:rsidR="0063547E" w:rsidRPr="002663D8">
        <w:t xml:space="preserve"> stated that the Updated TGA Delegates Overview notes that extrapolation of evidence from females to males is possible because the underlying mechanism of CPP is the same for both sexes, and suppression of LH is a direct measure of the pharmacological effect of leuprolide on the HPG-axis, regardless of sex. The ESC noted that the clinical evaluator considered this extrapolation to be satisfactory in the Round 2 Clinical evaluation report</w:t>
      </w:r>
      <w:r w:rsidR="007D3075" w:rsidRPr="002663D8">
        <w:t xml:space="preserve"> and considered this was reasonable</w:t>
      </w:r>
      <w:r w:rsidR="0063547E" w:rsidRPr="002663D8">
        <w:t>.</w:t>
      </w:r>
    </w:p>
    <w:p w14:paraId="6C1A50E4" w14:textId="7BD55DE7" w:rsidR="004D68A8" w:rsidRPr="00E57B4B" w:rsidRDefault="004D68A8" w:rsidP="0055154C">
      <w:pPr>
        <w:pStyle w:val="3-BodyText"/>
        <w:ind w:left="709"/>
        <w:rPr>
          <w:bCs/>
        </w:rPr>
      </w:pPr>
      <w:r w:rsidRPr="00E57B4B">
        <w:rPr>
          <w:bCs/>
        </w:rPr>
        <w:t>Additionally, there were</w:t>
      </w:r>
      <w:r w:rsidR="00C44072" w:rsidRPr="00E57B4B">
        <w:rPr>
          <w:bCs/>
        </w:rPr>
        <w:t xml:space="preserve"> applicability</w:t>
      </w:r>
      <w:r w:rsidRPr="00E57B4B">
        <w:rPr>
          <w:bCs/>
        </w:rPr>
        <w:t xml:space="preserve"> concerns </w:t>
      </w:r>
      <w:r w:rsidR="00C44072" w:rsidRPr="00E57B4B">
        <w:rPr>
          <w:bCs/>
        </w:rPr>
        <w:t>regarding representation by</w:t>
      </w:r>
      <w:r w:rsidR="000507A2" w:rsidRPr="00E57B4B">
        <w:rPr>
          <w:bCs/>
        </w:rPr>
        <w:t xml:space="preserve"> race and </w:t>
      </w:r>
      <w:r w:rsidR="00141F7D" w:rsidRPr="00E57B4B">
        <w:rPr>
          <w:bCs/>
        </w:rPr>
        <w:t>ethnicity in</w:t>
      </w:r>
      <w:r w:rsidRPr="00E57B4B">
        <w:rPr>
          <w:bCs/>
        </w:rPr>
        <w:t xml:space="preserve"> the trials. In TOL2581A</w:t>
      </w:r>
      <w:r w:rsidR="001E48B2" w:rsidRPr="00E57B4B">
        <w:rPr>
          <w:bCs/>
        </w:rPr>
        <w:t>,</w:t>
      </w:r>
      <w:r w:rsidRPr="00E57B4B">
        <w:rPr>
          <w:bCs/>
        </w:rPr>
        <w:t xml:space="preserve"> the ratio of Hispanic or Latino participants to non-Hispanic or Latino was 35:27</w:t>
      </w:r>
      <w:r w:rsidR="00B6755F" w:rsidRPr="00E57B4B">
        <w:rPr>
          <w:bCs/>
        </w:rPr>
        <w:t xml:space="preserve"> (participants)</w:t>
      </w:r>
      <w:r w:rsidRPr="00E57B4B">
        <w:rPr>
          <w:bCs/>
        </w:rPr>
        <w:t>. This ratio is likely far greater than those in Australia</w:t>
      </w:r>
      <w:r w:rsidR="00D84390" w:rsidRPr="00E57B4B">
        <w:rPr>
          <w:bCs/>
        </w:rPr>
        <w:t xml:space="preserve"> </w:t>
      </w:r>
      <w:r w:rsidR="00141F7D" w:rsidRPr="00E57B4B">
        <w:rPr>
          <w:bCs/>
        </w:rPr>
        <w:t xml:space="preserve">as </w:t>
      </w:r>
      <w:r w:rsidR="00D84390" w:rsidRPr="00E57B4B">
        <w:rPr>
          <w:bCs/>
        </w:rPr>
        <w:t>&lt;5% of the Australian population</w:t>
      </w:r>
      <w:r w:rsidR="00141F7D" w:rsidRPr="00E57B4B">
        <w:rPr>
          <w:bCs/>
        </w:rPr>
        <w:t xml:space="preserve"> are identified as Hispanic/Latino</w:t>
      </w:r>
      <w:r w:rsidR="00D84390" w:rsidRPr="00E57B4B">
        <w:rPr>
          <w:rStyle w:val="FootnoteReference"/>
          <w:bCs/>
        </w:rPr>
        <w:footnoteReference w:id="6"/>
      </w:r>
      <w:r w:rsidRPr="00E57B4B">
        <w:rPr>
          <w:bCs/>
        </w:rPr>
        <w:t>.</w:t>
      </w:r>
      <w:r w:rsidR="00F659A8" w:rsidRPr="00E57B4B">
        <w:rPr>
          <w:bCs/>
        </w:rPr>
        <w:t xml:space="preserve"> Precocious puberty is defined as </w:t>
      </w:r>
      <w:r w:rsidR="00F659A8" w:rsidRPr="00E57B4B">
        <w:t xml:space="preserve">the development of puberty younger than that which is expected for ethnicity and race” and </w:t>
      </w:r>
      <w:r w:rsidR="00E20F5F" w:rsidRPr="00E57B4B">
        <w:t>the</w:t>
      </w:r>
      <w:r w:rsidR="000507A2" w:rsidRPr="00E57B4B">
        <w:t xml:space="preserve"> defined</w:t>
      </w:r>
      <w:r w:rsidR="00E20F5F" w:rsidRPr="00E57B4B">
        <w:t xml:space="preserve"> age cut-off for early commencement is younger in Hispanic girls than Caucasian girls</w:t>
      </w:r>
      <w:r w:rsidR="006024C6" w:rsidRPr="00E57B4B">
        <w:rPr>
          <w:rStyle w:val="FootnoteReference"/>
        </w:rPr>
        <w:footnoteReference w:id="7"/>
      </w:r>
      <w:r w:rsidR="00E20F5F" w:rsidRPr="00E57B4B">
        <w:t>.</w:t>
      </w:r>
    </w:p>
    <w:p w14:paraId="1A3D67E9" w14:textId="330B839B" w:rsidR="00BE5F8D" w:rsidRPr="0040247D" w:rsidRDefault="00BE5F8D" w:rsidP="0055154C">
      <w:pPr>
        <w:pStyle w:val="3-BodyText"/>
        <w:ind w:left="709"/>
        <w:rPr>
          <w:b/>
        </w:rPr>
      </w:pPr>
      <w:r w:rsidRPr="0040247D">
        <w:t xml:space="preserve">The treatment details in </w:t>
      </w:r>
      <w:r w:rsidR="003232EE" w:rsidRPr="0040247D">
        <w:t>the</w:t>
      </w:r>
      <w:r w:rsidR="00E65D82" w:rsidRPr="0040247D">
        <w:t xml:space="preserve"> included</w:t>
      </w:r>
      <w:r w:rsidR="003232EE" w:rsidRPr="0040247D">
        <w:t xml:space="preserve"> trials</w:t>
      </w:r>
      <w:r w:rsidRPr="0040247D">
        <w:t xml:space="preserve"> are shown </w:t>
      </w:r>
      <w:r w:rsidR="00553DC8" w:rsidRPr="0040247D">
        <w:t xml:space="preserve">in </w:t>
      </w:r>
      <w:r w:rsidR="00553DC8" w:rsidRPr="0040247D">
        <w:fldChar w:fldCharType="begin"/>
      </w:r>
      <w:r w:rsidR="00553DC8" w:rsidRPr="0040247D">
        <w:instrText xml:space="preserve"> REF _Ref102727936 \h </w:instrText>
      </w:r>
      <w:r w:rsidR="00553DC8" w:rsidRPr="0040247D">
        <w:fldChar w:fldCharType="separate"/>
      </w:r>
      <w:r w:rsidR="00553DC8" w:rsidRPr="0040247D">
        <w:t>Table 4</w:t>
      </w:r>
      <w:r w:rsidR="00553DC8" w:rsidRPr="0040247D">
        <w:fldChar w:fldCharType="end"/>
      </w:r>
      <w:r w:rsidRPr="0040247D">
        <w:t>.</w:t>
      </w:r>
    </w:p>
    <w:p w14:paraId="1CAA45FF" w14:textId="07C5B8C8" w:rsidR="003232EE" w:rsidRPr="0040247D" w:rsidRDefault="00B4526F" w:rsidP="009A6107">
      <w:pPr>
        <w:pStyle w:val="TableFigureHeading"/>
      </w:pPr>
      <w:bookmarkStart w:id="21" w:name="_Ref102727936"/>
      <w:r w:rsidRPr="0040247D">
        <w:lastRenderedPageBreak/>
        <w:t xml:space="preserve">Table </w:t>
      </w:r>
      <w:fldSimple w:instr=" SEQ Table \* ARABIC ">
        <w:r w:rsidRPr="0040247D">
          <w:t>4</w:t>
        </w:r>
      </w:fldSimple>
      <w:bookmarkEnd w:id="21"/>
      <w:r w:rsidRPr="0040247D">
        <w:t xml:space="preserve">: </w:t>
      </w:r>
      <w:r w:rsidR="00E65D82" w:rsidRPr="0040247D">
        <w:rPr>
          <w:rStyle w:val="CommentReference"/>
          <w:b/>
          <w:szCs w:val="24"/>
        </w:rPr>
        <w:t>Interventions compared in the studies</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Interventions compared in the studies"/>
        <w:tblDescription w:val="Table 4: Interventions compared in the studies"/>
      </w:tblPr>
      <w:tblGrid>
        <w:gridCol w:w="2122"/>
        <w:gridCol w:w="2976"/>
        <w:gridCol w:w="1842"/>
        <w:gridCol w:w="1818"/>
      </w:tblGrid>
      <w:tr w:rsidR="00067771" w:rsidRPr="0040247D" w14:paraId="64DFE89B" w14:textId="77777777" w:rsidTr="00141F7D">
        <w:trPr>
          <w:tblHeader/>
        </w:trPr>
        <w:tc>
          <w:tcPr>
            <w:tcW w:w="2122" w:type="dxa"/>
            <w:vAlign w:val="center"/>
          </w:tcPr>
          <w:p w14:paraId="0FCC0760" w14:textId="77777777" w:rsidR="00E65D82" w:rsidRPr="0040247D" w:rsidRDefault="00E65D82" w:rsidP="00552D3C">
            <w:pPr>
              <w:pStyle w:val="In-tableHeading"/>
              <w:rPr>
                <w:lang w:val="en-AU"/>
              </w:rPr>
            </w:pPr>
            <w:r w:rsidRPr="0040247D">
              <w:rPr>
                <w:lang w:val="en-AU"/>
              </w:rPr>
              <w:t>Treatment</w:t>
            </w:r>
          </w:p>
        </w:tc>
        <w:tc>
          <w:tcPr>
            <w:tcW w:w="2976" w:type="dxa"/>
            <w:vAlign w:val="center"/>
          </w:tcPr>
          <w:p w14:paraId="214397D6" w14:textId="77777777" w:rsidR="00E65D82" w:rsidRPr="0040247D" w:rsidRDefault="00E65D82" w:rsidP="00552D3C">
            <w:pPr>
              <w:pStyle w:val="In-tableHeading"/>
              <w:jc w:val="center"/>
              <w:rPr>
                <w:lang w:val="en-AU"/>
              </w:rPr>
            </w:pPr>
            <w:r w:rsidRPr="0040247D">
              <w:rPr>
                <w:lang w:val="en-AU"/>
              </w:rPr>
              <w:t>Dosage regimen</w:t>
            </w:r>
          </w:p>
        </w:tc>
        <w:tc>
          <w:tcPr>
            <w:tcW w:w="1842" w:type="dxa"/>
            <w:vAlign w:val="center"/>
          </w:tcPr>
          <w:p w14:paraId="3924BBCB" w14:textId="181C84EE" w:rsidR="00E65D82" w:rsidRPr="0040247D" w:rsidRDefault="00E65D82" w:rsidP="00552D3C">
            <w:pPr>
              <w:pStyle w:val="In-tableHeading"/>
              <w:jc w:val="center"/>
              <w:rPr>
                <w:lang w:val="en-AU"/>
              </w:rPr>
            </w:pPr>
            <w:r w:rsidRPr="0040247D">
              <w:rPr>
                <w:lang w:val="en-AU"/>
              </w:rPr>
              <w:t xml:space="preserve">Duration of treatment maximum </w:t>
            </w:r>
            <w:r w:rsidR="00A34D67" w:rsidRPr="0040247D">
              <w:rPr>
                <w:lang w:val="en-AU"/>
              </w:rPr>
              <w:t xml:space="preserve">months </w:t>
            </w:r>
          </w:p>
        </w:tc>
        <w:tc>
          <w:tcPr>
            <w:tcW w:w="1814" w:type="dxa"/>
            <w:vAlign w:val="center"/>
          </w:tcPr>
          <w:p w14:paraId="5145266C" w14:textId="24FD381C" w:rsidR="00E65D82" w:rsidRPr="0040247D" w:rsidRDefault="00E65D82" w:rsidP="00552D3C">
            <w:pPr>
              <w:pStyle w:val="In-tableHeading"/>
              <w:jc w:val="center"/>
              <w:rPr>
                <w:lang w:val="en-AU"/>
              </w:rPr>
            </w:pPr>
            <w:r w:rsidRPr="0040247D">
              <w:rPr>
                <w:lang w:val="en-AU"/>
              </w:rPr>
              <w:t xml:space="preserve">Duration of follow-up maximum </w:t>
            </w:r>
            <w:r w:rsidR="00885460" w:rsidRPr="0040247D">
              <w:rPr>
                <w:lang w:val="en-AU"/>
              </w:rPr>
              <w:t>months</w:t>
            </w:r>
          </w:p>
        </w:tc>
      </w:tr>
      <w:tr w:rsidR="00067771" w:rsidRPr="0040247D" w14:paraId="6DE73C34" w14:textId="77777777" w:rsidTr="00141F7D">
        <w:tc>
          <w:tcPr>
            <w:tcW w:w="8758" w:type="dxa"/>
            <w:gridSpan w:val="4"/>
            <w:vAlign w:val="center"/>
          </w:tcPr>
          <w:p w14:paraId="7CEB674F" w14:textId="77777777" w:rsidR="00E65D82" w:rsidRPr="0040247D" w:rsidRDefault="00E65D82" w:rsidP="00552D3C">
            <w:pPr>
              <w:pStyle w:val="TableText0"/>
              <w:rPr>
                <w:b/>
                <w:bCs w:val="0"/>
              </w:rPr>
            </w:pPr>
            <w:r w:rsidRPr="0040247D">
              <w:rPr>
                <w:b/>
                <w:bCs w:val="0"/>
              </w:rPr>
              <w:t>TOL2581A</w:t>
            </w:r>
          </w:p>
        </w:tc>
      </w:tr>
      <w:tr w:rsidR="00067771" w:rsidRPr="0040247D" w14:paraId="6E6CE68A" w14:textId="77777777" w:rsidTr="00141F7D">
        <w:tc>
          <w:tcPr>
            <w:tcW w:w="2122" w:type="dxa"/>
            <w:vAlign w:val="center"/>
          </w:tcPr>
          <w:p w14:paraId="5AFD967E" w14:textId="15E2DB36" w:rsidR="00E65D82" w:rsidRPr="0040247D" w:rsidRDefault="00E65D82" w:rsidP="00552D3C">
            <w:pPr>
              <w:pStyle w:val="TableText0"/>
            </w:pPr>
            <w:r w:rsidRPr="0040247D">
              <w:t>Leuprorelin acetate 45mg (</w:t>
            </w:r>
            <w:proofErr w:type="spellStart"/>
            <w:r w:rsidRPr="0040247D">
              <w:t>Eligard</w:t>
            </w:r>
            <w:proofErr w:type="spellEnd"/>
            <w:r w:rsidRPr="0040247D">
              <w:t xml:space="preserve"> 6 month)</w:t>
            </w:r>
          </w:p>
        </w:tc>
        <w:tc>
          <w:tcPr>
            <w:tcW w:w="2976" w:type="dxa"/>
            <w:vAlign w:val="center"/>
          </w:tcPr>
          <w:p w14:paraId="4D834680" w14:textId="77777777" w:rsidR="00E65D82" w:rsidRPr="0040247D" w:rsidRDefault="00E65D82" w:rsidP="00552D3C">
            <w:pPr>
              <w:pStyle w:val="KMC16-Tablecontent"/>
              <w:rPr>
                <w:color w:val="auto"/>
                <w:lang w:val="en-AU"/>
              </w:rPr>
            </w:pPr>
            <w:r w:rsidRPr="0040247D">
              <w:rPr>
                <w:color w:val="auto"/>
                <w:lang w:val="en-AU"/>
              </w:rPr>
              <w:t>45 mg extended-release formulation administered as a SC injection into the abdominal area at Day 0 and Month 6.</w:t>
            </w:r>
          </w:p>
        </w:tc>
        <w:tc>
          <w:tcPr>
            <w:tcW w:w="1842" w:type="dxa"/>
            <w:vAlign w:val="center"/>
          </w:tcPr>
          <w:p w14:paraId="40347777" w14:textId="6D556A02" w:rsidR="00E65D82" w:rsidRPr="0040247D" w:rsidRDefault="00E65D82" w:rsidP="00552D3C">
            <w:pPr>
              <w:pStyle w:val="TableText0"/>
              <w:jc w:val="center"/>
            </w:pPr>
            <w:r w:rsidRPr="0040247D">
              <w:t>6</w:t>
            </w:r>
            <w:r w:rsidR="00A34D67" w:rsidRPr="0040247D">
              <w:t xml:space="preserve"> months</w:t>
            </w:r>
          </w:p>
        </w:tc>
        <w:tc>
          <w:tcPr>
            <w:tcW w:w="1814" w:type="dxa"/>
            <w:vAlign w:val="center"/>
          </w:tcPr>
          <w:p w14:paraId="37D7D757" w14:textId="52C358F6" w:rsidR="00E65D82" w:rsidRPr="0040247D" w:rsidRDefault="00E65D82" w:rsidP="00552D3C">
            <w:pPr>
              <w:pStyle w:val="TableText0"/>
              <w:jc w:val="center"/>
            </w:pPr>
            <w:r w:rsidRPr="0040247D">
              <w:t>6</w:t>
            </w:r>
            <w:r w:rsidR="00A34D67" w:rsidRPr="0040247D">
              <w:t xml:space="preserve"> months</w:t>
            </w:r>
          </w:p>
        </w:tc>
      </w:tr>
      <w:tr w:rsidR="00067771" w:rsidRPr="0040247D" w14:paraId="28928B56" w14:textId="77777777" w:rsidTr="00141F7D">
        <w:tc>
          <w:tcPr>
            <w:tcW w:w="8758" w:type="dxa"/>
            <w:gridSpan w:val="4"/>
            <w:vAlign w:val="center"/>
          </w:tcPr>
          <w:p w14:paraId="62D53657" w14:textId="77777777" w:rsidR="00E65D82" w:rsidRPr="0040247D" w:rsidRDefault="00E65D82" w:rsidP="00552D3C">
            <w:pPr>
              <w:pStyle w:val="TableText0"/>
              <w:rPr>
                <w:b/>
                <w:bCs w:val="0"/>
              </w:rPr>
            </w:pPr>
            <w:r w:rsidRPr="0040247D">
              <w:rPr>
                <w:b/>
                <w:bCs w:val="0"/>
              </w:rPr>
              <w:t>Lee (2012)</w:t>
            </w:r>
          </w:p>
        </w:tc>
      </w:tr>
      <w:tr w:rsidR="00067771" w:rsidRPr="00DB490D" w14:paraId="46440332" w14:textId="77777777" w:rsidTr="00141F7D">
        <w:trPr>
          <w:trHeight w:val="377"/>
        </w:trPr>
        <w:tc>
          <w:tcPr>
            <w:tcW w:w="2122" w:type="dxa"/>
            <w:vAlign w:val="center"/>
          </w:tcPr>
          <w:p w14:paraId="18F83305" w14:textId="24094871" w:rsidR="00E65D82" w:rsidRPr="00DB490D" w:rsidRDefault="00E65D82" w:rsidP="00552D3C">
            <w:pPr>
              <w:pStyle w:val="TableText0"/>
            </w:pPr>
            <w:r w:rsidRPr="00DB490D">
              <w:t>Leuprorelin acetate 30 mg (</w:t>
            </w:r>
            <w:proofErr w:type="spellStart"/>
            <w:r w:rsidR="006E5033" w:rsidRPr="00DB490D">
              <w:t>Lucrin</w:t>
            </w:r>
            <w:proofErr w:type="spellEnd"/>
            <w:r w:rsidR="006E5033" w:rsidRPr="00DB490D">
              <w:t xml:space="preserve"> Paediatric</w:t>
            </w:r>
            <w:r w:rsidRPr="00DB490D">
              <w:t>)</w:t>
            </w:r>
          </w:p>
        </w:tc>
        <w:tc>
          <w:tcPr>
            <w:tcW w:w="2976" w:type="dxa"/>
            <w:vAlign w:val="center"/>
          </w:tcPr>
          <w:p w14:paraId="04C9F2F4" w14:textId="77777777" w:rsidR="00E65D82" w:rsidRPr="00DB490D" w:rsidRDefault="00E65D82" w:rsidP="00552D3C">
            <w:pPr>
              <w:pStyle w:val="KMC16-Tablecontent"/>
              <w:rPr>
                <w:color w:val="auto"/>
                <w:lang w:val="en-AU"/>
              </w:rPr>
            </w:pPr>
            <w:r w:rsidRPr="00DB490D">
              <w:rPr>
                <w:color w:val="auto"/>
                <w:lang w:val="en-AU"/>
              </w:rPr>
              <w:t>30 mg depot administered IM 3 months apart.</w:t>
            </w:r>
          </w:p>
        </w:tc>
        <w:tc>
          <w:tcPr>
            <w:tcW w:w="1842" w:type="dxa"/>
            <w:vAlign w:val="center"/>
          </w:tcPr>
          <w:p w14:paraId="527A2D97" w14:textId="11A4A28B" w:rsidR="00E65D82" w:rsidRPr="00DB490D" w:rsidRDefault="00E65D82" w:rsidP="00552D3C">
            <w:pPr>
              <w:pStyle w:val="TableText0"/>
              <w:jc w:val="center"/>
            </w:pPr>
            <w:r w:rsidRPr="00DB490D">
              <w:t>6</w:t>
            </w:r>
            <w:r w:rsidR="007017D6" w:rsidRPr="00DB490D">
              <w:t xml:space="preserve"> months</w:t>
            </w:r>
          </w:p>
        </w:tc>
        <w:tc>
          <w:tcPr>
            <w:tcW w:w="1814" w:type="dxa"/>
            <w:vAlign w:val="center"/>
          </w:tcPr>
          <w:p w14:paraId="3433E77A" w14:textId="76A13977" w:rsidR="00E65D82" w:rsidRPr="00DB490D" w:rsidRDefault="00C524D4" w:rsidP="00552D3C">
            <w:pPr>
              <w:pStyle w:val="TableText0"/>
              <w:jc w:val="center"/>
              <w:rPr>
                <w:iCs/>
              </w:rPr>
            </w:pPr>
            <w:r w:rsidRPr="00DB490D">
              <w:rPr>
                <w:iCs/>
              </w:rPr>
              <w:t>3</w:t>
            </w:r>
            <w:r w:rsidR="00A34D67" w:rsidRPr="00DB490D">
              <w:rPr>
                <w:iCs/>
              </w:rPr>
              <w:t xml:space="preserve"> months</w:t>
            </w:r>
          </w:p>
        </w:tc>
      </w:tr>
      <w:tr w:rsidR="00067771" w:rsidRPr="0040247D" w14:paraId="12FC239C" w14:textId="77777777" w:rsidTr="00141F7D">
        <w:tc>
          <w:tcPr>
            <w:tcW w:w="8758" w:type="dxa"/>
            <w:gridSpan w:val="4"/>
            <w:vAlign w:val="center"/>
          </w:tcPr>
          <w:p w14:paraId="3A3B60C4" w14:textId="77777777" w:rsidR="00E65D82" w:rsidRPr="0040247D" w:rsidRDefault="00E65D82" w:rsidP="00552D3C">
            <w:pPr>
              <w:pStyle w:val="TableText0"/>
              <w:rPr>
                <w:b/>
                <w:bCs w:val="0"/>
              </w:rPr>
            </w:pPr>
            <w:r w:rsidRPr="0040247D">
              <w:rPr>
                <w:b/>
                <w:bCs w:val="0"/>
              </w:rPr>
              <w:t>Lee (2014)</w:t>
            </w:r>
          </w:p>
        </w:tc>
      </w:tr>
      <w:tr w:rsidR="00067771" w:rsidRPr="00DB490D" w14:paraId="60CE4A65" w14:textId="77777777" w:rsidTr="00141F7D">
        <w:tc>
          <w:tcPr>
            <w:tcW w:w="2122" w:type="dxa"/>
            <w:vAlign w:val="center"/>
          </w:tcPr>
          <w:p w14:paraId="6DEEDA6E" w14:textId="132CE4AE" w:rsidR="00E65D82" w:rsidRPr="00DB490D" w:rsidRDefault="00E65D82" w:rsidP="00552D3C">
            <w:pPr>
              <w:pStyle w:val="TableText0"/>
            </w:pPr>
            <w:r w:rsidRPr="00DB490D">
              <w:t>Leuprorelin acetate 30 mg (</w:t>
            </w:r>
            <w:proofErr w:type="spellStart"/>
            <w:r w:rsidR="006E5033" w:rsidRPr="00DB490D">
              <w:t>Lucrin</w:t>
            </w:r>
            <w:proofErr w:type="spellEnd"/>
            <w:r w:rsidR="006E5033" w:rsidRPr="00DB490D">
              <w:t xml:space="preserve"> Paediatric</w:t>
            </w:r>
            <w:r w:rsidRPr="00DB490D">
              <w:t>)</w:t>
            </w:r>
          </w:p>
        </w:tc>
        <w:tc>
          <w:tcPr>
            <w:tcW w:w="2976" w:type="dxa"/>
            <w:vAlign w:val="center"/>
          </w:tcPr>
          <w:p w14:paraId="21C37D8F" w14:textId="22269274" w:rsidR="00E65D82" w:rsidRPr="00DB490D" w:rsidRDefault="00E65D82" w:rsidP="00885460">
            <w:pPr>
              <w:pStyle w:val="KMC16-Tablecontent"/>
              <w:rPr>
                <w:color w:val="auto"/>
                <w:lang w:val="en-AU"/>
              </w:rPr>
            </w:pPr>
            <w:r w:rsidRPr="00DB490D">
              <w:rPr>
                <w:color w:val="auto"/>
                <w:lang w:val="en-AU"/>
              </w:rPr>
              <w:t>30 mg depot administered IM 3 months apart. First dose was administered on study day 1 which was month 6 of the Lee 2012 lead-in study.</w:t>
            </w:r>
          </w:p>
        </w:tc>
        <w:tc>
          <w:tcPr>
            <w:tcW w:w="1842" w:type="dxa"/>
            <w:vAlign w:val="center"/>
          </w:tcPr>
          <w:p w14:paraId="63B48C85" w14:textId="3A108DD8" w:rsidR="00E65D82" w:rsidRPr="00DB490D" w:rsidRDefault="00E65D82" w:rsidP="00552D3C">
            <w:pPr>
              <w:pStyle w:val="TableText0"/>
              <w:jc w:val="center"/>
            </w:pPr>
            <w:r w:rsidRPr="00DB490D">
              <w:t>36</w:t>
            </w:r>
            <w:r w:rsidR="007017D6" w:rsidRPr="00DB490D">
              <w:t xml:space="preserve"> months</w:t>
            </w:r>
          </w:p>
        </w:tc>
        <w:tc>
          <w:tcPr>
            <w:tcW w:w="1814" w:type="dxa"/>
            <w:vAlign w:val="center"/>
          </w:tcPr>
          <w:p w14:paraId="207FC5A7" w14:textId="2804013F" w:rsidR="00E65D82" w:rsidRPr="00DB490D" w:rsidRDefault="003F617B" w:rsidP="00552D3C">
            <w:pPr>
              <w:pStyle w:val="TableText0"/>
              <w:jc w:val="center"/>
              <w:rPr>
                <w:iCs/>
              </w:rPr>
            </w:pPr>
            <w:r w:rsidRPr="00DB490D">
              <w:rPr>
                <w:iCs/>
              </w:rPr>
              <w:t>3</w:t>
            </w:r>
            <w:r w:rsidR="00A34D67" w:rsidRPr="00DB490D">
              <w:rPr>
                <w:iCs/>
              </w:rPr>
              <w:t xml:space="preserve"> months</w:t>
            </w:r>
          </w:p>
        </w:tc>
      </w:tr>
      <w:tr w:rsidR="00067771" w:rsidRPr="0040247D" w14:paraId="2022BB05" w14:textId="77777777" w:rsidTr="00141F7D">
        <w:tc>
          <w:tcPr>
            <w:tcW w:w="8758" w:type="dxa"/>
            <w:gridSpan w:val="4"/>
            <w:vAlign w:val="center"/>
          </w:tcPr>
          <w:p w14:paraId="6508DD68" w14:textId="77777777" w:rsidR="00E65D82" w:rsidRPr="0040247D" w:rsidRDefault="00E65D82" w:rsidP="00552D3C">
            <w:pPr>
              <w:pStyle w:val="TableText0"/>
              <w:rPr>
                <w:b/>
                <w:bCs w:val="0"/>
              </w:rPr>
            </w:pPr>
            <w:r w:rsidRPr="0040247D">
              <w:rPr>
                <w:b/>
                <w:bCs w:val="0"/>
              </w:rPr>
              <w:t>Study 301</w:t>
            </w:r>
          </w:p>
        </w:tc>
      </w:tr>
      <w:tr w:rsidR="00067771" w:rsidRPr="0040247D" w14:paraId="73366B19" w14:textId="77777777" w:rsidTr="00141F7D">
        <w:tc>
          <w:tcPr>
            <w:tcW w:w="2122" w:type="dxa"/>
            <w:vAlign w:val="center"/>
          </w:tcPr>
          <w:p w14:paraId="6F6D794B" w14:textId="4DA1C0E1" w:rsidR="00E65D82" w:rsidRPr="0040247D" w:rsidRDefault="00E65D82" w:rsidP="00552D3C">
            <w:pPr>
              <w:pStyle w:val="TableText0"/>
            </w:pPr>
            <w:r w:rsidRPr="0040247D">
              <w:t xml:space="preserve">Triptorelin </w:t>
            </w:r>
            <w:proofErr w:type="spellStart"/>
            <w:r w:rsidRPr="0040247D">
              <w:t>embonate</w:t>
            </w:r>
            <w:proofErr w:type="spellEnd"/>
            <w:r w:rsidRPr="0040247D">
              <w:t xml:space="preserve"> 22.5 mg</w:t>
            </w:r>
            <w:r w:rsidR="007F5A54" w:rsidRPr="0040247D">
              <w:t xml:space="preserve"> (</w:t>
            </w:r>
            <w:proofErr w:type="spellStart"/>
            <w:r w:rsidR="007F5A54" w:rsidRPr="0040247D">
              <w:t>Diphereline</w:t>
            </w:r>
            <w:proofErr w:type="spellEnd"/>
            <w:r w:rsidR="007F5A54" w:rsidRPr="0040247D">
              <w:t>)</w:t>
            </w:r>
          </w:p>
        </w:tc>
        <w:tc>
          <w:tcPr>
            <w:tcW w:w="2976" w:type="dxa"/>
            <w:vAlign w:val="center"/>
          </w:tcPr>
          <w:p w14:paraId="55D32137" w14:textId="77777777" w:rsidR="00E65D82" w:rsidRPr="0040247D" w:rsidRDefault="00E65D82" w:rsidP="00552D3C">
            <w:pPr>
              <w:pStyle w:val="KMC16-Tablecontent"/>
              <w:rPr>
                <w:color w:val="auto"/>
                <w:lang w:val="en-AU"/>
              </w:rPr>
            </w:pPr>
            <w:r w:rsidRPr="0040247D">
              <w:rPr>
                <w:color w:val="auto"/>
                <w:lang w:val="en-AU"/>
              </w:rPr>
              <w:t xml:space="preserve">22.5 mg triptorelin administered every 24 weeks as a single intramuscular injection </w:t>
            </w:r>
          </w:p>
        </w:tc>
        <w:tc>
          <w:tcPr>
            <w:tcW w:w="1842" w:type="dxa"/>
            <w:vAlign w:val="center"/>
          </w:tcPr>
          <w:p w14:paraId="1FAE1545" w14:textId="5F25477E" w:rsidR="00E65D82" w:rsidRPr="0040247D" w:rsidRDefault="00A34D67" w:rsidP="00552D3C">
            <w:pPr>
              <w:pStyle w:val="TableText0"/>
              <w:jc w:val="center"/>
            </w:pPr>
            <w:r w:rsidRPr="0040247D">
              <w:t>6 months</w:t>
            </w:r>
          </w:p>
        </w:tc>
        <w:tc>
          <w:tcPr>
            <w:tcW w:w="1814" w:type="dxa"/>
            <w:vAlign w:val="center"/>
          </w:tcPr>
          <w:p w14:paraId="7472CD2F" w14:textId="60089097" w:rsidR="00E65D82" w:rsidRPr="0040247D" w:rsidRDefault="00A34D67" w:rsidP="00552D3C">
            <w:pPr>
              <w:pStyle w:val="TableText0"/>
              <w:jc w:val="center"/>
            </w:pPr>
            <w:r w:rsidRPr="0040247D">
              <w:t>6 months</w:t>
            </w:r>
          </w:p>
        </w:tc>
      </w:tr>
    </w:tbl>
    <w:p w14:paraId="60F61E41" w14:textId="1B4D3133" w:rsidR="00613BE7" w:rsidRPr="0040247D" w:rsidRDefault="00613BE7" w:rsidP="00613BE7">
      <w:pPr>
        <w:pStyle w:val="TableFigureFooter"/>
      </w:pPr>
      <w:r w:rsidRPr="0040247D">
        <w:t>Source: Table 2-11, p42 of the submission; Table 1-1, p2 and Table 3-1, p3 of the supplemental information</w:t>
      </w:r>
      <w:r w:rsidR="004A6CC7" w:rsidRPr="0040247D">
        <w:t>.</w:t>
      </w:r>
    </w:p>
    <w:p w14:paraId="01728FD4" w14:textId="3C4DA195" w:rsidR="00F2418F" w:rsidRPr="0040247D" w:rsidRDefault="00F2418F" w:rsidP="0055154C">
      <w:pPr>
        <w:pStyle w:val="3-BodyText"/>
        <w:ind w:left="709"/>
        <w:rPr>
          <w:bCs/>
        </w:rPr>
      </w:pPr>
      <w:r w:rsidRPr="0040247D">
        <w:rPr>
          <w:bCs/>
        </w:rPr>
        <w:t xml:space="preserve">The dose and frequency of </w:t>
      </w:r>
      <w:proofErr w:type="spellStart"/>
      <w:r w:rsidRPr="0040247D">
        <w:rPr>
          <w:bCs/>
        </w:rPr>
        <w:t>Eligard</w:t>
      </w:r>
      <w:proofErr w:type="spellEnd"/>
      <w:r w:rsidRPr="0040247D">
        <w:rPr>
          <w:bCs/>
        </w:rPr>
        <w:t xml:space="preserve"> 6 month in TOL2581A, </w:t>
      </w:r>
      <w:proofErr w:type="spellStart"/>
      <w:r w:rsidR="006E5033" w:rsidRPr="0040247D">
        <w:rPr>
          <w:bCs/>
        </w:rPr>
        <w:t>Lucrin</w:t>
      </w:r>
      <w:proofErr w:type="spellEnd"/>
      <w:r w:rsidR="006E5033" w:rsidRPr="0040247D">
        <w:rPr>
          <w:bCs/>
        </w:rPr>
        <w:t xml:space="preserve"> Paediatric</w:t>
      </w:r>
      <w:r w:rsidRPr="0040247D">
        <w:rPr>
          <w:bCs/>
        </w:rPr>
        <w:t xml:space="preserve"> in Lee (2012/2014), and </w:t>
      </w:r>
      <w:proofErr w:type="spellStart"/>
      <w:r w:rsidR="007F5A54" w:rsidRPr="0040247D">
        <w:rPr>
          <w:bCs/>
        </w:rPr>
        <w:t>Diphereline</w:t>
      </w:r>
      <w:proofErr w:type="spellEnd"/>
      <w:r w:rsidRPr="0040247D">
        <w:rPr>
          <w:bCs/>
        </w:rPr>
        <w:t xml:space="preserve"> in Study 301 were consistent with their respective proposed/approved TGA PI documents. </w:t>
      </w:r>
    </w:p>
    <w:p w14:paraId="436E57CB" w14:textId="104707CE" w:rsidR="00F2418F" w:rsidRPr="00E57B4B" w:rsidRDefault="00A33E20" w:rsidP="0055154C">
      <w:pPr>
        <w:pStyle w:val="3-BodyText"/>
        <w:ind w:left="709"/>
        <w:rPr>
          <w:bCs/>
        </w:rPr>
      </w:pPr>
      <w:r w:rsidRPr="00E57B4B">
        <w:rPr>
          <w:bCs/>
        </w:rPr>
        <w:t>T</w:t>
      </w:r>
      <w:r w:rsidR="00F2418F" w:rsidRPr="00E57B4B">
        <w:rPr>
          <w:bCs/>
        </w:rPr>
        <w:t xml:space="preserve">he </w:t>
      </w:r>
      <w:r w:rsidR="00A34D67" w:rsidRPr="00E57B4B">
        <w:rPr>
          <w:bCs/>
        </w:rPr>
        <w:t xml:space="preserve">treatment </w:t>
      </w:r>
      <w:r w:rsidR="00F2418F" w:rsidRPr="00E57B4B">
        <w:rPr>
          <w:bCs/>
        </w:rPr>
        <w:t>duration</w:t>
      </w:r>
      <w:r w:rsidR="00A34D67" w:rsidRPr="00E57B4B">
        <w:rPr>
          <w:bCs/>
        </w:rPr>
        <w:t>s</w:t>
      </w:r>
      <w:r w:rsidR="00F2418F" w:rsidRPr="00E57B4B">
        <w:rPr>
          <w:bCs/>
        </w:rPr>
        <w:t xml:space="preserve"> </w:t>
      </w:r>
      <w:r w:rsidR="00A34D67" w:rsidRPr="00E57B4B">
        <w:rPr>
          <w:bCs/>
        </w:rPr>
        <w:t xml:space="preserve">in </w:t>
      </w:r>
      <w:r w:rsidR="00F2418F" w:rsidRPr="00E57B4B">
        <w:rPr>
          <w:bCs/>
        </w:rPr>
        <w:t>these studies were substantially shorter than the average expected duration of treatment with</w:t>
      </w:r>
      <w:r w:rsidR="00055702" w:rsidRPr="00E57B4B">
        <w:rPr>
          <w:bCs/>
        </w:rPr>
        <w:t xml:space="preserve"> gonadotropin-releasing hormone agonist</w:t>
      </w:r>
      <w:r w:rsidR="00F2418F" w:rsidRPr="00E57B4B">
        <w:rPr>
          <w:bCs/>
        </w:rPr>
        <w:t xml:space="preserve"> </w:t>
      </w:r>
      <w:r w:rsidR="00055702" w:rsidRPr="00E57B4B">
        <w:rPr>
          <w:bCs/>
        </w:rPr>
        <w:t>(</w:t>
      </w:r>
      <w:proofErr w:type="spellStart"/>
      <w:r w:rsidR="00F2418F" w:rsidRPr="00E57B4B">
        <w:rPr>
          <w:bCs/>
        </w:rPr>
        <w:t>GnRHa</w:t>
      </w:r>
      <w:proofErr w:type="spellEnd"/>
      <w:r w:rsidR="00055702" w:rsidRPr="00E57B4B">
        <w:rPr>
          <w:bCs/>
        </w:rPr>
        <w:t>)</w:t>
      </w:r>
      <w:r w:rsidR="00F2418F" w:rsidRPr="00E57B4B">
        <w:rPr>
          <w:bCs/>
        </w:rPr>
        <w:t xml:space="preserve">, and what would be allowed in the respective indications and restrictions. Lee (2014) indicated that </w:t>
      </w:r>
      <w:r w:rsidR="00141F7D" w:rsidRPr="00E57B4B">
        <w:rPr>
          <w:bCs/>
        </w:rPr>
        <w:t>most</w:t>
      </w:r>
      <w:r w:rsidR="00F2418F" w:rsidRPr="00E57B4B">
        <w:rPr>
          <w:bCs/>
        </w:rPr>
        <w:t xml:space="preserve"> patients discontinued due to the individual being ready to progress through puberty (28 out of 48 discontinuations), suggesting that median treatment duration in the extension was </w:t>
      </w:r>
      <w:r w:rsidRPr="00E57B4B">
        <w:rPr>
          <w:bCs/>
        </w:rPr>
        <w:t xml:space="preserve">up to </w:t>
      </w:r>
      <w:r w:rsidR="00F2418F" w:rsidRPr="00E57B4B">
        <w:rPr>
          <w:bCs/>
        </w:rPr>
        <w:t>three years.</w:t>
      </w:r>
      <w:r w:rsidR="00931ADA" w:rsidRPr="00E57B4B">
        <w:rPr>
          <w:bCs/>
        </w:rPr>
        <w:t xml:space="preserve"> </w:t>
      </w:r>
      <w:r w:rsidR="00C96640" w:rsidRPr="00E57B4B">
        <w:rPr>
          <w:bCs/>
        </w:rPr>
        <w:t>However, t</w:t>
      </w:r>
      <w:r w:rsidR="00225F17" w:rsidRPr="00E57B4B">
        <w:rPr>
          <w:bCs/>
        </w:rPr>
        <w:t xml:space="preserve">reatment </w:t>
      </w:r>
      <w:r w:rsidR="00FE4D63" w:rsidRPr="00E57B4B">
        <w:rPr>
          <w:bCs/>
        </w:rPr>
        <w:t xml:space="preserve">duration of &gt;3 years with </w:t>
      </w:r>
      <w:proofErr w:type="spellStart"/>
      <w:r w:rsidR="00FE4D63" w:rsidRPr="00E57B4B">
        <w:rPr>
          <w:bCs/>
        </w:rPr>
        <w:t>GnRHa</w:t>
      </w:r>
      <w:proofErr w:type="spellEnd"/>
      <w:r w:rsidR="00FE4D63" w:rsidRPr="00E57B4B">
        <w:rPr>
          <w:bCs/>
        </w:rPr>
        <w:t xml:space="preserve"> </w:t>
      </w:r>
      <w:r w:rsidR="00C96640" w:rsidRPr="00E57B4B">
        <w:rPr>
          <w:bCs/>
        </w:rPr>
        <w:t xml:space="preserve">has been </w:t>
      </w:r>
      <w:r w:rsidR="00FE4D63" w:rsidRPr="00E57B4B">
        <w:rPr>
          <w:bCs/>
        </w:rPr>
        <w:t xml:space="preserve">reported in </w:t>
      </w:r>
      <w:r w:rsidR="00141F7D" w:rsidRPr="00E57B4B">
        <w:rPr>
          <w:bCs/>
        </w:rPr>
        <w:t xml:space="preserve">the </w:t>
      </w:r>
      <w:r w:rsidR="00FE4D63" w:rsidRPr="00E57B4B">
        <w:rPr>
          <w:bCs/>
        </w:rPr>
        <w:t>literature</w:t>
      </w:r>
      <w:r w:rsidR="003B16C4" w:rsidRPr="00E57B4B">
        <w:rPr>
          <w:rStyle w:val="FootnoteReference"/>
          <w:bCs/>
        </w:rPr>
        <w:footnoteReference w:id="8"/>
      </w:r>
      <w:r w:rsidR="003B16C4" w:rsidRPr="00E57B4B">
        <w:rPr>
          <w:bCs/>
        </w:rPr>
        <w:t>.</w:t>
      </w:r>
    </w:p>
    <w:p w14:paraId="5BAAE7E7" w14:textId="4FB9573D" w:rsidR="00226051" w:rsidRPr="0040247D" w:rsidRDefault="00703F04" w:rsidP="00244F19">
      <w:pPr>
        <w:pStyle w:val="4-SubsectionHeading"/>
      </w:pPr>
      <w:bookmarkStart w:id="22" w:name="_Toc103764961"/>
      <w:r w:rsidRPr="0040247D">
        <w:t>Comparative effectiveness</w:t>
      </w:r>
      <w:bookmarkEnd w:id="22"/>
    </w:p>
    <w:p w14:paraId="1A034CE4" w14:textId="20E139C2" w:rsidR="00E364A2" w:rsidRPr="0040247D" w:rsidRDefault="00764BEF" w:rsidP="0055154C">
      <w:pPr>
        <w:pStyle w:val="3-BodyText"/>
        <w:ind w:left="709"/>
      </w:pPr>
      <w:r w:rsidRPr="0040247D">
        <w:t xml:space="preserve">The results of the trial are shown in </w:t>
      </w:r>
      <w:r w:rsidR="00B4526F" w:rsidRPr="0040247D">
        <w:fldChar w:fldCharType="begin"/>
      </w:r>
      <w:r w:rsidR="00B4526F" w:rsidRPr="0040247D">
        <w:instrText xml:space="preserve"> REF _Ref102726814 \h  \* MERGEFORMAT </w:instrText>
      </w:r>
      <w:r w:rsidR="00B4526F" w:rsidRPr="0040247D">
        <w:fldChar w:fldCharType="separate"/>
      </w:r>
      <w:r w:rsidR="00B4526F" w:rsidRPr="0040247D">
        <w:t>Table 5</w:t>
      </w:r>
      <w:r w:rsidR="00B4526F" w:rsidRPr="0040247D">
        <w:fldChar w:fldCharType="end"/>
      </w:r>
      <w:r w:rsidR="00B4526F" w:rsidRPr="0040247D">
        <w:t xml:space="preserve"> and </w:t>
      </w:r>
      <w:r w:rsidR="00B4526F" w:rsidRPr="0040247D">
        <w:fldChar w:fldCharType="begin"/>
      </w:r>
      <w:r w:rsidR="00B4526F" w:rsidRPr="0040247D">
        <w:instrText xml:space="preserve"> REF _Ref102726816 \h  \* MERGEFORMAT </w:instrText>
      </w:r>
      <w:r w:rsidR="00B4526F" w:rsidRPr="0040247D">
        <w:fldChar w:fldCharType="separate"/>
      </w:r>
      <w:r w:rsidR="00B4526F" w:rsidRPr="0040247D">
        <w:t>Table 6</w:t>
      </w:r>
      <w:r w:rsidR="00B4526F" w:rsidRPr="0040247D">
        <w:fldChar w:fldCharType="end"/>
      </w:r>
      <w:r w:rsidRPr="0040247D">
        <w:t>.</w:t>
      </w:r>
    </w:p>
    <w:p w14:paraId="6BED9222" w14:textId="2DF9D931" w:rsidR="005D2C6A" w:rsidRPr="00325833" w:rsidRDefault="00B4526F" w:rsidP="00325833">
      <w:pPr>
        <w:pStyle w:val="TableFigureHeading"/>
        <w:rPr>
          <w:snapToGrid w:val="0"/>
        </w:rPr>
      </w:pPr>
      <w:bookmarkStart w:id="23" w:name="_Ref102726814"/>
      <w:r w:rsidRPr="0040247D">
        <w:t xml:space="preserve">Table </w:t>
      </w:r>
      <w:fldSimple w:instr=" SEQ Table \* ARABIC ">
        <w:r w:rsidRPr="0040247D">
          <w:t>5</w:t>
        </w:r>
      </w:fldSimple>
      <w:bookmarkEnd w:id="23"/>
      <w:r w:rsidRPr="0040247D">
        <w:t xml:space="preserve">: </w:t>
      </w:r>
      <w:r w:rsidR="00486092" w:rsidRPr="0040247D">
        <w:rPr>
          <w:rStyle w:val="CaptionChar"/>
          <w:b/>
          <w:color w:val="auto"/>
          <w:sz w:val="20"/>
          <w:szCs w:val="24"/>
          <w:lang w:eastAsia="en-AU"/>
        </w:rPr>
        <w:t>LH response (LH &lt;4 IU/L) (ITT populations)</w:t>
      </w:r>
    </w:p>
    <w:tbl>
      <w:tblPr>
        <w:tblStyle w:val="TableGrid"/>
        <w:tblW w:w="8784" w:type="dxa"/>
        <w:tblLayout w:type="fixed"/>
        <w:tblLook w:val="04A0" w:firstRow="1" w:lastRow="0" w:firstColumn="1" w:lastColumn="0" w:noHBand="0" w:noVBand="1"/>
        <w:tblCaption w:val="Table 5: LH response (LH &lt;4 IU/L) (ITT populations)"/>
        <w:tblDescription w:val="Table 5: LH response (LH &lt;4 IU/L) (ITT populations)"/>
      </w:tblPr>
      <w:tblGrid>
        <w:gridCol w:w="1126"/>
        <w:gridCol w:w="712"/>
        <w:gridCol w:w="1559"/>
        <w:gridCol w:w="1134"/>
        <w:gridCol w:w="1843"/>
        <w:gridCol w:w="709"/>
        <w:gridCol w:w="1701"/>
      </w:tblGrid>
      <w:tr w:rsidR="000969A8" w:rsidRPr="0040247D" w14:paraId="7F17F3F6" w14:textId="77777777" w:rsidTr="00992853">
        <w:trPr>
          <w:tblHeader/>
        </w:trPr>
        <w:tc>
          <w:tcPr>
            <w:tcW w:w="1126" w:type="dxa"/>
            <w:shd w:val="clear" w:color="auto" w:fill="auto"/>
          </w:tcPr>
          <w:p w14:paraId="0F94AD39" w14:textId="77777777" w:rsidR="000969A8" w:rsidRPr="0040247D" w:rsidRDefault="000969A8" w:rsidP="002F639B">
            <w:pPr>
              <w:pStyle w:val="KMC16-Tablecontent"/>
              <w:widowControl w:val="0"/>
              <w:rPr>
                <w:b/>
                <w:bCs/>
                <w:color w:val="auto"/>
                <w:lang w:val="en-AU"/>
              </w:rPr>
            </w:pPr>
          </w:p>
        </w:tc>
        <w:tc>
          <w:tcPr>
            <w:tcW w:w="2271" w:type="dxa"/>
            <w:gridSpan w:val="2"/>
            <w:shd w:val="clear" w:color="auto" w:fill="auto"/>
          </w:tcPr>
          <w:p w14:paraId="55C610AA" w14:textId="77777777" w:rsidR="000969A8" w:rsidRPr="0040247D" w:rsidRDefault="000969A8" w:rsidP="002F639B">
            <w:pPr>
              <w:pStyle w:val="KMC16-Tablecontent"/>
              <w:widowControl w:val="0"/>
              <w:jc w:val="center"/>
              <w:rPr>
                <w:b/>
                <w:bCs/>
                <w:color w:val="auto"/>
                <w:lang w:val="en-AU"/>
              </w:rPr>
            </w:pPr>
            <w:r w:rsidRPr="0040247D">
              <w:rPr>
                <w:b/>
                <w:bCs/>
                <w:color w:val="auto"/>
                <w:lang w:val="en-AU"/>
              </w:rPr>
              <w:t>TOL2581A</w:t>
            </w:r>
          </w:p>
        </w:tc>
        <w:tc>
          <w:tcPr>
            <w:tcW w:w="2977" w:type="dxa"/>
            <w:gridSpan w:val="2"/>
          </w:tcPr>
          <w:p w14:paraId="4D4CD16E" w14:textId="5198F713" w:rsidR="000969A8" w:rsidRPr="0040247D" w:rsidRDefault="000969A8" w:rsidP="002F639B">
            <w:pPr>
              <w:pStyle w:val="KMC16-Tablecontent"/>
              <w:widowControl w:val="0"/>
              <w:jc w:val="center"/>
              <w:rPr>
                <w:b/>
                <w:bCs/>
                <w:color w:val="auto"/>
                <w:lang w:val="en-AU"/>
              </w:rPr>
            </w:pPr>
            <w:r>
              <w:rPr>
                <w:b/>
                <w:bCs/>
                <w:color w:val="auto"/>
                <w:lang w:val="en-AU"/>
              </w:rPr>
              <w:t>Lee 2012</w:t>
            </w:r>
          </w:p>
        </w:tc>
        <w:tc>
          <w:tcPr>
            <w:tcW w:w="2410" w:type="dxa"/>
            <w:gridSpan w:val="2"/>
            <w:shd w:val="clear" w:color="auto" w:fill="auto"/>
          </w:tcPr>
          <w:p w14:paraId="2A7A2300" w14:textId="1D0E6BDD" w:rsidR="000969A8" w:rsidRPr="0040247D" w:rsidRDefault="000969A8" w:rsidP="002F639B">
            <w:pPr>
              <w:pStyle w:val="KMC16-Tablecontent"/>
              <w:widowControl w:val="0"/>
              <w:jc w:val="center"/>
              <w:rPr>
                <w:b/>
                <w:bCs/>
                <w:color w:val="auto"/>
                <w:lang w:val="en-AU"/>
              </w:rPr>
            </w:pPr>
            <w:r w:rsidRPr="0040247D">
              <w:rPr>
                <w:b/>
                <w:bCs/>
                <w:color w:val="auto"/>
                <w:lang w:val="en-AU"/>
              </w:rPr>
              <w:t>Study 301</w:t>
            </w:r>
          </w:p>
        </w:tc>
      </w:tr>
      <w:tr w:rsidR="000969A8" w:rsidRPr="0040247D" w14:paraId="7AEBD8E9" w14:textId="77777777" w:rsidTr="00992853">
        <w:trPr>
          <w:tblHeader/>
        </w:trPr>
        <w:tc>
          <w:tcPr>
            <w:tcW w:w="1126" w:type="dxa"/>
            <w:vMerge w:val="restart"/>
            <w:shd w:val="clear" w:color="auto" w:fill="auto"/>
          </w:tcPr>
          <w:p w14:paraId="54F732A8" w14:textId="77777777" w:rsidR="000969A8" w:rsidRPr="0040247D" w:rsidRDefault="000969A8" w:rsidP="002F639B">
            <w:pPr>
              <w:pStyle w:val="KMC16-Tablecontent"/>
              <w:widowControl w:val="0"/>
              <w:rPr>
                <w:b/>
                <w:bCs/>
                <w:color w:val="auto"/>
                <w:lang w:val="en-AU"/>
              </w:rPr>
            </w:pPr>
            <w:r w:rsidRPr="0040247D">
              <w:rPr>
                <w:b/>
                <w:bCs/>
                <w:color w:val="auto"/>
                <w:lang w:val="en-AU"/>
              </w:rPr>
              <w:t>Timepoint</w:t>
            </w:r>
          </w:p>
        </w:tc>
        <w:tc>
          <w:tcPr>
            <w:tcW w:w="2271" w:type="dxa"/>
            <w:gridSpan w:val="2"/>
            <w:shd w:val="clear" w:color="auto" w:fill="auto"/>
          </w:tcPr>
          <w:p w14:paraId="2086B0D3" w14:textId="7DFED227" w:rsidR="000969A8" w:rsidRPr="0040247D" w:rsidRDefault="000969A8" w:rsidP="005D2C6A">
            <w:pPr>
              <w:pStyle w:val="KMC16-Tablecontent"/>
              <w:widowControl w:val="0"/>
              <w:jc w:val="center"/>
              <w:rPr>
                <w:b/>
                <w:bCs/>
                <w:color w:val="auto"/>
                <w:lang w:val="en-AU"/>
              </w:rPr>
            </w:pPr>
            <w:proofErr w:type="spellStart"/>
            <w:r w:rsidRPr="0040247D">
              <w:rPr>
                <w:b/>
                <w:bCs/>
                <w:color w:val="auto"/>
                <w:lang w:val="en-AU"/>
              </w:rPr>
              <w:t>Eligard</w:t>
            </w:r>
            <w:proofErr w:type="spellEnd"/>
            <w:r w:rsidRPr="0040247D">
              <w:rPr>
                <w:b/>
                <w:bCs/>
                <w:color w:val="auto"/>
                <w:lang w:val="en-AU"/>
              </w:rPr>
              <w:t xml:space="preserve"> 6 month</w:t>
            </w:r>
            <w:r>
              <w:rPr>
                <w:b/>
                <w:bCs/>
                <w:color w:val="auto"/>
                <w:lang w:val="en-AU"/>
              </w:rPr>
              <w:t xml:space="preserve"> </w:t>
            </w:r>
            <w:r w:rsidRPr="0040247D">
              <w:rPr>
                <w:b/>
                <w:bCs/>
                <w:color w:val="auto"/>
                <w:lang w:val="en-AU"/>
              </w:rPr>
              <w:t>(N=62)</w:t>
            </w:r>
          </w:p>
        </w:tc>
        <w:tc>
          <w:tcPr>
            <w:tcW w:w="2977" w:type="dxa"/>
            <w:gridSpan w:val="2"/>
          </w:tcPr>
          <w:p w14:paraId="5F42DE3F" w14:textId="77777777" w:rsidR="00325833" w:rsidRPr="0040247D" w:rsidRDefault="00325833" w:rsidP="00992853">
            <w:pPr>
              <w:pStyle w:val="KMC16-Tablecontent"/>
              <w:widowControl w:val="0"/>
              <w:jc w:val="center"/>
              <w:rPr>
                <w:b/>
                <w:bCs/>
                <w:color w:val="auto"/>
                <w:lang w:val="en-AU"/>
              </w:rPr>
            </w:pPr>
            <w:proofErr w:type="spellStart"/>
            <w:r w:rsidRPr="0040247D">
              <w:rPr>
                <w:b/>
                <w:bCs/>
                <w:color w:val="auto"/>
                <w:lang w:val="en-AU"/>
              </w:rPr>
              <w:t>Lucrin</w:t>
            </w:r>
            <w:proofErr w:type="spellEnd"/>
            <w:r w:rsidRPr="0040247D">
              <w:rPr>
                <w:b/>
                <w:bCs/>
                <w:color w:val="auto"/>
                <w:lang w:val="en-AU"/>
              </w:rPr>
              <w:t xml:space="preserve"> Paediatric</w:t>
            </w:r>
          </w:p>
          <w:p w14:paraId="110189CB" w14:textId="030FFB9A" w:rsidR="00992853" w:rsidRDefault="00325833" w:rsidP="00992853">
            <w:pPr>
              <w:pStyle w:val="KMC16-Tablecontent"/>
              <w:widowControl w:val="0"/>
              <w:jc w:val="center"/>
              <w:rPr>
                <w:b/>
                <w:bCs/>
                <w:color w:val="auto"/>
                <w:lang w:val="en-AU"/>
              </w:rPr>
            </w:pPr>
            <w:r w:rsidRPr="0040247D">
              <w:rPr>
                <w:b/>
                <w:bCs/>
                <w:color w:val="auto"/>
                <w:lang w:val="en-AU"/>
              </w:rPr>
              <w:t>Treatment naïve population</w:t>
            </w:r>
          </w:p>
          <w:p w14:paraId="25F4A54F" w14:textId="4224E084" w:rsidR="000969A8" w:rsidRPr="00992853" w:rsidRDefault="00325833" w:rsidP="00992853">
            <w:pPr>
              <w:pStyle w:val="KMC16-Tablecontent"/>
              <w:widowControl w:val="0"/>
              <w:jc w:val="center"/>
              <w:rPr>
                <w:b/>
                <w:bCs/>
                <w:color w:val="auto"/>
                <w:lang w:val="en-AU"/>
              </w:rPr>
            </w:pPr>
            <w:r w:rsidRPr="0040247D">
              <w:rPr>
                <w:b/>
                <w:bCs/>
                <w:color w:val="auto"/>
                <w:lang w:val="en-AU"/>
              </w:rPr>
              <w:t>(N=21)</w:t>
            </w:r>
            <w:r w:rsidR="00992853">
              <w:rPr>
                <w:b/>
                <w:bCs/>
                <w:color w:val="auto"/>
                <w:lang w:val="en-AU"/>
              </w:rPr>
              <w:t xml:space="preserve"> </w:t>
            </w:r>
            <w:r w:rsidR="00992853" w:rsidRPr="00992853">
              <w:rPr>
                <w:b/>
                <w:bCs/>
                <w:color w:val="auto"/>
                <w:vertAlign w:val="superscript"/>
                <w:lang w:val="en-AU"/>
              </w:rPr>
              <w:t>(</w:t>
            </w:r>
            <w:r w:rsidR="00992853">
              <w:rPr>
                <w:b/>
                <w:bCs/>
                <w:color w:val="auto"/>
                <w:vertAlign w:val="superscript"/>
                <w:lang w:val="en-AU"/>
              </w:rPr>
              <w:t>e</w:t>
            </w:r>
            <w:r w:rsidR="00992853" w:rsidRPr="00992853">
              <w:rPr>
                <w:b/>
                <w:bCs/>
                <w:color w:val="auto"/>
                <w:vertAlign w:val="superscript"/>
                <w:lang w:val="en-AU"/>
              </w:rPr>
              <w:t>)</w:t>
            </w:r>
          </w:p>
        </w:tc>
        <w:tc>
          <w:tcPr>
            <w:tcW w:w="2410" w:type="dxa"/>
            <w:gridSpan w:val="2"/>
            <w:shd w:val="clear" w:color="auto" w:fill="auto"/>
          </w:tcPr>
          <w:p w14:paraId="5A7A6177" w14:textId="170B4221" w:rsidR="000969A8" w:rsidRPr="0040247D" w:rsidRDefault="000969A8" w:rsidP="005D2C6A">
            <w:pPr>
              <w:pStyle w:val="KMC16-Tablecontent"/>
              <w:widowControl w:val="0"/>
              <w:jc w:val="center"/>
              <w:rPr>
                <w:b/>
                <w:bCs/>
                <w:color w:val="auto"/>
                <w:lang w:val="en-AU"/>
              </w:rPr>
            </w:pPr>
            <w:proofErr w:type="spellStart"/>
            <w:r w:rsidRPr="0040247D">
              <w:rPr>
                <w:b/>
                <w:color w:val="auto"/>
                <w:lang w:val="en-AU"/>
              </w:rPr>
              <w:t>Diphereline</w:t>
            </w:r>
            <w:proofErr w:type="spellEnd"/>
            <w:r w:rsidRPr="0040247D">
              <w:rPr>
                <w:b/>
                <w:color w:val="auto"/>
                <w:lang w:val="en-AU"/>
              </w:rPr>
              <w:t xml:space="preserve"> 22.5 mg</w:t>
            </w:r>
            <w:r>
              <w:rPr>
                <w:b/>
                <w:bCs/>
                <w:color w:val="auto"/>
                <w:lang w:val="en-AU"/>
              </w:rPr>
              <w:t xml:space="preserve"> </w:t>
            </w:r>
            <w:r w:rsidRPr="0040247D">
              <w:rPr>
                <w:b/>
                <w:bCs/>
                <w:color w:val="auto"/>
                <w:lang w:val="en-AU"/>
              </w:rPr>
              <w:t xml:space="preserve">(N=44) </w:t>
            </w:r>
            <w:r w:rsidRPr="0040247D">
              <w:rPr>
                <w:b/>
                <w:bCs/>
                <w:color w:val="auto"/>
                <w:vertAlign w:val="superscript"/>
                <w:lang w:val="en-AU"/>
              </w:rPr>
              <w:t>(a)</w:t>
            </w:r>
          </w:p>
        </w:tc>
      </w:tr>
      <w:tr w:rsidR="00992853" w:rsidRPr="0040247D" w14:paraId="42F18243" w14:textId="77777777" w:rsidTr="00992853">
        <w:trPr>
          <w:tblHeader/>
        </w:trPr>
        <w:tc>
          <w:tcPr>
            <w:tcW w:w="1126" w:type="dxa"/>
            <w:vMerge/>
            <w:shd w:val="clear" w:color="auto" w:fill="auto"/>
          </w:tcPr>
          <w:p w14:paraId="44ED5BA7" w14:textId="77777777" w:rsidR="00325833" w:rsidRPr="0040247D" w:rsidRDefault="00325833" w:rsidP="00325833">
            <w:pPr>
              <w:pStyle w:val="KMC16-Tablecontent"/>
              <w:widowControl w:val="0"/>
              <w:rPr>
                <w:color w:val="auto"/>
                <w:lang w:val="en-AU"/>
              </w:rPr>
            </w:pPr>
          </w:p>
        </w:tc>
        <w:tc>
          <w:tcPr>
            <w:tcW w:w="712" w:type="dxa"/>
            <w:shd w:val="clear" w:color="auto" w:fill="auto"/>
          </w:tcPr>
          <w:p w14:paraId="60E1FCFE" w14:textId="77777777" w:rsidR="00325833" w:rsidRPr="0040247D" w:rsidRDefault="00325833" w:rsidP="00325833">
            <w:pPr>
              <w:pStyle w:val="KMC16-Tablecontent"/>
              <w:widowControl w:val="0"/>
              <w:jc w:val="center"/>
              <w:rPr>
                <w:b/>
                <w:bCs/>
                <w:color w:val="auto"/>
                <w:lang w:val="en-AU"/>
              </w:rPr>
            </w:pPr>
            <w:r w:rsidRPr="0040247D">
              <w:rPr>
                <w:b/>
                <w:bCs/>
                <w:color w:val="auto"/>
                <w:lang w:val="en-AU"/>
              </w:rPr>
              <w:t>n/N</w:t>
            </w:r>
          </w:p>
        </w:tc>
        <w:tc>
          <w:tcPr>
            <w:tcW w:w="1559" w:type="dxa"/>
            <w:shd w:val="clear" w:color="auto" w:fill="auto"/>
          </w:tcPr>
          <w:p w14:paraId="58B3889E" w14:textId="04E1A75D" w:rsidR="00325833" w:rsidRPr="0040247D" w:rsidRDefault="00325833" w:rsidP="00325833">
            <w:pPr>
              <w:pStyle w:val="KMC16-Tablecontent"/>
              <w:widowControl w:val="0"/>
              <w:jc w:val="center"/>
              <w:rPr>
                <w:b/>
                <w:bCs/>
                <w:color w:val="auto"/>
                <w:lang w:val="en-AU"/>
              </w:rPr>
            </w:pPr>
            <w:r w:rsidRPr="0040247D">
              <w:rPr>
                <w:b/>
                <w:bCs/>
                <w:color w:val="auto"/>
                <w:lang w:val="en-AU"/>
              </w:rPr>
              <w:t>% responders</w:t>
            </w:r>
            <w:r>
              <w:rPr>
                <w:b/>
                <w:bCs/>
                <w:color w:val="auto"/>
                <w:lang w:val="en-AU"/>
              </w:rPr>
              <w:t xml:space="preserve"> </w:t>
            </w:r>
            <w:r w:rsidRPr="0040247D">
              <w:rPr>
                <w:b/>
                <w:bCs/>
                <w:color w:val="auto"/>
                <w:lang w:val="en-AU"/>
              </w:rPr>
              <w:t>(95% CI)</w:t>
            </w:r>
          </w:p>
        </w:tc>
        <w:tc>
          <w:tcPr>
            <w:tcW w:w="1134" w:type="dxa"/>
          </w:tcPr>
          <w:p w14:paraId="4DAD1305" w14:textId="5E113707" w:rsidR="00325833" w:rsidRPr="0040247D" w:rsidRDefault="00325833" w:rsidP="00325833">
            <w:pPr>
              <w:pStyle w:val="KMC16-Tablecontent"/>
              <w:widowControl w:val="0"/>
              <w:jc w:val="center"/>
              <w:rPr>
                <w:b/>
                <w:bCs/>
                <w:color w:val="auto"/>
                <w:lang w:val="en-AU"/>
              </w:rPr>
            </w:pPr>
            <w:r w:rsidRPr="0040247D">
              <w:rPr>
                <w:b/>
                <w:bCs/>
                <w:color w:val="auto"/>
                <w:lang w:val="en-AU"/>
              </w:rPr>
              <w:t>n/N</w:t>
            </w:r>
          </w:p>
        </w:tc>
        <w:tc>
          <w:tcPr>
            <w:tcW w:w="1843" w:type="dxa"/>
          </w:tcPr>
          <w:p w14:paraId="22DDDFC8" w14:textId="5578F47D" w:rsidR="00325833" w:rsidRPr="0040247D" w:rsidRDefault="00325833" w:rsidP="00325833">
            <w:pPr>
              <w:pStyle w:val="KMC16-Tablecontent"/>
              <w:widowControl w:val="0"/>
              <w:jc w:val="center"/>
              <w:rPr>
                <w:b/>
                <w:bCs/>
                <w:color w:val="auto"/>
                <w:lang w:val="en-AU"/>
              </w:rPr>
            </w:pPr>
            <w:r w:rsidRPr="0040247D">
              <w:rPr>
                <w:b/>
                <w:bCs/>
                <w:color w:val="auto"/>
                <w:lang w:val="en-AU"/>
              </w:rPr>
              <w:t>% responders</w:t>
            </w:r>
            <w:r w:rsidRPr="0040247D">
              <w:rPr>
                <w:b/>
                <w:bCs/>
                <w:color w:val="auto"/>
                <w:lang w:val="en-AU"/>
              </w:rPr>
              <w:br/>
              <w:t>(95% CI)</w:t>
            </w:r>
          </w:p>
        </w:tc>
        <w:tc>
          <w:tcPr>
            <w:tcW w:w="709" w:type="dxa"/>
            <w:shd w:val="clear" w:color="auto" w:fill="auto"/>
          </w:tcPr>
          <w:p w14:paraId="7A8D0843" w14:textId="35769FD1" w:rsidR="00325833" w:rsidRPr="0040247D" w:rsidRDefault="00325833" w:rsidP="00325833">
            <w:pPr>
              <w:pStyle w:val="KMC16-Tablecontent"/>
              <w:widowControl w:val="0"/>
              <w:jc w:val="center"/>
              <w:rPr>
                <w:b/>
                <w:bCs/>
                <w:color w:val="auto"/>
                <w:lang w:val="en-AU"/>
              </w:rPr>
            </w:pPr>
            <w:r w:rsidRPr="0040247D">
              <w:rPr>
                <w:b/>
                <w:bCs/>
                <w:color w:val="auto"/>
                <w:lang w:val="en-AU"/>
              </w:rPr>
              <w:t>n/N</w:t>
            </w:r>
          </w:p>
        </w:tc>
        <w:tc>
          <w:tcPr>
            <w:tcW w:w="1701" w:type="dxa"/>
            <w:shd w:val="clear" w:color="auto" w:fill="auto"/>
          </w:tcPr>
          <w:p w14:paraId="0F82DDA4" w14:textId="6FB4E344" w:rsidR="00325833" w:rsidRPr="0040247D" w:rsidRDefault="00325833" w:rsidP="00325833">
            <w:pPr>
              <w:pStyle w:val="KMC16-Tablecontent"/>
              <w:widowControl w:val="0"/>
              <w:jc w:val="center"/>
              <w:rPr>
                <w:b/>
                <w:bCs/>
                <w:color w:val="auto"/>
                <w:lang w:val="en-AU"/>
              </w:rPr>
            </w:pPr>
            <w:r w:rsidRPr="0040247D">
              <w:rPr>
                <w:b/>
                <w:bCs/>
                <w:color w:val="auto"/>
                <w:lang w:val="en-AU"/>
              </w:rPr>
              <w:t>% responders</w:t>
            </w:r>
            <w:r>
              <w:rPr>
                <w:b/>
                <w:bCs/>
                <w:color w:val="auto"/>
                <w:lang w:val="en-AU"/>
              </w:rPr>
              <w:t xml:space="preserve"> </w:t>
            </w:r>
            <w:r w:rsidRPr="0040247D">
              <w:rPr>
                <w:b/>
                <w:bCs/>
                <w:color w:val="auto"/>
                <w:lang w:val="en-AU"/>
              </w:rPr>
              <w:t>(95% CI)</w:t>
            </w:r>
          </w:p>
        </w:tc>
      </w:tr>
      <w:tr w:rsidR="00325833" w:rsidRPr="0040247D" w14:paraId="3BB50DA3" w14:textId="77777777" w:rsidTr="00992853">
        <w:tc>
          <w:tcPr>
            <w:tcW w:w="1126" w:type="dxa"/>
            <w:shd w:val="clear" w:color="auto" w:fill="auto"/>
          </w:tcPr>
          <w:p w14:paraId="461F243F" w14:textId="77777777" w:rsidR="00325833" w:rsidRPr="0040247D" w:rsidRDefault="00325833" w:rsidP="00325833">
            <w:pPr>
              <w:pStyle w:val="KMC16-Tablecontent"/>
              <w:widowControl w:val="0"/>
              <w:rPr>
                <w:b/>
                <w:bCs/>
                <w:color w:val="auto"/>
                <w:lang w:val="en-AU"/>
              </w:rPr>
            </w:pPr>
            <w:r w:rsidRPr="0040247D">
              <w:rPr>
                <w:b/>
                <w:bCs/>
                <w:color w:val="auto"/>
                <w:lang w:val="en-AU"/>
              </w:rPr>
              <w:t xml:space="preserve">Week 8 / </w:t>
            </w:r>
            <w:r w:rsidRPr="0040247D">
              <w:rPr>
                <w:b/>
                <w:bCs/>
                <w:color w:val="auto"/>
                <w:lang w:val="en-AU"/>
              </w:rPr>
              <w:lastRenderedPageBreak/>
              <w:t>Month 2</w:t>
            </w:r>
          </w:p>
        </w:tc>
        <w:tc>
          <w:tcPr>
            <w:tcW w:w="712" w:type="dxa"/>
            <w:shd w:val="clear" w:color="auto" w:fill="auto"/>
          </w:tcPr>
          <w:p w14:paraId="33BE71E9" w14:textId="77777777" w:rsidR="00325833" w:rsidRPr="0040247D" w:rsidRDefault="00325833" w:rsidP="00325833">
            <w:pPr>
              <w:pStyle w:val="KMC16-Tablecontent"/>
              <w:widowControl w:val="0"/>
              <w:rPr>
                <w:color w:val="auto"/>
                <w:lang w:val="en-AU"/>
              </w:rPr>
            </w:pPr>
            <w:r w:rsidRPr="0040247D">
              <w:rPr>
                <w:color w:val="auto"/>
                <w:lang w:val="en-AU"/>
              </w:rPr>
              <w:lastRenderedPageBreak/>
              <w:t>-</w:t>
            </w:r>
          </w:p>
        </w:tc>
        <w:tc>
          <w:tcPr>
            <w:tcW w:w="1559" w:type="dxa"/>
            <w:shd w:val="clear" w:color="auto" w:fill="auto"/>
          </w:tcPr>
          <w:p w14:paraId="2C24B623" w14:textId="77777777" w:rsidR="00325833" w:rsidRPr="0040247D" w:rsidRDefault="00325833" w:rsidP="00325833">
            <w:pPr>
              <w:pStyle w:val="KMC16-Tablecontent"/>
              <w:widowControl w:val="0"/>
              <w:rPr>
                <w:b/>
                <w:bCs/>
                <w:color w:val="auto"/>
                <w:lang w:val="en-AU"/>
              </w:rPr>
            </w:pPr>
            <w:r w:rsidRPr="0040247D">
              <w:rPr>
                <w:b/>
                <w:bCs/>
                <w:color w:val="auto"/>
                <w:lang w:val="en-AU"/>
              </w:rPr>
              <w:t>-</w:t>
            </w:r>
          </w:p>
        </w:tc>
        <w:tc>
          <w:tcPr>
            <w:tcW w:w="1134" w:type="dxa"/>
            <w:vMerge w:val="restart"/>
          </w:tcPr>
          <w:p w14:paraId="1C483D4C" w14:textId="77777777" w:rsidR="00325833" w:rsidRPr="0040247D" w:rsidRDefault="00325833" w:rsidP="00325833">
            <w:pPr>
              <w:pStyle w:val="KMC16-Tablecontent"/>
              <w:widowControl w:val="0"/>
              <w:rPr>
                <w:color w:val="auto"/>
                <w:lang w:val="en-AU"/>
              </w:rPr>
            </w:pPr>
            <w:r w:rsidRPr="0040247D">
              <w:rPr>
                <w:color w:val="auto"/>
                <w:lang w:val="en-AU"/>
              </w:rPr>
              <w:t>Months 2-6:</w:t>
            </w:r>
          </w:p>
          <w:p w14:paraId="659A947C" w14:textId="1A6456F1" w:rsidR="00325833" w:rsidRPr="0040247D" w:rsidRDefault="00325833" w:rsidP="00325833">
            <w:pPr>
              <w:pStyle w:val="KMC16-Tablecontent"/>
              <w:widowControl w:val="0"/>
              <w:rPr>
                <w:color w:val="auto"/>
                <w:lang w:val="en-AU"/>
              </w:rPr>
            </w:pPr>
            <w:r w:rsidRPr="0040247D">
              <w:rPr>
                <w:color w:val="auto"/>
                <w:lang w:val="en-AU"/>
              </w:rPr>
              <w:lastRenderedPageBreak/>
              <w:t>19/21</w:t>
            </w:r>
          </w:p>
        </w:tc>
        <w:tc>
          <w:tcPr>
            <w:tcW w:w="1843" w:type="dxa"/>
            <w:vMerge w:val="restart"/>
          </w:tcPr>
          <w:p w14:paraId="16681639" w14:textId="77777777" w:rsidR="00325833" w:rsidRPr="0040247D" w:rsidRDefault="00325833" w:rsidP="00325833">
            <w:pPr>
              <w:pStyle w:val="KMC16-Tablecontent"/>
              <w:widowControl w:val="0"/>
              <w:rPr>
                <w:color w:val="auto"/>
                <w:lang w:val="en-AU"/>
              </w:rPr>
            </w:pPr>
            <w:r w:rsidRPr="0040247D">
              <w:rPr>
                <w:color w:val="auto"/>
                <w:lang w:val="en-AU"/>
              </w:rPr>
              <w:lastRenderedPageBreak/>
              <w:t>Months 2-6:</w:t>
            </w:r>
          </w:p>
          <w:p w14:paraId="782368A6" w14:textId="77777777" w:rsidR="00325833" w:rsidRDefault="00325833" w:rsidP="00325833">
            <w:pPr>
              <w:pStyle w:val="KMC16-Tablecontent"/>
              <w:widowControl w:val="0"/>
              <w:rPr>
                <w:color w:val="auto"/>
                <w:lang w:val="en-AU"/>
              </w:rPr>
            </w:pPr>
          </w:p>
          <w:p w14:paraId="322944CD" w14:textId="781FD460" w:rsidR="00325833" w:rsidRPr="0040247D" w:rsidRDefault="00325833" w:rsidP="00325833">
            <w:pPr>
              <w:pStyle w:val="KMC16-Tablecontent"/>
              <w:widowControl w:val="0"/>
              <w:rPr>
                <w:color w:val="auto"/>
                <w:lang w:val="en-AU"/>
              </w:rPr>
            </w:pPr>
            <w:r w:rsidRPr="0040247D">
              <w:rPr>
                <w:color w:val="auto"/>
                <w:lang w:val="en-AU"/>
              </w:rPr>
              <w:t>Pre-specified:</w:t>
            </w:r>
          </w:p>
          <w:p w14:paraId="05561235" w14:textId="0172993A" w:rsidR="00325833" w:rsidRPr="0040247D" w:rsidRDefault="00325833" w:rsidP="00325833">
            <w:pPr>
              <w:pStyle w:val="KMC16-Tablecontent"/>
              <w:widowControl w:val="0"/>
              <w:rPr>
                <w:color w:val="auto"/>
                <w:lang w:val="en-AU"/>
              </w:rPr>
            </w:pPr>
            <w:r w:rsidRPr="0040247D">
              <w:rPr>
                <w:color w:val="auto"/>
                <w:lang w:val="en-AU"/>
              </w:rPr>
              <w:t>90.5 (77.9, 100.0)</w:t>
            </w:r>
            <w:r w:rsidRPr="0040247D">
              <w:rPr>
                <w:color w:val="auto"/>
                <w:vertAlign w:val="superscript"/>
                <w:lang w:val="en-AU"/>
              </w:rPr>
              <w:t xml:space="preserve"> (c)</w:t>
            </w:r>
          </w:p>
          <w:p w14:paraId="520527D6" w14:textId="77777777" w:rsidR="00325833" w:rsidRPr="0040247D" w:rsidRDefault="00325833" w:rsidP="00325833">
            <w:pPr>
              <w:pStyle w:val="KMC16-Tablecontent"/>
              <w:widowControl w:val="0"/>
              <w:rPr>
                <w:color w:val="auto"/>
                <w:lang w:val="en-AU"/>
              </w:rPr>
            </w:pPr>
            <w:r w:rsidRPr="0040247D">
              <w:rPr>
                <w:color w:val="auto"/>
                <w:lang w:val="en-AU"/>
              </w:rPr>
              <w:t>Post hoc:</w:t>
            </w:r>
          </w:p>
          <w:p w14:paraId="6094FEA1" w14:textId="2AD61981" w:rsidR="00325833" w:rsidRPr="0040247D" w:rsidRDefault="00325833" w:rsidP="00325833">
            <w:pPr>
              <w:pStyle w:val="KMC16-Tablecontent"/>
              <w:widowControl w:val="0"/>
              <w:rPr>
                <w:color w:val="auto"/>
                <w:lang w:val="en-AU"/>
              </w:rPr>
            </w:pPr>
            <w:r w:rsidRPr="0040247D">
              <w:rPr>
                <w:color w:val="auto"/>
                <w:lang w:val="en-AU"/>
              </w:rPr>
              <w:t>90.5 (69.6, 98.8)</w:t>
            </w:r>
            <w:r w:rsidRPr="0040247D">
              <w:rPr>
                <w:color w:val="auto"/>
                <w:vertAlign w:val="superscript"/>
                <w:lang w:val="en-AU"/>
              </w:rPr>
              <w:t xml:space="preserve"> (d)</w:t>
            </w:r>
          </w:p>
        </w:tc>
        <w:tc>
          <w:tcPr>
            <w:tcW w:w="709" w:type="dxa"/>
            <w:shd w:val="clear" w:color="auto" w:fill="auto"/>
          </w:tcPr>
          <w:p w14:paraId="176C22ED" w14:textId="34DEC0BE" w:rsidR="00325833" w:rsidRPr="0040247D" w:rsidRDefault="00325833" w:rsidP="00325833">
            <w:pPr>
              <w:pStyle w:val="KMC16-Tablecontent"/>
              <w:widowControl w:val="0"/>
              <w:rPr>
                <w:b/>
                <w:bCs/>
                <w:color w:val="auto"/>
                <w:lang w:val="en-AU"/>
              </w:rPr>
            </w:pPr>
            <w:r w:rsidRPr="0040247D">
              <w:rPr>
                <w:color w:val="auto"/>
                <w:lang w:val="en-AU"/>
              </w:rPr>
              <w:lastRenderedPageBreak/>
              <w:t>42/44</w:t>
            </w:r>
          </w:p>
        </w:tc>
        <w:tc>
          <w:tcPr>
            <w:tcW w:w="1701" w:type="dxa"/>
            <w:shd w:val="clear" w:color="auto" w:fill="auto"/>
          </w:tcPr>
          <w:p w14:paraId="2A849925" w14:textId="77777777" w:rsidR="00325833" w:rsidRPr="0040247D" w:rsidRDefault="00325833" w:rsidP="00325833">
            <w:pPr>
              <w:pStyle w:val="KMC16-Tablecontent"/>
              <w:widowControl w:val="0"/>
              <w:rPr>
                <w:b/>
                <w:bCs/>
                <w:color w:val="auto"/>
                <w:lang w:val="en-AU"/>
              </w:rPr>
            </w:pPr>
            <w:r w:rsidRPr="0040247D">
              <w:rPr>
                <w:rFonts w:cstheme="majorHAnsi"/>
                <w:color w:val="auto"/>
                <w:szCs w:val="20"/>
                <w:lang w:val="en-AU"/>
              </w:rPr>
              <w:t>95.45 (84.53, 99.44)</w:t>
            </w:r>
          </w:p>
        </w:tc>
      </w:tr>
      <w:tr w:rsidR="00325833" w:rsidRPr="0040247D" w14:paraId="56E7E736" w14:textId="77777777" w:rsidTr="00992853">
        <w:tc>
          <w:tcPr>
            <w:tcW w:w="1126" w:type="dxa"/>
            <w:shd w:val="clear" w:color="auto" w:fill="auto"/>
          </w:tcPr>
          <w:p w14:paraId="2BD90D3E" w14:textId="77777777" w:rsidR="00325833" w:rsidRPr="0040247D" w:rsidRDefault="00325833" w:rsidP="002F639B">
            <w:pPr>
              <w:pStyle w:val="KMC16-Tablecontent"/>
              <w:widowControl w:val="0"/>
              <w:rPr>
                <w:b/>
                <w:bCs/>
                <w:color w:val="auto"/>
                <w:lang w:val="en-AU"/>
              </w:rPr>
            </w:pPr>
            <w:r w:rsidRPr="0040247D">
              <w:rPr>
                <w:b/>
                <w:bCs/>
                <w:color w:val="auto"/>
                <w:lang w:val="en-AU"/>
              </w:rPr>
              <w:t>Week 12 / Month 3</w:t>
            </w:r>
          </w:p>
        </w:tc>
        <w:tc>
          <w:tcPr>
            <w:tcW w:w="712" w:type="dxa"/>
            <w:shd w:val="clear" w:color="auto" w:fill="auto"/>
          </w:tcPr>
          <w:p w14:paraId="40DDD3FF" w14:textId="77777777" w:rsidR="00325833" w:rsidRPr="0040247D" w:rsidRDefault="00325833" w:rsidP="002F639B">
            <w:pPr>
              <w:pStyle w:val="KMC16-Tablecontent"/>
              <w:widowControl w:val="0"/>
              <w:rPr>
                <w:color w:val="auto"/>
                <w:lang w:val="en-AU"/>
              </w:rPr>
            </w:pPr>
            <w:r w:rsidRPr="0040247D">
              <w:rPr>
                <w:color w:val="auto"/>
                <w:lang w:val="en-AU"/>
              </w:rPr>
              <w:t>51/60</w:t>
            </w:r>
          </w:p>
        </w:tc>
        <w:tc>
          <w:tcPr>
            <w:tcW w:w="1559" w:type="dxa"/>
            <w:shd w:val="clear" w:color="auto" w:fill="auto"/>
          </w:tcPr>
          <w:p w14:paraId="191ABAA0" w14:textId="77777777" w:rsidR="00325833" w:rsidRPr="0040247D" w:rsidRDefault="00325833" w:rsidP="002F639B">
            <w:pPr>
              <w:pStyle w:val="KMC16-Tablecontent"/>
              <w:widowControl w:val="0"/>
              <w:rPr>
                <w:color w:val="auto"/>
                <w:lang w:val="en-AU"/>
              </w:rPr>
            </w:pPr>
            <w:r w:rsidRPr="0040247D">
              <w:rPr>
                <w:color w:val="auto"/>
                <w:lang w:val="en-AU"/>
              </w:rPr>
              <w:t>85.0 (76.0, 94.0)</w:t>
            </w:r>
            <w:r w:rsidRPr="0040247D">
              <w:rPr>
                <w:b/>
                <w:bCs/>
                <w:color w:val="auto"/>
                <w:lang w:val="en-AU"/>
              </w:rPr>
              <w:t xml:space="preserve"> </w:t>
            </w:r>
            <w:r w:rsidRPr="0040247D">
              <w:rPr>
                <w:color w:val="auto"/>
                <w:vertAlign w:val="superscript"/>
                <w:lang w:val="en-AU"/>
              </w:rPr>
              <w:t>(b) (c)</w:t>
            </w:r>
          </w:p>
        </w:tc>
        <w:tc>
          <w:tcPr>
            <w:tcW w:w="1134" w:type="dxa"/>
            <w:vMerge/>
          </w:tcPr>
          <w:p w14:paraId="7472BEE6" w14:textId="77777777" w:rsidR="00325833" w:rsidRPr="0040247D" w:rsidRDefault="00325833" w:rsidP="002F639B">
            <w:pPr>
              <w:pStyle w:val="KMC16-Tablecontent"/>
              <w:widowControl w:val="0"/>
              <w:rPr>
                <w:color w:val="auto"/>
                <w:lang w:val="en-AU"/>
              </w:rPr>
            </w:pPr>
          </w:p>
        </w:tc>
        <w:tc>
          <w:tcPr>
            <w:tcW w:w="1843" w:type="dxa"/>
            <w:vMerge/>
          </w:tcPr>
          <w:p w14:paraId="4F6CD6EA" w14:textId="77777777" w:rsidR="00325833" w:rsidRPr="0040247D" w:rsidRDefault="00325833" w:rsidP="002F639B">
            <w:pPr>
              <w:pStyle w:val="KMC16-Tablecontent"/>
              <w:widowControl w:val="0"/>
              <w:rPr>
                <w:color w:val="auto"/>
                <w:lang w:val="en-AU"/>
              </w:rPr>
            </w:pPr>
          </w:p>
        </w:tc>
        <w:tc>
          <w:tcPr>
            <w:tcW w:w="709" w:type="dxa"/>
            <w:shd w:val="clear" w:color="auto" w:fill="auto"/>
          </w:tcPr>
          <w:p w14:paraId="31764F90" w14:textId="4EF95CE0" w:rsidR="00325833" w:rsidRPr="0040247D" w:rsidRDefault="00325833" w:rsidP="002F639B">
            <w:pPr>
              <w:pStyle w:val="KMC16-Tablecontent"/>
              <w:widowControl w:val="0"/>
              <w:rPr>
                <w:color w:val="auto"/>
                <w:lang w:val="en-AU"/>
              </w:rPr>
            </w:pPr>
            <w:r w:rsidRPr="0040247D">
              <w:rPr>
                <w:color w:val="auto"/>
                <w:lang w:val="en-AU"/>
              </w:rPr>
              <w:t>41/44</w:t>
            </w:r>
          </w:p>
        </w:tc>
        <w:tc>
          <w:tcPr>
            <w:tcW w:w="1701" w:type="dxa"/>
            <w:shd w:val="clear" w:color="auto" w:fill="auto"/>
          </w:tcPr>
          <w:p w14:paraId="22D70D13" w14:textId="77777777" w:rsidR="00325833" w:rsidRPr="0040247D" w:rsidRDefault="00325833" w:rsidP="002F639B">
            <w:pPr>
              <w:pStyle w:val="KMC16-Tablecontent"/>
              <w:widowControl w:val="0"/>
              <w:rPr>
                <w:color w:val="auto"/>
                <w:lang w:val="en-AU"/>
              </w:rPr>
            </w:pPr>
            <w:r w:rsidRPr="0040247D">
              <w:rPr>
                <w:rFonts w:cstheme="majorHAnsi"/>
                <w:color w:val="auto"/>
                <w:szCs w:val="20"/>
                <w:lang w:val="en-AU"/>
              </w:rPr>
              <w:t>93.18 (81.34, 98.57)</w:t>
            </w:r>
          </w:p>
        </w:tc>
      </w:tr>
      <w:tr w:rsidR="00325833" w:rsidRPr="0040247D" w14:paraId="3ADFB8A2" w14:textId="77777777" w:rsidTr="00992853">
        <w:tc>
          <w:tcPr>
            <w:tcW w:w="1126" w:type="dxa"/>
            <w:shd w:val="clear" w:color="auto" w:fill="auto"/>
          </w:tcPr>
          <w:p w14:paraId="199DF423" w14:textId="77777777" w:rsidR="00325833" w:rsidRPr="0040247D" w:rsidRDefault="00325833" w:rsidP="002F639B">
            <w:pPr>
              <w:pStyle w:val="KMC16-Tablecontent"/>
              <w:widowControl w:val="0"/>
              <w:rPr>
                <w:b/>
                <w:bCs/>
                <w:color w:val="auto"/>
                <w:lang w:val="en-AU"/>
              </w:rPr>
            </w:pPr>
            <w:r w:rsidRPr="0040247D">
              <w:rPr>
                <w:b/>
                <w:bCs/>
                <w:color w:val="auto"/>
                <w:lang w:val="en-AU"/>
              </w:rPr>
              <w:t>Week 24 / Month 6</w:t>
            </w:r>
          </w:p>
        </w:tc>
        <w:tc>
          <w:tcPr>
            <w:tcW w:w="712" w:type="dxa"/>
            <w:shd w:val="clear" w:color="auto" w:fill="auto"/>
          </w:tcPr>
          <w:p w14:paraId="5BAB9D4F" w14:textId="77777777" w:rsidR="00325833" w:rsidRPr="0040247D" w:rsidRDefault="00325833" w:rsidP="002F639B">
            <w:pPr>
              <w:pStyle w:val="KMC16-Tablecontent"/>
              <w:widowControl w:val="0"/>
              <w:rPr>
                <w:color w:val="auto"/>
                <w:lang w:val="en-AU"/>
              </w:rPr>
            </w:pPr>
            <w:r w:rsidRPr="0040247D">
              <w:rPr>
                <w:color w:val="auto"/>
                <w:lang w:val="en-AU"/>
              </w:rPr>
              <w:t>54/62</w:t>
            </w:r>
          </w:p>
        </w:tc>
        <w:tc>
          <w:tcPr>
            <w:tcW w:w="1559" w:type="dxa"/>
            <w:shd w:val="clear" w:color="auto" w:fill="auto"/>
          </w:tcPr>
          <w:p w14:paraId="61BEBB2F" w14:textId="77777777" w:rsidR="00325833" w:rsidRPr="0040247D" w:rsidRDefault="00325833" w:rsidP="002F639B">
            <w:pPr>
              <w:pStyle w:val="KMC16-Tablecontent"/>
              <w:widowControl w:val="0"/>
              <w:rPr>
                <w:color w:val="auto"/>
                <w:lang w:val="en-AU"/>
              </w:rPr>
            </w:pPr>
            <w:r w:rsidRPr="0040247D">
              <w:rPr>
                <w:color w:val="auto"/>
                <w:lang w:val="en-AU"/>
              </w:rPr>
              <w:t xml:space="preserve">87.1 (78.8, 95.4) </w:t>
            </w:r>
            <w:r w:rsidRPr="0040247D">
              <w:rPr>
                <w:color w:val="auto"/>
                <w:vertAlign w:val="superscript"/>
                <w:lang w:val="en-AU"/>
              </w:rPr>
              <w:t>(b) (c)</w:t>
            </w:r>
          </w:p>
          <w:p w14:paraId="6D1FF1F5" w14:textId="703330C4" w:rsidR="00325833" w:rsidRPr="0040247D" w:rsidRDefault="00325833" w:rsidP="002F639B">
            <w:pPr>
              <w:pStyle w:val="KMC16-Tablecontent"/>
              <w:widowControl w:val="0"/>
              <w:rPr>
                <w:color w:val="auto"/>
                <w:lang w:val="en-AU"/>
              </w:rPr>
            </w:pPr>
            <w:r w:rsidRPr="0040247D">
              <w:rPr>
                <w:color w:val="auto"/>
                <w:lang w:val="en-AU"/>
              </w:rPr>
              <w:t xml:space="preserve">87.1 </w:t>
            </w:r>
            <w:r w:rsidRPr="0040247D">
              <w:rPr>
                <w:color w:val="auto"/>
                <w:vertAlign w:val="superscript"/>
                <w:lang w:val="en-AU"/>
              </w:rPr>
              <w:t>(b)</w:t>
            </w:r>
            <w:r w:rsidRPr="0040247D" w:rsidDel="00940DF2">
              <w:rPr>
                <w:color w:val="auto"/>
                <w:lang w:val="en-AU"/>
              </w:rPr>
              <w:t xml:space="preserve"> </w:t>
            </w:r>
            <w:r w:rsidRPr="0040247D">
              <w:rPr>
                <w:color w:val="auto"/>
                <w:lang w:val="en-AU"/>
              </w:rPr>
              <w:t xml:space="preserve">(76.2, 94.3) </w:t>
            </w:r>
            <w:r w:rsidRPr="0040247D">
              <w:rPr>
                <w:color w:val="auto"/>
                <w:vertAlign w:val="superscript"/>
                <w:lang w:val="en-AU"/>
              </w:rPr>
              <w:t>(b) (d)</w:t>
            </w:r>
          </w:p>
        </w:tc>
        <w:tc>
          <w:tcPr>
            <w:tcW w:w="1134" w:type="dxa"/>
            <w:vMerge/>
          </w:tcPr>
          <w:p w14:paraId="69E2F617" w14:textId="77777777" w:rsidR="00325833" w:rsidRPr="0040247D" w:rsidRDefault="00325833" w:rsidP="002F639B">
            <w:pPr>
              <w:pStyle w:val="KMC16-Tablecontent"/>
              <w:widowControl w:val="0"/>
              <w:rPr>
                <w:color w:val="auto"/>
                <w:lang w:val="en-AU"/>
              </w:rPr>
            </w:pPr>
          </w:p>
        </w:tc>
        <w:tc>
          <w:tcPr>
            <w:tcW w:w="1843" w:type="dxa"/>
            <w:vMerge/>
          </w:tcPr>
          <w:p w14:paraId="791C7A7E" w14:textId="77777777" w:rsidR="00325833" w:rsidRPr="0040247D" w:rsidRDefault="00325833" w:rsidP="002F639B">
            <w:pPr>
              <w:pStyle w:val="KMC16-Tablecontent"/>
              <w:widowControl w:val="0"/>
              <w:rPr>
                <w:color w:val="auto"/>
                <w:lang w:val="en-AU"/>
              </w:rPr>
            </w:pPr>
          </w:p>
        </w:tc>
        <w:tc>
          <w:tcPr>
            <w:tcW w:w="709" w:type="dxa"/>
            <w:shd w:val="clear" w:color="auto" w:fill="auto"/>
          </w:tcPr>
          <w:p w14:paraId="7D9235D1" w14:textId="1D7DAB2C" w:rsidR="00325833" w:rsidRPr="0040247D" w:rsidRDefault="00325833" w:rsidP="002F639B">
            <w:pPr>
              <w:pStyle w:val="KMC16-Tablecontent"/>
              <w:widowControl w:val="0"/>
              <w:rPr>
                <w:color w:val="auto"/>
                <w:lang w:val="en-AU"/>
              </w:rPr>
            </w:pPr>
            <w:r w:rsidRPr="0040247D">
              <w:rPr>
                <w:color w:val="auto"/>
                <w:lang w:val="en-AU"/>
              </w:rPr>
              <w:t>40/44</w:t>
            </w:r>
          </w:p>
        </w:tc>
        <w:tc>
          <w:tcPr>
            <w:tcW w:w="1701" w:type="dxa"/>
            <w:shd w:val="clear" w:color="auto" w:fill="auto"/>
          </w:tcPr>
          <w:p w14:paraId="6D278FD4" w14:textId="77777777" w:rsidR="00325833" w:rsidRPr="0040247D" w:rsidRDefault="00325833" w:rsidP="002F639B">
            <w:pPr>
              <w:pStyle w:val="KMC16-Tablecontent"/>
              <w:widowControl w:val="0"/>
              <w:rPr>
                <w:color w:val="auto"/>
                <w:lang w:val="en-AU"/>
              </w:rPr>
            </w:pPr>
            <w:r w:rsidRPr="0040247D">
              <w:rPr>
                <w:rFonts w:cstheme="majorHAnsi"/>
                <w:color w:val="auto"/>
                <w:szCs w:val="20"/>
                <w:lang w:val="en-AU"/>
              </w:rPr>
              <w:t>90.91 (78.33. 97.47)</w:t>
            </w:r>
            <w:r w:rsidRPr="0040247D">
              <w:rPr>
                <w:color w:val="auto"/>
                <w:lang w:val="en-AU"/>
              </w:rPr>
              <w:t xml:space="preserve"> </w:t>
            </w:r>
            <w:r w:rsidRPr="0040247D">
              <w:rPr>
                <w:color w:val="auto"/>
                <w:vertAlign w:val="superscript"/>
                <w:lang w:val="en-AU"/>
              </w:rPr>
              <w:t>(d)</w:t>
            </w:r>
          </w:p>
        </w:tc>
      </w:tr>
      <w:tr w:rsidR="00325833" w:rsidRPr="0040247D" w14:paraId="1DA15CE4" w14:textId="77777777" w:rsidTr="00992853">
        <w:tc>
          <w:tcPr>
            <w:tcW w:w="3397" w:type="dxa"/>
            <w:gridSpan w:val="3"/>
          </w:tcPr>
          <w:p w14:paraId="34558D95" w14:textId="430B0837" w:rsidR="00325833" w:rsidRPr="005D2C6A" w:rsidRDefault="00325833" w:rsidP="002F639B">
            <w:pPr>
              <w:pStyle w:val="KMC16-Tablecontent"/>
              <w:widowControl w:val="0"/>
              <w:rPr>
                <w:b/>
                <w:bCs/>
                <w:color w:val="auto"/>
                <w:lang w:val="en-AU"/>
              </w:rPr>
            </w:pPr>
            <w:r w:rsidRPr="000969A8">
              <w:rPr>
                <w:b/>
                <w:bCs/>
                <w:color w:val="auto"/>
                <w:lang w:val="en-AU"/>
              </w:rPr>
              <w:t xml:space="preserve">Risk Difference (vs </w:t>
            </w:r>
            <w:proofErr w:type="spellStart"/>
            <w:r w:rsidRPr="000969A8">
              <w:rPr>
                <w:b/>
                <w:bCs/>
                <w:color w:val="auto"/>
                <w:lang w:val="en-AU"/>
              </w:rPr>
              <w:t>Eligard</w:t>
            </w:r>
            <w:proofErr w:type="spellEnd"/>
            <w:r w:rsidRPr="000969A8">
              <w:rPr>
                <w:b/>
                <w:bCs/>
                <w:color w:val="auto"/>
                <w:lang w:val="en-AU"/>
              </w:rPr>
              <w:t xml:space="preserve"> 6 month) at week 24:  </w:t>
            </w:r>
          </w:p>
        </w:tc>
        <w:tc>
          <w:tcPr>
            <w:tcW w:w="2977" w:type="dxa"/>
            <w:gridSpan w:val="2"/>
          </w:tcPr>
          <w:p w14:paraId="0667C025" w14:textId="77777777" w:rsidR="00325833" w:rsidRPr="00325833" w:rsidRDefault="00325833" w:rsidP="00325833">
            <w:pPr>
              <w:pStyle w:val="KMC16-Tablecontent"/>
              <w:widowControl w:val="0"/>
              <w:rPr>
                <w:color w:val="auto"/>
                <w:lang w:val="en-AU"/>
              </w:rPr>
            </w:pPr>
            <w:r w:rsidRPr="00325833">
              <w:rPr>
                <w:color w:val="auto"/>
                <w:lang w:val="en-AU"/>
              </w:rPr>
              <w:t xml:space="preserve">-3.4% (95% CI: -18.5, 11.7) </w:t>
            </w:r>
          </w:p>
          <w:p w14:paraId="2C025F7A" w14:textId="554308CF" w:rsidR="00325833" w:rsidRPr="005D2C6A" w:rsidRDefault="00325833" w:rsidP="00325833">
            <w:pPr>
              <w:pStyle w:val="KMC16-Tablecontent"/>
              <w:widowControl w:val="0"/>
              <w:rPr>
                <w:color w:val="auto"/>
                <w:lang w:val="en-AU"/>
              </w:rPr>
            </w:pPr>
            <w:r w:rsidRPr="00325833">
              <w:rPr>
                <w:color w:val="auto"/>
                <w:lang w:val="en-AU"/>
              </w:rPr>
              <w:t>p=0.6604.</w:t>
            </w:r>
          </w:p>
        </w:tc>
        <w:tc>
          <w:tcPr>
            <w:tcW w:w="2410" w:type="dxa"/>
            <w:gridSpan w:val="2"/>
            <w:shd w:val="clear" w:color="auto" w:fill="auto"/>
          </w:tcPr>
          <w:p w14:paraId="0B797D04" w14:textId="42C18F9B" w:rsidR="00325833" w:rsidRPr="005D2C6A" w:rsidRDefault="00325833" w:rsidP="002F639B">
            <w:pPr>
              <w:pStyle w:val="KMC16-Tablecontent"/>
              <w:widowControl w:val="0"/>
              <w:rPr>
                <w:color w:val="auto"/>
                <w:lang w:val="en-AU"/>
              </w:rPr>
            </w:pPr>
            <w:r w:rsidRPr="0040247D">
              <w:rPr>
                <w:color w:val="auto"/>
                <w:lang w:val="en-AU"/>
              </w:rPr>
              <w:t>-3.8% (95% CI: -15.7, 8.1)</w:t>
            </w:r>
            <w:r>
              <w:rPr>
                <w:color w:val="auto"/>
                <w:lang w:val="en-AU"/>
              </w:rPr>
              <w:t xml:space="preserve"> </w:t>
            </w:r>
            <w:r w:rsidRPr="00DB490D">
              <w:rPr>
                <w:iCs/>
                <w:color w:val="auto"/>
                <w:lang w:val="en-AU"/>
              </w:rPr>
              <w:t>p=0.5303</w:t>
            </w:r>
          </w:p>
        </w:tc>
      </w:tr>
      <w:tr w:rsidR="00992853" w:rsidRPr="0040247D" w14:paraId="41D8D3D4" w14:textId="77777777" w:rsidTr="00992853">
        <w:tc>
          <w:tcPr>
            <w:tcW w:w="1126" w:type="dxa"/>
            <w:shd w:val="clear" w:color="auto" w:fill="auto"/>
          </w:tcPr>
          <w:p w14:paraId="527552B2" w14:textId="77777777" w:rsidR="000969A8" w:rsidRPr="0040247D" w:rsidRDefault="000969A8" w:rsidP="002F639B">
            <w:pPr>
              <w:pStyle w:val="KMC16-Tablecontent"/>
              <w:widowControl w:val="0"/>
              <w:rPr>
                <w:b/>
                <w:bCs/>
                <w:color w:val="auto"/>
                <w:lang w:val="en-AU"/>
              </w:rPr>
            </w:pPr>
            <w:r w:rsidRPr="0040247D">
              <w:rPr>
                <w:b/>
                <w:bCs/>
                <w:color w:val="auto"/>
                <w:lang w:val="en-AU"/>
              </w:rPr>
              <w:t>Week 36 / Month 9</w:t>
            </w:r>
          </w:p>
        </w:tc>
        <w:tc>
          <w:tcPr>
            <w:tcW w:w="712" w:type="dxa"/>
            <w:shd w:val="clear" w:color="auto" w:fill="auto"/>
          </w:tcPr>
          <w:p w14:paraId="79F25585" w14:textId="77777777" w:rsidR="000969A8" w:rsidRPr="0040247D" w:rsidRDefault="000969A8" w:rsidP="002F639B">
            <w:pPr>
              <w:pStyle w:val="KMC16-Tablecontent"/>
              <w:widowControl w:val="0"/>
              <w:rPr>
                <w:color w:val="auto"/>
                <w:lang w:val="en-AU"/>
              </w:rPr>
            </w:pPr>
            <w:r w:rsidRPr="0040247D">
              <w:rPr>
                <w:color w:val="auto"/>
                <w:lang w:val="en-AU"/>
              </w:rPr>
              <w:t>50/59</w:t>
            </w:r>
          </w:p>
        </w:tc>
        <w:tc>
          <w:tcPr>
            <w:tcW w:w="1559" w:type="dxa"/>
            <w:shd w:val="clear" w:color="auto" w:fill="auto"/>
          </w:tcPr>
          <w:p w14:paraId="60C7CDDE" w14:textId="77777777" w:rsidR="000969A8" w:rsidRPr="0040247D" w:rsidRDefault="000969A8" w:rsidP="002F639B">
            <w:pPr>
              <w:pStyle w:val="KMC16-Tablecontent"/>
              <w:widowControl w:val="0"/>
              <w:rPr>
                <w:color w:val="auto"/>
                <w:lang w:val="en-AU"/>
              </w:rPr>
            </w:pPr>
            <w:r w:rsidRPr="0040247D">
              <w:rPr>
                <w:color w:val="auto"/>
                <w:lang w:val="en-AU"/>
              </w:rPr>
              <w:t>84.7 (75.6, 93.9)</w:t>
            </w:r>
            <w:r w:rsidRPr="0040247D">
              <w:rPr>
                <w:b/>
                <w:bCs/>
                <w:color w:val="auto"/>
                <w:vertAlign w:val="superscript"/>
                <w:lang w:val="en-AU"/>
              </w:rPr>
              <w:t xml:space="preserve"> </w:t>
            </w:r>
            <w:r w:rsidRPr="0040247D">
              <w:rPr>
                <w:color w:val="auto"/>
                <w:vertAlign w:val="superscript"/>
                <w:lang w:val="en-AU"/>
              </w:rPr>
              <w:t>(c)</w:t>
            </w:r>
          </w:p>
        </w:tc>
        <w:tc>
          <w:tcPr>
            <w:tcW w:w="1134" w:type="dxa"/>
          </w:tcPr>
          <w:p w14:paraId="07636ABF" w14:textId="77777777" w:rsidR="000969A8" w:rsidRPr="0040247D" w:rsidRDefault="000969A8" w:rsidP="002F639B">
            <w:pPr>
              <w:pStyle w:val="KMC16-Tablecontent"/>
              <w:widowControl w:val="0"/>
              <w:rPr>
                <w:color w:val="auto"/>
                <w:lang w:val="en-AU"/>
              </w:rPr>
            </w:pPr>
          </w:p>
        </w:tc>
        <w:tc>
          <w:tcPr>
            <w:tcW w:w="1843" w:type="dxa"/>
          </w:tcPr>
          <w:p w14:paraId="1390BC00" w14:textId="77777777" w:rsidR="000969A8" w:rsidRPr="0040247D" w:rsidRDefault="000969A8" w:rsidP="002F639B">
            <w:pPr>
              <w:pStyle w:val="KMC16-Tablecontent"/>
              <w:widowControl w:val="0"/>
              <w:rPr>
                <w:color w:val="auto"/>
                <w:lang w:val="en-AU"/>
              </w:rPr>
            </w:pPr>
          </w:p>
        </w:tc>
        <w:tc>
          <w:tcPr>
            <w:tcW w:w="709" w:type="dxa"/>
            <w:shd w:val="clear" w:color="auto" w:fill="auto"/>
          </w:tcPr>
          <w:p w14:paraId="6C31B5E8" w14:textId="6FF48B4B" w:rsidR="000969A8" w:rsidRPr="0040247D" w:rsidRDefault="000969A8" w:rsidP="002F639B">
            <w:pPr>
              <w:pStyle w:val="KMC16-Tablecontent"/>
              <w:widowControl w:val="0"/>
              <w:rPr>
                <w:color w:val="auto"/>
                <w:lang w:val="en-AU"/>
              </w:rPr>
            </w:pPr>
            <w:r w:rsidRPr="0040247D">
              <w:rPr>
                <w:color w:val="auto"/>
                <w:lang w:val="en-AU"/>
              </w:rPr>
              <w:t>41/44</w:t>
            </w:r>
          </w:p>
        </w:tc>
        <w:tc>
          <w:tcPr>
            <w:tcW w:w="1701" w:type="dxa"/>
            <w:shd w:val="clear" w:color="auto" w:fill="auto"/>
          </w:tcPr>
          <w:p w14:paraId="4A1C7393" w14:textId="77777777" w:rsidR="000969A8" w:rsidRPr="0040247D" w:rsidRDefault="000969A8" w:rsidP="002F639B">
            <w:pPr>
              <w:pStyle w:val="KMC16-Tablecontent"/>
              <w:widowControl w:val="0"/>
              <w:rPr>
                <w:color w:val="auto"/>
                <w:lang w:val="en-AU"/>
              </w:rPr>
            </w:pPr>
            <w:r w:rsidRPr="0040247D">
              <w:rPr>
                <w:rFonts w:cstheme="majorHAnsi"/>
                <w:color w:val="auto"/>
                <w:szCs w:val="20"/>
                <w:lang w:val="en-AU"/>
              </w:rPr>
              <w:t>93.18 (81.34, 98.57)</w:t>
            </w:r>
          </w:p>
        </w:tc>
      </w:tr>
      <w:tr w:rsidR="00992853" w:rsidRPr="0040247D" w14:paraId="204466E7" w14:textId="77777777" w:rsidTr="00992853">
        <w:tc>
          <w:tcPr>
            <w:tcW w:w="1126" w:type="dxa"/>
            <w:shd w:val="clear" w:color="auto" w:fill="auto"/>
          </w:tcPr>
          <w:p w14:paraId="3643379F" w14:textId="77777777" w:rsidR="000969A8" w:rsidRPr="0040247D" w:rsidRDefault="000969A8" w:rsidP="002F639B">
            <w:pPr>
              <w:pStyle w:val="KMC16-Tablecontent"/>
              <w:widowControl w:val="0"/>
              <w:rPr>
                <w:b/>
                <w:bCs/>
                <w:color w:val="auto"/>
                <w:lang w:val="en-AU"/>
              </w:rPr>
            </w:pPr>
            <w:r w:rsidRPr="0040247D">
              <w:rPr>
                <w:b/>
                <w:bCs/>
                <w:color w:val="auto"/>
                <w:lang w:val="en-AU"/>
              </w:rPr>
              <w:t>Week 48 / Month 12</w:t>
            </w:r>
          </w:p>
        </w:tc>
        <w:tc>
          <w:tcPr>
            <w:tcW w:w="712" w:type="dxa"/>
            <w:shd w:val="clear" w:color="auto" w:fill="auto"/>
          </w:tcPr>
          <w:p w14:paraId="4BB98CCD" w14:textId="77777777" w:rsidR="000969A8" w:rsidRPr="0040247D" w:rsidRDefault="000969A8" w:rsidP="002F639B">
            <w:pPr>
              <w:pStyle w:val="KMC16-Tablecontent"/>
              <w:widowControl w:val="0"/>
              <w:rPr>
                <w:color w:val="auto"/>
                <w:lang w:val="en-AU"/>
              </w:rPr>
            </w:pPr>
            <w:r w:rsidRPr="0040247D">
              <w:rPr>
                <w:color w:val="auto"/>
                <w:lang w:val="en-AU"/>
              </w:rPr>
              <w:t xml:space="preserve">50/58 </w:t>
            </w:r>
          </w:p>
        </w:tc>
        <w:tc>
          <w:tcPr>
            <w:tcW w:w="1559" w:type="dxa"/>
            <w:shd w:val="clear" w:color="auto" w:fill="auto"/>
          </w:tcPr>
          <w:p w14:paraId="285B7D99" w14:textId="77777777" w:rsidR="000969A8" w:rsidRPr="0040247D" w:rsidRDefault="000969A8" w:rsidP="002F639B">
            <w:pPr>
              <w:pStyle w:val="KMC16-Tablecontent"/>
              <w:widowControl w:val="0"/>
              <w:rPr>
                <w:color w:val="auto"/>
                <w:lang w:val="en-AU"/>
              </w:rPr>
            </w:pPr>
            <w:r w:rsidRPr="0040247D">
              <w:rPr>
                <w:color w:val="auto"/>
                <w:lang w:val="en-AU"/>
              </w:rPr>
              <w:t>86.2 (77.7, 95.1)</w:t>
            </w:r>
            <w:r w:rsidRPr="0040247D">
              <w:rPr>
                <w:b/>
                <w:bCs/>
                <w:color w:val="auto"/>
                <w:vertAlign w:val="superscript"/>
                <w:lang w:val="en-AU"/>
              </w:rPr>
              <w:t xml:space="preserve"> </w:t>
            </w:r>
            <w:r w:rsidRPr="0040247D">
              <w:rPr>
                <w:color w:val="auto"/>
                <w:vertAlign w:val="superscript"/>
                <w:lang w:val="en-AU"/>
              </w:rPr>
              <w:t>(c)</w:t>
            </w:r>
          </w:p>
        </w:tc>
        <w:tc>
          <w:tcPr>
            <w:tcW w:w="1134" w:type="dxa"/>
          </w:tcPr>
          <w:p w14:paraId="6464EBAE" w14:textId="77777777" w:rsidR="000969A8" w:rsidRPr="0040247D" w:rsidRDefault="000969A8" w:rsidP="002F639B">
            <w:pPr>
              <w:pStyle w:val="KMC16-Tablecontent"/>
              <w:widowControl w:val="0"/>
              <w:rPr>
                <w:color w:val="auto"/>
                <w:lang w:val="en-AU"/>
              </w:rPr>
            </w:pPr>
          </w:p>
        </w:tc>
        <w:tc>
          <w:tcPr>
            <w:tcW w:w="1843" w:type="dxa"/>
          </w:tcPr>
          <w:p w14:paraId="50C2CEB1" w14:textId="77777777" w:rsidR="000969A8" w:rsidRPr="0040247D" w:rsidRDefault="000969A8" w:rsidP="002F639B">
            <w:pPr>
              <w:pStyle w:val="KMC16-Tablecontent"/>
              <w:widowControl w:val="0"/>
              <w:rPr>
                <w:color w:val="auto"/>
                <w:lang w:val="en-AU"/>
              </w:rPr>
            </w:pPr>
          </w:p>
        </w:tc>
        <w:tc>
          <w:tcPr>
            <w:tcW w:w="709" w:type="dxa"/>
            <w:shd w:val="clear" w:color="auto" w:fill="auto"/>
          </w:tcPr>
          <w:p w14:paraId="58EE2A5A" w14:textId="32891A4D" w:rsidR="000969A8" w:rsidRPr="0040247D" w:rsidRDefault="000969A8" w:rsidP="002F639B">
            <w:pPr>
              <w:pStyle w:val="KMC16-Tablecontent"/>
              <w:widowControl w:val="0"/>
              <w:rPr>
                <w:color w:val="auto"/>
                <w:lang w:val="en-AU"/>
              </w:rPr>
            </w:pPr>
            <w:r w:rsidRPr="0040247D">
              <w:rPr>
                <w:color w:val="auto"/>
                <w:lang w:val="en-AU"/>
              </w:rPr>
              <w:t>43/44</w:t>
            </w:r>
          </w:p>
        </w:tc>
        <w:tc>
          <w:tcPr>
            <w:tcW w:w="1701" w:type="dxa"/>
            <w:shd w:val="clear" w:color="auto" w:fill="auto"/>
          </w:tcPr>
          <w:p w14:paraId="43DB9B62" w14:textId="77777777" w:rsidR="000969A8" w:rsidRPr="0040247D" w:rsidRDefault="000969A8" w:rsidP="002F639B">
            <w:pPr>
              <w:pStyle w:val="KMC16-Tablecontent"/>
              <w:widowControl w:val="0"/>
              <w:rPr>
                <w:color w:val="auto"/>
                <w:lang w:val="en-AU"/>
              </w:rPr>
            </w:pPr>
            <w:r w:rsidRPr="0040247D">
              <w:rPr>
                <w:rFonts w:cstheme="majorHAnsi"/>
                <w:color w:val="auto"/>
                <w:szCs w:val="20"/>
                <w:lang w:val="en-AU"/>
              </w:rPr>
              <w:t>97.73 (87.98, 99.94)</w:t>
            </w:r>
          </w:p>
        </w:tc>
      </w:tr>
    </w:tbl>
    <w:p w14:paraId="650DF0AF" w14:textId="77777777" w:rsidR="00325833" w:rsidRPr="0040247D" w:rsidRDefault="00325833" w:rsidP="00325833">
      <w:pPr>
        <w:pStyle w:val="TableFigureFooter"/>
        <w:rPr>
          <w:rFonts w:eastAsiaTheme="majorEastAsia"/>
        </w:rPr>
      </w:pPr>
      <w:r w:rsidRPr="0040247D">
        <w:rPr>
          <w:rFonts w:eastAsiaTheme="majorEastAsia"/>
        </w:rPr>
        <w:t xml:space="preserve">Source: Table 2-37, p87 of the submission; Table 5-1, p9 of the supplemental information; </w:t>
      </w:r>
      <w:r w:rsidRPr="0040247D">
        <w:t>text and tables in Lee 2012; text, p86 of the submission; text, p8 of the supplementary information.</w:t>
      </w:r>
    </w:p>
    <w:p w14:paraId="62D75924" w14:textId="77777777" w:rsidR="00325833" w:rsidRPr="00E57B4B" w:rsidRDefault="00325833" w:rsidP="00325833">
      <w:pPr>
        <w:pStyle w:val="TableFigureFooter"/>
        <w:rPr>
          <w:rFonts w:eastAsiaTheme="majorEastAsia"/>
        </w:rPr>
      </w:pPr>
      <w:r w:rsidRPr="0040247D">
        <w:rPr>
          <w:rFonts w:eastAsiaTheme="majorEastAsia"/>
        </w:rPr>
        <w:t xml:space="preserve">(a) </w:t>
      </w:r>
      <w:r w:rsidRPr="00E57B4B">
        <w:rPr>
          <w:rFonts w:eastAsiaTheme="majorEastAsia"/>
        </w:rPr>
        <w:t xml:space="preserve">The submission stated that the data was for the “percentage of patients with LH below 4IU/L at 6 month), and that it was an exploratory analysis. See discussion in paragraph 6.12 below. </w:t>
      </w:r>
    </w:p>
    <w:p w14:paraId="7A83A5AC" w14:textId="77777777" w:rsidR="00325833" w:rsidRPr="0040247D" w:rsidRDefault="00325833" w:rsidP="00325833">
      <w:pPr>
        <w:pStyle w:val="TableFigureFooter"/>
        <w:rPr>
          <w:rFonts w:eastAsiaTheme="majorEastAsia"/>
        </w:rPr>
      </w:pPr>
      <w:r w:rsidRPr="0040247D">
        <w:rPr>
          <w:rFonts w:eastAsiaTheme="majorEastAsia"/>
        </w:rPr>
        <w:t>(b) 95% CIs calculated for submission, not reported in CSR.</w:t>
      </w:r>
    </w:p>
    <w:p w14:paraId="2777B165" w14:textId="77777777" w:rsidR="00325833" w:rsidRPr="0040247D" w:rsidRDefault="00325833" w:rsidP="00325833">
      <w:pPr>
        <w:pStyle w:val="TableFigureFooter"/>
        <w:rPr>
          <w:rFonts w:eastAsiaTheme="majorEastAsia"/>
        </w:rPr>
      </w:pPr>
      <w:r w:rsidRPr="0040247D">
        <w:rPr>
          <w:rFonts w:eastAsiaTheme="majorEastAsia"/>
        </w:rPr>
        <w:t>(c) 95% CIs calculated using consistent methodology: life table method (Lee 2012) / normal approximation to the binomial calculation (TOL2581A)</w:t>
      </w:r>
    </w:p>
    <w:p w14:paraId="35DD378C" w14:textId="77777777" w:rsidR="00325833" w:rsidRPr="0040247D" w:rsidRDefault="00325833" w:rsidP="00325833">
      <w:pPr>
        <w:pStyle w:val="TableFigureFooter"/>
        <w:rPr>
          <w:rFonts w:eastAsiaTheme="majorEastAsia"/>
        </w:rPr>
      </w:pPr>
      <w:r w:rsidRPr="0040247D">
        <w:rPr>
          <w:rFonts w:eastAsiaTheme="majorEastAsia"/>
        </w:rPr>
        <w:t xml:space="preserve">(d) 95% CIs calculated using binomial exact method </w:t>
      </w:r>
    </w:p>
    <w:p w14:paraId="7DA283C8" w14:textId="7080592F" w:rsidR="00A20BA0" w:rsidRPr="0040247D" w:rsidRDefault="00325833" w:rsidP="00A20BA0">
      <w:pPr>
        <w:pStyle w:val="TableFigureFooter"/>
        <w:rPr>
          <w:rFonts w:eastAsiaTheme="majorEastAsia"/>
        </w:rPr>
      </w:pPr>
      <w:r w:rsidRPr="0040247D">
        <w:rPr>
          <w:rFonts w:eastAsiaTheme="majorEastAsia"/>
        </w:rPr>
        <w:t>(</w:t>
      </w:r>
      <w:r w:rsidR="00992853">
        <w:rPr>
          <w:rFonts w:eastAsiaTheme="majorEastAsia"/>
        </w:rPr>
        <w:t>e</w:t>
      </w:r>
      <w:r w:rsidRPr="0040247D">
        <w:rPr>
          <w:rFonts w:eastAsiaTheme="majorEastAsia"/>
        </w:rPr>
        <w:t xml:space="preserve">) The whole trial sample was 84 (children) but the sample treated with </w:t>
      </w:r>
      <w:proofErr w:type="spellStart"/>
      <w:r w:rsidRPr="0040247D">
        <w:rPr>
          <w:rFonts w:eastAsiaTheme="majorEastAsia"/>
        </w:rPr>
        <w:t>Lucrin</w:t>
      </w:r>
      <w:proofErr w:type="spellEnd"/>
      <w:r w:rsidRPr="0040247D">
        <w:rPr>
          <w:rFonts w:eastAsiaTheme="majorEastAsia"/>
        </w:rPr>
        <w:t xml:space="preserve"> Paediatric was 42</w:t>
      </w:r>
      <w:r>
        <w:rPr>
          <w:rFonts w:eastAsiaTheme="majorEastAsia"/>
        </w:rPr>
        <w:t xml:space="preserve"> children</w:t>
      </w:r>
      <w:r w:rsidR="00992853">
        <w:rPr>
          <w:rFonts w:eastAsiaTheme="majorEastAsia"/>
        </w:rPr>
        <w:t xml:space="preserve">, and the treatment naïve population was 21 </w:t>
      </w:r>
    </w:p>
    <w:p w14:paraId="191CBCAA" w14:textId="65D0EE6D" w:rsidR="00CA1457" w:rsidRPr="00E57B4B" w:rsidRDefault="00CA1457" w:rsidP="0055154C">
      <w:pPr>
        <w:pStyle w:val="3-BodyText"/>
        <w:ind w:left="709"/>
      </w:pPr>
      <w:r w:rsidRPr="00E57B4B">
        <w:t xml:space="preserve">The absolute percentages of responders to </w:t>
      </w:r>
      <w:proofErr w:type="spellStart"/>
      <w:r w:rsidRPr="00E57B4B">
        <w:t>Eligard</w:t>
      </w:r>
      <w:proofErr w:type="spellEnd"/>
      <w:r w:rsidRPr="00E57B4B">
        <w:t xml:space="preserve"> 6 month at 2 months and 6 months was lower than that of </w:t>
      </w:r>
      <w:proofErr w:type="spellStart"/>
      <w:r w:rsidR="002B4FCF" w:rsidRPr="00E57B4B">
        <w:t>Lucrin</w:t>
      </w:r>
      <w:proofErr w:type="spellEnd"/>
      <w:r w:rsidR="002B4FCF" w:rsidRPr="00E57B4B">
        <w:t xml:space="preserve"> Paediatric</w:t>
      </w:r>
      <w:r w:rsidRPr="00E57B4B" w:rsidDel="00720241">
        <w:t xml:space="preserve"> </w:t>
      </w:r>
      <w:r w:rsidR="00BE2F13" w:rsidRPr="00E57B4B">
        <w:t xml:space="preserve">assessed within the time frame of </w:t>
      </w:r>
      <w:r w:rsidRPr="00E57B4B">
        <w:t>2</w:t>
      </w:r>
      <w:r w:rsidR="00503E6F" w:rsidRPr="00E57B4B">
        <w:t xml:space="preserve"> and </w:t>
      </w:r>
      <w:r w:rsidRPr="00E57B4B">
        <w:t xml:space="preserve">6 months. Similarly, the absolute percentages of responders to </w:t>
      </w:r>
      <w:proofErr w:type="spellStart"/>
      <w:r w:rsidRPr="00E57B4B">
        <w:t>Eligard</w:t>
      </w:r>
      <w:proofErr w:type="spellEnd"/>
      <w:r w:rsidRPr="00E57B4B">
        <w:t xml:space="preserve"> 6 month were lower than those of </w:t>
      </w:r>
      <w:proofErr w:type="spellStart"/>
      <w:r w:rsidRPr="00E57B4B">
        <w:t>Diphereline</w:t>
      </w:r>
      <w:proofErr w:type="spellEnd"/>
      <w:r w:rsidRPr="00E57B4B">
        <w:t xml:space="preserve"> for the same time frame of 2 months and 6 months. The indirect comparison estimates, however, showed no statistically</w:t>
      </w:r>
      <w:r w:rsidR="00FB2497" w:rsidRPr="00E57B4B">
        <w:t xml:space="preserve"> significant</w:t>
      </w:r>
      <w:r w:rsidRPr="00E57B4B">
        <w:t xml:space="preserve"> difference in the risk differences between </w:t>
      </w:r>
      <w:proofErr w:type="spellStart"/>
      <w:r w:rsidRPr="00E57B4B">
        <w:t>Eligard</w:t>
      </w:r>
      <w:proofErr w:type="spellEnd"/>
      <w:r w:rsidRPr="00E57B4B">
        <w:t xml:space="preserve"> 6 month and each of the comparators. It </w:t>
      </w:r>
      <w:r w:rsidR="00FB4522" w:rsidRPr="00E57B4B">
        <w:t>was</w:t>
      </w:r>
      <w:r w:rsidRPr="00E57B4B">
        <w:t xml:space="preserve"> noted that the percentage of responders (with LH below 4</w:t>
      </w:r>
      <w:r w:rsidR="004C3EA7" w:rsidRPr="00E57B4B">
        <w:t xml:space="preserve"> </w:t>
      </w:r>
      <w:r w:rsidRPr="00E57B4B">
        <w:t>IU/L) presented in the submission was only an exploratory analysis and cannot be verified. The primary outcome for Study 301, as reported in the respective publications, is “percentage of patients with LH below 5 IU/L at month 6” (as opposed to below 4 IU/L in TOL2581A and Lee 2012).</w:t>
      </w:r>
    </w:p>
    <w:p w14:paraId="34999750" w14:textId="7E770E12" w:rsidR="00A20BA0" w:rsidRPr="004C3EA7" w:rsidRDefault="00B4526F" w:rsidP="004C3EA7">
      <w:pPr>
        <w:pStyle w:val="TableFigureHeading"/>
        <w:rPr>
          <w:rStyle w:val="CaptionChar"/>
          <w:b/>
          <w:bCs/>
          <w:snapToGrid/>
          <w:color w:val="auto"/>
          <w:sz w:val="20"/>
          <w:szCs w:val="24"/>
          <w:lang w:eastAsia="en-AU"/>
        </w:rPr>
      </w:pPr>
      <w:bookmarkStart w:id="24" w:name="_Ref102726816"/>
      <w:r w:rsidRPr="004C3EA7">
        <w:rPr>
          <w:rStyle w:val="CaptionChar"/>
          <w:b/>
          <w:snapToGrid/>
          <w:color w:val="auto"/>
          <w:sz w:val="20"/>
          <w:szCs w:val="24"/>
          <w:lang w:eastAsia="en-AU"/>
        </w:rPr>
        <w:t xml:space="preserve">Table </w:t>
      </w:r>
      <w:r w:rsidRPr="004C3EA7">
        <w:rPr>
          <w:rStyle w:val="CaptionChar"/>
          <w:b/>
          <w:bCs/>
          <w:snapToGrid/>
          <w:color w:val="auto"/>
          <w:sz w:val="20"/>
          <w:szCs w:val="24"/>
          <w:lang w:eastAsia="en-AU"/>
        </w:rPr>
        <w:fldChar w:fldCharType="begin"/>
      </w:r>
      <w:r w:rsidRPr="004C3EA7">
        <w:rPr>
          <w:rStyle w:val="CaptionChar"/>
          <w:b/>
          <w:snapToGrid/>
          <w:color w:val="auto"/>
          <w:sz w:val="20"/>
          <w:szCs w:val="24"/>
          <w:lang w:eastAsia="en-AU"/>
        </w:rPr>
        <w:instrText xml:space="preserve"> SEQ Table \* ARABIC </w:instrText>
      </w:r>
      <w:r w:rsidRPr="004C3EA7">
        <w:rPr>
          <w:rStyle w:val="CaptionChar"/>
          <w:b/>
          <w:bCs/>
          <w:snapToGrid/>
          <w:color w:val="auto"/>
          <w:sz w:val="20"/>
          <w:szCs w:val="24"/>
          <w:lang w:eastAsia="en-AU"/>
        </w:rPr>
        <w:fldChar w:fldCharType="separate"/>
      </w:r>
      <w:r w:rsidRPr="004C3EA7">
        <w:rPr>
          <w:rStyle w:val="CaptionChar"/>
          <w:b/>
          <w:snapToGrid/>
          <w:color w:val="auto"/>
          <w:sz w:val="20"/>
          <w:szCs w:val="24"/>
          <w:lang w:eastAsia="en-AU"/>
        </w:rPr>
        <w:t>6</w:t>
      </w:r>
      <w:r w:rsidRPr="004C3EA7">
        <w:rPr>
          <w:rStyle w:val="CaptionChar"/>
          <w:b/>
          <w:bCs/>
          <w:snapToGrid/>
          <w:color w:val="auto"/>
          <w:sz w:val="20"/>
          <w:szCs w:val="24"/>
          <w:lang w:eastAsia="en-AU"/>
        </w:rPr>
        <w:fldChar w:fldCharType="end"/>
      </w:r>
      <w:bookmarkEnd w:id="24"/>
      <w:r w:rsidRPr="004C3EA7">
        <w:rPr>
          <w:rStyle w:val="CaptionChar"/>
          <w:b/>
          <w:snapToGrid/>
          <w:color w:val="auto"/>
          <w:sz w:val="20"/>
          <w:szCs w:val="24"/>
          <w:lang w:eastAsia="en-AU"/>
        </w:rPr>
        <w:t xml:space="preserve">: </w:t>
      </w:r>
      <w:r w:rsidR="00A20BA0" w:rsidRPr="004C3EA7">
        <w:rPr>
          <w:rStyle w:val="CaptionChar"/>
          <w:b/>
          <w:snapToGrid/>
          <w:color w:val="auto"/>
          <w:sz w:val="20"/>
          <w:szCs w:val="24"/>
          <w:lang w:eastAsia="en-AU"/>
        </w:rPr>
        <w:t>Comparison of mean peak stimulated LH levels across studies</w:t>
      </w:r>
    </w:p>
    <w:tbl>
      <w:tblPr>
        <w:tblStyle w:val="ASDTable1"/>
        <w:tblW w:w="5000" w:type="pct"/>
        <w:tblInd w:w="-5" w:type="dxa"/>
        <w:tblCellMar>
          <w:left w:w="29" w:type="dxa"/>
          <w:right w:w="29" w:type="dxa"/>
        </w:tblCellMar>
        <w:tblLook w:val="04A0" w:firstRow="1" w:lastRow="0" w:firstColumn="1" w:lastColumn="0" w:noHBand="0" w:noVBand="1"/>
        <w:tblCaption w:val="Table 6: Comparison of mean peak stimulated LH levels across studies"/>
        <w:tblDescription w:val="Table 6: Comparison of mean peak stimulated LH levels across studies"/>
      </w:tblPr>
      <w:tblGrid>
        <w:gridCol w:w="1498"/>
        <w:gridCol w:w="2178"/>
        <w:gridCol w:w="1695"/>
        <w:gridCol w:w="1693"/>
        <w:gridCol w:w="1692"/>
      </w:tblGrid>
      <w:tr w:rsidR="00067771" w:rsidRPr="0040247D" w14:paraId="6F39326B" w14:textId="77777777" w:rsidTr="00745FA4">
        <w:trPr>
          <w:trHeight w:val="300"/>
          <w:tblHeader/>
        </w:trPr>
        <w:tc>
          <w:tcPr>
            <w:tcW w:w="2099" w:type="pct"/>
            <w:gridSpan w:val="2"/>
            <w:vMerge w:val="restart"/>
            <w:shd w:val="clear" w:color="auto" w:fill="auto"/>
          </w:tcPr>
          <w:p w14:paraId="0A5C0F1E" w14:textId="77777777" w:rsidR="00A20BA0" w:rsidRPr="0040247D" w:rsidRDefault="00A20BA0" w:rsidP="00427208">
            <w:pPr>
              <w:pStyle w:val="Tabletext"/>
              <w:widowControl w:val="0"/>
              <w:rPr>
                <w:b/>
                <w:bCs/>
              </w:rPr>
            </w:pPr>
          </w:p>
        </w:tc>
        <w:tc>
          <w:tcPr>
            <w:tcW w:w="968" w:type="pct"/>
            <w:shd w:val="clear" w:color="auto" w:fill="auto"/>
          </w:tcPr>
          <w:p w14:paraId="08BCA3E1" w14:textId="77777777" w:rsidR="00A20BA0" w:rsidRPr="0040247D" w:rsidRDefault="00A20BA0" w:rsidP="00427208">
            <w:pPr>
              <w:pStyle w:val="KMC16-TableHeading"/>
              <w:widowControl w:val="0"/>
              <w:rPr>
                <w:color w:val="auto"/>
              </w:rPr>
            </w:pPr>
            <w:r w:rsidRPr="0040247D">
              <w:rPr>
                <w:color w:val="auto"/>
              </w:rPr>
              <w:t>TOL2581A</w:t>
            </w:r>
          </w:p>
        </w:tc>
        <w:tc>
          <w:tcPr>
            <w:tcW w:w="967" w:type="pct"/>
            <w:shd w:val="clear" w:color="auto" w:fill="auto"/>
          </w:tcPr>
          <w:p w14:paraId="47E7A822" w14:textId="77777777" w:rsidR="00A20BA0" w:rsidRPr="0040247D" w:rsidRDefault="00A20BA0" w:rsidP="00427208">
            <w:pPr>
              <w:pStyle w:val="KMC16-TableHeading"/>
              <w:widowControl w:val="0"/>
              <w:rPr>
                <w:color w:val="auto"/>
              </w:rPr>
            </w:pPr>
            <w:r w:rsidRPr="0040247D">
              <w:rPr>
                <w:color w:val="auto"/>
              </w:rPr>
              <w:t>Study 301</w:t>
            </w:r>
          </w:p>
        </w:tc>
        <w:tc>
          <w:tcPr>
            <w:tcW w:w="966" w:type="pct"/>
            <w:shd w:val="clear" w:color="auto" w:fill="auto"/>
          </w:tcPr>
          <w:p w14:paraId="1D29FF70" w14:textId="77777777" w:rsidR="00A20BA0" w:rsidRPr="0040247D" w:rsidRDefault="00A20BA0" w:rsidP="00427208">
            <w:pPr>
              <w:pStyle w:val="KMC16-TableHeading"/>
              <w:widowControl w:val="0"/>
              <w:rPr>
                <w:color w:val="auto"/>
              </w:rPr>
            </w:pPr>
            <w:r w:rsidRPr="0040247D">
              <w:rPr>
                <w:color w:val="auto"/>
              </w:rPr>
              <w:t>Lee 2012</w:t>
            </w:r>
          </w:p>
        </w:tc>
      </w:tr>
      <w:tr w:rsidR="00067771" w:rsidRPr="0040247D" w14:paraId="54CA0937" w14:textId="77777777" w:rsidTr="00BD06C7">
        <w:trPr>
          <w:trHeight w:val="300"/>
          <w:tblHeader/>
        </w:trPr>
        <w:tc>
          <w:tcPr>
            <w:tcW w:w="2099" w:type="pct"/>
            <w:gridSpan w:val="2"/>
            <w:vMerge/>
            <w:shd w:val="clear" w:color="auto" w:fill="auto"/>
          </w:tcPr>
          <w:p w14:paraId="00501EB2" w14:textId="77777777" w:rsidR="00A20BA0" w:rsidRPr="0040247D" w:rsidRDefault="00A20BA0" w:rsidP="00427208">
            <w:pPr>
              <w:pStyle w:val="Tabletext"/>
              <w:widowControl w:val="0"/>
              <w:rPr>
                <w:b/>
                <w:bCs/>
              </w:rPr>
            </w:pPr>
          </w:p>
        </w:tc>
        <w:tc>
          <w:tcPr>
            <w:tcW w:w="968" w:type="pct"/>
            <w:shd w:val="clear" w:color="auto" w:fill="auto"/>
            <w:vAlign w:val="center"/>
          </w:tcPr>
          <w:p w14:paraId="1CB654D4" w14:textId="39DC5C2F" w:rsidR="00A20BA0" w:rsidRPr="0040247D" w:rsidRDefault="00A20BA0" w:rsidP="00BD06C7">
            <w:pPr>
              <w:pStyle w:val="KMC16-TableHeading"/>
              <w:widowControl w:val="0"/>
              <w:rPr>
                <w:color w:val="auto"/>
              </w:rPr>
            </w:pPr>
            <w:proofErr w:type="spellStart"/>
            <w:r w:rsidRPr="0040247D">
              <w:rPr>
                <w:color w:val="auto"/>
              </w:rPr>
              <w:t>Eligard</w:t>
            </w:r>
            <w:proofErr w:type="spellEnd"/>
            <w:r w:rsidRPr="0040247D">
              <w:rPr>
                <w:color w:val="auto"/>
              </w:rPr>
              <w:t xml:space="preserve"> 6</w:t>
            </w:r>
            <w:r w:rsidR="00271418" w:rsidRPr="0040247D">
              <w:rPr>
                <w:color w:val="auto"/>
              </w:rPr>
              <w:t xml:space="preserve"> </w:t>
            </w:r>
            <w:r w:rsidRPr="0040247D">
              <w:rPr>
                <w:color w:val="auto"/>
              </w:rPr>
              <w:t>month</w:t>
            </w:r>
          </w:p>
        </w:tc>
        <w:tc>
          <w:tcPr>
            <w:tcW w:w="967" w:type="pct"/>
            <w:shd w:val="clear" w:color="auto" w:fill="auto"/>
            <w:vAlign w:val="center"/>
          </w:tcPr>
          <w:p w14:paraId="19E10B68" w14:textId="77777777" w:rsidR="00A20BA0" w:rsidRPr="0040247D" w:rsidRDefault="00A20BA0" w:rsidP="00BD06C7">
            <w:pPr>
              <w:pStyle w:val="KMC16-TableHeading"/>
              <w:widowControl w:val="0"/>
              <w:rPr>
                <w:color w:val="auto"/>
              </w:rPr>
            </w:pPr>
            <w:proofErr w:type="spellStart"/>
            <w:r w:rsidRPr="0040247D">
              <w:rPr>
                <w:bCs/>
                <w:color w:val="auto"/>
              </w:rPr>
              <w:t>Diphereline</w:t>
            </w:r>
            <w:proofErr w:type="spellEnd"/>
            <w:r w:rsidRPr="0040247D">
              <w:rPr>
                <w:bCs/>
                <w:color w:val="auto"/>
              </w:rPr>
              <w:t xml:space="preserve"> 22.5 mg</w:t>
            </w:r>
          </w:p>
        </w:tc>
        <w:tc>
          <w:tcPr>
            <w:tcW w:w="966" w:type="pct"/>
            <w:shd w:val="clear" w:color="auto" w:fill="auto"/>
            <w:vAlign w:val="center"/>
          </w:tcPr>
          <w:p w14:paraId="54E660F7" w14:textId="22C8C2FB" w:rsidR="00720241" w:rsidRPr="0040247D" w:rsidRDefault="002B4FCF" w:rsidP="00BD06C7">
            <w:pPr>
              <w:pStyle w:val="KMC16-TableHeading"/>
              <w:widowControl w:val="0"/>
              <w:rPr>
                <w:color w:val="auto"/>
              </w:rPr>
            </w:pPr>
            <w:proofErr w:type="spellStart"/>
            <w:r w:rsidRPr="0040247D">
              <w:rPr>
                <w:color w:val="auto"/>
              </w:rPr>
              <w:t>Lucrin</w:t>
            </w:r>
            <w:proofErr w:type="spellEnd"/>
            <w:r w:rsidRPr="0040247D">
              <w:rPr>
                <w:color w:val="auto"/>
              </w:rPr>
              <w:t xml:space="preserve"> Paediatric</w:t>
            </w:r>
          </w:p>
          <w:p w14:paraId="697F5418" w14:textId="367FF897" w:rsidR="00A20BA0" w:rsidRPr="0040247D" w:rsidRDefault="00A20BA0" w:rsidP="00BD06C7">
            <w:pPr>
              <w:pStyle w:val="KMC16-TableHeading"/>
              <w:widowControl w:val="0"/>
              <w:rPr>
                <w:b w:val="0"/>
                <w:bCs/>
                <w:color w:val="auto"/>
              </w:rPr>
            </w:pPr>
            <w:r w:rsidRPr="0040247D">
              <w:rPr>
                <w:color w:val="auto"/>
              </w:rPr>
              <w:t>- Treatment Naïve</w:t>
            </w:r>
          </w:p>
        </w:tc>
      </w:tr>
      <w:tr w:rsidR="00067771" w:rsidRPr="0040247D" w14:paraId="7D0F4F17" w14:textId="77777777" w:rsidTr="00BD06C7">
        <w:trPr>
          <w:trHeight w:val="71"/>
        </w:trPr>
        <w:tc>
          <w:tcPr>
            <w:tcW w:w="2099" w:type="pct"/>
            <w:gridSpan w:val="2"/>
            <w:shd w:val="clear" w:color="auto" w:fill="auto"/>
            <w:vAlign w:val="center"/>
          </w:tcPr>
          <w:p w14:paraId="65D05D6B" w14:textId="77777777" w:rsidR="00A20BA0" w:rsidRPr="0040247D" w:rsidRDefault="00A20BA0" w:rsidP="00BD06C7">
            <w:pPr>
              <w:pStyle w:val="KMC16-Tablecontent"/>
              <w:widowControl w:val="0"/>
              <w:jc w:val="center"/>
              <w:rPr>
                <w:color w:val="auto"/>
                <w:lang w:val="en-AU"/>
              </w:rPr>
            </w:pPr>
            <w:r w:rsidRPr="0040247D">
              <w:rPr>
                <w:color w:val="auto"/>
                <w:lang w:val="en-AU"/>
              </w:rPr>
              <w:t>Mean luteinising hormone level across time points (95% CI)</w:t>
            </w:r>
          </w:p>
        </w:tc>
        <w:tc>
          <w:tcPr>
            <w:tcW w:w="968" w:type="pct"/>
            <w:shd w:val="clear" w:color="auto" w:fill="auto"/>
            <w:vAlign w:val="center"/>
          </w:tcPr>
          <w:p w14:paraId="059CB4EE" w14:textId="437ED139" w:rsidR="00A20BA0" w:rsidRPr="0040247D" w:rsidRDefault="00A20BA0" w:rsidP="00427208">
            <w:pPr>
              <w:pStyle w:val="KMC16-Tablecontent"/>
              <w:widowControl w:val="0"/>
              <w:jc w:val="center"/>
              <w:rPr>
                <w:color w:val="auto"/>
                <w:lang w:val="en-AU"/>
              </w:rPr>
            </w:pPr>
            <w:r w:rsidRPr="0040247D">
              <w:rPr>
                <w:color w:val="auto"/>
                <w:lang w:val="en-AU"/>
              </w:rPr>
              <w:t>2.27 (1.52, 3.02)</w:t>
            </w:r>
            <w:r w:rsidR="00297B92" w:rsidRPr="0040247D">
              <w:rPr>
                <w:color w:val="auto"/>
                <w:lang w:val="en-AU"/>
              </w:rPr>
              <w:t xml:space="preserve"> </w:t>
            </w:r>
            <w:r w:rsidR="00297B92" w:rsidRPr="0040247D">
              <w:rPr>
                <w:color w:val="auto"/>
                <w:vertAlign w:val="superscript"/>
                <w:lang w:val="en-AU"/>
              </w:rPr>
              <w:t>(a)</w:t>
            </w:r>
          </w:p>
        </w:tc>
        <w:tc>
          <w:tcPr>
            <w:tcW w:w="967" w:type="pct"/>
            <w:shd w:val="clear" w:color="auto" w:fill="auto"/>
            <w:vAlign w:val="center"/>
          </w:tcPr>
          <w:p w14:paraId="67D5C6E1" w14:textId="77777777" w:rsidR="00A20BA0" w:rsidRPr="0040247D" w:rsidRDefault="00A20BA0" w:rsidP="00427208">
            <w:pPr>
              <w:pStyle w:val="KMC16-Tablecontent"/>
              <w:widowControl w:val="0"/>
              <w:jc w:val="center"/>
              <w:rPr>
                <w:color w:val="auto"/>
                <w:lang w:val="en-AU"/>
              </w:rPr>
            </w:pPr>
            <w:r w:rsidRPr="0040247D">
              <w:rPr>
                <w:color w:val="auto"/>
                <w:lang w:val="en-AU"/>
              </w:rPr>
              <w:t>2.37 (1.44, 3.29)</w:t>
            </w:r>
          </w:p>
        </w:tc>
        <w:tc>
          <w:tcPr>
            <w:tcW w:w="966" w:type="pct"/>
            <w:shd w:val="clear" w:color="auto" w:fill="auto"/>
            <w:vAlign w:val="center"/>
          </w:tcPr>
          <w:p w14:paraId="0F3B9D54" w14:textId="77777777" w:rsidR="00A20BA0" w:rsidRPr="0040247D" w:rsidRDefault="00A20BA0" w:rsidP="00427208">
            <w:pPr>
              <w:pStyle w:val="KMC16-Tablecontent"/>
              <w:widowControl w:val="0"/>
              <w:jc w:val="center"/>
              <w:rPr>
                <w:color w:val="auto"/>
                <w:lang w:val="en-AU"/>
              </w:rPr>
            </w:pPr>
            <w:r w:rsidRPr="0040247D">
              <w:rPr>
                <w:color w:val="auto"/>
                <w:lang w:val="en-AU"/>
              </w:rPr>
              <w:t>1.73 (1.29, 2.16)</w:t>
            </w:r>
          </w:p>
        </w:tc>
      </w:tr>
      <w:tr w:rsidR="00067771" w:rsidRPr="0040247D" w14:paraId="46CF264B" w14:textId="77777777" w:rsidTr="00BD06C7">
        <w:trPr>
          <w:trHeight w:val="71"/>
        </w:trPr>
        <w:tc>
          <w:tcPr>
            <w:tcW w:w="855" w:type="pct"/>
            <w:shd w:val="clear" w:color="auto" w:fill="auto"/>
            <w:vAlign w:val="center"/>
          </w:tcPr>
          <w:p w14:paraId="4F5A32AB" w14:textId="77777777" w:rsidR="00A20BA0" w:rsidRPr="0040247D" w:rsidRDefault="00A20BA0" w:rsidP="00BD06C7">
            <w:pPr>
              <w:pStyle w:val="KMC16-Tablecontent"/>
              <w:widowControl w:val="0"/>
              <w:jc w:val="center"/>
              <w:rPr>
                <w:color w:val="auto"/>
                <w:lang w:val="en-AU"/>
              </w:rPr>
            </w:pPr>
            <w:r w:rsidRPr="0040247D">
              <w:rPr>
                <w:color w:val="auto"/>
                <w:lang w:val="en-AU"/>
              </w:rPr>
              <w:lastRenderedPageBreak/>
              <w:t>Pre-study/baseline</w:t>
            </w:r>
          </w:p>
        </w:tc>
        <w:tc>
          <w:tcPr>
            <w:tcW w:w="1244" w:type="pct"/>
            <w:shd w:val="clear" w:color="auto" w:fill="auto"/>
            <w:noWrap/>
            <w:hideMark/>
          </w:tcPr>
          <w:p w14:paraId="5256BA23" w14:textId="77777777" w:rsidR="00A20BA0" w:rsidRPr="0040247D" w:rsidRDefault="00A20BA0" w:rsidP="00BD06C7">
            <w:pPr>
              <w:pStyle w:val="KMC16-Tablecontent"/>
              <w:widowControl w:val="0"/>
              <w:jc w:val="center"/>
              <w:rPr>
                <w:color w:val="auto"/>
                <w:lang w:val="en-AU"/>
              </w:rPr>
            </w:pPr>
            <w:r w:rsidRPr="0040247D">
              <w:rPr>
                <w:color w:val="auto"/>
                <w:lang w:val="en-AU"/>
              </w:rPr>
              <w:t>N</w:t>
            </w:r>
          </w:p>
          <w:p w14:paraId="642FBFC2" w14:textId="77777777" w:rsidR="00A20BA0" w:rsidRPr="0040247D" w:rsidRDefault="00A20BA0" w:rsidP="00BD06C7">
            <w:pPr>
              <w:pStyle w:val="KMC16-Tablecontent"/>
              <w:widowControl w:val="0"/>
              <w:jc w:val="center"/>
              <w:rPr>
                <w:color w:val="auto"/>
                <w:lang w:val="en-AU"/>
              </w:rPr>
            </w:pPr>
            <w:r w:rsidRPr="0040247D">
              <w:rPr>
                <w:color w:val="auto"/>
                <w:lang w:val="en-AU"/>
              </w:rPr>
              <w:t>Mean (SD)</w:t>
            </w:r>
          </w:p>
        </w:tc>
        <w:tc>
          <w:tcPr>
            <w:tcW w:w="968" w:type="pct"/>
            <w:shd w:val="clear" w:color="auto" w:fill="auto"/>
          </w:tcPr>
          <w:p w14:paraId="16DC56A9" w14:textId="77777777" w:rsidR="00A20BA0" w:rsidRPr="0040247D" w:rsidRDefault="00A20BA0" w:rsidP="00427208">
            <w:pPr>
              <w:pStyle w:val="KMC16-Tablecontent"/>
              <w:widowControl w:val="0"/>
              <w:jc w:val="center"/>
              <w:rPr>
                <w:color w:val="auto"/>
                <w:lang w:val="en-AU"/>
              </w:rPr>
            </w:pPr>
            <w:r w:rsidRPr="0040247D">
              <w:rPr>
                <w:color w:val="auto"/>
                <w:lang w:val="en-AU"/>
              </w:rPr>
              <w:t>62</w:t>
            </w:r>
          </w:p>
          <w:p w14:paraId="1DF55B6D" w14:textId="77777777" w:rsidR="00A20BA0" w:rsidRPr="0040247D" w:rsidRDefault="00A20BA0" w:rsidP="00427208">
            <w:pPr>
              <w:pStyle w:val="KMC16-Tablecontent"/>
              <w:widowControl w:val="0"/>
              <w:jc w:val="center"/>
              <w:rPr>
                <w:color w:val="auto"/>
                <w:lang w:val="en-AU"/>
              </w:rPr>
            </w:pPr>
            <w:r w:rsidRPr="0040247D">
              <w:rPr>
                <w:color w:val="auto"/>
                <w:lang w:val="en-AU"/>
              </w:rPr>
              <w:t>27.45 (31.389)</w:t>
            </w:r>
          </w:p>
        </w:tc>
        <w:tc>
          <w:tcPr>
            <w:tcW w:w="967" w:type="pct"/>
            <w:shd w:val="clear" w:color="auto" w:fill="auto"/>
          </w:tcPr>
          <w:p w14:paraId="68C129C1" w14:textId="77777777" w:rsidR="00A20BA0" w:rsidRPr="0040247D" w:rsidRDefault="00A20BA0" w:rsidP="00427208">
            <w:pPr>
              <w:pStyle w:val="KMC16-Tablecontent"/>
              <w:widowControl w:val="0"/>
              <w:jc w:val="center"/>
              <w:rPr>
                <w:color w:val="auto"/>
                <w:lang w:val="en-AU"/>
              </w:rPr>
            </w:pPr>
            <w:r w:rsidRPr="0040247D">
              <w:rPr>
                <w:color w:val="auto"/>
                <w:lang w:val="en-AU"/>
              </w:rPr>
              <w:t>44</w:t>
            </w:r>
          </w:p>
          <w:p w14:paraId="556BC40D" w14:textId="77777777" w:rsidR="00A20BA0" w:rsidRPr="0040247D" w:rsidRDefault="00A20BA0" w:rsidP="00427208">
            <w:pPr>
              <w:pStyle w:val="KMC16-Tablecontent"/>
              <w:widowControl w:val="0"/>
              <w:jc w:val="center"/>
              <w:rPr>
                <w:color w:val="auto"/>
                <w:lang w:val="en-AU"/>
              </w:rPr>
            </w:pPr>
            <w:r w:rsidRPr="0040247D">
              <w:rPr>
                <w:color w:val="auto"/>
                <w:lang w:val="en-AU"/>
              </w:rPr>
              <w:t>27.21 (20.56)</w:t>
            </w:r>
          </w:p>
        </w:tc>
        <w:tc>
          <w:tcPr>
            <w:tcW w:w="966" w:type="pct"/>
            <w:shd w:val="clear" w:color="auto" w:fill="auto"/>
            <w:vAlign w:val="center"/>
          </w:tcPr>
          <w:p w14:paraId="224D18FE" w14:textId="77777777" w:rsidR="00A20BA0" w:rsidRPr="0040247D" w:rsidRDefault="00A20BA0" w:rsidP="00427208">
            <w:pPr>
              <w:pStyle w:val="KMC16-Tablecontent"/>
              <w:widowControl w:val="0"/>
              <w:jc w:val="center"/>
              <w:rPr>
                <w:color w:val="auto"/>
                <w:lang w:val="en-AU"/>
              </w:rPr>
            </w:pPr>
            <w:r w:rsidRPr="0040247D">
              <w:rPr>
                <w:color w:val="auto"/>
                <w:lang w:val="en-AU"/>
              </w:rPr>
              <w:t>21</w:t>
            </w:r>
          </w:p>
          <w:p w14:paraId="02C47BD4" w14:textId="77777777" w:rsidR="00A20BA0" w:rsidRPr="0040247D" w:rsidRDefault="00A20BA0" w:rsidP="00427208">
            <w:pPr>
              <w:pStyle w:val="KMC16-Tablecontent"/>
              <w:widowControl w:val="0"/>
              <w:jc w:val="center"/>
              <w:rPr>
                <w:color w:val="auto"/>
                <w:lang w:val="en-AU"/>
              </w:rPr>
            </w:pPr>
            <w:r w:rsidRPr="0040247D">
              <w:rPr>
                <w:color w:val="auto"/>
                <w:lang w:val="en-AU"/>
              </w:rPr>
              <w:t>23.5 (16.76)</w:t>
            </w:r>
          </w:p>
        </w:tc>
      </w:tr>
      <w:tr w:rsidR="00067771" w:rsidRPr="0040247D" w14:paraId="53191B5A" w14:textId="77777777" w:rsidTr="00BD06C7">
        <w:trPr>
          <w:trHeight w:val="50"/>
        </w:trPr>
        <w:tc>
          <w:tcPr>
            <w:tcW w:w="855" w:type="pct"/>
            <w:shd w:val="clear" w:color="auto" w:fill="auto"/>
            <w:vAlign w:val="center"/>
          </w:tcPr>
          <w:p w14:paraId="13FCE085" w14:textId="77777777" w:rsidR="00A20BA0" w:rsidRPr="0040247D" w:rsidRDefault="00A20BA0" w:rsidP="00BD06C7">
            <w:pPr>
              <w:pStyle w:val="KMC16-Tablecontent"/>
              <w:widowControl w:val="0"/>
              <w:jc w:val="center"/>
              <w:rPr>
                <w:color w:val="auto"/>
                <w:lang w:val="en-AU"/>
              </w:rPr>
            </w:pPr>
            <w:r w:rsidRPr="0040247D">
              <w:rPr>
                <w:color w:val="auto"/>
                <w:lang w:val="en-AU"/>
              </w:rPr>
              <w:t>Week 4 / Month 1</w:t>
            </w:r>
          </w:p>
        </w:tc>
        <w:tc>
          <w:tcPr>
            <w:tcW w:w="1244" w:type="pct"/>
            <w:shd w:val="clear" w:color="auto" w:fill="auto"/>
            <w:noWrap/>
            <w:hideMark/>
          </w:tcPr>
          <w:p w14:paraId="673E0D8E" w14:textId="77777777" w:rsidR="00A20BA0" w:rsidRPr="0040247D" w:rsidRDefault="00A20BA0" w:rsidP="00BD06C7">
            <w:pPr>
              <w:pStyle w:val="KMC16-Tablecontent"/>
              <w:widowControl w:val="0"/>
              <w:jc w:val="center"/>
              <w:rPr>
                <w:color w:val="auto"/>
                <w:lang w:val="en-AU"/>
              </w:rPr>
            </w:pPr>
            <w:r w:rsidRPr="0040247D">
              <w:rPr>
                <w:color w:val="auto"/>
                <w:lang w:val="en-AU"/>
              </w:rPr>
              <w:t>N</w:t>
            </w:r>
          </w:p>
          <w:p w14:paraId="529AE61D" w14:textId="77777777" w:rsidR="00A20BA0" w:rsidRPr="0040247D" w:rsidRDefault="00A20BA0" w:rsidP="00BD06C7">
            <w:pPr>
              <w:pStyle w:val="KMC16-Tablecontent"/>
              <w:widowControl w:val="0"/>
              <w:jc w:val="center"/>
              <w:rPr>
                <w:color w:val="auto"/>
                <w:lang w:val="en-AU"/>
              </w:rPr>
            </w:pPr>
            <w:r w:rsidRPr="0040247D">
              <w:rPr>
                <w:color w:val="auto"/>
                <w:lang w:val="en-AU"/>
              </w:rPr>
              <w:t>Mean (SD)</w:t>
            </w:r>
          </w:p>
        </w:tc>
        <w:tc>
          <w:tcPr>
            <w:tcW w:w="968" w:type="pct"/>
            <w:shd w:val="clear" w:color="auto" w:fill="auto"/>
          </w:tcPr>
          <w:p w14:paraId="1B7AC519" w14:textId="77777777" w:rsidR="00A20BA0" w:rsidRPr="0040247D" w:rsidRDefault="00A20BA0" w:rsidP="00427208">
            <w:pPr>
              <w:pStyle w:val="KMC16-Tablecontent"/>
              <w:widowControl w:val="0"/>
              <w:jc w:val="center"/>
              <w:rPr>
                <w:color w:val="auto"/>
                <w:lang w:val="en-AU"/>
              </w:rPr>
            </w:pPr>
            <w:r w:rsidRPr="0040247D">
              <w:rPr>
                <w:color w:val="auto"/>
                <w:lang w:val="en-AU"/>
              </w:rPr>
              <w:t>60</w:t>
            </w:r>
          </w:p>
          <w:p w14:paraId="4FE80C66" w14:textId="77777777" w:rsidR="00A20BA0" w:rsidRPr="0040247D" w:rsidRDefault="00A20BA0" w:rsidP="00427208">
            <w:pPr>
              <w:pStyle w:val="KMC16-Tablecontent"/>
              <w:widowControl w:val="0"/>
              <w:jc w:val="center"/>
              <w:rPr>
                <w:color w:val="auto"/>
                <w:lang w:val="en-AU"/>
              </w:rPr>
            </w:pPr>
            <w:r w:rsidRPr="0040247D">
              <w:rPr>
                <w:color w:val="auto"/>
                <w:lang w:val="en-AU"/>
              </w:rPr>
              <w:t>0.78 (1.579)</w:t>
            </w:r>
          </w:p>
        </w:tc>
        <w:tc>
          <w:tcPr>
            <w:tcW w:w="967" w:type="pct"/>
            <w:shd w:val="clear" w:color="auto" w:fill="auto"/>
          </w:tcPr>
          <w:p w14:paraId="1430875D" w14:textId="77777777" w:rsidR="00A20BA0" w:rsidRPr="0040247D" w:rsidRDefault="00A20BA0" w:rsidP="00427208">
            <w:pPr>
              <w:pStyle w:val="KMC16-Tablecontent"/>
              <w:widowControl w:val="0"/>
              <w:jc w:val="center"/>
              <w:rPr>
                <w:color w:val="auto"/>
                <w:lang w:val="en-AU"/>
              </w:rPr>
            </w:pPr>
            <w:r w:rsidRPr="0040247D">
              <w:rPr>
                <w:color w:val="auto"/>
                <w:lang w:val="en-AU"/>
              </w:rPr>
              <w:t>44</w:t>
            </w:r>
          </w:p>
          <w:p w14:paraId="24C5BA40" w14:textId="77777777" w:rsidR="00A20BA0" w:rsidRPr="0040247D" w:rsidRDefault="00A20BA0" w:rsidP="00427208">
            <w:pPr>
              <w:pStyle w:val="KMC16-Tablecontent"/>
              <w:widowControl w:val="0"/>
              <w:jc w:val="center"/>
              <w:rPr>
                <w:color w:val="auto"/>
                <w:lang w:val="en-AU"/>
              </w:rPr>
            </w:pPr>
            <w:r w:rsidRPr="0040247D">
              <w:rPr>
                <w:color w:val="auto"/>
                <w:lang w:val="en-AU"/>
              </w:rPr>
              <w:t>2.00 (2.94)</w:t>
            </w:r>
          </w:p>
        </w:tc>
        <w:tc>
          <w:tcPr>
            <w:tcW w:w="966" w:type="pct"/>
            <w:shd w:val="clear" w:color="auto" w:fill="auto"/>
            <w:vAlign w:val="center"/>
          </w:tcPr>
          <w:p w14:paraId="5086FD52" w14:textId="77777777" w:rsidR="00A20BA0" w:rsidRPr="0040247D" w:rsidRDefault="00A20BA0" w:rsidP="00427208">
            <w:pPr>
              <w:pStyle w:val="KMC16-Tablecontent"/>
              <w:widowControl w:val="0"/>
              <w:jc w:val="center"/>
              <w:rPr>
                <w:color w:val="auto"/>
                <w:lang w:val="en-AU"/>
              </w:rPr>
            </w:pPr>
            <w:r w:rsidRPr="0040247D">
              <w:rPr>
                <w:color w:val="auto"/>
                <w:lang w:val="en-AU"/>
              </w:rPr>
              <w:t>21</w:t>
            </w:r>
          </w:p>
          <w:p w14:paraId="65B104FC" w14:textId="77777777" w:rsidR="00A20BA0" w:rsidRPr="0040247D" w:rsidRDefault="00A20BA0" w:rsidP="00427208">
            <w:pPr>
              <w:pStyle w:val="KMC16-Tablecontent"/>
              <w:widowControl w:val="0"/>
              <w:jc w:val="center"/>
              <w:rPr>
                <w:color w:val="auto"/>
                <w:lang w:val="en-AU"/>
              </w:rPr>
            </w:pPr>
            <w:r w:rsidRPr="0040247D">
              <w:rPr>
                <w:color w:val="auto"/>
                <w:lang w:val="en-AU"/>
              </w:rPr>
              <w:t>1.9 (1.74)</w:t>
            </w:r>
          </w:p>
        </w:tc>
      </w:tr>
      <w:tr w:rsidR="00067771" w:rsidRPr="0040247D" w14:paraId="1960D53F" w14:textId="77777777" w:rsidTr="00BD06C7">
        <w:trPr>
          <w:trHeight w:val="50"/>
        </w:trPr>
        <w:tc>
          <w:tcPr>
            <w:tcW w:w="855" w:type="pct"/>
            <w:shd w:val="clear" w:color="auto" w:fill="auto"/>
            <w:vAlign w:val="center"/>
          </w:tcPr>
          <w:p w14:paraId="053B2371" w14:textId="77777777" w:rsidR="00A20BA0" w:rsidRPr="0040247D" w:rsidRDefault="00A20BA0" w:rsidP="00BD06C7">
            <w:pPr>
              <w:pStyle w:val="KMC16-Tablecontent"/>
              <w:widowControl w:val="0"/>
              <w:jc w:val="center"/>
              <w:rPr>
                <w:color w:val="auto"/>
                <w:lang w:val="en-AU"/>
              </w:rPr>
            </w:pPr>
            <w:r w:rsidRPr="0040247D">
              <w:rPr>
                <w:color w:val="auto"/>
                <w:lang w:val="en-AU"/>
              </w:rPr>
              <w:t>Week 8 / Month 2</w:t>
            </w:r>
          </w:p>
        </w:tc>
        <w:tc>
          <w:tcPr>
            <w:tcW w:w="1244" w:type="pct"/>
            <w:shd w:val="clear" w:color="auto" w:fill="auto"/>
            <w:noWrap/>
            <w:hideMark/>
          </w:tcPr>
          <w:p w14:paraId="48CB4E10" w14:textId="77777777" w:rsidR="00A20BA0" w:rsidRPr="0040247D" w:rsidRDefault="00A20BA0" w:rsidP="00BD06C7">
            <w:pPr>
              <w:pStyle w:val="KMC16-Tablecontent"/>
              <w:widowControl w:val="0"/>
              <w:jc w:val="center"/>
              <w:rPr>
                <w:color w:val="auto"/>
                <w:lang w:val="en-AU"/>
              </w:rPr>
            </w:pPr>
            <w:r w:rsidRPr="0040247D">
              <w:rPr>
                <w:color w:val="auto"/>
                <w:lang w:val="en-AU"/>
              </w:rPr>
              <w:t>N</w:t>
            </w:r>
          </w:p>
          <w:p w14:paraId="3A7E9581" w14:textId="77777777" w:rsidR="00A20BA0" w:rsidRPr="0040247D" w:rsidRDefault="00A20BA0" w:rsidP="00BD06C7">
            <w:pPr>
              <w:pStyle w:val="KMC16-Tablecontent"/>
              <w:widowControl w:val="0"/>
              <w:jc w:val="center"/>
              <w:rPr>
                <w:color w:val="auto"/>
                <w:lang w:val="en-AU"/>
              </w:rPr>
            </w:pPr>
            <w:r w:rsidRPr="0040247D">
              <w:rPr>
                <w:color w:val="auto"/>
                <w:lang w:val="en-AU"/>
              </w:rPr>
              <w:t>Mean (SD)</w:t>
            </w:r>
          </w:p>
        </w:tc>
        <w:tc>
          <w:tcPr>
            <w:tcW w:w="968" w:type="pct"/>
            <w:shd w:val="clear" w:color="auto" w:fill="auto"/>
            <w:vAlign w:val="center"/>
          </w:tcPr>
          <w:p w14:paraId="253A399A" w14:textId="77777777" w:rsidR="00A20BA0" w:rsidRPr="0040247D" w:rsidRDefault="00A20BA0" w:rsidP="00BD06C7">
            <w:pPr>
              <w:pStyle w:val="KMC16-Tablecontent"/>
              <w:widowControl w:val="0"/>
              <w:jc w:val="center"/>
              <w:rPr>
                <w:color w:val="auto"/>
                <w:lang w:val="en-AU"/>
              </w:rPr>
            </w:pPr>
            <w:r w:rsidRPr="0040247D">
              <w:rPr>
                <w:color w:val="auto"/>
                <w:lang w:val="en-AU"/>
              </w:rPr>
              <w:t>NA</w:t>
            </w:r>
          </w:p>
        </w:tc>
        <w:tc>
          <w:tcPr>
            <w:tcW w:w="967" w:type="pct"/>
            <w:shd w:val="clear" w:color="auto" w:fill="auto"/>
          </w:tcPr>
          <w:p w14:paraId="45C08437" w14:textId="77777777" w:rsidR="00A20BA0" w:rsidRPr="0040247D" w:rsidRDefault="00A20BA0" w:rsidP="00427208">
            <w:pPr>
              <w:pStyle w:val="KMC16-Tablecontent"/>
              <w:widowControl w:val="0"/>
              <w:jc w:val="center"/>
              <w:rPr>
                <w:color w:val="auto"/>
                <w:lang w:val="en-AU"/>
              </w:rPr>
            </w:pPr>
            <w:r w:rsidRPr="0040247D">
              <w:rPr>
                <w:color w:val="auto"/>
                <w:lang w:val="en-AU"/>
              </w:rPr>
              <w:t>44</w:t>
            </w:r>
          </w:p>
          <w:p w14:paraId="059CFF76" w14:textId="77777777" w:rsidR="00A20BA0" w:rsidRPr="0040247D" w:rsidRDefault="00A20BA0" w:rsidP="00427208">
            <w:pPr>
              <w:pStyle w:val="KMC16-Tablecontent"/>
              <w:widowControl w:val="0"/>
              <w:jc w:val="center"/>
              <w:rPr>
                <w:color w:val="auto"/>
                <w:lang w:val="en-AU"/>
              </w:rPr>
            </w:pPr>
            <w:r w:rsidRPr="0040247D">
              <w:rPr>
                <w:color w:val="auto"/>
                <w:lang w:val="en-AU"/>
              </w:rPr>
              <w:t>1.96 (4.43)</w:t>
            </w:r>
          </w:p>
        </w:tc>
        <w:tc>
          <w:tcPr>
            <w:tcW w:w="966" w:type="pct"/>
            <w:shd w:val="clear" w:color="auto" w:fill="auto"/>
            <w:vAlign w:val="center"/>
          </w:tcPr>
          <w:p w14:paraId="7300FE4C" w14:textId="77777777" w:rsidR="00A20BA0" w:rsidRPr="0040247D" w:rsidRDefault="00A20BA0" w:rsidP="00427208">
            <w:pPr>
              <w:pStyle w:val="KMC16-Tablecontent"/>
              <w:widowControl w:val="0"/>
              <w:jc w:val="center"/>
              <w:rPr>
                <w:color w:val="auto"/>
                <w:lang w:val="en-AU"/>
              </w:rPr>
            </w:pPr>
            <w:r w:rsidRPr="0040247D">
              <w:rPr>
                <w:color w:val="auto"/>
                <w:lang w:val="en-AU"/>
              </w:rPr>
              <w:t>21</w:t>
            </w:r>
          </w:p>
          <w:p w14:paraId="08289ECD" w14:textId="77777777" w:rsidR="00A20BA0" w:rsidRPr="0040247D" w:rsidRDefault="00A20BA0" w:rsidP="00427208">
            <w:pPr>
              <w:pStyle w:val="KMC16-Tablecontent"/>
              <w:widowControl w:val="0"/>
              <w:jc w:val="center"/>
              <w:rPr>
                <w:color w:val="auto"/>
                <w:lang w:val="en-AU"/>
              </w:rPr>
            </w:pPr>
            <w:r w:rsidRPr="0040247D">
              <w:rPr>
                <w:color w:val="auto"/>
                <w:lang w:val="en-AU"/>
              </w:rPr>
              <w:t>2.0 (2.25)</w:t>
            </w:r>
          </w:p>
        </w:tc>
      </w:tr>
      <w:tr w:rsidR="00067771" w:rsidRPr="0040247D" w14:paraId="15C5770E" w14:textId="77777777" w:rsidTr="00BD06C7">
        <w:trPr>
          <w:trHeight w:val="224"/>
        </w:trPr>
        <w:tc>
          <w:tcPr>
            <w:tcW w:w="855" w:type="pct"/>
            <w:shd w:val="clear" w:color="auto" w:fill="auto"/>
            <w:vAlign w:val="center"/>
          </w:tcPr>
          <w:p w14:paraId="32E1A343" w14:textId="77777777" w:rsidR="00A20BA0" w:rsidRPr="0040247D" w:rsidRDefault="00A20BA0" w:rsidP="00BD06C7">
            <w:pPr>
              <w:pStyle w:val="KMC16-Tablecontent"/>
              <w:widowControl w:val="0"/>
              <w:jc w:val="center"/>
              <w:rPr>
                <w:color w:val="auto"/>
                <w:lang w:val="en-AU"/>
              </w:rPr>
            </w:pPr>
            <w:r w:rsidRPr="0040247D">
              <w:rPr>
                <w:color w:val="auto"/>
                <w:lang w:val="en-AU"/>
              </w:rPr>
              <w:t>Week 12 / Month 3</w:t>
            </w:r>
          </w:p>
        </w:tc>
        <w:tc>
          <w:tcPr>
            <w:tcW w:w="1244" w:type="pct"/>
            <w:shd w:val="clear" w:color="auto" w:fill="auto"/>
            <w:noWrap/>
            <w:hideMark/>
          </w:tcPr>
          <w:p w14:paraId="1540FEDC" w14:textId="77777777" w:rsidR="00A20BA0" w:rsidRPr="0040247D" w:rsidRDefault="00A20BA0" w:rsidP="00BD06C7">
            <w:pPr>
              <w:pStyle w:val="KMC16-Tablecontent"/>
              <w:widowControl w:val="0"/>
              <w:jc w:val="center"/>
              <w:rPr>
                <w:color w:val="auto"/>
                <w:lang w:val="en-AU"/>
              </w:rPr>
            </w:pPr>
            <w:r w:rsidRPr="0040247D">
              <w:rPr>
                <w:color w:val="auto"/>
                <w:lang w:val="en-AU"/>
              </w:rPr>
              <w:t>N</w:t>
            </w:r>
          </w:p>
          <w:p w14:paraId="797DF644" w14:textId="77777777" w:rsidR="00A20BA0" w:rsidRPr="0040247D" w:rsidRDefault="00A20BA0" w:rsidP="00BD06C7">
            <w:pPr>
              <w:pStyle w:val="KMC16-Tablecontent"/>
              <w:widowControl w:val="0"/>
              <w:jc w:val="center"/>
              <w:rPr>
                <w:color w:val="auto"/>
                <w:lang w:val="en-AU"/>
              </w:rPr>
            </w:pPr>
            <w:r w:rsidRPr="0040247D">
              <w:rPr>
                <w:color w:val="auto"/>
                <w:lang w:val="en-AU"/>
              </w:rPr>
              <w:t>Mean (SD)</w:t>
            </w:r>
          </w:p>
        </w:tc>
        <w:tc>
          <w:tcPr>
            <w:tcW w:w="968" w:type="pct"/>
            <w:shd w:val="clear" w:color="auto" w:fill="auto"/>
          </w:tcPr>
          <w:p w14:paraId="705D7F51" w14:textId="77777777" w:rsidR="00A20BA0" w:rsidRPr="0040247D" w:rsidRDefault="00A20BA0" w:rsidP="00427208">
            <w:pPr>
              <w:pStyle w:val="KMC16-Tablecontent"/>
              <w:widowControl w:val="0"/>
              <w:jc w:val="center"/>
              <w:rPr>
                <w:color w:val="auto"/>
                <w:lang w:val="en-AU"/>
              </w:rPr>
            </w:pPr>
            <w:r w:rsidRPr="0040247D">
              <w:rPr>
                <w:color w:val="auto"/>
                <w:lang w:val="en-AU"/>
              </w:rPr>
              <w:t>60</w:t>
            </w:r>
          </w:p>
          <w:p w14:paraId="4DEA46ED" w14:textId="77777777" w:rsidR="00A20BA0" w:rsidRPr="0040247D" w:rsidRDefault="00A20BA0" w:rsidP="00427208">
            <w:pPr>
              <w:pStyle w:val="KMC16-Tablecontent"/>
              <w:widowControl w:val="0"/>
              <w:jc w:val="center"/>
              <w:rPr>
                <w:color w:val="auto"/>
                <w:lang w:val="en-AU"/>
              </w:rPr>
            </w:pPr>
            <w:r w:rsidRPr="0040247D">
              <w:rPr>
                <w:color w:val="auto"/>
                <w:lang w:val="en-AU"/>
              </w:rPr>
              <w:t>3.07 (5.913)</w:t>
            </w:r>
          </w:p>
        </w:tc>
        <w:tc>
          <w:tcPr>
            <w:tcW w:w="967" w:type="pct"/>
            <w:shd w:val="clear" w:color="auto" w:fill="auto"/>
          </w:tcPr>
          <w:p w14:paraId="2FAFDFB8" w14:textId="77777777" w:rsidR="00A20BA0" w:rsidRPr="0040247D" w:rsidRDefault="00A20BA0" w:rsidP="00427208">
            <w:pPr>
              <w:pStyle w:val="KMC16-Tablecontent"/>
              <w:widowControl w:val="0"/>
              <w:jc w:val="center"/>
              <w:rPr>
                <w:color w:val="auto"/>
                <w:lang w:val="en-AU"/>
              </w:rPr>
            </w:pPr>
            <w:r w:rsidRPr="0040247D">
              <w:rPr>
                <w:color w:val="auto"/>
                <w:lang w:val="en-AU"/>
              </w:rPr>
              <w:t>44</w:t>
            </w:r>
          </w:p>
          <w:p w14:paraId="092665B9" w14:textId="77777777" w:rsidR="00A20BA0" w:rsidRPr="0040247D" w:rsidRDefault="00A20BA0" w:rsidP="00427208">
            <w:pPr>
              <w:pStyle w:val="KMC16-Tablecontent"/>
              <w:widowControl w:val="0"/>
              <w:jc w:val="center"/>
              <w:rPr>
                <w:color w:val="auto"/>
                <w:lang w:val="en-AU"/>
              </w:rPr>
            </w:pPr>
            <w:r w:rsidRPr="0040247D">
              <w:rPr>
                <w:color w:val="auto"/>
                <w:lang w:val="en-AU"/>
              </w:rPr>
              <w:t>2.04 (1.45)</w:t>
            </w:r>
          </w:p>
        </w:tc>
        <w:tc>
          <w:tcPr>
            <w:tcW w:w="966" w:type="pct"/>
            <w:shd w:val="clear" w:color="auto" w:fill="auto"/>
            <w:vAlign w:val="center"/>
          </w:tcPr>
          <w:p w14:paraId="21190F73" w14:textId="77777777" w:rsidR="00A20BA0" w:rsidRPr="0040247D" w:rsidRDefault="00A20BA0" w:rsidP="00427208">
            <w:pPr>
              <w:pStyle w:val="KMC16-Tablecontent"/>
              <w:widowControl w:val="0"/>
              <w:jc w:val="center"/>
              <w:rPr>
                <w:color w:val="auto"/>
                <w:lang w:val="en-AU"/>
              </w:rPr>
            </w:pPr>
            <w:r w:rsidRPr="0040247D">
              <w:rPr>
                <w:color w:val="auto"/>
                <w:lang w:val="en-AU"/>
              </w:rPr>
              <w:t>20</w:t>
            </w:r>
          </w:p>
          <w:p w14:paraId="59726CD1" w14:textId="77777777" w:rsidR="00A20BA0" w:rsidRPr="0040247D" w:rsidRDefault="00A20BA0" w:rsidP="00427208">
            <w:pPr>
              <w:pStyle w:val="KMC16-Tablecontent"/>
              <w:widowControl w:val="0"/>
              <w:jc w:val="center"/>
              <w:rPr>
                <w:color w:val="auto"/>
                <w:lang w:val="en-AU"/>
              </w:rPr>
            </w:pPr>
            <w:r w:rsidRPr="0040247D">
              <w:rPr>
                <w:color w:val="auto"/>
                <w:lang w:val="en-AU"/>
              </w:rPr>
              <w:t>1.4 (0.78)</w:t>
            </w:r>
          </w:p>
        </w:tc>
      </w:tr>
      <w:tr w:rsidR="00067771" w:rsidRPr="0040247D" w14:paraId="24B123AF" w14:textId="77777777" w:rsidTr="00BD06C7">
        <w:trPr>
          <w:trHeight w:val="89"/>
        </w:trPr>
        <w:tc>
          <w:tcPr>
            <w:tcW w:w="855" w:type="pct"/>
            <w:shd w:val="clear" w:color="auto" w:fill="auto"/>
            <w:vAlign w:val="center"/>
          </w:tcPr>
          <w:p w14:paraId="5375017E" w14:textId="77777777" w:rsidR="00A20BA0" w:rsidRPr="0040247D" w:rsidRDefault="00A20BA0" w:rsidP="00BD06C7">
            <w:pPr>
              <w:pStyle w:val="KMC16-Tablecontent"/>
              <w:widowControl w:val="0"/>
              <w:jc w:val="center"/>
              <w:rPr>
                <w:color w:val="auto"/>
                <w:lang w:val="en-AU"/>
              </w:rPr>
            </w:pPr>
            <w:r w:rsidRPr="0040247D">
              <w:rPr>
                <w:color w:val="auto"/>
                <w:lang w:val="en-AU"/>
              </w:rPr>
              <w:t>Week 24 / Month 6</w:t>
            </w:r>
          </w:p>
        </w:tc>
        <w:tc>
          <w:tcPr>
            <w:tcW w:w="1244" w:type="pct"/>
            <w:shd w:val="clear" w:color="auto" w:fill="auto"/>
            <w:noWrap/>
            <w:hideMark/>
          </w:tcPr>
          <w:p w14:paraId="4AC71B76" w14:textId="77777777" w:rsidR="00A20BA0" w:rsidRPr="0040247D" w:rsidRDefault="00A20BA0" w:rsidP="00BD06C7">
            <w:pPr>
              <w:pStyle w:val="KMC16-Tablecontent"/>
              <w:widowControl w:val="0"/>
              <w:jc w:val="center"/>
              <w:rPr>
                <w:color w:val="auto"/>
                <w:lang w:val="en-AU"/>
              </w:rPr>
            </w:pPr>
            <w:r w:rsidRPr="0040247D">
              <w:rPr>
                <w:color w:val="auto"/>
                <w:lang w:val="en-AU"/>
              </w:rPr>
              <w:t>N</w:t>
            </w:r>
          </w:p>
          <w:p w14:paraId="53754BCB" w14:textId="77777777" w:rsidR="00A20BA0" w:rsidRPr="0040247D" w:rsidRDefault="00A20BA0" w:rsidP="00BD06C7">
            <w:pPr>
              <w:pStyle w:val="KMC16-Tablecontent"/>
              <w:widowControl w:val="0"/>
              <w:jc w:val="center"/>
              <w:rPr>
                <w:color w:val="auto"/>
                <w:lang w:val="en-AU"/>
              </w:rPr>
            </w:pPr>
            <w:r w:rsidRPr="0040247D">
              <w:rPr>
                <w:color w:val="auto"/>
                <w:lang w:val="en-AU"/>
              </w:rPr>
              <w:t>Mean (SD)</w:t>
            </w:r>
          </w:p>
        </w:tc>
        <w:tc>
          <w:tcPr>
            <w:tcW w:w="968" w:type="pct"/>
            <w:shd w:val="clear" w:color="auto" w:fill="auto"/>
          </w:tcPr>
          <w:p w14:paraId="55E980FD" w14:textId="77777777" w:rsidR="00A20BA0" w:rsidRPr="0040247D" w:rsidRDefault="00A20BA0" w:rsidP="00427208">
            <w:pPr>
              <w:pStyle w:val="KMC16-Tablecontent"/>
              <w:widowControl w:val="0"/>
              <w:jc w:val="center"/>
              <w:rPr>
                <w:color w:val="auto"/>
                <w:lang w:val="en-AU"/>
              </w:rPr>
            </w:pPr>
            <w:r w:rsidRPr="0040247D">
              <w:rPr>
                <w:color w:val="auto"/>
                <w:lang w:val="en-AU"/>
              </w:rPr>
              <w:t>62</w:t>
            </w:r>
          </w:p>
          <w:p w14:paraId="7A06465E" w14:textId="77777777" w:rsidR="00A20BA0" w:rsidRPr="0040247D" w:rsidRDefault="00A20BA0" w:rsidP="00427208">
            <w:pPr>
              <w:pStyle w:val="KMC16-Tablecontent"/>
              <w:widowControl w:val="0"/>
              <w:jc w:val="center"/>
              <w:rPr>
                <w:color w:val="auto"/>
                <w:lang w:val="en-AU"/>
              </w:rPr>
            </w:pPr>
            <w:r w:rsidRPr="0040247D">
              <w:rPr>
                <w:color w:val="auto"/>
                <w:lang w:val="en-AU"/>
              </w:rPr>
              <w:t>2.97 (6.159)</w:t>
            </w:r>
          </w:p>
        </w:tc>
        <w:tc>
          <w:tcPr>
            <w:tcW w:w="967" w:type="pct"/>
            <w:shd w:val="clear" w:color="auto" w:fill="auto"/>
          </w:tcPr>
          <w:p w14:paraId="5DC689E5" w14:textId="77777777" w:rsidR="00A20BA0" w:rsidRPr="0040247D" w:rsidRDefault="00A20BA0" w:rsidP="00427208">
            <w:pPr>
              <w:pStyle w:val="KMC16-Tablecontent"/>
              <w:widowControl w:val="0"/>
              <w:jc w:val="center"/>
              <w:rPr>
                <w:color w:val="auto"/>
                <w:lang w:val="en-AU"/>
              </w:rPr>
            </w:pPr>
            <w:r w:rsidRPr="0040247D">
              <w:rPr>
                <w:color w:val="auto"/>
                <w:lang w:val="en-AU"/>
              </w:rPr>
              <w:t>44</w:t>
            </w:r>
          </w:p>
          <w:p w14:paraId="24A4F8E0" w14:textId="77777777" w:rsidR="00A20BA0" w:rsidRPr="0040247D" w:rsidRDefault="00A20BA0" w:rsidP="00427208">
            <w:pPr>
              <w:pStyle w:val="KMC16-Tablecontent"/>
              <w:widowControl w:val="0"/>
              <w:jc w:val="center"/>
              <w:rPr>
                <w:color w:val="auto"/>
                <w:lang w:val="en-AU"/>
              </w:rPr>
            </w:pPr>
            <w:r w:rsidRPr="0040247D">
              <w:rPr>
                <w:color w:val="auto"/>
                <w:lang w:val="en-AU"/>
              </w:rPr>
              <w:t>4.16 (12.26)</w:t>
            </w:r>
          </w:p>
        </w:tc>
        <w:tc>
          <w:tcPr>
            <w:tcW w:w="966" w:type="pct"/>
            <w:shd w:val="clear" w:color="auto" w:fill="auto"/>
            <w:vAlign w:val="center"/>
          </w:tcPr>
          <w:p w14:paraId="67EC6551" w14:textId="77777777" w:rsidR="00A20BA0" w:rsidRPr="0040247D" w:rsidRDefault="00A20BA0" w:rsidP="00427208">
            <w:pPr>
              <w:pStyle w:val="KMC16-Tablecontent"/>
              <w:widowControl w:val="0"/>
              <w:jc w:val="center"/>
              <w:rPr>
                <w:color w:val="auto"/>
                <w:lang w:val="en-AU"/>
              </w:rPr>
            </w:pPr>
            <w:r w:rsidRPr="0040247D">
              <w:rPr>
                <w:color w:val="auto"/>
                <w:lang w:val="en-AU"/>
              </w:rPr>
              <w:t>18</w:t>
            </w:r>
          </w:p>
          <w:p w14:paraId="72F7BA40" w14:textId="77777777" w:rsidR="00A20BA0" w:rsidRPr="0040247D" w:rsidRDefault="00A20BA0" w:rsidP="00427208">
            <w:pPr>
              <w:pStyle w:val="KMC16-Tablecontent"/>
              <w:widowControl w:val="0"/>
              <w:jc w:val="center"/>
              <w:rPr>
                <w:color w:val="auto"/>
                <w:lang w:val="en-AU"/>
              </w:rPr>
            </w:pPr>
            <w:r w:rsidRPr="0040247D">
              <w:rPr>
                <w:color w:val="auto"/>
                <w:lang w:val="en-AU"/>
              </w:rPr>
              <w:t>1.6 (0.95)</w:t>
            </w:r>
          </w:p>
        </w:tc>
      </w:tr>
      <w:tr w:rsidR="00067771" w:rsidRPr="0040247D" w14:paraId="32DCD795" w14:textId="77777777" w:rsidTr="00BD06C7">
        <w:trPr>
          <w:trHeight w:val="72"/>
        </w:trPr>
        <w:tc>
          <w:tcPr>
            <w:tcW w:w="855" w:type="pct"/>
            <w:shd w:val="clear" w:color="auto" w:fill="auto"/>
            <w:vAlign w:val="center"/>
          </w:tcPr>
          <w:p w14:paraId="3AB2C2EC" w14:textId="77777777" w:rsidR="00A20BA0" w:rsidRPr="0040247D" w:rsidRDefault="00A20BA0" w:rsidP="00BD06C7">
            <w:pPr>
              <w:pStyle w:val="KMC16-Tablecontent"/>
              <w:widowControl w:val="0"/>
              <w:jc w:val="center"/>
              <w:rPr>
                <w:color w:val="auto"/>
                <w:lang w:val="en-AU"/>
              </w:rPr>
            </w:pPr>
            <w:r w:rsidRPr="0040247D">
              <w:rPr>
                <w:color w:val="auto"/>
                <w:lang w:val="en-AU"/>
              </w:rPr>
              <w:t>Week 36 / Month 9</w:t>
            </w:r>
          </w:p>
        </w:tc>
        <w:tc>
          <w:tcPr>
            <w:tcW w:w="1244" w:type="pct"/>
            <w:shd w:val="clear" w:color="auto" w:fill="auto"/>
            <w:noWrap/>
            <w:hideMark/>
          </w:tcPr>
          <w:p w14:paraId="76ECA31C" w14:textId="77777777" w:rsidR="00A20BA0" w:rsidRPr="0040247D" w:rsidRDefault="00A20BA0" w:rsidP="00BD06C7">
            <w:pPr>
              <w:pStyle w:val="KMC16-Tablecontent"/>
              <w:widowControl w:val="0"/>
              <w:jc w:val="center"/>
              <w:rPr>
                <w:color w:val="auto"/>
                <w:lang w:val="en-AU"/>
              </w:rPr>
            </w:pPr>
            <w:r w:rsidRPr="0040247D">
              <w:rPr>
                <w:color w:val="auto"/>
                <w:lang w:val="en-AU"/>
              </w:rPr>
              <w:t>N</w:t>
            </w:r>
          </w:p>
          <w:p w14:paraId="6F3A5F08" w14:textId="77777777" w:rsidR="00A20BA0" w:rsidRPr="0040247D" w:rsidRDefault="00A20BA0" w:rsidP="00BD06C7">
            <w:pPr>
              <w:pStyle w:val="KMC16-Tablecontent"/>
              <w:widowControl w:val="0"/>
              <w:jc w:val="center"/>
              <w:rPr>
                <w:color w:val="auto"/>
                <w:lang w:val="en-AU"/>
              </w:rPr>
            </w:pPr>
            <w:r w:rsidRPr="0040247D">
              <w:rPr>
                <w:color w:val="auto"/>
                <w:lang w:val="en-AU"/>
              </w:rPr>
              <w:t>Mean (SD)</w:t>
            </w:r>
          </w:p>
        </w:tc>
        <w:tc>
          <w:tcPr>
            <w:tcW w:w="968" w:type="pct"/>
            <w:shd w:val="clear" w:color="auto" w:fill="auto"/>
          </w:tcPr>
          <w:p w14:paraId="2D5CAB78" w14:textId="77777777" w:rsidR="00A20BA0" w:rsidRPr="0040247D" w:rsidRDefault="00A20BA0" w:rsidP="00427208">
            <w:pPr>
              <w:pStyle w:val="KMC16-Tablecontent"/>
              <w:widowControl w:val="0"/>
              <w:jc w:val="center"/>
              <w:rPr>
                <w:color w:val="auto"/>
                <w:lang w:val="en-AU"/>
              </w:rPr>
            </w:pPr>
            <w:r w:rsidRPr="0040247D">
              <w:rPr>
                <w:color w:val="auto"/>
                <w:lang w:val="en-AU"/>
              </w:rPr>
              <w:t>59</w:t>
            </w:r>
          </w:p>
          <w:p w14:paraId="572AF448" w14:textId="77777777" w:rsidR="00A20BA0" w:rsidRPr="0040247D" w:rsidRDefault="00A20BA0" w:rsidP="00427208">
            <w:pPr>
              <w:pStyle w:val="KMC16-Tablecontent"/>
              <w:widowControl w:val="0"/>
              <w:jc w:val="center"/>
              <w:rPr>
                <w:color w:val="auto"/>
                <w:lang w:val="en-AU"/>
              </w:rPr>
            </w:pPr>
            <w:r w:rsidRPr="0040247D">
              <w:rPr>
                <w:color w:val="auto"/>
                <w:lang w:val="en-AU"/>
              </w:rPr>
              <w:t>2.26 (1.779)</w:t>
            </w:r>
          </w:p>
        </w:tc>
        <w:tc>
          <w:tcPr>
            <w:tcW w:w="967" w:type="pct"/>
            <w:shd w:val="clear" w:color="auto" w:fill="auto"/>
          </w:tcPr>
          <w:p w14:paraId="25EA5842" w14:textId="77777777" w:rsidR="00A20BA0" w:rsidRPr="0040247D" w:rsidRDefault="00A20BA0" w:rsidP="00427208">
            <w:pPr>
              <w:pStyle w:val="KMC16-Tablecontent"/>
              <w:widowControl w:val="0"/>
              <w:jc w:val="center"/>
              <w:rPr>
                <w:color w:val="auto"/>
                <w:lang w:val="en-AU"/>
              </w:rPr>
            </w:pPr>
            <w:r w:rsidRPr="0040247D">
              <w:rPr>
                <w:color w:val="auto"/>
                <w:lang w:val="en-AU"/>
              </w:rPr>
              <w:t>44</w:t>
            </w:r>
          </w:p>
          <w:p w14:paraId="2A48973F" w14:textId="77777777" w:rsidR="00A20BA0" w:rsidRPr="0040247D" w:rsidRDefault="00A20BA0" w:rsidP="00427208">
            <w:pPr>
              <w:pStyle w:val="KMC16-Tablecontent"/>
              <w:widowControl w:val="0"/>
              <w:jc w:val="center"/>
              <w:rPr>
                <w:color w:val="auto"/>
                <w:lang w:val="en-AU"/>
              </w:rPr>
            </w:pPr>
            <w:r w:rsidRPr="0040247D">
              <w:rPr>
                <w:color w:val="auto"/>
                <w:lang w:val="en-AU"/>
              </w:rPr>
              <w:t>1.97 (1.42)</w:t>
            </w:r>
          </w:p>
        </w:tc>
        <w:tc>
          <w:tcPr>
            <w:tcW w:w="966" w:type="pct"/>
            <w:shd w:val="clear" w:color="auto" w:fill="auto"/>
            <w:vAlign w:val="center"/>
          </w:tcPr>
          <w:p w14:paraId="3DDF195D" w14:textId="77777777" w:rsidR="00A20BA0" w:rsidRPr="0040247D" w:rsidRDefault="00A20BA0" w:rsidP="00427208">
            <w:pPr>
              <w:pStyle w:val="KMC16-Tablecontent"/>
              <w:widowControl w:val="0"/>
              <w:jc w:val="center"/>
              <w:rPr>
                <w:color w:val="auto"/>
                <w:lang w:val="en-AU"/>
              </w:rPr>
            </w:pPr>
            <w:r w:rsidRPr="0040247D">
              <w:rPr>
                <w:color w:val="auto"/>
                <w:lang w:val="en-AU"/>
              </w:rPr>
              <w:t>NA</w:t>
            </w:r>
          </w:p>
        </w:tc>
      </w:tr>
      <w:tr w:rsidR="00067771" w:rsidRPr="0040247D" w14:paraId="29C36C69" w14:textId="77777777" w:rsidTr="00BD06C7">
        <w:trPr>
          <w:trHeight w:val="72"/>
        </w:trPr>
        <w:tc>
          <w:tcPr>
            <w:tcW w:w="855" w:type="pct"/>
            <w:shd w:val="clear" w:color="auto" w:fill="auto"/>
            <w:vAlign w:val="center"/>
          </w:tcPr>
          <w:p w14:paraId="5D473DF4" w14:textId="77777777" w:rsidR="00A20BA0" w:rsidRPr="0040247D" w:rsidRDefault="00A20BA0" w:rsidP="00BD06C7">
            <w:pPr>
              <w:pStyle w:val="KMC16-Tablecontent"/>
              <w:widowControl w:val="0"/>
              <w:jc w:val="center"/>
              <w:rPr>
                <w:color w:val="auto"/>
                <w:lang w:val="en-AU"/>
              </w:rPr>
            </w:pPr>
            <w:r w:rsidRPr="0040247D">
              <w:rPr>
                <w:color w:val="auto"/>
                <w:lang w:val="en-AU"/>
              </w:rPr>
              <w:t>Week 48 / Month 12</w:t>
            </w:r>
          </w:p>
        </w:tc>
        <w:tc>
          <w:tcPr>
            <w:tcW w:w="1244" w:type="pct"/>
            <w:shd w:val="clear" w:color="auto" w:fill="auto"/>
            <w:noWrap/>
            <w:hideMark/>
          </w:tcPr>
          <w:p w14:paraId="112096C8" w14:textId="77777777" w:rsidR="00A20BA0" w:rsidRPr="0040247D" w:rsidRDefault="00A20BA0" w:rsidP="00BD06C7">
            <w:pPr>
              <w:pStyle w:val="KMC16-Tablecontent"/>
              <w:widowControl w:val="0"/>
              <w:jc w:val="center"/>
              <w:rPr>
                <w:color w:val="auto"/>
                <w:lang w:val="en-AU"/>
              </w:rPr>
            </w:pPr>
            <w:r w:rsidRPr="0040247D">
              <w:rPr>
                <w:color w:val="auto"/>
                <w:lang w:val="en-AU"/>
              </w:rPr>
              <w:t>N</w:t>
            </w:r>
          </w:p>
          <w:p w14:paraId="2A4521AB" w14:textId="77777777" w:rsidR="00A20BA0" w:rsidRPr="0040247D" w:rsidRDefault="00A20BA0" w:rsidP="00BD06C7">
            <w:pPr>
              <w:pStyle w:val="KMC16-Tablecontent"/>
              <w:widowControl w:val="0"/>
              <w:jc w:val="center"/>
              <w:rPr>
                <w:color w:val="auto"/>
                <w:lang w:val="en-AU"/>
              </w:rPr>
            </w:pPr>
            <w:r w:rsidRPr="0040247D">
              <w:rPr>
                <w:color w:val="auto"/>
                <w:lang w:val="en-AU"/>
              </w:rPr>
              <w:t>Mean (SD)</w:t>
            </w:r>
          </w:p>
        </w:tc>
        <w:tc>
          <w:tcPr>
            <w:tcW w:w="968" w:type="pct"/>
            <w:shd w:val="clear" w:color="auto" w:fill="auto"/>
          </w:tcPr>
          <w:p w14:paraId="39295AA3" w14:textId="77777777" w:rsidR="00A20BA0" w:rsidRPr="0040247D" w:rsidRDefault="00A20BA0" w:rsidP="00427208">
            <w:pPr>
              <w:pStyle w:val="KMC16-Tablecontent"/>
              <w:widowControl w:val="0"/>
              <w:jc w:val="center"/>
              <w:rPr>
                <w:color w:val="auto"/>
                <w:lang w:val="en-AU"/>
              </w:rPr>
            </w:pPr>
            <w:r w:rsidRPr="0040247D">
              <w:rPr>
                <w:color w:val="auto"/>
                <w:lang w:val="en-AU"/>
              </w:rPr>
              <w:t>58</w:t>
            </w:r>
          </w:p>
          <w:p w14:paraId="0286FDEE" w14:textId="77777777" w:rsidR="00A20BA0" w:rsidRPr="0040247D" w:rsidRDefault="00A20BA0" w:rsidP="00427208">
            <w:pPr>
              <w:pStyle w:val="KMC16-Tablecontent"/>
              <w:widowControl w:val="0"/>
              <w:jc w:val="center"/>
              <w:rPr>
                <w:color w:val="auto"/>
                <w:lang w:val="en-AU"/>
              </w:rPr>
            </w:pPr>
            <w:r w:rsidRPr="0040247D">
              <w:rPr>
                <w:color w:val="auto"/>
                <w:lang w:val="en-AU"/>
              </w:rPr>
              <w:t>2.29 (1.584)</w:t>
            </w:r>
          </w:p>
        </w:tc>
        <w:tc>
          <w:tcPr>
            <w:tcW w:w="967" w:type="pct"/>
            <w:shd w:val="clear" w:color="auto" w:fill="auto"/>
          </w:tcPr>
          <w:p w14:paraId="0FC8375B" w14:textId="77777777" w:rsidR="00A20BA0" w:rsidRPr="0040247D" w:rsidRDefault="00A20BA0" w:rsidP="00427208">
            <w:pPr>
              <w:pStyle w:val="KMC16-Tablecontent"/>
              <w:widowControl w:val="0"/>
              <w:jc w:val="center"/>
              <w:rPr>
                <w:color w:val="auto"/>
                <w:lang w:val="en-AU"/>
              </w:rPr>
            </w:pPr>
            <w:r w:rsidRPr="0040247D">
              <w:rPr>
                <w:color w:val="auto"/>
                <w:lang w:val="en-AU"/>
              </w:rPr>
              <w:t>44</w:t>
            </w:r>
          </w:p>
          <w:p w14:paraId="0F0051C4" w14:textId="77777777" w:rsidR="00A20BA0" w:rsidRPr="0040247D" w:rsidRDefault="00A20BA0" w:rsidP="00427208">
            <w:pPr>
              <w:pStyle w:val="KMC16-Tablecontent"/>
              <w:widowControl w:val="0"/>
              <w:jc w:val="center"/>
              <w:rPr>
                <w:color w:val="auto"/>
                <w:lang w:val="en-AU"/>
              </w:rPr>
            </w:pPr>
            <w:r w:rsidRPr="0040247D">
              <w:rPr>
                <w:color w:val="auto"/>
                <w:lang w:val="en-AU"/>
              </w:rPr>
              <w:t>2.06 (1.61)</w:t>
            </w:r>
          </w:p>
        </w:tc>
        <w:tc>
          <w:tcPr>
            <w:tcW w:w="966" w:type="pct"/>
            <w:shd w:val="clear" w:color="auto" w:fill="auto"/>
            <w:vAlign w:val="center"/>
          </w:tcPr>
          <w:p w14:paraId="1A4D7D0F" w14:textId="77777777" w:rsidR="00A20BA0" w:rsidRPr="0040247D" w:rsidRDefault="00A20BA0" w:rsidP="00427208">
            <w:pPr>
              <w:pStyle w:val="KMC16-Tablecontent"/>
              <w:widowControl w:val="0"/>
              <w:jc w:val="center"/>
              <w:rPr>
                <w:color w:val="auto"/>
                <w:lang w:val="en-AU"/>
              </w:rPr>
            </w:pPr>
            <w:r w:rsidRPr="0040247D">
              <w:rPr>
                <w:color w:val="auto"/>
                <w:lang w:val="en-AU"/>
              </w:rPr>
              <w:t>NA</w:t>
            </w:r>
          </w:p>
        </w:tc>
      </w:tr>
    </w:tbl>
    <w:p w14:paraId="6C220FCA" w14:textId="4012B853" w:rsidR="00A20BA0" w:rsidRPr="0040247D" w:rsidRDefault="00A20BA0" w:rsidP="00427208">
      <w:pPr>
        <w:pStyle w:val="TableFigureFooter"/>
        <w:widowControl w:val="0"/>
        <w:rPr>
          <w:bCs/>
        </w:rPr>
      </w:pPr>
      <w:r w:rsidRPr="0040247D">
        <w:rPr>
          <w:bCs/>
        </w:rPr>
        <w:t xml:space="preserve">Source: Table 2-38, p88 of the submission; Table 5-2, p10 of the </w:t>
      </w:r>
      <w:r w:rsidR="00A22BE6" w:rsidRPr="0040247D">
        <w:rPr>
          <w:bCs/>
        </w:rPr>
        <w:t xml:space="preserve">supplementary information. </w:t>
      </w:r>
    </w:p>
    <w:p w14:paraId="621705F8" w14:textId="77777777" w:rsidR="00A20BA0" w:rsidRPr="0040247D" w:rsidRDefault="00A20BA0" w:rsidP="00427208">
      <w:pPr>
        <w:pStyle w:val="TableFigureFooter"/>
        <w:widowControl w:val="0"/>
      </w:pPr>
      <w:r w:rsidRPr="0040247D">
        <w:t>NA, not applicable; SD, standard deviation; LH, luteinising hormone</w:t>
      </w:r>
    </w:p>
    <w:p w14:paraId="07806D34" w14:textId="77777777" w:rsidR="00A20BA0" w:rsidRPr="0040247D" w:rsidRDefault="00A20BA0" w:rsidP="00427208">
      <w:pPr>
        <w:pStyle w:val="TableFigureFooter"/>
        <w:widowControl w:val="0"/>
      </w:pPr>
      <w:r w:rsidRPr="0040247D">
        <w:t xml:space="preserve">Peak stimulated levels measured at 30 minutes post </w:t>
      </w:r>
      <w:proofErr w:type="spellStart"/>
      <w:r w:rsidRPr="0040247D">
        <w:t>GnRHa</w:t>
      </w:r>
      <w:proofErr w:type="spellEnd"/>
      <w:r w:rsidRPr="0040247D">
        <w:t xml:space="preserve"> administration.</w:t>
      </w:r>
    </w:p>
    <w:p w14:paraId="1942D90C" w14:textId="4BD10D45" w:rsidR="00A20BA0" w:rsidRPr="0040247D" w:rsidRDefault="00297B92" w:rsidP="00FB2497">
      <w:pPr>
        <w:pStyle w:val="TableFigureFooter"/>
        <w:widowControl w:val="0"/>
      </w:pPr>
      <w:r w:rsidRPr="0040247D">
        <w:t xml:space="preserve">(a) </w:t>
      </w:r>
      <w:r w:rsidR="00A20BA0" w:rsidRPr="0040247D">
        <w:t>95% CIs calculated in Attachment 3 (University of Melbourne, Statistical Consulting Centre Report)</w:t>
      </w:r>
    </w:p>
    <w:p w14:paraId="162FABA3" w14:textId="6CA91EC4" w:rsidR="00CA1457" w:rsidRPr="00DB490D" w:rsidRDefault="00297B92" w:rsidP="00BD06C7">
      <w:pPr>
        <w:pStyle w:val="3-BodyText"/>
        <w:ind w:left="709"/>
        <w:rPr>
          <w:iCs/>
        </w:rPr>
      </w:pPr>
      <w:r w:rsidRPr="0040247D">
        <w:t xml:space="preserve">The submission noted that the comparison showed similar mean levels across the timepoints for </w:t>
      </w:r>
      <w:proofErr w:type="spellStart"/>
      <w:r w:rsidRPr="0040247D">
        <w:t>Eligard</w:t>
      </w:r>
      <w:proofErr w:type="spellEnd"/>
      <w:r w:rsidRPr="0040247D">
        <w:t xml:space="preserve"> 6 month and </w:t>
      </w:r>
      <w:proofErr w:type="spellStart"/>
      <w:r w:rsidR="002B4FCF" w:rsidRPr="0040247D">
        <w:t>Lucrin</w:t>
      </w:r>
      <w:proofErr w:type="spellEnd"/>
      <w:r w:rsidR="002B4FCF" w:rsidRPr="0040247D">
        <w:t xml:space="preserve"> Paediatric</w:t>
      </w:r>
      <w:r w:rsidRPr="0040247D">
        <w:t xml:space="preserve">. The calculated mean serum level at 2.27 (95% CI 1.52, 3.02) was slightly lower for </w:t>
      </w:r>
      <w:proofErr w:type="spellStart"/>
      <w:r w:rsidRPr="0040247D">
        <w:t>Eligard</w:t>
      </w:r>
      <w:proofErr w:type="spellEnd"/>
      <w:r w:rsidRPr="0040247D">
        <w:t xml:space="preserve"> 6 month than for </w:t>
      </w:r>
      <w:proofErr w:type="spellStart"/>
      <w:r w:rsidR="00F32442" w:rsidRPr="0040247D">
        <w:t>Diphereline</w:t>
      </w:r>
      <w:proofErr w:type="spellEnd"/>
      <w:r w:rsidR="00DC5DF8" w:rsidRPr="0040247D">
        <w:t xml:space="preserve"> </w:t>
      </w:r>
      <w:r w:rsidRPr="0040247D">
        <w:t xml:space="preserve">(2.37, 95% CI 1.44, 3.29). The LH level in TOL2581A </w:t>
      </w:r>
      <w:r w:rsidR="00BD06C7" w:rsidRPr="0040247D">
        <w:t>d</w:t>
      </w:r>
      <w:r w:rsidR="00BD06C7">
        <w:t>id</w:t>
      </w:r>
      <w:r w:rsidR="00BD06C7" w:rsidRPr="0040247D">
        <w:t xml:space="preserve"> </w:t>
      </w:r>
      <w:r w:rsidRPr="0040247D">
        <w:t xml:space="preserve">not increase above the cut-off value of 4 IU/L at any study visit, while in Study 301 a mean value above 4 </w:t>
      </w:r>
      <w:r w:rsidR="00BD06C7">
        <w:t>wa</w:t>
      </w:r>
      <w:r w:rsidR="00BD06C7" w:rsidRPr="0040247D">
        <w:t xml:space="preserve">s </w:t>
      </w:r>
      <w:r w:rsidRPr="0040247D">
        <w:t xml:space="preserve">reported at Week 24. </w:t>
      </w:r>
      <w:r w:rsidRPr="00E57B4B">
        <w:t xml:space="preserve">This was mainly due to one patient who </w:t>
      </w:r>
      <w:r w:rsidR="00CA4E0B" w:rsidRPr="00E57B4B">
        <w:t>had an</w:t>
      </w:r>
      <w:r w:rsidRPr="00E57B4B">
        <w:t xml:space="preserve"> LH value increased to 83 IU/L at Month 6,</w:t>
      </w:r>
      <w:r w:rsidR="00CA4E0B" w:rsidRPr="00E57B4B">
        <w:t xml:space="preserve"> which was due to a technical malfunction with the first injection,</w:t>
      </w:r>
      <w:r w:rsidRPr="00E57B4B">
        <w:t xml:space="preserve"> but dropped to 3.2 </w:t>
      </w:r>
      <w:proofErr w:type="spellStart"/>
      <w:r w:rsidRPr="00E57B4B">
        <w:t>at</w:t>
      </w:r>
      <w:proofErr w:type="spellEnd"/>
      <w:r w:rsidRPr="00E57B4B">
        <w:t xml:space="preserve"> Month 9</w:t>
      </w:r>
      <w:r w:rsidR="00CA4E0B" w:rsidRPr="00E57B4B">
        <w:t>, following a successful second injection</w:t>
      </w:r>
      <w:r w:rsidRPr="00E57B4B">
        <w:t xml:space="preserve">. All the mean values in Study 301 at Month 3, Month 9, and Month 12 were lower than in TOL2581A. In addition, the mean value in Lee 2012 (1.73) was lower than in TOL2581A (2.27) which difference was 0.54, but the mean value in Study 301 (2.37) was only slightly higher than in TOL2581A. </w:t>
      </w:r>
      <w:r w:rsidR="00BD06C7" w:rsidRPr="00E57B4B">
        <w:t>D</w:t>
      </w:r>
      <w:r w:rsidR="00320576" w:rsidRPr="00E57B4B">
        <w:t xml:space="preserve">ue to the very small sample size, the values </w:t>
      </w:r>
      <w:r w:rsidR="00D36E20" w:rsidRPr="00E57B4B">
        <w:t xml:space="preserve">could </w:t>
      </w:r>
      <w:r w:rsidR="00320576" w:rsidRPr="00E57B4B">
        <w:t>fluctuate</w:t>
      </w:r>
      <w:r w:rsidR="00D36E20" w:rsidRPr="00E57B4B">
        <w:t xml:space="preserve"> widely, and therefore, the comparative conclusion based on the observe</w:t>
      </w:r>
      <w:r w:rsidR="00386736" w:rsidRPr="00E57B4B">
        <w:t>d</w:t>
      </w:r>
      <w:r w:rsidR="00D36E20" w:rsidRPr="00E57B4B">
        <w:t xml:space="preserve"> trends </w:t>
      </w:r>
      <w:r w:rsidR="00BD06C7" w:rsidRPr="00E57B4B">
        <w:t>wa</w:t>
      </w:r>
      <w:r w:rsidR="00D36E20" w:rsidRPr="00E57B4B">
        <w:t xml:space="preserve">s uncertain. </w:t>
      </w:r>
      <w:r w:rsidR="00A9264F" w:rsidRPr="00A9264F">
        <w:t xml:space="preserve"> </w:t>
      </w:r>
    </w:p>
    <w:p w14:paraId="1452C351" w14:textId="23DACD82" w:rsidR="00B60939" w:rsidRPr="0040247D" w:rsidRDefault="00B60939" w:rsidP="00703F04">
      <w:pPr>
        <w:pStyle w:val="4-SubsectionHeading"/>
      </w:pPr>
      <w:bookmarkStart w:id="25" w:name="_Toc22897642"/>
      <w:bookmarkStart w:id="26" w:name="_Toc103764962"/>
      <w:r w:rsidRPr="0040247D">
        <w:t>Comparative harms</w:t>
      </w:r>
      <w:bookmarkEnd w:id="25"/>
      <w:bookmarkEnd w:id="26"/>
    </w:p>
    <w:p w14:paraId="6EF8E34D" w14:textId="4D63DED8" w:rsidR="00CA1457" w:rsidRPr="0040247D" w:rsidRDefault="00764BEF" w:rsidP="0055154C">
      <w:pPr>
        <w:pStyle w:val="3-BodyText"/>
        <w:ind w:left="709"/>
        <w:rPr>
          <w:rStyle w:val="CommentReference"/>
          <w:szCs w:val="24"/>
        </w:rPr>
      </w:pPr>
      <w:r w:rsidRPr="0040247D">
        <w:t xml:space="preserve">The adverse events as reported in the trial are shown </w:t>
      </w:r>
      <w:r w:rsidR="00553DC8" w:rsidRPr="0040247D">
        <w:t xml:space="preserve">in </w:t>
      </w:r>
      <w:r w:rsidR="00553DC8" w:rsidRPr="0040247D">
        <w:fldChar w:fldCharType="begin"/>
      </w:r>
      <w:r w:rsidR="00553DC8" w:rsidRPr="0040247D">
        <w:instrText xml:space="preserve"> REF _Ref102728027 \h </w:instrText>
      </w:r>
      <w:r w:rsidR="00553DC8" w:rsidRPr="0040247D">
        <w:fldChar w:fldCharType="separate"/>
      </w:r>
      <w:r w:rsidR="00553DC8" w:rsidRPr="0040247D">
        <w:t>Table 7</w:t>
      </w:r>
      <w:r w:rsidR="00553DC8" w:rsidRPr="0040247D">
        <w:fldChar w:fldCharType="end"/>
      </w:r>
      <w:r w:rsidR="00A77F67" w:rsidRPr="0040247D">
        <w:t xml:space="preserve"> below. </w:t>
      </w:r>
    </w:p>
    <w:p w14:paraId="37F9758E" w14:textId="65AC134A" w:rsidR="005E04F3" w:rsidRPr="004F7C71" w:rsidRDefault="008E55EC" w:rsidP="004F7C71">
      <w:pPr>
        <w:pStyle w:val="TableFigureHeading"/>
      </w:pPr>
      <w:bookmarkStart w:id="27" w:name="_Ref102728027"/>
      <w:r w:rsidRPr="004F7C71">
        <w:lastRenderedPageBreak/>
        <w:t xml:space="preserve">Table </w:t>
      </w:r>
      <w:fldSimple w:instr=" SEQ Table \* ARABIC ">
        <w:r w:rsidRPr="004F7C71">
          <w:t>7</w:t>
        </w:r>
      </w:fldSimple>
      <w:bookmarkEnd w:id="27"/>
      <w:r w:rsidR="005D26B4" w:rsidRPr="004F7C71">
        <w:t>:</w:t>
      </w:r>
      <w:r w:rsidR="00BC591F" w:rsidRPr="004F7C71">
        <w:t xml:space="preserve"> </w:t>
      </w:r>
      <w:r w:rsidR="00E915A6" w:rsidRPr="004F7C71">
        <w:t xml:space="preserve">Summary of key adverse events in </w:t>
      </w:r>
      <w:r w:rsidR="005E04F3" w:rsidRPr="004F7C71">
        <w:t>trials</w:t>
      </w:r>
    </w:p>
    <w:tbl>
      <w:tblPr>
        <w:tblStyle w:val="ASDTable2"/>
        <w:tblW w:w="8784" w:type="dxa"/>
        <w:tblLayout w:type="fixed"/>
        <w:tblLook w:val="04A0" w:firstRow="1" w:lastRow="0" w:firstColumn="1" w:lastColumn="0" w:noHBand="0" w:noVBand="1"/>
        <w:tblCaption w:val="Table 7: Summary of key adverse events in trials"/>
        <w:tblDescription w:val="Table 7: Summary of key adverse events in trials"/>
      </w:tblPr>
      <w:tblGrid>
        <w:gridCol w:w="2972"/>
        <w:gridCol w:w="1134"/>
        <w:gridCol w:w="1134"/>
        <w:gridCol w:w="1134"/>
        <w:gridCol w:w="1134"/>
        <w:gridCol w:w="1276"/>
      </w:tblGrid>
      <w:tr w:rsidR="00067771" w:rsidRPr="0040247D" w14:paraId="5FC95C50" w14:textId="77777777" w:rsidTr="00AC59E7">
        <w:trPr>
          <w:tblHeader/>
        </w:trPr>
        <w:tc>
          <w:tcPr>
            <w:tcW w:w="2972" w:type="dxa"/>
            <w:shd w:val="clear" w:color="auto" w:fill="auto"/>
          </w:tcPr>
          <w:p w14:paraId="6E5ECC6D" w14:textId="77777777" w:rsidR="005E04F3" w:rsidRPr="0040247D" w:rsidRDefault="005E04F3" w:rsidP="00CA1457">
            <w:pPr>
              <w:pStyle w:val="KMC16-Tablecontent"/>
              <w:keepNext/>
              <w:keepLines/>
              <w:spacing w:before="0" w:after="0"/>
              <w:jc w:val="center"/>
              <w:rPr>
                <w:b/>
                <w:bCs/>
                <w:color w:val="auto"/>
                <w:lang w:val="en-AU"/>
              </w:rPr>
            </w:pPr>
          </w:p>
        </w:tc>
        <w:tc>
          <w:tcPr>
            <w:tcW w:w="1134" w:type="dxa"/>
            <w:shd w:val="clear" w:color="auto" w:fill="auto"/>
          </w:tcPr>
          <w:p w14:paraId="45D565A9" w14:textId="77777777" w:rsidR="005E04F3" w:rsidRPr="0040247D" w:rsidRDefault="005E04F3" w:rsidP="00CA1457">
            <w:pPr>
              <w:pStyle w:val="KMC16-Tablecontent"/>
              <w:keepNext/>
              <w:keepLines/>
              <w:spacing w:before="0" w:after="0"/>
              <w:jc w:val="center"/>
              <w:rPr>
                <w:b/>
                <w:color w:val="auto"/>
                <w:lang w:val="en-AU"/>
              </w:rPr>
            </w:pPr>
            <w:r w:rsidRPr="0040247D">
              <w:rPr>
                <w:b/>
                <w:color w:val="auto"/>
                <w:lang w:val="en-AU"/>
              </w:rPr>
              <w:t>TOL2581A</w:t>
            </w:r>
          </w:p>
        </w:tc>
        <w:tc>
          <w:tcPr>
            <w:tcW w:w="1134" w:type="dxa"/>
            <w:shd w:val="clear" w:color="auto" w:fill="auto"/>
          </w:tcPr>
          <w:p w14:paraId="5FD61D6A" w14:textId="327BBE4B" w:rsidR="005E04F3" w:rsidRPr="0040247D" w:rsidRDefault="005E04F3" w:rsidP="00CA1457">
            <w:pPr>
              <w:pStyle w:val="KMC16-TableHeading"/>
              <w:keepNext/>
              <w:keepLines/>
              <w:spacing w:before="0" w:after="0"/>
              <w:rPr>
                <w:b w:val="0"/>
                <w:color w:val="auto"/>
              </w:rPr>
            </w:pPr>
            <w:r w:rsidRPr="0040247D">
              <w:rPr>
                <w:color w:val="auto"/>
              </w:rPr>
              <w:t>Study 301</w:t>
            </w:r>
          </w:p>
        </w:tc>
        <w:tc>
          <w:tcPr>
            <w:tcW w:w="2268" w:type="dxa"/>
            <w:gridSpan w:val="2"/>
            <w:shd w:val="clear" w:color="auto" w:fill="auto"/>
          </w:tcPr>
          <w:p w14:paraId="343345A6" w14:textId="77777777" w:rsidR="005E04F3" w:rsidRPr="0040247D" w:rsidRDefault="005E04F3" w:rsidP="00CA1457">
            <w:pPr>
              <w:pStyle w:val="KMC16-Tablecontent"/>
              <w:keepNext/>
              <w:keepLines/>
              <w:spacing w:before="0" w:after="0"/>
              <w:jc w:val="center"/>
              <w:rPr>
                <w:b/>
                <w:color w:val="auto"/>
                <w:lang w:val="en-AU"/>
              </w:rPr>
            </w:pPr>
            <w:r w:rsidRPr="0040247D">
              <w:rPr>
                <w:b/>
                <w:color w:val="auto"/>
                <w:lang w:val="en-AU"/>
              </w:rPr>
              <w:t>Lee 2012</w:t>
            </w:r>
          </w:p>
        </w:tc>
        <w:tc>
          <w:tcPr>
            <w:tcW w:w="1276" w:type="dxa"/>
            <w:shd w:val="clear" w:color="auto" w:fill="auto"/>
          </w:tcPr>
          <w:p w14:paraId="2E03B87D" w14:textId="5040221B" w:rsidR="005E04F3" w:rsidRPr="0040247D" w:rsidRDefault="005E04F3" w:rsidP="00CA1457">
            <w:pPr>
              <w:pStyle w:val="KMC16-TableHeading"/>
              <w:keepNext/>
              <w:keepLines/>
              <w:spacing w:before="0" w:after="0"/>
              <w:rPr>
                <w:color w:val="auto"/>
              </w:rPr>
            </w:pPr>
            <w:r w:rsidRPr="0040247D">
              <w:rPr>
                <w:color w:val="auto"/>
              </w:rPr>
              <w:t>Lee 2014</w:t>
            </w:r>
          </w:p>
        </w:tc>
      </w:tr>
      <w:tr w:rsidR="00067771" w:rsidRPr="0040247D" w14:paraId="6C1AEAB7" w14:textId="77777777" w:rsidTr="00AC59E7">
        <w:trPr>
          <w:tblHeader/>
        </w:trPr>
        <w:tc>
          <w:tcPr>
            <w:tcW w:w="2972" w:type="dxa"/>
            <w:shd w:val="clear" w:color="auto" w:fill="auto"/>
          </w:tcPr>
          <w:p w14:paraId="4AE75F26" w14:textId="77777777" w:rsidR="005E04F3" w:rsidRPr="0040247D" w:rsidRDefault="005E04F3" w:rsidP="00552D3C">
            <w:pPr>
              <w:pStyle w:val="KMC16-Tablecontent"/>
              <w:spacing w:before="0" w:after="0"/>
              <w:jc w:val="center"/>
              <w:rPr>
                <w:b/>
                <w:bCs/>
                <w:color w:val="auto"/>
                <w:lang w:val="en-AU"/>
              </w:rPr>
            </w:pPr>
            <w:r w:rsidRPr="0040247D">
              <w:rPr>
                <w:b/>
                <w:bCs/>
                <w:color w:val="auto"/>
                <w:lang w:val="en-AU"/>
              </w:rPr>
              <w:t>AE</w:t>
            </w:r>
          </w:p>
          <w:p w14:paraId="293A18D6" w14:textId="77777777" w:rsidR="005E04F3" w:rsidRPr="0040247D" w:rsidRDefault="005E04F3" w:rsidP="00552D3C">
            <w:pPr>
              <w:pStyle w:val="KMC16-Tablecontent"/>
              <w:spacing w:before="0" w:after="0"/>
              <w:jc w:val="center"/>
              <w:rPr>
                <w:b/>
                <w:bCs/>
                <w:color w:val="auto"/>
                <w:lang w:val="en-AU"/>
              </w:rPr>
            </w:pPr>
            <w:r w:rsidRPr="0040247D">
              <w:rPr>
                <w:b/>
                <w:bCs/>
                <w:color w:val="auto"/>
                <w:lang w:val="en-AU"/>
              </w:rPr>
              <w:t>n (%) of patients</w:t>
            </w:r>
          </w:p>
        </w:tc>
        <w:tc>
          <w:tcPr>
            <w:tcW w:w="1134" w:type="dxa"/>
            <w:shd w:val="clear" w:color="auto" w:fill="auto"/>
          </w:tcPr>
          <w:p w14:paraId="34D79007" w14:textId="77777777" w:rsidR="005E04F3" w:rsidRPr="0040247D" w:rsidRDefault="005E04F3" w:rsidP="00552D3C">
            <w:pPr>
              <w:pStyle w:val="KMC16-Tablecontent"/>
              <w:spacing w:before="0" w:after="0"/>
              <w:jc w:val="center"/>
              <w:rPr>
                <w:b/>
                <w:color w:val="auto"/>
                <w:lang w:val="en-AU"/>
              </w:rPr>
            </w:pPr>
            <w:proofErr w:type="spellStart"/>
            <w:r w:rsidRPr="0040247D">
              <w:rPr>
                <w:b/>
                <w:color w:val="auto"/>
                <w:lang w:val="en-AU"/>
              </w:rPr>
              <w:t>Eligard</w:t>
            </w:r>
            <w:proofErr w:type="spellEnd"/>
            <w:r w:rsidRPr="0040247D">
              <w:rPr>
                <w:b/>
                <w:color w:val="auto"/>
                <w:lang w:val="en-AU"/>
              </w:rPr>
              <w:t xml:space="preserve"> 6 month (N=64)</w:t>
            </w:r>
          </w:p>
        </w:tc>
        <w:tc>
          <w:tcPr>
            <w:tcW w:w="1134" w:type="dxa"/>
            <w:shd w:val="clear" w:color="auto" w:fill="auto"/>
          </w:tcPr>
          <w:p w14:paraId="4CBD1E8E" w14:textId="77777777" w:rsidR="005E04F3" w:rsidRPr="0040247D" w:rsidRDefault="005E04F3" w:rsidP="00552D3C">
            <w:pPr>
              <w:pStyle w:val="KMC16-Tablecontent"/>
              <w:spacing w:before="0" w:after="0"/>
              <w:jc w:val="center"/>
              <w:rPr>
                <w:b/>
                <w:color w:val="auto"/>
                <w:lang w:val="en-AU"/>
              </w:rPr>
            </w:pPr>
            <w:proofErr w:type="spellStart"/>
            <w:r w:rsidRPr="0040247D">
              <w:rPr>
                <w:b/>
                <w:color w:val="auto"/>
                <w:lang w:val="en-AU"/>
              </w:rPr>
              <w:t>Diphereline</w:t>
            </w:r>
            <w:proofErr w:type="spellEnd"/>
            <w:r w:rsidRPr="0040247D">
              <w:rPr>
                <w:b/>
                <w:color w:val="auto"/>
                <w:lang w:val="en-AU"/>
              </w:rPr>
              <w:t xml:space="preserve"> 22.5 mg</w:t>
            </w:r>
            <w:r w:rsidRPr="0040247D" w:rsidDel="00CE2C66">
              <w:rPr>
                <w:color w:val="auto"/>
                <w:lang w:val="en-AU"/>
              </w:rPr>
              <w:t xml:space="preserve"> </w:t>
            </w:r>
            <w:r w:rsidRPr="0040247D">
              <w:rPr>
                <w:b/>
                <w:bCs/>
                <w:color w:val="auto"/>
                <w:lang w:val="en-AU"/>
              </w:rPr>
              <w:t>(N=44)</w:t>
            </w:r>
          </w:p>
        </w:tc>
        <w:tc>
          <w:tcPr>
            <w:tcW w:w="1134" w:type="dxa"/>
            <w:shd w:val="clear" w:color="auto" w:fill="auto"/>
          </w:tcPr>
          <w:p w14:paraId="0E4A0867" w14:textId="0AB4E946" w:rsidR="005E04F3" w:rsidRPr="0040247D" w:rsidRDefault="002B4FCF" w:rsidP="00552D3C">
            <w:pPr>
              <w:pStyle w:val="KMC16-Tablecontent"/>
              <w:spacing w:before="0" w:after="0"/>
              <w:jc w:val="center"/>
              <w:rPr>
                <w:b/>
                <w:color w:val="auto"/>
                <w:lang w:val="en-AU"/>
              </w:rPr>
            </w:pPr>
            <w:proofErr w:type="spellStart"/>
            <w:r w:rsidRPr="0040247D">
              <w:rPr>
                <w:b/>
                <w:color w:val="auto"/>
                <w:lang w:val="en-AU"/>
              </w:rPr>
              <w:t>Lucrin</w:t>
            </w:r>
            <w:proofErr w:type="spellEnd"/>
            <w:r w:rsidRPr="0040247D">
              <w:rPr>
                <w:b/>
                <w:color w:val="auto"/>
                <w:lang w:val="en-AU"/>
              </w:rPr>
              <w:t xml:space="preserve"> Paediatric</w:t>
            </w:r>
          </w:p>
          <w:p w14:paraId="49311097" w14:textId="77777777" w:rsidR="005E04F3" w:rsidRPr="0040247D" w:rsidRDefault="005E04F3" w:rsidP="00552D3C">
            <w:pPr>
              <w:pStyle w:val="KMC16-Tablecontent"/>
              <w:spacing w:before="0" w:after="0"/>
              <w:jc w:val="center"/>
              <w:rPr>
                <w:b/>
                <w:color w:val="auto"/>
                <w:lang w:val="en-AU"/>
              </w:rPr>
            </w:pPr>
            <w:r w:rsidRPr="0040247D">
              <w:rPr>
                <w:b/>
                <w:color w:val="auto"/>
                <w:lang w:val="en-AU"/>
              </w:rPr>
              <w:t>Treatment Naïve</w:t>
            </w:r>
          </w:p>
          <w:p w14:paraId="7A563B08" w14:textId="77777777" w:rsidR="005E04F3" w:rsidRPr="0040247D" w:rsidRDefault="005E04F3" w:rsidP="00552D3C">
            <w:pPr>
              <w:pStyle w:val="KMC16-Tablecontent"/>
              <w:spacing w:before="0" w:after="0"/>
              <w:jc w:val="center"/>
              <w:rPr>
                <w:b/>
                <w:bCs/>
                <w:color w:val="auto"/>
                <w:lang w:val="en-AU"/>
              </w:rPr>
            </w:pPr>
            <w:r w:rsidRPr="0040247D">
              <w:rPr>
                <w:b/>
                <w:color w:val="auto"/>
                <w:lang w:val="en-AU"/>
              </w:rPr>
              <w:t>(N=21)</w:t>
            </w:r>
          </w:p>
        </w:tc>
        <w:tc>
          <w:tcPr>
            <w:tcW w:w="1134" w:type="dxa"/>
            <w:shd w:val="clear" w:color="auto" w:fill="auto"/>
          </w:tcPr>
          <w:p w14:paraId="59239B5D" w14:textId="311CCA5A" w:rsidR="005E04F3" w:rsidRPr="0040247D" w:rsidRDefault="002B4FCF" w:rsidP="00552D3C">
            <w:pPr>
              <w:pStyle w:val="KMC16-Tablecontent"/>
              <w:spacing w:before="0" w:after="0"/>
              <w:jc w:val="center"/>
              <w:rPr>
                <w:b/>
                <w:color w:val="auto"/>
                <w:lang w:val="en-AU"/>
              </w:rPr>
            </w:pPr>
            <w:proofErr w:type="spellStart"/>
            <w:r w:rsidRPr="0040247D">
              <w:rPr>
                <w:b/>
                <w:color w:val="auto"/>
                <w:lang w:val="en-AU"/>
              </w:rPr>
              <w:t>Lucrin</w:t>
            </w:r>
            <w:proofErr w:type="spellEnd"/>
            <w:r w:rsidRPr="0040247D">
              <w:rPr>
                <w:b/>
                <w:color w:val="auto"/>
                <w:lang w:val="en-AU"/>
              </w:rPr>
              <w:t xml:space="preserve"> Paediatric</w:t>
            </w:r>
          </w:p>
          <w:p w14:paraId="460C298F" w14:textId="77777777" w:rsidR="005E04F3" w:rsidRPr="0040247D" w:rsidRDefault="005E04F3" w:rsidP="00552D3C">
            <w:pPr>
              <w:pStyle w:val="KMC16-Tablecontent"/>
              <w:spacing w:before="0" w:after="0"/>
              <w:jc w:val="center"/>
              <w:rPr>
                <w:b/>
                <w:color w:val="auto"/>
                <w:lang w:val="en-AU"/>
              </w:rPr>
            </w:pPr>
            <w:r w:rsidRPr="0040247D">
              <w:rPr>
                <w:b/>
                <w:color w:val="auto"/>
                <w:lang w:val="en-AU"/>
              </w:rPr>
              <w:t>Previously Treated</w:t>
            </w:r>
          </w:p>
          <w:p w14:paraId="5BA32691" w14:textId="77777777" w:rsidR="005E04F3" w:rsidRPr="0040247D" w:rsidRDefault="005E04F3" w:rsidP="00552D3C">
            <w:pPr>
              <w:pStyle w:val="KMC16-Tablecontent"/>
              <w:spacing w:before="0" w:after="0"/>
              <w:jc w:val="center"/>
              <w:rPr>
                <w:b/>
                <w:bCs/>
                <w:color w:val="auto"/>
                <w:lang w:val="en-AU"/>
              </w:rPr>
            </w:pPr>
            <w:r w:rsidRPr="0040247D">
              <w:rPr>
                <w:b/>
                <w:bCs/>
                <w:color w:val="auto"/>
                <w:lang w:val="en-AU"/>
              </w:rPr>
              <w:t>(N=21)</w:t>
            </w:r>
          </w:p>
        </w:tc>
        <w:tc>
          <w:tcPr>
            <w:tcW w:w="1276" w:type="dxa"/>
            <w:shd w:val="clear" w:color="auto" w:fill="auto"/>
          </w:tcPr>
          <w:p w14:paraId="1D0B7DCB" w14:textId="388BBC6E" w:rsidR="005E04F3" w:rsidRPr="0040247D" w:rsidRDefault="002B4FCF" w:rsidP="00552D3C">
            <w:pPr>
              <w:pStyle w:val="KMC16-Tablecontent"/>
              <w:spacing w:before="0" w:after="0"/>
              <w:jc w:val="center"/>
              <w:rPr>
                <w:b/>
                <w:color w:val="auto"/>
                <w:lang w:val="en-AU"/>
              </w:rPr>
            </w:pPr>
            <w:proofErr w:type="spellStart"/>
            <w:r w:rsidRPr="0040247D">
              <w:rPr>
                <w:b/>
                <w:color w:val="auto"/>
                <w:lang w:val="en-AU"/>
              </w:rPr>
              <w:t>Lucrin</w:t>
            </w:r>
            <w:proofErr w:type="spellEnd"/>
            <w:r w:rsidRPr="0040247D">
              <w:rPr>
                <w:b/>
                <w:color w:val="auto"/>
                <w:lang w:val="en-AU"/>
              </w:rPr>
              <w:t xml:space="preserve"> Paediatric</w:t>
            </w:r>
          </w:p>
          <w:p w14:paraId="5CE5848D" w14:textId="77777777" w:rsidR="005E04F3" w:rsidRPr="0040247D" w:rsidRDefault="005E04F3" w:rsidP="00552D3C">
            <w:pPr>
              <w:pStyle w:val="KMC16-TableHeading"/>
              <w:spacing w:before="0" w:after="0"/>
              <w:rPr>
                <w:color w:val="auto"/>
              </w:rPr>
            </w:pPr>
            <w:r w:rsidRPr="0040247D">
              <w:rPr>
                <w:color w:val="auto"/>
              </w:rPr>
              <w:t>(N=38)</w:t>
            </w:r>
          </w:p>
        </w:tc>
      </w:tr>
      <w:tr w:rsidR="00067771" w:rsidRPr="0040247D" w14:paraId="1E5E8C2E" w14:textId="77777777" w:rsidTr="00AC59E7">
        <w:trPr>
          <w:trHeight w:val="269"/>
        </w:trPr>
        <w:tc>
          <w:tcPr>
            <w:tcW w:w="2972" w:type="dxa"/>
            <w:shd w:val="clear" w:color="auto" w:fill="auto"/>
          </w:tcPr>
          <w:p w14:paraId="5FAB51FC" w14:textId="77777777" w:rsidR="005E04F3" w:rsidRPr="00AC59E7" w:rsidRDefault="005E04F3" w:rsidP="00552D3C">
            <w:pPr>
              <w:pStyle w:val="KMC16-Tablecontent"/>
              <w:spacing w:before="0" w:after="0"/>
              <w:rPr>
                <w:color w:val="auto"/>
                <w:lang w:val="en-AU"/>
              </w:rPr>
            </w:pPr>
            <w:r w:rsidRPr="00AC59E7">
              <w:rPr>
                <w:color w:val="auto"/>
                <w:lang w:val="en-AU"/>
              </w:rPr>
              <w:t>Any TEAE</w:t>
            </w:r>
          </w:p>
        </w:tc>
        <w:tc>
          <w:tcPr>
            <w:tcW w:w="1134" w:type="dxa"/>
            <w:shd w:val="clear" w:color="auto" w:fill="auto"/>
          </w:tcPr>
          <w:p w14:paraId="4A7512C7" w14:textId="77777777" w:rsidR="005E04F3" w:rsidRPr="00AC59E7" w:rsidRDefault="005E04F3" w:rsidP="00552D3C">
            <w:pPr>
              <w:pStyle w:val="KMC16-Tablecontent"/>
              <w:spacing w:before="0" w:after="0"/>
              <w:jc w:val="center"/>
              <w:rPr>
                <w:color w:val="auto"/>
                <w:lang w:val="en-AU"/>
              </w:rPr>
            </w:pPr>
            <w:r w:rsidRPr="00AC59E7">
              <w:rPr>
                <w:color w:val="auto"/>
                <w:lang w:val="en-AU"/>
              </w:rPr>
              <w:t>53 (83%)</w:t>
            </w:r>
          </w:p>
        </w:tc>
        <w:tc>
          <w:tcPr>
            <w:tcW w:w="1134" w:type="dxa"/>
            <w:shd w:val="clear" w:color="auto" w:fill="auto"/>
          </w:tcPr>
          <w:p w14:paraId="085E3B28" w14:textId="77777777" w:rsidR="005E04F3" w:rsidRPr="00AC59E7" w:rsidRDefault="005E04F3" w:rsidP="00552D3C">
            <w:pPr>
              <w:pStyle w:val="KMC16-Tablecontent"/>
              <w:spacing w:before="0" w:after="0"/>
              <w:jc w:val="center"/>
              <w:rPr>
                <w:color w:val="auto"/>
                <w:lang w:val="en-AU"/>
              </w:rPr>
            </w:pPr>
            <w:r w:rsidRPr="00AC59E7">
              <w:rPr>
                <w:color w:val="auto"/>
                <w:lang w:val="en-AU"/>
              </w:rPr>
              <w:t>33 (75%)</w:t>
            </w:r>
          </w:p>
        </w:tc>
        <w:tc>
          <w:tcPr>
            <w:tcW w:w="1134" w:type="dxa"/>
            <w:shd w:val="clear" w:color="auto" w:fill="auto"/>
          </w:tcPr>
          <w:p w14:paraId="22101F5C" w14:textId="77777777" w:rsidR="005E04F3" w:rsidRPr="00AC59E7" w:rsidRDefault="005E04F3" w:rsidP="00552D3C">
            <w:pPr>
              <w:pStyle w:val="KMC16-Tablecontent"/>
              <w:spacing w:before="0" w:after="0"/>
              <w:jc w:val="center"/>
              <w:rPr>
                <w:color w:val="auto"/>
                <w:lang w:val="en-AU"/>
              </w:rPr>
            </w:pPr>
            <w:r w:rsidRPr="00AC59E7">
              <w:rPr>
                <w:color w:val="auto"/>
                <w:lang w:val="en-AU"/>
              </w:rPr>
              <w:t>15 (71%)</w:t>
            </w:r>
          </w:p>
        </w:tc>
        <w:tc>
          <w:tcPr>
            <w:tcW w:w="1134" w:type="dxa"/>
            <w:shd w:val="clear" w:color="auto" w:fill="auto"/>
          </w:tcPr>
          <w:p w14:paraId="5F8FDE3E" w14:textId="77777777" w:rsidR="005E04F3" w:rsidRPr="00AC59E7" w:rsidRDefault="005E04F3" w:rsidP="00552D3C">
            <w:pPr>
              <w:pStyle w:val="KMC16-Tablecontent"/>
              <w:spacing w:before="0" w:after="0"/>
              <w:jc w:val="center"/>
              <w:rPr>
                <w:color w:val="auto"/>
                <w:lang w:val="en-AU"/>
              </w:rPr>
            </w:pPr>
            <w:r w:rsidRPr="00AC59E7">
              <w:rPr>
                <w:color w:val="auto"/>
                <w:lang w:val="en-AU"/>
              </w:rPr>
              <w:t>17 (81%)</w:t>
            </w:r>
          </w:p>
        </w:tc>
        <w:tc>
          <w:tcPr>
            <w:tcW w:w="1276" w:type="dxa"/>
            <w:shd w:val="clear" w:color="auto" w:fill="auto"/>
          </w:tcPr>
          <w:p w14:paraId="2D4DD7DA" w14:textId="77777777" w:rsidR="005E04F3" w:rsidRPr="00AC59E7" w:rsidRDefault="005E04F3" w:rsidP="00552D3C">
            <w:pPr>
              <w:pStyle w:val="KMC16-Tablecontent"/>
              <w:spacing w:before="0" w:after="0"/>
              <w:jc w:val="center"/>
              <w:rPr>
                <w:color w:val="auto"/>
                <w:lang w:val="en-AU"/>
              </w:rPr>
            </w:pPr>
            <w:r w:rsidRPr="00AC59E7">
              <w:rPr>
                <w:color w:val="auto"/>
                <w:lang w:val="en-AU"/>
              </w:rPr>
              <w:t>34 (90%)</w:t>
            </w:r>
          </w:p>
        </w:tc>
      </w:tr>
      <w:tr w:rsidR="00067771" w:rsidRPr="0040247D" w14:paraId="50AE2477" w14:textId="77777777" w:rsidTr="00AC59E7">
        <w:trPr>
          <w:trHeight w:val="269"/>
        </w:trPr>
        <w:tc>
          <w:tcPr>
            <w:tcW w:w="2972" w:type="dxa"/>
            <w:shd w:val="clear" w:color="auto" w:fill="auto"/>
          </w:tcPr>
          <w:p w14:paraId="2C348D37" w14:textId="77777777" w:rsidR="005E04F3" w:rsidRPr="00AC59E7" w:rsidRDefault="005E04F3" w:rsidP="00552D3C">
            <w:pPr>
              <w:pStyle w:val="KMC16-Tablecontent"/>
              <w:spacing w:before="0" w:after="0"/>
              <w:rPr>
                <w:color w:val="auto"/>
                <w:lang w:val="en-AU"/>
              </w:rPr>
            </w:pPr>
            <w:r w:rsidRPr="00AC59E7">
              <w:rPr>
                <w:color w:val="auto"/>
                <w:lang w:val="en-AU"/>
              </w:rPr>
              <w:t>Treatment-related AE</w:t>
            </w:r>
          </w:p>
        </w:tc>
        <w:tc>
          <w:tcPr>
            <w:tcW w:w="1134" w:type="dxa"/>
            <w:shd w:val="clear" w:color="auto" w:fill="auto"/>
          </w:tcPr>
          <w:p w14:paraId="771A3BE9" w14:textId="77777777" w:rsidR="005E04F3" w:rsidRPr="00AC59E7" w:rsidRDefault="005E04F3" w:rsidP="00552D3C">
            <w:pPr>
              <w:pStyle w:val="KMC16-Tablecontent"/>
              <w:spacing w:before="0" w:after="0"/>
              <w:jc w:val="center"/>
              <w:rPr>
                <w:color w:val="auto"/>
                <w:lang w:val="en-AU"/>
              </w:rPr>
            </w:pPr>
            <w:r w:rsidRPr="00AC59E7">
              <w:rPr>
                <w:color w:val="auto"/>
                <w:lang w:val="en-AU"/>
              </w:rPr>
              <w:t>22 (34%)</w:t>
            </w:r>
          </w:p>
        </w:tc>
        <w:tc>
          <w:tcPr>
            <w:tcW w:w="1134" w:type="dxa"/>
            <w:shd w:val="clear" w:color="auto" w:fill="auto"/>
          </w:tcPr>
          <w:p w14:paraId="44795E0B" w14:textId="77777777" w:rsidR="005E04F3" w:rsidRPr="00AC59E7" w:rsidRDefault="005E04F3" w:rsidP="00552D3C">
            <w:pPr>
              <w:pStyle w:val="KMC16-Tablecontent"/>
              <w:spacing w:before="0" w:after="0"/>
              <w:jc w:val="center"/>
              <w:rPr>
                <w:color w:val="auto"/>
                <w:lang w:val="en-AU"/>
              </w:rPr>
            </w:pPr>
            <w:r w:rsidRPr="00AC59E7">
              <w:rPr>
                <w:color w:val="auto"/>
                <w:lang w:val="en-AU"/>
              </w:rPr>
              <w:t>4 (9.1%)</w:t>
            </w:r>
          </w:p>
        </w:tc>
        <w:tc>
          <w:tcPr>
            <w:tcW w:w="1134" w:type="dxa"/>
            <w:shd w:val="clear" w:color="auto" w:fill="auto"/>
          </w:tcPr>
          <w:p w14:paraId="7F19A455" w14:textId="77777777" w:rsidR="005E04F3" w:rsidRPr="00AC59E7" w:rsidRDefault="005E04F3" w:rsidP="00552D3C">
            <w:pPr>
              <w:pStyle w:val="KMC16-Tablecontent"/>
              <w:spacing w:before="0" w:after="0"/>
              <w:jc w:val="center"/>
              <w:rPr>
                <w:color w:val="auto"/>
                <w:lang w:val="en-AU"/>
              </w:rPr>
            </w:pPr>
            <w:r w:rsidRPr="00AC59E7">
              <w:rPr>
                <w:color w:val="auto"/>
                <w:lang w:val="en-AU"/>
              </w:rPr>
              <w:t>NA</w:t>
            </w:r>
          </w:p>
        </w:tc>
        <w:tc>
          <w:tcPr>
            <w:tcW w:w="1134" w:type="dxa"/>
            <w:shd w:val="clear" w:color="auto" w:fill="auto"/>
          </w:tcPr>
          <w:p w14:paraId="15C25701" w14:textId="77777777" w:rsidR="005E04F3" w:rsidRPr="00AC59E7" w:rsidRDefault="005E04F3" w:rsidP="00552D3C">
            <w:pPr>
              <w:pStyle w:val="KMC16-Tablecontent"/>
              <w:spacing w:before="0" w:after="0"/>
              <w:jc w:val="center"/>
              <w:rPr>
                <w:color w:val="auto"/>
                <w:lang w:val="en-AU"/>
              </w:rPr>
            </w:pPr>
            <w:r w:rsidRPr="00AC59E7">
              <w:rPr>
                <w:color w:val="auto"/>
                <w:lang w:val="en-AU"/>
              </w:rPr>
              <w:t>NA</w:t>
            </w:r>
          </w:p>
        </w:tc>
        <w:tc>
          <w:tcPr>
            <w:tcW w:w="1276" w:type="dxa"/>
            <w:shd w:val="clear" w:color="auto" w:fill="auto"/>
          </w:tcPr>
          <w:p w14:paraId="5B907A3C" w14:textId="77777777" w:rsidR="005E04F3" w:rsidRPr="00AC59E7" w:rsidRDefault="005E04F3" w:rsidP="00552D3C">
            <w:pPr>
              <w:pStyle w:val="KMC16-Tablecontent"/>
              <w:spacing w:before="0" w:after="0"/>
              <w:jc w:val="center"/>
              <w:rPr>
                <w:color w:val="auto"/>
                <w:lang w:val="en-AU"/>
              </w:rPr>
            </w:pPr>
            <w:r w:rsidRPr="00AC59E7">
              <w:rPr>
                <w:color w:val="auto"/>
                <w:lang w:val="en-AU"/>
              </w:rPr>
              <w:t>8 (21%)</w:t>
            </w:r>
          </w:p>
        </w:tc>
      </w:tr>
      <w:tr w:rsidR="00067771" w:rsidRPr="0040247D" w14:paraId="68594915" w14:textId="77777777" w:rsidTr="00AC59E7">
        <w:trPr>
          <w:trHeight w:val="269"/>
        </w:trPr>
        <w:tc>
          <w:tcPr>
            <w:tcW w:w="2972" w:type="dxa"/>
            <w:shd w:val="clear" w:color="auto" w:fill="auto"/>
          </w:tcPr>
          <w:p w14:paraId="43B9CCCF" w14:textId="77777777" w:rsidR="005E04F3" w:rsidRPr="00AC59E7" w:rsidRDefault="005E04F3" w:rsidP="00552D3C">
            <w:pPr>
              <w:pStyle w:val="KMC16-Tablecontent"/>
              <w:spacing w:before="0" w:after="0"/>
              <w:rPr>
                <w:color w:val="auto"/>
                <w:lang w:val="en-AU"/>
              </w:rPr>
            </w:pPr>
            <w:r w:rsidRPr="00AC59E7">
              <w:rPr>
                <w:color w:val="auto"/>
                <w:lang w:val="en-AU"/>
              </w:rPr>
              <w:t>Blood and lymphatic system disorders</w:t>
            </w:r>
          </w:p>
        </w:tc>
        <w:tc>
          <w:tcPr>
            <w:tcW w:w="1134" w:type="dxa"/>
            <w:shd w:val="clear" w:color="auto" w:fill="auto"/>
          </w:tcPr>
          <w:p w14:paraId="49F30A66" w14:textId="77777777" w:rsidR="005E04F3" w:rsidRPr="00AC59E7" w:rsidRDefault="005E04F3" w:rsidP="00552D3C">
            <w:pPr>
              <w:pStyle w:val="Tabletext"/>
              <w:jc w:val="center"/>
            </w:pPr>
            <w:r w:rsidRPr="00AC59E7">
              <w:t>0 (0%)</w:t>
            </w:r>
          </w:p>
        </w:tc>
        <w:tc>
          <w:tcPr>
            <w:tcW w:w="1134" w:type="dxa"/>
            <w:shd w:val="clear" w:color="auto" w:fill="auto"/>
          </w:tcPr>
          <w:p w14:paraId="0BE2C5CC" w14:textId="77777777" w:rsidR="005E04F3" w:rsidRPr="00AC59E7" w:rsidRDefault="005E04F3" w:rsidP="00552D3C">
            <w:pPr>
              <w:pStyle w:val="Tabletext"/>
              <w:jc w:val="center"/>
            </w:pPr>
            <w:r w:rsidRPr="00AC59E7">
              <w:t>NA</w:t>
            </w:r>
          </w:p>
        </w:tc>
        <w:tc>
          <w:tcPr>
            <w:tcW w:w="1134" w:type="dxa"/>
            <w:shd w:val="clear" w:color="auto" w:fill="auto"/>
          </w:tcPr>
          <w:p w14:paraId="15CAD550" w14:textId="77777777" w:rsidR="005E04F3" w:rsidRPr="00AC59E7" w:rsidRDefault="005E04F3" w:rsidP="00552D3C">
            <w:pPr>
              <w:pStyle w:val="Tabletext"/>
              <w:jc w:val="center"/>
            </w:pPr>
            <w:r w:rsidRPr="00AC59E7">
              <w:t>NA</w:t>
            </w:r>
          </w:p>
        </w:tc>
        <w:tc>
          <w:tcPr>
            <w:tcW w:w="1134" w:type="dxa"/>
            <w:shd w:val="clear" w:color="auto" w:fill="auto"/>
          </w:tcPr>
          <w:p w14:paraId="21662C5D" w14:textId="77777777" w:rsidR="005E04F3" w:rsidRPr="00AC59E7" w:rsidRDefault="005E04F3" w:rsidP="00552D3C">
            <w:pPr>
              <w:pStyle w:val="Tabletext"/>
              <w:jc w:val="center"/>
            </w:pPr>
            <w:r w:rsidRPr="00AC59E7">
              <w:t>≥2 (10%)</w:t>
            </w:r>
          </w:p>
        </w:tc>
        <w:tc>
          <w:tcPr>
            <w:tcW w:w="1276" w:type="dxa"/>
            <w:shd w:val="clear" w:color="auto" w:fill="auto"/>
          </w:tcPr>
          <w:p w14:paraId="67C0BE81" w14:textId="77777777" w:rsidR="005E04F3" w:rsidRPr="00AC59E7" w:rsidRDefault="005E04F3" w:rsidP="00552D3C">
            <w:pPr>
              <w:pStyle w:val="Tabletext"/>
              <w:jc w:val="center"/>
            </w:pPr>
            <w:r w:rsidRPr="00AC59E7">
              <w:t>NA</w:t>
            </w:r>
          </w:p>
        </w:tc>
      </w:tr>
      <w:tr w:rsidR="00067771" w:rsidRPr="0040247D" w14:paraId="7D4DBD9D" w14:textId="77777777" w:rsidTr="00AC59E7">
        <w:trPr>
          <w:trHeight w:val="269"/>
        </w:trPr>
        <w:tc>
          <w:tcPr>
            <w:tcW w:w="2972" w:type="dxa"/>
            <w:shd w:val="clear" w:color="auto" w:fill="auto"/>
          </w:tcPr>
          <w:p w14:paraId="573702A8" w14:textId="77777777" w:rsidR="005E04F3" w:rsidRPr="00AC59E7" w:rsidRDefault="005E04F3" w:rsidP="00552D3C">
            <w:pPr>
              <w:pStyle w:val="KMC16-Tablecontent"/>
              <w:spacing w:before="0" w:after="0"/>
              <w:rPr>
                <w:color w:val="auto"/>
                <w:lang w:val="en-AU"/>
              </w:rPr>
            </w:pPr>
            <w:r w:rsidRPr="00AC59E7">
              <w:rPr>
                <w:color w:val="auto"/>
                <w:lang w:val="en-AU"/>
              </w:rPr>
              <w:t>Ear and labyrinth disorders</w:t>
            </w:r>
          </w:p>
        </w:tc>
        <w:tc>
          <w:tcPr>
            <w:tcW w:w="1134" w:type="dxa"/>
            <w:shd w:val="clear" w:color="auto" w:fill="auto"/>
          </w:tcPr>
          <w:p w14:paraId="746DBCE5" w14:textId="77777777" w:rsidR="005E04F3" w:rsidRPr="00AC59E7" w:rsidRDefault="005E04F3" w:rsidP="00552D3C">
            <w:pPr>
              <w:pStyle w:val="Tabletext"/>
              <w:jc w:val="center"/>
            </w:pPr>
            <w:r w:rsidRPr="00AC59E7">
              <w:t>0 (0%)</w:t>
            </w:r>
          </w:p>
        </w:tc>
        <w:tc>
          <w:tcPr>
            <w:tcW w:w="1134" w:type="dxa"/>
            <w:shd w:val="clear" w:color="auto" w:fill="auto"/>
          </w:tcPr>
          <w:p w14:paraId="30F4A38A" w14:textId="77777777" w:rsidR="005E04F3" w:rsidRPr="00AC59E7" w:rsidRDefault="005E04F3" w:rsidP="00552D3C">
            <w:pPr>
              <w:pStyle w:val="Tabletext"/>
              <w:jc w:val="center"/>
            </w:pPr>
            <w:r w:rsidRPr="00AC59E7">
              <w:t>NA</w:t>
            </w:r>
          </w:p>
        </w:tc>
        <w:tc>
          <w:tcPr>
            <w:tcW w:w="1134" w:type="dxa"/>
            <w:shd w:val="clear" w:color="auto" w:fill="auto"/>
          </w:tcPr>
          <w:p w14:paraId="3432B2D6" w14:textId="77777777" w:rsidR="005E04F3" w:rsidRPr="00AC59E7" w:rsidRDefault="005E04F3" w:rsidP="00552D3C">
            <w:pPr>
              <w:pStyle w:val="Tabletext"/>
              <w:jc w:val="center"/>
            </w:pPr>
            <w:r w:rsidRPr="00AC59E7">
              <w:t>NA</w:t>
            </w:r>
          </w:p>
        </w:tc>
        <w:tc>
          <w:tcPr>
            <w:tcW w:w="1134" w:type="dxa"/>
            <w:shd w:val="clear" w:color="auto" w:fill="auto"/>
          </w:tcPr>
          <w:p w14:paraId="18037D15" w14:textId="77777777" w:rsidR="005E04F3" w:rsidRPr="00AC59E7" w:rsidRDefault="005E04F3" w:rsidP="00552D3C">
            <w:pPr>
              <w:pStyle w:val="Tabletext"/>
              <w:jc w:val="center"/>
            </w:pPr>
            <w:r w:rsidRPr="00AC59E7">
              <w:t>≥2 (10%)</w:t>
            </w:r>
          </w:p>
        </w:tc>
        <w:tc>
          <w:tcPr>
            <w:tcW w:w="1276" w:type="dxa"/>
            <w:shd w:val="clear" w:color="auto" w:fill="auto"/>
          </w:tcPr>
          <w:p w14:paraId="58E25117" w14:textId="77777777" w:rsidR="005E04F3" w:rsidRPr="00AC59E7" w:rsidRDefault="005E04F3" w:rsidP="00552D3C">
            <w:pPr>
              <w:pStyle w:val="Tabletext"/>
              <w:jc w:val="center"/>
            </w:pPr>
            <w:r w:rsidRPr="00AC59E7">
              <w:t>2 (5%)</w:t>
            </w:r>
          </w:p>
        </w:tc>
      </w:tr>
      <w:tr w:rsidR="00067771" w:rsidRPr="0040247D" w14:paraId="07077090" w14:textId="77777777" w:rsidTr="00AC59E7">
        <w:trPr>
          <w:trHeight w:val="269"/>
        </w:trPr>
        <w:tc>
          <w:tcPr>
            <w:tcW w:w="2972" w:type="dxa"/>
            <w:shd w:val="clear" w:color="auto" w:fill="auto"/>
          </w:tcPr>
          <w:p w14:paraId="590E2319" w14:textId="77777777" w:rsidR="005E04F3" w:rsidRPr="00AC59E7" w:rsidRDefault="005E04F3" w:rsidP="00552D3C">
            <w:pPr>
              <w:pStyle w:val="KMC16-Tablecontent"/>
              <w:spacing w:before="0" w:after="0"/>
              <w:rPr>
                <w:color w:val="auto"/>
                <w:lang w:val="en-AU"/>
              </w:rPr>
            </w:pPr>
            <w:r w:rsidRPr="00AC59E7">
              <w:rPr>
                <w:color w:val="auto"/>
                <w:lang w:val="en-AU"/>
              </w:rPr>
              <w:t>Endocrine disorders</w:t>
            </w:r>
          </w:p>
        </w:tc>
        <w:tc>
          <w:tcPr>
            <w:tcW w:w="1134" w:type="dxa"/>
            <w:shd w:val="clear" w:color="auto" w:fill="auto"/>
          </w:tcPr>
          <w:p w14:paraId="0E655612" w14:textId="77777777" w:rsidR="005E04F3" w:rsidRPr="00AC59E7" w:rsidRDefault="005E04F3" w:rsidP="00552D3C">
            <w:pPr>
              <w:pStyle w:val="Tabletext"/>
              <w:jc w:val="center"/>
            </w:pPr>
            <w:r w:rsidRPr="00AC59E7">
              <w:t>1 (2%)</w:t>
            </w:r>
          </w:p>
        </w:tc>
        <w:tc>
          <w:tcPr>
            <w:tcW w:w="1134" w:type="dxa"/>
            <w:shd w:val="clear" w:color="auto" w:fill="auto"/>
          </w:tcPr>
          <w:p w14:paraId="60A397CD" w14:textId="77777777" w:rsidR="005E04F3" w:rsidRPr="00AC59E7" w:rsidRDefault="005E04F3" w:rsidP="00552D3C">
            <w:pPr>
              <w:pStyle w:val="Tabletext"/>
              <w:jc w:val="center"/>
            </w:pPr>
            <w:r w:rsidRPr="00AC59E7">
              <w:t>NA</w:t>
            </w:r>
          </w:p>
        </w:tc>
        <w:tc>
          <w:tcPr>
            <w:tcW w:w="1134" w:type="dxa"/>
            <w:shd w:val="clear" w:color="auto" w:fill="auto"/>
          </w:tcPr>
          <w:p w14:paraId="7F037434" w14:textId="77777777" w:rsidR="005E04F3" w:rsidRPr="00AC59E7" w:rsidRDefault="005E04F3" w:rsidP="00552D3C">
            <w:pPr>
              <w:pStyle w:val="Tabletext"/>
              <w:jc w:val="center"/>
            </w:pPr>
            <w:r w:rsidRPr="00AC59E7">
              <w:t>2 (10%)</w:t>
            </w:r>
          </w:p>
        </w:tc>
        <w:tc>
          <w:tcPr>
            <w:tcW w:w="1134" w:type="dxa"/>
            <w:shd w:val="clear" w:color="auto" w:fill="auto"/>
          </w:tcPr>
          <w:p w14:paraId="428DDBD6" w14:textId="77777777" w:rsidR="005E04F3" w:rsidRPr="00AC59E7" w:rsidRDefault="005E04F3" w:rsidP="00552D3C">
            <w:pPr>
              <w:pStyle w:val="Tabletext"/>
              <w:jc w:val="center"/>
            </w:pPr>
            <w:r w:rsidRPr="00AC59E7">
              <w:t>NR</w:t>
            </w:r>
          </w:p>
        </w:tc>
        <w:tc>
          <w:tcPr>
            <w:tcW w:w="1276" w:type="dxa"/>
            <w:shd w:val="clear" w:color="auto" w:fill="auto"/>
          </w:tcPr>
          <w:p w14:paraId="57377EC7" w14:textId="77777777" w:rsidR="005E04F3" w:rsidRPr="00AC59E7" w:rsidRDefault="005E04F3" w:rsidP="00552D3C">
            <w:pPr>
              <w:pStyle w:val="Tabletext"/>
              <w:jc w:val="center"/>
            </w:pPr>
            <w:r w:rsidRPr="00AC59E7">
              <w:t>NR</w:t>
            </w:r>
          </w:p>
        </w:tc>
      </w:tr>
      <w:tr w:rsidR="00067771" w:rsidRPr="0040247D" w14:paraId="69E1D64B" w14:textId="77777777" w:rsidTr="00AC59E7">
        <w:trPr>
          <w:trHeight w:val="269"/>
        </w:trPr>
        <w:tc>
          <w:tcPr>
            <w:tcW w:w="2972" w:type="dxa"/>
            <w:shd w:val="clear" w:color="auto" w:fill="auto"/>
          </w:tcPr>
          <w:p w14:paraId="6E39620D" w14:textId="77777777" w:rsidR="005E04F3" w:rsidRPr="00AC59E7" w:rsidRDefault="005E04F3" w:rsidP="00552D3C">
            <w:pPr>
              <w:pStyle w:val="KMC16-Tablecontent"/>
              <w:spacing w:before="0" w:after="0"/>
              <w:rPr>
                <w:color w:val="auto"/>
                <w:lang w:val="en-AU"/>
              </w:rPr>
            </w:pPr>
            <w:r w:rsidRPr="00AC59E7">
              <w:rPr>
                <w:color w:val="auto"/>
                <w:lang w:val="en-AU"/>
              </w:rPr>
              <w:t>Gastrointestinal disorders</w:t>
            </w:r>
          </w:p>
        </w:tc>
        <w:tc>
          <w:tcPr>
            <w:tcW w:w="1134" w:type="dxa"/>
            <w:shd w:val="clear" w:color="auto" w:fill="auto"/>
          </w:tcPr>
          <w:p w14:paraId="2A73794C" w14:textId="77777777" w:rsidR="005E04F3" w:rsidRPr="00AC59E7" w:rsidRDefault="005E04F3" w:rsidP="00552D3C">
            <w:pPr>
              <w:pStyle w:val="Tabletext"/>
              <w:jc w:val="center"/>
            </w:pPr>
            <w:r w:rsidRPr="00AC59E7">
              <w:t>21 (33%)</w:t>
            </w:r>
          </w:p>
        </w:tc>
        <w:tc>
          <w:tcPr>
            <w:tcW w:w="1134" w:type="dxa"/>
            <w:shd w:val="clear" w:color="auto" w:fill="auto"/>
          </w:tcPr>
          <w:p w14:paraId="2B0113BB" w14:textId="77777777" w:rsidR="005E04F3" w:rsidRPr="00AC59E7" w:rsidRDefault="005E04F3" w:rsidP="00552D3C">
            <w:pPr>
              <w:pStyle w:val="Tabletext"/>
              <w:jc w:val="center"/>
            </w:pPr>
            <w:r w:rsidRPr="00AC59E7">
              <w:t>5 (11%)</w:t>
            </w:r>
          </w:p>
        </w:tc>
        <w:tc>
          <w:tcPr>
            <w:tcW w:w="1134" w:type="dxa"/>
            <w:shd w:val="clear" w:color="auto" w:fill="auto"/>
          </w:tcPr>
          <w:p w14:paraId="635EAC79" w14:textId="77777777" w:rsidR="005E04F3" w:rsidRPr="00AC59E7" w:rsidRDefault="005E04F3" w:rsidP="00552D3C">
            <w:pPr>
              <w:pStyle w:val="Tabletext"/>
              <w:jc w:val="center"/>
            </w:pPr>
            <w:r w:rsidRPr="00AC59E7">
              <w:t>4 (19%)</w:t>
            </w:r>
          </w:p>
        </w:tc>
        <w:tc>
          <w:tcPr>
            <w:tcW w:w="1134" w:type="dxa"/>
            <w:shd w:val="clear" w:color="auto" w:fill="auto"/>
          </w:tcPr>
          <w:p w14:paraId="420B78FF" w14:textId="77777777" w:rsidR="005E04F3" w:rsidRPr="00AC59E7" w:rsidRDefault="005E04F3" w:rsidP="00552D3C">
            <w:pPr>
              <w:pStyle w:val="Tabletext"/>
              <w:jc w:val="center"/>
            </w:pPr>
            <w:r w:rsidRPr="00AC59E7">
              <w:t>1 (5%)</w:t>
            </w:r>
          </w:p>
        </w:tc>
        <w:tc>
          <w:tcPr>
            <w:tcW w:w="1276" w:type="dxa"/>
            <w:shd w:val="clear" w:color="auto" w:fill="auto"/>
          </w:tcPr>
          <w:p w14:paraId="4D2D9CB6" w14:textId="77777777" w:rsidR="005E04F3" w:rsidRPr="00AC59E7" w:rsidRDefault="005E04F3" w:rsidP="00552D3C">
            <w:pPr>
              <w:pStyle w:val="KMC16-Tablecontent"/>
              <w:spacing w:before="0" w:after="0"/>
              <w:jc w:val="center"/>
              <w:rPr>
                <w:color w:val="auto"/>
                <w:lang w:val="en-AU"/>
              </w:rPr>
            </w:pPr>
            <w:r w:rsidRPr="00AC59E7">
              <w:rPr>
                <w:color w:val="auto"/>
                <w:lang w:val="en-AU"/>
              </w:rPr>
              <w:t>14 (37%)</w:t>
            </w:r>
          </w:p>
        </w:tc>
      </w:tr>
      <w:tr w:rsidR="00067771" w:rsidRPr="0040247D" w14:paraId="69ED2443" w14:textId="77777777" w:rsidTr="00AC59E7">
        <w:trPr>
          <w:trHeight w:val="269"/>
        </w:trPr>
        <w:tc>
          <w:tcPr>
            <w:tcW w:w="2972" w:type="dxa"/>
            <w:shd w:val="clear" w:color="auto" w:fill="auto"/>
          </w:tcPr>
          <w:p w14:paraId="54B9F28D" w14:textId="77777777" w:rsidR="005E04F3" w:rsidRPr="00AC59E7" w:rsidRDefault="005E04F3" w:rsidP="00552D3C">
            <w:pPr>
              <w:pStyle w:val="KMC16-Tablecontent"/>
              <w:spacing w:before="0" w:after="0"/>
              <w:rPr>
                <w:bCs/>
                <w:color w:val="auto"/>
                <w:lang w:val="en-AU"/>
              </w:rPr>
            </w:pPr>
            <w:r w:rsidRPr="00AC59E7">
              <w:rPr>
                <w:bCs/>
                <w:color w:val="auto"/>
                <w:lang w:val="en-AU"/>
              </w:rPr>
              <w:t>Infections and infestations</w:t>
            </w:r>
          </w:p>
        </w:tc>
        <w:tc>
          <w:tcPr>
            <w:tcW w:w="1134" w:type="dxa"/>
            <w:shd w:val="clear" w:color="auto" w:fill="auto"/>
          </w:tcPr>
          <w:p w14:paraId="7C9AF8D7" w14:textId="77777777" w:rsidR="005E04F3" w:rsidRPr="00AC59E7" w:rsidRDefault="005E04F3" w:rsidP="00552D3C">
            <w:pPr>
              <w:pStyle w:val="Tabletext"/>
              <w:jc w:val="center"/>
              <w:rPr>
                <w:bCs/>
              </w:rPr>
            </w:pPr>
            <w:r w:rsidRPr="00AC59E7">
              <w:rPr>
                <w:bCs/>
              </w:rPr>
              <w:t>32 (50%)</w:t>
            </w:r>
          </w:p>
        </w:tc>
        <w:tc>
          <w:tcPr>
            <w:tcW w:w="1134" w:type="dxa"/>
            <w:shd w:val="clear" w:color="auto" w:fill="auto"/>
          </w:tcPr>
          <w:p w14:paraId="60494657" w14:textId="77777777" w:rsidR="005E04F3" w:rsidRPr="00AC59E7" w:rsidRDefault="005E04F3" w:rsidP="00552D3C">
            <w:pPr>
              <w:pStyle w:val="Tabletext"/>
              <w:jc w:val="center"/>
              <w:rPr>
                <w:bCs/>
              </w:rPr>
            </w:pPr>
            <w:r w:rsidRPr="00AC59E7">
              <w:rPr>
                <w:bCs/>
              </w:rPr>
              <w:t>21 (48%)</w:t>
            </w:r>
          </w:p>
        </w:tc>
        <w:tc>
          <w:tcPr>
            <w:tcW w:w="1134" w:type="dxa"/>
            <w:shd w:val="clear" w:color="auto" w:fill="auto"/>
          </w:tcPr>
          <w:p w14:paraId="761C69B8" w14:textId="77777777" w:rsidR="005E04F3" w:rsidRPr="00AC59E7" w:rsidRDefault="005E04F3" w:rsidP="00552D3C">
            <w:pPr>
              <w:pStyle w:val="Tabletext"/>
              <w:jc w:val="center"/>
              <w:rPr>
                <w:bCs/>
              </w:rPr>
            </w:pPr>
            <w:r w:rsidRPr="00AC59E7">
              <w:rPr>
                <w:bCs/>
              </w:rPr>
              <w:t>5 (24%)</w:t>
            </w:r>
          </w:p>
        </w:tc>
        <w:tc>
          <w:tcPr>
            <w:tcW w:w="1134" w:type="dxa"/>
            <w:shd w:val="clear" w:color="auto" w:fill="auto"/>
          </w:tcPr>
          <w:p w14:paraId="3B10AA2F" w14:textId="77777777" w:rsidR="005E04F3" w:rsidRPr="00AC59E7" w:rsidRDefault="005E04F3" w:rsidP="00552D3C">
            <w:pPr>
              <w:pStyle w:val="Tabletext"/>
              <w:jc w:val="center"/>
              <w:rPr>
                <w:bCs/>
              </w:rPr>
            </w:pPr>
            <w:r w:rsidRPr="00AC59E7">
              <w:rPr>
                <w:bCs/>
              </w:rPr>
              <w:t>3 (14%)</w:t>
            </w:r>
          </w:p>
        </w:tc>
        <w:tc>
          <w:tcPr>
            <w:tcW w:w="1276" w:type="dxa"/>
            <w:shd w:val="clear" w:color="auto" w:fill="auto"/>
          </w:tcPr>
          <w:p w14:paraId="095DAE1C" w14:textId="77777777" w:rsidR="005E04F3" w:rsidRPr="00AC59E7" w:rsidRDefault="005E04F3" w:rsidP="00552D3C">
            <w:pPr>
              <w:pStyle w:val="KMC16-Tablecontent"/>
              <w:spacing w:before="0" w:after="0"/>
              <w:jc w:val="center"/>
              <w:rPr>
                <w:bCs/>
                <w:color w:val="auto"/>
                <w:lang w:val="en-AU"/>
              </w:rPr>
            </w:pPr>
            <w:r w:rsidRPr="00AC59E7">
              <w:rPr>
                <w:bCs/>
                <w:color w:val="auto"/>
                <w:lang w:val="en-AU"/>
              </w:rPr>
              <w:t>18 (53%)</w:t>
            </w:r>
          </w:p>
        </w:tc>
      </w:tr>
      <w:tr w:rsidR="00067771" w:rsidRPr="0040247D" w14:paraId="613C98CC" w14:textId="77777777" w:rsidTr="00AC59E7">
        <w:trPr>
          <w:trHeight w:val="269"/>
        </w:trPr>
        <w:tc>
          <w:tcPr>
            <w:tcW w:w="2972" w:type="dxa"/>
            <w:shd w:val="clear" w:color="auto" w:fill="auto"/>
          </w:tcPr>
          <w:p w14:paraId="67D47CB7" w14:textId="77777777" w:rsidR="005E04F3" w:rsidRPr="00AC59E7" w:rsidRDefault="005E04F3" w:rsidP="00552D3C">
            <w:pPr>
              <w:pStyle w:val="KMC16-Tablecontent"/>
              <w:spacing w:before="0" w:after="0"/>
              <w:rPr>
                <w:bCs/>
                <w:color w:val="auto"/>
                <w:lang w:val="en-AU"/>
              </w:rPr>
            </w:pPr>
            <w:r w:rsidRPr="00AC59E7">
              <w:rPr>
                <w:bCs/>
                <w:color w:val="auto"/>
                <w:lang w:val="en-AU"/>
              </w:rPr>
              <w:t>Injury, poisoning and procedural complications</w:t>
            </w:r>
          </w:p>
        </w:tc>
        <w:tc>
          <w:tcPr>
            <w:tcW w:w="1134" w:type="dxa"/>
            <w:shd w:val="clear" w:color="auto" w:fill="auto"/>
          </w:tcPr>
          <w:p w14:paraId="5DC179A8" w14:textId="77777777" w:rsidR="005E04F3" w:rsidRPr="00AC59E7" w:rsidRDefault="005E04F3" w:rsidP="00552D3C">
            <w:pPr>
              <w:pStyle w:val="Tabletext"/>
              <w:jc w:val="center"/>
              <w:rPr>
                <w:bCs/>
              </w:rPr>
            </w:pPr>
            <w:r w:rsidRPr="00AC59E7">
              <w:rPr>
                <w:bCs/>
              </w:rPr>
              <w:t>11 (17%)*</w:t>
            </w:r>
          </w:p>
        </w:tc>
        <w:tc>
          <w:tcPr>
            <w:tcW w:w="1134" w:type="dxa"/>
            <w:shd w:val="clear" w:color="auto" w:fill="auto"/>
          </w:tcPr>
          <w:p w14:paraId="62650190" w14:textId="77777777" w:rsidR="005E04F3" w:rsidRPr="00AC59E7" w:rsidRDefault="005E04F3" w:rsidP="00552D3C">
            <w:pPr>
              <w:pStyle w:val="Tabletext"/>
              <w:jc w:val="center"/>
              <w:rPr>
                <w:bCs/>
              </w:rPr>
            </w:pPr>
            <w:r w:rsidRPr="00AC59E7">
              <w:rPr>
                <w:bCs/>
              </w:rPr>
              <w:t>NR</w:t>
            </w:r>
          </w:p>
        </w:tc>
        <w:tc>
          <w:tcPr>
            <w:tcW w:w="1134" w:type="dxa"/>
            <w:shd w:val="clear" w:color="auto" w:fill="auto"/>
          </w:tcPr>
          <w:p w14:paraId="57F9E1DB" w14:textId="77777777" w:rsidR="005E04F3" w:rsidRPr="00AC59E7" w:rsidRDefault="005E04F3" w:rsidP="00552D3C">
            <w:pPr>
              <w:pStyle w:val="Tabletext"/>
              <w:jc w:val="center"/>
              <w:rPr>
                <w:bCs/>
              </w:rPr>
            </w:pPr>
            <w:r w:rsidRPr="00AC59E7">
              <w:rPr>
                <w:bCs/>
              </w:rPr>
              <w:t>NA</w:t>
            </w:r>
          </w:p>
        </w:tc>
        <w:tc>
          <w:tcPr>
            <w:tcW w:w="1134" w:type="dxa"/>
            <w:shd w:val="clear" w:color="auto" w:fill="auto"/>
          </w:tcPr>
          <w:p w14:paraId="285A61A8" w14:textId="77777777" w:rsidR="005E04F3" w:rsidRPr="00AC59E7" w:rsidRDefault="005E04F3" w:rsidP="00552D3C">
            <w:pPr>
              <w:pStyle w:val="Tabletext"/>
              <w:jc w:val="center"/>
              <w:rPr>
                <w:bCs/>
              </w:rPr>
            </w:pPr>
            <w:r w:rsidRPr="00AC59E7">
              <w:rPr>
                <w:bCs/>
              </w:rPr>
              <w:t>2 (10%)</w:t>
            </w:r>
          </w:p>
        </w:tc>
        <w:tc>
          <w:tcPr>
            <w:tcW w:w="1276" w:type="dxa"/>
            <w:shd w:val="clear" w:color="auto" w:fill="auto"/>
          </w:tcPr>
          <w:p w14:paraId="2E612E5E" w14:textId="77777777" w:rsidR="005E04F3" w:rsidRPr="00AC59E7" w:rsidRDefault="005E04F3" w:rsidP="00552D3C">
            <w:pPr>
              <w:pStyle w:val="Tabletext"/>
              <w:jc w:val="center"/>
              <w:rPr>
                <w:bCs/>
              </w:rPr>
            </w:pPr>
            <w:r w:rsidRPr="00AC59E7">
              <w:rPr>
                <w:bCs/>
              </w:rPr>
              <w:t>4 (11%)</w:t>
            </w:r>
          </w:p>
        </w:tc>
      </w:tr>
      <w:tr w:rsidR="00067771" w:rsidRPr="0040247D" w14:paraId="3CC34DEB" w14:textId="77777777" w:rsidTr="00AC59E7">
        <w:trPr>
          <w:trHeight w:val="269"/>
        </w:trPr>
        <w:tc>
          <w:tcPr>
            <w:tcW w:w="2972" w:type="dxa"/>
            <w:shd w:val="clear" w:color="auto" w:fill="auto"/>
          </w:tcPr>
          <w:p w14:paraId="5D944F5E" w14:textId="77777777" w:rsidR="005E04F3" w:rsidRPr="00AC59E7" w:rsidRDefault="005E04F3" w:rsidP="00552D3C">
            <w:pPr>
              <w:pStyle w:val="KMC16-Tablecontent"/>
              <w:spacing w:before="0" w:after="0"/>
              <w:rPr>
                <w:bCs/>
                <w:color w:val="auto"/>
                <w:lang w:val="en-AU"/>
              </w:rPr>
            </w:pPr>
            <w:r w:rsidRPr="00AC59E7">
              <w:rPr>
                <w:bCs/>
                <w:color w:val="auto"/>
                <w:lang w:val="en-AU"/>
              </w:rPr>
              <w:t>Investigations</w:t>
            </w:r>
          </w:p>
        </w:tc>
        <w:tc>
          <w:tcPr>
            <w:tcW w:w="1134" w:type="dxa"/>
            <w:shd w:val="clear" w:color="auto" w:fill="auto"/>
          </w:tcPr>
          <w:p w14:paraId="1DB5A40A" w14:textId="77777777" w:rsidR="005E04F3" w:rsidRPr="00AC59E7" w:rsidRDefault="005E04F3" w:rsidP="00552D3C">
            <w:pPr>
              <w:pStyle w:val="Tabletext"/>
              <w:jc w:val="center"/>
              <w:rPr>
                <w:bCs/>
              </w:rPr>
            </w:pPr>
            <w:r w:rsidRPr="00AC59E7">
              <w:rPr>
                <w:bCs/>
              </w:rPr>
              <w:t>3 (5%)*</w:t>
            </w:r>
          </w:p>
        </w:tc>
        <w:tc>
          <w:tcPr>
            <w:tcW w:w="1134" w:type="dxa"/>
            <w:shd w:val="clear" w:color="auto" w:fill="auto"/>
          </w:tcPr>
          <w:p w14:paraId="5C62D3C5" w14:textId="77777777" w:rsidR="005E04F3" w:rsidRPr="00AC59E7" w:rsidRDefault="005E04F3" w:rsidP="00552D3C">
            <w:pPr>
              <w:pStyle w:val="Tabletext"/>
              <w:jc w:val="center"/>
              <w:rPr>
                <w:bCs/>
              </w:rPr>
            </w:pPr>
            <w:r w:rsidRPr="00AC59E7">
              <w:rPr>
                <w:bCs/>
              </w:rPr>
              <w:t>NA</w:t>
            </w:r>
          </w:p>
        </w:tc>
        <w:tc>
          <w:tcPr>
            <w:tcW w:w="1134" w:type="dxa"/>
            <w:shd w:val="clear" w:color="auto" w:fill="auto"/>
          </w:tcPr>
          <w:p w14:paraId="566318FD" w14:textId="77777777" w:rsidR="005E04F3" w:rsidRPr="00AC59E7" w:rsidRDefault="005E04F3" w:rsidP="00552D3C">
            <w:pPr>
              <w:pStyle w:val="Tabletext"/>
              <w:jc w:val="center"/>
              <w:rPr>
                <w:bCs/>
              </w:rPr>
            </w:pPr>
            <w:r w:rsidRPr="00AC59E7">
              <w:rPr>
                <w:bCs/>
              </w:rPr>
              <w:t>2 (10%)</w:t>
            </w:r>
          </w:p>
        </w:tc>
        <w:tc>
          <w:tcPr>
            <w:tcW w:w="1134" w:type="dxa"/>
            <w:shd w:val="clear" w:color="auto" w:fill="auto"/>
          </w:tcPr>
          <w:p w14:paraId="32C27562" w14:textId="77777777" w:rsidR="005E04F3" w:rsidRPr="00AC59E7" w:rsidRDefault="005E04F3" w:rsidP="00552D3C">
            <w:pPr>
              <w:pStyle w:val="Tabletext"/>
              <w:jc w:val="center"/>
              <w:rPr>
                <w:bCs/>
              </w:rPr>
            </w:pPr>
            <w:r w:rsidRPr="00AC59E7">
              <w:rPr>
                <w:bCs/>
              </w:rPr>
              <w:t>1 (5%)</w:t>
            </w:r>
          </w:p>
        </w:tc>
        <w:tc>
          <w:tcPr>
            <w:tcW w:w="1276" w:type="dxa"/>
            <w:shd w:val="clear" w:color="auto" w:fill="auto"/>
          </w:tcPr>
          <w:p w14:paraId="691DF16A" w14:textId="77777777" w:rsidR="005E04F3" w:rsidRPr="00AC59E7" w:rsidRDefault="005E04F3" w:rsidP="00552D3C">
            <w:pPr>
              <w:pStyle w:val="Tabletext"/>
              <w:jc w:val="center"/>
              <w:rPr>
                <w:bCs/>
              </w:rPr>
            </w:pPr>
            <w:r w:rsidRPr="00AC59E7">
              <w:rPr>
                <w:bCs/>
              </w:rPr>
              <w:t>3 (8%)</w:t>
            </w:r>
          </w:p>
        </w:tc>
      </w:tr>
      <w:tr w:rsidR="00067771" w:rsidRPr="0040247D" w14:paraId="32305DB4" w14:textId="77777777" w:rsidTr="00AC59E7">
        <w:trPr>
          <w:trHeight w:val="269"/>
        </w:trPr>
        <w:tc>
          <w:tcPr>
            <w:tcW w:w="2972" w:type="dxa"/>
            <w:shd w:val="clear" w:color="auto" w:fill="auto"/>
          </w:tcPr>
          <w:p w14:paraId="25AD8496" w14:textId="77777777" w:rsidR="005E04F3" w:rsidRPr="00AC59E7" w:rsidRDefault="005E04F3" w:rsidP="00552D3C">
            <w:pPr>
              <w:pStyle w:val="KMC16-Tablecontent"/>
              <w:spacing w:before="0" w:after="0"/>
              <w:rPr>
                <w:bCs/>
                <w:color w:val="auto"/>
                <w:lang w:val="en-AU"/>
              </w:rPr>
            </w:pPr>
            <w:r w:rsidRPr="00AC59E7">
              <w:rPr>
                <w:bCs/>
                <w:color w:val="auto"/>
                <w:lang w:val="en-AU"/>
              </w:rPr>
              <w:t>Musculoskeletal and connective tissue disorders</w:t>
            </w:r>
          </w:p>
        </w:tc>
        <w:tc>
          <w:tcPr>
            <w:tcW w:w="1134" w:type="dxa"/>
            <w:shd w:val="clear" w:color="auto" w:fill="auto"/>
          </w:tcPr>
          <w:p w14:paraId="0CC44530" w14:textId="77777777" w:rsidR="005E04F3" w:rsidRPr="00AC59E7" w:rsidRDefault="005E04F3" w:rsidP="00552D3C">
            <w:pPr>
              <w:pStyle w:val="Tabletext"/>
              <w:jc w:val="center"/>
              <w:rPr>
                <w:bCs/>
              </w:rPr>
            </w:pPr>
            <w:r w:rsidRPr="00AC59E7">
              <w:rPr>
                <w:bCs/>
              </w:rPr>
              <w:t>3 (5%)</w:t>
            </w:r>
          </w:p>
        </w:tc>
        <w:tc>
          <w:tcPr>
            <w:tcW w:w="1134" w:type="dxa"/>
            <w:shd w:val="clear" w:color="auto" w:fill="auto"/>
          </w:tcPr>
          <w:p w14:paraId="609EFBFB" w14:textId="77777777" w:rsidR="005E04F3" w:rsidRPr="00AC59E7" w:rsidRDefault="005E04F3" w:rsidP="00552D3C">
            <w:pPr>
              <w:pStyle w:val="Tabletext"/>
              <w:jc w:val="center"/>
              <w:rPr>
                <w:bCs/>
              </w:rPr>
            </w:pPr>
            <w:r w:rsidRPr="00AC59E7">
              <w:rPr>
                <w:bCs/>
              </w:rPr>
              <w:t>NA</w:t>
            </w:r>
          </w:p>
        </w:tc>
        <w:tc>
          <w:tcPr>
            <w:tcW w:w="1134" w:type="dxa"/>
            <w:shd w:val="clear" w:color="auto" w:fill="auto"/>
          </w:tcPr>
          <w:p w14:paraId="4E35B934" w14:textId="77777777" w:rsidR="005E04F3" w:rsidRPr="00AC59E7" w:rsidRDefault="005E04F3" w:rsidP="00552D3C">
            <w:pPr>
              <w:pStyle w:val="Tabletext"/>
              <w:jc w:val="center"/>
              <w:rPr>
                <w:bCs/>
              </w:rPr>
            </w:pPr>
            <w:r w:rsidRPr="00AC59E7">
              <w:rPr>
                <w:bCs/>
              </w:rPr>
              <w:t>1 (5%)</w:t>
            </w:r>
          </w:p>
        </w:tc>
        <w:tc>
          <w:tcPr>
            <w:tcW w:w="1134" w:type="dxa"/>
            <w:shd w:val="clear" w:color="auto" w:fill="auto"/>
          </w:tcPr>
          <w:p w14:paraId="7E0EE4BE" w14:textId="77777777" w:rsidR="005E04F3" w:rsidRPr="00AC59E7" w:rsidRDefault="005E04F3" w:rsidP="00552D3C">
            <w:pPr>
              <w:pStyle w:val="Tabletext"/>
              <w:jc w:val="center"/>
              <w:rPr>
                <w:bCs/>
              </w:rPr>
            </w:pPr>
            <w:r w:rsidRPr="00AC59E7">
              <w:rPr>
                <w:bCs/>
              </w:rPr>
              <w:t>2 (10%)</w:t>
            </w:r>
          </w:p>
        </w:tc>
        <w:tc>
          <w:tcPr>
            <w:tcW w:w="1276" w:type="dxa"/>
            <w:shd w:val="clear" w:color="auto" w:fill="auto"/>
          </w:tcPr>
          <w:p w14:paraId="1C6A3999" w14:textId="77777777" w:rsidR="005E04F3" w:rsidRPr="00AC59E7" w:rsidRDefault="005E04F3" w:rsidP="00552D3C">
            <w:pPr>
              <w:pStyle w:val="KMC16-Tablecontent"/>
              <w:spacing w:before="0" w:after="0"/>
              <w:jc w:val="center"/>
              <w:rPr>
                <w:bCs/>
                <w:color w:val="auto"/>
                <w:lang w:val="en-AU"/>
              </w:rPr>
            </w:pPr>
            <w:r w:rsidRPr="00AC59E7">
              <w:rPr>
                <w:bCs/>
                <w:color w:val="auto"/>
                <w:lang w:val="en-AU"/>
              </w:rPr>
              <w:t>8 (21%)</w:t>
            </w:r>
          </w:p>
        </w:tc>
      </w:tr>
      <w:tr w:rsidR="00067771" w:rsidRPr="0040247D" w14:paraId="633AEE7B" w14:textId="77777777" w:rsidTr="00AC59E7">
        <w:trPr>
          <w:trHeight w:val="269"/>
        </w:trPr>
        <w:tc>
          <w:tcPr>
            <w:tcW w:w="2972" w:type="dxa"/>
            <w:shd w:val="clear" w:color="auto" w:fill="auto"/>
          </w:tcPr>
          <w:p w14:paraId="6E994E7A" w14:textId="77777777" w:rsidR="005E04F3" w:rsidRPr="00AC59E7" w:rsidRDefault="005E04F3" w:rsidP="00552D3C">
            <w:pPr>
              <w:pStyle w:val="KMC16-Tablecontent"/>
              <w:spacing w:before="0" w:after="0"/>
              <w:rPr>
                <w:bCs/>
                <w:color w:val="auto"/>
                <w:lang w:val="en-AU"/>
              </w:rPr>
            </w:pPr>
            <w:r w:rsidRPr="00AC59E7">
              <w:rPr>
                <w:bCs/>
                <w:color w:val="auto"/>
                <w:lang w:val="en-AU"/>
              </w:rPr>
              <w:t>Nervous system disorders</w:t>
            </w:r>
          </w:p>
        </w:tc>
        <w:tc>
          <w:tcPr>
            <w:tcW w:w="1134" w:type="dxa"/>
            <w:shd w:val="clear" w:color="auto" w:fill="auto"/>
          </w:tcPr>
          <w:p w14:paraId="0A6484C0" w14:textId="77777777" w:rsidR="005E04F3" w:rsidRPr="00AC59E7" w:rsidRDefault="005E04F3" w:rsidP="00552D3C">
            <w:pPr>
              <w:pStyle w:val="Tabletext"/>
              <w:jc w:val="center"/>
              <w:rPr>
                <w:bCs/>
              </w:rPr>
            </w:pPr>
            <w:r w:rsidRPr="00AC59E7">
              <w:rPr>
                <w:bCs/>
              </w:rPr>
              <w:t>13 (20%)</w:t>
            </w:r>
          </w:p>
        </w:tc>
        <w:tc>
          <w:tcPr>
            <w:tcW w:w="1134" w:type="dxa"/>
            <w:shd w:val="clear" w:color="auto" w:fill="auto"/>
          </w:tcPr>
          <w:p w14:paraId="4D4578EA" w14:textId="77777777" w:rsidR="005E04F3" w:rsidRPr="00AC59E7" w:rsidRDefault="005E04F3" w:rsidP="00552D3C">
            <w:pPr>
              <w:pStyle w:val="Tabletext"/>
              <w:jc w:val="center"/>
              <w:rPr>
                <w:bCs/>
              </w:rPr>
            </w:pPr>
            <w:r w:rsidRPr="00AC59E7">
              <w:rPr>
                <w:bCs/>
              </w:rPr>
              <w:t>6 (14%)</w:t>
            </w:r>
          </w:p>
        </w:tc>
        <w:tc>
          <w:tcPr>
            <w:tcW w:w="1134" w:type="dxa"/>
            <w:shd w:val="clear" w:color="auto" w:fill="auto"/>
          </w:tcPr>
          <w:p w14:paraId="7D3C8790" w14:textId="77777777" w:rsidR="005E04F3" w:rsidRPr="00AC59E7" w:rsidRDefault="005E04F3" w:rsidP="00552D3C">
            <w:pPr>
              <w:pStyle w:val="Tabletext"/>
              <w:jc w:val="center"/>
              <w:rPr>
                <w:bCs/>
              </w:rPr>
            </w:pPr>
            <w:r w:rsidRPr="00AC59E7">
              <w:rPr>
                <w:bCs/>
              </w:rPr>
              <w:t>8 (38%)</w:t>
            </w:r>
          </w:p>
        </w:tc>
        <w:tc>
          <w:tcPr>
            <w:tcW w:w="1134" w:type="dxa"/>
            <w:shd w:val="clear" w:color="auto" w:fill="auto"/>
          </w:tcPr>
          <w:p w14:paraId="1629A85C" w14:textId="77777777" w:rsidR="005E04F3" w:rsidRPr="00AC59E7" w:rsidRDefault="005E04F3" w:rsidP="00552D3C">
            <w:pPr>
              <w:pStyle w:val="Tabletext"/>
              <w:jc w:val="center"/>
              <w:rPr>
                <w:bCs/>
              </w:rPr>
            </w:pPr>
            <w:r w:rsidRPr="00AC59E7">
              <w:rPr>
                <w:bCs/>
              </w:rPr>
              <w:t>6 (29%)</w:t>
            </w:r>
          </w:p>
        </w:tc>
        <w:tc>
          <w:tcPr>
            <w:tcW w:w="1276" w:type="dxa"/>
            <w:shd w:val="clear" w:color="auto" w:fill="auto"/>
          </w:tcPr>
          <w:p w14:paraId="572C8D70" w14:textId="77777777" w:rsidR="005E04F3" w:rsidRPr="00AC59E7" w:rsidRDefault="005E04F3" w:rsidP="00552D3C">
            <w:pPr>
              <w:pStyle w:val="KMC16-Tablecontent"/>
              <w:spacing w:before="0" w:after="0"/>
              <w:jc w:val="center"/>
              <w:rPr>
                <w:bCs/>
                <w:color w:val="auto"/>
                <w:lang w:val="en-AU"/>
              </w:rPr>
            </w:pPr>
            <w:r w:rsidRPr="00AC59E7">
              <w:rPr>
                <w:bCs/>
                <w:color w:val="auto"/>
                <w:lang w:val="en-AU"/>
              </w:rPr>
              <w:t>6 (16%)</w:t>
            </w:r>
          </w:p>
        </w:tc>
      </w:tr>
      <w:tr w:rsidR="00067771" w:rsidRPr="0040247D" w14:paraId="56A3C2CD" w14:textId="77777777" w:rsidTr="00AC59E7">
        <w:trPr>
          <w:trHeight w:val="269"/>
        </w:trPr>
        <w:tc>
          <w:tcPr>
            <w:tcW w:w="2972" w:type="dxa"/>
            <w:shd w:val="clear" w:color="auto" w:fill="auto"/>
          </w:tcPr>
          <w:p w14:paraId="77E91EB9" w14:textId="77777777" w:rsidR="005E04F3" w:rsidRPr="00AC59E7" w:rsidRDefault="005E04F3" w:rsidP="00552D3C">
            <w:pPr>
              <w:pStyle w:val="KMC16-Tablecontent"/>
              <w:spacing w:before="0" w:after="0"/>
              <w:rPr>
                <w:bCs/>
                <w:color w:val="auto"/>
                <w:lang w:val="en-AU"/>
              </w:rPr>
            </w:pPr>
            <w:r w:rsidRPr="00AC59E7">
              <w:rPr>
                <w:bCs/>
                <w:color w:val="auto"/>
                <w:lang w:val="en-AU"/>
              </w:rPr>
              <w:t>Psychiatric disorders</w:t>
            </w:r>
          </w:p>
        </w:tc>
        <w:tc>
          <w:tcPr>
            <w:tcW w:w="1134" w:type="dxa"/>
            <w:shd w:val="clear" w:color="auto" w:fill="auto"/>
          </w:tcPr>
          <w:p w14:paraId="454C9405" w14:textId="77777777" w:rsidR="005E04F3" w:rsidRPr="00AC59E7" w:rsidRDefault="005E04F3" w:rsidP="00552D3C">
            <w:pPr>
              <w:pStyle w:val="Tabletext"/>
              <w:jc w:val="center"/>
              <w:rPr>
                <w:bCs/>
              </w:rPr>
            </w:pPr>
            <w:r w:rsidRPr="00AC59E7">
              <w:rPr>
                <w:bCs/>
              </w:rPr>
              <w:t>3 (5%)</w:t>
            </w:r>
          </w:p>
        </w:tc>
        <w:tc>
          <w:tcPr>
            <w:tcW w:w="1134" w:type="dxa"/>
            <w:shd w:val="clear" w:color="auto" w:fill="auto"/>
          </w:tcPr>
          <w:p w14:paraId="25D7648D" w14:textId="77777777" w:rsidR="005E04F3" w:rsidRPr="00AC59E7" w:rsidRDefault="005E04F3" w:rsidP="00552D3C">
            <w:pPr>
              <w:pStyle w:val="Tabletext"/>
              <w:jc w:val="center"/>
              <w:rPr>
                <w:bCs/>
              </w:rPr>
            </w:pPr>
            <w:r w:rsidRPr="00AC59E7">
              <w:rPr>
                <w:bCs/>
              </w:rPr>
              <w:t>NA</w:t>
            </w:r>
          </w:p>
        </w:tc>
        <w:tc>
          <w:tcPr>
            <w:tcW w:w="1134" w:type="dxa"/>
            <w:shd w:val="clear" w:color="auto" w:fill="auto"/>
          </w:tcPr>
          <w:p w14:paraId="53393BCE" w14:textId="77777777" w:rsidR="005E04F3" w:rsidRPr="00AC59E7" w:rsidRDefault="005E04F3" w:rsidP="00552D3C">
            <w:pPr>
              <w:pStyle w:val="Tabletext"/>
              <w:jc w:val="center"/>
              <w:rPr>
                <w:bCs/>
              </w:rPr>
            </w:pPr>
            <w:r w:rsidRPr="00AC59E7">
              <w:rPr>
                <w:bCs/>
              </w:rPr>
              <w:t>2 (10%)</w:t>
            </w:r>
          </w:p>
        </w:tc>
        <w:tc>
          <w:tcPr>
            <w:tcW w:w="1134" w:type="dxa"/>
            <w:shd w:val="clear" w:color="auto" w:fill="auto"/>
          </w:tcPr>
          <w:p w14:paraId="55B82BB8" w14:textId="77777777" w:rsidR="005E04F3" w:rsidRPr="00AC59E7" w:rsidRDefault="005E04F3" w:rsidP="00552D3C">
            <w:pPr>
              <w:pStyle w:val="Tabletext"/>
              <w:jc w:val="center"/>
              <w:rPr>
                <w:bCs/>
              </w:rPr>
            </w:pPr>
            <w:r w:rsidRPr="00AC59E7">
              <w:rPr>
                <w:bCs/>
              </w:rPr>
              <w:t>0 (0%)</w:t>
            </w:r>
          </w:p>
        </w:tc>
        <w:tc>
          <w:tcPr>
            <w:tcW w:w="1276" w:type="dxa"/>
            <w:shd w:val="clear" w:color="auto" w:fill="auto"/>
          </w:tcPr>
          <w:p w14:paraId="1572228A" w14:textId="77777777" w:rsidR="005E04F3" w:rsidRPr="00AC59E7" w:rsidRDefault="005E04F3" w:rsidP="00552D3C">
            <w:pPr>
              <w:pStyle w:val="Tabletext"/>
              <w:jc w:val="center"/>
              <w:rPr>
                <w:bCs/>
              </w:rPr>
            </w:pPr>
            <w:r w:rsidRPr="00AC59E7">
              <w:rPr>
                <w:bCs/>
              </w:rPr>
              <w:t>0 (0%)</w:t>
            </w:r>
          </w:p>
        </w:tc>
      </w:tr>
      <w:tr w:rsidR="00067771" w:rsidRPr="0040247D" w14:paraId="464B7B51" w14:textId="77777777" w:rsidTr="00AC59E7">
        <w:trPr>
          <w:trHeight w:val="269"/>
        </w:trPr>
        <w:tc>
          <w:tcPr>
            <w:tcW w:w="2972" w:type="dxa"/>
            <w:shd w:val="clear" w:color="auto" w:fill="auto"/>
          </w:tcPr>
          <w:p w14:paraId="6A180308" w14:textId="77777777" w:rsidR="005E04F3" w:rsidRPr="00AC59E7" w:rsidRDefault="005E04F3" w:rsidP="00552D3C">
            <w:pPr>
              <w:pStyle w:val="KMC16-Tablecontent"/>
              <w:spacing w:before="0" w:after="0"/>
              <w:rPr>
                <w:bCs/>
                <w:color w:val="auto"/>
                <w:lang w:val="en-AU"/>
              </w:rPr>
            </w:pPr>
            <w:r w:rsidRPr="00AC59E7">
              <w:rPr>
                <w:bCs/>
                <w:color w:val="auto"/>
                <w:lang w:val="en-AU"/>
              </w:rPr>
              <w:t>Respiratory, thoracic and mediastinal disorders</w:t>
            </w:r>
          </w:p>
        </w:tc>
        <w:tc>
          <w:tcPr>
            <w:tcW w:w="1134" w:type="dxa"/>
            <w:shd w:val="clear" w:color="auto" w:fill="auto"/>
          </w:tcPr>
          <w:p w14:paraId="36394431" w14:textId="77777777" w:rsidR="005E04F3" w:rsidRPr="00AC59E7" w:rsidRDefault="005E04F3" w:rsidP="00552D3C">
            <w:pPr>
              <w:pStyle w:val="Tabletext"/>
              <w:jc w:val="center"/>
              <w:rPr>
                <w:bCs/>
              </w:rPr>
            </w:pPr>
            <w:r w:rsidRPr="00AC59E7">
              <w:rPr>
                <w:bCs/>
              </w:rPr>
              <w:t>22 (34%)</w:t>
            </w:r>
          </w:p>
        </w:tc>
        <w:tc>
          <w:tcPr>
            <w:tcW w:w="1134" w:type="dxa"/>
            <w:shd w:val="clear" w:color="auto" w:fill="auto"/>
          </w:tcPr>
          <w:p w14:paraId="4DF9D00F" w14:textId="77777777" w:rsidR="005E04F3" w:rsidRPr="00AC59E7" w:rsidRDefault="005E04F3" w:rsidP="00552D3C">
            <w:pPr>
              <w:pStyle w:val="Tabletext"/>
              <w:jc w:val="center"/>
              <w:rPr>
                <w:bCs/>
              </w:rPr>
            </w:pPr>
            <w:r w:rsidRPr="00AC59E7">
              <w:rPr>
                <w:bCs/>
              </w:rPr>
              <w:t>3 (7%)</w:t>
            </w:r>
          </w:p>
        </w:tc>
        <w:tc>
          <w:tcPr>
            <w:tcW w:w="1134" w:type="dxa"/>
            <w:shd w:val="clear" w:color="auto" w:fill="auto"/>
          </w:tcPr>
          <w:p w14:paraId="03AFBB80" w14:textId="77777777" w:rsidR="005E04F3" w:rsidRPr="00AC59E7" w:rsidRDefault="005E04F3" w:rsidP="00552D3C">
            <w:pPr>
              <w:pStyle w:val="Tabletext"/>
              <w:jc w:val="center"/>
              <w:rPr>
                <w:bCs/>
              </w:rPr>
            </w:pPr>
            <w:r w:rsidRPr="00AC59E7">
              <w:rPr>
                <w:bCs/>
              </w:rPr>
              <w:t>6 (29%)</w:t>
            </w:r>
          </w:p>
        </w:tc>
        <w:tc>
          <w:tcPr>
            <w:tcW w:w="1134" w:type="dxa"/>
            <w:shd w:val="clear" w:color="auto" w:fill="auto"/>
          </w:tcPr>
          <w:p w14:paraId="07B8CE22" w14:textId="77777777" w:rsidR="005E04F3" w:rsidRPr="00AC59E7" w:rsidRDefault="005E04F3" w:rsidP="00552D3C">
            <w:pPr>
              <w:pStyle w:val="Tabletext"/>
              <w:jc w:val="center"/>
              <w:rPr>
                <w:bCs/>
              </w:rPr>
            </w:pPr>
            <w:r w:rsidRPr="00AC59E7">
              <w:rPr>
                <w:bCs/>
              </w:rPr>
              <w:t>11 (52%)</w:t>
            </w:r>
          </w:p>
        </w:tc>
        <w:tc>
          <w:tcPr>
            <w:tcW w:w="1276" w:type="dxa"/>
            <w:shd w:val="clear" w:color="auto" w:fill="auto"/>
          </w:tcPr>
          <w:p w14:paraId="57C89D68" w14:textId="77777777" w:rsidR="005E04F3" w:rsidRPr="00AC59E7" w:rsidRDefault="005E04F3" w:rsidP="00552D3C">
            <w:pPr>
              <w:pStyle w:val="Tabletext"/>
              <w:jc w:val="center"/>
              <w:rPr>
                <w:bCs/>
              </w:rPr>
            </w:pPr>
            <w:r w:rsidRPr="00AC59E7">
              <w:rPr>
                <w:bCs/>
              </w:rPr>
              <w:t>17 (45%)</w:t>
            </w:r>
          </w:p>
        </w:tc>
      </w:tr>
      <w:tr w:rsidR="00AC59E7" w:rsidRPr="00AC59E7" w14:paraId="435D807C" w14:textId="77777777" w:rsidTr="002F639B">
        <w:trPr>
          <w:trHeight w:val="269"/>
        </w:trPr>
        <w:tc>
          <w:tcPr>
            <w:tcW w:w="2972" w:type="dxa"/>
            <w:shd w:val="clear" w:color="auto" w:fill="auto"/>
          </w:tcPr>
          <w:p w14:paraId="32DF86ED" w14:textId="77777777" w:rsidR="00AC59E7" w:rsidRPr="00AC59E7" w:rsidRDefault="00AC59E7" w:rsidP="002F639B">
            <w:pPr>
              <w:pStyle w:val="KMC16-Tablecontent"/>
              <w:spacing w:before="0" w:after="0"/>
              <w:rPr>
                <w:bCs/>
                <w:color w:val="auto"/>
                <w:lang w:val="en-AU"/>
              </w:rPr>
            </w:pPr>
            <w:r w:rsidRPr="00AC59E7">
              <w:rPr>
                <w:bCs/>
                <w:color w:val="auto"/>
                <w:lang w:val="en-AU"/>
              </w:rPr>
              <w:t>General disorders</w:t>
            </w:r>
          </w:p>
        </w:tc>
        <w:tc>
          <w:tcPr>
            <w:tcW w:w="1134" w:type="dxa"/>
            <w:shd w:val="clear" w:color="auto" w:fill="auto"/>
          </w:tcPr>
          <w:p w14:paraId="4447EE31" w14:textId="77777777" w:rsidR="00AC59E7" w:rsidRPr="00AC59E7" w:rsidRDefault="00AC59E7" w:rsidP="002F639B">
            <w:pPr>
              <w:pStyle w:val="Tabletext"/>
              <w:jc w:val="center"/>
              <w:rPr>
                <w:bCs/>
              </w:rPr>
            </w:pPr>
            <w:r w:rsidRPr="00AC59E7">
              <w:rPr>
                <w:bCs/>
              </w:rPr>
              <w:t>35 (55%)</w:t>
            </w:r>
          </w:p>
        </w:tc>
        <w:tc>
          <w:tcPr>
            <w:tcW w:w="1134" w:type="dxa"/>
            <w:shd w:val="clear" w:color="auto" w:fill="auto"/>
          </w:tcPr>
          <w:p w14:paraId="16899B34" w14:textId="77777777" w:rsidR="00AC59E7" w:rsidRPr="00AC59E7" w:rsidRDefault="00AC59E7" w:rsidP="002F639B">
            <w:pPr>
              <w:pStyle w:val="Tabletext"/>
              <w:jc w:val="center"/>
              <w:rPr>
                <w:bCs/>
              </w:rPr>
            </w:pPr>
            <w:r w:rsidRPr="00AC59E7">
              <w:rPr>
                <w:bCs/>
              </w:rPr>
              <w:t>5 (11%)</w:t>
            </w:r>
          </w:p>
        </w:tc>
        <w:tc>
          <w:tcPr>
            <w:tcW w:w="1134" w:type="dxa"/>
            <w:shd w:val="clear" w:color="auto" w:fill="auto"/>
          </w:tcPr>
          <w:p w14:paraId="3813E5B8" w14:textId="77777777" w:rsidR="00AC59E7" w:rsidRPr="00AC59E7" w:rsidRDefault="00AC59E7" w:rsidP="002F639B">
            <w:pPr>
              <w:pStyle w:val="Tabletext"/>
              <w:jc w:val="center"/>
              <w:rPr>
                <w:bCs/>
              </w:rPr>
            </w:pPr>
            <w:r w:rsidRPr="00AC59E7">
              <w:rPr>
                <w:bCs/>
              </w:rPr>
              <w:t>6 (29%)</w:t>
            </w:r>
          </w:p>
        </w:tc>
        <w:tc>
          <w:tcPr>
            <w:tcW w:w="1134" w:type="dxa"/>
            <w:shd w:val="clear" w:color="auto" w:fill="auto"/>
          </w:tcPr>
          <w:p w14:paraId="6E6096C9" w14:textId="77777777" w:rsidR="00AC59E7" w:rsidRPr="00AC59E7" w:rsidRDefault="00AC59E7" w:rsidP="002F639B">
            <w:pPr>
              <w:pStyle w:val="Tabletext"/>
              <w:jc w:val="center"/>
              <w:rPr>
                <w:bCs/>
              </w:rPr>
            </w:pPr>
            <w:r w:rsidRPr="00AC59E7">
              <w:rPr>
                <w:bCs/>
              </w:rPr>
              <w:t>13 (62%)</w:t>
            </w:r>
          </w:p>
        </w:tc>
        <w:tc>
          <w:tcPr>
            <w:tcW w:w="1276" w:type="dxa"/>
            <w:shd w:val="clear" w:color="auto" w:fill="auto"/>
          </w:tcPr>
          <w:p w14:paraId="0A85A026" w14:textId="77777777" w:rsidR="00AC59E7" w:rsidRPr="00AC59E7" w:rsidRDefault="00AC59E7" w:rsidP="002F639B">
            <w:pPr>
              <w:pStyle w:val="KMC16-Tablecontent"/>
              <w:spacing w:before="0" w:after="0"/>
              <w:jc w:val="center"/>
              <w:rPr>
                <w:bCs/>
                <w:color w:val="auto"/>
                <w:lang w:val="en-AU"/>
              </w:rPr>
            </w:pPr>
            <w:r w:rsidRPr="00AC59E7">
              <w:rPr>
                <w:bCs/>
                <w:color w:val="auto"/>
                <w:lang w:val="en-AU"/>
              </w:rPr>
              <w:t>14 (41%)</w:t>
            </w:r>
          </w:p>
        </w:tc>
      </w:tr>
      <w:tr w:rsidR="00AC59E7" w:rsidRPr="0040247D" w14:paraId="2B72F09B" w14:textId="77777777" w:rsidTr="002F639B">
        <w:trPr>
          <w:trHeight w:val="269"/>
        </w:trPr>
        <w:tc>
          <w:tcPr>
            <w:tcW w:w="2972" w:type="dxa"/>
            <w:shd w:val="clear" w:color="auto" w:fill="auto"/>
          </w:tcPr>
          <w:p w14:paraId="7516F51A" w14:textId="77777777" w:rsidR="00AC59E7" w:rsidRPr="0040247D" w:rsidRDefault="00AC59E7" w:rsidP="002F639B">
            <w:pPr>
              <w:pStyle w:val="KMC16-Tablecontent"/>
              <w:spacing w:before="0" w:after="0"/>
              <w:ind w:left="164"/>
              <w:rPr>
                <w:color w:val="auto"/>
                <w:lang w:val="en-AU"/>
              </w:rPr>
            </w:pPr>
            <w:r w:rsidRPr="0040247D">
              <w:rPr>
                <w:color w:val="auto"/>
                <w:lang w:val="en-AU"/>
              </w:rPr>
              <w:t>Injection Site Pain</w:t>
            </w:r>
          </w:p>
        </w:tc>
        <w:tc>
          <w:tcPr>
            <w:tcW w:w="1134" w:type="dxa"/>
            <w:shd w:val="clear" w:color="auto" w:fill="auto"/>
          </w:tcPr>
          <w:p w14:paraId="0CC5E168" w14:textId="77777777" w:rsidR="00AC59E7" w:rsidRPr="0040247D" w:rsidRDefault="00AC59E7" w:rsidP="002F639B">
            <w:pPr>
              <w:pStyle w:val="Tabletext"/>
              <w:jc w:val="center"/>
            </w:pPr>
            <w:r w:rsidRPr="0040247D">
              <w:t>20 (31%)</w:t>
            </w:r>
          </w:p>
        </w:tc>
        <w:tc>
          <w:tcPr>
            <w:tcW w:w="1134" w:type="dxa"/>
            <w:shd w:val="clear" w:color="auto" w:fill="auto"/>
          </w:tcPr>
          <w:p w14:paraId="1E65091B" w14:textId="22ABC6C5" w:rsidR="00AC59E7" w:rsidRPr="0040247D" w:rsidRDefault="00AC59E7" w:rsidP="002F639B">
            <w:pPr>
              <w:pStyle w:val="Tabletext"/>
              <w:jc w:val="center"/>
            </w:pPr>
            <w:r w:rsidRPr="0040247D">
              <w:t>1 (2%)</w:t>
            </w:r>
          </w:p>
        </w:tc>
        <w:tc>
          <w:tcPr>
            <w:tcW w:w="1134" w:type="dxa"/>
            <w:shd w:val="clear" w:color="auto" w:fill="auto"/>
          </w:tcPr>
          <w:p w14:paraId="251B1EBC" w14:textId="77777777" w:rsidR="00AC59E7" w:rsidRPr="0040247D" w:rsidRDefault="00AC59E7" w:rsidP="002F639B">
            <w:pPr>
              <w:pStyle w:val="Tabletext"/>
              <w:jc w:val="center"/>
            </w:pPr>
            <w:r w:rsidRPr="0040247D">
              <w:t>4 (19%)</w:t>
            </w:r>
          </w:p>
        </w:tc>
        <w:tc>
          <w:tcPr>
            <w:tcW w:w="1134" w:type="dxa"/>
            <w:shd w:val="clear" w:color="auto" w:fill="auto"/>
          </w:tcPr>
          <w:p w14:paraId="1C76E88B" w14:textId="77777777" w:rsidR="00AC59E7" w:rsidRPr="0040247D" w:rsidRDefault="00AC59E7" w:rsidP="002F639B">
            <w:pPr>
              <w:pStyle w:val="Tabletext"/>
              <w:jc w:val="center"/>
            </w:pPr>
            <w:r w:rsidRPr="0040247D">
              <w:t>7 (33%)</w:t>
            </w:r>
          </w:p>
        </w:tc>
        <w:tc>
          <w:tcPr>
            <w:tcW w:w="1276" w:type="dxa"/>
            <w:shd w:val="clear" w:color="auto" w:fill="auto"/>
          </w:tcPr>
          <w:p w14:paraId="18C3D299" w14:textId="77777777" w:rsidR="00AC59E7" w:rsidRPr="0040247D" w:rsidRDefault="00AC59E7" w:rsidP="002F639B">
            <w:pPr>
              <w:pStyle w:val="Tabletext"/>
              <w:jc w:val="center"/>
            </w:pPr>
            <w:r w:rsidRPr="0040247D">
              <w:t>9 (24%)</w:t>
            </w:r>
          </w:p>
        </w:tc>
      </w:tr>
      <w:tr w:rsidR="00AC59E7" w:rsidRPr="0040247D" w14:paraId="088FEA52" w14:textId="77777777" w:rsidTr="002F639B">
        <w:trPr>
          <w:trHeight w:val="269"/>
        </w:trPr>
        <w:tc>
          <w:tcPr>
            <w:tcW w:w="2972" w:type="dxa"/>
            <w:shd w:val="clear" w:color="auto" w:fill="auto"/>
          </w:tcPr>
          <w:p w14:paraId="7385268C" w14:textId="77777777" w:rsidR="00AC59E7" w:rsidRPr="0040247D" w:rsidRDefault="00AC59E7" w:rsidP="002F639B">
            <w:pPr>
              <w:pStyle w:val="KMC16-Tablecontent"/>
              <w:spacing w:before="0" w:after="0"/>
              <w:ind w:left="164"/>
              <w:rPr>
                <w:color w:val="auto"/>
                <w:lang w:val="en-AU"/>
              </w:rPr>
            </w:pPr>
            <w:r w:rsidRPr="0040247D">
              <w:rPr>
                <w:color w:val="auto"/>
                <w:lang w:val="en-AU"/>
              </w:rPr>
              <w:t>Injection site erythema</w:t>
            </w:r>
          </w:p>
        </w:tc>
        <w:tc>
          <w:tcPr>
            <w:tcW w:w="1134" w:type="dxa"/>
            <w:shd w:val="clear" w:color="auto" w:fill="auto"/>
          </w:tcPr>
          <w:p w14:paraId="5624CA8F" w14:textId="77777777" w:rsidR="00AC59E7" w:rsidRPr="0040247D" w:rsidRDefault="00AC59E7" w:rsidP="002F639B">
            <w:pPr>
              <w:pStyle w:val="Tabletext"/>
              <w:jc w:val="center"/>
            </w:pPr>
            <w:r w:rsidRPr="0040247D">
              <w:t>6 (9%)</w:t>
            </w:r>
          </w:p>
        </w:tc>
        <w:tc>
          <w:tcPr>
            <w:tcW w:w="1134" w:type="dxa"/>
            <w:shd w:val="clear" w:color="auto" w:fill="auto"/>
          </w:tcPr>
          <w:p w14:paraId="5C7BB9F9" w14:textId="77777777" w:rsidR="00AC59E7" w:rsidRPr="0040247D" w:rsidRDefault="00AC59E7" w:rsidP="002F639B">
            <w:pPr>
              <w:pStyle w:val="Tabletext"/>
              <w:jc w:val="center"/>
            </w:pPr>
            <w:r w:rsidRPr="0040247D">
              <w:t>NA</w:t>
            </w:r>
          </w:p>
        </w:tc>
        <w:tc>
          <w:tcPr>
            <w:tcW w:w="1134" w:type="dxa"/>
            <w:shd w:val="clear" w:color="auto" w:fill="auto"/>
          </w:tcPr>
          <w:p w14:paraId="119A6020" w14:textId="77777777" w:rsidR="00AC59E7" w:rsidRPr="0040247D" w:rsidRDefault="00AC59E7" w:rsidP="002F639B">
            <w:pPr>
              <w:pStyle w:val="Tabletext"/>
              <w:jc w:val="center"/>
            </w:pPr>
            <w:r w:rsidRPr="0040247D">
              <w:t>NA</w:t>
            </w:r>
          </w:p>
        </w:tc>
        <w:tc>
          <w:tcPr>
            <w:tcW w:w="1134" w:type="dxa"/>
            <w:shd w:val="clear" w:color="auto" w:fill="auto"/>
          </w:tcPr>
          <w:p w14:paraId="6A6656DB" w14:textId="77777777" w:rsidR="00AC59E7" w:rsidRPr="0040247D" w:rsidRDefault="00AC59E7" w:rsidP="002F639B">
            <w:pPr>
              <w:pStyle w:val="Tabletext"/>
              <w:jc w:val="center"/>
            </w:pPr>
            <w:r w:rsidRPr="0040247D">
              <w:t>NA</w:t>
            </w:r>
          </w:p>
        </w:tc>
        <w:tc>
          <w:tcPr>
            <w:tcW w:w="1276" w:type="dxa"/>
            <w:shd w:val="clear" w:color="auto" w:fill="auto"/>
          </w:tcPr>
          <w:p w14:paraId="731F0857" w14:textId="77777777" w:rsidR="00AC59E7" w:rsidRPr="0040247D" w:rsidRDefault="00AC59E7" w:rsidP="002F639B">
            <w:pPr>
              <w:pStyle w:val="Tabletext"/>
              <w:jc w:val="center"/>
            </w:pPr>
            <w:r w:rsidRPr="0040247D">
              <w:t>NA</w:t>
            </w:r>
          </w:p>
        </w:tc>
      </w:tr>
      <w:tr w:rsidR="00AC59E7" w:rsidRPr="0040247D" w14:paraId="30D5F81A" w14:textId="77777777" w:rsidTr="002F639B">
        <w:trPr>
          <w:trHeight w:val="269"/>
        </w:trPr>
        <w:tc>
          <w:tcPr>
            <w:tcW w:w="2972" w:type="dxa"/>
            <w:shd w:val="clear" w:color="auto" w:fill="auto"/>
          </w:tcPr>
          <w:p w14:paraId="141CF0E2" w14:textId="77777777" w:rsidR="00AC59E7" w:rsidRPr="0040247D" w:rsidRDefault="00AC59E7" w:rsidP="002F639B">
            <w:pPr>
              <w:pStyle w:val="KMC16-Tablecontent"/>
              <w:spacing w:before="0" w:after="0"/>
              <w:ind w:left="164"/>
              <w:rPr>
                <w:color w:val="auto"/>
                <w:lang w:val="en-AU"/>
              </w:rPr>
            </w:pPr>
            <w:r w:rsidRPr="0040247D">
              <w:rPr>
                <w:color w:val="auto"/>
                <w:lang w:val="en-AU"/>
              </w:rPr>
              <w:t>Pyrexia</w:t>
            </w:r>
          </w:p>
        </w:tc>
        <w:tc>
          <w:tcPr>
            <w:tcW w:w="1134" w:type="dxa"/>
            <w:shd w:val="clear" w:color="auto" w:fill="auto"/>
          </w:tcPr>
          <w:p w14:paraId="3551BE35" w14:textId="77777777" w:rsidR="00AC59E7" w:rsidRPr="0040247D" w:rsidRDefault="00AC59E7" w:rsidP="002F639B">
            <w:pPr>
              <w:pStyle w:val="Tabletext"/>
              <w:jc w:val="center"/>
            </w:pPr>
            <w:r w:rsidRPr="0040247D">
              <w:t>11 (17%)</w:t>
            </w:r>
          </w:p>
        </w:tc>
        <w:tc>
          <w:tcPr>
            <w:tcW w:w="1134" w:type="dxa"/>
            <w:shd w:val="clear" w:color="auto" w:fill="auto"/>
          </w:tcPr>
          <w:p w14:paraId="1BFAC242" w14:textId="77777777" w:rsidR="00AC59E7" w:rsidRPr="0040247D" w:rsidRDefault="00AC59E7" w:rsidP="002F639B">
            <w:pPr>
              <w:pStyle w:val="Tabletext"/>
              <w:jc w:val="center"/>
            </w:pPr>
            <w:r w:rsidRPr="0040247D">
              <w:t>NR</w:t>
            </w:r>
          </w:p>
        </w:tc>
        <w:tc>
          <w:tcPr>
            <w:tcW w:w="1134" w:type="dxa"/>
            <w:shd w:val="clear" w:color="auto" w:fill="auto"/>
          </w:tcPr>
          <w:p w14:paraId="7DFB30FE" w14:textId="77777777" w:rsidR="00AC59E7" w:rsidRPr="0040247D" w:rsidRDefault="00AC59E7" w:rsidP="002F639B">
            <w:pPr>
              <w:pStyle w:val="Tabletext"/>
              <w:jc w:val="center"/>
            </w:pPr>
            <w:r w:rsidRPr="0040247D">
              <w:t>2 (10%)</w:t>
            </w:r>
          </w:p>
        </w:tc>
        <w:tc>
          <w:tcPr>
            <w:tcW w:w="1134" w:type="dxa"/>
            <w:shd w:val="clear" w:color="auto" w:fill="auto"/>
          </w:tcPr>
          <w:p w14:paraId="28938A5E" w14:textId="77777777" w:rsidR="00AC59E7" w:rsidRPr="0040247D" w:rsidRDefault="00AC59E7" w:rsidP="002F639B">
            <w:pPr>
              <w:pStyle w:val="Tabletext"/>
              <w:jc w:val="center"/>
            </w:pPr>
            <w:r w:rsidRPr="0040247D">
              <w:t>6 (29%)</w:t>
            </w:r>
          </w:p>
        </w:tc>
        <w:tc>
          <w:tcPr>
            <w:tcW w:w="1276" w:type="dxa"/>
            <w:shd w:val="clear" w:color="auto" w:fill="auto"/>
          </w:tcPr>
          <w:p w14:paraId="3F3008FF" w14:textId="77777777" w:rsidR="00AC59E7" w:rsidRPr="0040247D" w:rsidRDefault="00AC59E7" w:rsidP="002F639B">
            <w:pPr>
              <w:pStyle w:val="Tabletext"/>
              <w:jc w:val="center"/>
            </w:pPr>
            <w:r w:rsidRPr="0040247D">
              <w:t>5 (13%)</w:t>
            </w:r>
          </w:p>
        </w:tc>
      </w:tr>
    </w:tbl>
    <w:p w14:paraId="5F07ECAA" w14:textId="13677159" w:rsidR="005E04F3" w:rsidRPr="0040247D" w:rsidRDefault="005E04F3" w:rsidP="005E04F3">
      <w:pPr>
        <w:pStyle w:val="TableFigureFooter"/>
        <w:rPr>
          <w:rFonts w:eastAsiaTheme="majorEastAsia"/>
        </w:rPr>
      </w:pPr>
      <w:r w:rsidRPr="0040247D">
        <w:rPr>
          <w:rFonts w:eastAsiaTheme="majorEastAsia"/>
        </w:rPr>
        <w:t xml:space="preserve">Source: Table 2-42, p93-94 of the submission; Table 5-5, p14-16 of the supplemental information. </w:t>
      </w:r>
    </w:p>
    <w:p w14:paraId="4E0F143E" w14:textId="77777777" w:rsidR="005E04F3" w:rsidRPr="0040247D" w:rsidRDefault="005E04F3" w:rsidP="005E04F3">
      <w:pPr>
        <w:pStyle w:val="TableFigureFooter"/>
        <w:rPr>
          <w:rFonts w:eastAsiaTheme="majorEastAsia"/>
        </w:rPr>
      </w:pPr>
      <w:r w:rsidRPr="0040247D">
        <w:rPr>
          <w:rFonts w:eastAsiaTheme="majorEastAsia"/>
        </w:rPr>
        <w:t>NA, not available; SOC, system organ class; TEAE, treatment-emergent AE</w:t>
      </w:r>
    </w:p>
    <w:p w14:paraId="1360663A" w14:textId="20DCAD63" w:rsidR="005E04F3" w:rsidRPr="0040247D" w:rsidRDefault="005E04F3" w:rsidP="005E04F3">
      <w:pPr>
        <w:pStyle w:val="TableFigureFooter"/>
        <w:rPr>
          <w:rFonts w:eastAsiaTheme="majorEastAsia"/>
        </w:rPr>
      </w:pPr>
      <w:r w:rsidRPr="0040247D">
        <w:rPr>
          <w:rFonts w:eastAsiaTheme="majorEastAsia"/>
        </w:rPr>
        <w:t>* No individual AE reported in more than 5% of patients in this SOC</w:t>
      </w:r>
    </w:p>
    <w:p w14:paraId="2B95AC88" w14:textId="23824CF4" w:rsidR="001C0277" w:rsidRPr="0040247D" w:rsidRDefault="005E04F3" w:rsidP="001C0277">
      <w:pPr>
        <w:pStyle w:val="TableFigureFooter"/>
        <w:rPr>
          <w:rFonts w:eastAsiaTheme="majorEastAsia"/>
        </w:rPr>
      </w:pPr>
      <w:r w:rsidRPr="0040247D">
        <w:rPr>
          <w:rFonts w:eastAsiaTheme="majorEastAsia"/>
        </w:rPr>
        <w:t>SOC: Injury, poisoning and procedural complications not included as data not available for Lee 2012 and Lee 2014 and in TOL2581A no single TEAE was reported in &gt;5% patients. Note this SOC includes arthropod bite, concussion, contusion, fall, foot fracture etc. that are likely mainly related to childhood injuries. Details are fully reported in Table 2.42.</w:t>
      </w:r>
    </w:p>
    <w:p w14:paraId="7087A7C6" w14:textId="0B68E44E" w:rsidR="00E364A2" w:rsidRPr="0040247D" w:rsidRDefault="00E364A2" w:rsidP="00174FA9">
      <w:pPr>
        <w:pStyle w:val="TableFigureFooter"/>
        <w:rPr>
          <w:rFonts w:eastAsiaTheme="majorEastAsia"/>
        </w:rPr>
      </w:pPr>
    </w:p>
    <w:p w14:paraId="63302D29" w14:textId="385ACB76" w:rsidR="00FC3916" w:rsidRPr="00E57B4B" w:rsidRDefault="001248A3" w:rsidP="0055154C">
      <w:pPr>
        <w:pStyle w:val="3-BodyText"/>
        <w:ind w:left="709"/>
        <w:rPr>
          <w:rFonts w:eastAsiaTheme="majorEastAsia"/>
        </w:rPr>
      </w:pPr>
      <w:r w:rsidRPr="00E57B4B">
        <w:t xml:space="preserve">The number of adverse events appear to be unfavourable to </w:t>
      </w:r>
      <w:proofErr w:type="spellStart"/>
      <w:r w:rsidR="001C0277" w:rsidRPr="00E57B4B">
        <w:t>Eligard</w:t>
      </w:r>
      <w:proofErr w:type="spellEnd"/>
      <w:r w:rsidR="001C0277" w:rsidRPr="00E57B4B">
        <w:t xml:space="preserve"> 6 month </w:t>
      </w:r>
      <w:r w:rsidRPr="00E57B4B">
        <w:t xml:space="preserve">compared to </w:t>
      </w:r>
      <w:proofErr w:type="spellStart"/>
      <w:r w:rsidR="002B4FCF" w:rsidRPr="00E57B4B">
        <w:t>Lucrin</w:t>
      </w:r>
      <w:proofErr w:type="spellEnd"/>
      <w:r w:rsidR="002B4FCF" w:rsidRPr="00E57B4B">
        <w:t xml:space="preserve"> Paediatric</w:t>
      </w:r>
      <w:r w:rsidR="001C0277" w:rsidRPr="00E57B4B">
        <w:t xml:space="preserve"> in </w:t>
      </w:r>
      <w:r w:rsidRPr="00E57B4B">
        <w:t xml:space="preserve">the </w:t>
      </w:r>
      <w:r w:rsidR="001C0277" w:rsidRPr="00E57B4B">
        <w:t>naïve treatment</w:t>
      </w:r>
      <w:r w:rsidRPr="00E57B4B">
        <w:t xml:space="preserve"> arm</w:t>
      </w:r>
      <w:r w:rsidR="00BB1046" w:rsidRPr="00E57B4B">
        <w:t>, h</w:t>
      </w:r>
      <w:r w:rsidR="001C0277" w:rsidRPr="00E57B4B">
        <w:t xml:space="preserve">owever, the trends appear to favour </w:t>
      </w:r>
      <w:proofErr w:type="spellStart"/>
      <w:r w:rsidR="001C0277" w:rsidRPr="00E57B4B">
        <w:t>Eligard</w:t>
      </w:r>
      <w:proofErr w:type="spellEnd"/>
      <w:r w:rsidR="001C0277" w:rsidRPr="00E57B4B">
        <w:t xml:space="preserve"> 6 month when comparing to Lee 2014 extension</w:t>
      </w:r>
      <w:r w:rsidR="00BB1046" w:rsidRPr="00E57B4B">
        <w:t>, noting that the p</w:t>
      </w:r>
      <w:r w:rsidRPr="00E57B4B">
        <w:t xml:space="preserve">atients in the Lee 2014 were </w:t>
      </w:r>
      <w:r w:rsidR="00386736" w:rsidRPr="00E57B4B">
        <w:t xml:space="preserve">treatment </w:t>
      </w:r>
      <w:r w:rsidR="00190C19" w:rsidRPr="00E57B4B">
        <w:t>experienced</w:t>
      </w:r>
      <w:r w:rsidRPr="00E57B4B">
        <w:t xml:space="preserve">. </w:t>
      </w:r>
      <w:r w:rsidR="001C0277" w:rsidRPr="00E57B4B">
        <w:t xml:space="preserve">Given the high risk of bias </w:t>
      </w:r>
      <w:r w:rsidR="00C14E26" w:rsidRPr="00E57B4B">
        <w:t>of all included studies and that they were all single arm studies</w:t>
      </w:r>
      <w:r w:rsidR="001C0277" w:rsidRPr="00E57B4B">
        <w:t xml:space="preserve">, </w:t>
      </w:r>
      <w:r w:rsidR="00C14E26" w:rsidRPr="00E57B4B">
        <w:t xml:space="preserve">the comparison </w:t>
      </w:r>
      <w:r w:rsidR="00723E9A" w:rsidRPr="00E57B4B">
        <w:t xml:space="preserve">was </w:t>
      </w:r>
      <w:r w:rsidR="00C14E26" w:rsidRPr="00E57B4B">
        <w:t>uncertain.</w:t>
      </w:r>
    </w:p>
    <w:p w14:paraId="03F8042E" w14:textId="35C17C16" w:rsidR="00E10B9A" w:rsidRPr="0040247D" w:rsidRDefault="00E10B9A" w:rsidP="0055154C">
      <w:pPr>
        <w:pStyle w:val="3-BodyText"/>
        <w:ind w:left="709"/>
      </w:pPr>
      <w:r w:rsidRPr="0040247D">
        <w:t xml:space="preserve">The submission claimed that </w:t>
      </w:r>
      <w:r w:rsidR="00BB1046">
        <w:t xml:space="preserve">the </w:t>
      </w:r>
      <w:r w:rsidRPr="0040247D">
        <w:t xml:space="preserve">administration of </w:t>
      </w:r>
      <w:proofErr w:type="spellStart"/>
      <w:r w:rsidRPr="0040247D">
        <w:t>Eligard</w:t>
      </w:r>
      <w:proofErr w:type="spellEnd"/>
      <w:r w:rsidRPr="0040247D">
        <w:t xml:space="preserve"> 6 month via subcutaneous injection would be less painful compared to </w:t>
      </w:r>
      <w:proofErr w:type="spellStart"/>
      <w:r w:rsidR="002B4FCF" w:rsidRPr="0040247D">
        <w:t>Lucrin</w:t>
      </w:r>
      <w:proofErr w:type="spellEnd"/>
      <w:r w:rsidR="002B4FCF" w:rsidRPr="0040247D">
        <w:t xml:space="preserve"> Paediatric</w:t>
      </w:r>
      <w:r w:rsidRPr="0040247D">
        <w:t xml:space="preserve"> which is administered via intramuscular injection. </w:t>
      </w:r>
      <w:r w:rsidR="00543D3B" w:rsidRPr="00E57B4B">
        <w:t>T</w:t>
      </w:r>
      <w:r w:rsidR="0003744D" w:rsidRPr="00E57B4B">
        <w:t>his</w:t>
      </w:r>
      <w:r w:rsidRPr="00E57B4B">
        <w:t xml:space="preserve"> was not adequately supported</w:t>
      </w:r>
      <w:r w:rsidR="00655803" w:rsidRPr="00E57B4B">
        <w:t xml:space="preserve"> by the trial data</w:t>
      </w:r>
      <w:r w:rsidRPr="00E57B4B">
        <w:t>: injection site pain was reported at 31% in TOL2581A (</w:t>
      </w:r>
      <w:proofErr w:type="spellStart"/>
      <w:r w:rsidRPr="00E57B4B">
        <w:t>Eligard</w:t>
      </w:r>
      <w:proofErr w:type="spellEnd"/>
      <w:r w:rsidRPr="00E57B4B">
        <w:t xml:space="preserve"> 6 month) compared to 19% </w:t>
      </w:r>
      <w:r w:rsidR="009F1580" w:rsidRPr="009F1580">
        <w:t>(treatment-naïve patients)</w:t>
      </w:r>
      <w:r w:rsidR="009F1580">
        <w:t xml:space="preserve"> </w:t>
      </w:r>
      <w:r w:rsidRPr="00E57B4B">
        <w:t>and 33%</w:t>
      </w:r>
      <w:r w:rsidR="009F1580">
        <w:t xml:space="preserve"> (</w:t>
      </w:r>
      <w:r w:rsidR="009F1580" w:rsidRPr="009F1580">
        <w:t>previously treated patients</w:t>
      </w:r>
      <w:r w:rsidR="009F1580">
        <w:t>)</w:t>
      </w:r>
      <w:r w:rsidRPr="00E57B4B">
        <w:t xml:space="preserve"> in Lee 2012 (</w:t>
      </w:r>
      <w:proofErr w:type="spellStart"/>
      <w:r w:rsidR="002B4FCF" w:rsidRPr="00E57B4B">
        <w:t>Lucrin</w:t>
      </w:r>
      <w:proofErr w:type="spellEnd"/>
      <w:r w:rsidR="002B4FCF" w:rsidRPr="00E57B4B">
        <w:t xml:space="preserve"> Paediatric</w:t>
      </w:r>
      <w:r w:rsidRPr="00E57B4B">
        <w:t>).</w:t>
      </w:r>
    </w:p>
    <w:p w14:paraId="7A1772B6" w14:textId="1F3C42FB" w:rsidR="00B60939" w:rsidRPr="0040247D" w:rsidRDefault="00B60939" w:rsidP="00703F04">
      <w:pPr>
        <w:pStyle w:val="4-SubsectionHeading"/>
      </w:pPr>
      <w:bookmarkStart w:id="28" w:name="_Toc22897644"/>
      <w:bookmarkStart w:id="29" w:name="_Toc103764963"/>
      <w:r w:rsidRPr="0040247D">
        <w:lastRenderedPageBreak/>
        <w:t>Clinical claim</w:t>
      </w:r>
      <w:bookmarkEnd w:id="28"/>
      <w:bookmarkEnd w:id="29"/>
    </w:p>
    <w:p w14:paraId="09DC3B2D" w14:textId="0B945EAC" w:rsidR="00CA1457" w:rsidRPr="00203927" w:rsidRDefault="00BB50B6" w:rsidP="0056658D">
      <w:pPr>
        <w:pStyle w:val="3-BodyText"/>
        <w:ind w:left="709"/>
        <w:rPr>
          <w:iCs/>
        </w:rPr>
      </w:pPr>
      <w:r w:rsidRPr="0040247D">
        <w:t xml:space="preserve">The submission described </w:t>
      </w:r>
      <w:proofErr w:type="spellStart"/>
      <w:r w:rsidRPr="0040247D">
        <w:t>Eligard</w:t>
      </w:r>
      <w:proofErr w:type="spellEnd"/>
      <w:r w:rsidRPr="0040247D">
        <w:t xml:space="preserve"> 6 month as non-inferior in terms of effectiveness and safety compared with </w:t>
      </w:r>
      <w:proofErr w:type="spellStart"/>
      <w:r w:rsidR="002B4FCF" w:rsidRPr="0056658D">
        <w:rPr>
          <w:bCs/>
        </w:rPr>
        <w:t>Lucrin</w:t>
      </w:r>
      <w:proofErr w:type="spellEnd"/>
      <w:r w:rsidR="002B4FCF" w:rsidRPr="0056658D">
        <w:rPr>
          <w:bCs/>
        </w:rPr>
        <w:t xml:space="preserve"> Paediatric</w:t>
      </w:r>
      <w:r w:rsidRPr="0040247D">
        <w:t xml:space="preserve">. The submission also described </w:t>
      </w:r>
      <w:proofErr w:type="spellStart"/>
      <w:r w:rsidRPr="0040247D">
        <w:t>Eligard</w:t>
      </w:r>
      <w:proofErr w:type="spellEnd"/>
      <w:r w:rsidRPr="0040247D">
        <w:t xml:space="preserve"> 6 month as non-inferior in terms of effectiveness and safety compared with </w:t>
      </w:r>
      <w:proofErr w:type="spellStart"/>
      <w:r w:rsidR="00F32442" w:rsidRPr="0040247D">
        <w:t>Diphereline</w:t>
      </w:r>
      <w:proofErr w:type="spellEnd"/>
      <w:r w:rsidRPr="0040247D">
        <w:t xml:space="preserve">. </w:t>
      </w:r>
      <w:r w:rsidRPr="00E57B4B">
        <w:t xml:space="preserve">Both claims were based on numerical trends in a naïve comparison of </w:t>
      </w:r>
      <w:r w:rsidR="0056658D" w:rsidRPr="00E57B4B">
        <w:t xml:space="preserve">the </w:t>
      </w:r>
      <w:r w:rsidRPr="00E57B4B">
        <w:t>single treatment arms of different studies with</w:t>
      </w:r>
      <w:r w:rsidR="0056658D" w:rsidRPr="00E57B4B">
        <w:t xml:space="preserve"> a</w:t>
      </w:r>
      <w:r w:rsidRPr="00E57B4B">
        <w:t xml:space="preserve"> high risk of bias. Consequently, the evaluation considered </w:t>
      </w:r>
      <w:r w:rsidR="00454B03" w:rsidRPr="00E57B4B">
        <w:t xml:space="preserve">that </w:t>
      </w:r>
      <w:r w:rsidRPr="00E57B4B">
        <w:t xml:space="preserve">the reliability of these claims </w:t>
      </w:r>
      <w:r w:rsidR="00454B03" w:rsidRPr="00E57B4B">
        <w:t xml:space="preserve">was </w:t>
      </w:r>
      <w:r w:rsidRPr="00E57B4B">
        <w:t>not strong</w:t>
      </w:r>
      <w:r w:rsidR="0056658D" w:rsidRPr="00E57B4B">
        <w:t>,</w:t>
      </w:r>
      <w:r w:rsidRPr="00E57B4B">
        <w:t xml:space="preserve"> </w:t>
      </w:r>
      <w:r w:rsidR="0056658D" w:rsidRPr="00E57B4B">
        <w:rPr>
          <w:rFonts w:eastAsia="Calibri"/>
        </w:rPr>
        <w:t>h</w:t>
      </w:r>
      <w:r w:rsidRPr="00E57B4B">
        <w:rPr>
          <w:rFonts w:eastAsia="Calibri"/>
        </w:rPr>
        <w:t xml:space="preserve">owever, as </w:t>
      </w:r>
      <w:r w:rsidRPr="00E57B4B">
        <w:t xml:space="preserve">the PBAC has previously accepted the non-inferiority of </w:t>
      </w:r>
      <w:proofErr w:type="spellStart"/>
      <w:r w:rsidR="00F32442" w:rsidRPr="00E57B4B">
        <w:t>Diphereline</w:t>
      </w:r>
      <w:proofErr w:type="spellEnd"/>
      <w:r w:rsidR="00F32442" w:rsidRPr="00E57B4B">
        <w:t xml:space="preserve"> </w:t>
      </w:r>
      <w:r w:rsidRPr="00E57B4B">
        <w:t xml:space="preserve">compared to </w:t>
      </w:r>
      <w:proofErr w:type="spellStart"/>
      <w:r w:rsidRPr="00E57B4B">
        <w:t>Lucrin</w:t>
      </w:r>
      <w:proofErr w:type="spellEnd"/>
      <w:r w:rsidRPr="00E57B4B">
        <w:t xml:space="preserve"> Depot Paediatric 30 mg with </w:t>
      </w:r>
      <w:r w:rsidR="0056658D" w:rsidRPr="00E57B4B">
        <w:t xml:space="preserve">an </w:t>
      </w:r>
      <w:r w:rsidRPr="00E57B4B">
        <w:t>equivalent level of evidence (PBAC triptorelin</w:t>
      </w:r>
      <w:r w:rsidR="0066642A">
        <w:t xml:space="preserve"> </w:t>
      </w:r>
      <w:r w:rsidRPr="00E57B4B">
        <w:t>PSD July 2021)</w:t>
      </w:r>
      <w:r w:rsidRPr="00E57B4B">
        <w:rPr>
          <w:rStyle w:val="FootnoteReference"/>
        </w:rPr>
        <w:footnoteReference w:id="9"/>
      </w:r>
      <w:r w:rsidRPr="00E57B4B">
        <w:t xml:space="preserve">, it </w:t>
      </w:r>
      <w:r w:rsidR="0003744D" w:rsidRPr="00E57B4B">
        <w:t xml:space="preserve">may </w:t>
      </w:r>
      <w:r w:rsidRPr="00E57B4B">
        <w:t xml:space="preserve">be reasonable to extend the equivalence to </w:t>
      </w:r>
      <w:proofErr w:type="spellStart"/>
      <w:r w:rsidRPr="00E57B4B">
        <w:t>Eligard</w:t>
      </w:r>
      <w:proofErr w:type="spellEnd"/>
      <w:r w:rsidRPr="00E57B4B">
        <w:t xml:space="preserve"> 6 month.</w:t>
      </w:r>
    </w:p>
    <w:p w14:paraId="0688C827" w14:textId="0A24D611" w:rsidR="00203927" w:rsidRPr="00203927" w:rsidRDefault="00203927" w:rsidP="008F5750">
      <w:pPr>
        <w:pStyle w:val="3-BodyText"/>
        <w:ind w:left="709"/>
        <w:rPr>
          <w:iCs/>
        </w:rPr>
      </w:pPr>
      <w:r w:rsidRPr="00203927">
        <w:rPr>
          <w:iCs/>
          <w:snapToGrid w:val="0"/>
        </w:rPr>
        <w:t>The</w:t>
      </w:r>
      <w:r w:rsidRPr="00203927">
        <w:rPr>
          <w:snapToGrid w:val="0"/>
        </w:rPr>
        <w:t xml:space="preserve"> PBAC considered that the claim of non-inferior comparative effectiveness and safety was reasonably supported by the data.</w:t>
      </w:r>
    </w:p>
    <w:p w14:paraId="22779D57" w14:textId="77777777" w:rsidR="00E364A2" w:rsidRPr="0040247D" w:rsidRDefault="00B60939" w:rsidP="00703F04">
      <w:pPr>
        <w:pStyle w:val="4-SubsectionHeading"/>
      </w:pPr>
      <w:bookmarkStart w:id="30" w:name="_Toc22897645"/>
      <w:bookmarkStart w:id="31" w:name="_Toc103764964"/>
      <w:r w:rsidRPr="0040247D">
        <w:t>Economic analysis</w:t>
      </w:r>
      <w:bookmarkEnd w:id="30"/>
      <w:bookmarkEnd w:id="31"/>
    </w:p>
    <w:p w14:paraId="68DED532" w14:textId="047DCE0C" w:rsidR="00804AD2" w:rsidRPr="0040247D" w:rsidRDefault="0028444B" w:rsidP="0055154C">
      <w:pPr>
        <w:pStyle w:val="3-BodyText"/>
        <w:ind w:left="709"/>
      </w:pPr>
      <w:r w:rsidRPr="0040247D">
        <w:t>The submission presented a cost-</w:t>
      </w:r>
      <w:r w:rsidR="003D21BD" w:rsidRPr="0040247D">
        <w:t>minimisation a</w:t>
      </w:r>
      <w:r w:rsidR="00805DE4" w:rsidRPr="0040247D">
        <w:t>pproach</w:t>
      </w:r>
      <w:r w:rsidR="003D21BD" w:rsidRPr="0040247D">
        <w:t>.</w:t>
      </w:r>
      <w:r w:rsidR="00804AD2" w:rsidRPr="0040247D">
        <w:t xml:space="preserve"> The key assumptions and components of the cost-minimisation approach are summarised in </w:t>
      </w:r>
      <w:r w:rsidR="00462119" w:rsidRPr="0040247D">
        <w:fldChar w:fldCharType="begin"/>
      </w:r>
      <w:r w:rsidR="00462119" w:rsidRPr="0040247D">
        <w:instrText xml:space="preserve"> REF _Ref102728055 \h </w:instrText>
      </w:r>
      <w:r w:rsidR="00462119" w:rsidRPr="0040247D">
        <w:fldChar w:fldCharType="separate"/>
      </w:r>
      <w:r w:rsidR="00462119" w:rsidRPr="0040247D">
        <w:t>Table 8</w:t>
      </w:r>
      <w:r w:rsidR="00462119" w:rsidRPr="0040247D">
        <w:fldChar w:fldCharType="end"/>
      </w:r>
      <w:r w:rsidR="00804AD2" w:rsidRPr="0040247D">
        <w:t>.</w:t>
      </w:r>
    </w:p>
    <w:p w14:paraId="47A5CFC8" w14:textId="3B2C1386" w:rsidR="00804AD2" w:rsidRPr="0040247D" w:rsidRDefault="000F38FB" w:rsidP="00804AD2">
      <w:pPr>
        <w:pStyle w:val="TableFigureHeading"/>
        <w:rPr>
          <w:rStyle w:val="CommentReference"/>
          <w:b/>
          <w:szCs w:val="24"/>
        </w:rPr>
      </w:pPr>
      <w:bookmarkStart w:id="32" w:name="_Ref102728055"/>
      <w:r w:rsidRPr="0040247D">
        <w:t xml:space="preserve">Table </w:t>
      </w:r>
      <w:fldSimple w:instr=" SEQ Table \* ARABIC ">
        <w:r w:rsidRPr="0040247D">
          <w:t>8</w:t>
        </w:r>
      </w:fldSimple>
      <w:bookmarkEnd w:id="32"/>
      <w:r w:rsidR="00333F85" w:rsidRPr="0040247D">
        <w:rPr>
          <w:rStyle w:val="CommentReference"/>
          <w:b/>
          <w:szCs w:val="24"/>
        </w:rPr>
        <w:t>:</w:t>
      </w:r>
      <w:r w:rsidR="00804AD2" w:rsidRPr="0040247D">
        <w:rPr>
          <w:rStyle w:val="CommentReference"/>
          <w:b/>
          <w:szCs w:val="24"/>
        </w:rPr>
        <w:t xml:space="preserve"> Key components and assumptions of the cost-minimisation analysis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Key components and assumptions of the cost-minimisation analysis"/>
        <w:tblDescription w:val="Table 8: Key components and assumptions of the cost-minimisation analysis"/>
      </w:tblPr>
      <w:tblGrid>
        <w:gridCol w:w="2660"/>
        <w:gridCol w:w="6124"/>
      </w:tblGrid>
      <w:tr w:rsidR="00067771" w:rsidRPr="0040247D" w14:paraId="2764DE43" w14:textId="77777777" w:rsidTr="00AC59E7">
        <w:tc>
          <w:tcPr>
            <w:tcW w:w="2660" w:type="dxa"/>
            <w:vAlign w:val="center"/>
          </w:tcPr>
          <w:p w14:paraId="3F2105B8" w14:textId="77777777" w:rsidR="00804AD2" w:rsidRPr="0040247D" w:rsidRDefault="00804AD2" w:rsidP="000B0576">
            <w:pPr>
              <w:pStyle w:val="In-tableHeading"/>
              <w:rPr>
                <w:lang w:val="en-AU"/>
              </w:rPr>
            </w:pPr>
            <w:r w:rsidRPr="0040247D">
              <w:rPr>
                <w:lang w:val="en-AU"/>
              </w:rPr>
              <w:t>Component</w:t>
            </w:r>
          </w:p>
        </w:tc>
        <w:tc>
          <w:tcPr>
            <w:tcW w:w="6124" w:type="dxa"/>
            <w:vAlign w:val="center"/>
          </w:tcPr>
          <w:p w14:paraId="70E54A6B" w14:textId="77777777" w:rsidR="00804AD2" w:rsidRPr="0040247D" w:rsidRDefault="00804AD2" w:rsidP="000B0576">
            <w:pPr>
              <w:pStyle w:val="In-tableHeading"/>
              <w:rPr>
                <w:lang w:val="en-AU"/>
              </w:rPr>
            </w:pPr>
            <w:r w:rsidRPr="0040247D">
              <w:rPr>
                <w:lang w:val="en-AU"/>
              </w:rPr>
              <w:t>Claim or assumption</w:t>
            </w:r>
          </w:p>
        </w:tc>
      </w:tr>
      <w:tr w:rsidR="00067771" w:rsidRPr="0040247D" w14:paraId="637C184C" w14:textId="77777777" w:rsidTr="00AC59E7">
        <w:tc>
          <w:tcPr>
            <w:tcW w:w="2660" w:type="dxa"/>
            <w:vAlign w:val="center"/>
          </w:tcPr>
          <w:p w14:paraId="63AF7FB0" w14:textId="77777777" w:rsidR="00804AD2" w:rsidRPr="0040247D" w:rsidRDefault="00804AD2" w:rsidP="000B0576">
            <w:pPr>
              <w:pStyle w:val="TableText0"/>
            </w:pPr>
            <w:r w:rsidRPr="0040247D">
              <w:t>Therapeutic claim: effectiveness</w:t>
            </w:r>
          </w:p>
        </w:tc>
        <w:tc>
          <w:tcPr>
            <w:tcW w:w="6124" w:type="dxa"/>
            <w:vAlign w:val="center"/>
          </w:tcPr>
          <w:p w14:paraId="5EC26A7D" w14:textId="5B7DE0A0" w:rsidR="00804AD2" w:rsidRPr="0040247D" w:rsidRDefault="00804AD2" w:rsidP="000B0576">
            <w:pPr>
              <w:pStyle w:val="TableText0"/>
            </w:pPr>
            <w:r w:rsidRPr="0040247D">
              <w:t>Based on evidence presented</w:t>
            </w:r>
            <w:r w:rsidR="00AE473E" w:rsidRPr="0040247D">
              <w:t xml:space="preserve"> in the</w:t>
            </w:r>
            <w:r w:rsidR="00A73C49" w:rsidRPr="0040247D">
              <w:t xml:space="preserve"> Comparative Effective and Clinical Claim se</w:t>
            </w:r>
            <w:r w:rsidR="009044B9" w:rsidRPr="0040247D">
              <w:t>ct</w:t>
            </w:r>
            <w:r w:rsidR="00A73C49" w:rsidRPr="0040247D">
              <w:t>ions</w:t>
            </w:r>
            <w:r w:rsidRPr="0040247D">
              <w:t>, effectiveness is assumed to be non-inferior</w:t>
            </w:r>
          </w:p>
        </w:tc>
      </w:tr>
      <w:tr w:rsidR="00067771" w:rsidRPr="0040247D" w14:paraId="11B012B1" w14:textId="77777777" w:rsidTr="00AC59E7">
        <w:tc>
          <w:tcPr>
            <w:tcW w:w="2660" w:type="dxa"/>
            <w:vAlign w:val="center"/>
          </w:tcPr>
          <w:p w14:paraId="2ABD021D" w14:textId="77777777" w:rsidR="00804AD2" w:rsidRPr="0040247D" w:rsidRDefault="00804AD2" w:rsidP="000B0576">
            <w:pPr>
              <w:pStyle w:val="TableText0"/>
            </w:pPr>
            <w:r w:rsidRPr="0040247D">
              <w:t>Therapeutic claim: safety</w:t>
            </w:r>
          </w:p>
        </w:tc>
        <w:tc>
          <w:tcPr>
            <w:tcW w:w="6124" w:type="dxa"/>
            <w:vAlign w:val="center"/>
          </w:tcPr>
          <w:p w14:paraId="3006D898" w14:textId="7A46FD55" w:rsidR="00804AD2" w:rsidRPr="0040247D" w:rsidRDefault="00804AD2" w:rsidP="0028444B">
            <w:pPr>
              <w:pStyle w:val="TableText0"/>
            </w:pPr>
            <w:r w:rsidRPr="0040247D">
              <w:t xml:space="preserve">Based on evidence presented in </w:t>
            </w:r>
            <w:r w:rsidR="00AE473E" w:rsidRPr="0040247D">
              <w:t xml:space="preserve">the </w:t>
            </w:r>
            <w:r w:rsidR="00A73C49" w:rsidRPr="0040247D">
              <w:t xml:space="preserve">Comparative Harm and Clinical Claim </w:t>
            </w:r>
            <w:r w:rsidR="009044B9" w:rsidRPr="0040247D">
              <w:t>sections</w:t>
            </w:r>
            <w:r w:rsidRPr="0040247D">
              <w:t xml:space="preserve">, safety is assumed to </w:t>
            </w:r>
            <w:r w:rsidR="0028444B" w:rsidRPr="0040247D">
              <w:t>be non-inferior</w:t>
            </w:r>
          </w:p>
        </w:tc>
      </w:tr>
      <w:tr w:rsidR="00067771" w:rsidRPr="0040247D" w14:paraId="0537CFA9" w14:textId="77777777" w:rsidTr="00AC59E7">
        <w:tc>
          <w:tcPr>
            <w:tcW w:w="2660" w:type="dxa"/>
            <w:vAlign w:val="center"/>
          </w:tcPr>
          <w:p w14:paraId="2AC9D11E" w14:textId="77777777" w:rsidR="00804AD2" w:rsidRPr="0040247D" w:rsidRDefault="00804AD2" w:rsidP="000B0576">
            <w:pPr>
              <w:pStyle w:val="TableText0"/>
            </w:pPr>
            <w:r w:rsidRPr="0040247D">
              <w:t>Evidence base</w:t>
            </w:r>
          </w:p>
        </w:tc>
        <w:tc>
          <w:tcPr>
            <w:tcW w:w="6124" w:type="dxa"/>
            <w:shd w:val="clear" w:color="auto" w:fill="auto"/>
            <w:vAlign w:val="center"/>
          </w:tcPr>
          <w:p w14:paraId="2DC0E0B0" w14:textId="69565AEE" w:rsidR="00804AD2" w:rsidRPr="0040247D" w:rsidRDefault="001D2E33" w:rsidP="000B0576">
            <w:pPr>
              <w:pStyle w:val="TableText0"/>
            </w:pPr>
            <w:r w:rsidRPr="0040247D">
              <w:t>Naïve treatment comparison of TOL2581A</w:t>
            </w:r>
            <w:r w:rsidR="00A73C49" w:rsidRPr="0040247D">
              <w:t xml:space="preserve"> (</w:t>
            </w:r>
            <w:proofErr w:type="spellStart"/>
            <w:r w:rsidR="00A73C49" w:rsidRPr="0040247D">
              <w:t>Eligard</w:t>
            </w:r>
            <w:proofErr w:type="spellEnd"/>
            <w:r w:rsidR="00A73C49" w:rsidRPr="0040247D">
              <w:t xml:space="preserve"> 6 month) versus</w:t>
            </w:r>
            <w:r w:rsidRPr="0040247D">
              <w:t xml:space="preserve"> Lee 2012</w:t>
            </w:r>
            <w:r w:rsidR="00A73C49" w:rsidRPr="0040247D">
              <w:t xml:space="preserve"> and </w:t>
            </w:r>
            <w:r w:rsidRPr="0040247D">
              <w:t>Lee 2014</w:t>
            </w:r>
            <w:r w:rsidR="00A73C49" w:rsidRPr="0040247D">
              <w:t xml:space="preserve"> (</w:t>
            </w:r>
            <w:proofErr w:type="spellStart"/>
            <w:r w:rsidR="002B4FCF" w:rsidRPr="0040247D">
              <w:t>Lucrin</w:t>
            </w:r>
            <w:proofErr w:type="spellEnd"/>
            <w:r w:rsidR="002B4FCF" w:rsidRPr="0040247D">
              <w:t xml:space="preserve"> Paediatric</w:t>
            </w:r>
            <w:r w:rsidR="00A73C49" w:rsidRPr="0040247D">
              <w:t>)</w:t>
            </w:r>
          </w:p>
          <w:p w14:paraId="1B6823F3" w14:textId="7F033D21" w:rsidR="00A73C49" w:rsidRPr="0040247D" w:rsidRDefault="003B0905" w:rsidP="000B0576">
            <w:pPr>
              <w:pStyle w:val="TableText0"/>
            </w:pPr>
            <w:r w:rsidRPr="0040247D">
              <w:t>Naïve treatment comparison of TOL2581A (</w:t>
            </w:r>
            <w:proofErr w:type="spellStart"/>
            <w:r w:rsidRPr="0040247D">
              <w:t>Eligard</w:t>
            </w:r>
            <w:proofErr w:type="spellEnd"/>
            <w:r w:rsidRPr="0040247D">
              <w:t xml:space="preserve"> 6 month) versus Study 301 (</w:t>
            </w:r>
            <w:proofErr w:type="spellStart"/>
            <w:r w:rsidR="00F32442" w:rsidRPr="0040247D">
              <w:t>Diphereline</w:t>
            </w:r>
            <w:proofErr w:type="spellEnd"/>
            <w:r w:rsidRPr="0040247D">
              <w:t>)</w:t>
            </w:r>
          </w:p>
        </w:tc>
      </w:tr>
      <w:tr w:rsidR="00067771" w:rsidRPr="0040247D" w14:paraId="2769722D" w14:textId="77777777" w:rsidTr="00AC59E7">
        <w:tc>
          <w:tcPr>
            <w:tcW w:w="2660" w:type="dxa"/>
            <w:vAlign w:val="center"/>
          </w:tcPr>
          <w:p w14:paraId="49264A94" w14:textId="77777777" w:rsidR="00804AD2" w:rsidRPr="0040247D" w:rsidRDefault="00804AD2" w:rsidP="000B0576">
            <w:pPr>
              <w:pStyle w:val="TableText0"/>
            </w:pPr>
            <w:proofErr w:type="spellStart"/>
            <w:r w:rsidRPr="0040247D">
              <w:t>Equi</w:t>
            </w:r>
            <w:proofErr w:type="spellEnd"/>
            <w:r w:rsidRPr="0040247D">
              <w:t>-effective doses</w:t>
            </w:r>
          </w:p>
        </w:tc>
        <w:tc>
          <w:tcPr>
            <w:tcW w:w="6124" w:type="dxa"/>
            <w:shd w:val="clear" w:color="auto" w:fill="auto"/>
            <w:vAlign w:val="center"/>
          </w:tcPr>
          <w:p w14:paraId="2585811B" w14:textId="30EB3B9F" w:rsidR="00804AD2" w:rsidRPr="0040247D" w:rsidRDefault="001D2E33" w:rsidP="000B0576">
            <w:pPr>
              <w:pStyle w:val="TableText0"/>
            </w:pPr>
            <w:r w:rsidRPr="0040247D">
              <w:t xml:space="preserve">2 injections of </w:t>
            </w:r>
            <w:proofErr w:type="spellStart"/>
            <w:r w:rsidRPr="0040247D">
              <w:t>Eligard</w:t>
            </w:r>
            <w:proofErr w:type="spellEnd"/>
            <w:r w:rsidRPr="0040247D">
              <w:t xml:space="preserve"> 6 month (45 mg) were </w:t>
            </w:r>
            <w:proofErr w:type="spellStart"/>
            <w:r w:rsidRPr="0040247D">
              <w:t>equi</w:t>
            </w:r>
            <w:proofErr w:type="spellEnd"/>
            <w:r w:rsidRPr="0040247D">
              <w:t xml:space="preserve">-effective to 4 injections of </w:t>
            </w:r>
            <w:proofErr w:type="spellStart"/>
            <w:r w:rsidR="002B4FCF" w:rsidRPr="0040247D">
              <w:t>Lucrin</w:t>
            </w:r>
            <w:proofErr w:type="spellEnd"/>
            <w:r w:rsidR="002B4FCF" w:rsidRPr="0040247D">
              <w:t xml:space="preserve"> Paediatric</w:t>
            </w:r>
            <w:r w:rsidRPr="0040247D">
              <w:t>.</w:t>
            </w:r>
          </w:p>
          <w:p w14:paraId="3647F822" w14:textId="77777777" w:rsidR="0016467F" w:rsidRPr="0040247D" w:rsidRDefault="0016467F" w:rsidP="000B0576">
            <w:pPr>
              <w:pStyle w:val="TableText0"/>
            </w:pPr>
          </w:p>
          <w:p w14:paraId="1548DD96" w14:textId="14B3A949" w:rsidR="0016467F" w:rsidRPr="0040247D" w:rsidRDefault="003B0905" w:rsidP="000B0576">
            <w:pPr>
              <w:pStyle w:val="TableText0"/>
            </w:pPr>
            <w:r w:rsidRPr="0040247D">
              <w:t xml:space="preserve">2 injections of </w:t>
            </w:r>
            <w:proofErr w:type="spellStart"/>
            <w:r w:rsidRPr="0040247D">
              <w:t>Eligard</w:t>
            </w:r>
            <w:proofErr w:type="spellEnd"/>
            <w:r w:rsidRPr="0040247D">
              <w:t xml:space="preserve"> 6 month (45 mg) were </w:t>
            </w:r>
            <w:proofErr w:type="spellStart"/>
            <w:r w:rsidRPr="0040247D">
              <w:t>equi</w:t>
            </w:r>
            <w:proofErr w:type="spellEnd"/>
            <w:r w:rsidRPr="0040247D">
              <w:t xml:space="preserve">-effective to 2 injections of </w:t>
            </w:r>
            <w:proofErr w:type="spellStart"/>
            <w:r w:rsidR="00F32442" w:rsidRPr="0040247D">
              <w:t>Diphereline</w:t>
            </w:r>
            <w:proofErr w:type="spellEnd"/>
          </w:p>
        </w:tc>
      </w:tr>
      <w:tr w:rsidR="00067771" w:rsidRPr="0040247D" w14:paraId="5B824177" w14:textId="77777777" w:rsidTr="00AC59E7">
        <w:tc>
          <w:tcPr>
            <w:tcW w:w="2660" w:type="dxa"/>
            <w:vAlign w:val="center"/>
          </w:tcPr>
          <w:p w14:paraId="134DE20C" w14:textId="77777777" w:rsidR="00804AD2" w:rsidRPr="0040247D" w:rsidRDefault="00804AD2" w:rsidP="000B0576">
            <w:pPr>
              <w:pStyle w:val="TableText0"/>
            </w:pPr>
            <w:r w:rsidRPr="0040247D">
              <w:t>Direct medicine costs</w:t>
            </w:r>
          </w:p>
        </w:tc>
        <w:tc>
          <w:tcPr>
            <w:tcW w:w="6124" w:type="dxa"/>
            <w:shd w:val="clear" w:color="auto" w:fill="auto"/>
            <w:vAlign w:val="center"/>
          </w:tcPr>
          <w:p w14:paraId="2DE59497" w14:textId="4B5B1076" w:rsidR="0016467F" w:rsidRPr="0040247D" w:rsidRDefault="001D2E33" w:rsidP="000B0576">
            <w:pPr>
              <w:pStyle w:val="TableText0"/>
            </w:pPr>
            <w:proofErr w:type="spellStart"/>
            <w:r w:rsidRPr="0040247D">
              <w:t>Eligard</w:t>
            </w:r>
            <w:proofErr w:type="spellEnd"/>
            <w:r w:rsidRPr="0040247D">
              <w:t xml:space="preserve"> </w:t>
            </w:r>
            <w:proofErr w:type="gramStart"/>
            <w:r w:rsidRPr="0040247D">
              <w:t>6 month</w:t>
            </w:r>
            <w:proofErr w:type="gramEnd"/>
            <w:r w:rsidRPr="0040247D">
              <w:t xml:space="preserve"> costs less than </w:t>
            </w:r>
            <w:proofErr w:type="spellStart"/>
            <w:r w:rsidR="002B4FCF" w:rsidRPr="0040247D">
              <w:t>Lucrin</w:t>
            </w:r>
            <w:proofErr w:type="spellEnd"/>
            <w:r w:rsidR="002B4FCF" w:rsidRPr="0040247D">
              <w:t xml:space="preserve"> Paediatric</w:t>
            </w:r>
            <w:r w:rsidRPr="0040247D">
              <w:t xml:space="preserve"> in terms of price per year</w:t>
            </w:r>
          </w:p>
        </w:tc>
      </w:tr>
      <w:tr w:rsidR="00067771" w:rsidRPr="0040247D" w14:paraId="5F711C94" w14:textId="77777777" w:rsidTr="00AC59E7">
        <w:tc>
          <w:tcPr>
            <w:tcW w:w="2660" w:type="dxa"/>
            <w:vAlign w:val="center"/>
          </w:tcPr>
          <w:p w14:paraId="2F165F8D" w14:textId="77777777" w:rsidR="00804AD2" w:rsidRPr="0040247D" w:rsidRDefault="00804AD2" w:rsidP="000B0576">
            <w:pPr>
              <w:pStyle w:val="TableText0"/>
            </w:pPr>
            <w:r w:rsidRPr="0040247D">
              <w:t>Other costs or cost offsets</w:t>
            </w:r>
          </w:p>
        </w:tc>
        <w:tc>
          <w:tcPr>
            <w:tcW w:w="6124" w:type="dxa"/>
            <w:vAlign w:val="center"/>
          </w:tcPr>
          <w:p w14:paraId="6C114EC2" w14:textId="1086C447" w:rsidR="00804AD2" w:rsidRPr="0040247D" w:rsidRDefault="001D2E33" w:rsidP="000B0576">
            <w:pPr>
              <w:pStyle w:val="TableText0"/>
            </w:pPr>
            <w:r w:rsidRPr="0040247D">
              <w:t>N</w:t>
            </w:r>
            <w:r w:rsidR="00804AD2" w:rsidRPr="0040247D">
              <w:t>one</w:t>
            </w:r>
          </w:p>
          <w:p w14:paraId="1D249B75" w14:textId="77777777" w:rsidR="0016467F" w:rsidRPr="0040247D" w:rsidRDefault="0016467F" w:rsidP="000B0576">
            <w:pPr>
              <w:pStyle w:val="TableText0"/>
            </w:pPr>
          </w:p>
          <w:p w14:paraId="085C7E97" w14:textId="7F936690" w:rsidR="0016467F" w:rsidRPr="0040247D" w:rsidRDefault="0077196B" w:rsidP="000B0576">
            <w:pPr>
              <w:pStyle w:val="TableText0"/>
              <w:rPr>
                <w:highlight w:val="yellow"/>
              </w:rPr>
            </w:pPr>
            <w:proofErr w:type="spellStart"/>
            <w:r w:rsidRPr="0040247D">
              <w:t>Eligard</w:t>
            </w:r>
            <w:proofErr w:type="spellEnd"/>
            <w:r w:rsidRPr="0040247D">
              <w:t xml:space="preserve"> 6 month has </w:t>
            </w:r>
            <w:r w:rsidR="009044B9" w:rsidRPr="0040247D">
              <w:t xml:space="preserve">a </w:t>
            </w:r>
            <w:r w:rsidRPr="0040247D">
              <w:t xml:space="preserve">similar administration route to </w:t>
            </w:r>
            <w:proofErr w:type="spellStart"/>
            <w:r w:rsidR="002B4FCF" w:rsidRPr="0040247D">
              <w:t>Lucrin</w:t>
            </w:r>
            <w:proofErr w:type="spellEnd"/>
            <w:r w:rsidR="002B4FCF" w:rsidRPr="0040247D">
              <w:t xml:space="preserve"> Paediatric</w:t>
            </w:r>
            <w:r w:rsidRPr="0040247D">
              <w:t xml:space="preserve"> and </w:t>
            </w:r>
            <w:proofErr w:type="spellStart"/>
            <w:r w:rsidR="007F5A54" w:rsidRPr="0040247D">
              <w:t>Diphereline</w:t>
            </w:r>
            <w:proofErr w:type="spellEnd"/>
            <w:r w:rsidRPr="0040247D">
              <w:t>.</w:t>
            </w:r>
            <w:r w:rsidR="008F6147" w:rsidRPr="0040247D">
              <w:t xml:space="preserve"> Other costs are expected to be equivalent. </w:t>
            </w:r>
          </w:p>
        </w:tc>
      </w:tr>
    </w:tbl>
    <w:p w14:paraId="494CF952" w14:textId="07B8DBA1" w:rsidR="003F36BD" w:rsidRPr="0040247D" w:rsidRDefault="001D2E33" w:rsidP="001D2E33">
      <w:pPr>
        <w:pStyle w:val="TableFigureFooter"/>
      </w:pPr>
      <w:r w:rsidRPr="0040247D">
        <w:t xml:space="preserve">Source: Table 3-1, </w:t>
      </w:r>
      <w:r w:rsidR="00A03C0A" w:rsidRPr="0040247D">
        <w:t>p99; Table 3</w:t>
      </w:r>
      <w:r w:rsidR="00085860" w:rsidRPr="0040247D">
        <w:t>-</w:t>
      </w:r>
      <w:r w:rsidR="00A03C0A" w:rsidRPr="0040247D">
        <w:t xml:space="preserve">2, p102; </w:t>
      </w:r>
      <w:r w:rsidRPr="00DB490D">
        <w:rPr>
          <w:iCs/>
        </w:rPr>
        <w:t xml:space="preserve">Text </w:t>
      </w:r>
      <w:r w:rsidR="00A03C0A" w:rsidRPr="00DB490D">
        <w:rPr>
          <w:iCs/>
        </w:rPr>
        <w:t>compiled from submission</w:t>
      </w:r>
      <w:r w:rsidRPr="00DB490D">
        <w:rPr>
          <w:iCs/>
        </w:rPr>
        <w:t>,</w:t>
      </w:r>
      <w:r w:rsidRPr="0040247D">
        <w:t xml:space="preserve"> p99-102 of the submission. </w:t>
      </w:r>
    </w:p>
    <w:p w14:paraId="4B97D3C5" w14:textId="54D2B180" w:rsidR="00E364A2" w:rsidRPr="0040247D" w:rsidRDefault="001D2E33" w:rsidP="00804AD2">
      <w:pPr>
        <w:pStyle w:val="TableFigureFooter"/>
      </w:pPr>
      <w:r w:rsidRPr="0040247D">
        <w:t>AE</w:t>
      </w:r>
      <w:r w:rsidR="003F36BD" w:rsidRPr="0040247D">
        <w:t>,</w:t>
      </w:r>
      <w:r w:rsidRPr="0040247D">
        <w:t xml:space="preserve"> adverse event; MBS</w:t>
      </w:r>
      <w:r w:rsidR="003F36BD" w:rsidRPr="0040247D">
        <w:t xml:space="preserve">, </w:t>
      </w:r>
      <w:r w:rsidRPr="0040247D">
        <w:t>Medicare Benefits Schedule</w:t>
      </w:r>
    </w:p>
    <w:p w14:paraId="1F9481D0" w14:textId="6CB33484" w:rsidR="00F96E37" w:rsidRPr="0040247D" w:rsidRDefault="00F96E37" w:rsidP="0055154C">
      <w:pPr>
        <w:pStyle w:val="3-BodyText"/>
        <w:ind w:left="709"/>
      </w:pPr>
      <w:r w:rsidRPr="0040247D">
        <w:t xml:space="preserve">The submission requested a price consistent with the current price </w:t>
      </w:r>
      <w:r w:rsidR="004F7A72">
        <w:t>of</w:t>
      </w:r>
      <w:r w:rsidRPr="0040247D">
        <w:t xml:space="preserve"> </w:t>
      </w:r>
      <w:proofErr w:type="spellStart"/>
      <w:r w:rsidRPr="0040247D">
        <w:t>Eligard</w:t>
      </w:r>
      <w:proofErr w:type="spellEnd"/>
      <w:r w:rsidRPr="0040247D">
        <w:t xml:space="preserve"> 6 month for the prostate cancer indication (</w:t>
      </w:r>
      <w:r w:rsidR="007C0C2A" w:rsidRPr="0040247D">
        <w:t>AEMP $1,606.32).</w:t>
      </w:r>
    </w:p>
    <w:p w14:paraId="36D697E2" w14:textId="22627CD9" w:rsidR="00E10B9A" w:rsidRPr="0040247D" w:rsidRDefault="008E6852" w:rsidP="0055154C">
      <w:pPr>
        <w:pStyle w:val="3-BodyText"/>
        <w:ind w:left="709"/>
      </w:pPr>
      <w:r w:rsidRPr="0040247D">
        <w:lastRenderedPageBreak/>
        <w:t xml:space="preserve">The submission did </w:t>
      </w:r>
      <w:r w:rsidR="0016467F" w:rsidRPr="0040247D">
        <w:t>not</w:t>
      </w:r>
      <w:r w:rsidR="004F7A72">
        <w:t xml:space="preserve"> explicitly</w:t>
      </w:r>
      <w:r w:rsidR="0016467F" w:rsidRPr="0040247D">
        <w:t xml:space="preserve"> present </w:t>
      </w:r>
      <w:r w:rsidRPr="0040247D">
        <w:t xml:space="preserve">the </w:t>
      </w:r>
      <w:proofErr w:type="spellStart"/>
      <w:r w:rsidRPr="0040247D">
        <w:t>equi</w:t>
      </w:r>
      <w:proofErr w:type="spellEnd"/>
      <w:r w:rsidRPr="0040247D">
        <w:t xml:space="preserve">-effective doses. </w:t>
      </w:r>
      <w:r w:rsidR="0016467F" w:rsidRPr="0040247D">
        <w:t>B</w:t>
      </w:r>
      <w:r w:rsidRPr="0040247D">
        <w:t xml:space="preserve">ased on the presented cost-minimisation analysis, the implied </w:t>
      </w:r>
      <w:proofErr w:type="spellStart"/>
      <w:r w:rsidRPr="0040247D">
        <w:t>equi</w:t>
      </w:r>
      <w:proofErr w:type="spellEnd"/>
      <w:r w:rsidRPr="0040247D">
        <w:t>-effective dose</w:t>
      </w:r>
      <w:r w:rsidR="00042399" w:rsidRPr="0040247D">
        <w:t>s</w:t>
      </w:r>
      <w:r w:rsidRPr="0040247D">
        <w:t xml:space="preserve"> </w:t>
      </w:r>
      <w:r w:rsidR="00042399" w:rsidRPr="0040247D">
        <w:t xml:space="preserve">over </w:t>
      </w:r>
      <w:r w:rsidR="004F7A72">
        <w:t xml:space="preserve">a </w:t>
      </w:r>
      <w:r w:rsidR="00E52CEF" w:rsidRPr="0040247D">
        <w:t>1-year</w:t>
      </w:r>
      <w:r w:rsidR="00042399" w:rsidRPr="0040247D">
        <w:t xml:space="preserve"> period were</w:t>
      </w:r>
      <w:r w:rsidRPr="0040247D">
        <w:t xml:space="preserve">: </w:t>
      </w:r>
    </w:p>
    <w:p w14:paraId="71EBB904" w14:textId="14D1B4B3" w:rsidR="00042399" w:rsidRPr="0040247D" w:rsidRDefault="008E6852" w:rsidP="00E10B9A">
      <w:pPr>
        <w:pStyle w:val="3-BodyText"/>
        <w:numPr>
          <w:ilvl w:val="0"/>
          <w:numId w:val="0"/>
        </w:numPr>
        <w:ind w:left="1276"/>
      </w:pPr>
      <w:r w:rsidRPr="0040247D">
        <w:t xml:space="preserve">2 injections of </w:t>
      </w:r>
      <w:proofErr w:type="spellStart"/>
      <w:r w:rsidRPr="0040247D">
        <w:t>Eligard</w:t>
      </w:r>
      <w:proofErr w:type="spellEnd"/>
      <w:r w:rsidRPr="0040247D">
        <w:t xml:space="preserve"> 6 month (45 mg) </w:t>
      </w:r>
      <w:r w:rsidR="0016467F" w:rsidRPr="0040247D">
        <w:rPr>
          <w:rFonts w:cstheme="minorHAnsi"/>
        </w:rPr>
        <w:t>≡</w:t>
      </w:r>
      <w:r w:rsidR="0016467F" w:rsidRPr="0040247D">
        <w:t xml:space="preserve"> </w:t>
      </w:r>
      <w:r w:rsidRPr="0040247D">
        <w:t xml:space="preserve">4 injections of </w:t>
      </w:r>
      <w:proofErr w:type="spellStart"/>
      <w:r w:rsidR="002B4FCF" w:rsidRPr="0040247D">
        <w:t>Lucrin</w:t>
      </w:r>
      <w:proofErr w:type="spellEnd"/>
      <w:r w:rsidR="002B4FCF" w:rsidRPr="0040247D">
        <w:t xml:space="preserve"> Paediatric</w:t>
      </w:r>
      <w:r w:rsidRPr="0040247D">
        <w:t xml:space="preserve"> </w:t>
      </w:r>
    </w:p>
    <w:p w14:paraId="0E3CC562" w14:textId="4C0DEF5F" w:rsidR="00E10B9A" w:rsidRPr="0040247D" w:rsidRDefault="00042399" w:rsidP="00E10B9A">
      <w:pPr>
        <w:pStyle w:val="3-BodyText"/>
        <w:numPr>
          <w:ilvl w:val="0"/>
          <w:numId w:val="0"/>
        </w:numPr>
        <w:ind w:left="1276"/>
      </w:pPr>
      <w:r w:rsidRPr="0040247D">
        <w:t xml:space="preserve">2 injections of </w:t>
      </w:r>
      <w:proofErr w:type="spellStart"/>
      <w:r w:rsidRPr="0040247D">
        <w:t>Eligard</w:t>
      </w:r>
      <w:proofErr w:type="spellEnd"/>
      <w:r w:rsidRPr="0040247D">
        <w:t xml:space="preserve"> 6 month (45 mg) </w:t>
      </w:r>
      <w:r w:rsidRPr="0040247D">
        <w:rPr>
          <w:rFonts w:cstheme="minorHAnsi"/>
        </w:rPr>
        <w:t>≡</w:t>
      </w:r>
      <w:r w:rsidRPr="0040247D">
        <w:t xml:space="preserve"> </w:t>
      </w:r>
      <w:r w:rsidR="008E6852" w:rsidRPr="0040247D">
        <w:t xml:space="preserve">2 injections of </w:t>
      </w:r>
      <w:proofErr w:type="spellStart"/>
      <w:r w:rsidR="007F5A54" w:rsidRPr="0040247D">
        <w:t>Diphereline</w:t>
      </w:r>
      <w:proofErr w:type="spellEnd"/>
      <w:r w:rsidR="008E6852" w:rsidRPr="0040247D">
        <w:t xml:space="preserve"> (22.5 mg)</w:t>
      </w:r>
    </w:p>
    <w:p w14:paraId="1FF59839" w14:textId="28815800" w:rsidR="008E6852" w:rsidRPr="0040247D" w:rsidRDefault="008E6852" w:rsidP="0055154C">
      <w:pPr>
        <w:pStyle w:val="3-BodyText"/>
        <w:ind w:left="709"/>
      </w:pPr>
      <w:r w:rsidRPr="0040247D">
        <w:t xml:space="preserve">The </w:t>
      </w:r>
      <w:proofErr w:type="spellStart"/>
      <w:r w:rsidRPr="0040247D">
        <w:t>equi</w:t>
      </w:r>
      <w:proofErr w:type="spellEnd"/>
      <w:r w:rsidRPr="0040247D">
        <w:t>-</w:t>
      </w:r>
      <w:r w:rsidR="0016467F" w:rsidRPr="0040247D">
        <w:t>e</w:t>
      </w:r>
      <w:r w:rsidRPr="0040247D">
        <w:t xml:space="preserve">ffective doses used in the cost-minimisation </w:t>
      </w:r>
      <w:r w:rsidR="00805DE4" w:rsidRPr="0040247D">
        <w:t xml:space="preserve">approach </w:t>
      </w:r>
      <w:r w:rsidRPr="0040247D">
        <w:t xml:space="preserve">were </w:t>
      </w:r>
      <w:r w:rsidR="0016467F" w:rsidRPr="0040247D">
        <w:t>consistent with the key trials (</w:t>
      </w:r>
      <w:r w:rsidRPr="0040247D">
        <w:t>TOL2581A, Lee 2012, Lee 2014</w:t>
      </w:r>
      <w:r w:rsidR="0016467F" w:rsidRPr="0040247D">
        <w:t xml:space="preserve">, Study 301) </w:t>
      </w:r>
      <w:r w:rsidRPr="0040247D">
        <w:t>and the draft P</w:t>
      </w:r>
      <w:r w:rsidR="0016467F" w:rsidRPr="0040247D">
        <w:t xml:space="preserve">I of </w:t>
      </w:r>
      <w:proofErr w:type="spellStart"/>
      <w:r w:rsidR="0016467F" w:rsidRPr="0040247D">
        <w:t>Eligard</w:t>
      </w:r>
      <w:proofErr w:type="spellEnd"/>
      <w:r w:rsidR="0016467F" w:rsidRPr="0040247D">
        <w:t xml:space="preserve"> 6 month and approved PIs of </w:t>
      </w:r>
      <w:proofErr w:type="spellStart"/>
      <w:r w:rsidR="002B4FCF" w:rsidRPr="0040247D">
        <w:t>Lucrin</w:t>
      </w:r>
      <w:proofErr w:type="spellEnd"/>
      <w:r w:rsidR="002B4FCF" w:rsidRPr="0040247D">
        <w:t xml:space="preserve"> Paediatric</w:t>
      </w:r>
      <w:r w:rsidR="0016467F" w:rsidRPr="0040247D">
        <w:t xml:space="preserve"> and </w:t>
      </w:r>
      <w:proofErr w:type="spellStart"/>
      <w:r w:rsidR="007F5A54" w:rsidRPr="0040247D">
        <w:t>Diphereline</w:t>
      </w:r>
      <w:proofErr w:type="spellEnd"/>
      <w:r w:rsidR="003F36BD" w:rsidRPr="0040247D">
        <w:t xml:space="preserve">. </w:t>
      </w:r>
    </w:p>
    <w:p w14:paraId="5DC2CED4" w14:textId="0E6ACDD3" w:rsidR="00034CE9" w:rsidRPr="00DB490D" w:rsidRDefault="009805ED" w:rsidP="0055154C">
      <w:pPr>
        <w:pStyle w:val="3-BodyText"/>
        <w:ind w:left="709"/>
        <w:rPr>
          <w:iCs/>
        </w:rPr>
      </w:pPr>
      <w:r w:rsidRPr="0040247D">
        <w:t>No additional cost or cost offsets were included in the analysis.</w:t>
      </w:r>
      <w:r w:rsidR="00E364A2" w:rsidRPr="0040247D">
        <w:t xml:space="preserve"> </w:t>
      </w:r>
      <w:r w:rsidR="004E22E7" w:rsidRPr="0040247D">
        <w:t>T</w:t>
      </w:r>
      <w:r w:rsidR="008A6134" w:rsidRPr="0040247D">
        <w:t>he submission note</w:t>
      </w:r>
      <w:r w:rsidR="004E22E7" w:rsidRPr="0040247D">
        <w:t>d</w:t>
      </w:r>
      <w:r w:rsidR="008A6134" w:rsidRPr="0040247D">
        <w:t xml:space="preserve"> that </w:t>
      </w:r>
      <w:proofErr w:type="spellStart"/>
      <w:r w:rsidR="008A6134" w:rsidRPr="0040247D">
        <w:t>Eligard</w:t>
      </w:r>
      <w:proofErr w:type="spellEnd"/>
      <w:r w:rsidR="008A6134" w:rsidRPr="0040247D">
        <w:t xml:space="preserve"> 6 month would require</w:t>
      </w:r>
      <w:r w:rsidR="0022158F" w:rsidRPr="0040247D">
        <w:t xml:space="preserve"> fewer consultations compared to </w:t>
      </w:r>
      <w:proofErr w:type="spellStart"/>
      <w:r w:rsidR="002B4FCF" w:rsidRPr="0040247D">
        <w:t>Lucrin</w:t>
      </w:r>
      <w:proofErr w:type="spellEnd"/>
      <w:r w:rsidR="002B4FCF" w:rsidRPr="0040247D">
        <w:t xml:space="preserve"> Paediatric</w:t>
      </w:r>
      <w:r w:rsidR="0022158F" w:rsidRPr="0040247D">
        <w:t xml:space="preserve"> </w:t>
      </w:r>
      <w:r w:rsidR="00B618E4" w:rsidRPr="0040247D">
        <w:t xml:space="preserve">because </w:t>
      </w:r>
      <w:proofErr w:type="spellStart"/>
      <w:r w:rsidR="002B4FCF" w:rsidRPr="0040247D">
        <w:t>Lucrin</w:t>
      </w:r>
      <w:proofErr w:type="spellEnd"/>
      <w:r w:rsidR="002B4FCF" w:rsidRPr="0040247D">
        <w:t xml:space="preserve"> Paediatric</w:t>
      </w:r>
      <w:r w:rsidR="00B618E4" w:rsidRPr="0040247D">
        <w:t xml:space="preserve"> is administered every 3 months</w:t>
      </w:r>
      <w:r w:rsidR="0022158F" w:rsidRPr="0040247D">
        <w:t>.</w:t>
      </w:r>
      <w:r w:rsidR="009B0C20" w:rsidRPr="0040247D">
        <w:t xml:space="preserve"> </w:t>
      </w:r>
      <w:r w:rsidR="00B618E4" w:rsidRPr="0040247D">
        <w:t>The unit cost for c</w:t>
      </w:r>
      <w:r w:rsidR="009B0C20" w:rsidRPr="0040247D">
        <w:t xml:space="preserve">onsultation and biochemical tests would be identical in all treatments. </w:t>
      </w:r>
      <w:r w:rsidR="00B618E4" w:rsidRPr="00E57B4B">
        <w:t xml:space="preserve">This </w:t>
      </w:r>
      <w:r w:rsidR="00FB4522" w:rsidRPr="00E57B4B">
        <w:t xml:space="preserve">was </w:t>
      </w:r>
      <w:r w:rsidR="00B618E4" w:rsidRPr="00E57B4B">
        <w:t xml:space="preserve">consistent </w:t>
      </w:r>
      <w:r w:rsidR="009B0C20" w:rsidRPr="00E57B4B">
        <w:t xml:space="preserve">with </w:t>
      </w:r>
      <w:r w:rsidR="00B618E4" w:rsidRPr="00E57B4B">
        <w:t xml:space="preserve">the </w:t>
      </w:r>
      <w:r w:rsidR="009B0C20" w:rsidRPr="00E57B4B">
        <w:t>PBAC</w:t>
      </w:r>
      <w:r w:rsidR="00F96E37" w:rsidRPr="00E57B4B">
        <w:t xml:space="preserve"> recommendation</w:t>
      </w:r>
      <w:r w:rsidR="00B618E4" w:rsidRPr="00E57B4B">
        <w:t xml:space="preserve"> for </w:t>
      </w:r>
      <w:proofErr w:type="spellStart"/>
      <w:r w:rsidR="007F5A54" w:rsidRPr="00E57B4B">
        <w:t>Diphereline</w:t>
      </w:r>
      <w:proofErr w:type="spellEnd"/>
      <w:r w:rsidR="009B0C20" w:rsidRPr="00E57B4B">
        <w:t xml:space="preserve"> </w:t>
      </w:r>
      <w:r w:rsidR="00B618E4" w:rsidRPr="00E57B4B">
        <w:t>(PBAC triptorelin PSD July 2021)</w:t>
      </w:r>
      <w:r w:rsidR="00446D49" w:rsidRPr="00E57B4B">
        <w:rPr>
          <w:rStyle w:val="FootnoteReference"/>
        </w:rPr>
        <w:footnoteReference w:id="10"/>
      </w:r>
      <w:r w:rsidR="009B0C20" w:rsidRPr="00E57B4B">
        <w:t>.</w:t>
      </w:r>
      <w:r w:rsidR="009B0C20" w:rsidRPr="0040247D">
        <w:t xml:space="preserve"> </w:t>
      </w:r>
    </w:p>
    <w:p w14:paraId="72C34EBB" w14:textId="73DD5B5D" w:rsidR="006F2DD0" w:rsidRPr="0040247D" w:rsidRDefault="006F2DD0" w:rsidP="0055154C">
      <w:pPr>
        <w:pStyle w:val="3-BodyText"/>
        <w:ind w:left="709"/>
      </w:pPr>
      <w:r w:rsidRPr="0040247D">
        <w:t xml:space="preserve">The results of the cost-minimisation analysis are shown in </w:t>
      </w:r>
      <w:r w:rsidR="00187FF2" w:rsidRPr="0040247D">
        <w:fldChar w:fldCharType="begin"/>
      </w:r>
      <w:r w:rsidR="00187FF2" w:rsidRPr="0040247D">
        <w:instrText xml:space="preserve"> REF _Ref102728083 \h </w:instrText>
      </w:r>
      <w:r w:rsidR="00187FF2" w:rsidRPr="0040247D">
        <w:fldChar w:fldCharType="separate"/>
      </w:r>
      <w:r w:rsidR="00187FF2" w:rsidRPr="0040247D">
        <w:t>Table 9</w:t>
      </w:r>
      <w:r w:rsidR="00187FF2" w:rsidRPr="0040247D">
        <w:fldChar w:fldCharType="end"/>
      </w:r>
      <w:r w:rsidRPr="0040247D">
        <w:t>.</w:t>
      </w:r>
    </w:p>
    <w:p w14:paraId="5DC72BB9" w14:textId="4D0023E3" w:rsidR="006F2DD0" w:rsidRPr="0040247D" w:rsidRDefault="000E482D" w:rsidP="00CD2ED2">
      <w:pPr>
        <w:pStyle w:val="TableFigureHeading"/>
        <w:rPr>
          <w:rStyle w:val="CommentReference"/>
          <w:b/>
          <w:szCs w:val="24"/>
        </w:rPr>
      </w:pPr>
      <w:bookmarkStart w:id="33" w:name="_Ref102728083"/>
      <w:r w:rsidRPr="0040247D">
        <w:t xml:space="preserve">Table </w:t>
      </w:r>
      <w:fldSimple w:instr=" SEQ Table \* ARABIC ">
        <w:r w:rsidRPr="0040247D">
          <w:t>9</w:t>
        </w:r>
      </w:fldSimple>
      <w:bookmarkEnd w:id="33"/>
      <w:r w:rsidR="00333F85" w:rsidRPr="0040247D">
        <w:rPr>
          <w:rStyle w:val="CommentReference"/>
          <w:b/>
          <w:szCs w:val="24"/>
        </w:rPr>
        <w:t>:</w:t>
      </w:r>
      <w:r w:rsidR="006F2DD0" w:rsidRPr="0040247D">
        <w:rPr>
          <w:rStyle w:val="CommentReference"/>
          <w:b/>
          <w:szCs w:val="24"/>
        </w:rPr>
        <w:t xml:space="preserve"> Results of the cost-minimisation analysis</w:t>
      </w:r>
    </w:p>
    <w:tbl>
      <w:tblPr>
        <w:tblStyle w:val="TableGrid"/>
        <w:tblW w:w="4999" w:type="pct"/>
        <w:tblCellMar>
          <w:left w:w="28" w:type="dxa"/>
          <w:right w:w="28" w:type="dxa"/>
        </w:tblCellMar>
        <w:tblLook w:val="04A0" w:firstRow="1" w:lastRow="0" w:firstColumn="1" w:lastColumn="0" w:noHBand="0" w:noVBand="1"/>
        <w:tblCaption w:val="Table 9: Results of the cost-minimisation analysis"/>
        <w:tblDescription w:val="Table 9: Results of the cost-minimisation analysis"/>
      </w:tblPr>
      <w:tblGrid>
        <w:gridCol w:w="4803"/>
        <w:gridCol w:w="1542"/>
        <w:gridCol w:w="1215"/>
        <w:gridCol w:w="1194"/>
      </w:tblGrid>
      <w:tr w:rsidR="00067771" w:rsidRPr="0040247D" w14:paraId="4BC55514" w14:textId="77777777" w:rsidTr="00025B84">
        <w:tc>
          <w:tcPr>
            <w:tcW w:w="2743" w:type="pct"/>
            <w:tcBorders>
              <w:top w:val="single" w:sz="4" w:space="0" w:color="auto"/>
              <w:left w:val="single" w:sz="4" w:space="0" w:color="auto"/>
              <w:bottom w:val="single" w:sz="4" w:space="0" w:color="auto"/>
              <w:right w:val="single" w:sz="4" w:space="0" w:color="auto"/>
            </w:tcBorders>
            <w:vAlign w:val="bottom"/>
            <w:hideMark/>
          </w:tcPr>
          <w:p w14:paraId="5D6895C4" w14:textId="77777777" w:rsidR="00025B84" w:rsidRPr="0040247D" w:rsidRDefault="00025B84" w:rsidP="00CD2ED2">
            <w:pPr>
              <w:pStyle w:val="Tabletext"/>
              <w:keepNext/>
              <w:rPr>
                <w:b/>
                <w:bCs/>
              </w:rPr>
            </w:pPr>
            <w:r w:rsidRPr="0040247D">
              <w:rPr>
                <w:b/>
                <w:bCs/>
              </w:rPr>
              <w:t>Treatment</w:t>
            </w:r>
          </w:p>
        </w:tc>
        <w:tc>
          <w:tcPr>
            <w:tcW w:w="881" w:type="pct"/>
            <w:tcBorders>
              <w:top w:val="single" w:sz="4" w:space="0" w:color="auto"/>
              <w:left w:val="single" w:sz="4" w:space="0" w:color="auto"/>
              <w:bottom w:val="single" w:sz="4" w:space="0" w:color="auto"/>
              <w:right w:val="single" w:sz="4" w:space="0" w:color="auto"/>
            </w:tcBorders>
            <w:hideMark/>
          </w:tcPr>
          <w:p w14:paraId="104659BF" w14:textId="77777777" w:rsidR="00025B84" w:rsidRPr="0040247D" w:rsidRDefault="00025B84" w:rsidP="00CD2ED2">
            <w:pPr>
              <w:pStyle w:val="Tabletext"/>
              <w:keepNext/>
              <w:jc w:val="center"/>
              <w:rPr>
                <w:b/>
              </w:rPr>
            </w:pPr>
            <w:r w:rsidRPr="0040247D">
              <w:rPr>
                <w:b/>
                <w:bCs/>
              </w:rPr>
              <w:t>AEMP</w:t>
            </w:r>
          </w:p>
        </w:tc>
        <w:tc>
          <w:tcPr>
            <w:tcW w:w="694" w:type="pct"/>
            <w:tcBorders>
              <w:top w:val="single" w:sz="4" w:space="0" w:color="auto"/>
              <w:left w:val="single" w:sz="4" w:space="0" w:color="auto"/>
              <w:bottom w:val="single" w:sz="4" w:space="0" w:color="auto"/>
              <w:right w:val="single" w:sz="4" w:space="0" w:color="auto"/>
            </w:tcBorders>
            <w:hideMark/>
          </w:tcPr>
          <w:p w14:paraId="75EDAA2F" w14:textId="77777777" w:rsidR="00025B84" w:rsidRPr="0040247D" w:rsidRDefault="00025B84" w:rsidP="00CD2ED2">
            <w:pPr>
              <w:pStyle w:val="Tabletext"/>
              <w:keepNext/>
              <w:jc w:val="center"/>
              <w:rPr>
                <w:b/>
                <w:bCs/>
              </w:rPr>
            </w:pPr>
            <w:r w:rsidRPr="0040247D">
              <w:rPr>
                <w:b/>
                <w:bCs/>
              </w:rPr>
              <w:t>Injections per year</w:t>
            </w:r>
          </w:p>
        </w:tc>
        <w:tc>
          <w:tcPr>
            <w:tcW w:w="682" w:type="pct"/>
            <w:tcBorders>
              <w:top w:val="single" w:sz="4" w:space="0" w:color="auto"/>
              <w:left w:val="single" w:sz="4" w:space="0" w:color="auto"/>
              <w:bottom w:val="single" w:sz="4" w:space="0" w:color="auto"/>
              <w:right w:val="single" w:sz="4" w:space="0" w:color="auto"/>
            </w:tcBorders>
            <w:hideMark/>
          </w:tcPr>
          <w:p w14:paraId="39A6B6F3" w14:textId="77777777" w:rsidR="00025B84" w:rsidRPr="0040247D" w:rsidRDefault="00025B84" w:rsidP="00CD2ED2">
            <w:pPr>
              <w:pStyle w:val="Tabletext"/>
              <w:keepNext/>
              <w:jc w:val="center"/>
              <w:rPr>
                <w:b/>
                <w:bCs/>
              </w:rPr>
            </w:pPr>
            <w:r w:rsidRPr="0040247D">
              <w:rPr>
                <w:b/>
                <w:bCs/>
              </w:rPr>
              <w:t>Annual cost per year</w:t>
            </w:r>
          </w:p>
        </w:tc>
      </w:tr>
      <w:tr w:rsidR="00067771" w:rsidRPr="0040247D" w14:paraId="7E4EC2F2" w14:textId="77777777" w:rsidTr="007F7080">
        <w:tc>
          <w:tcPr>
            <w:tcW w:w="2743" w:type="pct"/>
            <w:tcBorders>
              <w:top w:val="single" w:sz="4" w:space="0" w:color="auto"/>
              <w:left w:val="single" w:sz="4" w:space="0" w:color="auto"/>
              <w:bottom w:val="single" w:sz="4" w:space="0" w:color="auto"/>
              <w:right w:val="single" w:sz="4" w:space="0" w:color="auto"/>
            </w:tcBorders>
            <w:vAlign w:val="bottom"/>
            <w:hideMark/>
          </w:tcPr>
          <w:p w14:paraId="6C5DC112" w14:textId="024672AC" w:rsidR="00025B84" w:rsidRPr="0040247D" w:rsidRDefault="00025B84" w:rsidP="00CD2ED2">
            <w:pPr>
              <w:pStyle w:val="Tabletext"/>
              <w:keepNext/>
              <w:rPr>
                <w:b/>
                <w:bCs/>
              </w:rPr>
            </w:pPr>
            <w:proofErr w:type="spellStart"/>
            <w:r w:rsidRPr="0040247D">
              <w:rPr>
                <w:b/>
                <w:bCs/>
              </w:rPr>
              <w:t>Eligard</w:t>
            </w:r>
            <w:proofErr w:type="spellEnd"/>
            <w:r w:rsidRPr="0040247D">
              <w:rPr>
                <w:b/>
                <w:bCs/>
              </w:rPr>
              <w:t xml:space="preserve"> </w:t>
            </w:r>
            <w:r w:rsidR="007F5A54" w:rsidRPr="0040247D">
              <w:rPr>
                <w:b/>
                <w:bCs/>
              </w:rPr>
              <w:t xml:space="preserve">6 month </w:t>
            </w:r>
            <w:r w:rsidRPr="0040247D">
              <w:rPr>
                <w:b/>
                <w:bCs/>
              </w:rPr>
              <w:t xml:space="preserve">vs. </w:t>
            </w:r>
            <w:proofErr w:type="spellStart"/>
            <w:r w:rsidR="002B4FCF" w:rsidRPr="0040247D">
              <w:rPr>
                <w:b/>
                <w:bCs/>
              </w:rPr>
              <w:t>Lucrin</w:t>
            </w:r>
            <w:proofErr w:type="spellEnd"/>
            <w:r w:rsidR="002B4FCF" w:rsidRPr="0040247D">
              <w:rPr>
                <w:b/>
                <w:bCs/>
              </w:rPr>
              <w:t xml:space="preserve"> Paediatric</w:t>
            </w:r>
          </w:p>
        </w:tc>
        <w:tc>
          <w:tcPr>
            <w:tcW w:w="881" w:type="pct"/>
            <w:tcBorders>
              <w:top w:val="single" w:sz="4" w:space="0" w:color="auto"/>
              <w:left w:val="single" w:sz="4" w:space="0" w:color="auto"/>
              <w:bottom w:val="single" w:sz="4" w:space="0" w:color="auto"/>
              <w:right w:val="single" w:sz="4" w:space="0" w:color="auto"/>
            </w:tcBorders>
          </w:tcPr>
          <w:p w14:paraId="63C4C374" w14:textId="77777777" w:rsidR="00025B84" w:rsidRPr="0040247D" w:rsidRDefault="00025B84" w:rsidP="00CD2ED2">
            <w:pPr>
              <w:pStyle w:val="Tabletext"/>
              <w:keepNext/>
              <w:jc w:val="center"/>
              <w:rPr>
                <w:b/>
                <w:bCs/>
              </w:rPr>
            </w:pPr>
          </w:p>
        </w:tc>
        <w:tc>
          <w:tcPr>
            <w:tcW w:w="694" w:type="pct"/>
            <w:tcBorders>
              <w:top w:val="single" w:sz="4" w:space="0" w:color="auto"/>
              <w:left w:val="single" w:sz="4" w:space="0" w:color="auto"/>
              <w:bottom w:val="single" w:sz="4" w:space="0" w:color="auto"/>
              <w:right w:val="single" w:sz="4" w:space="0" w:color="auto"/>
            </w:tcBorders>
          </w:tcPr>
          <w:p w14:paraId="0E8B12FC" w14:textId="77777777" w:rsidR="00025B84" w:rsidRPr="0040247D" w:rsidRDefault="00025B84" w:rsidP="00CD2ED2">
            <w:pPr>
              <w:pStyle w:val="Tabletext"/>
              <w:keepNext/>
              <w:jc w:val="center"/>
              <w:rPr>
                <w:b/>
                <w:bCs/>
              </w:rPr>
            </w:pPr>
          </w:p>
        </w:tc>
        <w:tc>
          <w:tcPr>
            <w:tcW w:w="682" w:type="pct"/>
            <w:tcBorders>
              <w:top w:val="single" w:sz="4" w:space="0" w:color="auto"/>
              <w:left w:val="single" w:sz="4" w:space="0" w:color="auto"/>
              <w:bottom w:val="single" w:sz="4" w:space="0" w:color="auto"/>
              <w:right w:val="single" w:sz="4" w:space="0" w:color="auto"/>
            </w:tcBorders>
          </w:tcPr>
          <w:p w14:paraId="0863F8DC" w14:textId="77777777" w:rsidR="00025B84" w:rsidRPr="0040247D" w:rsidRDefault="00025B84" w:rsidP="00CD2ED2">
            <w:pPr>
              <w:pStyle w:val="Tabletext"/>
              <w:keepNext/>
              <w:jc w:val="center"/>
              <w:rPr>
                <w:b/>
                <w:bCs/>
              </w:rPr>
            </w:pPr>
          </w:p>
        </w:tc>
      </w:tr>
      <w:tr w:rsidR="00067771" w:rsidRPr="0040247D" w14:paraId="26B430FF" w14:textId="77777777" w:rsidTr="00025B84">
        <w:trPr>
          <w:trHeight w:val="170"/>
        </w:trPr>
        <w:tc>
          <w:tcPr>
            <w:tcW w:w="2743" w:type="pct"/>
            <w:tcBorders>
              <w:top w:val="single" w:sz="4" w:space="0" w:color="auto"/>
              <w:left w:val="single" w:sz="4" w:space="0" w:color="auto"/>
              <w:bottom w:val="single" w:sz="4" w:space="0" w:color="auto"/>
              <w:right w:val="single" w:sz="4" w:space="0" w:color="auto"/>
            </w:tcBorders>
            <w:hideMark/>
          </w:tcPr>
          <w:p w14:paraId="2E99B281" w14:textId="63A9E3BC" w:rsidR="00025B84" w:rsidRPr="0040247D" w:rsidRDefault="00025B84" w:rsidP="00CD2ED2">
            <w:pPr>
              <w:pStyle w:val="Tabletext"/>
              <w:keepNext/>
              <w:rPr>
                <w:bCs/>
              </w:rPr>
            </w:pPr>
            <w:proofErr w:type="spellStart"/>
            <w:r w:rsidRPr="0040247D">
              <w:rPr>
                <w:bCs/>
              </w:rPr>
              <w:t>Eligard</w:t>
            </w:r>
            <w:proofErr w:type="spellEnd"/>
            <w:r w:rsidRPr="0040247D">
              <w:rPr>
                <w:bCs/>
              </w:rPr>
              <w:t xml:space="preserve"> 6 month </w:t>
            </w:r>
            <w:r w:rsidR="0094323D">
              <w:rPr>
                <w:bCs/>
              </w:rPr>
              <w:t>–</w:t>
            </w:r>
            <w:r w:rsidRPr="0040247D">
              <w:rPr>
                <w:bCs/>
              </w:rPr>
              <w:t xml:space="preserve"> 45</w:t>
            </w:r>
            <w:r w:rsidR="0094323D">
              <w:rPr>
                <w:bCs/>
              </w:rPr>
              <w:t xml:space="preserve"> </w:t>
            </w:r>
            <w:r w:rsidRPr="0040247D">
              <w:rPr>
                <w:bCs/>
              </w:rPr>
              <w:t>mg of leuprorelin, 1 injection</w:t>
            </w:r>
          </w:p>
        </w:tc>
        <w:tc>
          <w:tcPr>
            <w:tcW w:w="881" w:type="pct"/>
            <w:tcBorders>
              <w:top w:val="single" w:sz="4" w:space="0" w:color="auto"/>
              <w:left w:val="single" w:sz="4" w:space="0" w:color="auto"/>
              <w:bottom w:val="single" w:sz="4" w:space="0" w:color="auto"/>
              <w:right w:val="single" w:sz="4" w:space="0" w:color="auto"/>
            </w:tcBorders>
            <w:hideMark/>
          </w:tcPr>
          <w:p w14:paraId="5961CA9D" w14:textId="77777777" w:rsidR="00025B84" w:rsidRPr="0040247D" w:rsidRDefault="00025B84" w:rsidP="00CD2ED2">
            <w:pPr>
              <w:pStyle w:val="Tabletext"/>
              <w:keepNext/>
              <w:jc w:val="center"/>
              <w:rPr>
                <w:rStyle w:val="Small"/>
                <w:rFonts w:asciiTheme="majorHAnsi" w:hAnsiTheme="majorHAnsi" w:cstheme="majorHAnsi"/>
                <w:color w:val="auto"/>
                <w:szCs w:val="20"/>
              </w:rPr>
            </w:pPr>
            <w:r w:rsidRPr="0040247D">
              <w:rPr>
                <w:bCs/>
              </w:rPr>
              <w:t>$1,606.32</w:t>
            </w:r>
          </w:p>
        </w:tc>
        <w:tc>
          <w:tcPr>
            <w:tcW w:w="694" w:type="pct"/>
            <w:tcBorders>
              <w:top w:val="single" w:sz="4" w:space="0" w:color="auto"/>
              <w:left w:val="single" w:sz="4" w:space="0" w:color="auto"/>
              <w:bottom w:val="single" w:sz="4" w:space="0" w:color="auto"/>
              <w:right w:val="single" w:sz="4" w:space="0" w:color="auto"/>
            </w:tcBorders>
            <w:hideMark/>
          </w:tcPr>
          <w:p w14:paraId="17A6DB61" w14:textId="77777777" w:rsidR="00025B84" w:rsidRPr="0040247D" w:rsidRDefault="00025B84" w:rsidP="00CD2ED2">
            <w:pPr>
              <w:pStyle w:val="Tabletext"/>
              <w:keepNext/>
              <w:jc w:val="center"/>
              <w:rPr>
                <w:rStyle w:val="Small"/>
                <w:rFonts w:asciiTheme="majorHAnsi" w:hAnsiTheme="majorHAnsi" w:cstheme="majorHAnsi"/>
                <w:bCs w:val="0"/>
                <w:color w:val="auto"/>
                <w:szCs w:val="20"/>
              </w:rPr>
            </w:pPr>
            <w:r w:rsidRPr="0040247D">
              <w:rPr>
                <w:rFonts w:ascii="Calibri" w:hAnsi="Calibri"/>
                <w:bCs/>
              </w:rPr>
              <w:t>2</w:t>
            </w:r>
          </w:p>
        </w:tc>
        <w:tc>
          <w:tcPr>
            <w:tcW w:w="682" w:type="pct"/>
            <w:tcBorders>
              <w:top w:val="single" w:sz="4" w:space="0" w:color="auto"/>
              <w:left w:val="single" w:sz="4" w:space="0" w:color="auto"/>
              <w:bottom w:val="single" w:sz="4" w:space="0" w:color="auto"/>
              <w:right w:val="single" w:sz="4" w:space="0" w:color="auto"/>
            </w:tcBorders>
            <w:hideMark/>
          </w:tcPr>
          <w:p w14:paraId="773AD2C1" w14:textId="77777777" w:rsidR="00025B84" w:rsidRPr="0040247D" w:rsidRDefault="00025B84" w:rsidP="00CD2ED2">
            <w:pPr>
              <w:pStyle w:val="Tabletext"/>
              <w:keepNext/>
              <w:jc w:val="center"/>
              <w:rPr>
                <w:bCs/>
              </w:rPr>
            </w:pPr>
            <w:r w:rsidRPr="0040247D">
              <w:rPr>
                <w:bCs/>
              </w:rPr>
              <w:t>$3,212.64</w:t>
            </w:r>
          </w:p>
        </w:tc>
      </w:tr>
      <w:tr w:rsidR="00067771" w:rsidRPr="0040247D" w14:paraId="71C72BA2" w14:textId="77777777" w:rsidTr="00025B84">
        <w:tc>
          <w:tcPr>
            <w:tcW w:w="2743" w:type="pct"/>
            <w:tcBorders>
              <w:top w:val="single" w:sz="4" w:space="0" w:color="auto"/>
              <w:left w:val="single" w:sz="4" w:space="0" w:color="auto"/>
              <w:bottom w:val="single" w:sz="4" w:space="0" w:color="auto"/>
              <w:right w:val="single" w:sz="4" w:space="0" w:color="auto"/>
            </w:tcBorders>
            <w:hideMark/>
          </w:tcPr>
          <w:p w14:paraId="69C87C47" w14:textId="0792866F" w:rsidR="00025B84" w:rsidRPr="0040247D" w:rsidRDefault="002B4FCF" w:rsidP="00CD2ED2">
            <w:pPr>
              <w:pStyle w:val="Tabletext"/>
              <w:keepNext/>
              <w:rPr>
                <w:vertAlign w:val="superscript"/>
              </w:rPr>
            </w:pPr>
            <w:proofErr w:type="spellStart"/>
            <w:r w:rsidRPr="0040247D">
              <w:rPr>
                <w:bCs/>
              </w:rPr>
              <w:t>Lucrin</w:t>
            </w:r>
            <w:proofErr w:type="spellEnd"/>
            <w:r w:rsidRPr="0040247D">
              <w:rPr>
                <w:bCs/>
              </w:rPr>
              <w:t xml:space="preserve"> Paediatric</w:t>
            </w:r>
            <w:r w:rsidR="00025B84" w:rsidRPr="0040247D">
              <w:t xml:space="preserve">, 1 injection </w:t>
            </w:r>
            <w:r w:rsidR="00025B84" w:rsidRPr="0040247D">
              <w:rPr>
                <w:vertAlign w:val="superscript"/>
              </w:rPr>
              <w:t>(a)</w:t>
            </w:r>
          </w:p>
        </w:tc>
        <w:tc>
          <w:tcPr>
            <w:tcW w:w="881" w:type="pct"/>
            <w:tcBorders>
              <w:top w:val="single" w:sz="4" w:space="0" w:color="auto"/>
              <w:left w:val="single" w:sz="4" w:space="0" w:color="auto"/>
              <w:bottom w:val="single" w:sz="4" w:space="0" w:color="auto"/>
              <w:right w:val="single" w:sz="4" w:space="0" w:color="auto"/>
            </w:tcBorders>
            <w:hideMark/>
          </w:tcPr>
          <w:p w14:paraId="4B54A13C" w14:textId="77777777" w:rsidR="00025B84" w:rsidRPr="0040247D" w:rsidRDefault="00025B84" w:rsidP="00CD2ED2">
            <w:pPr>
              <w:pStyle w:val="Tabletext"/>
              <w:keepNext/>
              <w:jc w:val="center"/>
              <w:rPr>
                <w:rStyle w:val="Small"/>
                <w:rFonts w:asciiTheme="majorHAnsi" w:hAnsiTheme="majorHAnsi" w:cstheme="majorHAnsi"/>
                <w:color w:val="auto"/>
                <w:szCs w:val="20"/>
              </w:rPr>
            </w:pPr>
            <w:r w:rsidRPr="0040247D">
              <w:t>$1,071.68</w:t>
            </w:r>
          </w:p>
        </w:tc>
        <w:tc>
          <w:tcPr>
            <w:tcW w:w="694" w:type="pct"/>
            <w:tcBorders>
              <w:top w:val="single" w:sz="4" w:space="0" w:color="auto"/>
              <w:left w:val="single" w:sz="4" w:space="0" w:color="auto"/>
              <w:bottom w:val="single" w:sz="4" w:space="0" w:color="auto"/>
              <w:right w:val="single" w:sz="4" w:space="0" w:color="auto"/>
            </w:tcBorders>
            <w:hideMark/>
          </w:tcPr>
          <w:p w14:paraId="08BA54CA" w14:textId="77777777" w:rsidR="00025B84" w:rsidRPr="0040247D" w:rsidRDefault="00025B84" w:rsidP="00CD2ED2">
            <w:pPr>
              <w:pStyle w:val="Tabletext"/>
              <w:keepNext/>
              <w:jc w:val="center"/>
              <w:rPr>
                <w:rStyle w:val="Small"/>
                <w:rFonts w:asciiTheme="majorHAnsi" w:hAnsiTheme="majorHAnsi" w:cstheme="majorHAnsi"/>
                <w:color w:val="auto"/>
                <w:szCs w:val="20"/>
              </w:rPr>
            </w:pPr>
            <w:r w:rsidRPr="0040247D">
              <w:rPr>
                <w:rFonts w:ascii="Calibri" w:hAnsi="Calibri"/>
              </w:rPr>
              <w:t>4</w:t>
            </w:r>
          </w:p>
        </w:tc>
        <w:tc>
          <w:tcPr>
            <w:tcW w:w="682" w:type="pct"/>
            <w:tcBorders>
              <w:top w:val="single" w:sz="4" w:space="0" w:color="auto"/>
              <w:left w:val="single" w:sz="4" w:space="0" w:color="auto"/>
              <w:bottom w:val="single" w:sz="4" w:space="0" w:color="auto"/>
              <w:right w:val="single" w:sz="4" w:space="0" w:color="auto"/>
            </w:tcBorders>
            <w:hideMark/>
          </w:tcPr>
          <w:p w14:paraId="6F5382A0" w14:textId="77777777" w:rsidR="00025B84" w:rsidRPr="0040247D" w:rsidRDefault="00025B84" w:rsidP="00CD2ED2">
            <w:pPr>
              <w:pStyle w:val="Tabletext"/>
              <w:keepNext/>
              <w:jc w:val="center"/>
            </w:pPr>
            <w:r w:rsidRPr="0040247D">
              <w:t>$4,286.72</w:t>
            </w:r>
          </w:p>
        </w:tc>
      </w:tr>
      <w:tr w:rsidR="00067771" w:rsidRPr="0040247D" w14:paraId="7435C3EE" w14:textId="77777777" w:rsidTr="009F7769">
        <w:tc>
          <w:tcPr>
            <w:tcW w:w="4318" w:type="pct"/>
            <w:gridSpan w:val="3"/>
            <w:tcBorders>
              <w:top w:val="single" w:sz="4" w:space="0" w:color="auto"/>
              <w:left w:val="single" w:sz="4" w:space="0" w:color="auto"/>
              <w:bottom w:val="single" w:sz="4" w:space="0" w:color="auto"/>
              <w:right w:val="single" w:sz="4" w:space="0" w:color="auto"/>
            </w:tcBorders>
            <w:hideMark/>
          </w:tcPr>
          <w:p w14:paraId="5A81A9BC" w14:textId="77777777" w:rsidR="007F7080" w:rsidRPr="0040247D" w:rsidRDefault="007F7080" w:rsidP="00CD2ED2">
            <w:pPr>
              <w:pStyle w:val="Tabletext"/>
              <w:keepNext/>
              <w:rPr>
                <w:rFonts w:ascii="Calibri" w:hAnsi="Calibri"/>
                <w:vertAlign w:val="superscript"/>
              </w:rPr>
            </w:pPr>
            <w:r w:rsidRPr="0040247D">
              <w:t>Annual savings without cost offsets (</w:t>
            </w:r>
            <w:proofErr w:type="spellStart"/>
            <w:r w:rsidRPr="0040247D">
              <w:t>Eligard</w:t>
            </w:r>
            <w:proofErr w:type="spellEnd"/>
            <w:r w:rsidRPr="0040247D">
              <w:t xml:space="preserve"> vs </w:t>
            </w:r>
            <w:proofErr w:type="spellStart"/>
            <w:r w:rsidRPr="0040247D">
              <w:t>Lucrin</w:t>
            </w:r>
            <w:proofErr w:type="spellEnd"/>
            <w:r w:rsidRPr="0040247D">
              <w:t>)</w:t>
            </w:r>
            <w:r w:rsidRPr="0040247D">
              <w:rPr>
                <w:vertAlign w:val="superscript"/>
              </w:rPr>
              <w:t>a</w:t>
            </w:r>
          </w:p>
        </w:tc>
        <w:tc>
          <w:tcPr>
            <w:tcW w:w="682" w:type="pct"/>
            <w:tcBorders>
              <w:top w:val="single" w:sz="4" w:space="0" w:color="auto"/>
              <w:left w:val="single" w:sz="4" w:space="0" w:color="auto"/>
              <w:bottom w:val="single" w:sz="4" w:space="0" w:color="auto"/>
              <w:right w:val="single" w:sz="4" w:space="0" w:color="auto"/>
            </w:tcBorders>
            <w:hideMark/>
          </w:tcPr>
          <w:p w14:paraId="3B598450" w14:textId="77777777" w:rsidR="007F7080" w:rsidRPr="0040247D" w:rsidRDefault="007F7080" w:rsidP="00CD2ED2">
            <w:pPr>
              <w:pStyle w:val="Tabletext"/>
              <w:keepNext/>
              <w:jc w:val="center"/>
            </w:pPr>
            <w:r w:rsidRPr="0040247D">
              <w:t>$1074.08</w:t>
            </w:r>
          </w:p>
        </w:tc>
      </w:tr>
      <w:tr w:rsidR="00067771" w:rsidRPr="00DB490D" w14:paraId="1F9E9948" w14:textId="77777777" w:rsidTr="009F7769">
        <w:tc>
          <w:tcPr>
            <w:tcW w:w="2743" w:type="pct"/>
            <w:tcBorders>
              <w:top w:val="single" w:sz="4" w:space="0" w:color="auto"/>
              <w:left w:val="single" w:sz="4" w:space="0" w:color="auto"/>
              <w:bottom w:val="nil"/>
              <w:right w:val="single" w:sz="4" w:space="0" w:color="auto"/>
            </w:tcBorders>
            <w:hideMark/>
          </w:tcPr>
          <w:p w14:paraId="00E1DB45" w14:textId="1B3C005B" w:rsidR="00025B84" w:rsidRPr="00DB490D" w:rsidRDefault="002B4FCF" w:rsidP="00CD2ED2">
            <w:pPr>
              <w:pStyle w:val="Tabletext"/>
              <w:keepNext/>
              <w:rPr>
                <w:iCs/>
                <w:vertAlign w:val="superscript"/>
              </w:rPr>
            </w:pPr>
            <w:proofErr w:type="spellStart"/>
            <w:r w:rsidRPr="00DB490D">
              <w:rPr>
                <w:bCs/>
                <w:iCs/>
              </w:rPr>
              <w:t>Lucrin</w:t>
            </w:r>
            <w:proofErr w:type="spellEnd"/>
            <w:r w:rsidRPr="00DB490D">
              <w:rPr>
                <w:bCs/>
                <w:iCs/>
              </w:rPr>
              <w:t xml:space="preserve"> Paediatric</w:t>
            </w:r>
            <w:r w:rsidR="00025B84" w:rsidRPr="00DB490D">
              <w:rPr>
                <w:iCs/>
              </w:rPr>
              <w:t xml:space="preserve">, 1 injection </w:t>
            </w:r>
            <w:r w:rsidR="00025B84" w:rsidRPr="00DB490D">
              <w:rPr>
                <w:iCs/>
                <w:vertAlign w:val="superscript"/>
              </w:rPr>
              <w:t>(b)</w:t>
            </w:r>
          </w:p>
        </w:tc>
        <w:tc>
          <w:tcPr>
            <w:tcW w:w="881" w:type="pct"/>
            <w:tcBorders>
              <w:top w:val="single" w:sz="4" w:space="0" w:color="auto"/>
              <w:left w:val="single" w:sz="4" w:space="0" w:color="auto"/>
              <w:bottom w:val="nil"/>
              <w:right w:val="single" w:sz="4" w:space="0" w:color="auto"/>
            </w:tcBorders>
            <w:hideMark/>
          </w:tcPr>
          <w:p w14:paraId="73A58B74" w14:textId="77777777" w:rsidR="00025B84" w:rsidRPr="00DB490D" w:rsidRDefault="00025B84" w:rsidP="00CD2ED2">
            <w:pPr>
              <w:pStyle w:val="Tabletext"/>
              <w:keepNext/>
              <w:jc w:val="center"/>
              <w:rPr>
                <w:rStyle w:val="Small"/>
                <w:rFonts w:asciiTheme="majorHAnsi" w:hAnsiTheme="majorHAnsi" w:cstheme="majorHAnsi"/>
                <w:color w:val="auto"/>
                <w:szCs w:val="20"/>
              </w:rPr>
            </w:pPr>
            <w:r w:rsidRPr="00DB490D">
              <w:rPr>
                <w:iCs/>
              </w:rPr>
              <w:t>$845.46</w:t>
            </w:r>
          </w:p>
        </w:tc>
        <w:tc>
          <w:tcPr>
            <w:tcW w:w="694" w:type="pct"/>
            <w:tcBorders>
              <w:top w:val="single" w:sz="4" w:space="0" w:color="auto"/>
              <w:left w:val="single" w:sz="4" w:space="0" w:color="auto"/>
              <w:bottom w:val="nil"/>
              <w:right w:val="single" w:sz="4" w:space="0" w:color="auto"/>
            </w:tcBorders>
            <w:hideMark/>
          </w:tcPr>
          <w:p w14:paraId="30E3D37C" w14:textId="77777777" w:rsidR="00025B84" w:rsidRPr="00DB490D" w:rsidRDefault="00025B84" w:rsidP="00CD2ED2">
            <w:pPr>
              <w:pStyle w:val="Tabletext"/>
              <w:keepNext/>
              <w:jc w:val="center"/>
              <w:rPr>
                <w:rStyle w:val="Small"/>
                <w:rFonts w:asciiTheme="majorHAnsi" w:hAnsiTheme="majorHAnsi" w:cstheme="majorHAnsi"/>
                <w:color w:val="auto"/>
                <w:szCs w:val="20"/>
              </w:rPr>
            </w:pPr>
            <w:r w:rsidRPr="00DB490D">
              <w:rPr>
                <w:rFonts w:ascii="Calibri" w:hAnsi="Calibri"/>
              </w:rPr>
              <w:t>4</w:t>
            </w:r>
          </w:p>
        </w:tc>
        <w:tc>
          <w:tcPr>
            <w:tcW w:w="682" w:type="pct"/>
            <w:tcBorders>
              <w:top w:val="single" w:sz="4" w:space="0" w:color="auto"/>
              <w:left w:val="single" w:sz="4" w:space="0" w:color="auto"/>
              <w:bottom w:val="nil"/>
              <w:right w:val="single" w:sz="4" w:space="0" w:color="auto"/>
            </w:tcBorders>
            <w:hideMark/>
          </w:tcPr>
          <w:p w14:paraId="2F35021B" w14:textId="77777777" w:rsidR="00025B84" w:rsidRPr="00DB490D" w:rsidRDefault="00025B84" w:rsidP="00CD2ED2">
            <w:pPr>
              <w:pStyle w:val="Tabletext"/>
              <w:keepNext/>
              <w:jc w:val="center"/>
              <w:rPr>
                <w:iCs/>
              </w:rPr>
            </w:pPr>
            <w:r w:rsidRPr="00DB490D">
              <w:rPr>
                <w:iCs/>
              </w:rPr>
              <w:t>$3,381.84</w:t>
            </w:r>
          </w:p>
        </w:tc>
      </w:tr>
      <w:tr w:rsidR="00067771" w:rsidRPr="00DB490D" w14:paraId="02D42AA1" w14:textId="77777777" w:rsidTr="00025B84">
        <w:tc>
          <w:tcPr>
            <w:tcW w:w="4318" w:type="pct"/>
            <w:gridSpan w:val="3"/>
            <w:tcBorders>
              <w:top w:val="single" w:sz="4" w:space="0" w:color="auto"/>
              <w:left w:val="single" w:sz="4" w:space="0" w:color="auto"/>
              <w:bottom w:val="single" w:sz="4" w:space="0" w:color="auto"/>
              <w:right w:val="single" w:sz="4" w:space="0" w:color="auto"/>
            </w:tcBorders>
            <w:hideMark/>
          </w:tcPr>
          <w:p w14:paraId="6768ECDB" w14:textId="77777777" w:rsidR="00025B84" w:rsidRPr="00DB490D" w:rsidRDefault="00025B84" w:rsidP="00CD2ED2">
            <w:pPr>
              <w:pStyle w:val="Tabletext"/>
              <w:keepNext/>
              <w:rPr>
                <w:rFonts w:ascii="Calibri" w:hAnsi="Calibri"/>
                <w:iCs/>
                <w:vertAlign w:val="superscript"/>
              </w:rPr>
            </w:pPr>
            <w:r w:rsidRPr="00DB490D">
              <w:rPr>
                <w:iCs/>
              </w:rPr>
              <w:t>Annual savings without cost offsets (</w:t>
            </w:r>
            <w:proofErr w:type="spellStart"/>
            <w:r w:rsidRPr="00DB490D">
              <w:rPr>
                <w:iCs/>
              </w:rPr>
              <w:t>Eligard</w:t>
            </w:r>
            <w:proofErr w:type="spellEnd"/>
            <w:r w:rsidRPr="00DB490D">
              <w:rPr>
                <w:iCs/>
              </w:rPr>
              <w:t xml:space="preserve"> vs </w:t>
            </w:r>
            <w:proofErr w:type="spellStart"/>
            <w:r w:rsidRPr="00DB490D">
              <w:rPr>
                <w:iCs/>
              </w:rPr>
              <w:t>Lucrin</w:t>
            </w:r>
            <w:proofErr w:type="spellEnd"/>
            <w:r w:rsidRPr="00DB490D">
              <w:rPr>
                <w:iCs/>
              </w:rPr>
              <w:t>)</w:t>
            </w:r>
            <w:r w:rsidRPr="00DB490D">
              <w:rPr>
                <w:iCs/>
                <w:vertAlign w:val="superscript"/>
              </w:rPr>
              <w:t>b</w:t>
            </w:r>
          </w:p>
        </w:tc>
        <w:tc>
          <w:tcPr>
            <w:tcW w:w="682" w:type="pct"/>
            <w:tcBorders>
              <w:top w:val="single" w:sz="4" w:space="0" w:color="auto"/>
              <w:left w:val="single" w:sz="4" w:space="0" w:color="auto"/>
              <w:bottom w:val="single" w:sz="4" w:space="0" w:color="auto"/>
              <w:right w:val="single" w:sz="4" w:space="0" w:color="auto"/>
            </w:tcBorders>
            <w:hideMark/>
          </w:tcPr>
          <w:p w14:paraId="3F5389A4" w14:textId="77777777" w:rsidR="00025B84" w:rsidRPr="00DB490D" w:rsidRDefault="00025B84" w:rsidP="00CD2ED2">
            <w:pPr>
              <w:pStyle w:val="Tabletext"/>
              <w:keepNext/>
              <w:jc w:val="center"/>
              <w:rPr>
                <w:iCs/>
              </w:rPr>
            </w:pPr>
            <w:r w:rsidRPr="00DB490D">
              <w:rPr>
                <w:iCs/>
              </w:rPr>
              <w:t>$169.20</w:t>
            </w:r>
          </w:p>
        </w:tc>
      </w:tr>
      <w:tr w:rsidR="00067771" w:rsidRPr="0040247D" w14:paraId="1575043B" w14:textId="77777777" w:rsidTr="00025B84">
        <w:tc>
          <w:tcPr>
            <w:tcW w:w="2743" w:type="pct"/>
            <w:tcBorders>
              <w:top w:val="single" w:sz="4" w:space="0" w:color="auto"/>
              <w:left w:val="single" w:sz="4" w:space="0" w:color="auto"/>
              <w:bottom w:val="single" w:sz="4" w:space="0" w:color="auto"/>
              <w:right w:val="single" w:sz="4" w:space="0" w:color="auto"/>
            </w:tcBorders>
            <w:hideMark/>
          </w:tcPr>
          <w:p w14:paraId="207411FF" w14:textId="7B22C843" w:rsidR="00025B84" w:rsidRPr="0040247D" w:rsidRDefault="00025B84" w:rsidP="00CD2ED2">
            <w:pPr>
              <w:pStyle w:val="Tabletext"/>
              <w:keepNext/>
              <w:rPr>
                <w:b/>
              </w:rPr>
            </w:pPr>
            <w:proofErr w:type="spellStart"/>
            <w:r w:rsidRPr="0040247D">
              <w:rPr>
                <w:b/>
              </w:rPr>
              <w:t>Eligard</w:t>
            </w:r>
            <w:proofErr w:type="spellEnd"/>
            <w:r w:rsidR="004D13CD" w:rsidRPr="0040247D">
              <w:rPr>
                <w:b/>
              </w:rPr>
              <w:t xml:space="preserve"> 6 month</w:t>
            </w:r>
            <w:r w:rsidRPr="0040247D">
              <w:rPr>
                <w:b/>
              </w:rPr>
              <w:t xml:space="preserve"> vs. </w:t>
            </w:r>
            <w:proofErr w:type="spellStart"/>
            <w:r w:rsidR="007F5A54" w:rsidRPr="0040247D">
              <w:rPr>
                <w:b/>
              </w:rPr>
              <w:t>Diphereline</w:t>
            </w:r>
            <w:proofErr w:type="spellEnd"/>
          </w:p>
        </w:tc>
        <w:tc>
          <w:tcPr>
            <w:tcW w:w="881" w:type="pct"/>
            <w:tcBorders>
              <w:top w:val="single" w:sz="4" w:space="0" w:color="auto"/>
              <w:left w:val="single" w:sz="4" w:space="0" w:color="auto"/>
              <w:bottom w:val="single" w:sz="4" w:space="0" w:color="auto"/>
              <w:right w:val="single" w:sz="4" w:space="0" w:color="auto"/>
            </w:tcBorders>
          </w:tcPr>
          <w:p w14:paraId="1FE31D43" w14:textId="77777777" w:rsidR="00025B84" w:rsidRPr="0040247D" w:rsidRDefault="00025B84" w:rsidP="00CD2ED2">
            <w:pPr>
              <w:pStyle w:val="Tabletext"/>
              <w:keepNext/>
              <w:jc w:val="center"/>
              <w:rPr>
                <w:b/>
              </w:rPr>
            </w:pPr>
          </w:p>
        </w:tc>
        <w:tc>
          <w:tcPr>
            <w:tcW w:w="694" w:type="pct"/>
            <w:tcBorders>
              <w:top w:val="single" w:sz="4" w:space="0" w:color="auto"/>
              <w:left w:val="single" w:sz="4" w:space="0" w:color="auto"/>
              <w:bottom w:val="single" w:sz="4" w:space="0" w:color="auto"/>
              <w:right w:val="single" w:sz="4" w:space="0" w:color="auto"/>
            </w:tcBorders>
          </w:tcPr>
          <w:p w14:paraId="66E6519A" w14:textId="77777777" w:rsidR="00025B84" w:rsidRPr="0040247D" w:rsidRDefault="00025B84" w:rsidP="00CD2ED2">
            <w:pPr>
              <w:pStyle w:val="Tabletext"/>
              <w:keepNext/>
              <w:jc w:val="center"/>
              <w:rPr>
                <w:rFonts w:ascii="Calibri" w:hAnsi="Calibri"/>
                <w:b/>
              </w:rPr>
            </w:pPr>
          </w:p>
        </w:tc>
        <w:tc>
          <w:tcPr>
            <w:tcW w:w="682" w:type="pct"/>
            <w:tcBorders>
              <w:top w:val="single" w:sz="4" w:space="0" w:color="auto"/>
              <w:left w:val="single" w:sz="4" w:space="0" w:color="auto"/>
              <w:bottom w:val="single" w:sz="4" w:space="0" w:color="auto"/>
              <w:right w:val="single" w:sz="4" w:space="0" w:color="auto"/>
            </w:tcBorders>
          </w:tcPr>
          <w:p w14:paraId="2CD57EFA" w14:textId="77777777" w:rsidR="00025B84" w:rsidRPr="0040247D" w:rsidRDefault="00025B84" w:rsidP="00CD2ED2">
            <w:pPr>
              <w:pStyle w:val="Tabletext"/>
              <w:keepNext/>
              <w:jc w:val="center"/>
              <w:rPr>
                <w:b/>
              </w:rPr>
            </w:pPr>
          </w:p>
        </w:tc>
      </w:tr>
      <w:tr w:rsidR="00067771" w:rsidRPr="0040247D" w14:paraId="74FFC079" w14:textId="77777777" w:rsidTr="00025B84">
        <w:trPr>
          <w:trHeight w:val="170"/>
        </w:trPr>
        <w:tc>
          <w:tcPr>
            <w:tcW w:w="2743" w:type="pct"/>
            <w:tcBorders>
              <w:top w:val="single" w:sz="4" w:space="0" w:color="auto"/>
              <w:left w:val="single" w:sz="4" w:space="0" w:color="auto"/>
              <w:bottom w:val="single" w:sz="4" w:space="0" w:color="auto"/>
              <w:right w:val="single" w:sz="4" w:space="0" w:color="auto"/>
            </w:tcBorders>
            <w:hideMark/>
          </w:tcPr>
          <w:p w14:paraId="453002E1" w14:textId="67E66717" w:rsidR="00025B84" w:rsidRPr="0040247D" w:rsidRDefault="00025B84" w:rsidP="00CD2ED2">
            <w:pPr>
              <w:pStyle w:val="Tabletext"/>
              <w:keepNext/>
              <w:rPr>
                <w:bCs/>
              </w:rPr>
            </w:pPr>
            <w:proofErr w:type="spellStart"/>
            <w:r w:rsidRPr="0040247D">
              <w:rPr>
                <w:bCs/>
              </w:rPr>
              <w:t>Eligard</w:t>
            </w:r>
            <w:proofErr w:type="spellEnd"/>
            <w:r w:rsidRPr="0040247D">
              <w:rPr>
                <w:bCs/>
              </w:rPr>
              <w:t xml:space="preserve"> 6 month </w:t>
            </w:r>
            <w:r w:rsidR="0094323D">
              <w:rPr>
                <w:bCs/>
              </w:rPr>
              <w:t>–</w:t>
            </w:r>
            <w:r w:rsidRPr="0040247D">
              <w:rPr>
                <w:bCs/>
              </w:rPr>
              <w:t xml:space="preserve"> 45</w:t>
            </w:r>
            <w:r w:rsidR="0094323D">
              <w:rPr>
                <w:bCs/>
              </w:rPr>
              <w:t xml:space="preserve"> </w:t>
            </w:r>
            <w:r w:rsidRPr="0040247D">
              <w:rPr>
                <w:bCs/>
              </w:rPr>
              <w:t>mg of leuprorelin, 1 injection</w:t>
            </w:r>
          </w:p>
        </w:tc>
        <w:tc>
          <w:tcPr>
            <w:tcW w:w="881" w:type="pct"/>
            <w:tcBorders>
              <w:top w:val="single" w:sz="4" w:space="0" w:color="auto"/>
              <w:left w:val="single" w:sz="4" w:space="0" w:color="auto"/>
              <w:bottom w:val="single" w:sz="4" w:space="0" w:color="auto"/>
              <w:right w:val="single" w:sz="4" w:space="0" w:color="auto"/>
            </w:tcBorders>
            <w:hideMark/>
          </w:tcPr>
          <w:p w14:paraId="5DEB5B76" w14:textId="77777777" w:rsidR="00025B84" w:rsidRPr="0040247D" w:rsidRDefault="00025B84" w:rsidP="00CD2ED2">
            <w:pPr>
              <w:pStyle w:val="Tabletext"/>
              <w:keepNext/>
              <w:jc w:val="center"/>
              <w:rPr>
                <w:rStyle w:val="Small"/>
                <w:rFonts w:asciiTheme="majorHAnsi" w:hAnsiTheme="majorHAnsi" w:cstheme="majorHAnsi"/>
                <w:color w:val="auto"/>
                <w:szCs w:val="20"/>
              </w:rPr>
            </w:pPr>
            <w:r w:rsidRPr="0040247D">
              <w:rPr>
                <w:bCs/>
              </w:rPr>
              <w:t>$1,606.32</w:t>
            </w:r>
          </w:p>
        </w:tc>
        <w:tc>
          <w:tcPr>
            <w:tcW w:w="694" w:type="pct"/>
            <w:tcBorders>
              <w:top w:val="single" w:sz="4" w:space="0" w:color="auto"/>
              <w:left w:val="single" w:sz="4" w:space="0" w:color="auto"/>
              <w:bottom w:val="single" w:sz="4" w:space="0" w:color="auto"/>
              <w:right w:val="single" w:sz="4" w:space="0" w:color="auto"/>
            </w:tcBorders>
            <w:hideMark/>
          </w:tcPr>
          <w:p w14:paraId="2920A306" w14:textId="77777777" w:rsidR="00025B84" w:rsidRPr="0040247D" w:rsidRDefault="00025B84" w:rsidP="00CD2ED2">
            <w:pPr>
              <w:pStyle w:val="Tabletext"/>
              <w:keepNext/>
              <w:jc w:val="center"/>
              <w:rPr>
                <w:rStyle w:val="Small"/>
                <w:rFonts w:asciiTheme="majorHAnsi" w:hAnsiTheme="majorHAnsi" w:cstheme="majorHAnsi"/>
                <w:bCs w:val="0"/>
                <w:color w:val="auto"/>
                <w:szCs w:val="20"/>
              </w:rPr>
            </w:pPr>
            <w:r w:rsidRPr="0040247D">
              <w:rPr>
                <w:rFonts w:ascii="Calibri" w:hAnsi="Calibri"/>
                <w:bCs/>
              </w:rPr>
              <w:t>2</w:t>
            </w:r>
          </w:p>
        </w:tc>
        <w:tc>
          <w:tcPr>
            <w:tcW w:w="682" w:type="pct"/>
            <w:tcBorders>
              <w:top w:val="single" w:sz="4" w:space="0" w:color="auto"/>
              <w:left w:val="single" w:sz="4" w:space="0" w:color="auto"/>
              <w:bottom w:val="single" w:sz="4" w:space="0" w:color="auto"/>
              <w:right w:val="single" w:sz="4" w:space="0" w:color="auto"/>
            </w:tcBorders>
            <w:hideMark/>
          </w:tcPr>
          <w:p w14:paraId="641AD8E5" w14:textId="77777777" w:rsidR="00025B84" w:rsidRPr="0040247D" w:rsidRDefault="00025B84" w:rsidP="00CD2ED2">
            <w:pPr>
              <w:pStyle w:val="Tabletext"/>
              <w:keepNext/>
              <w:jc w:val="center"/>
              <w:rPr>
                <w:bCs/>
              </w:rPr>
            </w:pPr>
            <w:r w:rsidRPr="0040247D">
              <w:rPr>
                <w:bCs/>
              </w:rPr>
              <w:t>$3,212.64</w:t>
            </w:r>
          </w:p>
        </w:tc>
      </w:tr>
      <w:tr w:rsidR="00067771" w:rsidRPr="0040247D" w14:paraId="6978E0D8" w14:textId="77777777" w:rsidTr="00025B84">
        <w:trPr>
          <w:trHeight w:val="170"/>
        </w:trPr>
        <w:tc>
          <w:tcPr>
            <w:tcW w:w="2743" w:type="pct"/>
            <w:tcBorders>
              <w:top w:val="single" w:sz="4" w:space="0" w:color="auto"/>
              <w:left w:val="single" w:sz="4" w:space="0" w:color="auto"/>
              <w:bottom w:val="single" w:sz="4" w:space="0" w:color="auto"/>
              <w:right w:val="single" w:sz="4" w:space="0" w:color="auto"/>
            </w:tcBorders>
            <w:hideMark/>
          </w:tcPr>
          <w:p w14:paraId="1287E8C2" w14:textId="0069BD30" w:rsidR="00025B84" w:rsidRPr="0040247D" w:rsidRDefault="00471BDC" w:rsidP="00CD2ED2">
            <w:pPr>
              <w:pStyle w:val="Tabletext"/>
              <w:keepNext/>
            </w:pPr>
            <w:proofErr w:type="spellStart"/>
            <w:r w:rsidRPr="0040247D">
              <w:t>Diphereline</w:t>
            </w:r>
            <w:proofErr w:type="spellEnd"/>
            <w:r w:rsidRPr="0040247D">
              <w:t xml:space="preserve"> – t</w:t>
            </w:r>
            <w:r w:rsidR="00025B84" w:rsidRPr="0040247D">
              <w:t>riptorelin 22.5 mg for injection, 1 injection</w:t>
            </w:r>
          </w:p>
        </w:tc>
        <w:tc>
          <w:tcPr>
            <w:tcW w:w="881" w:type="pct"/>
            <w:tcBorders>
              <w:top w:val="single" w:sz="4" w:space="0" w:color="auto"/>
              <w:left w:val="single" w:sz="4" w:space="0" w:color="auto"/>
              <w:bottom w:val="single" w:sz="4" w:space="0" w:color="auto"/>
              <w:right w:val="single" w:sz="4" w:space="0" w:color="auto"/>
            </w:tcBorders>
            <w:hideMark/>
          </w:tcPr>
          <w:p w14:paraId="02F90544" w14:textId="77777777" w:rsidR="00025B84" w:rsidRPr="0040247D" w:rsidRDefault="00025B84" w:rsidP="00CD2ED2">
            <w:pPr>
              <w:pStyle w:val="Tabletext"/>
              <w:keepNext/>
              <w:jc w:val="center"/>
              <w:rPr>
                <w:rStyle w:val="Small"/>
                <w:rFonts w:asciiTheme="majorHAnsi" w:hAnsiTheme="majorHAnsi" w:cstheme="majorHAnsi"/>
                <w:color w:val="auto"/>
                <w:szCs w:val="20"/>
              </w:rPr>
            </w:pPr>
            <w:r w:rsidRPr="0040247D">
              <w:t>$1,690.87</w:t>
            </w:r>
          </w:p>
        </w:tc>
        <w:tc>
          <w:tcPr>
            <w:tcW w:w="694" w:type="pct"/>
            <w:tcBorders>
              <w:top w:val="single" w:sz="4" w:space="0" w:color="auto"/>
              <w:left w:val="single" w:sz="4" w:space="0" w:color="auto"/>
              <w:bottom w:val="single" w:sz="4" w:space="0" w:color="auto"/>
              <w:right w:val="single" w:sz="4" w:space="0" w:color="auto"/>
            </w:tcBorders>
            <w:hideMark/>
          </w:tcPr>
          <w:p w14:paraId="264BAA51" w14:textId="77777777" w:rsidR="00025B84" w:rsidRPr="0040247D" w:rsidRDefault="00025B84" w:rsidP="00CD2ED2">
            <w:pPr>
              <w:pStyle w:val="Tabletext"/>
              <w:keepNext/>
              <w:jc w:val="center"/>
              <w:rPr>
                <w:rStyle w:val="Small"/>
                <w:rFonts w:asciiTheme="majorHAnsi" w:hAnsiTheme="majorHAnsi" w:cstheme="majorHAnsi"/>
                <w:color w:val="auto"/>
                <w:szCs w:val="20"/>
              </w:rPr>
            </w:pPr>
            <w:r w:rsidRPr="0040247D">
              <w:rPr>
                <w:rFonts w:ascii="Calibri" w:hAnsi="Calibri"/>
              </w:rPr>
              <w:t>2</w:t>
            </w:r>
          </w:p>
        </w:tc>
        <w:tc>
          <w:tcPr>
            <w:tcW w:w="682" w:type="pct"/>
            <w:tcBorders>
              <w:top w:val="single" w:sz="4" w:space="0" w:color="auto"/>
              <w:left w:val="single" w:sz="4" w:space="0" w:color="auto"/>
              <w:bottom w:val="single" w:sz="4" w:space="0" w:color="auto"/>
              <w:right w:val="single" w:sz="4" w:space="0" w:color="auto"/>
            </w:tcBorders>
            <w:hideMark/>
          </w:tcPr>
          <w:p w14:paraId="3FD1AA23" w14:textId="77777777" w:rsidR="00025B84" w:rsidRPr="0040247D" w:rsidRDefault="00025B84" w:rsidP="00CD2ED2">
            <w:pPr>
              <w:pStyle w:val="Tabletext"/>
              <w:keepNext/>
              <w:jc w:val="center"/>
            </w:pPr>
            <w:r w:rsidRPr="0040247D">
              <w:t>$3,381.74</w:t>
            </w:r>
          </w:p>
        </w:tc>
      </w:tr>
      <w:tr w:rsidR="00067771" w:rsidRPr="0040247D" w14:paraId="305CC168" w14:textId="77777777" w:rsidTr="00025B84">
        <w:tc>
          <w:tcPr>
            <w:tcW w:w="4318" w:type="pct"/>
            <w:gridSpan w:val="3"/>
            <w:tcBorders>
              <w:top w:val="single" w:sz="4" w:space="0" w:color="auto"/>
              <w:left w:val="single" w:sz="4" w:space="0" w:color="auto"/>
              <w:bottom w:val="single" w:sz="4" w:space="0" w:color="auto"/>
              <w:right w:val="single" w:sz="4" w:space="0" w:color="auto"/>
            </w:tcBorders>
            <w:hideMark/>
          </w:tcPr>
          <w:p w14:paraId="5D56C065" w14:textId="738B7DE0" w:rsidR="00025B84" w:rsidRPr="0040247D" w:rsidRDefault="00025B84" w:rsidP="00CD2ED2">
            <w:pPr>
              <w:pStyle w:val="Tabletext"/>
              <w:keepNext/>
            </w:pPr>
            <w:r w:rsidRPr="0040247D">
              <w:t>Annual savings without cost offsets (</w:t>
            </w:r>
            <w:proofErr w:type="spellStart"/>
            <w:r w:rsidRPr="0040247D">
              <w:t>Eligard</w:t>
            </w:r>
            <w:proofErr w:type="spellEnd"/>
            <w:r w:rsidRPr="0040247D">
              <w:t xml:space="preserve"> vs </w:t>
            </w:r>
            <w:proofErr w:type="spellStart"/>
            <w:r w:rsidR="00471BDC" w:rsidRPr="0040247D">
              <w:t>Diphereline</w:t>
            </w:r>
            <w:proofErr w:type="spellEnd"/>
            <w:r w:rsidRPr="0040247D">
              <w:t>)</w:t>
            </w:r>
          </w:p>
        </w:tc>
        <w:tc>
          <w:tcPr>
            <w:tcW w:w="682" w:type="pct"/>
            <w:tcBorders>
              <w:top w:val="single" w:sz="4" w:space="0" w:color="auto"/>
              <w:left w:val="single" w:sz="4" w:space="0" w:color="auto"/>
              <w:bottom w:val="single" w:sz="4" w:space="0" w:color="auto"/>
              <w:right w:val="single" w:sz="4" w:space="0" w:color="auto"/>
            </w:tcBorders>
            <w:hideMark/>
          </w:tcPr>
          <w:p w14:paraId="641FBB2E" w14:textId="77777777" w:rsidR="00025B84" w:rsidRPr="0040247D" w:rsidRDefault="00025B84" w:rsidP="00CD2ED2">
            <w:pPr>
              <w:pStyle w:val="Tabletext"/>
              <w:keepNext/>
              <w:jc w:val="center"/>
              <w:rPr>
                <w:b/>
                <w:bCs/>
              </w:rPr>
            </w:pPr>
            <w:r w:rsidRPr="0040247D">
              <w:t>$169.10</w:t>
            </w:r>
          </w:p>
        </w:tc>
      </w:tr>
    </w:tbl>
    <w:p w14:paraId="76284676" w14:textId="77777777" w:rsidR="00025B84" w:rsidRPr="0094323D" w:rsidRDefault="00025B84" w:rsidP="0094323D">
      <w:pPr>
        <w:pStyle w:val="TableFigureFooter"/>
      </w:pPr>
      <w:r w:rsidRPr="0094323D">
        <w:t>Source: Table 3-2, p102 of the submission.</w:t>
      </w:r>
    </w:p>
    <w:p w14:paraId="02241ECC" w14:textId="77777777" w:rsidR="00025B84" w:rsidRPr="0094323D" w:rsidRDefault="00025B84" w:rsidP="0094323D">
      <w:pPr>
        <w:pStyle w:val="TableFigureFooter"/>
      </w:pPr>
      <w:r w:rsidRPr="0094323D">
        <w:t>(a) The numbers in this row were presented by the submission</w:t>
      </w:r>
    </w:p>
    <w:p w14:paraId="3EBE2A63" w14:textId="0D0DDADD" w:rsidR="00025B84" w:rsidRPr="0094323D" w:rsidRDefault="00025B84" w:rsidP="0094323D">
      <w:pPr>
        <w:pStyle w:val="TableFigureFooter"/>
      </w:pPr>
      <w:r w:rsidRPr="0094323D">
        <w:t xml:space="preserve">(b) The numbers in this row were compiled during the </w:t>
      </w:r>
      <w:r w:rsidR="00B618E4" w:rsidRPr="0094323D">
        <w:t xml:space="preserve">evaluation; the </w:t>
      </w:r>
      <w:r w:rsidR="00042399" w:rsidRPr="0094323D">
        <w:t xml:space="preserve">price </w:t>
      </w:r>
      <w:r w:rsidR="00B618E4" w:rsidRPr="0094323D">
        <w:t xml:space="preserve">for </w:t>
      </w:r>
      <w:proofErr w:type="spellStart"/>
      <w:r w:rsidR="002B4FCF" w:rsidRPr="0094323D">
        <w:t>Lucrin</w:t>
      </w:r>
      <w:proofErr w:type="spellEnd"/>
      <w:r w:rsidR="002B4FCF" w:rsidRPr="0094323D">
        <w:t xml:space="preserve"> Paediatric</w:t>
      </w:r>
      <w:r w:rsidR="00720241" w:rsidRPr="0094323D" w:rsidDel="00720241">
        <w:t xml:space="preserve"> </w:t>
      </w:r>
      <w:r w:rsidR="00B618E4" w:rsidRPr="0094323D">
        <w:t xml:space="preserve">reduced in </w:t>
      </w:r>
      <w:r w:rsidR="007F7080" w:rsidRPr="0094323D">
        <w:t>Feb</w:t>
      </w:r>
      <w:r w:rsidR="00042399" w:rsidRPr="0094323D">
        <w:t>ruary</w:t>
      </w:r>
      <w:r w:rsidR="007F7080" w:rsidRPr="0094323D">
        <w:t xml:space="preserve"> </w:t>
      </w:r>
      <w:r w:rsidR="00B618E4" w:rsidRPr="0094323D">
        <w:t>2022</w:t>
      </w:r>
      <w:r w:rsidR="00042399" w:rsidRPr="0094323D">
        <w:t xml:space="preserve"> (AEMP =</w:t>
      </w:r>
      <w:r w:rsidR="00085860" w:rsidRPr="0094323D">
        <w:t xml:space="preserve"> $845.46</w:t>
      </w:r>
      <w:r w:rsidR="00042399" w:rsidRPr="0094323D">
        <w:t>)</w:t>
      </w:r>
      <w:r w:rsidR="00B618E4" w:rsidRPr="0094323D">
        <w:t xml:space="preserve">, following the listing of </w:t>
      </w:r>
      <w:proofErr w:type="spellStart"/>
      <w:r w:rsidR="00471BDC" w:rsidRPr="0094323D">
        <w:t>Diphereline</w:t>
      </w:r>
      <w:proofErr w:type="spellEnd"/>
      <w:r w:rsidR="00B618E4" w:rsidRPr="0094323D">
        <w:t xml:space="preserve"> in </w:t>
      </w:r>
      <w:r w:rsidR="00042399" w:rsidRPr="0094323D">
        <w:t xml:space="preserve">November </w:t>
      </w:r>
      <w:r w:rsidR="00B618E4" w:rsidRPr="0094323D">
        <w:t>2021.</w:t>
      </w:r>
    </w:p>
    <w:p w14:paraId="27D85C74" w14:textId="69143116" w:rsidR="00120819" w:rsidRPr="0040247D" w:rsidRDefault="00025B84" w:rsidP="0094323D">
      <w:pPr>
        <w:pStyle w:val="TableFigureFooter"/>
      </w:pPr>
      <w:r w:rsidRPr="0094323D">
        <w:t>AEMP</w:t>
      </w:r>
      <w:r w:rsidR="00B27233" w:rsidRPr="0094323D">
        <w:t>,</w:t>
      </w:r>
      <w:r w:rsidRPr="0094323D">
        <w:t xml:space="preserve"> </w:t>
      </w:r>
      <w:r w:rsidR="0094323D" w:rsidRPr="0094323D">
        <w:t xml:space="preserve">approved </w:t>
      </w:r>
      <w:r w:rsidRPr="0094323D">
        <w:t>ex-manufacturer price; mg</w:t>
      </w:r>
      <w:r w:rsidR="00B27233" w:rsidRPr="0094323D">
        <w:t xml:space="preserve">, </w:t>
      </w:r>
      <w:r w:rsidRPr="0094323D">
        <w:t>milligram.</w:t>
      </w:r>
    </w:p>
    <w:p w14:paraId="35A70D4C" w14:textId="59B7ADC2" w:rsidR="00197B03" w:rsidRPr="009314D5" w:rsidRDefault="00025B84" w:rsidP="0055154C">
      <w:pPr>
        <w:pStyle w:val="3-BodyText"/>
        <w:ind w:left="709"/>
      </w:pPr>
      <w:r w:rsidRPr="009314D5">
        <w:t xml:space="preserve">In February 2022, the AEMP of </w:t>
      </w:r>
      <w:proofErr w:type="spellStart"/>
      <w:r w:rsidR="002B4FCF" w:rsidRPr="009314D5">
        <w:t>Lucrin</w:t>
      </w:r>
      <w:proofErr w:type="spellEnd"/>
      <w:r w:rsidR="002B4FCF" w:rsidRPr="009314D5">
        <w:t xml:space="preserve"> Paediatric</w:t>
      </w:r>
      <w:r w:rsidRPr="009314D5">
        <w:t xml:space="preserve"> (#11944P, 11960L) was decreased from $1,071.68 to $845.46. This was not reflected in the submission. </w:t>
      </w:r>
      <w:r w:rsidR="007F7080" w:rsidRPr="009314D5">
        <w:t xml:space="preserve">At the proposed price, </w:t>
      </w:r>
      <w:proofErr w:type="spellStart"/>
      <w:r w:rsidRPr="009314D5">
        <w:t>Eligard</w:t>
      </w:r>
      <w:proofErr w:type="spellEnd"/>
      <w:r w:rsidRPr="009314D5">
        <w:t xml:space="preserve"> 6 month </w:t>
      </w:r>
      <w:r w:rsidR="007F7080" w:rsidRPr="009314D5">
        <w:t xml:space="preserve">would still be the </w:t>
      </w:r>
      <w:r w:rsidR="00F96E37" w:rsidRPr="009314D5">
        <w:t>least costly</w:t>
      </w:r>
      <w:r w:rsidR="007F7080" w:rsidRPr="009314D5">
        <w:t xml:space="preserve">, </w:t>
      </w:r>
      <w:r w:rsidRPr="009314D5">
        <w:t xml:space="preserve">compared to </w:t>
      </w:r>
      <w:proofErr w:type="spellStart"/>
      <w:r w:rsidR="002B4FCF" w:rsidRPr="009314D5">
        <w:rPr>
          <w:bCs/>
        </w:rPr>
        <w:t>Lucrin</w:t>
      </w:r>
      <w:proofErr w:type="spellEnd"/>
      <w:r w:rsidR="002B4FCF" w:rsidRPr="009314D5">
        <w:rPr>
          <w:bCs/>
        </w:rPr>
        <w:t xml:space="preserve"> Paediatric</w:t>
      </w:r>
      <w:r w:rsidRPr="009314D5">
        <w:rPr>
          <w:bCs/>
        </w:rPr>
        <w:t xml:space="preserve"> and </w:t>
      </w:r>
      <w:proofErr w:type="spellStart"/>
      <w:r w:rsidR="00471BDC" w:rsidRPr="009314D5">
        <w:rPr>
          <w:bCs/>
        </w:rPr>
        <w:t>Diphereline</w:t>
      </w:r>
      <w:proofErr w:type="spellEnd"/>
      <w:r w:rsidRPr="009314D5">
        <w:rPr>
          <w:bCs/>
        </w:rPr>
        <w:t>.</w:t>
      </w:r>
    </w:p>
    <w:p w14:paraId="268768EF" w14:textId="1ABED8F4" w:rsidR="00B60939" w:rsidRPr="0040247D" w:rsidRDefault="00B60939" w:rsidP="00511D23">
      <w:pPr>
        <w:pStyle w:val="4-SubsectionHeading"/>
      </w:pPr>
      <w:bookmarkStart w:id="34" w:name="_Toc22897647"/>
      <w:bookmarkStart w:id="35" w:name="_Toc103764965"/>
      <w:r w:rsidRPr="0040247D">
        <w:lastRenderedPageBreak/>
        <w:t>Estimated PBS usage &amp; financial implications</w:t>
      </w:r>
      <w:bookmarkEnd w:id="34"/>
      <w:bookmarkEnd w:id="35"/>
    </w:p>
    <w:p w14:paraId="09600F75" w14:textId="7F94DA67" w:rsidR="00B25831" w:rsidRPr="0040247D" w:rsidRDefault="00C25D9C" w:rsidP="0055154C">
      <w:pPr>
        <w:pStyle w:val="3-BodyText"/>
        <w:ind w:left="709"/>
      </w:pPr>
      <w:bookmarkStart w:id="36" w:name="_Hlk100654819"/>
      <w:r w:rsidRPr="0040247D">
        <w:t xml:space="preserve">This submission </w:t>
      </w:r>
      <w:r w:rsidR="00810458">
        <w:t>was</w:t>
      </w:r>
      <w:r w:rsidR="00810458" w:rsidRPr="0040247D">
        <w:t xml:space="preserve"> </w:t>
      </w:r>
      <w:r w:rsidRPr="0040247D">
        <w:t>not considered by DUSC.</w:t>
      </w:r>
      <w:r w:rsidR="00E364A2" w:rsidRPr="0040247D">
        <w:t xml:space="preserve"> </w:t>
      </w:r>
      <w:r w:rsidR="00F913BF" w:rsidRPr="0040247D">
        <w:t>The submission used a market share approach</w:t>
      </w:r>
      <w:r w:rsidR="007F7080" w:rsidRPr="0040247D">
        <w:t xml:space="preserve"> to estimate the number of scripts </w:t>
      </w:r>
      <w:r w:rsidR="00511D23">
        <w:t>of</w:t>
      </w:r>
      <w:r w:rsidR="00511D23" w:rsidRPr="0040247D">
        <w:t xml:space="preserve"> </w:t>
      </w:r>
      <w:proofErr w:type="spellStart"/>
      <w:r w:rsidR="007F7080" w:rsidRPr="0040247D">
        <w:t>Eligard</w:t>
      </w:r>
      <w:proofErr w:type="spellEnd"/>
      <w:r w:rsidR="007F7080" w:rsidRPr="0040247D">
        <w:t xml:space="preserve"> 6 month</w:t>
      </w:r>
      <w:r w:rsidR="00F913BF" w:rsidRPr="0040247D">
        <w:t xml:space="preserve">, assuming that </w:t>
      </w:r>
      <w:proofErr w:type="spellStart"/>
      <w:r w:rsidR="006567EB" w:rsidRPr="0040247D">
        <w:t>Eligard</w:t>
      </w:r>
      <w:proofErr w:type="spellEnd"/>
      <w:r w:rsidR="006567EB" w:rsidRPr="0040247D">
        <w:t xml:space="preserve"> 6 month </w:t>
      </w:r>
      <w:r w:rsidR="00511D23">
        <w:t>would</w:t>
      </w:r>
      <w:r w:rsidR="00511D23" w:rsidRPr="0040247D">
        <w:t xml:space="preserve"> </w:t>
      </w:r>
      <w:r w:rsidR="00F913BF" w:rsidRPr="0040247D">
        <w:t xml:space="preserve">only substitute </w:t>
      </w:r>
      <w:r w:rsidR="004C35B5" w:rsidRPr="0040247D">
        <w:t xml:space="preserve">for </w:t>
      </w:r>
      <w:proofErr w:type="spellStart"/>
      <w:r w:rsidR="002B4FCF" w:rsidRPr="0040247D">
        <w:t>Lucrin</w:t>
      </w:r>
      <w:proofErr w:type="spellEnd"/>
      <w:r w:rsidR="002B4FCF" w:rsidRPr="0040247D">
        <w:t xml:space="preserve"> Paediatric</w:t>
      </w:r>
      <w:r w:rsidR="00E94639" w:rsidRPr="0040247D">
        <w:t xml:space="preserve"> </w:t>
      </w:r>
      <w:r w:rsidR="006567EB" w:rsidRPr="0040247D">
        <w:t>for</w:t>
      </w:r>
      <w:r w:rsidR="00511D23">
        <w:t xml:space="preserve"> the treatment of</w:t>
      </w:r>
      <w:r w:rsidR="006567EB" w:rsidRPr="0040247D">
        <w:t xml:space="preserve"> CPP</w:t>
      </w:r>
      <w:r w:rsidR="004E2C29" w:rsidRPr="0040247D">
        <w:t>, giving a corresponding script reduction of 1:2</w:t>
      </w:r>
      <w:r w:rsidR="004C35B5" w:rsidRPr="0040247D">
        <w:t>.</w:t>
      </w:r>
      <w:r w:rsidR="00B25831" w:rsidRPr="0040247D">
        <w:t xml:space="preserve"> </w:t>
      </w:r>
      <w:r w:rsidR="00745176" w:rsidRPr="009314D5">
        <w:t>W</w:t>
      </w:r>
      <w:r w:rsidR="004218BB" w:rsidRPr="009314D5">
        <w:t xml:space="preserve">hile </w:t>
      </w:r>
      <w:proofErr w:type="spellStart"/>
      <w:r w:rsidR="00471BDC" w:rsidRPr="009314D5">
        <w:t>Diphereline</w:t>
      </w:r>
      <w:proofErr w:type="spellEnd"/>
      <w:r w:rsidR="004218BB" w:rsidRPr="009314D5">
        <w:t xml:space="preserve">, the alternative </w:t>
      </w:r>
      <w:r w:rsidR="00511D23" w:rsidRPr="009314D5">
        <w:t xml:space="preserve">therapy </w:t>
      </w:r>
      <w:r w:rsidR="004218BB" w:rsidRPr="009314D5">
        <w:t>for CPP</w:t>
      </w:r>
      <w:r w:rsidR="00511D23" w:rsidRPr="009314D5">
        <w:t>,</w:t>
      </w:r>
      <w:r w:rsidR="004218BB" w:rsidRPr="009314D5">
        <w:t xml:space="preserve"> </w:t>
      </w:r>
      <w:r w:rsidR="006567EB" w:rsidRPr="009314D5">
        <w:t xml:space="preserve">was only </w:t>
      </w:r>
      <w:r w:rsidR="00E94639" w:rsidRPr="009314D5">
        <w:t>liste</w:t>
      </w:r>
      <w:r w:rsidR="00535235" w:rsidRPr="009314D5">
        <w:t>d in November</w:t>
      </w:r>
      <w:r w:rsidR="006567EB" w:rsidRPr="009314D5">
        <w:t xml:space="preserve"> 2021 </w:t>
      </w:r>
      <w:r w:rsidR="004218BB" w:rsidRPr="009314D5">
        <w:t xml:space="preserve">and </w:t>
      </w:r>
      <w:r w:rsidR="00511D23" w:rsidRPr="009314D5">
        <w:t>market share data would not have been</w:t>
      </w:r>
      <w:r w:rsidR="004218BB" w:rsidRPr="009314D5">
        <w:t xml:space="preserve"> available</w:t>
      </w:r>
      <w:r w:rsidR="00511D23" w:rsidRPr="009314D5">
        <w:t xml:space="preserve"> at the time of submission</w:t>
      </w:r>
      <w:r w:rsidR="004218BB" w:rsidRPr="009314D5">
        <w:t xml:space="preserve">, its treatment duration is the same as </w:t>
      </w:r>
      <w:proofErr w:type="spellStart"/>
      <w:r w:rsidR="004218BB" w:rsidRPr="009314D5">
        <w:t>Eligard</w:t>
      </w:r>
      <w:proofErr w:type="spellEnd"/>
      <w:r w:rsidR="00535235" w:rsidRPr="009314D5">
        <w:t xml:space="preserve"> 6 month</w:t>
      </w:r>
      <w:r w:rsidR="007C0C2A" w:rsidRPr="009314D5">
        <w:t xml:space="preserve"> (i.e. the script equivalence for these products would be 1:1)</w:t>
      </w:r>
      <w:r w:rsidR="007F7080" w:rsidRPr="009314D5">
        <w:t xml:space="preserve">. Therefore, </w:t>
      </w:r>
      <w:r w:rsidR="00511D23" w:rsidRPr="009314D5">
        <w:t xml:space="preserve">it may not be reasonable to assume a </w:t>
      </w:r>
      <w:r w:rsidR="00745176" w:rsidRPr="009314D5">
        <w:t xml:space="preserve">scripts reduction </w:t>
      </w:r>
      <w:r w:rsidR="00511D23" w:rsidRPr="009314D5">
        <w:t>ratio of</w:t>
      </w:r>
      <w:r w:rsidR="007C0C2A" w:rsidRPr="009314D5">
        <w:t xml:space="preserve"> </w:t>
      </w:r>
      <w:r w:rsidR="00745176" w:rsidRPr="009314D5">
        <w:t>1:2</w:t>
      </w:r>
      <w:r w:rsidR="00DA10B8" w:rsidRPr="009314D5">
        <w:t xml:space="preserve"> </w:t>
      </w:r>
      <w:r w:rsidR="00745176" w:rsidRPr="009314D5">
        <w:t>(</w:t>
      </w:r>
      <w:proofErr w:type="spellStart"/>
      <w:r w:rsidR="00745176" w:rsidRPr="009314D5">
        <w:t>Eligard</w:t>
      </w:r>
      <w:proofErr w:type="spellEnd"/>
      <w:r w:rsidR="00720241" w:rsidRPr="009314D5">
        <w:t xml:space="preserve"> 6 month</w:t>
      </w:r>
      <w:r w:rsidR="00745176" w:rsidRPr="009314D5">
        <w:t>:</w:t>
      </w:r>
      <w:r w:rsidR="00FE421C" w:rsidRPr="009314D5">
        <w:t xml:space="preserve"> </w:t>
      </w:r>
      <w:proofErr w:type="spellStart"/>
      <w:r w:rsidR="002B4FCF" w:rsidRPr="009314D5">
        <w:t>Lucrin</w:t>
      </w:r>
      <w:proofErr w:type="spellEnd"/>
      <w:r w:rsidR="002B4FCF" w:rsidRPr="009314D5">
        <w:t xml:space="preserve"> Paediatric</w:t>
      </w:r>
      <w:r w:rsidR="00745176" w:rsidRPr="009314D5">
        <w:t xml:space="preserve">). This approach </w:t>
      </w:r>
      <w:r w:rsidR="007C0C2A" w:rsidRPr="009314D5">
        <w:t xml:space="preserve">may overestimate </w:t>
      </w:r>
      <w:r w:rsidR="00745176" w:rsidRPr="009314D5">
        <w:t xml:space="preserve">the cost savings </w:t>
      </w:r>
      <w:r w:rsidR="00176512" w:rsidRPr="009314D5">
        <w:t xml:space="preserve">of listing </w:t>
      </w:r>
      <w:proofErr w:type="spellStart"/>
      <w:r w:rsidR="00745176" w:rsidRPr="009314D5">
        <w:t>Eligard</w:t>
      </w:r>
      <w:proofErr w:type="spellEnd"/>
      <w:r w:rsidR="00745176" w:rsidRPr="009314D5">
        <w:t xml:space="preserve"> 6 month </w:t>
      </w:r>
      <w:r w:rsidR="00176512" w:rsidRPr="009314D5">
        <w:t>for the treatment of CPP</w:t>
      </w:r>
      <w:r w:rsidR="007C0C2A" w:rsidRPr="009314D5">
        <w:t xml:space="preserve">; however, given the annual cost of </w:t>
      </w:r>
      <w:proofErr w:type="spellStart"/>
      <w:r w:rsidR="007C0C2A" w:rsidRPr="009314D5">
        <w:t>Eligard</w:t>
      </w:r>
      <w:proofErr w:type="spellEnd"/>
      <w:r w:rsidR="007C0C2A" w:rsidRPr="009314D5">
        <w:t xml:space="preserve"> 6 month based on the requested price </w:t>
      </w:r>
      <w:r w:rsidR="00176512" w:rsidRPr="009314D5">
        <w:t>for the</w:t>
      </w:r>
      <w:r w:rsidR="007C0C2A" w:rsidRPr="009314D5">
        <w:t xml:space="preserve"> CPP </w:t>
      </w:r>
      <w:r w:rsidR="00176512" w:rsidRPr="009314D5">
        <w:t xml:space="preserve">indication </w:t>
      </w:r>
      <w:r w:rsidR="007C0C2A" w:rsidRPr="009314D5">
        <w:t>is less than that</w:t>
      </w:r>
      <w:r w:rsidR="00745176" w:rsidRPr="009314D5">
        <w:t xml:space="preserve"> </w:t>
      </w:r>
      <w:r w:rsidR="007C0C2A" w:rsidRPr="009314D5">
        <w:t xml:space="preserve">of either </w:t>
      </w:r>
      <w:proofErr w:type="spellStart"/>
      <w:r w:rsidR="007C0C2A" w:rsidRPr="009314D5">
        <w:t>Lucrin</w:t>
      </w:r>
      <w:proofErr w:type="spellEnd"/>
      <w:r w:rsidR="007C0C2A" w:rsidRPr="009314D5">
        <w:t xml:space="preserve"> Paediatric or </w:t>
      </w:r>
      <w:proofErr w:type="spellStart"/>
      <w:r w:rsidR="007C0C2A" w:rsidRPr="009314D5">
        <w:t>Dipher</w:t>
      </w:r>
      <w:r w:rsidR="001151A0" w:rsidRPr="009314D5">
        <w:t>e</w:t>
      </w:r>
      <w:r w:rsidR="007C0C2A" w:rsidRPr="009314D5">
        <w:t>line</w:t>
      </w:r>
      <w:proofErr w:type="spellEnd"/>
      <w:r w:rsidR="007C0C2A" w:rsidRPr="009314D5">
        <w:t>, the listing would remain cost saving to the PBS in any scenario.</w:t>
      </w:r>
    </w:p>
    <w:p w14:paraId="461861D6" w14:textId="0E06E3B8" w:rsidR="00383948" w:rsidRPr="0040247D" w:rsidRDefault="000C04E4" w:rsidP="007934E2">
      <w:pPr>
        <w:pStyle w:val="3-BodyText"/>
        <w:rPr>
          <w:rStyle w:val="CommentReference"/>
          <w:szCs w:val="24"/>
        </w:rPr>
      </w:pPr>
      <w:r w:rsidRPr="0040247D">
        <w:t xml:space="preserve">The key inputs for the financial estimates are shown in </w:t>
      </w:r>
      <w:r w:rsidR="00187FF2" w:rsidRPr="0040247D">
        <w:fldChar w:fldCharType="begin"/>
      </w:r>
      <w:r w:rsidR="00187FF2" w:rsidRPr="0040247D">
        <w:instrText xml:space="preserve"> REF _Ref102728101 \h </w:instrText>
      </w:r>
      <w:r w:rsidR="00187FF2" w:rsidRPr="0040247D">
        <w:fldChar w:fldCharType="separate"/>
      </w:r>
      <w:r w:rsidR="00187FF2" w:rsidRPr="0040247D">
        <w:t>Table 10</w:t>
      </w:r>
      <w:r w:rsidR="00187FF2" w:rsidRPr="0040247D">
        <w:fldChar w:fldCharType="end"/>
      </w:r>
      <w:r w:rsidR="007F7080" w:rsidRPr="0040247D">
        <w:t xml:space="preserve">. </w:t>
      </w:r>
    </w:p>
    <w:p w14:paraId="4266A325" w14:textId="2F2C17F8" w:rsidR="00A94935" w:rsidRPr="0040247D" w:rsidRDefault="000E482D" w:rsidP="004073BF">
      <w:pPr>
        <w:pStyle w:val="TableFigureHeading"/>
        <w:rPr>
          <w:rStyle w:val="CommentReference"/>
          <w:b/>
          <w:szCs w:val="24"/>
        </w:rPr>
      </w:pPr>
      <w:bookmarkStart w:id="37" w:name="_Ref102728101"/>
      <w:r w:rsidRPr="0040247D">
        <w:t xml:space="preserve">Table </w:t>
      </w:r>
      <w:fldSimple w:instr=" SEQ Table \* ARABIC ">
        <w:r w:rsidR="00F60FC3" w:rsidRPr="0040247D">
          <w:t>10</w:t>
        </w:r>
      </w:fldSimple>
      <w:bookmarkEnd w:id="37"/>
      <w:r w:rsidR="00383948" w:rsidRPr="0040247D">
        <w:rPr>
          <w:rStyle w:val="CommentReference"/>
          <w:b/>
          <w:szCs w:val="24"/>
        </w:rPr>
        <w:t>: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inputs for financial estimates"/>
        <w:tblDescription w:val="Table 10: Key inputs for financial estimates"/>
      </w:tblPr>
      <w:tblGrid>
        <w:gridCol w:w="1696"/>
        <w:gridCol w:w="1701"/>
        <w:gridCol w:w="2807"/>
        <w:gridCol w:w="2976"/>
      </w:tblGrid>
      <w:tr w:rsidR="00067771" w:rsidRPr="0040247D" w14:paraId="52784316" w14:textId="77777777" w:rsidTr="00552D3C">
        <w:trPr>
          <w:tblHeader/>
        </w:trPr>
        <w:tc>
          <w:tcPr>
            <w:tcW w:w="1696" w:type="dxa"/>
            <w:vAlign w:val="center"/>
          </w:tcPr>
          <w:p w14:paraId="5E651BD0" w14:textId="77777777" w:rsidR="003D71E2" w:rsidRPr="0040247D" w:rsidRDefault="003D71E2" w:rsidP="007F7080">
            <w:pPr>
              <w:pStyle w:val="In-tableHeading"/>
              <w:keepNext w:val="0"/>
              <w:widowControl w:val="0"/>
              <w:jc w:val="center"/>
              <w:rPr>
                <w:lang w:val="en-AU"/>
              </w:rPr>
            </w:pPr>
            <w:r w:rsidRPr="0040247D">
              <w:rPr>
                <w:lang w:val="en-AU"/>
              </w:rPr>
              <w:t>Data</w:t>
            </w:r>
          </w:p>
        </w:tc>
        <w:tc>
          <w:tcPr>
            <w:tcW w:w="1701" w:type="dxa"/>
            <w:vAlign w:val="center"/>
          </w:tcPr>
          <w:p w14:paraId="67E8EF86" w14:textId="77777777" w:rsidR="003D71E2" w:rsidRPr="0040247D" w:rsidRDefault="003D71E2" w:rsidP="007F7080">
            <w:pPr>
              <w:pStyle w:val="In-tableHeading"/>
              <w:keepNext w:val="0"/>
              <w:widowControl w:val="0"/>
              <w:jc w:val="center"/>
              <w:rPr>
                <w:lang w:val="en-AU"/>
              </w:rPr>
            </w:pPr>
            <w:r w:rsidRPr="0040247D">
              <w:rPr>
                <w:lang w:val="en-AU"/>
              </w:rPr>
              <w:t>Value</w:t>
            </w:r>
          </w:p>
        </w:tc>
        <w:tc>
          <w:tcPr>
            <w:tcW w:w="2807" w:type="dxa"/>
            <w:vAlign w:val="center"/>
          </w:tcPr>
          <w:p w14:paraId="6E39D645" w14:textId="77777777" w:rsidR="003D71E2" w:rsidRPr="0040247D" w:rsidRDefault="003D71E2" w:rsidP="007F7080">
            <w:pPr>
              <w:pStyle w:val="In-tableHeading"/>
              <w:keepNext w:val="0"/>
              <w:widowControl w:val="0"/>
              <w:jc w:val="center"/>
              <w:rPr>
                <w:lang w:val="en-AU"/>
              </w:rPr>
            </w:pPr>
            <w:r w:rsidRPr="0040247D">
              <w:rPr>
                <w:lang w:val="en-AU"/>
              </w:rPr>
              <w:t>Source</w:t>
            </w:r>
          </w:p>
        </w:tc>
        <w:tc>
          <w:tcPr>
            <w:tcW w:w="2976" w:type="dxa"/>
            <w:vAlign w:val="center"/>
          </w:tcPr>
          <w:p w14:paraId="3BDE192A" w14:textId="77777777" w:rsidR="003D71E2" w:rsidRPr="0040247D" w:rsidRDefault="003D71E2" w:rsidP="007F7080">
            <w:pPr>
              <w:pStyle w:val="In-tableHeading"/>
              <w:keepNext w:val="0"/>
              <w:widowControl w:val="0"/>
              <w:jc w:val="center"/>
              <w:rPr>
                <w:lang w:val="en-AU"/>
              </w:rPr>
            </w:pPr>
            <w:r w:rsidRPr="0040247D">
              <w:rPr>
                <w:lang w:val="en-AU"/>
              </w:rPr>
              <w:t>Comment</w:t>
            </w:r>
          </w:p>
        </w:tc>
      </w:tr>
      <w:tr w:rsidR="00067771" w:rsidRPr="0040247D" w14:paraId="5FC74261" w14:textId="77777777" w:rsidTr="00552D3C">
        <w:tc>
          <w:tcPr>
            <w:tcW w:w="9180" w:type="dxa"/>
            <w:gridSpan w:val="4"/>
            <w:vAlign w:val="center"/>
          </w:tcPr>
          <w:p w14:paraId="6AB2933C" w14:textId="18C0EA0C" w:rsidR="003D71E2" w:rsidRPr="0040247D" w:rsidRDefault="00E8670A" w:rsidP="007F7080">
            <w:pPr>
              <w:pStyle w:val="In-tableHeading"/>
              <w:keepNext w:val="0"/>
              <w:widowControl w:val="0"/>
              <w:rPr>
                <w:lang w:val="en-AU"/>
              </w:rPr>
            </w:pPr>
            <w:r w:rsidRPr="0040247D">
              <w:rPr>
                <w:lang w:val="en-AU"/>
              </w:rPr>
              <w:t xml:space="preserve">Market growth </w:t>
            </w:r>
          </w:p>
        </w:tc>
      </w:tr>
      <w:tr w:rsidR="00067771" w:rsidRPr="0040247D" w14:paraId="594B2DAF" w14:textId="77777777" w:rsidTr="00552D3C">
        <w:tc>
          <w:tcPr>
            <w:tcW w:w="1696" w:type="dxa"/>
            <w:vAlign w:val="center"/>
          </w:tcPr>
          <w:p w14:paraId="7A4A7E6B" w14:textId="77777777" w:rsidR="003D71E2" w:rsidRPr="009314D5" w:rsidRDefault="003D71E2" w:rsidP="007F7080">
            <w:pPr>
              <w:pStyle w:val="TableText0"/>
              <w:keepNext w:val="0"/>
              <w:widowControl w:val="0"/>
            </w:pPr>
            <w:r w:rsidRPr="009314D5">
              <w:t xml:space="preserve">Average annual growth rate – initiation </w:t>
            </w:r>
          </w:p>
        </w:tc>
        <w:tc>
          <w:tcPr>
            <w:tcW w:w="1701" w:type="dxa"/>
            <w:vAlign w:val="center"/>
          </w:tcPr>
          <w:p w14:paraId="16E0C064" w14:textId="6E281070" w:rsidR="003D71E2" w:rsidRPr="009314D5" w:rsidRDefault="003D71E2" w:rsidP="007F7080">
            <w:pPr>
              <w:pStyle w:val="TableText0"/>
              <w:keepNext w:val="0"/>
              <w:widowControl w:val="0"/>
              <w:jc w:val="center"/>
            </w:pPr>
            <w:r w:rsidRPr="008B6C7E">
              <w:t>26%</w:t>
            </w:r>
          </w:p>
        </w:tc>
        <w:tc>
          <w:tcPr>
            <w:tcW w:w="2807" w:type="dxa"/>
            <w:vAlign w:val="center"/>
          </w:tcPr>
          <w:p w14:paraId="474176FF" w14:textId="39D7DD16" w:rsidR="003D71E2" w:rsidRPr="009314D5" w:rsidRDefault="00D94227" w:rsidP="007F7080">
            <w:pPr>
              <w:pStyle w:val="TableText0"/>
              <w:keepNext w:val="0"/>
              <w:widowControl w:val="0"/>
            </w:pPr>
            <w:r w:rsidRPr="009314D5">
              <w:t>Calculated based on the historical data</w:t>
            </w:r>
          </w:p>
        </w:tc>
        <w:tc>
          <w:tcPr>
            <w:tcW w:w="2976" w:type="dxa"/>
            <w:vMerge w:val="restart"/>
            <w:vAlign w:val="center"/>
          </w:tcPr>
          <w:p w14:paraId="7949A85F" w14:textId="16AF56B0" w:rsidR="00E8670A" w:rsidRPr="009314D5" w:rsidRDefault="00E8670A" w:rsidP="00E8670A">
            <w:pPr>
              <w:pStyle w:val="TableText0"/>
              <w:keepNext w:val="0"/>
              <w:widowControl w:val="0"/>
            </w:pPr>
            <w:r w:rsidRPr="009314D5">
              <w:t>The submission referred to the incorrect period, 2022-20</w:t>
            </w:r>
            <w:r w:rsidR="00AE473E" w:rsidRPr="009314D5">
              <w:t>2</w:t>
            </w:r>
            <w:r w:rsidRPr="009314D5">
              <w:t>7 instead of 2023-2028.</w:t>
            </w:r>
          </w:p>
          <w:p w14:paraId="5E017746" w14:textId="77777777" w:rsidR="00E8670A" w:rsidRPr="009314D5" w:rsidRDefault="00E8670A" w:rsidP="00E8670A">
            <w:pPr>
              <w:pStyle w:val="TableText0"/>
              <w:keepNext w:val="0"/>
              <w:widowControl w:val="0"/>
            </w:pPr>
          </w:p>
          <w:p w14:paraId="69439BFB" w14:textId="257D8C03" w:rsidR="00554B48" w:rsidRPr="009314D5" w:rsidRDefault="00E8670A" w:rsidP="00E8670A">
            <w:pPr>
              <w:pStyle w:val="TableText0"/>
              <w:keepNext w:val="0"/>
              <w:widowControl w:val="0"/>
            </w:pPr>
            <w:r w:rsidRPr="009314D5">
              <w:t xml:space="preserve">The estimation </w:t>
            </w:r>
            <w:r w:rsidR="00DA10B8" w:rsidRPr="009314D5">
              <w:t xml:space="preserve">was </w:t>
            </w:r>
            <w:r w:rsidRPr="009314D5">
              <w:t xml:space="preserve">based on the historical data of </w:t>
            </w:r>
            <w:proofErr w:type="spellStart"/>
            <w:r w:rsidR="002B4FCF" w:rsidRPr="009314D5">
              <w:t>Lucrin</w:t>
            </w:r>
            <w:proofErr w:type="spellEnd"/>
            <w:r w:rsidR="002B4FCF" w:rsidRPr="009314D5">
              <w:t xml:space="preserve"> Paediatric</w:t>
            </w:r>
            <w:r w:rsidRPr="009314D5">
              <w:t xml:space="preserve"> for the period 2015 to 2021.</w:t>
            </w:r>
            <w:r w:rsidR="00554B48" w:rsidRPr="009314D5">
              <w:t xml:space="preserve"> The submission calculated the </w:t>
            </w:r>
            <w:r w:rsidRPr="009314D5">
              <w:t xml:space="preserve">average annual growth rate from the scripts of two years, 2016 and 2020. </w:t>
            </w:r>
          </w:p>
          <w:p w14:paraId="04049D48" w14:textId="77777777" w:rsidR="00554B48" w:rsidRPr="009314D5" w:rsidRDefault="00554B48" w:rsidP="00E8670A">
            <w:pPr>
              <w:pStyle w:val="TableText0"/>
              <w:keepNext w:val="0"/>
              <w:widowControl w:val="0"/>
            </w:pPr>
          </w:p>
          <w:p w14:paraId="6504C1F5" w14:textId="0A5A786C" w:rsidR="00E8670A" w:rsidRPr="009314D5" w:rsidRDefault="00E8670A" w:rsidP="00E8670A">
            <w:pPr>
              <w:pStyle w:val="TableText0"/>
              <w:keepNext w:val="0"/>
              <w:widowControl w:val="0"/>
            </w:pPr>
            <w:r w:rsidRPr="009314D5">
              <w:t>An alternative method would be</w:t>
            </w:r>
            <w:r w:rsidR="002B2CD5" w:rsidRPr="009314D5">
              <w:t xml:space="preserve"> to</w:t>
            </w:r>
            <w:r w:rsidRPr="009314D5">
              <w:t xml:space="preserve"> </w:t>
            </w:r>
            <w:r w:rsidR="002B2CD5" w:rsidRPr="009314D5">
              <w:t xml:space="preserve">calculate </w:t>
            </w:r>
            <w:r w:rsidRPr="009314D5">
              <w:t>the annual growth rate</w:t>
            </w:r>
            <w:r w:rsidR="002B2CD5" w:rsidRPr="009314D5">
              <w:t>s</w:t>
            </w:r>
            <w:r w:rsidRPr="009314D5">
              <w:t xml:space="preserve"> then averag</w:t>
            </w:r>
            <w:r w:rsidR="002B2CD5" w:rsidRPr="009314D5">
              <w:t>e</w:t>
            </w:r>
            <w:r w:rsidRPr="009314D5">
              <w:t xml:space="preserve"> them. A more accepted method of forecasting market growth is fitting prediction lines on the historical scripts. Using this method, the estimated number of scripts was substantially smaller. For instance, the predicted market share in 2027 was around one third of the submission’s estimation.  </w:t>
            </w:r>
          </w:p>
          <w:p w14:paraId="35D636FA" w14:textId="77777777" w:rsidR="00E8670A" w:rsidRPr="009314D5" w:rsidRDefault="00E8670A" w:rsidP="00E8670A">
            <w:pPr>
              <w:pStyle w:val="TableText0"/>
              <w:keepNext w:val="0"/>
              <w:widowControl w:val="0"/>
            </w:pPr>
          </w:p>
          <w:p w14:paraId="4DEEB2B8" w14:textId="299BF837" w:rsidR="003D71E2" w:rsidRPr="009314D5" w:rsidRDefault="00E8670A" w:rsidP="007F7080">
            <w:pPr>
              <w:pStyle w:val="TableText0"/>
              <w:keepNext w:val="0"/>
              <w:widowControl w:val="0"/>
            </w:pPr>
            <w:r w:rsidRPr="009314D5">
              <w:t>During the evaluation, all the calculations were re-calculated.</w:t>
            </w:r>
          </w:p>
        </w:tc>
      </w:tr>
      <w:tr w:rsidR="00067771" w:rsidRPr="0040247D" w14:paraId="591F952A" w14:textId="77777777" w:rsidTr="00552D3C">
        <w:tc>
          <w:tcPr>
            <w:tcW w:w="1696" w:type="dxa"/>
            <w:vAlign w:val="center"/>
          </w:tcPr>
          <w:p w14:paraId="3424818B" w14:textId="77777777" w:rsidR="003D71E2" w:rsidRPr="009314D5" w:rsidRDefault="003D71E2" w:rsidP="007F7080">
            <w:pPr>
              <w:pStyle w:val="TableText0"/>
              <w:keepNext w:val="0"/>
              <w:widowControl w:val="0"/>
            </w:pPr>
            <w:r w:rsidRPr="009314D5">
              <w:t>Average annual growth rate – continuation</w:t>
            </w:r>
          </w:p>
        </w:tc>
        <w:tc>
          <w:tcPr>
            <w:tcW w:w="1701" w:type="dxa"/>
            <w:vAlign w:val="center"/>
          </w:tcPr>
          <w:p w14:paraId="778A8BB5" w14:textId="77777777" w:rsidR="003D71E2" w:rsidRPr="009314D5" w:rsidRDefault="003D71E2" w:rsidP="007F7080">
            <w:pPr>
              <w:pStyle w:val="TableText0"/>
              <w:keepNext w:val="0"/>
              <w:widowControl w:val="0"/>
              <w:jc w:val="center"/>
            </w:pPr>
            <w:r w:rsidRPr="008B6C7E">
              <w:t>21%</w:t>
            </w:r>
          </w:p>
        </w:tc>
        <w:tc>
          <w:tcPr>
            <w:tcW w:w="2807" w:type="dxa"/>
            <w:vAlign w:val="center"/>
          </w:tcPr>
          <w:p w14:paraId="191E9345" w14:textId="7C690815" w:rsidR="003D71E2" w:rsidRPr="009314D5" w:rsidRDefault="00D94227" w:rsidP="007F7080">
            <w:pPr>
              <w:pStyle w:val="TableText0"/>
              <w:keepNext w:val="0"/>
              <w:widowControl w:val="0"/>
            </w:pPr>
            <w:r w:rsidRPr="009314D5">
              <w:t>Calculated based on the historical data</w:t>
            </w:r>
          </w:p>
        </w:tc>
        <w:tc>
          <w:tcPr>
            <w:tcW w:w="2976" w:type="dxa"/>
            <w:vMerge/>
            <w:vAlign w:val="center"/>
          </w:tcPr>
          <w:p w14:paraId="450482ED" w14:textId="77777777" w:rsidR="003D71E2" w:rsidRPr="009314D5" w:rsidRDefault="003D71E2" w:rsidP="007F7080">
            <w:pPr>
              <w:pStyle w:val="TableText0"/>
              <w:keepNext w:val="0"/>
              <w:widowControl w:val="0"/>
            </w:pPr>
          </w:p>
        </w:tc>
      </w:tr>
      <w:tr w:rsidR="00067771" w:rsidRPr="0040247D" w14:paraId="518832A7" w14:textId="77777777" w:rsidTr="00552D3C">
        <w:tc>
          <w:tcPr>
            <w:tcW w:w="1696" w:type="dxa"/>
            <w:vAlign w:val="center"/>
          </w:tcPr>
          <w:p w14:paraId="2BAA48A5" w14:textId="77777777" w:rsidR="003D71E2" w:rsidRPr="009314D5" w:rsidRDefault="003D71E2" w:rsidP="007F7080">
            <w:pPr>
              <w:pStyle w:val="TableText0"/>
              <w:keepNext w:val="0"/>
              <w:widowControl w:val="0"/>
            </w:pPr>
            <w:r w:rsidRPr="009314D5">
              <w:t>Average annual growth rate – total</w:t>
            </w:r>
          </w:p>
        </w:tc>
        <w:tc>
          <w:tcPr>
            <w:tcW w:w="1701" w:type="dxa"/>
            <w:vAlign w:val="center"/>
          </w:tcPr>
          <w:p w14:paraId="3EB1BA5B" w14:textId="77777777" w:rsidR="003D71E2" w:rsidRPr="009314D5" w:rsidRDefault="003D71E2" w:rsidP="007F7080">
            <w:pPr>
              <w:pStyle w:val="TableText0"/>
              <w:keepNext w:val="0"/>
              <w:widowControl w:val="0"/>
              <w:jc w:val="center"/>
            </w:pPr>
            <w:r w:rsidRPr="008B6C7E">
              <w:t>22%</w:t>
            </w:r>
          </w:p>
        </w:tc>
        <w:tc>
          <w:tcPr>
            <w:tcW w:w="2807" w:type="dxa"/>
            <w:vAlign w:val="center"/>
          </w:tcPr>
          <w:p w14:paraId="43471BC9" w14:textId="040A7708" w:rsidR="003D71E2" w:rsidRPr="009314D5" w:rsidRDefault="00D94227" w:rsidP="007F7080">
            <w:pPr>
              <w:pStyle w:val="TableText0"/>
              <w:keepNext w:val="0"/>
              <w:widowControl w:val="0"/>
            </w:pPr>
            <w:r w:rsidRPr="009314D5">
              <w:t>Calculated based on the historical data</w:t>
            </w:r>
          </w:p>
        </w:tc>
        <w:tc>
          <w:tcPr>
            <w:tcW w:w="2976" w:type="dxa"/>
            <w:vMerge/>
            <w:vAlign w:val="center"/>
          </w:tcPr>
          <w:p w14:paraId="1A01C8FC" w14:textId="77777777" w:rsidR="003D71E2" w:rsidRPr="009314D5" w:rsidRDefault="003D71E2" w:rsidP="007F7080">
            <w:pPr>
              <w:pStyle w:val="TableText0"/>
              <w:keepNext w:val="0"/>
              <w:widowControl w:val="0"/>
            </w:pPr>
          </w:p>
        </w:tc>
      </w:tr>
      <w:tr w:rsidR="00067771" w:rsidRPr="0040247D" w14:paraId="191A1209" w14:textId="77777777" w:rsidTr="00552D3C">
        <w:tc>
          <w:tcPr>
            <w:tcW w:w="1696" w:type="dxa"/>
            <w:vAlign w:val="center"/>
          </w:tcPr>
          <w:p w14:paraId="710C18F7" w14:textId="7F29C959" w:rsidR="003D71E2" w:rsidRPr="009314D5" w:rsidRDefault="003D71E2" w:rsidP="007F7080">
            <w:pPr>
              <w:pStyle w:val="TableText0"/>
              <w:keepNext w:val="0"/>
              <w:widowControl w:val="0"/>
            </w:pPr>
            <w:r w:rsidRPr="009314D5">
              <w:t>Market share – initiation</w:t>
            </w:r>
            <w:r w:rsidR="00554B48" w:rsidRPr="009314D5">
              <w:t xml:space="preserve"> </w:t>
            </w:r>
            <w:r w:rsidR="00554B48" w:rsidRPr="009314D5">
              <w:rPr>
                <w:vertAlign w:val="superscript"/>
              </w:rPr>
              <w:t>(a)</w:t>
            </w:r>
            <w:r w:rsidR="00554B48" w:rsidRPr="009314D5">
              <w:t xml:space="preserve"> </w:t>
            </w:r>
          </w:p>
        </w:tc>
        <w:tc>
          <w:tcPr>
            <w:tcW w:w="1701" w:type="dxa"/>
            <w:vAlign w:val="center"/>
          </w:tcPr>
          <w:p w14:paraId="7826B5EF" w14:textId="7A8875AF" w:rsidR="003D71E2" w:rsidRPr="00095B38" w:rsidRDefault="003D71E2" w:rsidP="007F7080">
            <w:pPr>
              <w:pStyle w:val="TableText0"/>
              <w:keepNext w:val="0"/>
              <w:widowControl w:val="0"/>
              <w:jc w:val="center"/>
              <w:rPr>
                <w:vertAlign w:val="superscript"/>
              </w:rPr>
            </w:pPr>
            <w:proofErr w:type="spellStart"/>
            <w:r w:rsidRPr="00043FAA">
              <w:t>Yr</w:t>
            </w:r>
            <w:proofErr w:type="spellEnd"/>
            <w:r w:rsidRPr="00043FAA">
              <w:t xml:space="preserve"> 1: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1</w:t>
            </w:r>
          </w:p>
          <w:p w14:paraId="001E9BEC" w14:textId="395888FE" w:rsidR="003D71E2" w:rsidRPr="00043FAA" w:rsidRDefault="003D71E2" w:rsidP="007F7080">
            <w:pPr>
              <w:pStyle w:val="TableText0"/>
              <w:keepNext w:val="0"/>
              <w:widowControl w:val="0"/>
              <w:jc w:val="center"/>
            </w:pPr>
            <w:proofErr w:type="spellStart"/>
            <w:r w:rsidRPr="00043FAA">
              <w:t>Yr</w:t>
            </w:r>
            <w:proofErr w:type="spellEnd"/>
            <w:r w:rsidRPr="00043FAA">
              <w:t xml:space="preserve"> 2: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1</w:t>
            </w:r>
          </w:p>
          <w:p w14:paraId="31505738" w14:textId="4468F1A9" w:rsidR="003D71E2" w:rsidRPr="00043FAA" w:rsidRDefault="003D71E2" w:rsidP="007F7080">
            <w:pPr>
              <w:pStyle w:val="TableText0"/>
              <w:keepNext w:val="0"/>
              <w:widowControl w:val="0"/>
              <w:jc w:val="center"/>
            </w:pPr>
            <w:proofErr w:type="spellStart"/>
            <w:r w:rsidRPr="00043FAA">
              <w:t>Yr</w:t>
            </w:r>
            <w:proofErr w:type="spellEnd"/>
            <w:r w:rsidRPr="00043FAA">
              <w:t xml:space="preserve"> 3: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1</w:t>
            </w:r>
          </w:p>
          <w:p w14:paraId="722ED8CF" w14:textId="2A7BAC3B" w:rsidR="003D71E2" w:rsidRPr="00043FAA" w:rsidRDefault="003D71E2" w:rsidP="007F7080">
            <w:pPr>
              <w:pStyle w:val="TableText0"/>
              <w:keepNext w:val="0"/>
              <w:widowControl w:val="0"/>
              <w:jc w:val="center"/>
            </w:pPr>
            <w:proofErr w:type="spellStart"/>
            <w:r w:rsidRPr="00043FAA">
              <w:t>Yr</w:t>
            </w:r>
            <w:proofErr w:type="spellEnd"/>
            <w:r w:rsidRPr="00043FAA">
              <w:t xml:space="preserve"> 4: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1</w:t>
            </w:r>
          </w:p>
          <w:p w14:paraId="0A4060C8" w14:textId="2BCFDEC7" w:rsidR="003D71E2" w:rsidRPr="00043FAA" w:rsidRDefault="003D71E2" w:rsidP="007F7080">
            <w:pPr>
              <w:pStyle w:val="TableText0"/>
              <w:keepNext w:val="0"/>
              <w:widowControl w:val="0"/>
              <w:jc w:val="center"/>
            </w:pPr>
            <w:proofErr w:type="spellStart"/>
            <w:r w:rsidRPr="00043FAA">
              <w:t>Yr</w:t>
            </w:r>
            <w:proofErr w:type="spellEnd"/>
            <w:r w:rsidRPr="00043FAA">
              <w:t xml:space="preserve"> 5: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1</w:t>
            </w:r>
          </w:p>
          <w:p w14:paraId="62CD9B91" w14:textId="26B053B9" w:rsidR="003D71E2" w:rsidRPr="00043FAA" w:rsidRDefault="003D71E2" w:rsidP="007F7080">
            <w:pPr>
              <w:pStyle w:val="TableText0"/>
              <w:keepNext w:val="0"/>
              <w:widowControl w:val="0"/>
              <w:jc w:val="center"/>
            </w:pPr>
            <w:proofErr w:type="spellStart"/>
            <w:r w:rsidRPr="00043FAA">
              <w:t>Yr</w:t>
            </w:r>
            <w:proofErr w:type="spellEnd"/>
            <w:r w:rsidRPr="00043FAA">
              <w:t xml:space="preserve"> 6: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1</w:t>
            </w:r>
          </w:p>
        </w:tc>
        <w:tc>
          <w:tcPr>
            <w:tcW w:w="2807" w:type="dxa"/>
            <w:vAlign w:val="center"/>
          </w:tcPr>
          <w:p w14:paraId="04D5EB63" w14:textId="318E1055" w:rsidR="003D71E2" w:rsidRPr="009314D5" w:rsidRDefault="001565F9" w:rsidP="007F7080">
            <w:pPr>
              <w:pStyle w:val="TableText0"/>
              <w:keepNext w:val="0"/>
              <w:widowControl w:val="0"/>
            </w:pPr>
            <w:r w:rsidRPr="009314D5">
              <w:t>Predicted scripts based on the historical data</w:t>
            </w:r>
          </w:p>
        </w:tc>
        <w:tc>
          <w:tcPr>
            <w:tcW w:w="2976" w:type="dxa"/>
            <w:vMerge/>
            <w:vAlign w:val="center"/>
          </w:tcPr>
          <w:p w14:paraId="1DB3E30C" w14:textId="77777777" w:rsidR="003D71E2" w:rsidRPr="009314D5" w:rsidRDefault="003D71E2" w:rsidP="007F7080">
            <w:pPr>
              <w:pStyle w:val="TableText0"/>
              <w:keepNext w:val="0"/>
              <w:widowControl w:val="0"/>
            </w:pPr>
          </w:p>
        </w:tc>
      </w:tr>
      <w:tr w:rsidR="00067771" w:rsidRPr="0040247D" w14:paraId="591D5A16" w14:textId="77777777" w:rsidTr="00552D3C">
        <w:tc>
          <w:tcPr>
            <w:tcW w:w="1696" w:type="dxa"/>
            <w:vAlign w:val="center"/>
          </w:tcPr>
          <w:p w14:paraId="1832B279" w14:textId="5F8E1A3D" w:rsidR="003D71E2" w:rsidRPr="009314D5" w:rsidRDefault="003D71E2" w:rsidP="007F7080">
            <w:pPr>
              <w:pStyle w:val="TableText0"/>
              <w:keepNext w:val="0"/>
              <w:widowControl w:val="0"/>
            </w:pPr>
            <w:r w:rsidRPr="009314D5">
              <w:t>Market share – continuation</w:t>
            </w:r>
            <w:r w:rsidR="00EC5D06" w:rsidRPr="009314D5">
              <w:t xml:space="preserve"> </w:t>
            </w:r>
            <w:r w:rsidR="00EC5D06" w:rsidRPr="009314D5">
              <w:rPr>
                <w:vertAlign w:val="superscript"/>
              </w:rPr>
              <w:t>(a)</w:t>
            </w:r>
          </w:p>
        </w:tc>
        <w:tc>
          <w:tcPr>
            <w:tcW w:w="1701" w:type="dxa"/>
            <w:vAlign w:val="center"/>
          </w:tcPr>
          <w:p w14:paraId="6BF57F35" w14:textId="2359C3E4" w:rsidR="003D71E2" w:rsidRPr="00043FAA" w:rsidRDefault="003D71E2" w:rsidP="007F7080">
            <w:pPr>
              <w:pStyle w:val="TableText0"/>
              <w:keepNext w:val="0"/>
              <w:widowControl w:val="0"/>
              <w:jc w:val="center"/>
            </w:pPr>
            <w:proofErr w:type="spellStart"/>
            <w:r w:rsidRPr="00043FAA">
              <w:t>Yr</w:t>
            </w:r>
            <w:proofErr w:type="spellEnd"/>
            <w:r w:rsidRPr="00043FAA">
              <w:t xml:space="preserve"> 1: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1</w:t>
            </w:r>
          </w:p>
          <w:p w14:paraId="441DF762" w14:textId="5232E101" w:rsidR="003D71E2" w:rsidRPr="00043FAA" w:rsidRDefault="003D71E2" w:rsidP="007F7080">
            <w:pPr>
              <w:pStyle w:val="TableText0"/>
              <w:keepNext w:val="0"/>
              <w:widowControl w:val="0"/>
              <w:jc w:val="center"/>
            </w:pPr>
            <w:proofErr w:type="spellStart"/>
            <w:r w:rsidRPr="00043FAA">
              <w:t>Yr</w:t>
            </w:r>
            <w:proofErr w:type="spellEnd"/>
            <w:r w:rsidRPr="00043FAA">
              <w:t xml:space="preserve"> 2: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1</w:t>
            </w:r>
          </w:p>
          <w:p w14:paraId="4CA8506E" w14:textId="46AB911D" w:rsidR="003D71E2" w:rsidRPr="00043FAA" w:rsidRDefault="003D71E2" w:rsidP="007F7080">
            <w:pPr>
              <w:pStyle w:val="TableText0"/>
              <w:keepNext w:val="0"/>
              <w:widowControl w:val="0"/>
              <w:jc w:val="center"/>
            </w:pPr>
            <w:proofErr w:type="spellStart"/>
            <w:r w:rsidRPr="00043FAA">
              <w:t>Yr</w:t>
            </w:r>
            <w:proofErr w:type="spellEnd"/>
            <w:r w:rsidRPr="00043FAA">
              <w:t xml:space="preserve"> 3: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1</w:t>
            </w:r>
          </w:p>
          <w:p w14:paraId="70226007" w14:textId="4B5B5E4B" w:rsidR="003D71E2" w:rsidRPr="00043FAA" w:rsidRDefault="003D71E2" w:rsidP="007F7080">
            <w:pPr>
              <w:pStyle w:val="TableText0"/>
              <w:keepNext w:val="0"/>
              <w:widowControl w:val="0"/>
              <w:jc w:val="center"/>
            </w:pPr>
            <w:proofErr w:type="spellStart"/>
            <w:r w:rsidRPr="00043FAA">
              <w:t>Yr</w:t>
            </w:r>
            <w:proofErr w:type="spellEnd"/>
            <w:r w:rsidRPr="00043FAA">
              <w:t xml:space="preserve"> 4: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1</w:t>
            </w:r>
          </w:p>
          <w:p w14:paraId="71CAE51A" w14:textId="2733FB85" w:rsidR="003D71E2" w:rsidRPr="00043FAA" w:rsidRDefault="003D71E2" w:rsidP="007F7080">
            <w:pPr>
              <w:pStyle w:val="TableText0"/>
              <w:keepNext w:val="0"/>
              <w:widowControl w:val="0"/>
              <w:jc w:val="center"/>
            </w:pPr>
            <w:proofErr w:type="spellStart"/>
            <w:r w:rsidRPr="00043FAA">
              <w:t>Yr</w:t>
            </w:r>
            <w:proofErr w:type="spellEnd"/>
            <w:r w:rsidRPr="00043FAA">
              <w:t xml:space="preserve"> 5: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1</w:t>
            </w:r>
          </w:p>
          <w:p w14:paraId="0FC3FA54" w14:textId="28BDC256" w:rsidR="003D71E2" w:rsidRPr="00043FAA" w:rsidRDefault="003D71E2" w:rsidP="007F7080">
            <w:pPr>
              <w:pStyle w:val="TableText0"/>
              <w:keepNext w:val="0"/>
              <w:widowControl w:val="0"/>
              <w:jc w:val="center"/>
            </w:pPr>
            <w:proofErr w:type="spellStart"/>
            <w:r w:rsidRPr="00043FAA">
              <w:t>Yr</w:t>
            </w:r>
            <w:proofErr w:type="spellEnd"/>
            <w:r w:rsidRPr="00043FAA">
              <w:t xml:space="preserve"> 6: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2</w:t>
            </w:r>
          </w:p>
        </w:tc>
        <w:tc>
          <w:tcPr>
            <w:tcW w:w="2807" w:type="dxa"/>
            <w:vAlign w:val="center"/>
          </w:tcPr>
          <w:p w14:paraId="6C6720EF" w14:textId="7909FE69" w:rsidR="003D71E2" w:rsidRPr="009314D5" w:rsidRDefault="001565F9" w:rsidP="007F7080">
            <w:pPr>
              <w:pStyle w:val="TableText0"/>
              <w:keepNext w:val="0"/>
              <w:widowControl w:val="0"/>
            </w:pPr>
            <w:r w:rsidRPr="009314D5">
              <w:t>Predicted scripts based on the historical data</w:t>
            </w:r>
          </w:p>
        </w:tc>
        <w:tc>
          <w:tcPr>
            <w:tcW w:w="2976" w:type="dxa"/>
            <w:vMerge/>
            <w:vAlign w:val="center"/>
          </w:tcPr>
          <w:p w14:paraId="4B676869" w14:textId="77777777" w:rsidR="003D71E2" w:rsidRPr="009314D5" w:rsidRDefault="003D71E2" w:rsidP="007F7080">
            <w:pPr>
              <w:pStyle w:val="TableText0"/>
              <w:keepNext w:val="0"/>
              <w:widowControl w:val="0"/>
            </w:pPr>
          </w:p>
        </w:tc>
      </w:tr>
      <w:tr w:rsidR="00067771" w:rsidRPr="0040247D" w14:paraId="4516F707" w14:textId="77777777" w:rsidTr="00552D3C">
        <w:tc>
          <w:tcPr>
            <w:tcW w:w="1696" w:type="dxa"/>
            <w:vAlign w:val="center"/>
          </w:tcPr>
          <w:p w14:paraId="5615E4F1" w14:textId="69918234" w:rsidR="003D71E2" w:rsidRPr="009314D5" w:rsidRDefault="003D71E2" w:rsidP="007F7080">
            <w:pPr>
              <w:pStyle w:val="TableText0"/>
              <w:keepNext w:val="0"/>
              <w:widowControl w:val="0"/>
            </w:pPr>
            <w:r w:rsidRPr="009314D5">
              <w:t>Market share – total</w:t>
            </w:r>
            <w:r w:rsidR="00EC5D06" w:rsidRPr="009314D5">
              <w:t xml:space="preserve"> </w:t>
            </w:r>
            <w:r w:rsidR="00EC5D06" w:rsidRPr="009314D5">
              <w:rPr>
                <w:vertAlign w:val="superscript"/>
              </w:rPr>
              <w:t>(a)</w:t>
            </w:r>
          </w:p>
        </w:tc>
        <w:tc>
          <w:tcPr>
            <w:tcW w:w="1701" w:type="dxa"/>
            <w:vAlign w:val="center"/>
          </w:tcPr>
          <w:p w14:paraId="20FCE16C" w14:textId="26A5BD63" w:rsidR="003D71E2" w:rsidRPr="00043FAA" w:rsidRDefault="003D71E2" w:rsidP="007F7080">
            <w:pPr>
              <w:pStyle w:val="TableText0"/>
              <w:keepNext w:val="0"/>
              <w:widowControl w:val="0"/>
              <w:jc w:val="center"/>
            </w:pPr>
            <w:proofErr w:type="spellStart"/>
            <w:r w:rsidRPr="00043FAA">
              <w:t>Yr</w:t>
            </w:r>
            <w:proofErr w:type="spellEnd"/>
            <w:r w:rsidRPr="00043FAA">
              <w:t xml:space="preserve"> 1: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1</w:t>
            </w:r>
          </w:p>
          <w:p w14:paraId="2060A6FB" w14:textId="4D9562DC" w:rsidR="003D71E2" w:rsidRPr="00043FAA" w:rsidRDefault="003D71E2" w:rsidP="007F7080">
            <w:pPr>
              <w:pStyle w:val="TableText0"/>
              <w:keepNext w:val="0"/>
              <w:widowControl w:val="0"/>
              <w:jc w:val="center"/>
            </w:pPr>
            <w:proofErr w:type="spellStart"/>
            <w:r w:rsidRPr="00043FAA">
              <w:t>Yr</w:t>
            </w:r>
            <w:proofErr w:type="spellEnd"/>
            <w:r w:rsidRPr="00043FAA">
              <w:t xml:space="preserve"> 2: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1</w:t>
            </w:r>
          </w:p>
          <w:p w14:paraId="36F2AE3F" w14:textId="1128F3A7" w:rsidR="003D71E2" w:rsidRPr="00043FAA" w:rsidRDefault="003D71E2" w:rsidP="007F7080">
            <w:pPr>
              <w:pStyle w:val="TableText0"/>
              <w:keepNext w:val="0"/>
              <w:widowControl w:val="0"/>
              <w:jc w:val="center"/>
            </w:pPr>
            <w:proofErr w:type="spellStart"/>
            <w:r w:rsidRPr="00043FAA">
              <w:t>Yr</w:t>
            </w:r>
            <w:proofErr w:type="spellEnd"/>
            <w:r w:rsidRPr="00043FAA">
              <w:t xml:space="preserve"> 3: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2</w:t>
            </w:r>
          </w:p>
          <w:p w14:paraId="1713702B" w14:textId="2FA55BB5" w:rsidR="003D71E2" w:rsidRPr="00043FAA" w:rsidRDefault="003D71E2" w:rsidP="007F7080">
            <w:pPr>
              <w:pStyle w:val="TableText0"/>
              <w:keepNext w:val="0"/>
              <w:widowControl w:val="0"/>
              <w:jc w:val="center"/>
            </w:pPr>
            <w:proofErr w:type="spellStart"/>
            <w:r w:rsidRPr="00043FAA">
              <w:t>Yr</w:t>
            </w:r>
            <w:proofErr w:type="spellEnd"/>
            <w:r w:rsidRPr="00043FAA">
              <w:t xml:space="preserve"> 4: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2</w:t>
            </w:r>
          </w:p>
          <w:p w14:paraId="5FC2EDD2" w14:textId="5BDFCD1F" w:rsidR="003D71E2" w:rsidRPr="00043FAA" w:rsidRDefault="003D71E2" w:rsidP="007F7080">
            <w:pPr>
              <w:pStyle w:val="TableText0"/>
              <w:keepNext w:val="0"/>
              <w:widowControl w:val="0"/>
              <w:jc w:val="center"/>
            </w:pPr>
            <w:proofErr w:type="spellStart"/>
            <w:r w:rsidRPr="00043FAA">
              <w:t>Yr</w:t>
            </w:r>
            <w:proofErr w:type="spellEnd"/>
            <w:r w:rsidRPr="00043FAA">
              <w:t xml:space="preserve"> 5: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2</w:t>
            </w:r>
          </w:p>
          <w:p w14:paraId="542A8713" w14:textId="6D77481D" w:rsidR="003D71E2" w:rsidRPr="00043FAA" w:rsidRDefault="003D71E2" w:rsidP="007F7080">
            <w:pPr>
              <w:pStyle w:val="TableText0"/>
              <w:keepNext w:val="0"/>
              <w:widowControl w:val="0"/>
              <w:jc w:val="center"/>
            </w:pPr>
            <w:proofErr w:type="spellStart"/>
            <w:r w:rsidRPr="00043FAA">
              <w:t>Yr</w:t>
            </w:r>
            <w:proofErr w:type="spellEnd"/>
            <w:r w:rsidRPr="00043FAA">
              <w:t xml:space="preserve"> 6: </w:t>
            </w:r>
            <w:r w:rsidR="00204469" w:rsidRPr="00204469">
              <w:rPr>
                <w:color w:val="000000"/>
                <w:shd w:val="solid" w:color="000000" w:fill="000000"/>
                <w14:textFill>
                  <w14:solidFill>
                    <w14:srgbClr w14:val="000000">
                      <w14:alpha w14:val="100000"/>
                    </w14:srgbClr>
                  </w14:solidFill>
                </w14:textFill>
              </w:rPr>
              <w:t>|</w:t>
            </w:r>
            <w:r w:rsidR="00095B38">
              <w:rPr>
                <w:vertAlign w:val="superscript"/>
              </w:rPr>
              <w:t>3</w:t>
            </w:r>
          </w:p>
        </w:tc>
        <w:tc>
          <w:tcPr>
            <w:tcW w:w="2807" w:type="dxa"/>
            <w:vAlign w:val="center"/>
          </w:tcPr>
          <w:p w14:paraId="7E8CD26B" w14:textId="23132A9E" w:rsidR="003D71E2" w:rsidRPr="009314D5" w:rsidRDefault="001565F9" w:rsidP="007F7080">
            <w:pPr>
              <w:pStyle w:val="TableText0"/>
              <w:keepNext w:val="0"/>
              <w:widowControl w:val="0"/>
            </w:pPr>
            <w:r w:rsidRPr="009314D5">
              <w:t>Predicted scripts based on the historical data</w:t>
            </w:r>
          </w:p>
        </w:tc>
        <w:tc>
          <w:tcPr>
            <w:tcW w:w="2976" w:type="dxa"/>
            <w:vMerge/>
            <w:vAlign w:val="center"/>
          </w:tcPr>
          <w:p w14:paraId="7B715000" w14:textId="77777777" w:rsidR="003D71E2" w:rsidRPr="009314D5" w:rsidRDefault="003D71E2" w:rsidP="007F7080">
            <w:pPr>
              <w:pStyle w:val="TableText0"/>
              <w:keepNext w:val="0"/>
              <w:widowControl w:val="0"/>
            </w:pPr>
          </w:p>
        </w:tc>
      </w:tr>
      <w:tr w:rsidR="00067771" w:rsidRPr="0040247D" w14:paraId="7A4A8E4E" w14:textId="77777777" w:rsidTr="00552D3C">
        <w:tc>
          <w:tcPr>
            <w:tcW w:w="9180" w:type="dxa"/>
            <w:gridSpan w:val="4"/>
            <w:vAlign w:val="center"/>
          </w:tcPr>
          <w:p w14:paraId="1D0F9818" w14:textId="77777777" w:rsidR="003D71E2" w:rsidRPr="00043FAA" w:rsidRDefault="003D71E2" w:rsidP="007F7080">
            <w:pPr>
              <w:pStyle w:val="TableText0"/>
              <w:keepNext w:val="0"/>
              <w:widowControl w:val="0"/>
              <w:rPr>
                <w:b/>
              </w:rPr>
            </w:pPr>
            <w:r w:rsidRPr="00043FAA">
              <w:rPr>
                <w:b/>
              </w:rPr>
              <w:t>Treatment utilisation</w:t>
            </w:r>
          </w:p>
        </w:tc>
      </w:tr>
      <w:tr w:rsidR="00067771" w:rsidRPr="0040247D" w14:paraId="7A58B309" w14:textId="77777777" w:rsidTr="00552D3C">
        <w:tc>
          <w:tcPr>
            <w:tcW w:w="1696" w:type="dxa"/>
            <w:vAlign w:val="center"/>
          </w:tcPr>
          <w:p w14:paraId="19425261" w14:textId="77777777" w:rsidR="003D71E2" w:rsidRPr="009314D5" w:rsidRDefault="003D71E2" w:rsidP="007F7080">
            <w:pPr>
              <w:pStyle w:val="TableText0"/>
              <w:keepNext w:val="0"/>
              <w:widowControl w:val="0"/>
            </w:pPr>
            <w:r w:rsidRPr="009314D5">
              <w:t>Uptake rate – initiation</w:t>
            </w:r>
          </w:p>
        </w:tc>
        <w:tc>
          <w:tcPr>
            <w:tcW w:w="1701" w:type="dxa"/>
            <w:vAlign w:val="center"/>
          </w:tcPr>
          <w:p w14:paraId="205F1973" w14:textId="0996FB8D" w:rsidR="003D71E2" w:rsidRPr="00043FAA" w:rsidRDefault="003D71E2" w:rsidP="007F7080">
            <w:pPr>
              <w:pStyle w:val="TableText0"/>
              <w:keepNext w:val="0"/>
              <w:widowControl w:val="0"/>
              <w:jc w:val="center"/>
            </w:pPr>
            <w:proofErr w:type="spellStart"/>
            <w:r w:rsidRPr="00043FAA">
              <w:t>Yr</w:t>
            </w:r>
            <w:proofErr w:type="spellEnd"/>
            <w:r w:rsidRPr="00043FAA">
              <w:t xml:space="preserve"> 1: </w:t>
            </w:r>
            <w:r w:rsidR="00204469" w:rsidRPr="00204469">
              <w:rPr>
                <w:color w:val="000000"/>
                <w:shd w:val="solid" w:color="000000" w:fill="000000"/>
                <w14:textFill>
                  <w14:solidFill>
                    <w14:srgbClr w14:val="000000">
                      <w14:alpha w14:val="100000"/>
                    </w14:srgbClr>
                  </w14:solidFill>
                </w14:textFill>
              </w:rPr>
              <w:t>|</w:t>
            </w:r>
            <w:r w:rsidRPr="00043FAA">
              <w:t>%</w:t>
            </w:r>
          </w:p>
          <w:p w14:paraId="7B600BD1" w14:textId="27F5D7A1" w:rsidR="003D71E2" w:rsidRPr="00043FAA" w:rsidRDefault="003D71E2" w:rsidP="007F7080">
            <w:pPr>
              <w:pStyle w:val="TableText0"/>
              <w:keepNext w:val="0"/>
              <w:widowControl w:val="0"/>
              <w:jc w:val="center"/>
            </w:pPr>
            <w:proofErr w:type="spellStart"/>
            <w:r w:rsidRPr="00043FAA">
              <w:t>Yr</w:t>
            </w:r>
            <w:proofErr w:type="spellEnd"/>
            <w:r w:rsidRPr="00043FAA">
              <w:t xml:space="preserve"> 2: </w:t>
            </w:r>
            <w:r w:rsidR="00204469" w:rsidRPr="00204469">
              <w:rPr>
                <w:color w:val="000000"/>
                <w:shd w:val="solid" w:color="000000" w:fill="000000"/>
                <w14:textFill>
                  <w14:solidFill>
                    <w14:srgbClr w14:val="000000">
                      <w14:alpha w14:val="100000"/>
                    </w14:srgbClr>
                  </w14:solidFill>
                </w14:textFill>
              </w:rPr>
              <w:t>|</w:t>
            </w:r>
            <w:r w:rsidRPr="00043FAA">
              <w:t>%</w:t>
            </w:r>
          </w:p>
          <w:p w14:paraId="2EB25639" w14:textId="32A546D3" w:rsidR="003D71E2" w:rsidRPr="00043FAA" w:rsidRDefault="003D71E2" w:rsidP="007F7080">
            <w:pPr>
              <w:pStyle w:val="TableText0"/>
              <w:keepNext w:val="0"/>
              <w:widowControl w:val="0"/>
              <w:jc w:val="center"/>
            </w:pPr>
            <w:proofErr w:type="spellStart"/>
            <w:r w:rsidRPr="00043FAA">
              <w:t>Yr</w:t>
            </w:r>
            <w:proofErr w:type="spellEnd"/>
            <w:r w:rsidRPr="00043FAA">
              <w:t xml:space="preserve"> 3: </w:t>
            </w:r>
            <w:r w:rsidR="00204469" w:rsidRPr="00204469">
              <w:rPr>
                <w:color w:val="000000"/>
                <w:shd w:val="solid" w:color="000000" w:fill="000000"/>
                <w14:textFill>
                  <w14:solidFill>
                    <w14:srgbClr w14:val="000000">
                      <w14:alpha w14:val="100000"/>
                    </w14:srgbClr>
                  </w14:solidFill>
                </w14:textFill>
              </w:rPr>
              <w:t>|</w:t>
            </w:r>
            <w:r w:rsidRPr="00043FAA">
              <w:t>%</w:t>
            </w:r>
          </w:p>
          <w:p w14:paraId="0AA2A7F2" w14:textId="0DFF3D70" w:rsidR="003D71E2" w:rsidRPr="00043FAA" w:rsidRDefault="003D71E2" w:rsidP="007F7080">
            <w:pPr>
              <w:pStyle w:val="TableText0"/>
              <w:keepNext w:val="0"/>
              <w:widowControl w:val="0"/>
              <w:jc w:val="center"/>
            </w:pPr>
            <w:proofErr w:type="spellStart"/>
            <w:r w:rsidRPr="00043FAA">
              <w:t>Yr</w:t>
            </w:r>
            <w:proofErr w:type="spellEnd"/>
            <w:r w:rsidRPr="00043FAA">
              <w:t xml:space="preserve"> 4: </w:t>
            </w:r>
            <w:r w:rsidR="00204469" w:rsidRPr="00204469">
              <w:rPr>
                <w:color w:val="000000"/>
                <w:shd w:val="solid" w:color="000000" w:fill="000000"/>
                <w14:textFill>
                  <w14:solidFill>
                    <w14:srgbClr w14:val="000000">
                      <w14:alpha w14:val="100000"/>
                    </w14:srgbClr>
                  </w14:solidFill>
                </w14:textFill>
              </w:rPr>
              <w:t>|</w:t>
            </w:r>
            <w:r w:rsidRPr="00043FAA">
              <w:t>%</w:t>
            </w:r>
          </w:p>
          <w:p w14:paraId="1D119D39" w14:textId="7D798BFA" w:rsidR="003D71E2" w:rsidRPr="00043FAA" w:rsidRDefault="003D71E2" w:rsidP="007F7080">
            <w:pPr>
              <w:pStyle w:val="TableText0"/>
              <w:keepNext w:val="0"/>
              <w:widowControl w:val="0"/>
              <w:jc w:val="center"/>
            </w:pPr>
            <w:proofErr w:type="spellStart"/>
            <w:r w:rsidRPr="00043FAA">
              <w:t>Yr</w:t>
            </w:r>
            <w:proofErr w:type="spellEnd"/>
            <w:r w:rsidRPr="00043FAA">
              <w:t xml:space="preserve"> 5: </w:t>
            </w:r>
            <w:r w:rsidR="00204469" w:rsidRPr="00204469">
              <w:rPr>
                <w:color w:val="000000"/>
                <w:shd w:val="solid" w:color="000000" w:fill="000000"/>
                <w14:textFill>
                  <w14:solidFill>
                    <w14:srgbClr w14:val="000000">
                      <w14:alpha w14:val="100000"/>
                    </w14:srgbClr>
                  </w14:solidFill>
                </w14:textFill>
              </w:rPr>
              <w:t>|</w:t>
            </w:r>
            <w:r w:rsidRPr="00043FAA">
              <w:t>%</w:t>
            </w:r>
          </w:p>
          <w:p w14:paraId="47C950EC" w14:textId="56CC7DBD" w:rsidR="003D71E2" w:rsidRPr="00043FAA" w:rsidRDefault="003D71E2" w:rsidP="007F7080">
            <w:pPr>
              <w:pStyle w:val="TableText0"/>
              <w:keepNext w:val="0"/>
              <w:widowControl w:val="0"/>
              <w:jc w:val="center"/>
            </w:pPr>
            <w:proofErr w:type="spellStart"/>
            <w:r w:rsidRPr="00043FAA">
              <w:lastRenderedPageBreak/>
              <w:t>Yr</w:t>
            </w:r>
            <w:proofErr w:type="spellEnd"/>
            <w:r w:rsidRPr="00043FAA">
              <w:t xml:space="preserve"> 6: </w:t>
            </w:r>
            <w:r w:rsidR="00204469" w:rsidRPr="00204469">
              <w:rPr>
                <w:color w:val="000000"/>
                <w:shd w:val="solid" w:color="000000" w:fill="000000"/>
                <w14:textFill>
                  <w14:solidFill>
                    <w14:srgbClr w14:val="000000">
                      <w14:alpha w14:val="100000"/>
                    </w14:srgbClr>
                  </w14:solidFill>
                </w14:textFill>
              </w:rPr>
              <w:t>|</w:t>
            </w:r>
            <w:r w:rsidRPr="00043FAA">
              <w:t>%</w:t>
            </w:r>
          </w:p>
        </w:tc>
        <w:tc>
          <w:tcPr>
            <w:tcW w:w="2807" w:type="dxa"/>
            <w:vAlign w:val="center"/>
          </w:tcPr>
          <w:p w14:paraId="113256F0" w14:textId="77777777" w:rsidR="003D71E2" w:rsidRPr="009314D5" w:rsidRDefault="003D71E2" w:rsidP="007F7080">
            <w:pPr>
              <w:pStyle w:val="TableText0"/>
              <w:keepNext w:val="0"/>
              <w:widowControl w:val="0"/>
            </w:pPr>
            <w:r w:rsidRPr="009314D5">
              <w:lastRenderedPageBreak/>
              <w:t>Assumption by the Sponsor</w:t>
            </w:r>
          </w:p>
        </w:tc>
        <w:tc>
          <w:tcPr>
            <w:tcW w:w="2976" w:type="dxa"/>
            <w:vAlign w:val="center"/>
          </w:tcPr>
          <w:p w14:paraId="093611E2" w14:textId="558C004E" w:rsidR="003D71E2" w:rsidRPr="009314D5" w:rsidRDefault="003D71E2" w:rsidP="007F7080">
            <w:pPr>
              <w:pStyle w:val="TableText0"/>
              <w:keepNext w:val="0"/>
              <w:widowControl w:val="0"/>
            </w:pPr>
            <w:r w:rsidRPr="009314D5">
              <w:t xml:space="preserve">No justification for the uptake rates. </w:t>
            </w:r>
          </w:p>
        </w:tc>
      </w:tr>
      <w:tr w:rsidR="00067771" w:rsidRPr="0040247D" w14:paraId="5628AFE2" w14:textId="77777777" w:rsidTr="00552D3C">
        <w:tc>
          <w:tcPr>
            <w:tcW w:w="1696" w:type="dxa"/>
            <w:vAlign w:val="center"/>
          </w:tcPr>
          <w:p w14:paraId="37D9595B" w14:textId="77777777" w:rsidR="003D71E2" w:rsidRPr="0040247D" w:rsidRDefault="003D71E2" w:rsidP="007F7080">
            <w:pPr>
              <w:pStyle w:val="TableText0"/>
              <w:keepNext w:val="0"/>
              <w:widowControl w:val="0"/>
            </w:pPr>
            <w:r w:rsidRPr="0040247D">
              <w:t>Uptake rate – continuation</w:t>
            </w:r>
          </w:p>
        </w:tc>
        <w:tc>
          <w:tcPr>
            <w:tcW w:w="1701" w:type="dxa"/>
            <w:vAlign w:val="center"/>
          </w:tcPr>
          <w:p w14:paraId="2845BFEB" w14:textId="4074A9F4" w:rsidR="003D71E2" w:rsidRPr="00043FAA" w:rsidRDefault="003D71E2" w:rsidP="007F7080">
            <w:pPr>
              <w:pStyle w:val="TableText0"/>
              <w:keepNext w:val="0"/>
              <w:widowControl w:val="0"/>
              <w:jc w:val="center"/>
            </w:pPr>
            <w:proofErr w:type="spellStart"/>
            <w:r w:rsidRPr="00043FAA">
              <w:t>Yr</w:t>
            </w:r>
            <w:proofErr w:type="spellEnd"/>
            <w:r w:rsidRPr="00043FAA">
              <w:t xml:space="preserve"> 1: </w:t>
            </w:r>
            <w:r w:rsidR="00204469" w:rsidRPr="00204469">
              <w:rPr>
                <w:color w:val="000000"/>
                <w:shd w:val="solid" w:color="000000" w:fill="000000"/>
                <w14:textFill>
                  <w14:solidFill>
                    <w14:srgbClr w14:val="000000">
                      <w14:alpha w14:val="100000"/>
                    </w14:srgbClr>
                  </w14:solidFill>
                </w14:textFill>
              </w:rPr>
              <w:t>|</w:t>
            </w:r>
            <w:r w:rsidRPr="00043FAA">
              <w:t>%</w:t>
            </w:r>
          </w:p>
          <w:p w14:paraId="16E05544" w14:textId="0320D509" w:rsidR="003D71E2" w:rsidRPr="00043FAA" w:rsidRDefault="003D71E2" w:rsidP="007F7080">
            <w:pPr>
              <w:pStyle w:val="TableText0"/>
              <w:keepNext w:val="0"/>
              <w:widowControl w:val="0"/>
              <w:jc w:val="center"/>
            </w:pPr>
            <w:proofErr w:type="spellStart"/>
            <w:r w:rsidRPr="00043FAA">
              <w:t>Yr</w:t>
            </w:r>
            <w:proofErr w:type="spellEnd"/>
            <w:r w:rsidRPr="00043FAA">
              <w:t xml:space="preserve"> 2:</w:t>
            </w:r>
            <w:r w:rsidR="00C351FB" w:rsidRPr="00043FAA">
              <w:t xml:space="preserve">  </w:t>
            </w:r>
            <w:r w:rsidRPr="00043FAA">
              <w:t xml:space="preserve"> </w:t>
            </w:r>
            <w:r w:rsidR="00204469" w:rsidRPr="00204469">
              <w:rPr>
                <w:rFonts w:hint="eastAsia"/>
                <w:color w:val="000000"/>
                <w:w w:val="15"/>
                <w:shd w:val="solid" w:color="000000" w:fill="000000"/>
                <w:fitText w:val="40" w:id="-1437438464"/>
                <w14:textFill>
                  <w14:solidFill>
                    <w14:srgbClr w14:val="000000">
                      <w14:alpha w14:val="100000"/>
                    </w14:srgbClr>
                  </w14:solidFill>
                </w14:textFill>
              </w:rPr>
              <w:t xml:space="preserve">　</w:t>
            </w:r>
            <w:r w:rsidR="00204469" w:rsidRPr="00204469">
              <w:rPr>
                <w:color w:val="000000"/>
                <w:w w:val="15"/>
                <w:shd w:val="solid" w:color="000000" w:fill="000000"/>
                <w:fitText w:val="40" w:id="-1437438464"/>
                <w14:textFill>
                  <w14:solidFill>
                    <w14:srgbClr w14:val="000000">
                      <w14:alpha w14:val="100000"/>
                    </w14:srgbClr>
                  </w14:solidFill>
                </w14:textFill>
              </w:rPr>
              <w:t>|</w:t>
            </w:r>
            <w:r w:rsidR="00204469" w:rsidRPr="00204469">
              <w:rPr>
                <w:rFonts w:hint="eastAsia"/>
                <w:color w:val="000000"/>
                <w:spacing w:val="-25"/>
                <w:w w:val="15"/>
                <w:shd w:val="solid" w:color="000000" w:fill="000000"/>
                <w:fitText w:val="40" w:id="-1437438464"/>
                <w14:textFill>
                  <w14:solidFill>
                    <w14:srgbClr w14:val="000000">
                      <w14:alpha w14:val="100000"/>
                    </w14:srgbClr>
                  </w14:solidFill>
                </w14:textFill>
              </w:rPr>
              <w:t xml:space="preserve">　</w:t>
            </w:r>
            <w:r w:rsidRPr="00043FAA">
              <w:t>%</w:t>
            </w:r>
          </w:p>
          <w:p w14:paraId="3733E2B4" w14:textId="64686A2D" w:rsidR="003D71E2" w:rsidRPr="00043FAA" w:rsidRDefault="003D71E2" w:rsidP="007F7080">
            <w:pPr>
              <w:pStyle w:val="TableText0"/>
              <w:keepNext w:val="0"/>
              <w:widowControl w:val="0"/>
              <w:jc w:val="center"/>
            </w:pPr>
            <w:proofErr w:type="spellStart"/>
            <w:r w:rsidRPr="00043FAA">
              <w:t>Yr</w:t>
            </w:r>
            <w:proofErr w:type="spellEnd"/>
            <w:r w:rsidRPr="00043FAA">
              <w:t xml:space="preserve"> 3: </w:t>
            </w:r>
            <w:r w:rsidR="00204469" w:rsidRPr="00204469">
              <w:rPr>
                <w:color w:val="000000"/>
                <w:shd w:val="solid" w:color="000000" w:fill="000000"/>
                <w14:textFill>
                  <w14:solidFill>
                    <w14:srgbClr w14:val="000000">
                      <w14:alpha w14:val="100000"/>
                    </w14:srgbClr>
                  </w14:solidFill>
                </w14:textFill>
              </w:rPr>
              <w:t>|</w:t>
            </w:r>
            <w:r w:rsidRPr="00043FAA">
              <w:t>%</w:t>
            </w:r>
          </w:p>
          <w:p w14:paraId="5C8CD46D" w14:textId="3329AA7E" w:rsidR="003D71E2" w:rsidRPr="00043FAA" w:rsidRDefault="003D71E2" w:rsidP="007F7080">
            <w:pPr>
              <w:pStyle w:val="TableText0"/>
              <w:keepNext w:val="0"/>
              <w:widowControl w:val="0"/>
              <w:jc w:val="center"/>
            </w:pPr>
            <w:proofErr w:type="spellStart"/>
            <w:r w:rsidRPr="00043FAA">
              <w:t>Yr</w:t>
            </w:r>
            <w:proofErr w:type="spellEnd"/>
            <w:r w:rsidRPr="00043FAA">
              <w:t xml:space="preserve"> 4: </w:t>
            </w:r>
            <w:r w:rsidR="00204469" w:rsidRPr="00204469">
              <w:rPr>
                <w:color w:val="000000"/>
                <w:shd w:val="solid" w:color="000000" w:fill="000000"/>
                <w14:textFill>
                  <w14:solidFill>
                    <w14:srgbClr w14:val="000000">
                      <w14:alpha w14:val="100000"/>
                    </w14:srgbClr>
                  </w14:solidFill>
                </w14:textFill>
              </w:rPr>
              <w:t>|</w:t>
            </w:r>
            <w:r w:rsidRPr="00043FAA">
              <w:t>%</w:t>
            </w:r>
          </w:p>
          <w:p w14:paraId="21BE4CEA" w14:textId="64346C41" w:rsidR="003D71E2" w:rsidRPr="00043FAA" w:rsidRDefault="003D71E2" w:rsidP="007F7080">
            <w:pPr>
              <w:pStyle w:val="TableText0"/>
              <w:keepNext w:val="0"/>
              <w:widowControl w:val="0"/>
              <w:jc w:val="center"/>
            </w:pPr>
            <w:proofErr w:type="spellStart"/>
            <w:r w:rsidRPr="00043FAA">
              <w:t>Yr</w:t>
            </w:r>
            <w:proofErr w:type="spellEnd"/>
            <w:r w:rsidRPr="00043FAA">
              <w:t xml:space="preserve"> 5: </w:t>
            </w:r>
            <w:r w:rsidR="00204469" w:rsidRPr="00204469">
              <w:rPr>
                <w:color w:val="000000"/>
                <w:shd w:val="solid" w:color="000000" w:fill="000000"/>
                <w14:textFill>
                  <w14:solidFill>
                    <w14:srgbClr w14:val="000000">
                      <w14:alpha w14:val="100000"/>
                    </w14:srgbClr>
                  </w14:solidFill>
                </w14:textFill>
              </w:rPr>
              <w:t>|</w:t>
            </w:r>
            <w:r w:rsidRPr="00043FAA">
              <w:t>%</w:t>
            </w:r>
          </w:p>
          <w:p w14:paraId="1C997564" w14:textId="1F4340DB" w:rsidR="003D71E2" w:rsidRPr="00043FAA" w:rsidRDefault="003D71E2" w:rsidP="007F7080">
            <w:pPr>
              <w:pStyle w:val="TableText0"/>
              <w:keepNext w:val="0"/>
              <w:widowControl w:val="0"/>
              <w:jc w:val="center"/>
            </w:pPr>
            <w:proofErr w:type="spellStart"/>
            <w:r w:rsidRPr="00043FAA">
              <w:t>Yr</w:t>
            </w:r>
            <w:proofErr w:type="spellEnd"/>
            <w:r w:rsidRPr="00043FAA">
              <w:t xml:space="preserve"> 6: </w:t>
            </w:r>
            <w:r w:rsidR="00204469" w:rsidRPr="00204469">
              <w:rPr>
                <w:color w:val="000000"/>
                <w:shd w:val="solid" w:color="000000" w:fill="000000"/>
                <w14:textFill>
                  <w14:solidFill>
                    <w14:srgbClr w14:val="000000">
                      <w14:alpha w14:val="100000"/>
                    </w14:srgbClr>
                  </w14:solidFill>
                </w14:textFill>
              </w:rPr>
              <w:t>|</w:t>
            </w:r>
            <w:r w:rsidRPr="00043FAA">
              <w:t>%</w:t>
            </w:r>
          </w:p>
        </w:tc>
        <w:tc>
          <w:tcPr>
            <w:tcW w:w="2807" w:type="dxa"/>
            <w:vAlign w:val="center"/>
          </w:tcPr>
          <w:p w14:paraId="463942A3" w14:textId="77777777" w:rsidR="003D71E2" w:rsidRPr="0040247D" w:rsidRDefault="003D71E2" w:rsidP="007F7080">
            <w:pPr>
              <w:pStyle w:val="TableText0"/>
              <w:keepNext w:val="0"/>
              <w:widowControl w:val="0"/>
            </w:pPr>
            <w:r w:rsidRPr="0040247D">
              <w:t>Assumption by the Sponsor</w:t>
            </w:r>
          </w:p>
        </w:tc>
        <w:tc>
          <w:tcPr>
            <w:tcW w:w="2976" w:type="dxa"/>
            <w:vAlign w:val="center"/>
          </w:tcPr>
          <w:p w14:paraId="26EC6698" w14:textId="1ECD2D5E" w:rsidR="003D71E2" w:rsidRPr="009314D5" w:rsidRDefault="003D71E2" w:rsidP="007F7080">
            <w:pPr>
              <w:pStyle w:val="TableText0"/>
              <w:keepNext w:val="0"/>
              <w:widowControl w:val="0"/>
            </w:pPr>
            <w:r w:rsidRPr="009314D5">
              <w:t>No justification for the uptake rates.</w:t>
            </w:r>
          </w:p>
        </w:tc>
      </w:tr>
      <w:tr w:rsidR="00067771" w:rsidRPr="0040247D" w14:paraId="55BE7BA6" w14:textId="77777777" w:rsidTr="00552D3C">
        <w:tc>
          <w:tcPr>
            <w:tcW w:w="1696" w:type="dxa"/>
            <w:vAlign w:val="center"/>
          </w:tcPr>
          <w:p w14:paraId="71F042B2" w14:textId="03D1DA69" w:rsidR="00702761" w:rsidRPr="0040247D" w:rsidRDefault="00702761" w:rsidP="007F7080">
            <w:pPr>
              <w:pStyle w:val="TableText0"/>
              <w:keepNext w:val="0"/>
              <w:widowControl w:val="0"/>
            </w:pPr>
            <w:r w:rsidRPr="0040247D">
              <w:t>Scripts dispensed – initiation</w:t>
            </w:r>
            <w:r w:rsidR="00042399" w:rsidRPr="0040247D">
              <w:t xml:space="preserve"> </w:t>
            </w:r>
            <w:r w:rsidR="00042399" w:rsidRPr="0040247D">
              <w:rPr>
                <w:vertAlign w:val="superscript"/>
              </w:rPr>
              <w:t>(b)</w:t>
            </w:r>
            <w:r w:rsidR="00042399" w:rsidRPr="0040247D">
              <w:t xml:space="preserve"> </w:t>
            </w:r>
          </w:p>
        </w:tc>
        <w:tc>
          <w:tcPr>
            <w:tcW w:w="1701" w:type="dxa"/>
            <w:vAlign w:val="center"/>
          </w:tcPr>
          <w:p w14:paraId="293B9F73" w14:textId="7AE1EE75" w:rsidR="00702761" w:rsidRPr="00043FAA" w:rsidRDefault="00702761" w:rsidP="007F7080">
            <w:pPr>
              <w:pStyle w:val="TableText0"/>
              <w:keepNext w:val="0"/>
              <w:widowControl w:val="0"/>
              <w:jc w:val="center"/>
            </w:pPr>
            <w:proofErr w:type="spellStart"/>
            <w:r w:rsidRPr="00043FAA">
              <w:t>Yr</w:t>
            </w:r>
            <w:proofErr w:type="spellEnd"/>
            <w:r w:rsidRPr="00043FAA">
              <w:t xml:space="preserve"> 1: </w:t>
            </w:r>
            <w:r w:rsidR="00204469" w:rsidRPr="00204469">
              <w:rPr>
                <w:color w:val="000000"/>
                <w:spacing w:val="194"/>
                <w:shd w:val="solid" w:color="000000" w:fill="000000"/>
                <w:fitText w:val="280" w:id="-1437438463"/>
                <w14:textFill>
                  <w14:solidFill>
                    <w14:srgbClr w14:val="000000">
                      <w14:alpha w14:val="100000"/>
                    </w14:srgbClr>
                  </w14:solidFill>
                </w14:textFill>
              </w:rPr>
              <w:t>|</w:t>
            </w:r>
            <w:r w:rsidR="00204469" w:rsidRPr="00204469">
              <w:rPr>
                <w:color w:val="000000"/>
                <w:shd w:val="solid" w:color="000000" w:fill="000000"/>
                <w:fitText w:val="280" w:id="-1437438463"/>
                <w14:textFill>
                  <w14:solidFill>
                    <w14:srgbClr w14:val="000000">
                      <w14:alpha w14:val="100000"/>
                    </w14:srgbClr>
                  </w14:solidFill>
                </w14:textFill>
              </w:rPr>
              <w:t>|</w:t>
            </w:r>
            <w:r w:rsidR="00095B38">
              <w:rPr>
                <w:vertAlign w:val="superscript"/>
              </w:rPr>
              <w:t>4</w:t>
            </w:r>
            <w:r w:rsidR="00F04F3C" w:rsidRPr="00043FAA">
              <w:t xml:space="preserve"> (</w:t>
            </w:r>
            <w:r w:rsidR="00204469" w:rsidRPr="00204469">
              <w:rPr>
                <w:i/>
                <w:iCs/>
                <w:color w:val="000000"/>
                <w:spacing w:val="114"/>
                <w:shd w:val="solid" w:color="000000" w:fill="000000"/>
                <w:fitText w:val="200" w:id="-1437438462"/>
                <w14:textFill>
                  <w14:solidFill>
                    <w14:srgbClr w14:val="000000">
                      <w14:alpha w14:val="100000"/>
                    </w14:srgbClr>
                  </w14:solidFill>
                </w14:textFill>
              </w:rPr>
              <w:t>|</w:t>
            </w:r>
            <w:r w:rsidR="00204469" w:rsidRPr="00204469">
              <w:rPr>
                <w:i/>
                <w:iCs/>
                <w:color w:val="000000"/>
                <w:shd w:val="solid" w:color="000000" w:fill="000000"/>
                <w:fitText w:val="200" w:id="-1437438462"/>
                <w14:textFill>
                  <w14:solidFill>
                    <w14:srgbClr w14:val="000000">
                      <w14:alpha w14:val="100000"/>
                    </w14:srgbClr>
                  </w14:solidFill>
                </w14:textFill>
              </w:rPr>
              <w:t>|</w:t>
            </w:r>
            <w:r w:rsidR="00095B38">
              <w:rPr>
                <w:vertAlign w:val="superscript"/>
              </w:rPr>
              <w:t>4</w:t>
            </w:r>
            <w:r w:rsidR="00F04F3C" w:rsidRPr="00043FAA">
              <w:t>)</w:t>
            </w:r>
          </w:p>
          <w:p w14:paraId="6F60D11F" w14:textId="42C19DF0" w:rsidR="00702761" w:rsidRPr="00043FAA" w:rsidRDefault="00702761" w:rsidP="007F7080">
            <w:pPr>
              <w:pStyle w:val="TableText0"/>
              <w:keepNext w:val="0"/>
              <w:widowControl w:val="0"/>
              <w:jc w:val="center"/>
            </w:pPr>
            <w:proofErr w:type="spellStart"/>
            <w:r w:rsidRPr="00043FAA">
              <w:t>Yr</w:t>
            </w:r>
            <w:proofErr w:type="spellEnd"/>
            <w:r w:rsidRPr="00043FAA">
              <w:t xml:space="preserve"> 2: </w:t>
            </w:r>
            <w:r w:rsidR="00204469" w:rsidRPr="00204469">
              <w:rPr>
                <w:color w:val="000000"/>
                <w:spacing w:val="194"/>
                <w:shd w:val="solid" w:color="000000" w:fill="000000"/>
                <w:fitText w:val="280" w:id="-1437438461"/>
                <w14:textFill>
                  <w14:solidFill>
                    <w14:srgbClr w14:val="000000">
                      <w14:alpha w14:val="100000"/>
                    </w14:srgbClr>
                  </w14:solidFill>
                </w14:textFill>
              </w:rPr>
              <w:t>|</w:t>
            </w:r>
            <w:r w:rsidR="00204469" w:rsidRPr="00204469">
              <w:rPr>
                <w:color w:val="000000"/>
                <w:shd w:val="solid" w:color="000000" w:fill="000000"/>
                <w:fitText w:val="280" w:id="-1437438461"/>
                <w14:textFill>
                  <w14:solidFill>
                    <w14:srgbClr w14:val="000000">
                      <w14:alpha w14:val="100000"/>
                    </w14:srgbClr>
                  </w14:solidFill>
                </w14:textFill>
              </w:rPr>
              <w:t>|</w:t>
            </w:r>
            <w:r w:rsidR="00095B38">
              <w:rPr>
                <w:vertAlign w:val="superscript"/>
              </w:rPr>
              <w:t>4</w:t>
            </w:r>
            <w:r w:rsidR="00F04F3C" w:rsidRPr="00043FAA">
              <w:t xml:space="preserve"> (</w:t>
            </w:r>
            <w:r w:rsidR="00204469" w:rsidRPr="00204469">
              <w:rPr>
                <w:i/>
                <w:iCs/>
                <w:color w:val="000000"/>
                <w:spacing w:val="114"/>
                <w:shd w:val="solid" w:color="000000" w:fill="000000"/>
                <w:fitText w:val="200" w:id="-1437438460"/>
                <w14:textFill>
                  <w14:solidFill>
                    <w14:srgbClr w14:val="000000">
                      <w14:alpha w14:val="100000"/>
                    </w14:srgbClr>
                  </w14:solidFill>
                </w14:textFill>
              </w:rPr>
              <w:t>|</w:t>
            </w:r>
            <w:r w:rsidR="00204469" w:rsidRPr="00204469">
              <w:rPr>
                <w:i/>
                <w:iCs/>
                <w:color w:val="000000"/>
                <w:shd w:val="solid" w:color="000000" w:fill="000000"/>
                <w:fitText w:val="200" w:id="-1437438460"/>
                <w14:textFill>
                  <w14:solidFill>
                    <w14:srgbClr w14:val="000000">
                      <w14:alpha w14:val="100000"/>
                    </w14:srgbClr>
                  </w14:solidFill>
                </w14:textFill>
              </w:rPr>
              <w:t>|</w:t>
            </w:r>
            <w:r w:rsidR="00095B38">
              <w:rPr>
                <w:vertAlign w:val="superscript"/>
              </w:rPr>
              <w:t>4</w:t>
            </w:r>
            <w:r w:rsidR="00F04F3C" w:rsidRPr="00043FAA">
              <w:t>)</w:t>
            </w:r>
          </w:p>
          <w:p w14:paraId="70438400" w14:textId="5963CFB1" w:rsidR="00702761" w:rsidRPr="00043FAA" w:rsidRDefault="00702761" w:rsidP="007F7080">
            <w:pPr>
              <w:pStyle w:val="TableText0"/>
              <w:keepNext w:val="0"/>
              <w:widowControl w:val="0"/>
              <w:jc w:val="center"/>
            </w:pPr>
            <w:proofErr w:type="spellStart"/>
            <w:r w:rsidRPr="00043FAA">
              <w:t>Yr</w:t>
            </w:r>
            <w:proofErr w:type="spellEnd"/>
            <w:r w:rsidRPr="00043FAA">
              <w:t xml:space="preserve"> 3: </w:t>
            </w:r>
            <w:r w:rsidR="00204469" w:rsidRPr="00204469">
              <w:rPr>
                <w:color w:val="000000"/>
                <w:spacing w:val="194"/>
                <w:shd w:val="solid" w:color="000000" w:fill="000000"/>
                <w:fitText w:val="280" w:id="-1437438459"/>
                <w14:textFill>
                  <w14:solidFill>
                    <w14:srgbClr w14:val="000000">
                      <w14:alpha w14:val="100000"/>
                    </w14:srgbClr>
                  </w14:solidFill>
                </w14:textFill>
              </w:rPr>
              <w:t>|</w:t>
            </w:r>
            <w:r w:rsidR="00204469" w:rsidRPr="00204469">
              <w:rPr>
                <w:color w:val="000000"/>
                <w:shd w:val="solid" w:color="000000" w:fill="000000"/>
                <w:fitText w:val="280" w:id="-1437438459"/>
                <w14:textFill>
                  <w14:solidFill>
                    <w14:srgbClr w14:val="000000">
                      <w14:alpha w14:val="100000"/>
                    </w14:srgbClr>
                  </w14:solidFill>
                </w14:textFill>
              </w:rPr>
              <w:t>|</w:t>
            </w:r>
            <w:r w:rsidR="00095B38">
              <w:rPr>
                <w:vertAlign w:val="superscript"/>
              </w:rPr>
              <w:t>4</w:t>
            </w:r>
            <w:r w:rsidR="00F04F3C" w:rsidRPr="00043FAA">
              <w:t xml:space="preserve"> (</w:t>
            </w:r>
            <w:r w:rsidR="00204469" w:rsidRPr="00204469">
              <w:rPr>
                <w:i/>
                <w:iCs/>
                <w:color w:val="000000"/>
                <w:spacing w:val="114"/>
                <w:shd w:val="solid" w:color="000000" w:fill="000000"/>
                <w:fitText w:val="200" w:id="-1437438458"/>
                <w14:textFill>
                  <w14:solidFill>
                    <w14:srgbClr w14:val="000000">
                      <w14:alpha w14:val="100000"/>
                    </w14:srgbClr>
                  </w14:solidFill>
                </w14:textFill>
              </w:rPr>
              <w:t>|</w:t>
            </w:r>
            <w:r w:rsidR="00204469" w:rsidRPr="00204469">
              <w:rPr>
                <w:i/>
                <w:iCs/>
                <w:color w:val="000000"/>
                <w:shd w:val="solid" w:color="000000" w:fill="000000"/>
                <w:fitText w:val="200" w:id="-1437438458"/>
                <w14:textFill>
                  <w14:solidFill>
                    <w14:srgbClr w14:val="000000">
                      <w14:alpha w14:val="100000"/>
                    </w14:srgbClr>
                  </w14:solidFill>
                </w14:textFill>
              </w:rPr>
              <w:t>|</w:t>
            </w:r>
            <w:r w:rsidR="00095B38">
              <w:rPr>
                <w:vertAlign w:val="superscript"/>
              </w:rPr>
              <w:t>4</w:t>
            </w:r>
            <w:r w:rsidR="00F04F3C" w:rsidRPr="00043FAA">
              <w:t>)</w:t>
            </w:r>
          </w:p>
          <w:p w14:paraId="692BEA03" w14:textId="1C1A4433" w:rsidR="00702761" w:rsidRPr="00043FAA" w:rsidRDefault="00702761" w:rsidP="007F7080">
            <w:pPr>
              <w:pStyle w:val="TableText0"/>
              <w:keepNext w:val="0"/>
              <w:widowControl w:val="0"/>
              <w:jc w:val="center"/>
            </w:pPr>
            <w:proofErr w:type="spellStart"/>
            <w:r w:rsidRPr="00043FAA">
              <w:t>Yr</w:t>
            </w:r>
            <w:proofErr w:type="spellEnd"/>
            <w:r w:rsidRPr="00043FAA">
              <w:t xml:space="preserve"> 4: </w:t>
            </w:r>
            <w:r w:rsidR="00204469" w:rsidRPr="00204469">
              <w:rPr>
                <w:color w:val="000000"/>
                <w:spacing w:val="194"/>
                <w:shd w:val="solid" w:color="000000" w:fill="000000"/>
                <w:fitText w:val="280" w:id="-1437438457"/>
                <w14:textFill>
                  <w14:solidFill>
                    <w14:srgbClr w14:val="000000">
                      <w14:alpha w14:val="100000"/>
                    </w14:srgbClr>
                  </w14:solidFill>
                </w14:textFill>
              </w:rPr>
              <w:t>|</w:t>
            </w:r>
            <w:r w:rsidR="00204469" w:rsidRPr="00204469">
              <w:rPr>
                <w:color w:val="000000"/>
                <w:shd w:val="solid" w:color="000000" w:fill="000000"/>
                <w:fitText w:val="280" w:id="-1437438457"/>
                <w14:textFill>
                  <w14:solidFill>
                    <w14:srgbClr w14:val="000000">
                      <w14:alpha w14:val="100000"/>
                    </w14:srgbClr>
                  </w14:solidFill>
                </w14:textFill>
              </w:rPr>
              <w:t>|</w:t>
            </w:r>
            <w:r w:rsidR="00095B38">
              <w:rPr>
                <w:vertAlign w:val="superscript"/>
              </w:rPr>
              <w:t>4</w:t>
            </w:r>
            <w:r w:rsidR="00F04F3C" w:rsidRPr="00043FAA">
              <w:t xml:space="preserve"> (</w:t>
            </w:r>
            <w:r w:rsidR="00204469" w:rsidRPr="00204469">
              <w:rPr>
                <w:i/>
                <w:iCs/>
                <w:color w:val="000000"/>
                <w:spacing w:val="114"/>
                <w:shd w:val="solid" w:color="000000" w:fill="000000"/>
                <w:fitText w:val="200" w:id="-1437438456"/>
                <w14:textFill>
                  <w14:solidFill>
                    <w14:srgbClr w14:val="000000">
                      <w14:alpha w14:val="100000"/>
                    </w14:srgbClr>
                  </w14:solidFill>
                </w14:textFill>
              </w:rPr>
              <w:t>|</w:t>
            </w:r>
            <w:r w:rsidR="00204469" w:rsidRPr="00204469">
              <w:rPr>
                <w:i/>
                <w:iCs/>
                <w:color w:val="000000"/>
                <w:shd w:val="solid" w:color="000000" w:fill="000000"/>
                <w:fitText w:val="200" w:id="-1437438456"/>
                <w14:textFill>
                  <w14:solidFill>
                    <w14:srgbClr w14:val="000000">
                      <w14:alpha w14:val="100000"/>
                    </w14:srgbClr>
                  </w14:solidFill>
                </w14:textFill>
              </w:rPr>
              <w:t>|</w:t>
            </w:r>
            <w:r w:rsidR="00095B38">
              <w:rPr>
                <w:vertAlign w:val="superscript"/>
              </w:rPr>
              <w:t>4</w:t>
            </w:r>
            <w:r w:rsidR="00F04F3C" w:rsidRPr="00043FAA">
              <w:t xml:space="preserve">) </w:t>
            </w:r>
          </w:p>
          <w:p w14:paraId="54BD523A" w14:textId="7D81ABD7" w:rsidR="00702761" w:rsidRPr="00043FAA" w:rsidRDefault="00702761" w:rsidP="007F7080">
            <w:pPr>
              <w:pStyle w:val="TableText0"/>
              <w:keepNext w:val="0"/>
              <w:widowControl w:val="0"/>
              <w:jc w:val="center"/>
            </w:pPr>
            <w:proofErr w:type="spellStart"/>
            <w:r w:rsidRPr="00043FAA">
              <w:t>Yr</w:t>
            </w:r>
            <w:proofErr w:type="spellEnd"/>
            <w:r w:rsidRPr="00043FAA">
              <w:t xml:space="preserve"> 5: </w:t>
            </w:r>
            <w:r w:rsidR="00204469" w:rsidRPr="00204469">
              <w:rPr>
                <w:color w:val="000000"/>
                <w:spacing w:val="194"/>
                <w:shd w:val="solid" w:color="000000" w:fill="000000"/>
                <w:fitText w:val="280" w:id="-1437438455"/>
                <w14:textFill>
                  <w14:solidFill>
                    <w14:srgbClr w14:val="000000">
                      <w14:alpha w14:val="100000"/>
                    </w14:srgbClr>
                  </w14:solidFill>
                </w14:textFill>
              </w:rPr>
              <w:t>|</w:t>
            </w:r>
            <w:r w:rsidR="00204469" w:rsidRPr="00204469">
              <w:rPr>
                <w:color w:val="000000"/>
                <w:shd w:val="solid" w:color="000000" w:fill="000000"/>
                <w:fitText w:val="280" w:id="-1437438455"/>
                <w14:textFill>
                  <w14:solidFill>
                    <w14:srgbClr w14:val="000000">
                      <w14:alpha w14:val="100000"/>
                    </w14:srgbClr>
                  </w14:solidFill>
                </w14:textFill>
              </w:rPr>
              <w:t>|</w:t>
            </w:r>
            <w:r w:rsidR="00095B38">
              <w:rPr>
                <w:vertAlign w:val="superscript"/>
              </w:rPr>
              <w:t>4</w:t>
            </w:r>
            <w:r w:rsidR="00095B38" w:rsidRPr="00043FAA">
              <w:t xml:space="preserve"> </w:t>
            </w:r>
            <w:r w:rsidR="00F04F3C" w:rsidRPr="00043FAA">
              <w:t>(</w:t>
            </w:r>
            <w:r w:rsidR="00204469" w:rsidRPr="00204469">
              <w:rPr>
                <w:i/>
                <w:iCs/>
                <w:color w:val="000000"/>
                <w:spacing w:val="114"/>
                <w:shd w:val="solid" w:color="000000" w:fill="000000"/>
                <w:fitText w:val="200" w:id="-1437438454"/>
                <w14:textFill>
                  <w14:solidFill>
                    <w14:srgbClr w14:val="000000">
                      <w14:alpha w14:val="100000"/>
                    </w14:srgbClr>
                  </w14:solidFill>
                </w14:textFill>
              </w:rPr>
              <w:t>|</w:t>
            </w:r>
            <w:r w:rsidR="00204469" w:rsidRPr="00204469">
              <w:rPr>
                <w:i/>
                <w:iCs/>
                <w:color w:val="000000"/>
                <w:shd w:val="solid" w:color="000000" w:fill="000000"/>
                <w:fitText w:val="200" w:id="-1437438454"/>
                <w14:textFill>
                  <w14:solidFill>
                    <w14:srgbClr w14:val="000000">
                      <w14:alpha w14:val="100000"/>
                    </w14:srgbClr>
                  </w14:solidFill>
                </w14:textFill>
              </w:rPr>
              <w:t>|</w:t>
            </w:r>
            <w:r w:rsidR="00095B38">
              <w:rPr>
                <w:vertAlign w:val="superscript"/>
              </w:rPr>
              <w:t>4</w:t>
            </w:r>
            <w:r w:rsidR="00F04F3C" w:rsidRPr="00043FAA">
              <w:t>)</w:t>
            </w:r>
          </w:p>
          <w:p w14:paraId="7E084C70" w14:textId="5D610F5D" w:rsidR="00702761" w:rsidRPr="00043FAA" w:rsidRDefault="00702761" w:rsidP="007F7080">
            <w:pPr>
              <w:pStyle w:val="TableText0"/>
              <w:keepNext w:val="0"/>
              <w:widowControl w:val="0"/>
              <w:jc w:val="center"/>
            </w:pPr>
            <w:proofErr w:type="spellStart"/>
            <w:r w:rsidRPr="00043FAA">
              <w:t>Yr</w:t>
            </w:r>
            <w:proofErr w:type="spellEnd"/>
            <w:r w:rsidRPr="00043FAA">
              <w:t xml:space="preserve"> 6: </w:t>
            </w:r>
            <w:r w:rsidR="00204469" w:rsidRPr="00204469">
              <w:rPr>
                <w:color w:val="000000"/>
                <w:spacing w:val="194"/>
                <w:shd w:val="solid" w:color="000000" w:fill="000000"/>
                <w:fitText w:val="280" w:id="-1437438453"/>
                <w14:textFill>
                  <w14:solidFill>
                    <w14:srgbClr w14:val="000000">
                      <w14:alpha w14:val="100000"/>
                    </w14:srgbClr>
                  </w14:solidFill>
                </w14:textFill>
              </w:rPr>
              <w:t>|</w:t>
            </w:r>
            <w:r w:rsidR="00204469" w:rsidRPr="00204469">
              <w:rPr>
                <w:color w:val="000000"/>
                <w:shd w:val="solid" w:color="000000" w:fill="000000"/>
                <w:fitText w:val="280" w:id="-1437438453"/>
                <w14:textFill>
                  <w14:solidFill>
                    <w14:srgbClr w14:val="000000">
                      <w14:alpha w14:val="100000"/>
                    </w14:srgbClr>
                  </w14:solidFill>
                </w14:textFill>
              </w:rPr>
              <w:t>|</w:t>
            </w:r>
            <w:r w:rsidR="00095B38">
              <w:rPr>
                <w:vertAlign w:val="superscript"/>
              </w:rPr>
              <w:t>4</w:t>
            </w:r>
            <w:r w:rsidR="00F04F3C" w:rsidRPr="00043FAA">
              <w:t xml:space="preserve"> (</w:t>
            </w:r>
            <w:r w:rsidR="00204469" w:rsidRPr="00204469">
              <w:rPr>
                <w:i/>
                <w:iCs/>
                <w:color w:val="000000"/>
                <w:spacing w:val="114"/>
                <w:shd w:val="solid" w:color="000000" w:fill="000000"/>
                <w:fitText w:val="200" w:id="-1437438452"/>
                <w14:textFill>
                  <w14:solidFill>
                    <w14:srgbClr w14:val="000000">
                      <w14:alpha w14:val="100000"/>
                    </w14:srgbClr>
                  </w14:solidFill>
                </w14:textFill>
              </w:rPr>
              <w:t>|</w:t>
            </w:r>
            <w:r w:rsidR="00204469" w:rsidRPr="00204469">
              <w:rPr>
                <w:i/>
                <w:iCs/>
                <w:color w:val="000000"/>
                <w:shd w:val="solid" w:color="000000" w:fill="000000"/>
                <w:fitText w:val="200" w:id="-1437438452"/>
                <w14:textFill>
                  <w14:solidFill>
                    <w14:srgbClr w14:val="000000">
                      <w14:alpha w14:val="100000"/>
                    </w14:srgbClr>
                  </w14:solidFill>
                </w14:textFill>
              </w:rPr>
              <w:t>|</w:t>
            </w:r>
            <w:r w:rsidR="00095B38">
              <w:rPr>
                <w:vertAlign w:val="superscript"/>
              </w:rPr>
              <w:t>4</w:t>
            </w:r>
            <w:r w:rsidR="00F04F3C" w:rsidRPr="00043FAA">
              <w:t xml:space="preserve">) </w:t>
            </w:r>
          </w:p>
        </w:tc>
        <w:tc>
          <w:tcPr>
            <w:tcW w:w="2807" w:type="dxa"/>
            <w:vAlign w:val="center"/>
          </w:tcPr>
          <w:p w14:paraId="1F696EEF" w14:textId="1FFE2C03" w:rsidR="00702761" w:rsidRPr="0040247D" w:rsidRDefault="00702761" w:rsidP="007F7080">
            <w:pPr>
              <w:pStyle w:val="TableText0"/>
              <w:keepNext w:val="0"/>
              <w:widowControl w:val="0"/>
            </w:pPr>
            <w:r w:rsidRPr="0040247D">
              <w:t>Predicted scripts based on the historical data</w:t>
            </w:r>
          </w:p>
        </w:tc>
        <w:tc>
          <w:tcPr>
            <w:tcW w:w="2976" w:type="dxa"/>
            <w:vMerge w:val="restart"/>
            <w:vAlign w:val="center"/>
          </w:tcPr>
          <w:p w14:paraId="2AD17F3F" w14:textId="1EF8BE59" w:rsidR="00702761" w:rsidRPr="009314D5" w:rsidRDefault="00702761" w:rsidP="007F7080">
            <w:pPr>
              <w:pStyle w:val="TableText0"/>
              <w:keepNext w:val="0"/>
              <w:widowControl w:val="0"/>
            </w:pPr>
            <w:r w:rsidRPr="009314D5">
              <w:t>These results were calculated based on the number of total services of initiation/continuation in each year.</w:t>
            </w:r>
          </w:p>
          <w:p w14:paraId="420B651C" w14:textId="77777777" w:rsidR="00702761" w:rsidRPr="009314D5" w:rsidRDefault="00702761" w:rsidP="007F7080">
            <w:pPr>
              <w:pStyle w:val="TableText0"/>
              <w:keepNext w:val="0"/>
              <w:widowControl w:val="0"/>
            </w:pPr>
          </w:p>
          <w:p w14:paraId="4A32B91D" w14:textId="6CFCB69B" w:rsidR="00702761" w:rsidRPr="009314D5" w:rsidRDefault="00E8670A" w:rsidP="007F7080">
            <w:pPr>
              <w:pStyle w:val="TableText0"/>
              <w:keepNext w:val="0"/>
              <w:widowControl w:val="0"/>
            </w:pPr>
            <w:r w:rsidRPr="009314D5">
              <w:t xml:space="preserve">The submission made </w:t>
            </w:r>
            <w:r w:rsidR="00E52CEF" w:rsidRPr="009314D5">
              <w:t>several</w:t>
            </w:r>
            <w:r w:rsidRPr="009314D5">
              <w:t xml:space="preserve"> calculation errors in the excel file. Most notably: </w:t>
            </w:r>
            <w:r w:rsidR="00702761" w:rsidRPr="009314D5">
              <w:t xml:space="preserve">the scripts for </w:t>
            </w:r>
            <w:r w:rsidR="00F04F3C" w:rsidRPr="009314D5">
              <w:t xml:space="preserve">11960L (initiation) and 11944P (continuation) of the year </w:t>
            </w:r>
            <w:r w:rsidR="00702761" w:rsidRPr="009314D5">
              <w:t xml:space="preserve">2020 </w:t>
            </w:r>
            <w:r w:rsidR="00120D5A" w:rsidRPr="009314D5">
              <w:t xml:space="preserve">were </w:t>
            </w:r>
            <w:r w:rsidRPr="009314D5">
              <w:t xml:space="preserve">used for the calculation of </w:t>
            </w:r>
            <w:r w:rsidR="00120D5A" w:rsidRPr="009314D5">
              <w:t>script</w:t>
            </w:r>
            <w:r w:rsidR="002B2CD5" w:rsidRPr="009314D5">
              <w:t>s</w:t>
            </w:r>
            <w:r w:rsidR="00120D5A" w:rsidRPr="009314D5">
              <w:t xml:space="preserve"> in the </w:t>
            </w:r>
            <w:r w:rsidRPr="009314D5">
              <w:t>financial year 2021</w:t>
            </w:r>
            <w:r w:rsidR="00F04F3C" w:rsidRPr="009314D5">
              <w:t xml:space="preserve">, </w:t>
            </w:r>
            <w:r w:rsidR="00120D5A" w:rsidRPr="009314D5">
              <w:t xml:space="preserve">instead of </w:t>
            </w:r>
            <w:r w:rsidR="00F04F3C" w:rsidRPr="009314D5">
              <w:t>using all the items 11960L and 10256T (initiation) and</w:t>
            </w:r>
            <w:r w:rsidR="00BE2F13" w:rsidRPr="009314D5">
              <w:t xml:space="preserve"> </w:t>
            </w:r>
            <w:r w:rsidR="00F04F3C" w:rsidRPr="009314D5">
              <w:t>11944P and 10255R (continuation)</w:t>
            </w:r>
            <w:r w:rsidRPr="009314D5">
              <w:t xml:space="preserve">, resulting </w:t>
            </w:r>
            <w:r w:rsidR="00AE473E" w:rsidRPr="009314D5">
              <w:t>in</w:t>
            </w:r>
            <w:r w:rsidRPr="009314D5">
              <w:t xml:space="preserve"> a substantially lower </w:t>
            </w:r>
            <w:r w:rsidR="00120D5A" w:rsidRPr="009314D5">
              <w:t xml:space="preserve">estimates of number of scripts. </w:t>
            </w:r>
          </w:p>
          <w:p w14:paraId="16F4747D" w14:textId="77777777" w:rsidR="00702761" w:rsidRPr="009314D5" w:rsidRDefault="00702761" w:rsidP="007F7080">
            <w:pPr>
              <w:pStyle w:val="TableText0"/>
              <w:keepNext w:val="0"/>
              <w:widowControl w:val="0"/>
            </w:pPr>
          </w:p>
          <w:p w14:paraId="3AB1E582" w14:textId="041988EC" w:rsidR="00702761" w:rsidRPr="0040247D" w:rsidRDefault="00702761" w:rsidP="007F7080">
            <w:pPr>
              <w:pStyle w:val="TableText0"/>
              <w:keepNext w:val="0"/>
              <w:widowControl w:val="0"/>
              <w:rPr>
                <w:i/>
                <w:iCs/>
              </w:rPr>
            </w:pPr>
            <w:r w:rsidRPr="009314D5">
              <w:t>During the evaluation, all the calculations were re-calculated</w:t>
            </w:r>
            <w:r w:rsidR="002B2CD5" w:rsidRPr="009314D5">
              <w:t>.</w:t>
            </w:r>
          </w:p>
        </w:tc>
      </w:tr>
      <w:tr w:rsidR="00067771" w:rsidRPr="0040247D" w14:paraId="594116F4" w14:textId="77777777" w:rsidTr="00552D3C">
        <w:tc>
          <w:tcPr>
            <w:tcW w:w="1696" w:type="dxa"/>
            <w:vAlign w:val="center"/>
          </w:tcPr>
          <w:p w14:paraId="079A7DD4" w14:textId="47778984" w:rsidR="00702761" w:rsidRPr="0040247D" w:rsidRDefault="00702761" w:rsidP="007F7080">
            <w:pPr>
              <w:pStyle w:val="TableText0"/>
              <w:keepNext w:val="0"/>
              <w:widowControl w:val="0"/>
            </w:pPr>
            <w:r w:rsidRPr="0040247D">
              <w:t xml:space="preserve">Scripts dispensed – </w:t>
            </w:r>
            <w:r w:rsidR="00042399" w:rsidRPr="0040247D">
              <w:t xml:space="preserve">continuation </w:t>
            </w:r>
            <w:r w:rsidR="00042399" w:rsidRPr="0040247D">
              <w:rPr>
                <w:vertAlign w:val="superscript"/>
              </w:rPr>
              <w:t>(b)</w:t>
            </w:r>
            <w:r w:rsidR="00042399" w:rsidRPr="0040247D">
              <w:t xml:space="preserve"> </w:t>
            </w:r>
          </w:p>
        </w:tc>
        <w:tc>
          <w:tcPr>
            <w:tcW w:w="1701" w:type="dxa"/>
            <w:vAlign w:val="center"/>
          </w:tcPr>
          <w:p w14:paraId="4CD9DE6B" w14:textId="7F1F1B60" w:rsidR="00702761" w:rsidRPr="00043FAA" w:rsidRDefault="00702761" w:rsidP="007F7080">
            <w:pPr>
              <w:pStyle w:val="TableText0"/>
              <w:keepNext w:val="0"/>
              <w:widowControl w:val="0"/>
              <w:jc w:val="center"/>
            </w:pPr>
            <w:proofErr w:type="spellStart"/>
            <w:r w:rsidRPr="00043FAA">
              <w:t>Yr</w:t>
            </w:r>
            <w:proofErr w:type="spellEnd"/>
            <w:r w:rsidRPr="00043FAA">
              <w:t xml:space="preserve"> 1: </w:t>
            </w:r>
            <w:r w:rsidR="00204469" w:rsidRPr="00204469">
              <w:rPr>
                <w:color w:val="000000"/>
                <w:spacing w:val="194"/>
                <w:shd w:val="solid" w:color="000000" w:fill="000000"/>
                <w:fitText w:val="280" w:id="-1437438451"/>
                <w14:textFill>
                  <w14:solidFill>
                    <w14:srgbClr w14:val="000000">
                      <w14:alpha w14:val="100000"/>
                    </w14:srgbClr>
                  </w14:solidFill>
                </w14:textFill>
              </w:rPr>
              <w:t>|</w:t>
            </w:r>
            <w:r w:rsidR="00204469" w:rsidRPr="00204469">
              <w:rPr>
                <w:color w:val="000000"/>
                <w:shd w:val="solid" w:color="000000" w:fill="000000"/>
                <w:fitText w:val="280" w:id="-1437438451"/>
                <w14:textFill>
                  <w14:solidFill>
                    <w14:srgbClr w14:val="000000">
                      <w14:alpha w14:val="100000"/>
                    </w14:srgbClr>
                  </w14:solidFill>
                </w14:textFill>
              </w:rPr>
              <w:t>|</w:t>
            </w:r>
            <w:r w:rsidR="00095B38">
              <w:rPr>
                <w:vertAlign w:val="superscript"/>
              </w:rPr>
              <w:t>4</w:t>
            </w:r>
            <w:r w:rsidR="001E779F" w:rsidRPr="00043FAA">
              <w:t xml:space="preserve"> (</w:t>
            </w:r>
            <w:r w:rsidR="00204469" w:rsidRPr="00204469">
              <w:rPr>
                <w:i/>
                <w:iCs/>
                <w:color w:val="000000"/>
                <w:spacing w:val="114"/>
                <w:shd w:val="solid" w:color="000000" w:fill="000000"/>
                <w:fitText w:val="200" w:id="-1437438450"/>
                <w14:textFill>
                  <w14:solidFill>
                    <w14:srgbClr w14:val="000000">
                      <w14:alpha w14:val="100000"/>
                    </w14:srgbClr>
                  </w14:solidFill>
                </w14:textFill>
              </w:rPr>
              <w:t>|</w:t>
            </w:r>
            <w:r w:rsidR="00204469" w:rsidRPr="00204469">
              <w:rPr>
                <w:i/>
                <w:iCs/>
                <w:color w:val="000000"/>
                <w:shd w:val="solid" w:color="000000" w:fill="000000"/>
                <w:fitText w:val="200" w:id="-1437438450"/>
                <w14:textFill>
                  <w14:solidFill>
                    <w14:srgbClr w14:val="000000">
                      <w14:alpha w14:val="100000"/>
                    </w14:srgbClr>
                  </w14:solidFill>
                </w14:textFill>
              </w:rPr>
              <w:t>|</w:t>
            </w:r>
            <w:r w:rsidR="00095B38">
              <w:rPr>
                <w:vertAlign w:val="superscript"/>
              </w:rPr>
              <w:t>4</w:t>
            </w:r>
            <w:r w:rsidR="001E779F" w:rsidRPr="00043FAA">
              <w:t>)</w:t>
            </w:r>
          </w:p>
          <w:p w14:paraId="5D3695BF" w14:textId="7DCD7289" w:rsidR="00702761" w:rsidRPr="00043FAA" w:rsidRDefault="00702761" w:rsidP="007F7080">
            <w:pPr>
              <w:pStyle w:val="TableText0"/>
              <w:keepNext w:val="0"/>
              <w:widowControl w:val="0"/>
              <w:jc w:val="center"/>
            </w:pPr>
            <w:proofErr w:type="spellStart"/>
            <w:r w:rsidRPr="00043FAA">
              <w:t>Yr</w:t>
            </w:r>
            <w:proofErr w:type="spellEnd"/>
            <w:r w:rsidRPr="00043FAA">
              <w:t xml:space="preserve"> 2: </w:t>
            </w:r>
            <w:r w:rsidR="00204469" w:rsidRPr="00204469">
              <w:rPr>
                <w:color w:val="000000"/>
                <w:spacing w:val="194"/>
                <w:shd w:val="solid" w:color="000000" w:fill="000000"/>
                <w:fitText w:val="280" w:id="-1437438449"/>
                <w14:textFill>
                  <w14:solidFill>
                    <w14:srgbClr w14:val="000000">
                      <w14:alpha w14:val="100000"/>
                    </w14:srgbClr>
                  </w14:solidFill>
                </w14:textFill>
              </w:rPr>
              <w:t>|</w:t>
            </w:r>
            <w:r w:rsidR="00204469" w:rsidRPr="00204469">
              <w:rPr>
                <w:color w:val="000000"/>
                <w:shd w:val="solid" w:color="000000" w:fill="000000"/>
                <w:fitText w:val="280" w:id="-1437438449"/>
                <w14:textFill>
                  <w14:solidFill>
                    <w14:srgbClr w14:val="000000">
                      <w14:alpha w14:val="100000"/>
                    </w14:srgbClr>
                  </w14:solidFill>
                </w14:textFill>
              </w:rPr>
              <w:t>|</w:t>
            </w:r>
            <w:r w:rsidR="00095B38">
              <w:rPr>
                <w:vertAlign w:val="superscript"/>
              </w:rPr>
              <w:t>4</w:t>
            </w:r>
            <w:r w:rsidR="00095B38" w:rsidRPr="00043FAA">
              <w:t xml:space="preserve"> </w:t>
            </w:r>
            <w:r w:rsidR="001E779F" w:rsidRPr="00043FAA">
              <w:t>(</w:t>
            </w:r>
            <w:r w:rsidR="00204469" w:rsidRPr="00204469">
              <w:rPr>
                <w:i/>
                <w:iCs/>
                <w:color w:val="000000"/>
                <w:spacing w:val="114"/>
                <w:shd w:val="solid" w:color="000000" w:fill="000000"/>
                <w:fitText w:val="200" w:id="-1437438448"/>
                <w14:textFill>
                  <w14:solidFill>
                    <w14:srgbClr w14:val="000000">
                      <w14:alpha w14:val="100000"/>
                    </w14:srgbClr>
                  </w14:solidFill>
                </w14:textFill>
              </w:rPr>
              <w:t>|</w:t>
            </w:r>
            <w:r w:rsidR="00204469" w:rsidRPr="00204469">
              <w:rPr>
                <w:i/>
                <w:iCs/>
                <w:color w:val="000000"/>
                <w:shd w:val="solid" w:color="000000" w:fill="000000"/>
                <w:fitText w:val="200" w:id="-1437438448"/>
                <w14:textFill>
                  <w14:solidFill>
                    <w14:srgbClr w14:val="000000">
                      <w14:alpha w14:val="100000"/>
                    </w14:srgbClr>
                  </w14:solidFill>
                </w14:textFill>
              </w:rPr>
              <w:t>|</w:t>
            </w:r>
            <w:r w:rsidR="00095B38">
              <w:rPr>
                <w:vertAlign w:val="superscript"/>
              </w:rPr>
              <w:t>4</w:t>
            </w:r>
            <w:r w:rsidR="001E779F" w:rsidRPr="00043FAA">
              <w:t xml:space="preserve">) </w:t>
            </w:r>
          </w:p>
          <w:p w14:paraId="121BA94A" w14:textId="3D9324F9" w:rsidR="00702761" w:rsidRPr="00043FAA" w:rsidRDefault="00702761" w:rsidP="007F7080">
            <w:pPr>
              <w:pStyle w:val="TableText0"/>
              <w:keepNext w:val="0"/>
              <w:widowControl w:val="0"/>
              <w:jc w:val="center"/>
            </w:pPr>
            <w:proofErr w:type="spellStart"/>
            <w:r w:rsidRPr="00043FAA">
              <w:t>Yr</w:t>
            </w:r>
            <w:proofErr w:type="spellEnd"/>
            <w:r w:rsidRPr="00043FAA">
              <w:t xml:space="preserve"> 3: </w:t>
            </w:r>
            <w:r w:rsidR="00204469" w:rsidRPr="00204469">
              <w:rPr>
                <w:color w:val="000000"/>
                <w:spacing w:val="194"/>
                <w:shd w:val="solid" w:color="000000" w:fill="000000"/>
                <w:fitText w:val="280" w:id="-1437438464"/>
                <w14:textFill>
                  <w14:solidFill>
                    <w14:srgbClr w14:val="000000">
                      <w14:alpha w14:val="100000"/>
                    </w14:srgbClr>
                  </w14:solidFill>
                </w14:textFill>
              </w:rPr>
              <w:t>|</w:t>
            </w:r>
            <w:r w:rsidR="00204469" w:rsidRPr="00204469">
              <w:rPr>
                <w:color w:val="000000"/>
                <w:shd w:val="solid" w:color="000000" w:fill="000000"/>
                <w:fitText w:val="280" w:id="-1437438464"/>
                <w14:textFill>
                  <w14:solidFill>
                    <w14:srgbClr w14:val="000000">
                      <w14:alpha w14:val="100000"/>
                    </w14:srgbClr>
                  </w14:solidFill>
                </w14:textFill>
              </w:rPr>
              <w:t>|</w:t>
            </w:r>
            <w:r w:rsidR="00095B38">
              <w:rPr>
                <w:vertAlign w:val="superscript"/>
              </w:rPr>
              <w:t>4</w:t>
            </w:r>
            <w:r w:rsidR="001E779F" w:rsidRPr="00043FAA">
              <w:t xml:space="preserve"> (</w:t>
            </w:r>
            <w:r w:rsidR="00204469" w:rsidRPr="00204469">
              <w:rPr>
                <w:i/>
                <w:iCs/>
                <w:color w:val="000000"/>
                <w:spacing w:val="114"/>
                <w:shd w:val="solid" w:color="000000" w:fill="000000"/>
                <w:fitText w:val="200" w:id="-1437438463"/>
                <w14:textFill>
                  <w14:solidFill>
                    <w14:srgbClr w14:val="000000">
                      <w14:alpha w14:val="100000"/>
                    </w14:srgbClr>
                  </w14:solidFill>
                </w14:textFill>
              </w:rPr>
              <w:t>|</w:t>
            </w:r>
            <w:r w:rsidR="00204469" w:rsidRPr="00204469">
              <w:rPr>
                <w:i/>
                <w:iCs/>
                <w:color w:val="000000"/>
                <w:shd w:val="solid" w:color="000000" w:fill="000000"/>
                <w:fitText w:val="200" w:id="-1437438463"/>
                <w14:textFill>
                  <w14:solidFill>
                    <w14:srgbClr w14:val="000000">
                      <w14:alpha w14:val="100000"/>
                    </w14:srgbClr>
                  </w14:solidFill>
                </w14:textFill>
              </w:rPr>
              <w:t>|</w:t>
            </w:r>
            <w:r w:rsidR="00095B38">
              <w:rPr>
                <w:vertAlign w:val="superscript"/>
              </w:rPr>
              <w:t>4</w:t>
            </w:r>
            <w:r w:rsidR="001E779F" w:rsidRPr="00043FAA">
              <w:t xml:space="preserve">) </w:t>
            </w:r>
          </w:p>
          <w:p w14:paraId="4A3A3ABF" w14:textId="1A15C6E3" w:rsidR="00702761" w:rsidRPr="00043FAA" w:rsidRDefault="00702761" w:rsidP="007F7080">
            <w:pPr>
              <w:pStyle w:val="TableText0"/>
              <w:keepNext w:val="0"/>
              <w:widowControl w:val="0"/>
              <w:jc w:val="center"/>
            </w:pPr>
            <w:proofErr w:type="spellStart"/>
            <w:r w:rsidRPr="00043FAA">
              <w:t>Yr</w:t>
            </w:r>
            <w:proofErr w:type="spellEnd"/>
            <w:r w:rsidRPr="00043FAA">
              <w:t xml:space="preserve"> 4: </w:t>
            </w:r>
            <w:r w:rsidR="00204469" w:rsidRPr="00204469">
              <w:rPr>
                <w:color w:val="000000"/>
                <w:spacing w:val="194"/>
                <w:shd w:val="solid" w:color="000000" w:fill="000000"/>
                <w:fitText w:val="280" w:id="-1437438462"/>
                <w14:textFill>
                  <w14:solidFill>
                    <w14:srgbClr w14:val="000000">
                      <w14:alpha w14:val="100000"/>
                    </w14:srgbClr>
                  </w14:solidFill>
                </w14:textFill>
              </w:rPr>
              <w:t>|</w:t>
            </w:r>
            <w:r w:rsidR="00204469" w:rsidRPr="00204469">
              <w:rPr>
                <w:color w:val="000000"/>
                <w:shd w:val="solid" w:color="000000" w:fill="000000"/>
                <w:fitText w:val="280" w:id="-1437438462"/>
                <w14:textFill>
                  <w14:solidFill>
                    <w14:srgbClr w14:val="000000">
                      <w14:alpha w14:val="100000"/>
                    </w14:srgbClr>
                  </w14:solidFill>
                </w14:textFill>
              </w:rPr>
              <w:t>|</w:t>
            </w:r>
            <w:r w:rsidR="00095B38">
              <w:rPr>
                <w:vertAlign w:val="superscript"/>
              </w:rPr>
              <w:t>4</w:t>
            </w:r>
            <w:r w:rsidR="001E779F" w:rsidRPr="00043FAA">
              <w:t xml:space="preserve"> (</w:t>
            </w:r>
            <w:r w:rsidR="00204469" w:rsidRPr="00204469">
              <w:rPr>
                <w:i/>
                <w:iCs/>
                <w:color w:val="000000"/>
                <w:spacing w:val="114"/>
                <w:shd w:val="solid" w:color="000000" w:fill="000000"/>
                <w:fitText w:val="200" w:id="-1437438461"/>
                <w14:textFill>
                  <w14:solidFill>
                    <w14:srgbClr w14:val="000000">
                      <w14:alpha w14:val="100000"/>
                    </w14:srgbClr>
                  </w14:solidFill>
                </w14:textFill>
              </w:rPr>
              <w:t>|</w:t>
            </w:r>
            <w:r w:rsidR="00204469" w:rsidRPr="00204469">
              <w:rPr>
                <w:i/>
                <w:iCs/>
                <w:color w:val="000000"/>
                <w:shd w:val="solid" w:color="000000" w:fill="000000"/>
                <w:fitText w:val="200" w:id="-1437438461"/>
                <w14:textFill>
                  <w14:solidFill>
                    <w14:srgbClr w14:val="000000">
                      <w14:alpha w14:val="100000"/>
                    </w14:srgbClr>
                  </w14:solidFill>
                </w14:textFill>
              </w:rPr>
              <w:t>|</w:t>
            </w:r>
            <w:r w:rsidR="00095B38">
              <w:rPr>
                <w:vertAlign w:val="superscript"/>
              </w:rPr>
              <w:t>4</w:t>
            </w:r>
            <w:r w:rsidR="001E779F" w:rsidRPr="00043FAA">
              <w:t xml:space="preserve">) </w:t>
            </w:r>
          </w:p>
          <w:p w14:paraId="36EC9A70" w14:textId="06108E97" w:rsidR="00702761" w:rsidRPr="00043FAA" w:rsidRDefault="00702761" w:rsidP="007F7080">
            <w:pPr>
              <w:pStyle w:val="TableText0"/>
              <w:keepNext w:val="0"/>
              <w:widowControl w:val="0"/>
              <w:jc w:val="center"/>
            </w:pPr>
            <w:proofErr w:type="spellStart"/>
            <w:r w:rsidRPr="00043FAA">
              <w:t>Yr</w:t>
            </w:r>
            <w:proofErr w:type="spellEnd"/>
            <w:r w:rsidRPr="00043FAA">
              <w:t xml:space="preserve"> 5: </w:t>
            </w:r>
            <w:r w:rsidR="00204469" w:rsidRPr="00204469">
              <w:rPr>
                <w:color w:val="000000"/>
                <w:spacing w:val="194"/>
                <w:shd w:val="solid" w:color="000000" w:fill="000000"/>
                <w:fitText w:val="280" w:id="-1437438208"/>
                <w14:textFill>
                  <w14:solidFill>
                    <w14:srgbClr w14:val="000000">
                      <w14:alpha w14:val="100000"/>
                    </w14:srgbClr>
                  </w14:solidFill>
                </w14:textFill>
              </w:rPr>
              <w:t>|</w:t>
            </w:r>
            <w:r w:rsidR="00204469" w:rsidRPr="00204469">
              <w:rPr>
                <w:color w:val="000000"/>
                <w:shd w:val="solid" w:color="000000" w:fill="000000"/>
                <w:fitText w:val="280" w:id="-1437438208"/>
                <w14:textFill>
                  <w14:solidFill>
                    <w14:srgbClr w14:val="000000">
                      <w14:alpha w14:val="100000"/>
                    </w14:srgbClr>
                  </w14:solidFill>
                </w14:textFill>
              </w:rPr>
              <w:t>|</w:t>
            </w:r>
            <w:r w:rsidR="00095B38">
              <w:rPr>
                <w:vertAlign w:val="superscript"/>
              </w:rPr>
              <w:t>4</w:t>
            </w:r>
            <w:r w:rsidR="001E779F" w:rsidRPr="00043FAA">
              <w:t xml:space="preserve"> (</w:t>
            </w:r>
            <w:r w:rsidR="00204469" w:rsidRPr="00204469">
              <w:rPr>
                <w:i/>
                <w:iCs/>
                <w:color w:val="000000"/>
                <w:spacing w:val="114"/>
                <w:shd w:val="solid" w:color="000000" w:fill="000000"/>
                <w:fitText w:val="200" w:id="-1437438207"/>
                <w14:textFill>
                  <w14:solidFill>
                    <w14:srgbClr w14:val="000000">
                      <w14:alpha w14:val="100000"/>
                    </w14:srgbClr>
                  </w14:solidFill>
                </w14:textFill>
              </w:rPr>
              <w:t>|</w:t>
            </w:r>
            <w:r w:rsidR="00204469" w:rsidRPr="00204469">
              <w:rPr>
                <w:i/>
                <w:iCs/>
                <w:color w:val="000000"/>
                <w:shd w:val="solid" w:color="000000" w:fill="000000"/>
                <w:fitText w:val="200" w:id="-1437438207"/>
                <w14:textFill>
                  <w14:solidFill>
                    <w14:srgbClr w14:val="000000">
                      <w14:alpha w14:val="100000"/>
                    </w14:srgbClr>
                  </w14:solidFill>
                </w14:textFill>
              </w:rPr>
              <w:t>|</w:t>
            </w:r>
            <w:r w:rsidR="00095B38">
              <w:rPr>
                <w:vertAlign w:val="superscript"/>
              </w:rPr>
              <w:t>4</w:t>
            </w:r>
            <w:r w:rsidR="001E779F" w:rsidRPr="00043FAA">
              <w:t xml:space="preserve">) </w:t>
            </w:r>
          </w:p>
          <w:p w14:paraId="2DED877E" w14:textId="7EE5142D" w:rsidR="00702761" w:rsidRPr="00043FAA" w:rsidRDefault="00702761" w:rsidP="007F7080">
            <w:pPr>
              <w:pStyle w:val="TableText0"/>
              <w:keepNext w:val="0"/>
              <w:widowControl w:val="0"/>
              <w:jc w:val="center"/>
            </w:pPr>
            <w:proofErr w:type="spellStart"/>
            <w:r w:rsidRPr="00043FAA">
              <w:t>Yr</w:t>
            </w:r>
            <w:proofErr w:type="spellEnd"/>
            <w:r w:rsidRPr="00043FAA">
              <w:t xml:space="preserve"> 6: </w:t>
            </w:r>
            <w:r w:rsidR="00204469" w:rsidRPr="00204469">
              <w:rPr>
                <w:color w:val="000000"/>
                <w:spacing w:val="194"/>
                <w:shd w:val="solid" w:color="000000" w:fill="000000"/>
                <w:fitText w:val="280" w:id="-1437438206"/>
                <w14:textFill>
                  <w14:solidFill>
                    <w14:srgbClr w14:val="000000">
                      <w14:alpha w14:val="100000"/>
                    </w14:srgbClr>
                  </w14:solidFill>
                </w14:textFill>
              </w:rPr>
              <w:t>|</w:t>
            </w:r>
            <w:r w:rsidR="00204469" w:rsidRPr="00204469">
              <w:rPr>
                <w:color w:val="000000"/>
                <w:shd w:val="solid" w:color="000000" w:fill="000000"/>
                <w:fitText w:val="280" w:id="-1437438206"/>
                <w14:textFill>
                  <w14:solidFill>
                    <w14:srgbClr w14:val="000000">
                      <w14:alpha w14:val="100000"/>
                    </w14:srgbClr>
                  </w14:solidFill>
                </w14:textFill>
              </w:rPr>
              <w:t>|</w:t>
            </w:r>
            <w:r w:rsidR="00095B38">
              <w:rPr>
                <w:vertAlign w:val="superscript"/>
              </w:rPr>
              <w:t>4</w:t>
            </w:r>
            <w:r w:rsidR="001E779F" w:rsidRPr="00043FAA">
              <w:t xml:space="preserve"> (</w:t>
            </w:r>
            <w:r w:rsidR="00204469" w:rsidRPr="00204469">
              <w:rPr>
                <w:i/>
                <w:iCs/>
                <w:color w:val="000000"/>
                <w:spacing w:val="114"/>
                <w:shd w:val="solid" w:color="000000" w:fill="000000"/>
                <w:fitText w:val="200" w:id="-1437438205"/>
                <w14:textFill>
                  <w14:solidFill>
                    <w14:srgbClr w14:val="000000">
                      <w14:alpha w14:val="100000"/>
                    </w14:srgbClr>
                  </w14:solidFill>
                </w14:textFill>
              </w:rPr>
              <w:t>|</w:t>
            </w:r>
            <w:r w:rsidR="00204469" w:rsidRPr="00204469">
              <w:rPr>
                <w:i/>
                <w:iCs/>
                <w:color w:val="000000"/>
                <w:shd w:val="solid" w:color="000000" w:fill="000000"/>
                <w:fitText w:val="200" w:id="-1437438205"/>
                <w14:textFill>
                  <w14:solidFill>
                    <w14:srgbClr w14:val="000000">
                      <w14:alpha w14:val="100000"/>
                    </w14:srgbClr>
                  </w14:solidFill>
                </w14:textFill>
              </w:rPr>
              <w:t>|</w:t>
            </w:r>
            <w:r w:rsidR="00095B38">
              <w:rPr>
                <w:vertAlign w:val="superscript"/>
              </w:rPr>
              <w:t>1</w:t>
            </w:r>
            <w:r w:rsidR="001E779F" w:rsidRPr="00043FAA">
              <w:t xml:space="preserve">) </w:t>
            </w:r>
          </w:p>
        </w:tc>
        <w:tc>
          <w:tcPr>
            <w:tcW w:w="2807" w:type="dxa"/>
            <w:vAlign w:val="center"/>
          </w:tcPr>
          <w:p w14:paraId="0C73A739" w14:textId="4030DAA5" w:rsidR="00702761" w:rsidRPr="0040247D" w:rsidRDefault="00702761" w:rsidP="007F7080">
            <w:pPr>
              <w:pStyle w:val="TableText0"/>
              <w:keepNext w:val="0"/>
              <w:widowControl w:val="0"/>
            </w:pPr>
            <w:r w:rsidRPr="0040247D">
              <w:t>Predicted scripts based on the historical data</w:t>
            </w:r>
          </w:p>
        </w:tc>
        <w:tc>
          <w:tcPr>
            <w:tcW w:w="2976" w:type="dxa"/>
            <w:vMerge/>
            <w:vAlign w:val="center"/>
          </w:tcPr>
          <w:p w14:paraId="4BE2DCE5" w14:textId="77777777" w:rsidR="00702761" w:rsidRPr="0040247D" w:rsidRDefault="00702761" w:rsidP="007F7080">
            <w:pPr>
              <w:pStyle w:val="TableText0"/>
              <w:keepNext w:val="0"/>
              <w:widowControl w:val="0"/>
              <w:rPr>
                <w:i/>
                <w:iCs/>
              </w:rPr>
            </w:pPr>
          </w:p>
        </w:tc>
      </w:tr>
      <w:tr w:rsidR="00067771" w:rsidRPr="002663D8" w14:paraId="7EF34193" w14:textId="77777777" w:rsidTr="00552D3C">
        <w:tc>
          <w:tcPr>
            <w:tcW w:w="1696" w:type="dxa"/>
            <w:vAlign w:val="center"/>
          </w:tcPr>
          <w:p w14:paraId="5488968E" w14:textId="4DB1DCDF" w:rsidR="00702761" w:rsidRPr="002663D8" w:rsidRDefault="00702761" w:rsidP="007F7080">
            <w:pPr>
              <w:pStyle w:val="TableText0"/>
              <w:keepNext w:val="0"/>
              <w:widowControl w:val="0"/>
            </w:pPr>
            <w:r w:rsidRPr="002663D8">
              <w:t>Scripts dispensed – total</w:t>
            </w:r>
            <w:r w:rsidR="00042399" w:rsidRPr="002663D8">
              <w:t xml:space="preserve"> </w:t>
            </w:r>
            <w:r w:rsidR="00042399" w:rsidRPr="002663D8">
              <w:rPr>
                <w:vertAlign w:val="superscript"/>
              </w:rPr>
              <w:t>(b)</w:t>
            </w:r>
          </w:p>
        </w:tc>
        <w:tc>
          <w:tcPr>
            <w:tcW w:w="1701" w:type="dxa"/>
            <w:vAlign w:val="center"/>
          </w:tcPr>
          <w:p w14:paraId="0900337D" w14:textId="5D887510" w:rsidR="00702761" w:rsidRPr="00043FAA" w:rsidRDefault="00702761" w:rsidP="007F7080">
            <w:pPr>
              <w:pStyle w:val="TableText0"/>
              <w:keepNext w:val="0"/>
              <w:widowControl w:val="0"/>
              <w:jc w:val="center"/>
            </w:pPr>
            <w:proofErr w:type="spellStart"/>
            <w:r w:rsidRPr="00043FAA">
              <w:t>Yr</w:t>
            </w:r>
            <w:proofErr w:type="spellEnd"/>
            <w:r w:rsidRPr="00043FAA">
              <w:t xml:space="preserve"> 1: </w:t>
            </w:r>
            <w:r w:rsidR="00204469" w:rsidRPr="00204469">
              <w:rPr>
                <w:color w:val="000000"/>
                <w:spacing w:val="194"/>
                <w:shd w:val="solid" w:color="000000" w:fill="000000"/>
                <w:fitText w:val="280" w:id="-1437438204"/>
                <w14:textFill>
                  <w14:solidFill>
                    <w14:srgbClr w14:val="000000">
                      <w14:alpha w14:val="100000"/>
                    </w14:srgbClr>
                  </w14:solidFill>
                </w14:textFill>
              </w:rPr>
              <w:t>|</w:t>
            </w:r>
            <w:r w:rsidR="00204469" w:rsidRPr="00204469">
              <w:rPr>
                <w:color w:val="000000"/>
                <w:shd w:val="solid" w:color="000000" w:fill="000000"/>
                <w:fitText w:val="280" w:id="-1437438204"/>
                <w14:textFill>
                  <w14:solidFill>
                    <w14:srgbClr w14:val="000000">
                      <w14:alpha w14:val="100000"/>
                    </w14:srgbClr>
                  </w14:solidFill>
                </w14:textFill>
              </w:rPr>
              <w:t>|</w:t>
            </w:r>
            <w:r w:rsidR="00095B38">
              <w:rPr>
                <w:vertAlign w:val="superscript"/>
              </w:rPr>
              <w:t>4</w:t>
            </w:r>
            <w:r w:rsidR="001E779F" w:rsidRPr="00043FAA">
              <w:t xml:space="preserve"> (</w:t>
            </w:r>
            <w:r w:rsidR="00204469" w:rsidRPr="00204469">
              <w:rPr>
                <w:iCs/>
                <w:color w:val="000000"/>
                <w:spacing w:val="114"/>
                <w:shd w:val="solid" w:color="000000" w:fill="000000"/>
                <w:fitText w:val="200" w:id="-1437438203"/>
                <w14:textFill>
                  <w14:solidFill>
                    <w14:srgbClr w14:val="000000">
                      <w14:alpha w14:val="100000"/>
                    </w14:srgbClr>
                  </w14:solidFill>
                </w14:textFill>
              </w:rPr>
              <w:t>|</w:t>
            </w:r>
            <w:r w:rsidR="00204469" w:rsidRPr="00204469">
              <w:rPr>
                <w:iCs/>
                <w:color w:val="000000"/>
                <w:shd w:val="solid" w:color="000000" w:fill="000000"/>
                <w:fitText w:val="200" w:id="-1437438203"/>
                <w14:textFill>
                  <w14:solidFill>
                    <w14:srgbClr w14:val="000000">
                      <w14:alpha w14:val="100000"/>
                    </w14:srgbClr>
                  </w14:solidFill>
                </w14:textFill>
              </w:rPr>
              <w:t>|</w:t>
            </w:r>
            <w:r w:rsidR="00095B38">
              <w:rPr>
                <w:vertAlign w:val="superscript"/>
              </w:rPr>
              <w:t>4</w:t>
            </w:r>
            <w:r w:rsidR="001E779F" w:rsidRPr="00043FAA">
              <w:t xml:space="preserve">) </w:t>
            </w:r>
          </w:p>
          <w:p w14:paraId="67C3E4E0" w14:textId="2CE738A1" w:rsidR="00702761" w:rsidRPr="00043FAA" w:rsidRDefault="00702761" w:rsidP="007F7080">
            <w:pPr>
              <w:pStyle w:val="TableText0"/>
              <w:keepNext w:val="0"/>
              <w:widowControl w:val="0"/>
              <w:jc w:val="center"/>
            </w:pPr>
            <w:proofErr w:type="spellStart"/>
            <w:r w:rsidRPr="00043FAA">
              <w:t>Yr</w:t>
            </w:r>
            <w:proofErr w:type="spellEnd"/>
            <w:r w:rsidRPr="00043FAA">
              <w:t xml:space="preserve"> 2: </w:t>
            </w:r>
            <w:r w:rsidR="00204469" w:rsidRPr="00204469">
              <w:rPr>
                <w:color w:val="000000"/>
                <w:spacing w:val="194"/>
                <w:shd w:val="solid" w:color="000000" w:fill="000000"/>
                <w:fitText w:val="280" w:id="-1437438202"/>
                <w14:textFill>
                  <w14:solidFill>
                    <w14:srgbClr w14:val="000000">
                      <w14:alpha w14:val="100000"/>
                    </w14:srgbClr>
                  </w14:solidFill>
                </w14:textFill>
              </w:rPr>
              <w:t>|</w:t>
            </w:r>
            <w:r w:rsidR="00204469" w:rsidRPr="00204469">
              <w:rPr>
                <w:color w:val="000000"/>
                <w:shd w:val="solid" w:color="000000" w:fill="000000"/>
                <w:fitText w:val="280" w:id="-1437438202"/>
                <w14:textFill>
                  <w14:solidFill>
                    <w14:srgbClr w14:val="000000">
                      <w14:alpha w14:val="100000"/>
                    </w14:srgbClr>
                  </w14:solidFill>
                </w14:textFill>
              </w:rPr>
              <w:t>|</w:t>
            </w:r>
            <w:r w:rsidR="00095B38">
              <w:rPr>
                <w:vertAlign w:val="superscript"/>
              </w:rPr>
              <w:t>4</w:t>
            </w:r>
            <w:r w:rsidR="001E779F" w:rsidRPr="00043FAA">
              <w:t xml:space="preserve"> (</w:t>
            </w:r>
            <w:r w:rsidR="00204469" w:rsidRPr="00204469">
              <w:rPr>
                <w:iCs/>
                <w:color w:val="000000"/>
                <w:spacing w:val="114"/>
                <w:shd w:val="solid" w:color="000000" w:fill="000000"/>
                <w:fitText w:val="200" w:id="-1437438201"/>
                <w14:textFill>
                  <w14:solidFill>
                    <w14:srgbClr w14:val="000000">
                      <w14:alpha w14:val="100000"/>
                    </w14:srgbClr>
                  </w14:solidFill>
                </w14:textFill>
              </w:rPr>
              <w:t>|</w:t>
            </w:r>
            <w:r w:rsidR="00204469" w:rsidRPr="00204469">
              <w:rPr>
                <w:iCs/>
                <w:color w:val="000000"/>
                <w:shd w:val="solid" w:color="000000" w:fill="000000"/>
                <w:fitText w:val="200" w:id="-1437438201"/>
                <w14:textFill>
                  <w14:solidFill>
                    <w14:srgbClr w14:val="000000">
                      <w14:alpha w14:val="100000"/>
                    </w14:srgbClr>
                  </w14:solidFill>
                </w14:textFill>
              </w:rPr>
              <w:t>|</w:t>
            </w:r>
            <w:r w:rsidR="00095B38">
              <w:rPr>
                <w:vertAlign w:val="superscript"/>
              </w:rPr>
              <w:t>4</w:t>
            </w:r>
            <w:r w:rsidR="001E779F" w:rsidRPr="00043FAA">
              <w:t xml:space="preserve">) </w:t>
            </w:r>
          </w:p>
          <w:p w14:paraId="6130547E" w14:textId="1246D46F" w:rsidR="00702761" w:rsidRPr="00043FAA" w:rsidRDefault="00702761" w:rsidP="007F7080">
            <w:pPr>
              <w:pStyle w:val="TableText0"/>
              <w:keepNext w:val="0"/>
              <w:widowControl w:val="0"/>
              <w:jc w:val="center"/>
            </w:pPr>
            <w:proofErr w:type="spellStart"/>
            <w:r w:rsidRPr="00043FAA">
              <w:t>Yr</w:t>
            </w:r>
            <w:proofErr w:type="spellEnd"/>
            <w:r w:rsidRPr="00043FAA">
              <w:t xml:space="preserve"> 3: </w:t>
            </w:r>
            <w:r w:rsidR="00204469" w:rsidRPr="00204469">
              <w:rPr>
                <w:color w:val="000000"/>
                <w:spacing w:val="194"/>
                <w:shd w:val="solid" w:color="000000" w:fill="000000"/>
                <w:fitText w:val="280" w:id="-1437438200"/>
                <w14:textFill>
                  <w14:solidFill>
                    <w14:srgbClr w14:val="000000">
                      <w14:alpha w14:val="100000"/>
                    </w14:srgbClr>
                  </w14:solidFill>
                </w14:textFill>
              </w:rPr>
              <w:t>|</w:t>
            </w:r>
            <w:r w:rsidR="00204469" w:rsidRPr="00204469">
              <w:rPr>
                <w:color w:val="000000"/>
                <w:shd w:val="solid" w:color="000000" w:fill="000000"/>
                <w:fitText w:val="280" w:id="-1437438200"/>
                <w14:textFill>
                  <w14:solidFill>
                    <w14:srgbClr w14:val="000000">
                      <w14:alpha w14:val="100000"/>
                    </w14:srgbClr>
                  </w14:solidFill>
                </w14:textFill>
              </w:rPr>
              <w:t>|</w:t>
            </w:r>
            <w:r w:rsidR="00095B38">
              <w:rPr>
                <w:vertAlign w:val="superscript"/>
              </w:rPr>
              <w:t>4</w:t>
            </w:r>
            <w:r w:rsidR="001E779F" w:rsidRPr="00043FAA">
              <w:t xml:space="preserve"> (</w:t>
            </w:r>
            <w:r w:rsidR="00204469" w:rsidRPr="00204469">
              <w:rPr>
                <w:iCs/>
                <w:color w:val="000000"/>
                <w:spacing w:val="114"/>
                <w:shd w:val="solid" w:color="000000" w:fill="000000"/>
                <w:fitText w:val="200" w:id="-1437438199"/>
                <w14:textFill>
                  <w14:solidFill>
                    <w14:srgbClr w14:val="000000">
                      <w14:alpha w14:val="100000"/>
                    </w14:srgbClr>
                  </w14:solidFill>
                </w14:textFill>
              </w:rPr>
              <w:t>|</w:t>
            </w:r>
            <w:r w:rsidR="00204469" w:rsidRPr="00204469">
              <w:rPr>
                <w:iCs/>
                <w:color w:val="000000"/>
                <w:shd w:val="solid" w:color="000000" w:fill="000000"/>
                <w:fitText w:val="200" w:id="-1437438199"/>
                <w14:textFill>
                  <w14:solidFill>
                    <w14:srgbClr w14:val="000000">
                      <w14:alpha w14:val="100000"/>
                    </w14:srgbClr>
                  </w14:solidFill>
                </w14:textFill>
              </w:rPr>
              <w:t>|</w:t>
            </w:r>
            <w:r w:rsidR="00095B38">
              <w:rPr>
                <w:vertAlign w:val="superscript"/>
              </w:rPr>
              <w:t>4</w:t>
            </w:r>
            <w:r w:rsidR="001E779F" w:rsidRPr="00043FAA">
              <w:t>)</w:t>
            </w:r>
          </w:p>
          <w:p w14:paraId="16264DED" w14:textId="1B30087C" w:rsidR="00702761" w:rsidRPr="00043FAA" w:rsidRDefault="00702761" w:rsidP="007F7080">
            <w:pPr>
              <w:pStyle w:val="TableText0"/>
              <w:keepNext w:val="0"/>
              <w:widowControl w:val="0"/>
              <w:jc w:val="center"/>
            </w:pPr>
            <w:proofErr w:type="spellStart"/>
            <w:r w:rsidRPr="00043FAA">
              <w:t>Yr</w:t>
            </w:r>
            <w:proofErr w:type="spellEnd"/>
            <w:r w:rsidRPr="00043FAA">
              <w:t xml:space="preserve"> 4: </w:t>
            </w:r>
            <w:r w:rsidR="00204469" w:rsidRPr="00204469">
              <w:rPr>
                <w:color w:val="000000"/>
                <w:spacing w:val="194"/>
                <w:shd w:val="solid" w:color="000000" w:fill="000000"/>
                <w:fitText w:val="280" w:id="-1437438198"/>
                <w14:textFill>
                  <w14:solidFill>
                    <w14:srgbClr w14:val="000000">
                      <w14:alpha w14:val="100000"/>
                    </w14:srgbClr>
                  </w14:solidFill>
                </w14:textFill>
              </w:rPr>
              <w:t>|</w:t>
            </w:r>
            <w:r w:rsidR="00204469" w:rsidRPr="00204469">
              <w:rPr>
                <w:color w:val="000000"/>
                <w:shd w:val="solid" w:color="000000" w:fill="000000"/>
                <w:fitText w:val="280" w:id="-1437438198"/>
                <w14:textFill>
                  <w14:solidFill>
                    <w14:srgbClr w14:val="000000">
                      <w14:alpha w14:val="100000"/>
                    </w14:srgbClr>
                  </w14:solidFill>
                </w14:textFill>
              </w:rPr>
              <w:t>|</w:t>
            </w:r>
            <w:r w:rsidR="00095B38">
              <w:rPr>
                <w:vertAlign w:val="superscript"/>
              </w:rPr>
              <w:t>4</w:t>
            </w:r>
            <w:r w:rsidR="001E779F" w:rsidRPr="00043FAA">
              <w:t xml:space="preserve"> (</w:t>
            </w:r>
            <w:r w:rsidR="00204469" w:rsidRPr="00204469">
              <w:rPr>
                <w:iCs/>
                <w:color w:val="000000"/>
                <w:spacing w:val="114"/>
                <w:shd w:val="solid" w:color="000000" w:fill="000000"/>
                <w:fitText w:val="200" w:id="-1437438197"/>
                <w14:textFill>
                  <w14:solidFill>
                    <w14:srgbClr w14:val="000000">
                      <w14:alpha w14:val="100000"/>
                    </w14:srgbClr>
                  </w14:solidFill>
                </w14:textFill>
              </w:rPr>
              <w:t>|</w:t>
            </w:r>
            <w:r w:rsidR="00204469" w:rsidRPr="00204469">
              <w:rPr>
                <w:iCs/>
                <w:color w:val="000000"/>
                <w:shd w:val="solid" w:color="000000" w:fill="000000"/>
                <w:fitText w:val="200" w:id="-1437438197"/>
                <w14:textFill>
                  <w14:solidFill>
                    <w14:srgbClr w14:val="000000">
                      <w14:alpha w14:val="100000"/>
                    </w14:srgbClr>
                  </w14:solidFill>
                </w14:textFill>
              </w:rPr>
              <w:t>|</w:t>
            </w:r>
            <w:r w:rsidR="00095B38">
              <w:rPr>
                <w:vertAlign w:val="superscript"/>
              </w:rPr>
              <w:t>1</w:t>
            </w:r>
            <w:r w:rsidR="001E779F" w:rsidRPr="00043FAA">
              <w:t xml:space="preserve">) </w:t>
            </w:r>
          </w:p>
          <w:p w14:paraId="56884301" w14:textId="2355E5A1" w:rsidR="00702761" w:rsidRPr="00043FAA" w:rsidRDefault="00702761" w:rsidP="007F7080">
            <w:pPr>
              <w:pStyle w:val="TableText0"/>
              <w:keepNext w:val="0"/>
              <w:widowControl w:val="0"/>
              <w:jc w:val="center"/>
            </w:pPr>
            <w:proofErr w:type="spellStart"/>
            <w:r w:rsidRPr="00043FAA">
              <w:t>Yr</w:t>
            </w:r>
            <w:proofErr w:type="spellEnd"/>
            <w:r w:rsidRPr="00043FAA">
              <w:t xml:space="preserve"> 5: </w:t>
            </w:r>
            <w:r w:rsidR="00204469" w:rsidRPr="00204469">
              <w:rPr>
                <w:color w:val="000000"/>
                <w:spacing w:val="194"/>
                <w:shd w:val="solid" w:color="000000" w:fill="000000"/>
                <w:fitText w:val="280" w:id="-1437438196"/>
                <w14:textFill>
                  <w14:solidFill>
                    <w14:srgbClr w14:val="000000">
                      <w14:alpha w14:val="100000"/>
                    </w14:srgbClr>
                  </w14:solidFill>
                </w14:textFill>
              </w:rPr>
              <w:t>|</w:t>
            </w:r>
            <w:r w:rsidR="00204469" w:rsidRPr="00204469">
              <w:rPr>
                <w:color w:val="000000"/>
                <w:shd w:val="solid" w:color="000000" w:fill="000000"/>
                <w:fitText w:val="280" w:id="-1437438196"/>
                <w14:textFill>
                  <w14:solidFill>
                    <w14:srgbClr w14:val="000000">
                      <w14:alpha w14:val="100000"/>
                    </w14:srgbClr>
                  </w14:solidFill>
                </w14:textFill>
              </w:rPr>
              <w:t>|</w:t>
            </w:r>
            <w:r w:rsidR="00095B38">
              <w:rPr>
                <w:vertAlign w:val="superscript"/>
              </w:rPr>
              <w:t>4</w:t>
            </w:r>
            <w:r w:rsidR="001E779F" w:rsidRPr="00043FAA">
              <w:t xml:space="preserve"> (</w:t>
            </w:r>
            <w:r w:rsidR="00204469" w:rsidRPr="00204469">
              <w:rPr>
                <w:iCs/>
                <w:color w:val="000000"/>
                <w:spacing w:val="114"/>
                <w:shd w:val="solid" w:color="000000" w:fill="000000"/>
                <w:fitText w:val="200" w:id="-1437438195"/>
                <w14:textFill>
                  <w14:solidFill>
                    <w14:srgbClr w14:val="000000">
                      <w14:alpha w14:val="100000"/>
                    </w14:srgbClr>
                  </w14:solidFill>
                </w14:textFill>
              </w:rPr>
              <w:t>|</w:t>
            </w:r>
            <w:r w:rsidR="00204469" w:rsidRPr="00204469">
              <w:rPr>
                <w:iCs/>
                <w:color w:val="000000"/>
                <w:shd w:val="solid" w:color="000000" w:fill="000000"/>
                <w:fitText w:val="200" w:id="-1437438195"/>
                <w14:textFill>
                  <w14:solidFill>
                    <w14:srgbClr w14:val="000000">
                      <w14:alpha w14:val="100000"/>
                    </w14:srgbClr>
                  </w14:solidFill>
                </w14:textFill>
              </w:rPr>
              <w:t>|</w:t>
            </w:r>
            <w:r w:rsidR="00095B38">
              <w:rPr>
                <w:vertAlign w:val="superscript"/>
              </w:rPr>
              <w:t>1</w:t>
            </w:r>
            <w:r w:rsidR="001E779F" w:rsidRPr="00043FAA">
              <w:t xml:space="preserve">) </w:t>
            </w:r>
          </w:p>
          <w:p w14:paraId="1704AB91" w14:textId="7292A320" w:rsidR="00702761" w:rsidRPr="00043FAA" w:rsidRDefault="00702761" w:rsidP="007F7080">
            <w:pPr>
              <w:pStyle w:val="TableText0"/>
              <w:keepNext w:val="0"/>
              <w:widowControl w:val="0"/>
              <w:jc w:val="center"/>
            </w:pPr>
            <w:proofErr w:type="spellStart"/>
            <w:r w:rsidRPr="00043FAA">
              <w:t>Yr</w:t>
            </w:r>
            <w:proofErr w:type="spellEnd"/>
            <w:r w:rsidRPr="00043FAA">
              <w:t xml:space="preserve"> 6: </w:t>
            </w:r>
            <w:r w:rsidR="00204469" w:rsidRPr="00204469">
              <w:rPr>
                <w:color w:val="000000"/>
                <w:spacing w:val="194"/>
                <w:shd w:val="solid" w:color="000000" w:fill="000000"/>
                <w:fitText w:val="280" w:id="-1437438194"/>
                <w14:textFill>
                  <w14:solidFill>
                    <w14:srgbClr w14:val="000000">
                      <w14:alpha w14:val="100000"/>
                    </w14:srgbClr>
                  </w14:solidFill>
                </w14:textFill>
              </w:rPr>
              <w:t>|</w:t>
            </w:r>
            <w:r w:rsidR="00204469" w:rsidRPr="00204469">
              <w:rPr>
                <w:color w:val="000000"/>
                <w:shd w:val="solid" w:color="000000" w:fill="000000"/>
                <w:fitText w:val="280" w:id="-1437438194"/>
                <w14:textFill>
                  <w14:solidFill>
                    <w14:srgbClr w14:val="000000">
                      <w14:alpha w14:val="100000"/>
                    </w14:srgbClr>
                  </w14:solidFill>
                </w14:textFill>
              </w:rPr>
              <w:t>|</w:t>
            </w:r>
            <w:r w:rsidR="00095B38">
              <w:rPr>
                <w:vertAlign w:val="superscript"/>
              </w:rPr>
              <w:t>4</w:t>
            </w:r>
            <w:r w:rsidR="001E779F" w:rsidRPr="00043FAA">
              <w:t xml:space="preserve"> (</w:t>
            </w:r>
            <w:r w:rsidR="00204469" w:rsidRPr="00204469">
              <w:rPr>
                <w:iCs/>
                <w:color w:val="000000"/>
                <w:spacing w:val="114"/>
                <w:shd w:val="solid" w:color="000000" w:fill="000000"/>
                <w:fitText w:val="200" w:id="-1437438193"/>
                <w14:textFill>
                  <w14:solidFill>
                    <w14:srgbClr w14:val="000000">
                      <w14:alpha w14:val="100000"/>
                    </w14:srgbClr>
                  </w14:solidFill>
                </w14:textFill>
              </w:rPr>
              <w:t>|</w:t>
            </w:r>
            <w:r w:rsidR="00204469" w:rsidRPr="00204469">
              <w:rPr>
                <w:iCs/>
                <w:color w:val="000000"/>
                <w:shd w:val="solid" w:color="000000" w:fill="000000"/>
                <w:fitText w:val="200" w:id="-1437438193"/>
                <w14:textFill>
                  <w14:solidFill>
                    <w14:srgbClr w14:val="000000">
                      <w14:alpha w14:val="100000"/>
                    </w14:srgbClr>
                  </w14:solidFill>
                </w14:textFill>
              </w:rPr>
              <w:t>|</w:t>
            </w:r>
            <w:r w:rsidR="00095B38">
              <w:rPr>
                <w:vertAlign w:val="superscript"/>
              </w:rPr>
              <w:t>1</w:t>
            </w:r>
            <w:r w:rsidR="001E779F" w:rsidRPr="00043FAA">
              <w:t xml:space="preserve">) </w:t>
            </w:r>
          </w:p>
        </w:tc>
        <w:tc>
          <w:tcPr>
            <w:tcW w:w="2807" w:type="dxa"/>
            <w:vAlign w:val="center"/>
          </w:tcPr>
          <w:p w14:paraId="29369552" w14:textId="2D40CE66" w:rsidR="00702761" w:rsidRPr="002663D8" w:rsidRDefault="00702761" w:rsidP="007F7080">
            <w:pPr>
              <w:pStyle w:val="TableText0"/>
              <w:keepNext w:val="0"/>
              <w:widowControl w:val="0"/>
            </w:pPr>
            <w:r w:rsidRPr="002663D8">
              <w:t>Predicted scripts based on the historical data</w:t>
            </w:r>
          </w:p>
        </w:tc>
        <w:tc>
          <w:tcPr>
            <w:tcW w:w="2976" w:type="dxa"/>
            <w:vMerge/>
            <w:vAlign w:val="center"/>
          </w:tcPr>
          <w:p w14:paraId="2E0B34BF" w14:textId="77777777" w:rsidR="00702761" w:rsidRPr="002663D8" w:rsidRDefault="00702761" w:rsidP="007F7080">
            <w:pPr>
              <w:pStyle w:val="TableText0"/>
              <w:keepNext w:val="0"/>
              <w:widowControl w:val="0"/>
              <w:rPr>
                <w:iCs/>
              </w:rPr>
            </w:pPr>
          </w:p>
        </w:tc>
      </w:tr>
      <w:tr w:rsidR="00067771" w:rsidRPr="0040247D" w14:paraId="60A22043" w14:textId="77777777" w:rsidTr="00552D3C">
        <w:tc>
          <w:tcPr>
            <w:tcW w:w="9180" w:type="dxa"/>
            <w:gridSpan w:val="4"/>
            <w:vAlign w:val="center"/>
          </w:tcPr>
          <w:p w14:paraId="311A7FB5" w14:textId="5D1B6C71" w:rsidR="003D71E2" w:rsidRPr="0040247D" w:rsidRDefault="003D71E2" w:rsidP="007F7080">
            <w:pPr>
              <w:pStyle w:val="TableText0"/>
              <w:keepNext w:val="0"/>
              <w:widowControl w:val="0"/>
              <w:rPr>
                <w:b/>
              </w:rPr>
            </w:pPr>
            <w:r w:rsidRPr="0040247D">
              <w:rPr>
                <w:b/>
              </w:rPr>
              <w:t>Costs</w:t>
            </w:r>
          </w:p>
        </w:tc>
      </w:tr>
      <w:tr w:rsidR="00067771" w:rsidRPr="0040247D" w14:paraId="5CD41AA8" w14:textId="77777777" w:rsidTr="00552D3C">
        <w:tc>
          <w:tcPr>
            <w:tcW w:w="1696" w:type="dxa"/>
            <w:vAlign w:val="center"/>
          </w:tcPr>
          <w:p w14:paraId="46BC9E8E" w14:textId="77777777" w:rsidR="003D71E2" w:rsidRPr="0040247D" w:rsidRDefault="003D71E2" w:rsidP="007F7080">
            <w:pPr>
              <w:pStyle w:val="TableText0"/>
              <w:keepNext w:val="0"/>
              <w:widowControl w:val="0"/>
            </w:pPr>
            <w:proofErr w:type="spellStart"/>
            <w:r w:rsidRPr="0040247D">
              <w:t>Eligard</w:t>
            </w:r>
            <w:proofErr w:type="spellEnd"/>
            <w:r w:rsidRPr="0040247D">
              <w:t xml:space="preserve"> </w:t>
            </w:r>
            <w:proofErr w:type="gramStart"/>
            <w:r w:rsidRPr="0040247D">
              <w:t>6 month</w:t>
            </w:r>
            <w:proofErr w:type="gramEnd"/>
            <w:r w:rsidRPr="0040247D">
              <w:t xml:space="preserve"> AEMP</w:t>
            </w:r>
          </w:p>
        </w:tc>
        <w:tc>
          <w:tcPr>
            <w:tcW w:w="1701" w:type="dxa"/>
            <w:vAlign w:val="center"/>
          </w:tcPr>
          <w:p w14:paraId="4D1B7CDC" w14:textId="77777777" w:rsidR="003D71E2" w:rsidRPr="0040247D" w:rsidRDefault="003D71E2" w:rsidP="007F7080">
            <w:pPr>
              <w:pStyle w:val="TableText0"/>
              <w:keepNext w:val="0"/>
              <w:widowControl w:val="0"/>
              <w:jc w:val="center"/>
            </w:pPr>
            <w:r w:rsidRPr="0040247D">
              <w:t>$1,606.32</w:t>
            </w:r>
          </w:p>
        </w:tc>
        <w:tc>
          <w:tcPr>
            <w:tcW w:w="2807" w:type="dxa"/>
            <w:vMerge w:val="restart"/>
            <w:vAlign w:val="center"/>
          </w:tcPr>
          <w:p w14:paraId="3291E481" w14:textId="77777777" w:rsidR="003D71E2" w:rsidRPr="0040247D" w:rsidRDefault="003D71E2" w:rsidP="007F7080">
            <w:pPr>
              <w:pStyle w:val="TableText0"/>
              <w:keepNext w:val="0"/>
              <w:widowControl w:val="0"/>
            </w:pPr>
            <w:r w:rsidRPr="0040247D">
              <w:t>Requested price</w:t>
            </w:r>
          </w:p>
        </w:tc>
        <w:tc>
          <w:tcPr>
            <w:tcW w:w="2976" w:type="dxa"/>
            <w:vMerge w:val="restart"/>
            <w:vAlign w:val="center"/>
          </w:tcPr>
          <w:p w14:paraId="21F807E0" w14:textId="77777777" w:rsidR="003D71E2" w:rsidRPr="009314D5" w:rsidRDefault="003D71E2" w:rsidP="007F7080">
            <w:pPr>
              <w:pStyle w:val="TableText0"/>
              <w:keepNext w:val="0"/>
              <w:widowControl w:val="0"/>
            </w:pPr>
            <w:r w:rsidRPr="009314D5">
              <w:t xml:space="preserve">Checked. </w:t>
            </w:r>
          </w:p>
          <w:p w14:paraId="4352DC24" w14:textId="7EB1EB2B" w:rsidR="003D71E2" w:rsidRPr="0040247D" w:rsidRDefault="003D71E2" w:rsidP="007F7080">
            <w:pPr>
              <w:pStyle w:val="TableText0"/>
              <w:keepNext w:val="0"/>
              <w:widowControl w:val="0"/>
              <w:rPr>
                <w:i/>
                <w:iCs/>
              </w:rPr>
            </w:pPr>
            <w:r w:rsidRPr="009314D5">
              <w:t xml:space="preserve">Consistent </w:t>
            </w:r>
            <w:r w:rsidR="004A481B" w:rsidRPr="009314D5">
              <w:t>with the Background section (above)</w:t>
            </w:r>
          </w:p>
        </w:tc>
      </w:tr>
      <w:tr w:rsidR="00067771" w:rsidRPr="0040247D" w14:paraId="155A6DD0" w14:textId="77777777" w:rsidTr="00552D3C">
        <w:tc>
          <w:tcPr>
            <w:tcW w:w="1696" w:type="dxa"/>
            <w:vAlign w:val="center"/>
          </w:tcPr>
          <w:p w14:paraId="500F871B" w14:textId="77777777" w:rsidR="003D71E2" w:rsidRPr="0040247D" w:rsidRDefault="003D71E2" w:rsidP="007F7080">
            <w:pPr>
              <w:pStyle w:val="TableText0"/>
              <w:keepNext w:val="0"/>
              <w:widowControl w:val="0"/>
            </w:pPr>
            <w:proofErr w:type="spellStart"/>
            <w:r w:rsidRPr="0040247D">
              <w:t>Eligard</w:t>
            </w:r>
            <w:proofErr w:type="spellEnd"/>
            <w:r w:rsidRPr="0040247D">
              <w:t xml:space="preserve"> </w:t>
            </w:r>
            <w:proofErr w:type="gramStart"/>
            <w:r w:rsidRPr="0040247D">
              <w:t>6 month</w:t>
            </w:r>
            <w:proofErr w:type="gramEnd"/>
            <w:r w:rsidRPr="0040247D">
              <w:t xml:space="preserve"> DPMQ</w:t>
            </w:r>
          </w:p>
        </w:tc>
        <w:tc>
          <w:tcPr>
            <w:tcW w:w="1701" w:type="dxa"/>
            <w:vAlign w:val="center"/>
          </w:tcPr>
          <w:p w14:paraId="7EBEFC1C" w14:textId="77777777" w:rsidR="003D71E2" w:rsidRPr="0040247D" w:rsidRDefault="003D71E2" w:rsidP="007F7080">
            <w:pPr>
              <w:pStyle w:val="TableText0"/>
              <w:keepNext w:val="0"/>
              <w:widowControl w:val="0"/>
              <w:jc w:val="center"/>
            </w:pPr>
            <w:r w:rsidRPr="0040247D">
              <w:t>$1,750.56</w:t>
            </w:r>
          </w:p>
        </w:tc>
        <w:tc>
          <w:tcPr>
            <w:tcW w:w="2807" w:type="dxa"/>
            <w:vMerge/>
            <w:vAlign w:val="center"/>
          </w:tcPr>
          <w:p w14:paraId="7FDAAE30" w14:textId="77777777" w:rsidR="003D71E2" w:rsidRPr="0040247D" w:rsidRDefault="003D71E2" w:rsidP="007F7080">
            <w:pPr>
              <w:pStyle w:val="TableText0"/>
              <w:keepNext w:val="0"/>
              <w:widowControl w:val="0"/>
            </w:pPr>
          </w:p>
        </w:tc>
        <w:tc>
          <w:tcPr>
            <w:tcW w:w="2976" w:type="dxa"/>
            <w:vMerge/>
            <w:vAlign w:val="center"/>
          </w:tcPr>
          <w:p w14:paraId="0359568F" w14:textId="77777777" w:rsidR="003D71E2" w:rsidRPr="0040247D" w:rsidRDefault="003D71E2" w:rsidP="007F7080">
            <w:pPr>
              <w:pStyle w:val="TableText0"/>
              <w:keepNext w:val="0"/>
              <w:widowControl w:val="0"/>
            </w:pPr>
          </w:p>
        </w:tc>
      </w:tr>
      <w:tr w:rsidR="00067771" w:rsidRPr="0040247D" w14:paraId="55E286F3" w14:textId="77777777" w:rsidTr="00552D3C">
        <w:tc>
          <w:tcPr>
            <w:tcW w:w="1696" w:type="dxa"/>
            <w:vAlign w:val="center"/>
          </w:tcPr>
          <w:p w14:paraId="49339170" w14:textId="77777777" w:rsidR="003D71E2" w:rsidRPr="0040247D" w:rsidRDefault="003D71E2" w:rsidP="007F7080">
            <w:pPr>
              <w:pStyle w:val="TableText0"/>
              <w:keepNext w:val="0"/>
              <w:widowControl w:val="0"/>
            </w:pPr>
            <w:r w:rsidRPr="0040247D">
              <w:t xml:space="preserve">Leuprorelin 30mg AEMP </w:t>
            </w:r>
          </w:p>
        </w:tc>
        <w:tc>
          <w:tcPr>
            <w:tcW w:w="1701" w:type="dxa"/>
            <w:vAlign w:val="center"/>
          </w:tcPr>
          <w:p w14:paraId="153DC874" w14:textId="77777777" w:rsidR="003D71E2" w:rsidRPr="0040247D" w:rsidRDefault="003D71E2" w:rsidP="007F7080">
            <w:pPr>
              <w:pStyle w:val="TableText0"/>
              <w:keepNext w:val="0"/>
              <w:widowControl w:val="0"/>
              <w:jc w:val="center"/>
            </w:pPr>
            <w:r w:rsidRPr="0040247D">
              <w:t>$</w:t>
            </w:r>
            <w:r w:rsidRPr="00FB68EE">
              <w:t>1,071.68</w:t>
            </w:r>
          </w:p>
          <w:p w14:paraId="5A5F5D76" w14:textId="0A97C49D" w:rsidR="00C351FB" w:rsidRPr="0040247D" w:rsidRDefault="00C351FB" w:rsidP="007F7080">
            <w:pPr>
              <w:pStyle w:val="TableText0"/>
              <w:keepNext w:val="0"/>
              <w:widowControl w:val="0"/>
              <w:jc w:val="center"/>
            </w:pPr>
            <w:r w:rsidRPr="0040247D">
              <w:t>(</w:t>
            </w:r>
            <w:r w:rsidR="00926C97" w:rsidRPr="0040247D">
              <w:t>$</w:t>
            </w:r>
            <w:r w:rsidR="00926C97" w:rsidRPr="0040247D">
              <w:rPr>
                <w:i/>
                <w:iCs/>
              </w:rPr>
              <w:t>845.46</w:t>
            </w:r>
            <w:r w:rsidRPr="0040247D">
              <w:t>)</w:t>
            </w:r>
          </w:p>
        </w:tc>
        <w:tc>
          <w:tcPr>
            <w:tcW w:w="2807" w:type="dxa"/>
            <w:vMerge w:val="restart"/>
            <w:vAlign w:val="center"/>
          </w:tcPr>
          <w:p w14:paraId="179167AA" w14:textId="77777777" w:rsidR="003D71E2" w:rsidRPr="0040247D" w:rsidRDefault="003D71E2" w:rsidP="007F7080">
            <w:pPr>
              <w:pStyle w:val="TableText0"/>
              <w:keepNext w:val="0"/>
              <w:widowControl w:val="0"/>
            </w:pPr>
            <w:r w:rsidRPr="0040247D">
              <w:t>PBS items: 11960L, 11944P</w:t>
            </w:r>
          </w:p>
        </w:tc>
        <w:tc>
          <w:tcPr>
            <w:tcW w:w="2976" w:type="dxa"/>
            <w:vMerge w:val="restart"/>
            <w:vAlign w:val="center"/>
          </w:tcPr>
          <w:p w14:paraId="6DA0545A" w14:textId="4BCA86D9" w:rsidR="00120D5A" w:rsidRPr="009314D5" w:rsidRDefault="002B4FCF" w:rsidP="007F7080">
            <w:pPr>
              <w:pStyle w:val="TableText0"/>
              <w:keepNext w:val="0"/>
              <w:widowControl w:val="0"/>
            </w:pPr>
            <w:proofErr w:type="spellStart"/>
            <w:r w:rsidRPr="009314D5">
              <w:t>Lucrin</w:t>
            </w:r>
            <w:proofErr w:type="spellEnd"/>
            <w:r w:rsidRPr="009314D5">
              <w:t xml:space="preserve"> Paediatric</w:t>
            </w:r>
            <w:r w:rsidR="003D71E2" w:rsidRPr="009314D5">
              <w:t xml:space="preserve"> was subject to a price reduction on 1 February 2022. </w:t>
            </w:r>
          </w:p>
          <w:p w14:paraId="7F614632" w14:textId="77777777" w:rsidR="00120D5A" w:rsidRPr="009314D5" w:rsidRDefault="00120D5A" w:rsidP="007F7080">
            <w:pPr>
              <w:pStyle w:val="TableText0"/>
              <w:keepNext w:val="0"/>
              <w:widowControl w:val="0"/>
            </w:pPr>
          </w:p>
          <w:p w14:paraId="40429889" w14:textId="6EC74EA1" w:rsidR="003D71E2" w:rsidRPr="0040247D" w:rsidRDefault="003D71E2" w:rsidP="007F7080">
            <w:pPr>
              <w:pStyle w:val="TableText0"/>
              <w:keepNext w:val="0"/>
              <w:widowControl w:val="0"/>
              <w:rPr>
                <w:i/>
                <w:iCs/>
              </w:rPr>
            </w:pPr>
            <w:r w:rsidRPr="009314D5">
              <w:t xml:space="preserve">The DPMQ is $951.64 listed on </w:t>
            </w:r>
            <w:r w:rsidR="00120D5A" w:rsidRPr="009314D5">
              <w:t xml:space="preserve">the </w:t>
            </w:r>
            <w:r w:rsidRPr="009314D5">
              <w:t>PBS</w:t>
            </w:r>
            <w:r w:rsidR="00120D5A" w:rsidRPr="009314D5">
              <w:t xml:space="preserve"> (or AEMP = </w:t>
            </w:r>
            <w:r w:rsidR="001E779F" w:rsidRPr="009314D5">
              <w:t>845.46)</w:t>
            </w:r>
          </w:p>
        </w:tc>
      </w:tr>
      <w:tr w:rsidR="00067771" w:rsidRPr="0040247D" w14:paraId="61868697" w14:textId="77777777" w:rsidTr="00552D3C">
        <w:tc>
          <w:tcPr>
            <w:tcW w:w="1696" w:type="dxa"/>
            <w:vAlign w:val="center"/>
          </w:tcPr>
          <w:p w14:paraId="6E60078B" w14:textId="6F20563E" w:rsidR="003D71E2" w:rsidRPr="0040247D" w:rsidRDefault="003D71E2" w:rsidP="007F7080">
            <w:pPr>
              <w:pStyle w:val="TableText0"/>
              <w:keepNext w:val="0"/>
              <w:widowControl w:val="0"/>
            </w:pPr>
            <w:r w:rsidRPr="0040247D">
              <w:t>Leuprorelin 30mg DPMQ</w:t>
            </w:r>
          </w:p>
        </w:tc>
        <w:tc>
          <w:tcPr>
            <w:tcW w:w="1701" w:type="dxa"/>
            <w:vAlign w:val="center"/>
          </w:tcPr>
          <w:p w14:paraId="05B1208C" w14:textId="77777777" w:rsidR="003D71E2" w:rsidRPr="0040247D" w:rsidRDefault="003D71E2" w:rsidP="007F7080">
            <w:pPr>
              <w:pStyle w:val="TableText0"/>
              <w:keepNext w:val="0"/>
              <w:widowControl w:val="0"/>
              <w:jc w:val="center"/>
            </w:pPr>
            <w:r w:rsidRPr="0040247D">
              <w:t>$</w:t>
            </w:r>
            <w:r w:rsidRPr="00FB68EE">
              <w:t>1,186.76</w:t>
            </w:r>
          </w:p>
          <w:p w14:paraId="750E5595" w14:textId="46998E1F" w:rsidR="00C351FB" w:rsidRPr="0040247D" w:rsidRDefault="00C351FB" w:rsidP="007F7080">
            <w:pPr>
              <w:pStyle w:val="TableText0"/>
              <w:keepNext w:val="0"/>
              <w:widowControl w:val="0"/>
              <w:jc w:val="center"/>
              <w:rPr>
                <w:i/>
                <w:iCs/>
              </w:rPr>
            </w:pPr>
            <w:r w:rsidRPr="0040247D">
              <w:rPr>
                <w:i/>
                <w:iCs/>
              </w:rPr>
              <w:t>(</w:t>
            </w:r>
            <w:r w:rsidR="00926C97" w:rsidRPr="0040247D">
              <w:rPr>
                <w:i/>
                <w:iCs/>
              </w:rPr>
              <w:t>$951.64</w:t>
            </w:r>
            <w:r w:rsidRPr="0040247D">
              <w:rPr>
                <w:i/>
                <w:iCs/>
              </w:rPr>
              <w:t>)</w:t>
            </w:r>
          </w:p>
        </w:tc>
        <w:tc>
          <w:tcPr>
            <w:tcW w:w="2807" w:type="dxa"/>
            <w:vMerge/>
            <w:vAlign w:val="center"/>
          </w:tcPr>
          <w:p w14:paraId="41F61929" w14:textId="77777777" w:rsidR="003D71E2" w:rsidRPr="0040247D" w:rsidRDefault="003D71E2" w:rsidP="007F7080">
            <w:pPr>
              <w:pStyle w:val="TableText0"/>
              <w:keepNext w:val="0"/>
              <w:widowControl w:val="0"/>
            </w:pPr>
          </w:p>
        </w:tc>
        <w:tc>
          <w:tcPr>
            <w:tcW w:w="2976" w:type="dxa"/>
            <w:vMerge/>
            <w:vAlign w:val="center"/>
          </w:tcPr>
          <w:p w14:paraId="19300041" w14:textId="77777777" w:rsidR="003D71E2" w:rsidRPr="0040247D" w:rsidRDefault="003D71E2" w:rsidP="007F7080">
            <w:pPr>
              <w:pStyle w:val="TableText0"/>
              <w:keepNext w:val="0"/>
              <w:widowControl w:val="0"/>
            </w:pPr>
          </w:p>
        </w:tc>
      </w:tr>
    </w:tbl>
    <w:p w14:paraId="55863431" w14:textId="011E47E8" w:rsidR="002767A8" w:rsidRPr="009314D5" w:rsidRDefault="002767A8" w:rsidP="007F7080">
      <w:pPr>
        <w:pStyle w:val="TableFigureFooter"/>
        <w:widowControl w:val="0"/>
      </w:pPr>
      <w:r w:rsidRPr="0040247D">
        <w:t>Source: Financial estimate spreadsheet of submission, ‘</w:t>
      </w:r>
      <w:proofErr w:type="spellStart"/>
      <w:r w:rsidRPr="0040247D">
        <w:t>Eligard</w:t>
      </w:r>
      <w:proofErr w:type="spellEnd"/>
      <w:r w:rsidRPr="0040247D">
        <w:t xml:space="preserve"> - Leuprorelin - CPP - Financial Estimates - Base Case - 28 Feb 2022’ </w:t>
      </w:r>
      <w:r w:rsidRPr="009314D5">
        <w:t xml:space="preserve">and during the evaluation </w:t>
      </w:r>
    </w:p>
    <w:p w14:paraId="01B94A67" w14:textId="05B7C9D6" w:rsidR="00554B48" w:rsidRPr="0040247D" w:rsidRDefault="00554B48" w:rsidP="007F7080">
      <w:pPr>
        <w:pStyle w:val="TableFigureFooter"/>
        <w:widowControl w:val="0"/>
      </w:pPr>
      <w:r w:rsidRPr="0040247D">
        <w:t xml:space="preserve">(a) The submission </w:t>
      </w:r>
      <w:r w:rsidR="004A481B" w:rsidRPr="0040247D">
        <w:t xml:space="preserve">estimated the number of scripts for the period 2022-2027 (in the excel file) but did not use them </w:t>
      </w:r>
      <w:r w:rsidRPr="0040247D">
        <w:t xml:space="preserve">as inputs for the market growth rate. </w:t>
      </w:r>
      <w:r w:rsidR="004A481B" w:rsidRPr="0040247D">
        <w:t>Instead, they recalculated the scripts and referred to the incorrect number of scripts for 2020 (see below)</w:t>
      </w:r>
    </w:p>
    <w:p w14:paraId="4D458B72" w14:textId="0E4A3C1A" w:rsidR="00042399" w:rsidRDefault="00042399" w:rsidP="00C51E46">
      <w:pPr>
        <w:pStyle w:val="TableFigureFooter"/>
        <w:widowControl w:val="0"/>
        <w:spacing w:after="0"/>
      </w:pPr>
      <w:r w:rsidRPr="0040247D">
        <w:t xml:space="preserve">(b) Numbers in brackets and in italic are corrected during the evaluation.  </w:t>
      </w:r>
    </w:p>
    <w:p w14:paraId="190689A2" w14:textId="77777777" w:rsidR="00C51E46" w:rsidRPr="009A6D58" w:rsidRDefault="00C51E46" w:rsidP="00C51E4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8687ECC" w14:textId="77777777" w:rsidR="00C51E46" w:rsidRPr="00C51E46" w:rsidRDefault="00C51E46" w:rsidP="00C51E46">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51E46">
        <w:rPr>
          <w:rFonts w:ascii="Arial Narrow" w:hAnsi="Arial Narrow"/>
          <w:i/>
          <w:sz w:val="18"/>
          <w:szCs w:val="18"/>
        </w:rPr>
        <w:t>500 to &lt; 5,000</w:t>
      </w:r>
    </w:p>
    <w:p w14:paraId="25D68096" w14:textId="3F62046D" w:rsidR="00C51E46" w:rsidRPr="009A6D58" w:rsidRDefault="00C51E46" w:rsidP="00C51E46">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51E46">
        <w:rPr>
          <w:rFonts w:ascii="Arial Narrow" w:hAnsi="Arial Narrow"/>
          <w:i/>
          <w:sz w:val="18"/>
          <w:szCs w:val="18"/>
        </w:rPr>
        <w:t>5,000 to &lt; 10,000</w:t>
      </w:r>
    </w:p>
    <w:p w14:paraId="310FB4DD" w14:textId="08316E24" w:rsidR="00C51E46" w:rsidRDefault="00C51E46" w:rsidP="00C51E46">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C51E46">
        <w:rPr>
          <w:rFonts w:ascii="Arial Narrow" w:hAnsi="Arial Narrow"/>
          <w:i/>
          <w:sz w:val="18"/>
          <w:szCs w:val="18"/>
        </w:rPr>
        <w:t>10,000 to &lt; 20,000</w:t>
      </w:r>
    </w:p>
    <w:p w14:paraId="429A48DE" w14:textId="7FF08854" w:rsidR="00C51E46" w:rsidRDefault="00C51E46" w:rsidP="00C51E46">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&lt; 500</w:t>
      </w:r>
    </w:p>
    <w:p w14:paraId="50F07ACD" w14:textId="77777777" w:rsidR="00C51E46" w:rsidRPr="0040247D" w:rsidRDefault="00C51E46" w:rsidP="007F7080">
      <w:pPr>
        <w:pStyle w:val="TableFigureFooter"/>
        <w:widowControl w:val="0"/>
      </w:pPr>
    </w:p>
    <w:bookmarkEnd w:id="36"/>
    <w:p w14:paraId="5D6C7EF6" w14:textId="4480C46D" w:rsidR="00370BE5" w:rsidRPr="00DB490D" w:rsidRDefault="00B25831" w:rsidP="0055154C">
      <w:pPr>
        <w:pStyle w:val="3-BodyText"/>
        <w:widowControl w:val="0"/>
        <w:ind w:left="709"/>
        <w:rPr>
          <w:iCs/>
        </w:rPr>
      </w:pPr>
      <w:r w:rsidRPr="0040247D">
        <w:t xml:space="preserve">The submission </w:t>
      </w:r>
      <w:r w:rsidR="0046761F" w:rsidRPr="0040247D">
        <w:t xml:space="preserve">estimated </w:t>
      </w:r>
      <w:r w:rsidR="00120D5A" w:rsidRPr="0040247D">
        <w:t xml:space="preserve">the </w:t>
      </w:r>
      <w:r w:rsidR="0046761F" w:rsidRPr="0040247D">
        <w:t xml:space="preserve">market growth using </w:t>
      </w:r>
      <w:r w:rsidR="00120D5A" w:rsidRPr="0040247D">
        <w:t xml:space="preserve">the </w:t>
      </w:r>
      <w:r w:rsidR="0046761F" w:rsidRPr="0040247D">
        <w:t xml:space="preserve">historical data from 2016 to 2021, </w:t>
      </w:r>
      <w:r w:rsidRPr="00DB490D">
        <w:rPr>
          <w:iCs/>
        </w:rPr>
        <w:t xml:space="preserve">which </w:t>
      </w:r>
      <w:r w:rsidR="00DC0CB4" w:rsidRPr="00DB490D">
        <w:rPr>
          <w:iCs/>
        </w:rPr>
        <w:t xml:space="preserve">was </w:t>
      </w:r>
      <w:r w:rsidRPr="00DB490D">
        <w:rPr>
          <w:iCs/>
        </w:rPr>
        <w:t>reasonable.</w:t>
      </w:r>
      <w:r w:rsidRPr="0040247D">
        <w:t xml:space="preserve"> </w:t>
      </w:r>
      <w:r w:rsidR="0046761F" w:rsidRPr="009314D5">
        <w:t xml:space="preserve">However, the submission made </w:t>
      </w:r>
      <w:r w:rsidR="00E52CEF" w:rsidRPr="009314D5">
        <w:t>several</w:t>
      </w:r>
      <w:r w:rsidR="0046761F" w:rsidRPr="009314D5">
        <w:t xml:space="preserve"> calculation errors</w:t>
      </w:r>
      <w:r w:rsidR="00CC7F5F" w:rsidRPr="009314D5">
        <w:t xml:space="preserve"> for the script estimates</w:t>
      </w:r>
      <w:r w:rsidR="00546211" w:rsidRPr="009314D5">
        <w:t>:</w:t>
      </w:r>
      <w:r w:rsidR="00546211" w:rsidRPr="00DB490D">
        <w:rPr>
          <w:iCs/>
        </w:rPr>
        <w:t xml:space="preserve">  </w:t>
      </w:r>
      <w:r w:rsidR="00CC7F5F" w:rsidRPr="00DB490D">
        <w:rPr>
          <w:iCs/>
        </w:rPr>
        <w:t xml:space="preserve"> </w:t>
      </w:r>
    </w:p>
    <w:p w14:paraId="45F8CD8D" w14:textId="71E7AC6A" w:rsidR="0046761F" w:rsidRPr="009314D5" w:rsidRDefault="0046761F" w:rsidP="0055154C">
      <w:pPr>
        <w:pStyle w:val="3-BodyText"/>
        <w:widowControl w:val="0"/>
        <w:numPr>
          <w:ilvl w:val="0"/>
          <w:numId w:val="25"/>
        </w:numPr>
      </w:pPr>
      <w:r w:rsidRPr="009314D5">
        <w:t>The average market growth per year for the period 2016-2020 was calculated using only two data point</w:t>
      </w:r>
      <w:r w:rsidR="00CE7E43" w:rsidRPr="009314D5">
        <w:t>s</w:t>
      </w:r>
      <w:r w:rsidRPr="009314D5">
        <w:t xml:space="preserve"> (scripts of 2016 and 2020)</w:t>
      </w:r>
      <w:r w:rsidR="00666EAE" w:rsidRPr="009314D5">
        <w:t xml:space="preserve">, instead of </w:t>
      </w:r>
      <w:r w:rsidR="00120D5A" w:rsidRPr="009314D5">
        <w:t>utilising scripts number</w:t>
      </w:r>
      <w:r w:rsidR="00AE473E" w:rsidRPr="009314D5">
        <w:t>s</w:t>
      </w:r>
      <w:r w:rsidR="00120D5A" w:rsidRPr="009314D5">
        <w:t xml:space="preserve"> </w:t>
      </w:r>
      <w:r w:rsidR="00AE473E" w:rsidRPr="009314D5">
        <w:t>for</w:t>
      </w:r>
      <w:r w:rsidR="00120D5A" w:rsidRPr="009314D5">
        <w:t xml:space="preserve"> each of the year</w:t>
      </w:r>
      <w:r w:rsidR="00AE473E" w:rsidRPr="009314D5">
        <w:t>s</w:t>
      </w:r>
      <w:r w:rsidR="00120D5A" w:rsidRPr="009314D5">
        <w:t xml:space="preserve"> to calculate the </w:t>
      </w:r>
      <w:r w:rsidR="00666EAE" w:rsidRPr="009314D5">
        <w:t xml:space="preserve">annual growth rate and then the </w:t>
      </w:r>
      <w:r w:rsidR="00666EAE" w:rsidRPr="009314D5">
        <w:lastRenderedPageBreak/>
        <w:t xml:space="preserve">average </w:t>
      </w:r>
      <w:r w:rsidR="00120D5A" w:rsidRPr="009314D5">
        <w:t xml:space="preserve">for </w:t>
      </w:r>
      <w:r w:rsidR="00666EAE" w:rsidRPr="009314D5">
        <w:t>the period.</w:t>
      </w:r>
    </w:p>
    <w:p w14:paraId="17CC114C" w14:textId="285DD655" w:rsidR="00666EAE" w:rsidRPr="009314D5" w:rsidRDefault="00666EAE" w:rsidP="0055154C">
      <w:pPr>
        <w:pStyle w:val="3-BodyText"/>
        <w:widowControl w:val="0"/>
        <w:numPr>
          <w:ilvl w:val="0"/>
          <w:numId w:val="25"/>
        </w:numPr>
      </w:pPr>
      <w:r w:rsidRPr="009314D5">
        <w:t xml:space="preserve">The more accepted method </w:t>
      </w:r>
      <w:r w:rsidR="00744F5D" w:rsidRPr="009314D5">
        <w:t xml:space="preserve">for </w:t>
      </w:r>
      <w:r w:rsidRPr="009314D5">
        <w:t xml:space="preserve">calculating market growth </w:t>
      </w:r>
      <w:r w:rsidR="00120D5A" w:rsidRPr="009314D5">
        <w:t xml:space="preserve">is </w:t>
      </w:r>
      <w:r w:rsidRPr="009314D5">
        <w:t xml:space="preserve">fitting a regression </w:t>
      </w:r>
      <w:r w:rsidR="00AE473E" w:rsidRPr="009314D5">
        <w:t xml:space="preserve">line </w:t>
      </w:r>
      <w:r w:rsidRPr="009314D5">
        <w:t>over the historical data and us</w:t>
      </w:r>
      <w:r w:rsidR="00744F5D" w:rsidRPr="009314D5">
        <w:t>ing</w:t>
      </w:r>
      <w:r w:rsidRPr="009314D5">
        <w:t xml:space="preserve"> the estimates to predict the future market. Using this method, the predicted number of scripts </w:t>
      </w:r>
      <w:r w:rsidR="00642EDB" w:rsidRPr="009314D5">
        <w:t>was</w:t>
      </w:r>
      <w:r w:rsidRPr="009314D5">
        <w:t xml:space="preserve"> substantially smaller</w:t>
      </w:r>
      <w:r w:rsidR="0091799D" w:rsidRPr="009314D5">
        <w:t xml:space="preserve">, e.g., the forecasting at year 6 (or 2027) using the regression-based method was approximately 50% of the year 6 estimates used in the submission.  </w:t>
      </w:r>
    </w:p>
    <w:p w14:paraId="31779223" w14:textId="7638E899" w:rsidR="00546211" w:rsidRPr="009314D5" w:rsidRDefault="00CC7F5F" w:rsidP="0055154C">
      <w:pPr>
        <w:pStyle w:val="3-BodyText"/>
        <w:widowControl w:val="0"/>
        <w:numPr>
          <w:ilvl w:val="0"/>
          <w:numId w:val="25"/>
        </w:numPr>
      </w:pPr>
      <w:r w:rsidRPr="009314D5">
        <w:t>For the financial year</w:t>
      </w:r>
      <w:r w:rsidR="00DC0CB4" w:rsidRPr="009314D5">
        <w:t xml:space="preserve"> of</w:t>
      </w:r>
      <w:r w:rsidRPr="009314D5">
        <w:t xml:space="preserve"> 2021, the submission used the </w:t>
      </w:r>
      <w:proofErr w:type="spellStart"/>
      <w:r w:rsidR="002B4FCF" w:rsidRPr="009314D5">
        <w:t>Lucrin</w:t>
      </w:r>
      <w:proofErr w:type="spellEnd"/>
      <w:r w:rsidR="002B4FCF" w:rsidRPr="009314D5">
        <w:t xml:space="preserve"> Paediatric</w:t>
      </w:r>
      <w:r w:rsidR="00691ACA" w:rsidRPr="009314D5">
        <w:t xml:space="preserve"> </w:t>
      </w:r>
      <w:r w:rsidRPr="009314D5">
        <w:t>scripts for 2020 and only for two PBS items of 11944P and 11960L. However, the total of scripts should include PBS items of 10268T (initiation) and 10255R (continuation). The correct (estimated) total of script</w:t>
      </w:r>
      <w:r w:rsidR="006040A2" w:rsidRPr="009314D5">
        <w:t>s</w:t>
      </w:r>
      <w:r w:rsidRPr="009314D5">
        <w:t xml:space="preserve"> for the financial year </w:t>
      </w:r>
      <w:r w:rsidR="00DC0CB4" w:rsidRPr="009314D5">
        <w:t xml:space="preserve">of </w:t>
      </w:r>
      <w:r w:rsidRPr="009314D5">
        <w:t xml:space="preserve">2021 should be </w:t>
      </w:r>
      <w:r w:rsidR="006040A2" w:rsidRPr="009314D5">
        <w:t>1</w:t>
      </w:r>
      <w:r w:rsidR="00DC0CB4" w:rsidRPr="009314D5">
        <w:t>,</w:t>
      </w:r>
      <w:r w:rsidR="006040A2" w:rsidRPr="009314D5">
        <w:t xml:space="preserve">206 </w:t>
      </w:r>
      <w:r w:rsidRPr="009314D5">
        <w:t xml:space="preserve">(initiation) and </w:t>
      </w:r>
      <w:r w:rsidR="006040A2" w:rsidRPr="009314D5">
        <w:t>1</w:t>
      </w:r>
      <w:r w:rsidR="00DC0CB4" w:rsidRPr="009314D5">
        <w:t>,</w:t>
      </w:r>
      <w:r w:rsidR="006040A2" w:rsidRPr="009314D5">
        <w:t xml:space="preserve">895 </w:t>
      </w:r>
      <w:r w:rsidRPr="009314D5">
        <w:t>(continuation)</w:t>
      </w:r>
      <w:r w:rsidR="006040A2" w:rsidRPr="009314D5">
        <w:t>, rather than 552 (initiation) and 859 (continuation) used in the submission</w:t>
      </w:r>
      <w:r w:rsidRPr="009314D5">
        <w:t xml:space="preserve">. </w:t>
      </w:r>
      <w:r w:rsidR="00893EE5" w:rsidRPr="009314D5">
        <w:t xml:space="preserve">Due to this error, the submission underestimated the number of scripts for </w:t>
      </w:r>
      <w:proofErr w:type="spellStart"/>
      <w:r w:rsidR="00893EE5" w:rsidRPr="009314D5">
        <w:t>Eligard</w:t>
      </w:r>
      <w:proofErr w:type="spellEnd"/>
      <w:r w:rsidR="00893EE5" w:rsidRPr="009314D5">
        <w:t xml:space="preserve"> 6 month</w:t>
      </w:r>
      <w:r w:rsidR="00546211" w:rsidRPr="009314D5">
        <w:t xml:space="preserve"> for the period 2022-2027. These predicted scripts were </w:t>
      </w:r>
      <w:r w:rsidR="00B372BA" w:rsidRPr="009314D5">
        <w:t xml:space="preserve">used to calculate the financial impacts and were </w:t>
      </w:r>
      <w:r w:rsidR="00546211" w:rsidRPr="009314D5">
        <w:t xml:space="preserve">substantially </w:t>
      </w:r>
      <w:r w:rsidR="00744F5D" w:rsidRPr="009314D5">
        <w:t>lower than</w:t>
      </w:r>
      <w:r w:rsidR="00546211" w:rsidRPr="009314D5">
        <w:t xml:space="preserve"> the predicted scripts used to estimate the market growth rate (</w:t>
      </w:r>
      <w:r w:rsidR="00187FF2" w:rsidRPr="009314D5">
        <w:fldChar w:fldCharType="begin"/>
      </w:r>
      <w:r w:rsidR="00187FF2" w:rsidRPr="009314D5">
        <w:instrText xml:space="preserve"> REF _Ref102728101 \h  \* MERGEFORMAT </w:instrText>
      </w:r>
      <w:r w:rsidR="00187FF2" w:rsidRPr="009314D5">
        <w:fldChar w:fldCharType="separate"/>
      </w:r>
      <w:r w:rsidR="00187FF2" w:rsidRPr="009314D5">
        <w:t>Table 10</w:t>
      </w:r>
      <w:r w:rsidR="00187FF2" w:rsidRPr="009314D5">
        <w:fldChar w:fldCharType="end"/>
      </w:r>
      <w:r w:rsidR="00187FF2" w:rsidRPr="009314D5">
        <w:t xml:space="preserve"> </w:t>
      </w:r>
      <w:r w:rsidR="00B77303" w:rsidRPr="009314D5">
        <w:t>above</w:t>
      </w:r>
      <w:r w:rsidR="00546211" w:rsidRPr="009314D5">
        <w:t>).</w:t>
      </w:r>
      <w:r w:rsidR="00FD0534" w:rsidRPr="009314D5">
        <w:t xml:space="preserve"> </w:t>
      </w:r>
    </w:p>
    <w:p w14:paraId="3AB0A6D4" w14:textId="2B623872" w:rsidR="00E94639" w:rsidRPr="0040247D" w:rsidRDefault="00120D5A" w:rsidP="0055154C">
      <w:pPr>
        <w:pStyle w:val="3-BodyText"/>
        <w:ind w:left="709"/>
      </w:pPr>
      <w:r w:rsidRPr="0040247D">
        <w:t xml:space="preserve">The estimated scripts for </w:t>
      </w:r>
      <w:proofErr w:type="spellStart"/>
      <w:r w:rsidRPr="0040247D">
        <w:t>Eligard</w:t>
      </w:r>
      <w:proofErr w:type="spellEnd"/>
      <w:r w:rsidRPr="0040247D">
        <w:t xml:space="preserve"> 6 month are shown in</w:t>
      </w:r>
      <w:r w:rsidR="00570E71" w:rsidRPr="0040247D">
        <w:t xml:space="preserve"> </w:t>
      </w:r>
      <w:r w:rsidR="00570E71" w:rsidRPr="0040247D">
        <w:fldChar w:fldCharType="begin"/>
      </w:r>
      <w:r w:rsidR="00570E71" w:rsidRPr="0040247D">
        <w:instrText xml:space="preserve"> REF _Ref102728158 \h </w:instrText>
      </w:r>
      <w:r w:rsidR="00570E71" w:rsidRPr="0040247D">
        <w:fldChar w:fldCharType="separate"/>
      </w:r>
      <w:r w:rsidR="00570E71" w:rsidRPr="0040247D">
        <w:t>Table 11</w:t>
      </w:r>
      <w:r w:rsidR="00570E71" w:rsidRPr="0040247D">
        <w:fldChar w:fldCharType="end"/>
      </w:r>
      <w:r w:rsidRPr="0040247D">
        <w:t>.</w:t>
      </w:r>
    </w:p>
    <w:p w14:paraId="3749E0ED" w14:textId="387FFB15" w:rsidR="00840CC4" w:rsidRPr="0040247D" w:rsidRDefault="00F60FC3" w:rsidP="00CD2ED2">
      <w:pPr>
        <w:pStyle w:val="TableFigureHeading"/>
      </w:pPr>
      <w:bookmarkStart w:id="38" w:name="_Ref102728158"/>
      <w:r w:rsidRPr="0040247D">
        <w:t xml:space="preserve">Table </w:t>
      </w:r>
      <w:fldSimple w:instr=" SEQ Table \* ARABIC ">
        <w:r w:rsidRPr="0040247D">
          <w:t>11</w:t>
        </w:r>
      </w:fldSimple>
      <w:bookmarkEnd w:id="38"/>
      <w:r w:rsidR="00840CC4" w:rsidRPr="0040247D">
        <w:rPr>
          <w:rStyle w:val="CommentReference"/>
          <w:b/>
          <w:szCs w:val="24"/>
        </w:rPr>
        <w:t xml:space="preserve">: </w:t>
      </w:r>
      <w:r w:rsidR="00840CC4" w:rsidRPr="0040247D">
        <w:t xml:space="preserve">Estimation of number of prescriptions </w:t>
      </w:r>
    </w:p>
    <w:tbl>
      <w:tblPr>
        <w:tblStyle w:val="TableGrid"/>
        <w:tblW w:w="5003" w:type="pct"/>
        <w:tblLayout w:type="fixed"/>
        <w:tblLook w:val="04A0" w:firstRow="1" w:lastRow="0" w:firstColumn="1" w:lastColumn="0" w:noHBand="0" w:noVBand="1"/>
        <w:tblCaption w:val="Table 11: Estimation of number of prescriptions "/>
        <w:tblDescription w:val="Table 11: Estimation of number of prescriptions "/>
      </w:tblPr>
      <w:tblGrid>
        <w:gridCol w:w="423"/>
        <w:gridCol w:w="2664"/>
        <w:gridCol w:w="953"/>
        <w:gridCol w:w="953"/>
        <w:gridCol w:w="953"/>
        <w:gridCol w:w="953"/>
        <w:gridCol w:w="953"/>
        <w:gridCol w:w="909"/>
      </w:tblGrid>
      <w:tr w:rsidR="00067771" w:rsidRPr="0040247D" w14:paraId="0390402C" w14:textId="77777777" w:rsidTr="00C95FCE">
        <w:tc>
          <w:tcPr>
            <w:tcW w:w="241" w:type="pct"/>
          </w:tcPr>
          <w:p w14:paraId="2B5BF2A6" w14:textId="77777777" w:rsidR="00840CC4" w:rsidRPr="0040247D" w:rsidRDefault="00840CC4" w:rsidP="00CD2ED2">
            <w:pPr>
              <w:keepNext/>
            </w:pPr>
          </w:p>
        </w:tc>
        <w:tc>
          <w:tcPr>
            <w:tcW w:w="1520" w:type="pct"/>
          </w:tcPr>
          <w:p w14:paraId="0178A592" w14:textId="77777777" w:rsidR="00840CC4" w:rsidRPr="0040247D" w:rsidRDefault="00840CC4" w:rsidP="00CD2ED2">
            <w:pPr>
              <w:keepNext/>
            </w:pPr>
          </w:p>
        </w:tc>
        <w:tc>
          <w:tcPr>
            <w:tcW w:w="544" w:type="pct"/>
            <w:shd w:val="clear" w:color="auto" w:fill="auto"/>
            <w:vAlign w:val="center"/>
          </w:tcPr>
          <w:p w14:paraId="0C748EA9" w14:textId="77777777" w:rsidR="00840CC4" w:rsidRPr="0040247D" w:rsidRDefault="00840CC4" w:rsidP="00CD2ED2">
            <w:pPr>
              <w:pStyle w:val="TableFigureHeading"/>
              <w:jc w:val="center"/>
            </w:pPr>
            <w:r w:rsidRPr="0040247D">
              <w:t>2022</w:t>
            </w:r>
          </w:p>
        </w:tc>
        <w:tc>
          <w:tcPr>
            <w:tcW w:w="544" w:type="pct"/>
            <w:shd w:val="clear" w:color="auto" w:fill="auto"/>
            <w:vAlign w:val="center"/>
          </w:tcPr>
          <w:p w14:paraId="6E919AD9" w14:textId="77777777" w:rsidR="00840CC4" w:rsidRPr="0040247D" w:rsidRDefault="00840CC4" w:rsidP="00CD2ED2">
            <w:pPr>
              <w:pStyle w:val="TableFigureHeading"/>
              <w:jc w:val="center"/>
            </w:pPr>
            <w:r w:rsidRPr="0040247D">
              <w:t>2023</w:t>
            </w:r>
          </w:p>
        </w:tc>
        <w:tc>
          <w:tcPr>
            <w:tcW w:w="544" w:type="pct"/>
            <w:shd w:val="clear" w:color="auto" w:fill="auto"/>
            <w:vAlign w:val="center"/>
          </w:tcPr>
          <w:p w14:paraId="62EE57AD" w14:textId="77777777" w:rsidR="00840CC4" w:rsidRPr="0040247D" w:rsidRDefault="00840CC4" w:rsidP="00CD2ED2">
            <w:pPr>
              <w:pStyle w:val="TableFigureHeading"/>
              <w:jc w:val="center"/>
            </w:pPr>
            <w:r w:rsidRPr="0040247D">
              <w:t>2024</w:t>
            </w:r>
          </w:p>
        </w:tc>
        <w:tc>
          <w:tcPr>
            <w:tcW w:w="544" w:type="pct"/>
            <w:shd w:val="clear" w:color="auto" w:fill="auto"/>
            <w:vAlign w:val="center"/>
          </w:tcPr>
          <w:p w14:paraId="6CA66C2D" w14:textId="77777777" w:rsidR="00840CC4" w:rsidRPr="0040247D" w:rsidRDefault="00840CC4" w:rsidP="00CD2ED2">
            <w:pPr>
              <w:pStyle w:val="TableFigureHeading"/>
              <w:jc w:val="center"/>
            </w:pPr>
            <w:r w:rsidRPr="0040247D">
              <w:t>2025</w:t>
            </w:r>
          </w:p>
        </w:tc>
        <w:tc>
          <w:tcPr>
            <w:tcW w:w="544" w:type="pct"/>
            <w:shd w:val="clear" w:color="auto" w:fill="auto"/>
            <w:vAlign w:val="center"/>
          </w:tcPr>
          <w:p w14:paraId="4790DC81" w14:textId="77777777" w:rsidR="00840CC4" w:rsidRPr="0040247D" w:rsidRDefault="00840CC4" w:rsidP="00CD2ED2">
            <w:pPr>
              <w:pStyle w:val="TableFigureHeading"/>
              <w:jc w:val="center"/>
            </w:pPr>
            <w:r w:rsidRPr="0040247D">
              <w:t>2026</w:t>
            </w:r>
          </w:p>
        </w:tc>
        <w:tc>
          <w:tcPr>
            <w:tcW w:w="519" w:type="pct"/>
            <w:shd w:val="clear" w:color="auto" w:fill="auto"/>
            <w:vAlign w:val="center"/>
          </w:tcPr>
          <w:p w14:paraId="1B6818E8" w14:textId="77777777" w:rsidR="00840CC4" w:rsidRPr="0040247D" w:rsidRDefault="00840CC4" w:rsidP="00CD2ED2">
            <w:pPr>
              <w:pStyle w:val="TableFigureHeading"/>
              <w:jc w:val="center"/>
            </w:pPr>
            <w:r w:rsidRPr="0040247D">
              <w:t>2027</w:t>
            </w:r>
          </w:p>
        </w:tc>
      </w:tr>
      <w:tr w:rsidR="00067771" w:rsidRPr="0040247D" w14:paraId="547C56CB" w14:textId="77777777" w:rsidTr="00C95FCE">
        <w:tc>
          <w:tcPr>
            <w:tcW w:w="241" w:type="pct"/>
          </w:tcPr>
          <w:p w14:paraId="4FFA7AD3" w14:textId="786874D1" w:rsidR="00840CC4" w:rsidRPr="0040247D" w:rsidRDefault="00C95FCE" w:rsidP="00CD2ED2">
            <w:pPr>
              <w:pStyle w:val="TableText0"/>
              <w:rPr>
                <w:b/>
                <w:bCs w:val="0"/>
              </w:rPr>
            </w:pPr>
            <w:r>
              <w:rPr>
                <w:b/>
                <w:bCs w:val="0"/>
              </w:rPr>
              <w:t>A</w:t>
            </w:r>
          </w:p>
        </w:tc>
        <w:tc>
          <w:tcPr>
            <w:tcW w:w="4759" w:type="pct"/>
            <w:gridSpan w:val="7"/>
          </w:tcPr>
          <w:p w14:paraId="5746DC40" w14:textId="60E3A335" w:rsidR="00840CC4" w:rsidRPr="0040247D" w:rsidRDefault="00840CC4" w:rsidP="00CD2ED2">
            <w:pPr>
              <w:pStyle w:val="TableText0"/>
              <w:rPr>
                <w:b/>
                <w:bCs w:val="0"/>
              </w:rPr>
            </w:pPr>
            <w:r w:rsidRPr="0040247D">
              <w:rPr>
                <w:b/>
                <w:bCs w:val="0"/>
              </w:rPr>
              <w:t xml:space="preserve">Predicted number of scripts based on the historical data </w:t>
            </w:r>
          </w:p>
        </w:tc>
      </w:tr>
      <w:tr w:rsidR="00C95FCE" w:rsidRPr="0040247D" w14:paraId="723B58F8" w14:textId="77777777" w:rsidTr="00C95FCE">
        <w:tc>
          <w:tcPr>
            <w:tcW w:w="241" w:type="pct"/>
            <w:vMerge w:val="restart"/>
          </w:tcPr>
          <w:p w14:paraId="411A97E4" w14:textId="42605D57" w:rsidR="00C95FCE" w:rsidRPr="0040247D" w:rsidRDefault="00C95FCE" w:rsidP="00CD2ED2">
            <w:pPr>
              <w:pStyle w:val="TableText0"/>
            </w:pPr>
            <w:r>
              <w:t>A</w:t>
            </w:r>
            <w:r w:rsidRPr="0040247D">
              <w:t>1</w:t>
            </w:r>
          </w:p>
        </w:tc>
        <w:tc>
          <w:tcPr>
            <w:tcW w:w="1520" w:type="pct"/>
          </w:tcPr>
          <w:p w14:paraId="3441E01E" w14:textId="188FBFD2" w:rsidR="00C95FCE" w:rsidRPr="0040247D" w:rsidRDefault="00C95FCE" w:rsidP="00CD2ED2">
            <w:pPr>
              <w:pStyle w:val="TableText0"/>
            </w:pPr>
            <w:r w:rsidRPr="0040247D">
              <w:t>Predicted number of scripts – initiation</w:t>
            </w:r>
            <w:r>
              <w:t xml:space="preserve"> (in the submission) </w:t>
            </w:r>
          </w:p>
        </w:tc>
        <w:tc>
          <w:tcPr>
            <w:tcW w:w="544" w:type="pct"/>
            <w:vAlign w:val="center"/>
          </w:tcPr>
          <w:p w14:paraId="5E3FB404" w14:textId="77777777" w:rsidR="00C95FCE" w:rsidRPr="0062069C" w:rsidRDefault="00C95FCE" w:rsidP="00CD2ED2">
            <w:pPr>
              <w:pStyle w:val="TableText0"/>
              <w:jc w:val="center"/>
            </w:pPr>
            <w:r w:rsidRPr="0062069C">
              <w:t xml:space="preserve">696 </w:t>
            </w:r>
          </w:p>
        </w:tc>
        <w:tc>
          <w:tcPr>
            <w:tcW w:w="544" w:type="pct"/>
            <w:vAlign w:val="center"/>
          </w:tcPr>
          <w:p w14:paraId="4CE9E47B" w14:textId="77777777" w:rsidR="00C95FCE" w:rsidRPr="0062069C" w:rsidRDefault="00C95FCE" w:rsidP="00CD2ED2">
            <w:pPr>
              <w:pStyle w:val="TableText0"/>
              <w:jc w:val="center"/>
            </w:pPr>
            <w:r w:rsidRPr="0062069C">
              <w:t xml:space="preserve">876 </w:t>
            </w:r>
          </w:p>
        </w:tc>
        <w:tc>
          <w:tcPr>
            <w:tcW w:w="544" w:type="pct"/>
            <w:vAlign w:val="center"/>
          </w:tcPr>
          <w:p w14:paraId="43EF1328" w14:textId="77777777" w:rsidR="00C95FCE" w:rsidRPr="0062069C" w:rsidRDefault="00C95FCE" w:rsidP="00CD2ED2">
            <w:pPr>
              <w:pStyle w:val="TableText0"/>
              <w:jc w:val="center"/>
            </w:pPr>
            <w:r w:rsidRPr="0062069C">
              <w:t xml:space="preserve">1,104 </w:t>
            </w:r>
          </w:p>
        </w:tc>
        <w:tc>
          <w:tcPr>
            <w:tcW w:w="544" w:type="pct"/>
            <w:vAlign w:val="center"/>
          </w:tcPr>
          <w:p w14:paraId="45BEC284" w14:textId="77777777" w:rsidR="00C95FCE" w:rsidRPr="0062069C" w:rsidRDefault="00C95FCE" w:rsidP="00CD2ED2">
            <w:pPr>
              <w:pStyle w:val="TableText0"/>
              <w:jc w:val="center"/>
            </w:pPr>
            <w:r w:rsidRPr="0062069C">
              <w:t xml:space="preserve">1,391 </w:t>
            </w:r>
          </w:p>
        </w:tc>
        <w:tc>
          <w:tcPr>
            <w:tcW w:w="544" w:type="pct"/>
            <w:vAlign w:val="center"/>
          </w:tcPr>
          <w:p w14:paraId="42392BC1" w14:textId="77777777" w:rsidR="00C95FCE" w:rsidRPr="0062069C" w:rsidRDefault="00C95FCE" w:rsidP="00CD2ED2">
            <w:pPr>
              <w:pStyle w:val="TableText0"/>
              <w:jc w:val="center"/>
            </w:pPr>
            <w:r w:rsidRPr="0062069C">
              <w:t xml:space="preserve">1,753 </w:t>
            </w:r>
          </w:p>
        </w:tc>
        <w:tc>
          <w:tcPr>
            <w:tcW w:w="519" w:type="pct"/>
            <w:vAlign w:val="center"/>
          </w:tcPr>
          <w:p w14:paraId="265050E0" w14:textId="77777777" w:rsidR="00C95FCE" w:rsidRPr="0062069C" w:rsidRDefault="00C95FCE" w:rsidP="00CD2ED2">
            <w:pPr>
              <w:pStyle w:val="TableText0"/>
              <w:jc w:val="center"/>
            </w:pPr>
            <w:r w:rsidRPr="0062069C">
              <w:t xml:space="preserve">2,209 </w:t>
            </w:r>
          </w:p>
        </w:tc>
      </w:tr>
      <w:tr w:rsidR="00C95FCE" w:rsidRPr="00DB490D" w14:paraId="72308E19" w14:textId="77777777" w:rsidTr="00C95FCE">
        <w:tc>
          <w:tcPr>
            <w:tcW w:w="241" w:type="pct"/>
            <w:vMerge/>
          </w:tcPr>
          <w:p w14:paraId="3613ABF0" w14:textId="77777777" w:rsidR="00C95FCE" w:rsidRPr="00DB490D" w:rsidRDefault="00C95FCE" w:rsidP="00CD2ED2">
            <w:pPr>
              <w:pStyle w:val="TableText0"/>
            </w:pPr>
          </w:p>
        </w:tc>
        <w:tc>
          <w:tcPr>
            <w:tcW w:w="1520" w:type="pct"/>
          </w:tcPr>
          <w:p w14:paraId="2BB7DD25" w14:textId="49F367A8" w:rsidR="00C95FCE" w:rsidRPr="00DB490D" w:rsidRDefault="00C95FCE" w:rsidP="00CD2ED2">
            <w:pPr>
              <w:pStyle w:val="TableText0"/>
              <w:ind w:left="720"/>
              <w:rPr>
                <w:iCs/>
              </w:rPr>
            </w:pPr>
            <w:r w:rsidRPr="00DB490D">
              <w:rPr>
                <w:iCs/>
              </w:rPr>
              <w:t xml:space="preserve">Corrected </w:t>
            </w:r>
          </w:p>
        </w:tc>
        <w:tc>
          <w:tcPr>
            <w:tcW w:w="544" w:type="pct"/>
            <w:vAlign w:val="center"/>
          </w:tcPr>
          <w:p w14:paraId="47ABAECE" w14:textId="11E45D98" w:rsidR="00C95FCE" w:rsidRPr="0062069C" w:rsidRDefault="00C95FCE" w:rsidP="00CD2ED2">
            <w:pPr>
              <w:pStyle w:val="TableText0"/>
              <w:jc w:val="center"/>
            </w:pPr>
            <w:r w:rsidRPr="0062069C">
              <w:rPr>
                <w:iCs/>
              </w:rPr>
              <w:t xml:space="preserve">1,522 </w:t>
            </w:r>
          </w:p>
        </w:tc>
        <w:tc>
          <w:tcPr>
            <w:tcW w:w="544" w:type="pct"/>
            <w:vAlign w:val="center"/>
          </w:tcPr>
          <w:p w14:paraId="205DF0ED" w14:textId="00E747E5" w:rsidR="00C95FCE" w:rsidRPr="0062069C" w:rsidRDefault="00C95FCE" w:rsidP="00CD2ED2">
            <w:pPr>
              <w:pStyle w:val="TableText0"/>
              <w:jc w:val="center"/>
            </w:pPr>
            <w:r w:rsidRPr="0062069C">
              <w:rPr>
                <w:iCs/>
              </w:rPr>
              <w:t xml:space="preserve">1,921 </w:t>
            </w:r>
          </w:p>
        </w:tc>
        <w:tc>
          <w:tcPr>
            <w:tcW w:w="544" w:type="pct"/>
            <w:vAlign w:val="center"/>
          </w:tcPr>
          <w:p w14:paraId="4EF070A4" w14:textId="43BDCE18" w:rsidR="00C95FCE" w:rsidRPr="0062069C" w:rsidRDefault="00C95FCE" w:rsidP="00CD2ED2">
            <w:pPr>
              <w:pStyle w:val="TableText0"/>
              <w:jc w:val="center"/>
            </w:pPr>
            <w:r w:rsidRPr="0062069C">
              <w:rPr>
                <w:iCs/>
              </w:rPr>
              <w:t xml:space="preserve">2,425 </w:t>
            </w:r>
          </w:p>
        </w:tc>
        <w:tc>
          <w:tcPr>
            <w:tcW w:w="544" w:type="pct"/>
            <w:vAlign w:val="center"/>
          </w:tcPr>
          <w:p w14:paraId="791E146C" w14:textId="63984782" w:rsidR="00C95FCE" w:rsidRPr="0062069C" w:rsidRDefault="00C95FCE" w:rsidP="00CD2ED2">
            <w:pPr>
              <w:pStyle w:val="TableText0"/>
              <w:jc w:val="center"/>
            </w:pPr>
            <w:r w:rsidRPr="0062069C">
              <w:rPr>
                <w:iCs/>
              </w:rPr>
              <w:t xml:space="preserve">3,061 </w:t>
            </w:r>
          </w:p>
        </w:tc>
        <w:tc>
          <w:tcPr>
            <w:tcW w:w="544" w:type="pct"/>
            <w:vAlign w:val="center"/>
          </w:tcPr>
          <w:p w14:paraId="12027311" w14:textId="63FC34E5" w:rsidR="00C95FCE" w:rsidRPr="0062069C" w:rsidRDefault="00C95FCE" w:rsidP="00CD2ED2">
            <w:pPr>
              <w:pStyle w:val="TableText0"/>
              <w:jc w:val="center"/>
            </w:pPr>
            <w:r w:rsidRPr="0062069C">
              <w:rPr>
                <w:iCs/>
              </w:rPr>
              <w:t xml:space="preserve">3,864 </w:t>
            </w:r>
          </w:p>
        </w:tc>
        <w:tc>
          <w:tcPr>
            <w:tcW w:w="519" w:type="pct"/>
            <w:vAlign w:val="center"/>
          </w:tcPr>
          <w:p w14:paraId="03050229" w14:textId="5D8619E5" w:rsidR="00C95FCE" w:rsidRPr="0062069C" w:rsidRDefault="00C95FCE" w:rsidP="00CD2ED2">
            <w:pPr>
              <w:pStyle w:val="TableText0"/>
              <w:jc w:val="center"/>
            </w:pPr>
            <w:r w:rsidRPr="0062069C">
              <w:rPr>
                <w:iCs/>
              </w:rPr>
              <w:t xml:space="preserve">4,877 </w:t>
            </w:r>
          </w:p>
        </w:tc>
      </w:tr>
      <w:tr w:rsidR="00C95FCE" w:rsidRPr="0040247D" w14:paraId="019ECE32" w14:textId="77777777" w:rsidTr="00C95FCE">
        <w:tc>
          <w:tcPr>
            <w:tcW w:w="241" w:type="pct"/>
            <w:vMerge w:val="restart"/>
          </w:tcPr>
          <w:p w14:paraId="69D119C1" w14:textId="6DC36307" w:rsidR="00C95FCE" w:rsidRPr="0040247D" w:rsidRDefault="00C95FCE" w:rsidP="00CD2ED2">
            <w:pPr>
              <w:pStyle w:val="TableText0"/>
            </w:pPr>
            <w:r>
              <w:t>A</w:t>
            </w:r>
            <w:r w:rsidRPr="0040247D">
              <w:t>2</w:t>
            </w:r>
          </w:p>
        </w:tc>
        <w:tc>
          <w:tcPr>
            <w:tcW w:w="1520" w:type="pct"/>
          </w:tcPr>
          <w:p w14:paraId="15D5DE1A" w14:textId="3FD8F002" w:rsidR="00C95FCE" w:rsidRPr="0040247D" w:rsidRDefault="00C95FCE" w:rsidP="00CD2ED2">
            <w:pPr>
              <w:pStyle w:val="TableText0"/>
            </w:pPr>
            <w:r w:rsidRPr="0040247D">
              <w:t>Predicted number of scripts – continuation</w:t>
            </w:r>
            <w:r>
              <w:t xml:space="preserve"> (in the submission)</w:t>
            </w:r>
          </w:p>
        </w:tc>
        <w:tc>
          <w:tcPr>
            <w:tcW w:w="544" w:type="pct"/>
            <w:vAlign w:val="center"/>
          </w:tcPr>
          <w:p w14:paraId="48B64EE1" w14:textId="77777777" w:rsidR="00C95FCE" w:rsidRPr="0062069C" w:rsidRDefault="00C95FCE" w:rsidP="00CD2ED2">
            <w:pPr>
              <w:pStyle w:val="TableText0"/>
              <w:jc w:val="center"/>
            </w:pPr>
            <w:r w:rsidRPr="0062069C">
              <w:t xml:space="preserve">1,039 </w:t>
            </w:r>
          </w:p>
        </w:tc>
        <w:tc>
          <w:tcPr>
            <w:tcW w:w="544" w:type="pct"/>
            <w:vAlign w:val="center"/>
          </w:tcPr>
          <w:p w14:paraId="14FCF9DD" w14:textId="77777777" w:rsidR="00C95FCE" w:rsidRPr="0062069C" w:rsidRDefault="00C95FCE" w:rsidP="00CD2ED2">
            <w:pPr>
              <w:pStyle w:val="TableText0"/>
              <w:jc w:val="center"/>
            </w:pPr>
            <w:r w:rsidRPr="0062069C">
              <w:t xml:space="preserve">1,258 </w:t>
            </w:r>
          </w:p>
        </w:tc>
        <w:tc>
          <w:tcPr>
            <w:tcW w:w="544" w:type="pct"/>
            <w:vAlign w:val="center"/>
          </w:tcPr>
          <w:p w14:paraId="480A4AE2" w14:textId="77777777" w:rsidR="00C95FCE" w:rsidRPr="0062069C" w:rsidRDefault="00C95FCE" w:rsidP="00CD2ED2">
            <w:pPr>
              <w:pStyle w:val="TableText0"/>
              <w:jc w:val="center"/>
            </w:pPr>
            <w:r w:rsidRPr="0062069C">
              <w:t xml:space="preserve">1,522 </w:t>
            </w:r>
          </w:p>
        </w:tc>
        <w:tc>
          <w:tcPr>
            <w:tcW w:w="544" w:type="pct"/>
            <w:vAlign w:val="center"/>
          </w:tcPr>
          <w:p w14:paraId="4DE79166" w14:textId="77777777" w:rsidR="00C95FCE" w:rsidRPr="0062069C" w:rsidRDefault="00C95FCE" w:rsidP="00CD2ED2">
            <w:pPr>
              <w:pStyle w:val="TableText0"/>
              <w:jc w:val="center"/>
            </w:pPr>
            <w:r w:rsidRPr="0062069C">
              <w:t xml:space="preserve">1,841 </w:t>
            </w:r>
          </w:p>
        </w:tc>
        <w:tc>
          <w:tcPr>
            <w:tcW w:w="544" w:type="pct"/>
            <w:vAlign w:val="center"/>
          </w:tcPr>
          <w:p w14:paraId="47C1D2F7" w14:textId="77777777" w:rsidR="00C95FCE" w:rsidRPr="0062069C" w:rsidRDefault="00C95FCE" w:rsidP="00CD2ED2">
            <w:pPr>
              <w:pStyle w:val="TableText0"/>
              <w:jc w:val="center"/>
            </w:pPr>
            <w:r w:rsidRPr="0062069C">
              <w:t xml:space="preserve">2,228 </w:t>
            </w:r>
          </w:p>
        </w:tc>
        <w:tc>
          <w:tcPr>
            <w:tcW w:w="519" w:type="pct"/>
            <w:vAlign w:val="center"/>
          </w:tcPr>
          <w:p w14:paraId="71C7308F" w14:textId="77777777" w:rsidR="00C95FCE" w:rsidRPr="0062069C" w:rsidRDefault="00C95FCE" w:rsidP="00CD2ED2">
            <w:pPr>
              <w:pStyle w:val="TableText0"/>
              <w:jc w:val="center"/>
            </w:pPr>
            <w:r w:rsidRPr="0062069C">
              <w:t>2,696</w:t>
            </w:r>
          </w:p>
        </w:tc>
      </w:tr>
      <w:tr w:rsidR="00C95FCE" w:rsidRPr="00DB490D" w14:paraId="27E324C5" w14:textId="77777777" w:rsidTr="00C95FCE">
        <w:tc>
          <w:tcPr>
            <w:tcW w:w="241" w:type="pct"/>
            <w:vMerge/>
          </w:tcPr>
          <w:p w14:paraId="700B90F1" w14:textId="77777777" w:rsidR="00C95FCE" w:rsidRPr="00DB490D" w:rsidRDefault="00C95FCE" w:rsidP="00CD2ED2">
            <w:pPr>
              <w:pStyle w:val="TableText0"/>
            </w:pPr>
          </w:p>
        </w:tc>
        <w:tc>
          <w:tcPr>
            <w:tcW w:w="1520" w:type="pct"/>
          </w:tcPr>
          <w:p w14:paraId="06C456FB" w14:textId="4771F568" w:rsidR="00C95FCE" w:rsidRPr="00DB490D" w:rsidRDefault="00C95FCE" w:rsidP="00CD2ED2">
            <w:pPr>
              <w:pStyle w:val="TableText0"/>
              <w:ind w:left="720"/>
              <w:rPr>
                <w:iCs/>
              </w:rPr>
            </w:pPr>
            <w:r w:rsidRPr="00DB490D">
              <w:rPr>
                <w:iCs/>
              </w:rPr>
              <w:t>Corrected</w:t>
            </w:r>
          </w:p>
        </w:tc>
        <w:tc>
          <w:tcPr>
            <w:tcW w:w="544" w:type="pct"/>
            <w:vAlign w:val="center"/>
          </w:tcPr>
          <w:p w14:paraId="35497E2D" w14:textId="077FF727" w:rsidR="00C95FCE" w:rsidRPr="0062069C" w:rsidRDefault="00C95FCE" w:rsidP="00CD2ED2">
            <w:pPr>
              <w:pStyle w:val="TableText0"/>
              <w:jc w:val="center"/>
            </w:pPr>
            <w:r w:rsidRPr="0062069C">
              <w:rPr>
                <w:iCs/>
              </w:rPr>
              <w:t xml:space="preserve">2,284 </w:t>
            </w:r>
          </w:p>
        </w:tc>
        <w:tc>
          <w:tcPr>
            <w:tcW w:w="544" w:type="pct"/>
            <w:vAlign w:val="center"/>
          </w:tcPr>
          <w:p w14:paraId="5F7A5784" w14:textId="53395900" w:rsidR="00C95FCE" w:rsidRPr="0062069C" w:rsidRDefault="00C95FCE" w:rsidP="00CD2ED2">
            <w:pPr>
              <w:pStyle w:val="TableText0"/>
              <w:jc w:val="center"/>
            </w:pPr>
            <w:r w:rsidRPr="0062069C">
              <w:rPr>
                <w:iCs/>
              </w:rPr>
              <w:t xml:space="preserve">2,753 </w:t>
            </w:r>
          </w:p>
        </w:tc>
        <w:tc>
          <w:tcPr>
            <w:tcW w:w="544" w:type="pct"/>
            <w:vAlign w:val="center"/>
          </w:tcPr>
          <w:p w14:paraId="737C549E" w14:textId="5A1839ED" w:rsidR="00C95FCE" w:rsidRPr="0062069C" w:rsidRDefault="00C95FCE" w:rsidP="00CD2ED2">
            <w:pPr>
              <w:pStyle w:val="TableText0"/>
              <w:jc w:val="center"/>
            </w:pPr>
            <w:r w:rsidRPr="0062069C">
              <w:rPr>
                <w:iCs/>
              </w:rPr>
              <w:t xml:space="preserve">3,319 </w:t>
            </w:r>
          </w:p>
        </w:tc>
        <w:tc>
          <w:tcPr>
            <w:tcW w:w="544" w:type="pct"/>
            <w:vAlign w:val="center"/>
          </w:tcPr>
          <w:p w14:paraId="03C7204C" w14:textId="6E732CA2" w:rsidR="00C95FCE" w:rsidRPr="0062069C" w:rsidRDefault="00C95FCE" w:rsidP="00CD2ED2">
            <w:pPr>
              <w:pStyle w:val="TableText0"/>
              <w:jc w:val="center"/>
            </w:pPr>
            <w:r w:rsidRPr="0062069C">
              <w:rPr>
                <w:iCs/>
              </w:rPr>
              <w:t xml:space="preserve">4,001 </w:t>
            </w:r>
          </w:p>
        </w:tc>
        <w:tc>
          <w:tcPr>
            <w:tcW w:w="544" w:type="pct"/>
            <w:vAlign w:val="center"/>
          </w:tcPr>
          <w:p w14:paraId="092EB07F" w14:textId="53844680" w:rsidR="00C95FCE" w:rsidRPr="0062069C" w:rsidRDefault="00C95FCE" w:rsidP="00CD2ED2">
            <w:pPr>
              <w:pStyle w:val="TableText0"/>
              <w:jc w:val="center"/>
            </w:pPr>
            <w:r w:rsidRPr="0062069C">
              <w:rPr>
                <w:iCs/>
              </w:rPr>
              <w:t xml:space="preserve">4,823 </w:t>
            </w:r>
          </w:p>
        </w:tc>
        <w:tc>
          <w:tcPr>
            <w:tcW w:w="519" w:type="pct"/>
            <w:vAlign w:val="center"/>
          </w:tcPr>
          <w:p w14:paraId="5F35A40B" w14:textId="14917BE3" w:rsidR="00C95FCE" w:rsidRPr="0062069C" w:rsidRDefault="00C95FCE" w:rsidP="00CD2ED2">
            <w:pPr>
              <w:pStyle w:val="TableText0"/>
              <w:jc w:val="center"/>
            </w:pPr>
            <w:r w:rsidRPr="0062069C">
              <w:rPr>
                <w:iCs/>
              </w:rPr>
              <w:t xml:space="preserve">5,813 </w:t>
            </w:r>
          </w:p>
        </w:tc>
      </w:tr>
      <w:tr w:rsidR="00C95FCE" w:rsidRPr="0040247D" w14:paraId="0EC477B0" w14:textId="77777777" w:rsidTr="00C95FCE">
        <w:tc>
          <w:tcPr>
            <w:tcW w:w="241" w:type="pct"/>
            <w:vMerge w:val="restart"/>
          </w:tcPr>
          <w:p w14:paraId="44590B89" w14:textId="4DCB47E5" w:rsidR="00C95FCE" w:rsidRPr="0040247D" w:rsidRDefault="00C95FCE" w:rsidP="00CD2ED2">
            <w:pPr>
              <w:pStyle w:val="TableText0"/>
            </w:pPr>
            <w:r>
              <w:t>A</w:t>
            </w:r>
            <w:r w:rsidRPr="0040247D">
              <w:t>3</w:t>
            </w:r>
          </w:p>
        </w:tc>
        <w:tc>
          <w:tcPr>
            <w:tcW w:w="1520" w:type="pct"/>
          </w:tcPr>
          <w:p w14:paraId="271C6987" w14:textId="489FED12" w:rsidR="00C95FCE" w:rsidRPr="0040247D" w:rsidRDefault="00C95FCE" w:rsidP="00CD2ED2">
            <w:pPr>
              <w:pStyle w:val="TableText0"/>
            </w:pPr>
            <w:r w:rsidRPr="0040247D">
              <w:t>Predicted number of scripts – total</w:t>
            </w:r>
          </w:p>
        </w:tc>
        <w:tc>
          <w:tcPr>
            <w:tcW w:w="544" w:type="pct"/>
            <w:vAlign w:val="center"/>
          </w:tcPr>
          <w:p w14:paraId="08092E6C" w14:textId="77777777" w:rsidR="00C95FCE" w:rsidRPr="0062069C" w:rsidRDefault="00C95FCE" w:rsidP="00CD2ED2">
            <w:pPr>
              <w:pStyle w:val="TableText0"/>
              <w:jc w:val="center"/>
            </w:pPr>
            <w:r w:rsidRPr="0062069C">
              <w:t>1,735</w:t>
            </w:r>
          </w:p>
        </w:tc>
        <w:tc>
          <w:tcPr>
            <w:tcW w:w="544" w:type="pct"/>
            <w:vAlign w:val="center"/>
          </w:tcPr>
          <w:p w14:paraId="6346988F" w14:textId="77777777" w:rsidR="00C95FCE" w:rsidRPr="0062069C" w:rsidRDefault="00C95FCE" w:rsidP="00CD2ED2">
            <w:pPr>
              <w:pStyle w:val="TableText0"/>
              <w:jc w:val="center"/>
            </w:pPr>
            <w:r w:rsidRPr="0062069C">
              <w:t xml:space="preserve">2,134 </w:t>
            </w:r>
          </w:p>
        </w:tc>
        <w:tc>
          <w:tcPr>
            <w:tcW w:w="544" w:type="pct"/>
            <w:vAlign w:val="center"/>
          </w:tcPr>
          <w:p w14:paraId="2657900D" w14:textId="77777777" w:rsidR="00C95FCE" w:rsidRPr="0062069C" w:rsidRDefault="00C95FCE" w:rsidP="00CD2ED2">
            <w:pPr>
              <w:pStyle w:val="TableText0"/>
              <w:jc w:val="center"/>
            </w:pPr>
            <w:r w:rsidRPr="0062069C">
              <w:t xml:space="preserve">2,626 </w:t>
            </w:r>
          </w:p>
        </w:tc>
        <w:tc>
          <w:tcPr>
            <w:tcW w:w="544" w:type="pct"/>
            <w:vAlign w:val="center"/>
          </w:tcPr>
          <w:p w14:paraId="083DFDFF" w14:textId="77777777" w:rsidR="00C95FCE" w:rsidRPr="0062069C" w:rsidRDefault="00C95FCE" w:rsidP="00CD2ED2">
            <w:pPr>
              <w:pStyle w:val="TableText0"/>
              <w:jc w:val="center"/>
            </w:pPr>
            <w:r w:rsidRPr="0062069C">
              <w:t xml:space="preserve">3,233 </w:t>
            </w:r>
          </w:p>
        </w:tc>
        <w:tc>
          <w:tcPr>
            <w:tcW w:w="544" w:type="pct"/>
            <w:vAlign w:val="center"/>
          </w:tcPr>
          <w:p w14:paraId="4D45C6C0" w14:textId="77777777" w:rsidR="00C95FCE" w:rsidRPr="0062069C" w:rsidRDefault="00C95FCE" w:rsidP="00CD2ED2">
            <w:pPr>
              <w:pStyle w:val="TableText0"/>
              <w:jc w:val="center"/>
            </w:pPr>
            <w:r w:rsidRPr="0062069C">
              <w:t xml:space="preserve">3,981 </w:t>
            </w:r>
          </w:p>
        </w:tc>
        <w:tc>
          <w:tcPr>
            <w:tcW w:w="519" w:type="pct"/>
            <w:vAlign w:val="center"/>
          </w:tcPr>
          <w:p w14:paraId="08E6868D" w14:textId="77777777" w:rsidR="00C95FCE" w:rsidRPr="0062069C" w:rsidRDefault="00C95FCE" w:rsidP="00CD2ED2">
            <w:pPr>
              <w:pStyle w:val="TableText0"/>
              <w:jc w:val="center"/>
            </w:pPr>
            <w:r w:rsidRPr="0062069C">
              <w:t xml:space="preserve">4,905 </w:t>
            </w:r>
          </w:p>
        </w:tc>
      </w:tr>
      <w:tr w:rsidR="00C95FCE" w:rsidRPr="00DB490D" w14:paraId="39F094D6" w14:textId="77777777" w:rsidTr="00C95FCE">
        <w:tc>
          <w:tcPr>
            <w:tcW w:w="241" w:type="pct"/>
            <w:vMerge/>
          </w:tcPr>
          <w:p w14:paraId="0B045FC7" w14:textId="77777777" w:rsidR="00C95FCE" w:rsidRPr="00DB490D" w:rsidRDefault="00C95FCE" w:rsidP="00CD2ED2">
            <w:pPr>
              <w:pStyle w:val="TableText0"/>
            </w:pPr>
          </w:p>
        </w:tc>
        <w:tc>
          <w:tcPr>
            <w:tcW w:w="1520" w:type="pct"/>
          </w:tcPr>
          <w:p w14:paraId="41DB12E2" w14:textId="79E06E72" w:rsidR="00C95FCE" w:rsidRPr="00DB490D" w:rsidRDefault="00C95FCE" w:rsidP="00CD2ED2">
            <w:pPr>
              <w:pStyle w:val="TableText0"/>
              <w:ind w:left="720"/>
              <w:rPr>
                <w:iCs/>
              </w:rPr>
            </w:pPr>
            <w:r w:rsidRPr="00DB490D">
              <w:rPr>
                <w:iCs/>
              </w:rPr>
              <w:t>Corrected</w:t>
            </w:r>
          </w:p>
        </w:tc>
        <w:tc>
          <w:tcPr>
            <w:tcW w:w="544" w:type="pct"/>
            <w:vAlign w:val="center"/>
          </w:tcPr>
          <w:p w14:paraId="0C704DC8" w14:textId="4E4D1CB9" w:rsidR="00C95FCE" w:rsidRPr="0062069C" w:rsidRDefault="00C95FCE" w:rsidP="00CD2ED2">
            <w:pPr>
              <w:pStyle w:val="TableText0"/>
              <w:jc w:val="center"/>
            </w:pPr>
            <w:r w:rsidRPr="0062069C">
              <w:rPr>
                <w:iCs/>
              </w:rPr>
              <w:t xml:space="preserve">3,806 </w:t>
            </w:r>
          </w:p>
        </w:tc>
        <w:tc>
          <w:tcPr>
            <w:tcW w:w="544" w:type="pct"/>
            <w:vAlign w:val="center"/>
          </w:tcPr>
          <w:p w14:paraId="4B64B7CA" w14:textId="7F53B620" w:rsidR="00C95FCE" w:rsidRPr="0062069C" w:rsidRDefault="00C95FCE" w:rsidP="00CD2ED2">
            <w:pPr>
              <w:pStyle w:val="TableText0"/>
              <w:jc w:val="center"/>
            </w:pPr>
            <w:r w:rsidRPr="0062069C">
              <w:rPr>
                <w:iCs/>
              </w:rPr>
              <w:t xml:space="preserve">4,675 </w:t>
            </w:r>
          </w:p>
        </w:tc>
        <w:tc>
          <w:tcPr>
            <w:tcW w:w="544" w:type="pct"/>
            <w:vAlign w:val="center"/>
          </w:tcPr>
          <w:p w14:paraId="71EB9AD2" w14:textId="497EF06C" w:rsidR="00C95FCE" w:rsidRPr="0062069C" w:rsidRDefault="00C95FCE" w:rsidP="00CD2ED2">
            <w:pPr>
              <w:pStyle w:val="TableText0"/>
              <w:jc w:val="center"/>
            </w:pPr>
            <w:r w:rsidRPr="0062069C">
              <w:rPr>
                <w:iCs/>
              </w:rPr>
              <w:t xml:space="preserve">5,744 </w:t>
            </w:r>
          </w:p>
        </w:tc>
        <w:tc>
          <w:tcPr>
            <w:tcW w:w="544" w:type="pct"/>
            <w:vAlign w:val="center"/>
          </w:tcPr>
          <w:p w14:paraId="769F4D57" w14:textId="25DA3062" w:rsidR="00C95FCE" w:rsidRPr="0062069C" w:rsidRDefault="00C95FCE" w:rsidP="00CD2ED2">
            <w:pPr>
              <w:pStyle w:val="TableText0"/>
              <w:jc w:val="center"/>
            </w:pPr>
            <w:r w:rsidRPr="0062069C">
              <w:rPr>
                <w:iCs/>
              </w:rPr>
              <w:t xml:space="preserve">7,062 </w:t>
            </w:r>
          </w:p>
        </w:tc>
        <w:tc>
          <w:tcPr>
            <w:tcW w:w="544" w:type="pct"/>
            <w:vAlign w:val="center"/>
          </w:tcPr>
          <w:p w14:paraId="586707E7" w14:textId="3E7EEE94" w:rsidR="00C95FCE" w:rsidRPr="0062069C" w:rsidRDefault="00C95FCE" w:rsidP="00CD2ED2">
            <w:pPr>
              <w:pStyle w:val="TableText0"/>
              <w:jc w:val="center"/>
            </w:pPr>
            <w:r w:rsidRPr="0062069C">
              <w:rPr>
                <w:iCs/>
              </w:rPr>
              <w:t xml:space="preserve">8,686 </w:t>
            </w:r>
          </w:p>
        </w:tc>
        <w:tc>
          <w:tcPr>
            <w:tcW w:w="519" w:type="pct"/>
            <w:vAlign w:val="center"/>
          </w:tcPr>
          <w:p w14:paraId="03A70828" w14:textId="2693687A" w:rsidR="00C95FCE" w:rsidRPr="0062069C" w:rsidRDefault="00C95FCE" w:rsidP="00CD2ED2">
            <w:pPr>
              <w:pStyle w:val="TableText0"/>
              <w:jc w:val="center"/>
            </w:pPr>
            <w:r w:rsidRPr="0062069C">
              <w:rPr>
                <w:iCs/>
              </w:rPr>
              <w:t xml:space="preserve">10,690 </w:t>
            </w:r>
          </w:p>
        </w:tc>
      </w:tr>
      <w:tr w:rsidR="00067771" w:rsidRPr="0040247D" w14:paraId="30111148" w14:textId="77777777" w:rsidTr="00C95FCE">
        <w:tc>
          <w:tcPr>
            <w:tcW w:w="241" w:type="pct"/>
            <w:tcBorders>
              <w:top w:val="single" w:sz="4" w:space="0" w:color="auto"/>
              <w:left w:val="single" w:sz="4" w:space="0" w:color="auto"/>
              <w:bottom w:val="single" w:sz="4" w:space="0" w:color="auto"/>
              <w:right w:val="single" w:sz="4" w:space="0" w:color="auto"/>
            </w:tcBorders>
          </w:tcPr>
          <w:p w14:paraId="0FD72C21" w14:textId="11C0A7B2" w:rsidR="00840CC4" w:rsidRPr="0040247D" w:rsidRDefault="00C95FCE" w:rsidP="00CD2ED2">
            <w:pPr>
              <w:pStyle w:val="TableText0"/>
              <w:rPr>
                <w:b/>
                <w:bCs w:val="0"/>
              </w:rPr>
            </w:pPr>
            <w:r>
              <w:rPr>
                <w:b/>
                <w:bCs w:val="0"/>
              </w:rPr>
              <w:t>B</w:t>
            </w:r>
          </w:p>
        </w:tc>
        <w:tc>
          <w:tcPr>
            <w:tcW w:w="475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C4AC41" w14:textId="091760A7" w:rsidR="00840CC4" w:rsidRPr="0062069C" w:rsidRDefault="00840CC4" w:rsidP="00CD2ED2">
            <w:pPr>
              <w:pStyle w:val="TableText0"/>
              <w:rPr>
                <w:b/>
                <w:bCs w:val="0"/>
              </w:rPr>
            </w:pPr>
            <w:r w:rsidRPr="0062069C">
              <w:rPr>
                <w:b/>
                <w:bCs w:val="0"/>
              </w:rPr>
              <w:t xml:space="preserve">Total script numbers of </w:t>
            </w:r>
            <w:proofErr w:type="spellStart"/>
            <w:r w:rsidRPr="0062069C">
              <w:rPr>
                <w:b/>
                <w:bCs w:val="0"/>
              </w:rPr>
              <w:t>Eligard</w:t>
            </w:r>
            <w:proofErr w:type="spellEnd"/>
            <w:r w:rsidRPr="0062069C">
              <w:rPr>
                <w:b/>
                <w:bCs w:val="0"/>
              </w:rPr>
              <w:t xml:space="preserve"> 6 month </w:t>
            </w:r>
          </w:p>
        </w:tc>
      </w:tr>
      <w:tr w:rsidR="00C95FCE" w:rsidRPr="0040247D" w14:paraId="437DCD70" w14:textId="77777777" w:rsidTr="002F639B">
        <w:tc>
          <w:tcPr>
            <w:tcW w:w="241" w:type="pct"/>
            <w:vMerge w:val="restart"/>
            <w:tcBorders>
              <w:top w:val="single" w:sz="4" w:space="0" w:color="auto"/>
              <w:left w:val="single" w:sz="4" w:space="0" w:color="auto"/>
              <w:right w:val="single" w:sz="4" w:space="0" w:color="auto"/>
            </w:tcBorders>
          </w:tcPr>
          <w:p w14:paraId="19D0BE91" w14:textId="157EB222" w:rsidR="00C95FCE" w:rsidRPr="0040247D" w:rsidRDefault="00C95FCE" w:rsidP="00CD2ED2">
            <w:pPr>
              <w:pStyle w:val="TableText0"/>
            </w:pPr>
            <w:r>
              <w:t>B</w:t>
            </w:r>
            <w:r w:rsidRPr="0040247D">
              <w:t>1</w:t>
            </w: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782B781F" w14:textId="4D1ACF12" w:rsidR="00C95FCE" w:rsidRPr="0040247D" w:rsidRDefault="00C95FCE" w:rsidP="00CD2ED2">
            <w:pPr>
              <w:pStyle w:val="TableText0"/>
            </w:pPr>
            <w:r w:rsidRPr="0040247D">
              <w:t>Total script numbers – initiation</w:t>
            </w:r>
            <w:r>
              <w:t xml:space="preserve"> (in the submission)</w:t>
            </w: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36AC26FD" w14:textId="4FFFCE3E" w:rsidR="00C95FCE" w:rsidRPr="004848D5" w:rsidRDefault="00204469" w:rsidP="00CD2ED2">
            <w:pPr>
              <w:pStyle w:val="TableText0"/>
              <w:jc w:val="center"/>
              <w:rPr>
                <w:highlight w:val="darkGray"/>
                <w:vertAlign w:val="superscript"/>
              </w:rPr>
            </w:pPr>
            <w:r w:rsidRPr="00204469">
              <w:rPr>
                <w:color w:val="000000"/>
                <w:spacing w:val="41"/>
                <w:shd w:val="solid" w:color="000000" w:fill="000000"/>
                <w:fitText w:val="210" w:id="-1437438192"/>
                <w14:textFill>
                  <w14:solidFill>
                    <w14:srgbClr w14:val="000000">
                      <w14:alpha w14:val="100000"/>
                    </w14:srgbClr>
                  </w14:solidFill>
                </w14:textFill>
              </w:rPr>
              <w:t>||</w:t>
            </w:r>
            <w:r w:rsidRPr="00204469">
              <w:rPr>
                <w:color w:val="000000"/>
                <w:spacing w:val="1"/>
                <w:shd w:val="solid" w:color="000000" w:fill="000000"/>
                <w:fitText w:val="210" w:id="-1437438192"/>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056076C7" w14:textId="25CC4876"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8"/>
                <w14:textFill>
                  <w14:solidFill>
                    <w14:srgbClr w14:val="000000">
                      <w14:alpha w14:val="100000"/>
                    </w14:srgbClr>
                  </w14:solidFill>
                </w14:textFill>
              </w:rPr>
              <w:t>||</w:t>
            </w:r>
            <w:r w:rsidRPr="00204469">
              <w:rPr>
                <w:color w:val="000000"/>
                <w:spacing w:val="1"/>
                <w:shd w:val="solid" w:color="000000" w:fill="000000"/>
                <w:fitText w:val="210" w:id="-1437438208"/>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60B972FA" w14:textId="587E78A5"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7"/>
                <w14:textFill>
                  <w14:solidFill>
                    <w14:srgbClr w14:val="000000">
                      <w14:alpha w14:val="100000"/>
                    </w14:srgbClr>
                  </w14:solidFill>
                </w14:textFill>
              </w:rPr>
              <w:t>||</w:t>
            </w:r>
            <w:r w:rsidRPr="00204469">
              <w:rPr>
                <w:color w:val="000000"/>
                <w:spacing w:val="1"/>
                <w:shd w:val="solid" w:color="000000" w:fill="000000"/>
                <w:fitText w:val="210" w:id="-1437438207"/>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457CD3FC" w14:textId="72293CD0"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6"/>
                <w14:textFill>
                  <w14:solidFill>
                    <w14:srgbClr w14:val="000000">
                      <w14:alpha w14:val="100000"/>
                    </w14:srgbClr>
                  </w14:solidFill>
                </w14:textFill>
              </w:rPr>
              <w:t>||</w:t>
            </w:r>
            <w:r w:rsidRPr="00204469">
              <w:rPr>
                <w:color w:val="000000"/>
                <w:spacing w:val="1"/>
                <w:shd w:val="solid" w:color="000000" w:fill="000000"/>
                <w:fitText w:val="210" w:id="-1437438206"/>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60DD4B5A" w14:textId="2EBBD4A2"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5"/>
                <w14:textFill>
                  <w14:solidFill>
                    <w14:srgbClr w14:val="000000">
                      <w14:alpha w14:val="100000"/>
                    </w14:srgbClr>
                  </w14:solidFill>
                </w14:textFill>
              </w:rPr>
              <w:t>||</w:t>
            </w:r>
            <w:r w:rsidRPr="00204469">
              <w:rPr>
                <w:color w:val="000000"/>
                <w:spacing w:val="1"/>
                <w:shd w:val="solid" w:color="000000" w:fill="000000"/>
                <w:fitText w:val="210" w:id="-1437438205"/>
                <w14:textFill>
                  <w14:solidFill>
                    <w14:srgbClr w14:val="000000">
                      <w14:alpha w14:val="100000"/>
                    </w14:srgbClr>
                  </w14:solidFill>
                </w14:textFill>
              </w:rPr>
              <w:t>|</w:t>
            </w:r>
            <w:r w:rsidR="004848D5" w:rsidRPr="004848D5">
              <w:rPr>
                <w:vertAlign w:val="superscript"/>
              </w:rPr>
              <w:t>1</w:t>
            </w:r>
          </w:p>
        </w:tc>
        <w:tc>
          <w:tcPr>
            <w:tcW w:w="519" w:type="pct"/>
            <w:tcBorders>
              <w:top w:val="single" w:sz="4" w:space="0" w:color="auto"/>
              <w:left w:val="nil"/>
              <w:bottom w:val="single" w:sz="4" w:space="0" w:color="auto"/>
              <w:right w:val="single" w:sz="4" w:space="0" w:color="auto"/>
            </w:tcBorders>
            <w:shd w:val="clear" w:color="auto" w:fill="auto"/>
          </w:tcPr>
          <w:p w14:paraId="24A0AF9D" w14:textId="62B8478B" w:rsidR="00C95FCE" w:rsidRPr="004848D5" w:rsidRDefault="00204469" w:rsidP="00CD2ED2">
            <w:pPr>
              <w:pStyle w:val="TableText0"/>
              <w:jc w:val="center"/>
              <w:rPr>
                <w:highlight w:val="darkGray"/>
              </w:rPr>
            </w:pPr>
            <w:r w:rsidRPr="00204469">
              <w:rPr>
                <w:color w:val="000000"/>
                <w:spacing w:val="51"/>
                <w:shd w:val="solid" w:color="000000" w:fill="000000"/>
                <w:fitText w:val="230" w:id="-1437438204"/>
                <w14:textFill>
                  <w14:solidFill>
                    <w14:srgbClr w14:val="000000">
                      <w14:alpha w14:val="100000"/>
                    </w14:srgbClr>
                  </w14:solidFill>
                </w14:textFill>
              </w:rPr>
              <w:t>||</w:t>
            </w:r>
            <w:r w:rsidRPr="00204469">
              <w:rPr>
                <w:color w:val="000000"/>
                <w:spacing w:val="1"/>
                <w:shd w:val="solid" w:color="000000" w:fill="000000"/>
                <w:fitText w:val="230" w:id="-1437438204"/>
                <w14:textFill>
                  <w14:solidFill>
                    <w14:srgbClr w14:val="000000">
                      <w14:alpha w14:val="100000"/>
                    </w14:srgbClr>
                  </w14:solidFill>
                </w14:textFill>
              </w:rPr>
              <w:t>|</w:t>
            </w:r>
            <w:r w:rsidR="004848D5" w:rsidRPr="004848D5">
              <w:rPr>
                <w:vertAlign w:val="superscript"/>
              </w:rPr>
              <w:t>1</w:t>
            </w:r>
          </w:p>
        </w:tc>
      </w:tr>
      <w:tr w:rsidR="00C95FCE" w:rsidRPr="0040247D" w14:paraId="49281E46" w14:textId="77777777" w:rsidTr="002F639B">
        <w:tc>
          <w:tcPr>
            <w:tcW w:w="241" w:type="pct"/>
            <w:vMerge/>
            <w:tcBorders>
              <w:left w:val="single" w:sz="4" w:space="0" w:color="auto"/>
              <w:bottom w:val="single" w:sz="4" w:space="0" w:color="auto"/>
              <w:right w:val="single" w:sz="4" w:space="0" w:color="auto"/>
            </w:tcBorders>
          </w:tcPr>
          <w:p w14:paraId="24A6319A" w14:textId="77777777" w:rsidR="00C95FCE" w:rsidRPr="0040247D" w:rsidRDefault="00C95FCE" w:rsidP="00CD2ED2">
            <w:pPr>
              <w:pStyle w:val="TableText0"/>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16C9B1A5" w14:textId="4A4F5C82" w:rsidR="00C95FCE" w:rsidRPr="0040247D" w:rsidRDefault="00C95FCE" w:rsidP="00CD2ED2">
            <w:pPr>
              <w:pStyle w:val="TableText0"/>
              <w:ind w:left="720"/>
            </w:pPr>
            <w:r w:rsidRPr="00DB490D">
              <w:rPr>
                <w:iCs/>
              </w:rPr>
              <w:t>Corrected</w:t>
            </w: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52B0D278" w14:textId="32509029"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3"/>
                <w14:textFill>
                  <w14:solidFill>
                    <w14:srgbClr w14:val="000000">
                      <w14:alpha w14:val="100000"/>
                    </w14:srgbClr>
                  </w14:solidFill>
                </w14:textFill>
              </w:rPr>
              <w:t>||</w:t>
            </w:r>
            <w:r w:rsidRPr="00204469">
              <w:rPr>
                <w:color w:val="000000"/>
                <w:spacing w:val="1"/>
                <w:shd w:val="solid" w:color="000000" w:fill="000000"/>
                <w:fitText w:val="210" w:id="-1437438203"/>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64872307" w14:textId="17A7232F"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2"/>
                <w14:textFill>
                  <w14:solidFill>
                    <w14:srgbClr w14:val="000000">
                      <w14:alpha w14:val="100000"/>
                    </w14:srgbClr>
                  </w14:solidFill>
                </w14:textFill>
              </w:rPr>
              <w:t>||</w:t>
            </w:r>
            <w:r w:rsidRPr="00204469">
              <w:rPr>
                <w:color w:val="000000"/>
                <w:spacing w:val="1"/>
                <w:shd w:val="solid" w:color="000000" w:fill="000000"/>
                <w:fitText w:val="210" w:id="-1437438202"/>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2F57B0CA" w14:textId="795DBF4C"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1"/>
                <w14:textFill>
                  <w14:solidFill>
                    <w14:srgbClr w14:val="000000">
                      <w14:alpha w14:val="100000"/>
                    </w14:srgbClr>
                  </w14:solidFill>
                </w14:textFill>
              </w:rPr>
              <w:t>||</w:t>
            </w:r>
            <w:r w:rsidRPr="00204469">
              <w:rPr>
                <w:color w:val="000000"/>
                <w:spacing w:val="1"/>
                <w:shd w:val="solid" w:color="000000" w:fill="000000"/>
                <w:fitText w:val="210" w:id="-1437438201"/>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522608C7" w14:textId="2F29466B"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0"/>
                <w14:textFill>
                  <w14:solidFill>
                    <w14:srgbClr w14:val="000000">
                      <w14:alpha w14:val="100000"/>
                    </w14:srgbClr>
                  </w14:solidFill>
                </w14:textFill>
              </w:rPr>
              <w:t>||</w:t>
            </w:r>
            <w:r w:rsidRPr="00204469">
              <w:rPr>
                <w:color w:val="000000"/>
                <w:spacing w:val="1"/>
                <w:shd w:val="solid" w:color="000000" w:fill="000000"/>
                <w:fitText w:val="210" w:id="-1437438200"/>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182B9A81" w14:textId="38584B5D" w:rsidR="00C95FCE" w:rsidRPr="004848D5" w:rsidRDefault="00204469" w:rsidP="00CD2ED2">
            <w:pPr>
              <w:pStyle w:val="TableText0"/>
              <w:jc w:val="center"/>
              <w:rPr>
                <w:highlight w:val="darkGray"/>
              </w:rPr>
            </w:pPr>
            <w:r w:rsidRPr="00204469">
              <w:rPr>
                <w:color w:val="000000"/>
                <w:spacing w:val="41"/>
                <w:shd w:val="solid" w:color="000000" w:fill="000000"/>
                <w:fitText w:val="210" w:id="-1437438199"/>
                <w14:textFill>
                  <w14:solidFill>
                    <w14:srgbClr w14:val="000000">
                      <w14:alpha w14:val="100000"/>
                    </w14:srgbClr>
                  </w14:solidFill>
                </w14:textFill>
              </w:rPr>
              <w:t>||</w:t>
            </w:r>
            <w:r w:rsidRPr="00204469">
              <w:rPr>
                <w:color w:val="000000"/>
                <w:spacing w:val="1"/>
                <w:shd w:val="solid" w:color="000000" w:fill="000000"/>
                <w:fitText w:val="210" w:id="-1437438199"/>
                <w14:textFill>
                  <w14:solidFill>
                    <w14:srgbClr w14:val="000000">
                      <w14:alpha w14:val="100000"/>
                    </w14:srgbClr>
                  </w14:solidFill>
                </w14:textFill>
              </w:rPr>
              <w:t>|</w:t>
            </w:r>
            <w:r w:rsidR="004848D5" w:rsidRPr="004848D5">
              <w:rPr>
                <w:vertAlign w:val="superscript"/>
              </w:rPr>
              <w:t>1</w:t>
            </w:r>
          </w:p>
        </w:tc>
        <w:tc>
          <w:tcPr>
            <w:tcW w:w="519" w:type="pct"/>
            <w:tcBorders>
              <w:top w:val="single" w:sz="4" w:space="0" w:color="auto"/>
              <w:left w:val="nil"/>
              <w:bottom w:val="single" w:sz="4" w:space="0" w:color="auto"/>
              <w:right w:val="single" w:sz="4" w:space="0" w:color="auto"/>
            </w:tcBorders>
            <w:shd w:val="clear" w:color="auto" w:fill="auto"/>
          </w:tcPr>
          <w:p w14:paraId="5BD30308" w14:textId="4CF3DCD8" w:rsidR="00C95FCE" w:rsidRPr="004848D5" w:rsidRDefault="00204469" w:rsidP="00CD2ED2">
            <w:pPr>
              <w:pStyle w:val="TableText0"/>
              <w:jc w:val="center"/>
              <w:rPr>
                <w:highlight w:val="darkGray"/>
              </w:rPr>
            </w:pPr>
            <w:r w:rsidRPr="00204469">
              <w:rPr>
                <w:color w:val="000000"/>
                <w:spacing w:val="51"/>
                <w:shd w:val="solid" w:color="000000" w:fill="000000"/>
                <w:fitText w:val="230" w:id="-1437438198"/>
                <w14:textFill>
                  <w14:solidFill>
                    <w14:srgbClr w14:val="000000">
                      <w14:alpha w14:val="100000"/>
                    </w14:srgbClr>
                  </w14:solidFill>
                </w14:textFill>
              </w:rPr>
              <w:t>||</w:t>
            </w:r>
            <w:r w:rsidRPr="00204469">
              <w:rPr>
                <w:color w:val="000000"/>
                <w:spacing w:val="1"/>
                <w:shd w:val="solid" w:color="000000" w:fill="000000"/>
                <w:fitText w:val="230" w:id="-1437438198"/>
                <w14:textFill>
                  <w14:solidFill>
                    <w14:srgbClr w14:val="000000">
                      <w14:alpha w14:val="100000"/>
                    </w14:srgbClr>
                  </w14:solidFill>
                </w14:textFill>
              </w:rPr>
              <w:t>|</w:t>
            </w:r>
            <w:r w:rsidR="004848D5" w:rsidRPr="004848D5">
              <w:rPr>
                <w:vertAlign w:val="superscript"/>
              </w:rPr>
              <w:t>1</w:t>
            </w:r>
          </w:p>
        </w:tc>
      </w:tr>
      <w:tr w:rsidR="00C95FCE" w:rsidRPr="0040247D" w14:paraId="5FD857E7" w14:textId="77777777" w:rsidTr="002F639B">
        <w:tc>
          <w:tcPr>
            <w:tcW w:w="241" w:type="pct"/>
            <w:vMerge w:val="restart"/>
            <w:tcBorders>
              <w:top w:val="single" w:sz="4" w:space="0" w:color="auto"/>
              <w:left w:val="single" w:sz="4" w:space="0" w:color="auto"/>
              <w:right w:val="single" w:sz="4" w:space="0" w:color="auto"/>
            </w:tcBorders>
          </w:tcPr>
          <w:p w14:paraId="4C3F0C64" w14:textId="5D296ED2" w:rsidR="00C95FCE" w:rsidRPr="0040247D" w:rsidRDefault="00C95FCE" w:rsidP="00CD2ED2">
            <w:pPr>
              <w:pStyle w:val="TableText0"/>
            </w:pPr>
            <w:r>
              <w:t>B</w:t>
            </w:r>
            <w:r w:rsidRPr="0040247D">
              <w:t>2</w:t>
            </w: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29CB35D7" w14:textId="7360778A" w:rsidR="00C95FCE" w:rsidRPr="0040247D" w:rsidRDefault="00C95FCE" w:rsidP="00CD2ED2">
            <w:pPr>
              <w:pStyle w:val="TableText0"/>
            </w:pPr>
            <w:r w:rsidRPr="0040247D">
              <w:t>Total script numbers – continuation</w:t>
            </w:r>
            <w:r>
              <w:t xml:space="preserve"> (in the submission)</w:t>
            </w: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73DD46F4" w14:textId="206A78F6" w:rsidR="00C95FCE" w:rsidRPr="004848D5" w:rsidRDefault="00204469" w:rsidP="00CD2ED2">
            <w:pPr>
              <w:pStyle w:val="TableText0"/>
              <w:jc w:val="center"/>
              <w:rPr>
                <w:highlight w:val="darkGray"/>
              </w:rPr>
            </w:pPr>
            <w:r w:rsidRPr="00204469">
              <w:rPr>
                <w:color w:val="000000"/>
                <w:spacing w:val="41"/>
                <w:shd w:val="solid" w:color="000000" w:fill="000000"/>
                <w:fitText w:val="210" w:id="-1437438197"/>
                <w14:textFill>
                  <w14:solidFill>
                    <w14:srgbClr w14:val="000000">
                      <w14:alpha w14:val="100000"/>
                    </w14:srgbClr>
                  </w14:solidFill>
                </w14:textFill>
              </w:rPr>
              <w:t>||</w:t>
            </w:r>
            <w:r w:rsidRPr="00204469">
              <w:rPr>
                <w:color w:val="000000"/>
                <w:spacing w:val="1"/>
                <w:shd w:val="solid" w:color="000000" w:fill="000000"/>
                <w:fitText w:val="210" w:id="-1437438197"/>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0AF7F448" w14:textId="5A2AB672" w:rsidR="00C95FCE" w:rsidRPr="004848D5" w:rsidRDefault="00204469" w:rsidP="00CD2ED2">
            <w:pPr>
              <w:pStyle w:val="TableText0"/>
              <w:jc w:val="center"/>
              <w:rPr>
                <w:highlight w:val="darkGray"/>
              </w:rPr>
            </w:pPr>
            <w:r w:rsidRPr="00204469">
              <w:rPr>
                <w:color w:val="000000"/>
                <w:spacing w:val="41"/>
                <w:shd w:val="solid" w:color="000000" w:fill="000000"/>
                <w:fitText w:val="210" w:id="-1437438196"/>
                <w14:textFill>
                  <w14:solidFill>
                    <w14:srgbClr w14:val="000000">
                      <w14:alpha w14:val="100000"/>
                    </w14:srgbClr>
                  </w14:solidFill>
                </w14:textFill>
              </w:rPr>
              <w:t>||</w:t>
            </w:r>
            <w:r w:rsidRPr="00204469">
              <w:rPr>
                <w:color w:val="000000"/>
                <w:spacing w:val="1"/>
                <w:shd w:val="solid" w:color="000000" w:fill="000000"/>
                <w:fitText w:val="210" w:id="-1437438196"/>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65632886" w14:textId="7E1EA468" w:rsidR="00C95FCE" w:rsidRPr="004848D5" w:rsidRDefault="00204469" w:rsidP="00CD2ED2">
            <w:pPr>
              <w:pStyle w:val="TableText0"/>
              <w:jc w:val="center"/>
              <w:rPr>
                <w:highlight w:val="darkGray"/>
              </w:rPr>
            </w:pPr>
            <w:r w:rsidRPr="00204469">
              <w:rPr>
                <w:color w:val="000000"/>
                <w:spacing w:val="41"/>
                <w:shd w:val="solid" w:color="000000" w:fill="000000"/>
                <w:fitText w:val="210" w:id="-1437438195"/>
                <w14:textFill>
                  <w14:solidFill>
                    <w14:srgbClr w14:val="000000">
                      <w14:alpha w14:val="100000"/>
                    </w14:srgbClr>
                  </w14:solidFill>
                </w14:textFill>
              </w:rPr>
              <w:t>||</w:t>
            </w:r>
            <w:r w:rsidRPr="00204469">
              <w:rPr>
                <w:color w:val="000000"/>
                <w:spacing w:val="1"/>
                <w:shd w:val="solid" w:color="000000" w:fill="000000"/>
                <w:fitText w:val="210" w:id="-1437438195"/>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281689A1" w14:textId="418F42CC" w:rsidR="00C95FCE" w:rsidRPr="004848D5" w:rsidRDefault="00204469" w:rsidP="00CD2ED2">
            <w:pPr>
              <w:pStyle w:val="TableText0"/>
              <w:jc w:val="center"/>
              <w:rPr>
                <w:highlight w:val="darkGray"/>
              </w:rPr>
            </w:pPr>
            <w:r w:rsidRPr="00204469">
              <w:rPr>
                <w:color w:val="000000"/>
                <w:spacing w:val="41"/>
                <w:shd w:val="solid" w:color="000000" w:fill="000000"/>
                <w:fitText w:val="210" w:id="-1437438194"/>
                <w14:textFill>
                  <w14:solidFill>
                    <w14:srgbClr w14:val="000000">
                      <w14:alpha w14:val="100000"/>
                    </w14:srgbClr>
                  </w14:solidFill>
                </w14:textFill>
              </w:rPr>
              <w:t>||</w:t>
            </w:r>
            <w:r w:rsidRPr="00204469">
              <w:rPr>
                <w:color w:val="000000"/>
                <w:spacing w:val="1"/>
                <w:shd w:val="solid" w:color="000000" w:fill="000000"/>
                <w:fitText w:val="210" w:id="-1437438194"/>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03AA9D04" w14:textId="6A43B3F3" w:rsidR="00C95FCE" w:rsidRPr="004848D5" w:rsidRDefault="00204469" w:rsidP="00CD2ED2">
            <w:pPr>
              <w:pStyle w:val="TableText0"/>
              <w:jc w:val="center"/>
              <w:rPr>
                <w:highlight w:val="darkGray"/>
              </w:rPr>
            </w:pPr>
            <w:r w:rsidRPr="00204469">
              <w:rPr>
                <w:color w:val="000000"/>
                <w:spacing w:val="41"/>
                <w:shd w:val="solid" w:color="000000" w:fill="000000"/>
                <w:fitText w:val="210" w:id="-1437438193"/>
                <w14:textFill>
                  <w14:solidFill>
                    <w14:srgbClr w14:val="000000">
                      <w14:alpha w14:val="100000"/>
                    </w14:srgbClr>
                  </w14:solidFill>
                </w14:textFill>
              </w:rPr>
              <w:t>||</w:t>
            </w:r>
            <w:r w:rsidRPr="00204469">
              <w:rPr>
                <w:color w:val="000000"/>
                <w:spacing w:val="1"/>
                <w:shd w:val="solid" w:color="000000" w:fill="000000"/>
                <w:fitText w:val="210" w:id="-1437438193"/>
                <w14:textFill>
                  <w14:solidFill>
                    <w14:srgbClr w14:val="000000">
                      <w14:alpha w14:val="100000"/>
                    </w14:srgbClr>
                  </w14:solidFill>
                </w14:textFill>
              </w:rPr>
              <w:t>|</w:t>
            </w:r>
            <w:r w:rsidR="004848D5" w:rsidRPr="004848D5">
              <w:rPr>
                <w:vertAlign w:val="superscript"/>
              </w:rPr>
              <w:t>1</w:t>
            </w:r>
          </w:p>
        </w:tc>
        <w:tc>
          <w:tcPr>
            <w:tcW w:w="519" w:type="pct"/>
            <w:tcBorders>
              <w:top w:val="single" w:sz="4" w:space="0" w:color="auto"/>
              <w:left w:val="nil"/>
              <w:bottom w:val="single" w:sz="4" w:space="0" w:color="auto"/>
              <w:right w:val="single" w:sz="4" w:space="0" w:color="auto"/>
            </w:tcBorders>
            <w:shd w:val="clear" w:color="auto" w:fill="auto"/>
          </w:tcPr>
          <w:p w14:paraId="4356466B" w14:textId="58E4EA03" w:rsidR="00C95FCE" w:rsidRPr="004848D5" w:rsidRDefault="00204469" w:rsidP="00CD2ED2">
            <w:pPr>
              <w:pStyle w:val="TableText0"/>
              <w:jc w:val="center"/>
              <w:rPr>
                <w:highlight w:val="darkGray"/>
              </w:rPr>
            </w:pPr>
            <w:r w:rsidRPr="00204469">
              <w:rPr>
                <w:color w:val="000000"/>
                <w:spacing w:val="51"/>
                <w:shd w:val="solid" w:color="000000" w:fill="000000"/>
                <w:fitText w:val="230" w:id="-1437438192"/>
                <w14:textFill>
                  <w14:solidFill>
                    <w14:srgbClr w14:val="000000">
                      <w14:alpha w14:val="100000"/>
                    </w14:srgbClr>
                  </w14:solidFill>
                </w14:textFill>
              </w:rPr>
              <w:t>||</w:t>
            </w:r>
            <w:r w:rsidRPr="00204469">
              <w:rPr>
                <w:color w:val="000000"/>
                <w:spacing w:val="1"/>
                <w:shd w:val="solid" w:color="000000" w:fill="000000"/>
                <w:fitText w:val="230" w:id="-1437438192"/>
                <w14:textFill>
                  <w14:solidFill>
                    <w14:srgbClr w14:val="000000">
                      <w14:alpha w14:val="100000"/>
                    </w14:srgbClr>
                  </w14:solidFill>
                </w14:textFill>
              </w:rPr>
              <w:t>|</w:t>
            </w:r>
            <w:r w:rsidR="004848D5" w:rsidRPr="004848D5">
              <w:rPr>
                <w:vertAlign w:val="superscript"/>
              </w:rPr>
              <w:t>1</w:t>
            </w:r>
          </w:p>
        </w:tc>
      </w:tr>
      <w:tr w:rsidR="00C95FCE" w:rsidRPr="00DB490D" w14:paraId="6A65A3EC" w14:textId="77777777" w:rsidTr="002F639B">
        <w:tc>
          <w:tcPr>
            <w:tcW w:w="241" w:type="pct"/>
            <w:vMerge/>
            <w:tcBorders>
              <w:left w:val="single" w:sz="4" w:space="0" w:color="auto"/>
              <w:bottom w:val="single" w:sz="4" w:space="0" w:color="auto"/>
              <w:right w:val="single" w:sz="4" w:space="0" w:color="auto"/>
            </w:tcBorders>
          </w:tcPr>
          <w:p w14:paraId="6BD6C4C6" w14:textId="77777777" w:rsidR="00C95FCE" w:rsidRPr="00DB490D" w:rsidRDefault="00C95FCE" w:rsidP="00CD2ED2">
            <w:pPr>
              <w:pStyle w:val="TableText0"/>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2947C070" w14:textId="2284B352" w:rsidR="00C95FCE" w:rsidRPr="00DB490D" w:rsidRDefault="00C95FCE" w:rsidP="00CD2ED2">
            <w:pPr>
              <w:pStyle w:val="TableText0"/>
              <w:ind w:left="720"/>
              <w:rPr>
                <w:iCs/>
              </w:rPr>
            </w:pPr>
            <w:r w:rsidRPr="00DB490D">
              <w:rPr>
                <w:iCs/>
              </w:rPr>
              <w:t>Corrected</w:t>
            </w: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40AE60BB" w14:textId="7B403745"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8"/>
                <w14:textFill>
                  <w14:solidFill>
                    <w14:srgbClr w14:val="000000">
                      <w14:alpha w14:val="100000"/>
                    </w14:srgbClr>
                  </w14:solidFill>
                </w14:textFill>
              </w:rPr>
              <w:t>||</w:t>
            </w:r>
            <w:r w:rsidRPr="00204469">
              <w:rPr>
                <w:color w:val="000000"/>
                <w:spacing w:val="1"/>
                <w:shd w:val="solid" w:color="000000" w:fill="000000"/>
                <w:fitText w:val="210" w:id="-1437438208"/>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7CC1A9D1" w14:textId="69302872"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7"/>
                <w14:textFill>
                  <w14:solidFill>
                    <w14:srgbClr w14:val="000000">
                      <w14:alpha w14:val="100000"/>
                    </w14:srgbClr>
                  </w14:solidFill>
                </w14:textFill>
              </w:rPr>
              <w:t>||</w:t>
            </w:r>
            <w:r w:rsidRPr="00204469">
              <w:rPr>
                <w:color w:val="000000"/>
                <w:spacing w:val="1"/>
                <w:shd w:val="solid" w:color="000000" w:fill="000000"/>
                <w:fitText w:val="210" w:id="-1437438207"/>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2C9CA67F" w14:textId="223ADE8F"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6"/>
                <w14:textFill>
                  <w14:solidFill>
                    <w14:srgbClr w14:val="000000">
                      <w14:alpha w14:val="100000"/>
                    </w14:srgbClr>
                  </w14:solidFill>
                </w14:textFill>
              </w:rPr>
              <w:t>||</w:t>
            </w:r>
            <w:r w:rsidRPr="00204469">
              <w:rPr>
                <w:color w:val="000000"/>
                <w:spacing w:val="1"/>
                <w:shd w:val="solid" w:color="000000" w:fill="000000"/>
                <w:fitText w:val="210" w:id="-1437438206"/>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10AC1B73" w14:textId="6E24DDF8"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5"/>
                <w14:textFill>
                  <w14:solidFill>
                    <w14:srgbClr w14:val="000000">
                      <w14:alpha w14:val="100000"/>
                    </w14:srgbClr>
                  </w14:solidFill>
                </w14:textFill>
              </w:rPr>
              <w:t>||</w:t>
            </w:r>
            <w:r w:rsidRPr="00204469">
              <w:rPr>
                <w:color w:val="000000"/>
                <w:spacing w:val="1"/>
                <w:shd w:val="solid" w:color="000000" w:fill="000000"/>
                <w:fitText w:val="210" w:id="-1437438205"/>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35A5BEEE" w14:textId="0B5D5687"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4"/>
                <w14:textFill>
                  <w14:solidFill>
                    <w14:srgbClr w14:val="000000">
                      <w14:alpha w14:val="100000"/>
                    </w14:srgbClr>
                  </w14:solidFill>
                </w14:textFill>
              </w:rPr>
              <w:t>||</w:t>
            </w:r>
            <w:r w:rsidRPr="00204469">
              <w:rPr>
                <w:color w:val="000000"/>
                <w:spacing w:val="1"/>
                <w:shd w:val="solid" w:color="000000" w:fill="000000"/>
                <w:fitText w:val="210" w:id="-1437438204"/>
                <w14:textFill>
                  <w14:solidFill>
                    <w14:srgbClr w14:val="000000">
                      <w14:alpha w14:val="100000"/>
                    </w14:srgbClr>
                  </w14:solidFill>
                </w14:textFill>
              </w:rPr>
              <w:t>|</w:t>
            </w:r>
            <w:r w:rsidR="004848D5" w:rsidRPr="004848D5">
              <w:rPr>
                <w:vertAlign w:val="superscript"/>
              </w:rPr>
              <w:t>1</w:t>
            </w:r>
          </w:p>
        </w:tc>
        <w:tc>
          <w:tcPr>
            <w:tcW w:w="519" w:type="pct"/>
            <w:tcBorders>
              <w:top w:val="single" w:sz="4" w:space="0" w:color="auto"/>
              <w:left w:val="nil"/>
              <w:bottom w:val="single" w:sz="4" w:space="0" w:color="auto"/>
              <w:right w:val="single" w:sz="4" w:space="0" w:color="auto"/>
            </w:tcBorders>
            <w:shd w:val="clear" w:color="auto" w:fill="auto"/>
          </w:tcPr>
          <w:p w14:paraId="329A741F" w14:textId="69B45650" w:rsidR="00C95FCE" w:rsidRPr="004848D5" w:rsidRDefault="00204469" w:rsidP="00CD2ED2">
            <w:pPr>
              <w:pStyle w:val="TableText0"/>
              <w:jc w:val="center"/>
              <w:rPr>
                <w:highlight w:val="darkGray"/>
              </w:rPr>
            </w:pPr>
            <w:r w:rsidRPr="00204469">
              <w:rPr>
                <w:color w:val="000000"/>
                <w:spacing w:val="51"/>
                <w:shd w:val="solid" w:color="000000" w:fill="000000"/>
                <w:fitText w:val="230" w:id="-1437438203"/>
                <w14:textFill>
                  <w14:solidFill>
                    <w14:srgbClr w14:val="000000">
                      <w14:alpha w14:val="100000"/>
                    </w14:srgbClr>
                  </w14:solidFill>
                </w14:textFill>
              </w:rPr>
              <w:t>||</w:t>
            </w:r>
            <w:r w:rsidRPr="00204469">
              <w:rPr>
                <w:color w:val="000000"/>
                <w:spacing w:val="1"/>
                <w:shd w:val="solid" w:color="000000" w:fill="000000"/>
                <w:fitText w:val="230" w:id="-1437438203"/>
                <w14:textFill>
                  <w14:solidFill>
                    <w14:srgbClr w14:val="000000">
                      <w14:alpha w14:val="100000"/>
                    </w14:srgbClr>
                  </w14:solidFill>
                </w14:textFill>
              </w:rPr>
              <w:t>|</w:t>
            </w:r>
            <w:r w:rsidR="00E613E3">
              <w:rPr>
                <w:vertAlign w:val="superscript"/>
              </w:rPr>
              <w:t>2</w:t>
            </w:r>
          </w:p>
        </w:tc>
      </w:tr>
      <w:tr w:rsidR="00C95FCE" w:rsidRPr="0040247D" w14:paraId="6A09528D" w14:textId="77777777" w:rsidTr="002F639B">
        <w:tc>
          <w:tcPr>
            <w:tcW w:w="241" w:type="pct"/>
            <w:vMerge w:val="restart"/>
            <w:tcBorders>
              <w:top w:val="single" w:sz="4" w:space="0" w:color="auto"/>
              <w:left w:val="single" w:sz="4" w:space="0" w:color="auto"/>
              <w:right w:val="single" w:sz="4" w:space="0" w:color="auto"/>
            </w:tcBorders>
          </w:tcPr>
          <w:p w14:paraId="09B11B61" w14:textId="5BFDECB1" w:rsidR="00C95FCE" w:rsidRPr="0040247D" w:rsidRDefault="00C95FCE" w:rsidP="00CD2ED2">
            <w:pPr>
              <w:pStyle w:val="TableText0"/>
            </w:pPr>
            <w:r>
              <w:t>B</w:t>
            </w:r>
            <w:r w:rsidRPr="0040247D">
              <w:t>3</w:t>
            </w: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6A73FF46" w14:textId="06A768C5" w:rsidR="00C95FCE" w:rsidRPr="0040247D" w:rsidRDefault="00C95FCE" w:rsidP="00CD2ED2">
            <w:pPr>
              <w:pStyle w:val="TableText0"/>
            </w:pPr>
            <w:r w:rsidRPr="0040247D">
              <w:t xml:space="preserve">Total script numbers – total </w:t>
            </w:r>
            <w:r>
              <w:t xml:space="preserve">(in the submission) </w:t>
            </w: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7F15129E" w14:textId="477F6AE4"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2"/>
                <w14:textFill>
                  <w14:solidFill>
                    <w14:srgbClr w14:val="000000">
                      <w14:alpha w14:val="100000"/>
                    </w14:srgbClr>
                  </w14:solidFill>
                </w14:textFill>
              </w:rPr>
              <w:t>||</w:t>
            </w:r>
            <w:r w:rsidRPr="00204469">
              <w:rPr>
                <w:color w:val="000000"/>
                <w:spacing w:val="1"/>
                <w:shd w:val="solid" w:color="000000" w:fill="000000"/>
                <w:fitText w:val="210" w:id="-1437438202"/>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667830B5" w14:textId="0242C9F0"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1"/>
                <w14:textFill>
                  <w14:solidFill>
                    <w14:srgbClr w14:val="000000">
                      <w14:alpha w14:val="100000"/>
                    </w14:srgbClr>
                  </w14:solidFill>
                </w14:textFill>
              </w:rPr>
              <w:t>||</w:t>
            </w:r>
            <w:r w:rsidRPr="00204469">
              <w:rPr>
                <w:color w:val="000000"/>
                <w:spacing w:val="1"/>
                <w:shd w:val="solid" w:color="000000" w:fill="000000"/>
                <w:fitText w:val="210" w:id="-1437438201"/>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2BF16C97" w14:textId="4F908112" w:rsidR="00C95FCE" w:rsidRPr="004848D5" w:rsidRDefault="00204469" w:rsidP="00CD2ED2">
            <w:pPr>
              <w:pStyle w:val="TableText0"/>
              <w:jc w:val="center"/>
              <w:rPr>
                <w:highlight w:val="darkGray"/>
              </w:rPr>
            </w:pPr>
            <w:r w:rsidRPr="00204469">
              <w:rPr>
                <w:color w:val="000000"/>
                <w:spacing w:val="41"/>
                <w:shd w:val="solid" w:color="000000" w:fill="000000"/>
                <w:fitText w:val="210" w:id="-1437438200"/>
                <w14:textFill>
                  <w14:solidFill>
                    <w14:srgbClr w14:val="000000">
                      <w14:alpha w14:val="100000"/>
                    </w14:srgbClr>
                  </w14:solidFill>
                </w14:textFill>
              </w:rPr>
              <w:t>||</w:t>
            </w:r>
            <w:r w:rsidRPr="00204469">
              <w:rPr>
                <w:color w:val="000000"/>
                <w:spacing w:val="1"/>
                <w:shd w:val="solid" w:color="000000" w:fill="000000"/>
                <w:fitText w:val="210" w:id="-1437438200"/>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67DFB8B7" w14:textId="7479B9E0" w:rsidR="00C95FCE" w:rsidRPr="004848D5" w:rsidRDefault="00204469" w:rsidP="00CD2ED2">
            <w:pPr>
              <w:pStyle w:val="TableText0"/>
              <w:jc w:val="center"/>
              <w:rPr>
                <w:highlight w:val="darkGray"/>
              </w:rPr>
            </w:pPr>
            <w:r w:rsidRPr="00204469">
              <w:rPr>
                <w:color w:val="000000"/>
                <w:spacing w:val="41"/>
                <w:shd w:val="solid" w:color="000000" w:fill="000000"/>
                <w:fitText w:val="210" w:id="-1437438199"/>
                <w14:textFill>
                  <w14:solidFill>
                    <w14:srgbClr w14:val="000000">
                      <w14:alpha w14:val="100000"/>
                    </w14:srgbClr>
                  </w14:solidFill>
                </w14:textFill>
              </w:rPr>
              <w:t>||</w:t>
            </w:r>
            <w:r w:rsidRPr="00204469">
              <w:rPr>
                <w:color w:val="000000"/>
                <w:spacing w:val="1"/>
                <w:shd w:val="solid" w:color="000000" w:fill="000000"/>
                <w:fitText w:val="210" w:id="-1437438199"/>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0CBE38D9" w14:textId="51833044" w:rsidR="00C95FCE" w:rsidRPr="004848D5" w:rsidRDefault="00204469" w:rsidP="00CD2ED2">
            <w:pPr>
              <w:pStyle w:val="TableText0"/>
              <w:jc w:val="center"/>
              <w:rPr>
                <w:highlight w:val="darkGray"/>
              </w:rPr>
            </w:pPr>
            <w:r w:rsidRPr="00204469">
              <w:rPr>
                <w:color w:val="000000"/>
                <w:spacing w:val="41"/>
                <w:shd w:val="solid" w:color="000000" w:fill="000000"/>
                <w:fitText w:val="210" w:id="-1437438198"/>
                <w14:textFill>
                  <w14:solidFill>
                    <w14:srgbClr w14:val="000000">
                      <w14:alpha w14:val="100000"/>
                    </w14:srgbClr>
                  </w14:solidFill>
                </w14:textFill>
              </w:rPr>
              <w:t>||</w:t>
            </w:r>
            <w:r w:rsidRPr="00204469">
              <w:rPr>
                <w:color w:val="000000"/>
                <w:spacing w:val="1"/>
                <w:shd w:val="solid" w:color="000000" w:fill="000000"/>
                <w:fitText w:val="210" w:id="-1437438198"/>
                <w14:textFill>
                  <w14:solidFill>
                    <w14:srgbClr w14:val="000000">
                      <w14:alpha w14:val="100000"/>
                    </w14:srgbClr>
                  </w14:solidFill>
                </w14:textFill>
              </w:rPr>
              <w:t>|</w:t>
            </w:r>
            <w:r w:rsidR="004848D5" w:rsidRPr="004848D5">
              <w:rPr>
                <w:vertAlign w:val="superscript"/>
              </w:rPr>
              <w:t>1</w:t>
            </w:r>
          </w:p>
        </w:tc>
        <w:tc>
          <w:tcPr>
            <w:tcW w:w="519" w:type="pct"/>
            <w:tcBorders>
              <w:top w:val="single" w:sz="4" w:space="0" w:color="auto"/>
              <w:left w:val="nil"/>
              <w:bottom w:val="single" w:sz="4" w:space="0" w:color="auto"/>
              <w:right w:val="single" w:sz="4" w:space="0" w:color="auto"/>
            </w:tcBorders>
            <w:shd w:val="clear" w:color="auto" w:fill="auto"/>
          </w:tcPr>
          <w:p w14:paraId="789793AD" w14:textId="4467E3DB" w:rsidR="00C95FCE" w:rsidRPr="004848D5" w:rsidRDefault="00204469" w:rsidP="00CD2ED2">
            <w:pPr>
              <w:pStyle w:val="TableText0"/>
              <w:jc w:val="center"/>
              <w:rPr>
                <w:highlight w:val="darkGray"/>
              </w:rPr>
            </w:pPr>
            <w:r w:rsidRPr="00204469">
              <w:rPr>
                <w:color w:val="000000"/>
                <w:spacing w:val="51"/>
                <w:shd w:val="solid" w:color="000000" w:fill="000000"/>
                <w:fitText w:val="230" w:id="-1437438197"/>
                <w14:textFill>
                  <w14:solidFill>
                    <w14:srgbClr w14:val="000000">
                      <w14:alpha w14:val="100000"/>
                    </w14:srgbClr>
                  </w14:solidFill>
                </w14:textFill>
              </w:rPr>
              <w:t>||</w:t>
            </w:r>
            <w:r w:rsidRPr="00204469">
              <w:rPr>
                <w:color w:val="000000"/>
                <w:spacing w:val="1"/>
                <w:shd w:val="solid" w:color="000000" w:fill="000000"/>
                <w:fitText w:val="230" w:id="-1437438197"/>
                <w14:textFill>
                  <w14:solidFill>
                    <w14:srgbClr w14:val="000000">
                      <w14:alpha w14:val="100000"/>
                    </w14:srgbClr>
                  </w14:solidFill>
                </w14:textFill>
              </w:rPr>
              <w:t>|</w:t>
            </w:r>
            <w:r w:rsidR="004848D5" w:rsidRPr="004848D5">
              <w:rPr>
                <w:vertAlign w:val="superscript"/>
              </w:rPr>
              <w:t>1</w:t>
            </w:r>
          </w:p>
        </w:tc>
      </w:tr>
      <w:tr w:rsidR="00C95FCE" w:rsidRPr="00DB490D" w14:paraId="2E2BFB34" w14:textId="77777777" w:rsidTr="002F639B">
        <w:tc>
          <w:tcPr>
            <w:tcW w:w="241" w:type="pct"/>
            <w:vMerge/>
            <w:tcBorders>
              <w:left w:val="single" w:sz="4" w:space="0" w:color="auto"/>
              <w:bottom w:val="single" w:sz="4" w:space="0" w:color="auto"/>
              <w:right w:val="single" w:sz="4" w:space="0" w:color="auto"/>
            </w:tcBorders>
          </w:tcPr>
          <w:p w14:paraId="67A05C21" w14:textId="77777777" w:rsidR="00C95FCE" w:rsidRPr="00DB490D" w:rsidRDefault="00C95FCE" w:rsidP="00CD2ED2">
            <w:pPr>
              <w:pStyle w:val="TableText0"/>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0DFB54E7" w14:textId="23C245E8" w:rsidR="00C95FCE" w:rsidRPr="00DB490D" w:rsidRDefault="00C95FCE" w:rsidP="00CD2ED2">
            <w:pPr>
              <w:pStyle w:val="TableText0"/>
              <w:ind w:left="720"/>
              <w:rPr>
                <w:iCs/>
              </w:rPr>
            </w:pPr>
            <w:r w:rsidRPr="00DB490D">
              <w:rPr>
                <w:iCs/>
              </w:rPr>
              <w:t>Corrected</w:t>
            </w: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7DF4DF81" w14:textId="2C5981B4" w:rsidR="00C95FCE" w:rsidRPr="004848D5" w:rsidRDefault="00204469" w:rsidP="00CD2ED2">
            <w:pPr>
              <w:pStyle w:val="TableText0"/>
              <w:jc w:val="center"/>
              <w:rPr>
                <w:highlight w:val="darkGray"/>
              </w:rPr>
            </w:pPr>
            <w:r w:rsidRPr="00204469">
              <w:rPr>
                <w:color w:val="000000"/>
                <w:spacing w:val="41"/>
                <w:shd w:val="solid" w:color="000000" w:fill="000000"/>
                <w:fitText w:val="210" w:id="-1437438196"/>
                <w14:textFill>
                  <w14:solidFill>
                    <w14:srgbClr w14:val="000000">
                      <w14:alpha w14:val="100000"/>
                    </w14:srgbClr>
                  </w14:solidFill>
                </w14:textFill>
              </w:rPr>
              <w:t>||</w:t>
            </w:r>
            <w:r w:rsidRPr="00204469">
              <w:rPr>
                <w:color w:val="000000"/>
                <w:spacing w:val="1"/>
                <w:shd w:val="solid" w:color="000000" w:fill="000000"/>
                <w:fitText w:val="210" w:id="-1437438196"/>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362F63E8" w14:textId="1EDBE225" w:rsidR="00C95FCE" w:rsidRPr="004848D5" w:rsidRDefault="00204469" w:rsidP="00CD2ED2">
            <w:pPr>
              <w:pStyle w:val="TableText0"/>
              <w:jc w:val="center"/>
              <w:rPr>
                <w:highlight w:val="darkGray"/>
              </w:rPr>
            </w:pPr>
            <w:r w:rsidRPr="00204469">
              <w:rPr>
                <w:color w:val="000000"/>
                <w:spacing w:val="41"/>
                <w:shd w:val="solid" w:color="000000" w:fill="000000"/>
                <w:fitText w:val="210" w:id="-1437438195"/>
                <w14:textFill>
                  <w14:solidFill>
                    <w14:srgbClr w14:val="000000">
                      <w14:alpha w14:val="100000"/>
                    </w14:srgbClr>
                  </w14:solidFill>
                </w14:textFill>
              </w:rPr>
              <w:t>||</w:t>
            </w:r>
            <w:r w:rsidRPr="00204469">
              <w:rPr>
                <w:color w:val="000000"/>
                <w:spacing w:val="1"/>
                <w:shd w:val="solid" w:color="000000" w:fill="000000"/>
                <w:fitText w:val="210" w:id="-1437438195"/>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5318817D" w14:textId="5C421799" w:rsidR="00C95FCE" w:rsidRPr="004848D5" w:rsidRDefault="00204469" w:rsidP="00CD2ED2">
            <w:pPr>
              <w:pStyle w:val="TableText0"/>
              <w:jc w:val="center"/>
              <w:rPr>
                <w:highlight w:val="darkGray"/>
              </w:rPr>
            </w:pPr>
            <w:r w:rsidRPr="00204469">
              <w:rPr>
                <w:color w:val="000000"/>
                <w:spacing w:val="41"/>
                <w:shd w:val="solid" w:color="000000" w:fill="000000"/>
                <w:fitText w:val="210" w:id="-1437438194"/>
                <w14:textFill>
                  <w14:solidFill>
                    <w14:srgbClr w14:val="000000">
                      <w14:alpha w14:val="100000"/>
                    </w14:srgbClr>
                  </w14:solidFill>
                </w14:textFill>
              </w:rPr>
              <w:t>||</w:t>
            </w:r>
            <w:r w:rsidRPr="00204469">
              <w:rPr>
                <w:color w:val="000000"/>
                <w:spacing w:val="1"/>
                <w:shd w:val="solid" w:color="000000" w:fill="000000"/>
                <w:fitText w:val="210" w:id="-1437438194"/>
                <w14:textFill>
                  <w14:solidFill>
                    <w14:srgbClr w14:val="000000">
                      <w14:alpha w14:val="100000"/>
                    </w14:srgbClr>
                  </w14:solidFill>
                </w14:textFill>
              </w:rPr>
              <w:t>|</w:t>
            </w:r>
            <w:r w:rsidR="004848D5" w:rsidRPr="004848D5">
              <w:rPr>
                <w:vertAlign w:val="superscript"/>
              </w:rPr>
              <w:t>1</w:t>
            </w:r>
          </w:p>
        </w:tc>
        <w:tc>
          <w:tcPr>
            <w:tcW w:w="544" w:type="pct"/>
            <w:tcBorders>
              <w:top w:val="single" w:sz="4" w:space="0" w:color="auto"/>
              <w:left w:val="nil"/>
              <w:bottom w:val="single" w:sz="4" w:space="0" w:color="auto"/>
              <w:right w:val="single" w:sz="4" w:space="0" w:color="auto"/>
            </w:tcBorders>
            <w:shd w:val="clear" w:color="auto" w:fill="auto"/>
          </w:tcPr>
          <w:p w14:paraId="6E2C79D0" w14:textId="38F1853A" w:rsidR="00C95FCE" w:rsidRPr="004848D5" w:rsidRDefault="00204469" w:rsidP="00CD2ED2">
            <w:pPr>
              <w:pStyle w:val="TableText0"/>
              <w:jc w:val="center"/>
              <w:rPr>
                <w:highlight w:val="darkGray"/>
              </w:rPr>
            </w:pPr>
            <w:r w:rsidRPr="00204469">
              <w:rPr>
                <w:color w:val="000000"/>
                <w:spacing w:val="41"/>
                <w:shd w:val="solid" w:color="000000" w:fill="000000"/>
                <w:fitText w:val="210" w:id="-1437438193"/>
                <w14:textFill>
                  <w14:solidFill>
                    <w14:srgbClr w14:val="000000">
                      <w14:alpha w14:val="100000"/>
                    </w14:srgbClr>
                  </w14:solidFill>
                </w14:textFill>
              </w:rPr>
              <w:t>||</w:t>
            </w:r>
            <w:r w:rsidRPr="00204469">
              <w:rPr>
                <w:color w:val="000000"/>
                <w:spacing w:val="1"/>
                <w:shd w:val="solid" w:color="000000" w:fill="000000"/>
                <w:fitText w:val="210" w:id="-1437438193"/>
                <w14:textFill>
                  <w14:solidFill>
                    <w14:srgbClr w14:val="000000">
                      <w14:alpha w14:val="100000"/>
                    </w14:srgbClr>
                  </w14:solidFill>
                </w14:textFill>
              </w:rPr>
              <w:t>|</w:t>
            </w:r>
            <w:r w:rsidR="004848D5">
              <w:rPr>
                <w:vertAlign w:val="superscript"/>
              </w:rPr>
              <w:t>2</w:t>
            </w:r>
          </w:p>
        </w:tc>
        <w:tc>
          <w:tcPr>
            <w:tcW w:w="544" w:type="pct"/>
            <w:tcBorders>
              <w:top w:val="single" w:sz="4" w:space="0" w:color="auto"/>
              <w:left w:val="nil"/>
              <w:bottom w:val="single" w:sz="4" w:space="0" w:color="auto"/>
              <w:right w:val="single" w:sz="4" w:space="0" w:color="auto"/>
            </w:tcBorders>
            <w:shd w:val="clear" w:color="auto" w:fill="auto"/>
          </w:tcPr>
          <w:p w14:paraId="3B4A25DC" w14:textId="45A53F8C" w:rsidR="00C95FCE" w:rsidRPr="004848D5" w:rsidRDefault="00204469" w:rsidP="00CD2ED2">
            <w:pPr>
              <w:pStyle w:val="TableText0"/>
              <w:jc w:val="center"/>
              <w:rPr>
                <w:highlight w:val="darkGray"/>
              </w:rPr>
            </w:pPr>
            <w:r w:rsidRPr="00204469">
              <w:rPr>
                <w:color w:val="000000"/>
                <w:spacing w:val="41"/>
                <w:shd w:val="solid" w:color="000000" w:fill="000000"/>
                <w:fitText w:val="210" w:id="-1437438192"/>
                <w14:textFill>
                  <w14:solidFill>
                    <w14:srgbClr w14:val="000000">
                      <w14:alpha w14:val="100000"/>
                    </w14:srgbClr>
                  </w14:solidFill>
                </w14:textFill>
              </w:rPr>
              <w:t>||</w:t>
            </w:r>
            <w:r w:rsidRPr="00204469">
              <w:rPr>
                <w:color w:val="000000"/>
                <w:spacing w:val="1"/>
                <w:shd w:val="solid" w:color="000000" w:fill="000000"/>
                <w:fitText w:val="210" w:id="-1437438192"/>
                <w14:textFill>
                  <w14:solidFill>
                    <w14:srgbClr w14:val="000000">
                      <w14:alpha w14:val="100000"/>
                    </w14:srgbClr>
                  </w14:solidFill>
                </w14:textFill>
              </w:rPr>
              <w:t>|</w:t>
            </w:r>
            <w:r w:rsidR="00E613E3">
              <w:rPr>
                <w:vertAlign w:val="superscript"/>
              </w:rPr>
              <w:t>2</w:t>
            </w:r>
          </w:p>
        </w:tc>
        <w:tc>
          <w:tcPr>
            <w:tcW w:w="519" w:type="pct"/>
            <w:tcBorders>
              <w:top w:val="single" w:sz="4" w:space="0" w:color="auto"/>
              <w:left w:val="nil"/>
              <w:bottom w:val="single" w:sz="4" w:space="0" w:color="auto"/>
              <w:right w:val="single" w:sz="4" w:space="0" w:color="auto"/>
            </w:tcBorders>
            <w:shd w:val="clear" w:color="auto" w:fill="auto"/>
          </w:tcPr>
          <w:p w14:paraId="269B4828" w14:textId="5183FFC4" w:rsidR="00C95FCE" w:rsidRPr="004848D5" w:rsidRDefault="00204469" w:rsidP="00CD2ED2">
            <w:pPr>
              <w:pStyle w:val="TableText0"/>
              <w:jc w:val="center"/>
              <w:rPr>
                <w:highlight w:val="darkGray"/>
              </w:rPr>
            </w:pPr>
            <w:r w:rsidRPr="00204469">
              <w:rPr>
                <w:color w:val="000000"/>
                <w:spacing w:val="51"/>
                <w:shd w:val="solid" w:color="000000" w:fill="000000"/>
                <w:fitText w:val="230" w:id="-1437438208"/>
                <w14:textFill>
                  <w14:solidFill>
                    <w14:srgbClr w14:val="000000">
                      <w14:alpha w14:val="100000"/>
                    </w14:srgbClr>
                  </w14:solidFill>
                </w14:textFill>
              </w:rPr>
              <w:t>||</w:t>
            </w:r>
            <w:r w:rsidRPr="00204469">
              <w:rPr>
                <w:color w:val="000000"/>
                <w:spacing w:val="1"/>
                <w:shd w:val="solid" w:color="000000" w:fill="000000"/>
                <w:fitText w:val="230" w:id="-1437438208"/>
                <w14:textFill>
                  <w14:solidFill>
                    <w14:srgbClr w14:val="000000">
                      <w14:alpha w14:val="100000"/>
                    </w14:srgbClr>
                  </w14:solidFill>
                </w14:textFill>
              </w:rPr>
              <w:t>|</w:t>
            </w:r>
            <w:r w:rsidR="00E613E3">
              <w:rPr>
                <w:vertAlign w:val="superscript"/>
              </w:rPr>
              <w:t>2</w:t>
            </w:r>
          </w:p>
        </w:tc>
      </w:tr>
    </w:tbl>
    <w:p w14:paraId="22B073DE" w14:textId="6659C08C" w:rsidR="004948F0" w:rsidRPr="00DB490D" w:rsidRDefault="00840CC4" w:rsidP="007F7080">
      <w:pPr>
        <w:pStyle w:val="TableFigureFooter"/>
        <w:widowControl w:val="0"/>
        <w:rPr>
          <w:iCs/>
        </w:rPr>
      </w:pPr>
      <w:r w:rsidRPr="0040247D">
        <w:t>Source: Table 4-4, p108 of the submission; Financial estimate spreadsheet of submission, ‘</w:t>
      </w:r>
      <w:proofErr w:type="spellStart"/>
      <w:r w:rsidRPr="0040247D">
        <w:t>Eligard</w:t>
      </w:r>
      <w:proofErr w:type="spellEnd"/>
      <w:r w:rsidRPr="0040247D">
        <w:t xml:space="preserve"> - Leuprorelin - CPP - Financial Estimates - Base Case - 28 Feb 2022’ </w:t>
      </w:r>
      <w:r w:rsidRPr="00DB490D">
        <w:rPr>
          <w:iCs/>
        </w:rPr>
        <w:t>and during the evaluation</w:t>
      </w:r>
    </w:p>
    <w:p w14:paraId="03E68F8F" w14:textId="5483B18B" w:rsidR="00BA4431" w:rsidRDefault="00253721" w:rsidP="004848D5">
      <w:pPr>
        <w:pStyle w:val="TableFigureFooter"/>
        <w:widowControl w:val="0"/>
        <w:spacing w:after="0"/>
        <w:rPr>
          <w:iCs/>
        </w:rPr>
      </w:pPr>
      <w:r w:rsidRPr="00DB490D">
        <w:rPr>
          <w:iCs/>
        </w:rPr>
        <w:t xml:space="preserve">Note: the submission made a calculation error resulting to a substantially lower script </w:t>
      </w:r>
      <w:r w:rsidR="00A8397B" w:rsidRPr="00DB490D">
        <w:rPr>
          <w:iCs/>
        </w:rPr>
        <w:t>estimates</w:t>
      </w:r>
      <w:r w:rsidR="00502CF5" w:rsidRPr="00DB490D">
        <w:rPr>
          <w:iCs/>
        </w:rPr>
        <w:t xml:space="preserve"> as explained in 6.29 above</w:t>
      </w:r>
      <w:r w:rsidR="00A8397B" w:rsidRPr="00DB490D">
        <w:rPr>
          <w:iCs/>
        </w:rPr>
        <w:t>. The corrected estimations were calculated using the submission’s methodology, which is based on the average growth rates of 26% for initiation, 21% for continuation, and 22% for total, but with the correct scripts of 2021 (1,206 for initiation and 1,895 for continuation, rather than 552 for initiation and 859 for continuation in the submission).</w:t>
      </w:r>
      <w:r w:rsidR="004948F0" w:rsidRPr="00DB490D">
        <w:rPr>
          <w:iCs/>
        </w:rPr>
        <w:t xml:space="preserve"> </w:t>
      </w:r>
    </w:p>
    <w:p w14:paraId="157C957F" w14:textId="77777777" w:rsidR="004848D5" w:rsidRPr="009A6D58" w:rsidRDefault="004848D5" w:rsidP="004848D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77FE035" w14:textId="1EA2386D" w:rsidR="004848D5" w:rsidRPr="00C51E46" w:rsidRDefault="004848D5" w:rsidP="004848D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E613E3">
        <w:rPr>
          <w:rFonts w:ascii="Arial Narrow" w:hAnsi="Arial Narrow"/>
          <w:i/>
          <w:sz w:val="18"/>
          <w:szCs w:val="18"/>
        </w:rPr>
        <w:t>&lt; 500</w:t>
      </w:r>
    </w:p>
    <w:p w14:paraId="2FC93E80" w14:textId="6CD83DBF" w:rsidR="004848D5" w:rsidRPr="009A6D58" w:rsidRDefault="004848D5" w:rsidP="004848D5">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E613E3" w:rsidRPr="00C51E46">
        <w:rPr>
          <w:rFonts w:ascii="Arial Narrow" w:hAnsi="Arial Narrow"/>
          <w:i/>
          <w:sz w:val="18"/>
          <w:szCs w:val="18"/>
        </w:rPr>
        <w:t>500 to &lt; 5,000</w:t>
      </w:r>
    </w:p>
    <w:p w14:paraId="5B3EF929" w14:textId="77777777" w:rsidR="004848D5" w:rsidRPr="00DB490D" w:rsidRDefault="004848D5" w:rsidP="007F7080">
      <w:pPr>
        <w:pStyle w:val="TableFigureFooter"/>
        <w:widowControl w:val="0"/>
        <w:rPr>
          <w:iCs/>
        </w:rPr>
      </w:pPr>
    </w:p>
    <w:p w14:paraId="2A656A0D" w14:textId="7DF1DDF0" w:rsidR="00344759" w:rsidRPr="0040247D" w:rsidRDefault="00120D5A" w:rsidP="0055154C">
      <w:pPr>
        <w:pStyle w:val="3-BodyText"/>
        <w:widowControl w:val="0"/>
        <w:ind w:left="709"/>
      </w:pPr>
      <w:r w:rsidRPr="009314D5">
        <w:t>The submission did not use the most</w:t>
      </w:r>
      <w:r w:rsidR="00502CF5" w:rsidRPr="009314D5">
        <w:t xml:space="preserve"> recently</w:t>
      </w:r>
      <w:r w:rsidRPr="009314D5">
        <w:t xml:space="preserve"> </w:t>
      </w:r>
      <w:r w:rsidR="00F9662B" w:rsidRPr="009314D5">
        <w:t>updated DPMQ</w:t>
      </w:r>
      <w:r w:rsidRPr="009314D5">
        <w:t xml:space="preserve"> for </w:t>
      </w:r>
      <w:proofErr w:type="spellStart"/>
      <w:r w:rsidR="002B4FCF" w:rsidRPr="009314D5">
        <w:t>Lucrin</w:t>
      </w:r>
      <w:proofErr w:type="spellEnd"/>
      <w:r w:rsidR="002B4FCF" w:rsidRPr="009314D5">
        <w:t xml:space="preserve"> Paediatric</w:t>
      </w:r>
      <w:r w:rsidRPr="009314D5">
        <w:t xml:space="preserve"> ($951.64). This led to an over-estimation of the PBS cost savings</w:t>
      </w:r>
      <w:r w:rsidRPr="00DB490D">
        <w:rPr>
          <w:iCs/>
        </w:rPr>
        <w:t>.</w:t>
      </w:r>
      <w:r w:rsidRPr="0040247D">
        <w:t xml:space="preserve"> </w:t>
      </w:r>
      <w:r w:rsidR="00992299" w:rsidRPr="0040247D">
        <w:t xml:space="preserve">The estimated financial implications of listing </w:t>
      </w:r>
      <w:proofErr w:type="spellStart"/>
      <w:r w:rsidR="0093038A" w:rsidRPr="0040247D">
        <w:t>Eligard</w:t>
      </w:r>
      <w:proofErr w:type="spellEnd"/>
      <w:r w:rsidR="0093038A" w:rsidRPr="0040247D">
        <w:t xml:space="preserve"> </w:t>
      </w:r>
      <w:r w:rsidR="00476206" w:rsidRPr="0040247D">
        <w:t xml:space="preserve">6 month </w:t>
      </w:r>
      <w:r w:rsidR="00992299" w:rsidRPr="0040247D">
        <w:t>are shown in</w:t>
      </w:r>
      <w:r w:rsidR="00897007" w:rsidRPr="0040247D">
        <w:t xml:space="preserve"> </w:t>
      </w:r>
      <w:r w:rsidR="00897007" w:rsidRPr="0040247D">
        <w:fldChar w:fldCharType="begin"/>
      </w:r>
      <w:r w:rsidR="00897007" w:rsidRPr="0040247D">
        <w:instrText xml:space="preserve"> REF _Ref102728282 \h </w:instrText>
      </w:r>
      <w:r w:rsidR="00897007" w:rsidRPr="0040247D">
        <w:fldChar w:fldCharType="separate"/>
      </w:r>
      <w:r w:rsidR="00897007" w:rsidRPr="0040247D">
        <w:t>Table 12</w:t>
      </w:r>
      <w:r w:rsidR="00897007" w:rsidRPr="0040247D">
        <w:fldChar w:fldCharType="end"/>
      </w:r>
      <w:r w:rsidR="00992299" w:rsidRPr="0040247D">
        <w:t>.</w:t>
      </w:r>
    </w:p>
    <w:p w14:paraId="771BB802" w14:textId="3128D2FA" w:rsidR="00476206" w:rsidRPr="00DC0CB4" w:rsidRDefault="00F60FC3" w:rsidP="00DC0CB4">
      <w:pPr>
        <w:pStyle w:val="TableFigureHeading"/>
        <w:rPr>
          <w:rStyle w:val="CommentReference"/>
          <w:b/>
          <w:szCs w:val="24"/>
        </w:rPr>
      </w:pPr>
      <w:bookmarkStart w:id="39" w:name="_Ref102728282"/>
      <w:r w:rsidRPr="00DC0CB4">
        <w:t xml:space="preserve">Table </w:t>
      </w:r>
      <w:fldSimple w:instr=" SEQ Table \* ARABIC ">
        <w:r w:rsidRPr="00DC0CB4">
          <w:t>12</w:t>
        </w:r>
      </w:fldSimple>
      <w:bookmarkEnd w:id="39"/>
      <w:r w:rsidR="00476206" w:rsidRPr="00DC0CB4">
        <w:rPr>
          <w:rStyle w:val="CommentReference"/>
          <w:b/>
          <w:szCs w:val="24"/>
        </w:rPr>
        <w:t xml:space="preserve">: Estimated net cost of </w:t>
      </w:r>
      <w:proofErr w:type="spellStart"/>
      <w:r w:rsidR="00476206" w:rsidRPr="00DC0CB4">
        <w:rPr>
          <w:rStyle w:val="CommentReference"/>
          <w:b/>
          <w:szCs w:val="24"/>
        </w:rPr>
        <w:t>Eligard</w:t>
      </w:r>
      <w:proofErr w:type="spellEnd"/>
      <w:r w:rsidR="00476206" w:rsidRPr="00DC0CB4">
        <w:rPr>
          <w:rStyle w:val="CommentReference"/>
          <w:b/>
          <w:szCs w:val="24"/>
        </w:rPr>
        <w:t xml:space="preserve"> 6 month to the PBS/RPBS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Estimated net cost of Eligard 6 month to the PBS/RPBS"/>
        <w:tblDescription w:val="Table 12: Estimated net cost of Eligard 6 month to the PBS/RPBS"/>
      </w:tblPr>
      <w:tblGrid>
        <w:gridCol w:w="2830"/>
        <w:gridCol w:w="993"/>
        <w:gridCol w:w="992"/>
        <w:gridCol w:w="992"/>
        <w:gridCol w:w="992"/>
        <w:gridCol w:w="993"/>
        <w:gridCol w:w="992"/>
      </w:tblGrid>
      <w:tr w:rsidR="00067771" w:rsidRPr="0040247D" w14:paraId="3F9F98C0" w14:textId="77777777" w:rsidTr="009F7991">
        <w:trPr>
          <w:tblHeader/>
        </w:trPr>
        <w:tc>
          <w:tcPr>
            <w:tcW w:w="2830" w:type="dxa"/>
            <w:shd w:val="clear" w:color="auto" w:fill="auto"/>
            <w:vAlign w:val="center"/>
          </w:tcPr>
          <w:p w14:paraId="7D6F0ADA" w14:textId="77777777" w:rsidR="00476206" w:rsidRPr="0040247D" w:rsidRDefault="00476206" w:rsidP="007F7080">
            <w:pPr>
              <w:pStyle w:val="In-tableHeading"/>
              <w:keepNext w:val="0"/>
              <w:widowControl w:val="0"/>
              <w:rPr>
                <w:lang w:val="en-AU"/>
              </w:rPr>
            </w:pPr>
          </w:p>
        </w:tc>
        <w:tc>
          <w:tcPr>
            <w:tcW w:w="993" w:type="dxa"/>
            <w:shd w:val="clear" w:color="auto" w:fill="auto"/>
            <w:vAlign w:val="center"/>
          </w:tcPr>
          <w:p w14:paraId="28003D37" w14:textId="77777777" w:rsidR="00476206" w:rsidRPr="0040247D" w:rsidRDefault="00476206" w:rsidP="007F7080">
            <w:pPr>
              <w:pStyle w:val="In-tableHeading"/>
              <w:keepNext w:val="0"/>
              <w:widowControl w:val="0"/>
              <w:jc w:val="center"/>
              <w:rPr>
                <w:lang w:val="en-AU"/>
              </w:rPr>
            </w:pPr>
            <w:r w:rsidRPr="0040247D">
              <w:rPr>
                <w:lang w:val="en-AU"/>
              </w:rPr>
              <w:t>2022</w:t>
            </w:r>
          </w:p>
        </w:tc>
        <w:tc>
          <w:tcPr>
            <w:tcW w:w="992" w:type="dxa"/>
            <w:shd w:val="clear" w:color="auto" w:fill="auto"/>
            <w:vAlign w:val="center"/>
          </w:tcPr>
          <w:p w14:paraId="2C392FBD" w14:textId="77777777" w:rsidR="00476206" w:rsidRPr="0040247D" w:rsidRDefault="00476206" w:rsidP="007F7080">
            <w:pPr>
              <w:pStyle w:val="In-tableHeading"/>
              <w:keepNext w:val="0"/>
              <w:widowControl w:val="0"/>
              <w:jc w:val="center"/>
              <w:rPr>
                <w:lang w:val="en-AU"/>
              </w:rPr>
            </w:pPr>
            <w:r w:rsidRPr="0040247D">
              <w:rPr>
                <w:lang w:val="en-AU"/>
              </w:rPr>
              <w:t>2023</w:t>
            </w:r>
          </w:p>
        </w:tc>
        <w:tc>
          <w:tcPr>
            <w:tcW w:w="992" w:type="dxa"/>
            <w:shd w:val="clear" w:color="auto" w:fill="auto"/>
            <w:vAlign w:val="center"/>
          </w:tcPr>
          <w:p w14:paraId="28E92773" w14:textId="77777777" w:rsidR="00476206" w:rsidRPr="0040247D" w:rsidRDefault="00476206" w:rsidP="007F7080">
            <w:pPr>
              <w:pStyle w:val="In-tableHeading"/>
              <w:keepNext w:val="0"/>
              <w:widowControl w:val="0"/>
              <w:jc w:val="center"/>
              <w:rPr>
                <w:lang w:val="en-AU"/>
              </w:rPr>
            </w:pPr>
            <w:r w:rsidRPr="0040247D">
              <w:rPr>
                <w:lang w:val="en-AU"/>
              </w:rPr>
              <w:t>2024</w:t>
            </w:r>
          </w:p>
        </w:tc>
        <w:tc>
          <w:tcPr>
            <w:tcW w:w="992" w:type="dxa"/>
            <w:shd w:val="clear" w:color="auto" w:fill="auto"/>
            <w:vAlign w:val="center"/>
          </w:tcPr>
          <w:p w14:paraId="139B2CB0" w14:textId="77777777" w:rsidR="00476206" w:rsidRPr="0040247D" w:rsidRDefault="00476206" w:rsidP="007F7080">
            <w:pPr>
              <w:pStyle w:val="In-tableHeading"/>
              <w:keepNext w:val="0"/>
              <w:widowControl w:val="0"/>
              <w:jc w:val="center"/>
              <w:rPr>
                <w:lang w:val="en-AU"/>
              </w:rPr>
            </w:pPr>
            <w:r w:rsidRPr="0040247D">
              <w:rPr>
                <w:lang w:val="en-AU"/>
              </w:rPr>
              <w:t>2025</w:t>
            </w:r>
          </w:p>
        </w:tc>
        <w:tc>
          <w:tcPr>
            <w:tcW w:w="993" w:type="dxa"/>
            <w:shd w:val="clear" w:color="auto" w:fill="auto"/>
            <w:vAlign w:val="center"/>
          </w:tcPr>
          <w:p w14:paraId="430E2179" w14:textId="77777777" w:rsidR="00476206" w:rsidRPr="0040247D" w:rsidRDefault="00476206" w:rsidP="007F7080">
            <w:pPr>
              <w:pStyle w:val="In-tableHeading"/>
              <w:keepNext w:val="0"/>
              <w:widowControl w:val="0"/>
              <w:jc w:val="center"/>
              <w:rPr>
                <w:lang w:val="en-AU"/>
              </w:rPr>
            </w:pPr>
            <w:r w:rsidRPr="0040247D">
              <w:rPr>
                <w:lang w:val="en-AU"/>
              </w:rPr>
              <w:t>2026</w:t>
            </w:r>
          </w:p>
        </w:tc>
        <w:tc>
          <w:tcPr>
            <w:tcW w:w="992" w:type="dxa"/>
            <w:shd w:val="clear" w:color="auto" w:fill="auto"/>
            <w:vAlign w:val="center"/>
          </w:tcPr>
          <w:p w14:paraId="1026E804" w14:textId="77777777" w:rsidR="00476206" w:rsidRPr="0040247D" w:rsidRDefault="00476206" w:rsidP="007F7080">
            <w:pPr>
              <w:pStyle w:val="In-tableHeading"/>
              <w:keepNext w:val="0"/>
              <w:widowControl w:val="0"/>
              <w:jc w:val="center"/>
              <w:rPr>
                <w:lang w:val="en-AU"/>
              </w:rPr>
            </w:pPr>
            <w:r w:rsidRPr="0040247D">
              <w:rPr>
                <w:lang w:val="en-AU"/>
              </w:rPr>
              <w:t>2027</w:t>
            </w:r>
          </w:p>
        </w:tc>
      </w:tr>
      <w:tr w:rsidR="00540A5E" w:rsidRPr="0040247D" w14:paraId="34A820FA" w14:textId="77777777" w:rsidTr="005007F7">
        <w:trPr>
          <w:tblHeader/>
        </w:trPr>
        <w:tc>
          <w:tcPr>
            <w:tcW w:w="8784" w:type="dxa"/>
            <w:gridSpan w:val="7"/>
            <w:shd w:val="clear" w:color="auto" w:fill="auto"/>
            <w:vAlign w:val="center"/>
          </w:tcPr>
          <w:p w14:paraId="7AE169E3" w14:textId="08EDDBF9" w:rsidR="00540A5E" w:rsidRPr="0040247D" w:rsidRDefault="00540A5E" w:rsidP="00540A5E">
            <w:pPr>
              <w:pStyle w:val="In-tableHeading"/>
              <w:keepNext w:val="0"/>
              <w:widowControl w:val="0"/>
              <w:rPr>
                <w:lang w:val="en-AU"/>
              </w:rPr>
            </w:pPr>
            <w:r>
              <w:rPr>
                <w:lang w:val="en-AU"/>
              </w:rPr>
              <w:t xml:space="preserve">Estimated change in number of scripts and PBS/RPBS cost by </w:t>
            </w:r>
            <w:proofErr w:type="spellStart"/>
            <w:r>
              <w:rPr>
                <w:lang w:val="en-AU"/>
              </w:rPr>
              <w:t>Lucrin</w:t>
            </w:r>
            <w:proofErr w:type="spellEnd"/>
            <w:r>
              <w:rPr>
                <w:lang w:val="en-AU"/>
              </w:rPr>
              <w:t xml:space="preserve"> Paediatric </w:t>
            </w:r>
          </w:p>
        </w:tc>
      </w:tr>
      <w:tr w:rsidR="00880797" w:rsidRPr="0040247D" w14:paraId="20013DBD" w14:textId="77777777" w:rsidTr="009F7991">
        <w:trPr>
          <w:tblHeader/>
        </w:trPr>
        <w:tc>
          <w:tcPr>
            <w:tcW w:w="2830" w:type="dxa"/>
            <w:shd w:val="clear" w:color="auto" w:fill="auto"/>
            <w:vAlign w:val="center"/>
          </w:tcPr>
          <w:p w14:paraId="71BD5CBB" w14:textId="7580A855" w:rsidR="00880797" w:rsidRPr="00880797" w:rsidRDefault="00880797" w:rsidP="00880797">
            <w:pPr>
              <w:pStyle w:val="In-tableHeading"/>
              <w:keepNext w:val="0"/>
              <w:widowControl w:val="0"/>
              <w:rPr>
                <w:b w:val="0"/>
                <w:bCs/>
                <w:lang w:val="en-AU"/>
              </w:rPr>
            </w:pPr>
            <w:r w:rsidRPr="00880797">
              <w:rPr>
                <w:b w:val="0"/>
                <w:bCs/>
              </w:rPr>
              <w:t xml:space="preserve">Total scripts number </w:t>
            </w:r>
          </w:p>
        </w:tc>
        <w:tc>
          <w:tcPr>
            <w:tcW w:w="993" w:type="dxa"/>
            <w:shd w:val="clear" w:color="auto" w:fill="auto"/>
          </w:tcPr>
          <w:p w14:paraId="089B6135" w14:textId="5CD2EF3D" w:rsidR="00880797" w:rsidRPr="00880797" w:rsidRDefault="00880797" w:rsidP="00880797">
            <w:pPr>
              <w:pStyle w:val="In-tableHeading"/>
              <w:keepNext w:val="0"/>
              <w:widowControl w:val="0"/>
              <w:jc w:val="center"/>
              <w:rPr>
                <w:b w:val="0"/>
                <w:bCs/>
                <w:lang w:val="en-AU"/>
              </w:rPr>
            </w:pPr>
            <w:r w:rsidRPr="00880797">
              <w:rPr>
                <w:b w:val="0"/>
                <w:bCs/>
              </w:rPr>
              <w:t>-</w:t>
            </w:r>
            <w:r w:rsidR="00204469" w:rsidRPr="00204469">
              <w:rPr>
                <w:rFonts w:hint="eastAsia"/>
                <w:b w:val="0"/>
                <w:bCs/>
                <w:color w:val="000000"/>
                <w:w w:val="29"/>
                <w:shd w:val="solid" w:color="000000" w:fill="000000"/>
                <w:fitText w:val="130" w:id="-1437438207"/>
                <w14:textFill>
                  <w14:solidFill>
                    <w14:srgbClr w14:val="000000">
                      <w14:alpha w14:val="100000"/>
                    </w14:srgbClr>
                  </w14:solidFill>
                </w14:textFill>
              </w:rPr>
              <w:t xml:space="preserve">　</w:t>
            </w:r>
            <w:r w:rsidR="00204469" w:rsidRPr="00204469">
              <w:rPr>
                <w:b w:val="0"/>
                <w:bCs/>
                <w:color w:val="000000"/>
                <w:w w:val="29"/>
                <w:shd w:val="solid" w:color="000000" w:fill="000000"/>
                <w:fitText w:val="130" w:id="-1437438207"/>
                <w14:textFill>
                  <w14:solidFill>
                    <w14:srgbClr w14:val="000000">
                      <w14:alpha w14:val="100000"/>
                    </w14:srgbClr>
                  </w14:solidFill>
                </w14:textFill>
              </w:rPr>
              <w:t>|</w:t>
            </w:r>
            <w:r w:rsidR="00204469" w:rsidRPr="00204469">
              <w:rPr>
                <w:rFonts w:hint="eastAsia"/>
                <w:b w:val="0"/>
                <w:bCs/>
                <w:color w:val="000000"/>
                <w:spacing w:val="2"/>
                <w:w w:val="29"/>
                <w:shd w:val="solid" w:color="000000" w:fill="000000"/>
                <w:fitText w:val="130" w:id="-1437438207"/>
                <w14:textFill>
                  <w14:solidFill>
                    <w14:srgbClr w14:val="000000">
                      <w14:alpha w14:val="100000"/>
                    </w14:srgbClr>
                  </w14:solidFill>
                </w14:textFill>
              </w:rPr>
              <w:t xml:space="preserve">　</w:t>
            </w:r>
            <w:r w:rsidR="009F7991">
              <w:rPr>
                <w:b w:val="0"/>
                <w:bCs/>
                <w:vertAlign w:val="superscript"/>
              </w:rPr>
              <w:t>1</w:t>
            </w:r>
            <w:r w:rsidRPr="00880797">
              <w:rPr>
                <w:b w:val="0"/>
                <w:bCs/>
              </w:rPr>
              <w:t xml:space="preserve"> </w:t>
            </w:r>
          </w:p>
        </w:tc>
        <w:tc>
          <w:tcPr>
            <w:tcW w:w="992" w:type="dxa"/>
            <w:shd w:val="clear" w:color="auto" w:fill="auto"/>
          </w:tcPr>
          <w:p w14:paraId="4BECD7B0" w14:textId="1BB1CCBD" w:rsidR="00880797" w:rsidRPr="00880797" w:rsidRDefault="00880797" w:rsidP="00880797">
            <w:pPr>
              <w:pStyle w:val="In-tableHeading"/>
              <w:keepNext w:val="0"/>
              <w:widowControl w:val="0"/>
              <w:jc w:val="center"/>
              <w:rPr>
                <w:b w:val="0"/>
                <w:bCs/>
                <w:lang w:val="en-AU"/>
              </w:rPr>
            </w:pPr>
            <w:r w:rsidRPr="00880797">
              <w:rPr>
                <w:b w:val="0"/>
                <w:bCs/>
              </w:rPr>
              <w:t>-</w:t>
            </w:r>
            <w:r w:rsidR="00204469" w:rsidRPr="00204469">
              <w:rPr>
                <w:rFonts w:hint="eastAsia"/>
                <w:b w:val="0"/>
                <w:bCs/>
                <w:color w:val="000000"/>
                <w:w w:val="29"/>
                <w:shd w:val="solid" w:color="000000" w:fill="000000"/>
                <w:fitText w:val="130" w:id="-1437438206"/>
                <w14:textFill>
                  <w14:solidFill>
                    <w14:srgbClr w14:val="000000">
                      <w14:alpha w14:val="100000"/>
                    </w14:srgbClr>
                  </w14:solidFill>
                </w14:textFill>
              </w:rPr>
              <w:t xml:space="preserve">　</w:t>
            </w:r>
            <w:r w:rsidR="00204469" w:rsidRPr="00204469">
              <w:rPr>
                <w:b w:val="0"/>
                <w:bCs/>
                <w:color w:val="000000"/>
                <w:w w:val="29"/>
                <w:shd w:val="solid" w:color="000000" w:fill="000000"/>
                <w:fitText w:val="130" w:id="-1437438206"/>
                <w14:textFill>
                  <w14:solidFill>
                    <w14:srgbClr w14:val="000000">
                      <w14:alpha w14:val="100000"/>
                    </w14:srgbClr>
                  </w14:solidFill>
                </w14:textFill>
              </w:rPr>
              <w:t>|</w:t>
            </w:r>
            <w:r w:rsidR="00204469" w:rsidRPr="00204469">
              <w:rPr>
                <w:rFonts w:hint="eastAsia"/>
                <w:b w:val="0"/>
                <w:bCs/>
                <w:color w:val="000000"/>
                <w:spacing w:val="2"/>
                <w:w w:val="29"/>
                <w:shd w:val="solid" w:color="000000" w:fill="000000"/>
                <w:fitText w:val="130" w:id="-1437438206"/>
                <w14:textFill>
                  <w14:solidFill>
                    <w14:srgbClr w14:val="000000">
                      <w14:alpha w14:val="100000"/>
                    </w14:srgbClr>
                  </w14:solidFill>
                </w14:textFill>
              </w:rPr>
              <w:t xml:space="preserve">　</w:t>
            </w:r>
            <w:r w:rsidR="009F7991">
              <w:rPr>
                <w:b w:val="0"/>
                <w:bCs/>
                <w:vertAlign w:val="superscript"/>
              </w:rPr>
              <w:t>1</w:t>
            </w:r>
            <w:r w:rsidR="009F7991" w:rsidRPr="00880797">
              <w:rPr>
                <w:b w:val="0"/>
                <w:bCs/>
              </w:rPr>
              <w:t xml:space="preserve"> </w:t>
            </w:r>
            <w:r w:rsidRPr="00880797">
              <w:rPr>
                <w:b w:val="0"/>
                <w:bCs/>
              </w:rPr>
              <w:t xml:space="preserve"> </w:t>
            </w:r>
          </w:p>
        </w:tc>
        <w:tc>
          <w:tcPr>
            <w:tcW w:w="992" w:type="dxa"/>
            <w:shd w:val="clear" w:color="auto" w:fill="auto"/>
          </w:tcPr>
          <w:p w14:paraId="581B65EF" w14:textId="32C10C67" w:rsidR="00880797" w:rsidRPr="00880797" w:rsidRDefault="00880797" w:rsidP="00880797">
            <w:pPr>
              <w:pStyle w:val="In-tableHeading"/>
              <w:keepNext w:val="0"/>
              <w:widowControl w:val="0"/>
              <w:jc w:val="center"/>
              <w:rPr>
                <w:b w:val="0"/>
                <w:bCs/>
                <w:lang w:val="en-AU"/>
              </w:rPr>
            </w:pPr>
            <w:r w:rsidRPr="00880797">
              <w:rPr>
                <w:b w:val="0"/>
                <w:bCs/>
              </w:rPr>
              <w:t>-</w:t>
            </w:r>
            <w:r w:rsidR="00204469" w:rsidRPr="00204469">
              <w:rPr>
                <w:rFonts w:hint="eastAsia"/>
                <w:b w:val="0"/>
                <w:bCs/>
                <w:color w:val="000000"/>
                <w:w w:val="29"/>
                <w:shd w:val="solid" w:color="000000" w:fill="000000"/>
                <w:fitText w:val="130" w:id="-1437438205"/>
                <w14:textFill>
                  <w14:solidFill>
                    <w14:srgbClr w14:val="000000">
                      <w14:alpha w14:val="100000"/>
                    </w14:srgbClr>
                  </w14:solidFill>
                </w14:textFill>
              </w:rPr>
              <w:t xml:space="preserve">　</w:t>
            </w:r>
            <w:r w:rsidR="00204469" w:rsidRPr="00204469">
              <w:rPr>
                <w:b w:val="0"/>
                <w:bCs/>
                <w:color w:val="000000"/>
                <w:w w:val="29"/>
                <w:shd w:val="solid" w:color="000000" w:fill="000000"/>
                <w:fitText w:val="130" w:id="-1437438205"/>
                <w14:textFill>
                  <w14:solidFill>
                    <w14:srgbClr w14:val="000000">
                      <w14:alpha w14:val="100000"/>
                    </w14:srgbClr>
                  </w14:solidFill>
                </w14:textFill>
              </w:rPr>
              <w:t>|</w:t>
            </w:r>
            <w:r w:rsidR="00204469" w:rsidRPr="00204469">
              <w:rPr>
                <w:rFonts w:hint="eastAsia"/>
                <w:b w:val="0"/>
                <w:bCs/>
                <w:color w:val="000000"/>
                <w:spacing w:val="2"/>
                <w:w w:val="29"/>
                <w:shd w:val="solid" w:color="000000" w:fill="000000"/>
                <w:fitText w:val="130" w:id="-1437438205"/>
                <w14:textFill>
                  <w14:solidFill>
                    <w14:srgbClr w14:val="000000">
                      <w14:alpha w14:val="100000"/>
                    </w14:srgbClr>
                  </w14:solidFill>
                </w14:textFill>
              </w:rPr>
              <w:t xml:space="preserve">　</w:t>
            </w:r>
            <w:r w:rsidR="009F7991">
              <w:rPr>
                <w:b w:val="0"/>
                <w:bCs/>
                <w:vertAlign w:val="superscript"/>
              </w:rPr>
              <w:t>1</w:t>
            </w:r>
            <w:r w:rsidR="009F7991" w:rsidRPr="00880797">
              <w:rPr>
                <w:b w:val="0"/>
                <w:bCs/>
              </w:rPr>
              <w:t xml:space="preserve"> </w:t>
            </w:r>
            <w:r w:rsidRPr="00880797">
              <w:rPr>
                <w:b w:val="0"/>
                <w:bCs/>
              </w:rPr>
              <w:t xml:space="preserve"> </w:t>
            </w:r>
          </w:p>
        </w:tc>
        <w:tc>
          <w:tcPr>
            <w:tcW w:w="992" w:type="dxa"/>
            <w:shd w:val="clear" w:color="auto" w:fill="auto"/>
          </w:tcPr>
          <w:p w14:paraId="2E226A5A" w14:textId="7EBF6B6B" w:rsidR="00880797" w:rsidRPr="00880797" w:rsidRDefault="00880797" w:rsidP="00880797">
            <w:pPr>
              <w:pStyle w:val="In-tableHeading"/>
              <w:keepNext w:val="0"/>
              <w:widowControl w:val="0"/>
              <w:jc w:val="center"/>
              <w:rPr>
                <w:b w:val="0"/>
                <w:bCs/>
                <w:lang w:val="en-AU"/>
              </w:rPr>
            </w:pPr>
            <w:r w:rsidRPr="00880797">
              <w:rPr>
                <w:b w:val="0"/>
                <w:bCs/>
              </w:rPr>
              <w:t>-</w:t>
            </w:r>
            <w:r w:rsidR="00204469" w:rsidRPr="00204469">
              <w:rPr>
                <w:rFonts w:hint="eastAsia"/>
                <w:b w:val="0"/>
                <w:bCs/>
                <w:color w:val="000000"/>
                <w:w w:val="29"/>
                <w:shd w:val="solid" w:color="000000" w:fill="000000"/>
                <w:fitText w:val="130" w:id="-1437438204"/>
                <w14:textFill>
                  <w14:solidFill>
                    <w14:srgbClr w14:val="000000">
                      <w14:alpha w14:val="100000"/>
                    </w14:srgbClr>
                  </w14:solidFill>
                </w14:textFill>
              </w:rPr>
              <w:t xml:space="preserve">　</w:t>
            </w:r>
            <w:r w:rsidR="00204469" w:rsidRPr="00204469">
              <w:rPr>
                <w:b w:val="0"/>
                <w:bCs/>
                <w:color w:val="000000"/>
                <w:w w:val="29"/>
                <w:shd w:val="solid" w:color="000000" w:fill="000000"/>
                <w:fitText w:val="130" w:id="-1437438204"/>
                <w14:textFill>
                  <w14:solidFill>
                    <w14:srgbClr w14:val="000000">
                      <w14:alpha w14:val="100000"/>
                    </w14:srgbClr>
                  </w14:solidFill>
                </w14:textFill>
              </w:rPr>
              <w:t>|</w:t>
            </w:r>
            <w:r w:rsidR="00204469" w:rsidRPr="00204469">
              <w:rPr>
                <w:rFonts w:hint="eastAsia"/>
                <w:b w:val="0"/>
                <w:bCs/>
                <w:color w:val="000000"/>
                <w:spacing w:val="2"/>
                <w:w w:val="29"/>
                <w:shd w:val="solid" w:color="000000" w:fill="000000"/>
                <w:fitText w:val="130" w:id="-1437438204"/>
                <w14:textFill>
                  <w14:solidFill>
                    <w14:srgbClr w14:val="000000">
                      <w14:alpha w14:val="100000"/>
                    </w14:srgbClr>
                  </w14:solidFill>
                </w14:textFill>
              </w:rPr>
              <w:t xml:space="preserve">　</w:t>
            </w:r>
            <w:r w:rsidR="009F7991">
              <w:rPr>
                <w:b w:val="0"/>
                <w:bCs/>
                <w:vertAlign w:val="superscript"/>
              </w:rPr>
              <w:t>2</w:t>
            </w:r>
            <w:r w:rsidRPr="00880797">
              <w:rPr>
                <w:b w:val="0"/>
                <w:bCs/>
              </w:rPr>
              <w:t xml:space="preserve"> </w:t>
            </w:r>
          </w:p>
        </w:tc>
        <w:tc>
          <w:tcPr>
            <w:tcW w:w="993" w:type="dxa"/>
            <w:shd w:val="clear" w:color="auto" w:fill="auto"/>
          </w:tcPr>
          <w:p w14:paraId="7956C114" w14:textId="22F10F0B" w:rsidR="00880797" w:rsidRPr="00880797" w:rsidRDefault="00880797" w:rsidP="00880797">
            <w:pPr>
              <w:pStyle w:val="In-tableHeading"/>
              <w:keepNext w:val="0"/>
              <w:widowControl w:val="0"/>
              <w:jc w:val="center"/>
              <w:rPr>
                <w:b w:val="0"/>
                <w:bCs/>
                <w:lang w:val="en-AU"/>
              </w:rPr>
            </w:pPr>
            <w:r w:rsidRPr="00880797">
              <w:rPr>
                <w:b w:val="0"/>
                <w:bCs/>
              </w:rPr>
              <w:t>-</w:t>
            </w:r>
            <w:r w:rsidR="00204469" w:rsidRPr="00204469">
              <w:rPr>
                <w:rFonts w:hint="eastAsia"/>
                <w:b w:val="0"/>
                <w:bCs/>
                <w:color w:val="000000"/>
                <w:w w:val="29"/>
                <w:shd w:val="solid" w:color="000000" w:fill="000000"/>
                <w:fitText w:val="130" w:id="-1437438203"/>
                <w14:textFill>
                  <w14:solidFill>
                    <w14:srgbClr w14:val="000000">
                      <w14:alpha w14:val="100000"/>
                    </w14:srgbClr>
                  </w14:solidFill>
                </w14:textFill>
              </w:rPr>
              <w:t xml:space="preserve">　</w:t>
            </w:r>
            <w:r w:rsidR="00204469" w:rsidRPr="00204469">
              <w:rPr>
                <w:b w:val="0"/>
                <w:bCs/>
                <w:color w:val="000000"/>
                <w:w w:val="29"/>
                <w:shd w:val="solid" w:color="000000" w:fill="000000"/>
                <w:fitText w:val="130" w:id="-1437438203"/>
                <w14:textFill>
                  <w14:solidFill>
                    <w14:srgbClr w14:val="000000">
                      <w14:alpha w14:val="100000"/>
                    </w14:srgbClr>
                  </w14:solidFill>
                </w14:textFill>
              </w:rPr>
              <w:t>|</w:t>
            </w:r>
            <w:r w:rsidR="00204469" w:rsidRPr="00204469">
              <w:rPr>
                <w:rFonts w:hint="eastAsia"/>
                <w:b w:val="0"/>
                <w:bCs/>
                <w:color w:val="000000"/>
                <w:spacing w:val="2"/>
                <w:w w:val="29"/>
                <w:shd w:val="solid" w:color="000000" w:fill="000000"/>
                <w:fitText w:val="130" w:id="-1437438203"/>
                <w14:textFill>
                  <w14:solidFill>
                    <w14:srgbClr w14:val="000000">
                      <w14:alpha w14:val="100000"/>
                    </w14:srgbClr>
                  </w14:solidFill>
                </w14:textFill>
              </w:rPr>
              <w:t xml:space="preserve">　</w:t>
            </w:r>
            <w:r w:rsidR="009F7991">
              <w:rPr>
                <w:b w:val="0"/>
                <w:bCs/>
                <w:vertAlign w:val="superscript"/>
              </w:rPr>
              <w:t>2</w:t>
            </w:r>
            <w:r w:rsidRPr="00880797">
              <w:rPr>
                <w:b w:val="0"/>
                <w:bCs/>
              </w:rPr>
              <w:t xml:space="preserve"> </w:t>
            </w:r>
          </w:p>
        </w:tc>
        <w:tc>
          <w:tcPr>
            <w:tcW w:w="992" w:type="dxa"/>
            <w:shd w:val="clear" w:color="auto" w:fill="auto"/>
          </w:tcPr>
          <w:p w14:paraId="103A19EC" w14:textId="5B2E6EA3" w:rsidR="00880797" w:rsidRPr="00880797" w:rsidRDefault="00880797" w:rsidP="00880797">
            <w:pPr>
              <w:pStyle w:val="In-tableHeading"/>
              <w:keepNext w:val="0"/>
              <w:widowControl w:val="0"/>
              <w:jc w:val="center"/>
              <w:rPr>
                <w:b w:val="0"/>
                <w:bCs/>
                <w:lang w:val="en-AU"/>
              </w:rPr>
            </w:pPr>
            <w:r w:rsidRPr="00880797">
              <w:rPr>
                <w:b w:val="0"/>
                <w:bCs/>
              </w:rPr>
              <w:t>-</w:t>
            </w:r>
            <w:r w:rsidR="00204469" w:rsidRPr="00204469">
              <w:rPr>
                <w:rFonts w:hint="eastAsia"/>
                <w:b w:val="0"/>
                <w:bCs/>
                <w:color w:val="000000"/>
                <w:w w:val="29"/>
                <w:shd w:val="solid" w:color="000000" w:fill="000000"/>
                <w:fitText w:val="130" w:id="-1437438202"/>
                <w14:textFill>
                  <w14:solidFill>
                    <w14:srgbClr w14:val="000000">
                      <w14:alpha w14:val="100000"/>
                    </w14:srgbClr>
                  </w14:solidFill>
                </w14:textFill>
              </w:rPr>
              <w:t xml:space="preserve">　</w:t>
            </w:r>
            <w:r w:rsidR="00204469" w:rsidRPr="00204469">
              <w:rPr>
                <w:b w:val="0"/>
                <w:bCs/>
                <w:color w:val="000000"/>
                <w:w w:val="29"/>
                <w:shd w:val="solid" w:color="000000" w:fill="000000"/>
                <w:fitText w:val="130" w:id="-1437438202"/>
                <w14:textFill>
                  <w14:solidFill>
                    <w14:srgbClr w14:val="000000">
                      <w14:alpha w14:val="100000"/>
                    </w14:srgbClr>
                  </w14:solidFill>
                </w14:textFill>
              </w:rPr>
              <w:t>|</w:t>
            </w:r>
            <w:r w:rsidR="00204469" w:rsidRPr="00204469">
              <w:rPr>
                <w:rFonts w:hint="eastAsia"/>
                <w:b w:val="0"/>
                <w:bCs/>
                <w:color w:val="000000"/>
                <w:spacing w:val="2"/>
                <w:w w:val="29"/>
                <w:shd w:val="solid" w:color="000000" w:fill="000000"/>
                <w:fitText w:val="130" w:id="-1437438202"/>
                <w14:textFill>
                  <w14:solidFill>
                    <w14:srgbClr w14:val="000000">
                      <w14:alpha w14:val="100000"/>
                    </w14:srgbClr>
                  </w14:solidFill>
                </w14:textFill>
              </w:rPr>
              <w:t xml:space="preserve">　</w:t>
            </w:r>
            <w:r w:rsidR="009F7991">
              <w:rPr>
                <w:b w:val="0"/>
                <w:bCs/>
                <w:vertAlign w:val="superscript"/>
              </w:rPr>
              <w:t>2</w:t>
            </w:r>
            <w:r w:rsidRPr="00880797">
              <w:rPr>
                <w:b w:val="0"/>
                <w:bCs/>
              </w:rPr>
              <w:t xml:space="preserve"> </w:t>
            </w:r>
          </w:p>
        </w:tc>
      </w:tr>
      <w:tr w:rsidR="00880797" w:rsidRPr="00DB490D" w14:paraId="60F339D5" w14:textId="77777777" w:rsidTr="009F7991">
        <w:trPr>
          <w:tblHeader/>
        </w:trPr>
        <w:tc>
          <w:tcPr>
            <w:tcW w:w="2830" w:type="dxa"/>
            <w:shd w:val="clear" w:color="auto" w:fill="auto"/>
            <w:vAlign w:val="center"/>
          </w:tcPr>
          <w:p w14:paraId="49152B6D" w14:textId="4F97F718" w:rsidR="00880797" w:rsidRPr="00DB490D" w:rsidRDefault="00880797" w:rsidP="00880797">
            <w:pPr>
              <w:pStyle w:val="In-tableHeading"/>
              <w:keepNext w:val="0"/>
              <w:widowControl w:val="0"/>
              <w:ind w:left="720"/>
              <w:rPr>
                <w:b w:val="0"/>
                <w:bCs/>
                <w:iCs/>
              </w:rPr>
            </w:pPr>
            <w:r w:rsidRPr="00DB490D">
              <w:rPr>
                <w:b w:val="0"/>
                <w:bCs/>
                <w:iCs/>
              </w:rPr>
              <w:t>Corrected</w:t>
            </w:r>
          </w:p>
        </w:tc>
        <w:tc>
          <w:tcPr>
            <w:tcW w:w="993" w:type="dxa"/>
            <w:shd w:val="clear" w:color="auto" w:fill="auto"/>
          </w:tcPr>
          <w:p w14:paraId="4C2FD2A2" w14:textId="1B90BDDB" w:rsidR="00880797" w:rsidRPr="00DB490D" w:rsidRDefault="00880797" w:rsidP="00880797">
            <w:pPr>
              <w:pStyle w:val="In-tableHeading"/>
              <w:keepNext w:val="0"/>
              <w:widowControl w:val="0"/>
              <w:jc w:val="center"/>
              <w:rPr>
                <w:b w:val="0"/>
                <w:bCs/>
                <w:iCs/>
              </w:rPr>
            </w:pPr>
            <w:r w:rsidRPr="00DB490D">
              <w:rPr>
                <w:b w:val="0"/>
                <w:bCs/>
                <w:iCs/>
              </w:rPr>
              <w:t>-</w:t>
            </w:r>
            <w:r w:rsidR="00204469" w:rsidRPr="00204469">
              <w:rPr>
                <w:rFonts w:hint="eastAsia"/>
                <w:b w:val="0"/>
                <w:bCs/>
                <w:iCs/>
                <w:color w:val="000000"/>
                <w:w w:val="29"/>
                <w:shd w:val="solid" w:color="000000" w:fill="000000"/>
                <w:fitText w:val="130" w:id="-1437438201"/>
                <w14:textFill>
                  <w14:solidFill>
                    <w14:srgbClr w14:val="000000">
                      <w14:alpha w14:val="100000"/>
                    </w14:srgbClr>
                  </w14:solidFill>
                </w14:textFill>
              </w:rPr>
              <w:t xml:space="preserve">　</w:t>
            </w:r>
            <w:r w:rsidR="00204469" w:rsidRPr="00204469">
              <w:rPr>
                <w:b w:val="0"/>
                <w:bCs/>
                <w:iCs/>
                <w:color w:val="000000"/>
                <w:w w:val="29"/>
                <w:shd w:val="solid" w:color="000000" w:fill="000000"/>
                <w:fitText w:val="130" w:id="-1437438201"/>
                <w14:textFill>
                  <w14:solidFill>
                    <w14:srgbClr w14:val="000000">
                      <w14:alpha w14:val="100000"/>
                    </w14:srgbClr>
                  </w14:solidFill>
                </w14:textFill>
              </w:rPr>
              <w:t>|</w:t>
            </w:r>
            <w:r w:rsidR="00204469" w:rsidRPr="00204469">
              <w:rPr>
                <w:rFonts w:hint="eastAsia"/>
                <w:b w:val="0"/>
                <w:bCs/>
                <w:iCs/>
                <w:color w:val="000000"/>
                <w:spacing w:val="2"/>
                <w:w w:val="29"/>
                <w:shd w:val="solid" w:color="000000" w:fill="000000"/>
                <w:fitText w:val="130" w:id="-1437438201"/>
                <w14:textFill>
                  <w14:solidFill>
                    <w14:srgbClr w14:val="000000">
                      <w14:alpha w14:val="100000"/>
                    </w14:srgbClr>
                  </w14:solidFill>
                </w14:textFill>
              </w:rPr>
              <w:t xml:space="preserve">　</w:t>
            </w:r>
            <w:r w:rsidR="009F7991">
              <w:rPr>
                <w:b w:val="0"/>
                <w:bCs/>
                <w:vertAlign w:val="superscript"/>
              </w:rPr>
              <w:t>1</w:t>
            </w:r>
            <w:r w:rsidR="009F7991" w:rsidRPr="00880797">
              <w:rPr>
                <w:b w:val="0"/>
                <w:bCs/>
              </w:rPr>
              <w:t xml:space="preserve"> </w:t>
            </w:r>
            <w:r w:rsidRPr="00DB490D">
              <w:rPr>
                <w:b w:val="0"/>
                <w:bCs/>
                <w:iCs/>
              </w:rPr>
              <w:t xml:space="preserve"> </w:t>
            </w:r>
          </w:p>
        </w:tc>
        <w:tc>
          <w:tcPr>
            <w:tcW w:w="992" w:type="dxa"/>
            <w:shd w:val="clear" w:color="auto" w:fill="auto"/>
          </w:tcPr>
          <w:p w14:paraId="61B0691E" w14:textId="334B00AF" w:rsidR="00880797" w:rsidRPr="00DB490D" w:rsidRDefault="00880797" w:rsidP="00880797">
            <w:pPr>
              <w:pStyle w:val="In-tableHeading"/>
              <w:keepNext w:val="0"/>
              <w:widowControl w:val="0"/>
              <w:jc w:val="center"/>
              <w:rPr>
                <w:b w:val="0"/>
                <w:bCs/>
                <w:iCs/>
              </w:rPr>
            </w:pPr>
            <w:r w:rsidRPr="00DB490D">
              <w:rPr>
                <w:b w:val="0"/>
                <w:bCs/>
                <w:iCs/>
              </w:rPr>
              <w:t>-</w:t>
            </w:r>
            <w:r w:rsidR="00204469" w:rsidRPr="00204469">
              <w:rPr>
                <w:rFonts w:hint="eastAsia"/>
                <w:b w:val="0"/>
                <w:bCs/>
                <w:iCs/>
                <w:color w:val="000000"/>
                <w:w w:val="29"/>
                <w:shd w:val="solid" w:color="000000" w:fill="000000"/>
                <w:fitText w:val="130" w:id="-1437438200"/>
                <w14:textFill>
                  <w14:solidFill>
                    <w14:srgbClr w14:val="000000">
                      <w14:alpha w14:val="100000"/>
                    </w14:srgbClr>
                  </w14:solidFill>
                </w14:textFill>
              </w:rPr>
              <w:t xml:space="preserve">　</w:t>
            </w:r>
            <w:r w:rsidR="00204469" w:rsidRPr="00204469">
              <w:rPr>
                <w:b w:val="0"/>
                <w:bCs/>
                <w:iCs/>
                <w:color w:val="000000"/>
                <w:w w:val="29"/>
                <w:shd w:val="solid" w:color="000000" w:fill="000000"/>
                <w:fitText w:val="130" w:id="-1437438200"/>
                <w14:textFill>
                  <w14:solidFill>
                    <w14:srgbClr w14:val="000000">
                      <w14:alpha w14:val="100000"/>
                    </w14:srgbClr>
                  </w14:solidFill>
                </w14:textFill>
              </w:rPr>
              <w:t>|</w:t>
            </w:r>
            <w:r w:rsidR="00204469" w:rsidRPr="00204469">
              <w:rPr>
                <w:rFonts w:hint="eastAsia"/>
                <w:b w:val="0"/>
                <w:bCs/>
                <w:iCs/>
                <w:color w:val="000000"/>
                <w:spacing w:val="2"/>
                <w:w w:val="29"/>
                <w:shd w:val="solid" w:color="000000" w:fill="000000"/>
                <w:fitText w:val="130" w:id="-1437438200"/>
                <w14:textFill>
                  <w14:solidFill>
                    <w14:srgbClr w14:val="000000">
                      <w14:alpha w14:val="100000"/>
                    </w14:srgbClr>
                  </w14:solidFill>
                </w14:textFill>
              </w:rPr>
              <w:t xml:space="preserve">　</w:t>
            </w:r>
            <w:r w:rsidR="009F7991">
              <w:rPr>
                <w:b w:val="0"/>
                <w:bCs/>
                <w:vertAlign w:val="superscript"/>
              </w:rPr>
              <w:t>1</w:t>
            </w:r>
            <w:r w:rsidR="009F7991" w:rsidRPr="00880797">
              <w:rPr>
                <w:b w:val="0"/>
                <w:bCs/>
              </w:rPr>
              <w:t xml:space="preserve"> </w:t>
            </w:r>
            <w:r w:rsidRPr="00DB490D">
              <w:rPr>
                <w:b w:val="0"/>
                <w:bCs/>
                <w:iCs/>
              </w:rPr>
              <w:t xml:space="preserve"> </w:t>
            </w:r>
          </w:p>
        </w:tc>
        <w:tc>
          <w:tcPr>
            <w:tcW w:w="992" w:type="dxa"/>
            <w:shd w:val="clear" w:color="auto" w:fill="auto"/>
          </w:tcPr>
          <w:p w14:paraId="47BD7CB0" w14:textId="3D911454" w:rsidR="00880797" w:rsidRPr="00DB490D" w:rsidRDefault="00880797" w:rsidP="00880797">
            <w:pPr>
              <w:pStyle w:val="In-tableHeading"/>
              <w:keepNext w:val="0"/>
              <w:widowControl w:val="0"/>
              <w:jc w:val="center"/>
              <w:rPr>
                <w:b w:val="0"/>
                <w:bCs/>
                <w:iCs/>
              </w:rPr>
            </w:pPr>
            <w:r w:rsidRPr="00DB490D">
              <w:rPr>
                <w:b w:val="0"/>
                <w:bCs/>
                <w:iCs/>
              </w:rPr>
              <w:t>-</w:t>
            </w:r>
            <w:r w:rsidR="00204469" w:rsidRPr="00204469">
              <w:rPr>
                <w:rFonts w:hint="eastAsia"/>
                <w:b w:val="0"/>
                <w:bCs/>
                <w:iCs/>
                <w:color w:val="000000"/>
                <w:w w:val="29"/>
                <w:shd w:val="solid" w:color="000000" w:fill="000000"/>
                <w:fitText w:val="130" w:id="-1437438199"/>
                <w14:textFill>
                  <w14:solidFill>
                    <w14:srgbClr w14:val="000000">
                      <w14:alpha w14:val="100000"/>
                    </w14:srgbClr>
                  </w14:solidFill>
                </w14:textFill>
              </w:rPr>
              <w:t xml:space="preserve">　</w:t>
            </w:r>
            <w:r w:rsidR="00204469" w:rsidRPr="00204469">
              <w:rPr>
                <w:b w:val="0"/>
                <w:bCs/>
                <w:iCs/>
                <w:color w:val="000000"/>
                <w:w w:val="29"/>
                <w:shd w:val="solid" w:color="000000" w:fill="000000"/>
                <w:fitText w:val="130" w:id="-1437438199"/>
                <w14:textFill>
                  <w14:solidFill>
                    <w14:srgbClr w14:val="000000">
                      <w14:alpha w14:val="100000"/>
                    </w14:srgbClr>
                  </w14:solidFill>
                </w14:textFill>
              </w:rPr>
              <w:t>|</w:t>
            </w:r>
            <w:r w:rsidR="00204469" w:rsidRPr="00204469">
              <w:rPr>
                <w:rFonts w:hint="eastAsia"/>
                <w:b w:val="0"/>
                <w:bCs/>
                <w:iCs/>
                <w:color w:val="000000"/>
                <w:spacing w:val="2"/>
                <w:w w:val="29"/>
                <w:shd w:val="solid" w:color="000000" w:fill="000000"/>
                <w:fitText w:val="130" w:id="-1437438199"/>
                <w14:textFill>
                  <w14:solidFill>
                    <w14:srgbClr w14:val="000000">
                      <w14:alpha w14:val="100000"/>
                    </w14:srgbClr>
                  </w14:solidFill>
                </w14:textFill>
              </w:rPr>
              <w:t xml:space="preserve">　</w:t>
            </w:r>
            <w:r w:rsidR="009F7991">
              <w:rPr>
                <w:b w:val="0"/>
                <w:bCs/>
                <w:vertAlign w:val="superscript"/>
              </w:rPr>
              <w:t>2</w:t>
            </w:r>
            <w:r w:rsidR="009F7991" w:rsidRPr="00880797">
              <w:rPr>
                <w:b w:val="0"/>
                <w:bCs/>
              </w:rPr>
              <w:t xml:space="preserve"> </w:t>
            </w:r>
            <w:r w:rsidRPr="00DB490D">
              <w:rPr>
                <w:b w:val="0"/>
                <w:bCs/>
                <w:iCs/>
              </w:rPr>
              <w:t xml:space="preserve"> </w:t>
            </w:r>
          </w:p>
        </w:tc>
        <w:tc>
          <w:tcPr>
            <w:tcW w:w="992" w:type="dxa"/>
            <w:shd w:val="clear" w:color="auto" w:fill="auto"/>
          </w:tcPr>
          <w:p w14:paraId="4B654F24" w14:textId="14D9ED20" w:rsidR="00880797" w:rsidRPr="00DB490D" w:rsidRDefault="00880797" w:rsidP="00880797">
            <w:pPr>
              <w:pStyle w:val="In-tableHeading"/>
              <w:keepNext w:val="0"/>
              <w:widowControl w:val="0"/>
              <w:jc w:val="center"/>
              <w:rPr>
                <w:b w:val="0"/>
                <w:bCs/>
                <w:iCs/>
              </w:rPr>
            </w:pPr>
            <w:r w:rsidRPr="00DB490D">
              <w:rPr>
                <w:b w:val="0"/>
                <w:bCs/>
                <w:iCs/>
              </w:rPr>
              <w:t>-</w:t>
            </w:r>
            <w:r w:rsidR="00204469" w:rsidRPr="00204469">
              <w:rPr>
                <w:rFonts w:hint="eastAsia"/>
                <w:b w:val="0"/>
                <w:bCs/>
                <w:iCs/>
                <w:color w:val="000000"/>
                <w:w w:val="29"/>
                <w:shd w:val="solid" w:color="000000" w:fill="000000"/>
                <w:fitText w:val="130" w:id="-1437438198"/>
                <w14:textFill>
                  <w14:solidFill>
                    <w14:srgbClr w14:val="000000">
                      <w14:alpha w14:val="100000"/>
                    </w14:srgbClr>
                  </w14:solidFill>
                </w14:textFill>
              </w:rPr>
              <w:t xml:space="preserve">　</w:t>
            </w:r>
            <w:r w:rsidR="00204469" w:rsidRPr="00204469">
              <w:rPr>
                <w:b w:val="0"/>
                <w:bCs/>
                <w:iCs/>
                <w:color w:val="000000"/>
                <w:w w:val="29"/>
                <w:shd w:val="solid" w:color="000000" w:fill="000000"/>
                <w:fitText w:val="130" w:id="-1437438198"/>
                <w14:textFill>
                  <w14:solidFill>
                    <w14:srgbClr w14:val="000000">
                      <w14:alpha w14:val="100000"/>
                    </w14:srgbClr>
                  </w14:solidFill>
                </w14:textFill>
              </w:rPr>
              <w:t>|</w:t>
            </w:r>
            <w:r w:rsidR="00204469" w:rsidRPr="00204469">
              <w:rPr>
                <w:rFonts w:hint="eastAsia"/>
                <w:b w:val="0"/>
                <w:bCs/>
                <w:iCs/>
                <w:color w:val="000000"/>
                <w:spacing w:val="2"/>
                <w:w w:val="29"/>
                <w:shd w:val="solid" w:color="000000" w:fill="000000"/>
                <w:fitText w:val="130" w:id="-1437438198"/>
                <w14:textFill>
                  <w14:solidFill>
                    <w14:srgbClr w14:val="000000">
                      <w14:alpha w14:val="100000"/>
                    </w14:srgbClr>
                  </w14:solidFill>
                </w14:textFill>
              </w:rPr>
              <w:t xml:space="preserve">　</w:t>
            </w:r>
            <w:r w:rsidR="009F7991">
              <w:rPr>
                <w:b w:val="0"/>
                <w:bCs/>
                <w:vertAlign w:val="superscript"/>
              </w:rPr>
              <w:t>2</w:t>
            </w:r>
            <w:r w:rsidR="009F7991" w:rsidRPr="00880797">
              <w:rPr>
                <w:b w:val="0"/>
                <w:bCs/>
              </w:rPr>
              <w:t xml:space="preserve"> </w:t>
            </w:r>
            <w:r w:rsidRPr="00DB490D">
              <w:rPr>
                <w:b w:val="0"/>
                <w:bCs/>
                <w:iCs/>
              </w:rPr>
              <w:t xml:space="preserve"> </w:t>
            </w:r>
          </w:p>
        </w:tc>
        <w:tc>
          <w:tcPr>
            <w:tcW w:w="993" w:type="dxa"/>
            <w:shd w:val="clear" w:color="auto" w:fill="auto"/>
          </w:tcPr>
          <w:p w14:paraId="089A04CE" w14:textId="5EED8C50" w:rsidR="00880797" w:rsidRPr="00DB490D" w:rsidRDefault="00880797" w:rsidP="00880797">
            <w:pPr>
              <w:pStyle w:val="In-tableHeading"/>
              <w:keepNext w:val="0"/>
              <w:widowControl w:val="0"/>
              <w:jc w:val="center"/>
              <w:rPr>
                <w:b w:val="0"/>
                <w:bCs/>
                <w:iCs/>
              </w:rPr>
            </w:pPr>
            <w:r w:rsidRPr="00DB490D">
              <w:rPr>
                <w:b w:val="0"/>
                <w:bCs/>
                <w:iCs/>
              </w:rPr>
              <w:t>-</w:t>
            </w:r>
            <w:r w:rsidR="00204469" w:rsidRPr="00204469">
              <w:rPr>
                <w:rFonts w:hint="eastAsia"/>
                <w:b w:val="0"/>
                <w:bCs/>
                <w:iCs/>
                <w:color w:val="000000"/>
                <w:w w:val="29"/>
                <w:shd w:val="solid" w:color="000000" w:fill="000000"/>
                <w:fitText w:val="130" w:id="-1437438197"/>
                <w14:textFill>
                  <w14:solidFill>
                    <w14:srgbClr w14:val="000000">
                      <w14:alpha w14:val="100000"/>
                    </w14:srgbClr>
                  </w14:solidFill>
                </w14:textFill>
              </w:rPr>
              <w:t xml:space="preserve">　</w:t>
            </w:r>
            <w:r w:rsidR="00204469" w:rsidRPr="00204469">
              <w:rPr>
                <w:b w:val="0"/>
                <w:bCs/>
                <w:iCs/>
                <w:color w:val="000000"/>
                <w:w w:val="29"/>
                <w:shd w:val="solid" w:color="000000" w:fill="000000"/>
                <w:fitText w:val="130" w:id="-1437438197"/>
                <w14:textFill>
                  <w14:solidFill>
                    <w14:srgbClr w14:val="000000">
                      <w14:alpha w14:val="100000"/>
                    </w14:srgbClr>
                  </w14:solidFill>
                </w14:textFill>
              </w:rPr>
              <w:t>|</w:t>
            </w:r>
            <w:r w:rsidR="00204469" w:rsidRPr="00204469">
              <w:rPr>
                <w:rFonts w:hint="eastAsia"/>
                <w:b w:val="0"/>
                <w:bCs/>
                <w:iCs/>
                <w:color w:val="000000"/>
                <w:spacing w:val="2"/>
                <w:w w:val="29"/>
                <w:shd w:val="solid" w:color="000000" w:fill="000000"/>
                <w:fitText w:val="130" w:id="-1437438197"/>
                <w14:textFill>
                  <w14:solidFill>
                    <w14:srgbClr w14:val="000000">
                      <w14:alpha w14:val="100000"/>
                    </w14:srgbClr>
                  </w14:solidFill>
                </w14:textFill>
              </w:rPr>
              <w:t xml:space="preserve">　</w:t>
            </w:r>
            <w:r w:rsidR="009F7991">
              <w:rPr>
                <w:b w:val="0"/>
                <w:bCs/>
                <w:vertAlign w:val="superscript"/>
              </w:rPr>
              <w:t>2</w:t>
            </w:r>
            <w:r w:rsidR="009F7991" w:rsidRPr="00880797">
              <w:rPr>
                <w:b w:val="0"/>
                <w:bCs/>
              </w:rPr>
              <w:t xml:space="preserve"> </w:t>
            </w:r>
            <w:r w:rsidRPr="00DB490D">
              <w:rPr>
                <w:b w:val="0"/>
                <w:bCs/>
                <w:iCs/>
              </w:rPr>
              <w:t xml:space="preserve"> </w:t>
            </w:r>
          </w:p>
        </w:tc>
        <w:tc>
          <w:tcPr>
            <w:tcW w:w="992" w:type="dxa"/>
            <w:shd w:val="clear" w:color="auto" w:fill="auto"/>
          </w:tcPr>
          <w:p w14:paraId="17B6F575" w14:textId="2DC2D18F" w:rsidR="00880797" w:rsidRPr="00DB490D" w:rsidRDefault="00880797" w:rsidP="00880797">
            <w:pPr>
              <w:pStyle w:val="In-tableHeading"/>
              <w:keepNext w:val="0"/>
              <w:widowControl w:val="0"/>
              <w:jc w:val="center"/>
              <w:rPr>
                <w:b w:val="0"/>
                <w:bCs/>
                <w:iCs/>
              </w:rPr>
            </w:pPr>
            <w:r w:rsidRPr="00DB490D">
              <w:rPr>
                <w:b w:val="0"/>
                <w:bCs/>
                <w:iCs/>
              </w:rPr>
              <w:t>-</w:t>
            </w:r>
            <w:r w:rsidR="00204469" w:rsidRPr="00204469">
              <w:rPr>
                <w:rFonts w:hint="eastAsia"/>
                <w:b w:val="0"/>
                <w:bCs/>
                <w:iCs/>
                <w:color w:val="000000"/>
                <w:w w:val="29"/>
                <w:shd w:val="solid" w:color="000000" w:fill="000000"/>
                <w:fitText w:val="130" w:id="-1437438196"/>
                <w14:textFill>
                  <w14:solidFill>
                    <w14:srgbClr w14:val="000000">
                      <w14:alpha w14:val="100000"/>
                    </w14:srgbClr>
                  </w14:solidFill>
                </w14:textFill>
              </w:rPr>
              <w:t xml:space="preserve">　</w:t>
            </w:r>
            <w:r w:rsidR="00204469" w:rsidRPr="00204469">
              <w:rPr>
                <w:b w:val="0"/>
                <w:bCs/>
                <w:iCs/>
                <w:color w:val="000000"/>
                <w:w w:val="29"/>
                <w:shd w:val="solid" w:color="000000" w:fill="000000"/>
                <w:fitText w:val="130" w:id="-1437438196"/>
                <w14:textFill>
                  <w14:solidFill>
                    <w14:srgbClr w14:val="000000">
                      <w14:alpha w14:val="100000"/>
                    </w14:srgbClr>
                  </w14:solidFill>
                </w14:textFill>
              </w:rPr>
              <w:t>|</w:t>
            </w:r>
            <w:r w:rsidR="00204469" w:rsidRPr="00204469">
              <w:rPr>
                <w:rFonts w:hint="eastAsia"/>
                <w:b w:val="0"/>
                <w:bCs/>
                <w:iCs/>
                <w:color w:val="000000"/>
                <w:spacing w:val="2"/>
                <w:w w:val="29"/>
                <w:shd w:val="solid" w:color="000000" w:fill="000000"/>
                <w:fitText w:val="130" w:id="-1437438196"/>
                <w14:textFill>
                  <w14:solidFill>
                    <w14:srgbClr w14:val="000000">
                      <w14:alpha w14:val="100000"/>
                    </w14:srgbClr>
                  </w14:solidFill>
                </w14:textFill>
              </w:rPr>
              <w:t xml:space="preserve">　</w:t>
            </w:r>
            <w:r w:rsidR="009F7991">
              <w:rPr>
                <w:b w:val="0"/>
                <w:bCs/>
                <w:vertAlign w:val="superscript"/>
              </w:rPr>
              <w:t>2</w:t>
            </w:r>
            <w:r w:rsidR="009F7991" w:rsidRPr="00880797">
              <w:rPr>
                <w:b w:val="0"/>
                <w:bCs/>
              </w:rPr>
              <w:t xml:space="preserve"> </w:t>
            </w:r>
            <w:r w:rsidRPr="00DB490D">
              <w:rPr>
                <w:b w:val="0"/>
                <w:bCs/>
                <w:iCs/>
              </w:rPr>
              <w:t xml:space="preserve"> </w:t>
            </w:r>
          </w:p>
        </w:tc>
      </w:tr>
      <w:tr w:rsidR="00880797" w:rsidRPr="000D0B28" w14:paraId="3BA64189" w14:textId="77777777" w:rsidTr="009F7991">
        <w:trPr>
          <w:tblHeader/>
        </w:trPr>
        <w:tc>
          <w:tcPr>
            <w:tcW w:w="2830" w:type="dxa"/>
            <w:shd w:val="clear" w:color="auto" w:fill="auto"/>
            <w:vAlign w:val="center"/>
          </w:tcPr>
          <w:p w14:paraId="020C9B1A" w14:textId="74157043" w:rsidR="00880797" w:rsidRPr="00880797" w:rsidRDefault="00880797" w:rsidP="00880797">
            <w:pPr>
              <w:pStyle w:val="In-tableHeading"/>
              <w:keepNext w:val="0"/>
              <w:widowControl w:val="0"/>
              <w:rPr>
                <w:b w:val="0"/>
                <w:bCs/>
                <w:lang w:val="en-AU"/>
              </w:rPr>
            </w:pPr>
            <w:r w:rsidRPr="00880797">
              <w:rPr>
                <w:b w:val="0"/>
                <w:bCs/>
              </w:rPr>
              <w:t xml:space="preserve">PBS/RPBS cost </w:t>
            </w:r>
          </w:p>
        </w:tc>
        <w:tc>
          <w:tcPr>
            <w:tcW w:w="993" w:type="dxa"/>
            <w:shd w:val="clear" w:color="auto" w:fill="auto"/>
          </w:tcPr>
          <w:p w14:paraId="38A6E659" w14:textId="1F13C100" w:rsidR="00880797" w:rsidRPr="00880797" w:rsidRDefault="00880797" w:rsidP="00880797">
            <w:pPr>
              <w:pStyle w:val="In-tableHeading"/>
              <w:keepNext w:val="0"/>
              <w:widowControl w:val="0"/>
              <w:jc w:val="center"/>
              <w:rPr>
                <w:b w:val="0"/>
                <w:bCs/>
                <w:lang w:val="en-AU"/>
              </w:rPr>
            </w:pPr>
            <w:r w:rsidRPr="00880797">
              <w:rPr>
                <w:b w:val="0"/>
                <w:bCs/>
              </w:rPr>
              <w:t>-$</w:t>
            </w:r>
            <w:r w:rsidR="00204469" w:rsidRPr="00204469">
              <w:rPr>
                <w:b w:val="0"/>
                <w:bCs/>
                <w:color w:val="000000"/>
                <w:spacing w:val="94"/>
                <w:shd w:val="solid" w:color="000000" w:fill="000000"/>
                <w:fitText w:val="180" w:id="-1437438195"/>
                <w14:textFill>
                  <w14:solidFill>
                    <w14:srgbClr w14:val="000000">
                      <w14:alpha w14:val="100000"/>
                    </w14:srgbClr>
                  </w14:solidFill>
                </w14:textFill>
              </w:rPr>
              <w:t>|</w:t>
            </w:r>
            <w:r w:rsidR="00204469" w:rsidRPr="00204469">
              <w:rPr>
                <w:b w:val="0"/>
                <w:bCs/>
                <w:color w:val="000000"/>
                <w:spacing w:val="1"/>
                <w:shd w:val="solid" w:color="000000" w:fill="000000"/>
                <w:fitText w:val="180" w:id="-1437438195"/>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75DFBD1F" w14:textId="36966CFD" w:rsidR="00880797" w:rsidRPr="00880797" w:rsidRDefault="00880797" w:rsidP="00880797">
            <w:pPr>
              <w:pStyle w:val="In-tableHeading"/>
              <w:keepNext w:val="0"/>
              <w:widowControl w:val="0"/>
              <w:jc w:val="center"/>
              <w:rPr>
                <w:b w:val="0"/>
                <w:bCs/>
                <w:lang w:val="en-AU"/>
              </w:rPr>
            </w:pPr>
            <w:r w:rsidRPr="00880797">
              <w:rPr>
                <w:b w:val="0"/>
                <w:bCs/>
              </w:rPr>
              <w:t>-$</w:t>
            </w:r>
            <w:r w:rsidR="00204469" w:rsidRPr="00204469">
              <w:rPr>
                <w:b w:val="0"/>
                <w:bCs/>
                <w:color w:val="000000"/>
                <w:spacing w:val="94"/>
                <w:shd w:val="solid" w:color="000000" w:fill="000000"/>
                <w:fitText w:val="180" w:id="-1437438194"/>
                <w14:textFill>
                  <w14:solidFill>
                    <w14:srgbClr w14:val="000000">
                      <w14:alpha w14:val="100000"/>
                    </w14:srgbClr>
                  </w14:solidFill>
                </w14:textFill>
              </w:rPr>
              <w:t>|</w:t>
            </w:r>
            <w:r w:rsidR="00204469" w:rsidRPr="00204469">
              <w:rPr>
                <w:b w:val="0"/>
                <w:bCs/>
                <w:color w:val="000000"/>
                <w:spacing w:val="1"/>
                <w:shd w:val="solid" w:color="000000" w:fill="000000"/>
                <w:fitText w:val="180" w:id="-1437438194"/>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23674879" w14:textId="00B8E974" w:rsidR="00880797" w:rsidRPr="00880797" w:rsidRDefault="00880797" w:rsidP="00880797">
            <w:pPr>
              <w:pStyle w:val="In-tableHeading"/>
              <w:keepNext w:val="0"/>
              <w:widowControl w:val="0"/>
              <w:jc w:val="center"/>
              <w:rPr>
                <w:b w:val="0"/>
                <w:bCs/>
                <w:lang w:val="en-AU"/>
              </w:rPr>
            </w:pPr>
            <w:r w:rsidRPr="00880797">
              <w:rPr>
                <w:b w:val="0"/>
                <w:bCs/>
              </w:rPr>
              <w:t>-$</w:t>
            </w:r>
            <w:r w:rsidR="00204469" w:rsidRPr="00204469">
              <w:rPr>
                <w:b w:val="0"/>
                <w:bCs/>
                <w:color w:val="000000"/>
                <w:spacing w:val="94"/>
                <w:shd w:val="solid" w:color="000000" w:fill="000000"/>
                <w:fitText w:val="180" w:id="-1437438193"/>
                <w14:textFill>
                  <w14:solidFill>
                    <w14:srgbClr w14:val="000000">
                      <w14:alpha w14:val="100000"/>
                    </w14:srgbClr>
                  </w14:solidFill>
                </w14:textFill>
              </w:rPr>
              <w:t>|</w:t>
            </w:r>
            <w:r w:rsidR="00204469" w:rsidRPr="00204469">
              <w:rPr>
                <w:b w:val="0"/>
                <w:bCs/>
                <w:color w:val="000000"/>
                <w:spacing w:val="1"/>
                <w:shd w:val="solid" w:color="000000" w:fill="000000"/>
                <w:fitText w:val="180" w:id="-1437438193"/>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4C540753" w14:textId="3214AA9B" w:rsidR="00880797" w:rsidRPr="00880797" w:rsidRDefault="00880797" w:rsidP="00880797">
            <w:pPr>
              <w:pStyle w:val="In-tableHeading"/>
              <w:keepNext w:val="0"/>
              <w:widowControl w:val="0"/>
              <w:jc w:val="center"/>
              <w:rPr>
                <w:b w:val="0"/>
                <w:bCs/>
                <w:lang w:val="en-AU"/>
              </w:rPr>
            </w:pPr>
            <w:r w:rsidRPr="00880797">
              <w:rPr>
                <w:b w:val="0"/>
                <w:bCs/>
              </w:rPr>
              <w:t>-$</w:t>
            </w:r>
            <w:r w:rsidR="00204469" w:rsidRPr="00204469">
              <w:rPr>
                <w:b w:val="0"/>
                <w:bCs/>
                <w:color w:val="000000"/>
                <w:spacing w:val="94"/>
                <w:shd w:val="solid" w:color="000000" w:fill="000000"/>
                <w:fitText w:val="180" w:id="-1437438192"/>
                <w14:textFill>
                  <w14:solidFill>
                    <w14:srgbClr w14:val="000000">
                      <w14:alpha w14:val="100000"/>
                    </w14:srgbClr>
                  </w14:solidFill>
                </w14:textFill>
              </w:rPr>
              <w:t>|</w:t>
            </w:r>
            <w:r w:rsidR="00204469" w:rsidRPr="00204469">
              <w:rPr>
                <w:b w:val="0"/>
                <w:bCs/>
                <w:color w:val="000000"/>
                <w:spacing w:val="1"/>
                <w:shd w:val="solid" w:color="000000" w:fill="000000"/>
                <w:fitText w:val="180" w:id="-1437438192"/>
                <w14:textFill>
                  <w14:solidFill>
                    <w14:srgbClr w14:val="000000">
                      <w14:alpha w14:val="100000"/>
                    </w14:srgbClr>
                  </w14:solidFill>
                </w14:textFill>
              </w:rPr>
              <w:t>|</w:t>
            </w:r>
            <w:r w:rsidR="009F7991">
              <w:rPr>
                <w:b w:val="0"/>
                <w:bCs/>
                <w:vertAlign w:val="superscript"/>
              </w:rPr>
              <w:t>3</w:t>
            </w:r>
          </w:p>
        </w:tc>
        <w:tc>
          <w:tcPr>
            <w:tcW w:w="993" w:type="dxa"/>
            <w:shd w:val="clear" w:color="auto" w:fill="auto"/>
          </w:tcPr>
          <w:p w14:paraId="4EA9CBED" w14:textId="468EBE54" w:rsidR="00880797" w:rsidRPr="00880797" w:rsidRDefault="00880797" w:rsidP="00880797">
            <w:pPr>
              <w:pStyle w:val="In-tableHeading"/>
              <w:keepNext w:val="0"/>
              <w:widowControl w:val="0"/>
              <w:jc w:val="center"/>
              <w:rPr>
                <w:b w:val="0"/>
                <w:bCs/>
                <w:lang w:val="en-AU"/>
              </w:rPr>
            </w:pPr>
            <w:r w:rsidRPr="00880797">
              <w:rPr>
                <w:b w:val="0"/>
                <w:bCs/>
              </w:rPr>
              <w:t>-$</w:t>
            </w:r>
            <w:r w:rsidR="00204469" w:rsidRPr="00204469">
              <w:rPr>
                <w:b w:val="0"/>
                <w:bCs/>
                <w:color w:val="000000"/>
                <w:spacing w:val="94"/>
                <w:shd w:val="solid" w:color="000000" w:fill="000000"/>
                <w:fitText w:val="180" w:id="-1437438208"/>
                <w14:textFill>
                  <w14:solidFill>
                    <w14:srgbClr w14:val="000000">
                      <w14:alpha w14:val="100000"/>
                    </w14:srgbClr>
                  </w14:solidFill>
                </w14:textFill>
              </w:rPr>
              <w:t>|</w:t>
            </w:r>
            <w:r w:rsidR="00204469" w:rsidRPr="00204469">
              <w:rPr>
                <w:b w:val="0"/>
                <w:bCs/>
                <w:color w:val="000000"/>
                <w:spacing w:val="1"/>
                <w:shd w:val="solid" w:color="000000" w:fill="000000"/>
                <w:fitText w:val="180" w:id="-1437438208"/>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63011598" w14:textId="50BF5098" w:rsidR="00880797" w:rsidRPr="00880797" w:rsidRDefault="00880797" w:rsidP="00880797">
            <w:pPr>
              <w:pStyle w:val="In-tableHeading"/>
              <w:keepNext w:val="0"/>
              <w:widowControl w:val="0"/>
              <w:jc w:val="center"/>
              <w:rPr>
                <w:b w:val="0"/>
                <w:bCs/>
                <w:lang w:val="en-AU"/>
              </w:rPr>
            </w:pPr>
            <w:r w:rsidRPr="00880797">
              <w:rPr>
                <w:b w:val="0"/>
                <w:bCs/>
              </w:rPr>
              <w:t>-$</w:t>
            </w:r>
            <w:r w:rsidR="00204469" w:rsidRPr="00204469">
              <w:rPr>
                <w:b w:val="0"/>
                <w:bCs/>
                <w:color w:val="000000"/>
                <w:spacing w:val="94"/>
                <w:shd w:val="solid" w:color="000000" w:fill="000000"/>
                <w:fitText w:val="180" w:id="-1437438207"/>
                <w14:textFill>
                  <w14:solidFill>
                    <w14:srgbClr w14:val="000000">
                      <w14:alpha w14:val="100000"/>
                    </w14:srgbClr>
                  </w14:solidFill>
                </w14:textFill>
              </w:rPr>
              <w:t>|</w:t>
            </w:r>
            <w:r w:rsidR="00204469" w:rsidRPr="00204469">
              <w:rPr>
                <w:b w:val="0"/>
                <w:bCs/>
                <w:color w:val="000000"/>
                <w:spacing w:val="1"/>
                <w:shd w:val="solid" w:color="000000" w:fill="000000"/>
                <w:fitText w:val="180" w:id="-1437438207"/>
                <w14:textFill>
                  <w14:solidFill>
                    <w14:srgbClr w14:val="000000">
                      <w14:alpha w14:val="100000"/>
                    </w14:srgbClr>
                  </w14:solidFill>
                </w14:textFill>
              </w:rPr>
              <w:t>|</w:t>
            </w:r>
            <w:r w:rsidR="009F7991">
              <w:rPr>
                <w:b w:val="0"/>
                <w:bCs/>
                <w:vertAlign w:val="superscript"/>
              </w:rPr>
              <w:t>3</w:t>
            </w:r>
          </w:p>
        </w:tc>
      </w:tr>
      <w:tr w:rsidR="00880797" w:rsidRPr="000D0B28" w14:paraId="05B5A54E" w14:textId="77777777" w:rsidTr="009F7991">
        <w:trPr>
          <w:tblHeader/>
        </w:trPr>
        <w:tc>
          <w:tcPr>
            <w:tcW w:w="2830" w:type="dxa"/>
            <w:shd w:val="clear" w:color="auto" w:fill="auto"/>
            <w:vAlign w:val="center"/>
          </w:tcPr>
          <w:p w14:paraId="03E375AE" w14:textId="79A95351" w:rsidR="00880797" w:rsidRPr="00DB490D" w:rsidRDefault="00880797" w:rsidP="00880797">
            <w:pPr>
              <w:pStyle w:val="In-tableHeading"/>
              <w:keepNext w:val="0"/>
              <w:widowControl w:val="0"/>
              <w:ind w:left="720"/>
              <w:rPr>
                <w:b w:val="0"/>
                <w:bCs/>
                <w:iCs/>
              </w:rPr>
            </w:pPr>
            <w:r w:rsidRPr="00DB490D">
              <w:rPr>
                <w:b w:val="0"/>
                <w:bCs/>
                <w:iCs/>
              </w:rPr>
              <w:t>Corrected</w:t>
            </w:r>
          </w:p>
        </w:tc>
        <w:tc>
          <w:tcPr>
            <w:tcW w:w="993" w:type="dxa"/>
            <w:shd w:val="clear" w:color="auto" w:fill="auto"/>
          </w:tcPr>
          <w:p w14:paraId="4826576C" w14:textId="718C8BE1" w:rsidR="00880797" w:rsidRPr="000D0B28" w:rsidRDefault="00880797" w:rsidP="00880797">
            <w:pPr>
              <w:pStyle w:val="In-tableHeading"/>
              <w:keepNext w:val="0"/>
              <w:widowControl w:val="0"/>
              <w:jc w:val="center"/>
              <w:rPr>
                <w:b w:val="0"/>
                <w:bCs/>
                <w:iCs/>
                <w:highlight w:val="darkGray"/>
              </w:rPr>
            </w:pPr>
            <w:r w:rsidRPr="000D0B28">
              <w:rPr>
                <w:b w:val="0"/>
                <w:bCs/>
                <w:iCs/>
              </w:rPr>
              <w:t>-$</w:t>
            </w:r>
            <w:r w:rsidR="00204469" w:rsidRPr="00204469">
              <w:rPr>
                <w:b w:val="0"/>
                <w:bCs/>
                <w:iCs/>
                <w:color w:val="000000"/>
                <w:spacing w:val="94"/>
                <w:shd w:val="solid" w:color="000000" w:fill="000000"/>
                <w:fitText w:val="180" w:id="-1437438206"/>
                <w14:textFill>
                  <w14:solidFill>
                    <w14:srgbClr w14:val="000000">
                      <w14:alpha w14:val="100000"/>
                    </w14:srgbClr>
                  </w14:solidFill>
                </w14:textFill>
              </w:rPr>
              <w:t>|</w:t>
            </w:r>
            <w:r w:rsidR="00204469" w:rsidRPr="00204469">
              <w:rPr>
                <w:b w:val="0"/>
                <w:bCs/>
                <w:iCs/>
                <w:color w:val="000000"/>
                <w:spacing w:val="1"/>
                <w:shd w:val="solid" w:color="000000" w:fill="000000"/>
                <w:fitText w:val="180" w:id="-1437438206"/>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01F4A174" w14:textId="6D82AC00" w:rsidR="00880797" w:rsidRPr="000D0B28" w:rsidRDefault="00880797" w:rsidP="00880797">
            <w:pPr>
              <w:pStyle w:val="In-tableHeading"/>
              <w:keepNext w:val="0"/>
              <w:widowControl w:val="0"/>
              <w:jc w:val="center"/>
              <w:rPr>
                <w:b w:val="0"/>
                <w:bCs/>
                <w:iCs/>
                <w:highlight w:val="darkGray"/>
              </w:rPr>
            </w:pPr>
            <w:r w:rsidRPr="000D0B28">
              <w:rPr>
                <w:b w:val="0"/>
                <w:bCs/>
                <w:iCs/>
              </w:rPr>
              <w:t>-$</w:t>
            </w:r>
            <w:r w:rsidR="00204469" w:rsidRPr="00204469">
              <w:rPr>
                <w:b w:val="0"/>
                <w:bCs/>
                <w:iCs/>
                <w:color w:val="000000"/>
                <w:spacing w:val="94"/>
                <w:shd w:val="solid" w:color="000000" w:fill="000000"/>
                <w:fitText w:val="180" w:id="-1437438205"/>
                <w14:textFill>
                  <w14:solidFill>
                    <w14:srgbClr w14:val="000000">
                      <w14:alpha w14:val="100000"/>
                    </w14:srgbClr>
                  </w14:solidFill>
                </w14:textFill>
              </w:rPr>
              <w:t>|</w:t>
            </w:r>
            <w:r w:rsidR="00204469" w:rsidRPr="00204469">
              <w:rPr>
                <w:b w:val="0"/>
                <w:bCs/>
                <w:iCs/>
                <w:color w:val="000000"/>
                <w:spacing w:val="1"/>
                <w:shd w:val="solid" w:color="000000" w:fill="000000"/>
                <w:fitText w:val="180" w:id="-1437438205"/>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20E2A31A" w14:textId="7135F0B9" w:rsidR="00880797" w:rsidRPr="000D0B28" w:rsidRDefault="00880797" w:rsidP="00880797">
            <w:pPr>
              <w:pStyle w:val="In-tableHeading"/>
              <w:keepNext w:val="0"/>
              <w:widowControl w:val="0"/>
              <w:jc w:val="center"/>
              <w:rPr>
                <w:b w:val="0"/>
                <w:bCs/>
                <w:iCs/>
                <w:highlight w:val="darkGray"/>
              </w:rPr>
            </w:pPr>
            <w:r w:rsidRPr="000D0B28">
              <w:rPr>
                <w:b w:val="0"/>
                <w:bCs/>
                <w:iCs/>
              </w:rPr>
              <w:t>-$</w:t>
            </w:r>
            <w:r w:rsidR="00204469" w:rsidRPr="00204469">
              <w:rPr>
                <w:b w:val="0"/>
                <w:bCs/>
                <w:iCs/>
                <w:color w:val="000000"/>
                <w:spacing w:val="94"/>
                <w:shd w:val="solid" w:color="000000" w:fill="000000"/>
                <w:fitText w:val="180" w:id="-1437438204"/>
                <w14:textFill>
                  <w14:solidFill>
                    <w14:srgbClr w14:val="000000">
                      <w14:alpha w14:val="100000"/>
                    </w14:srgbClr>
                  </w14:solidFill>
                </w14:textFill>
              </w:rPr>
              <w:t>|</w:t>
            </w:r>
            <w:r w:rsidR="00204469" w:rsidRPr="00204469">
              <w:rPr>
                <w:b w:val="0"/>
                <w:bCs/>
                <w:iCs/>
                <w:color w:val="000000"/>
                <w:spacing w:val="1"/>
                <w:shd w:val="solid" w:color="000000" w:fill="000000"/>
                <w:fitText w:val="180" w:id="-1437438204"/>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3197EC9F" w14:textId="0E74F9B8" w:rsidR="00880797" w:rsidRPr="000D0B28" w:rsidRDefault="00880797" w:rsidP="00880797">
            <w:pPr>
              <w:pStyle w:val="In-tableHeading"/>
              <w:keepNext w:val="0"/>
              <w:widowControl w:val="0"/>
              <w:jc w:val="center"/>
              <w:rPr>
                <w:b w:val="0"/>
                <w:bCs/>
                <w:iCs/>
                <w:highlight w:val="darkGray"/>
              </w:rPr>
            </w:pPr>
            <w:r w:rsidRPr="000D0B28">
              <w:rPr>
                <w:b w:val="0"/>
                <w:bCs/>
                <w:iCs/>
              </w:rPr>
              <w:t>-$</w:t>
            </w:r>
            <w:r w:rsidR="00204469" w:rsidRPr="00204469">
              <w:rPr>
                <w:rFonts w:hint="eastAsia"/>
                <w:b w:val="0"/>
                <w:bCs/>
                <w:iCs/>
                <w:color w:val="000000"/>
                <w:w w:val="33"/>
                <w:shd w:val="solid" w:color="000000" w:fill="000000"/>
                <w:fitText w:val="150" w:id="-1437438203"/>
                <w14:textFill>
                  <w14:solidFill>
                    <w14:srgbClr w14:val="000000">
                      <w14:alpha w14:val="100000"/>
                    </w14:srgbClr>
                  </w14:solidFill>
                </w14:textFill>
              </w:rPr>
              <w:t xml:space="preserve">　</w:t>
            </w:r>
            <w:r w:rsidR="00204469" w:rsidRPr="00204469">
              <w:rPr>
                <w:b w:val="0"/>
                <w:bCs/>
                <w:iCs/>
                <w:color w:val="000000"/>
                <w:w w:val="33"/>
                <w:shd w:val="solid" w:color="000000" w:fill="000000"/>
                <w:fitText w:val="150" w:id="-1437438203"/>
                <w14:textFill>
                  <w14:solidFill>
                    <w14:srgbClr w14:val="000000">
                      <w14:alpha w14:val="100000"/>
                    </w14:srgbClr>
                  </w14:solidFill>
                </w14:textFill>
              </w:rPr>
              <w:t>|</w:t>
            </w:r>
            <w:r w:rsidR="00204469" w:rsidRPr="00204469">
              <w:rPr>
                <w:rFonts w:hint="eastAsia"/>
                <w:b w:val="0"/>
                <w:bCs/>
                <w:iCs/>
                <w:color w:val="000000"/>
                <w:spacing w:val="4"/>
                <w:w w:val="33"/>
                <w:shd w:val="solid" w:color="000000" w:fill="000000"/>
                <w:fitText w:val="150" w:id="-1437438203"/>
                <w14:textFill>
                  <w14:solidFill>
                    <w14:srgbClr w14:val="000000">
                      <w14:alpha w14:val="100000"/>
                    </w14:srgbClr>
                  </w14:solidFill>
                </w14:textFill>
              </w:rPr>
              <w:t xml:space="preserve">　</w:t>
            </w:r>
          </w:p>
        </w:tc>
        <w:tc>
          <w:tcPr>
            <w:tcW w:w="993" w:type="dxa"/>
            <w:shd w:val="clear" w:color="auto" w:fill="auto"/>
          </w:tcPr>
          <w:p w14:paraId="2C5D67E1" w14:textId="41F8A488" w:rsidR="00880797" w:rsidRPr="000D0B28" w:rsidRDefault="00880797" w:rsidP="00880797">
            <w:pPr>
              <w:pStyle w:val="In-tableHeading"/>
              <w:keepNext w:val="0"/>
              <w:widowControl w:val="0"/>
              <w:jc w:val="center"/>
              <w:rPr>
                <w:b w:val="0"/>
                <w:bCs/>
                <w:iCs/>
                <w:highlight w:val="darkGray"/>
              </w:rPr>
            </w:pPr>
            <w:r w:rsidRPr="000D0B28">
              <w:rPr>
                <w:b w:val="0"/>
                <w:bCs/>
                <w:iCs/>
              </w:rPr>
              <w:t>-$</w:t>
            </w:r>
            <w:r w:rsidR="00204469" w:rsidRPr="00204469">
              <w:rPr>
                <w:rFonts w:hint="eastAsia"/>
                <w:b w:val="0"/>
                <w:bCs/>
                <w:iCs/>
                <w:color w:val="000000"/>
                <w:w w:val="33"/>
                <w:shd w:val="solid" w:color="000000" w:fill="000000"/>
                <w:fitText w:val="150" w:id="-1437438202"/>
                <w14:textFill>
                  <w14:solidFill>
                    <w14:srgbClr w14:val="000000">
                      <w14:alpha w14:val="100000"/>
                    </w14:srgbClr>
                  </w14:solidFill>
                </w14:textFill>
              </w:rPr>
              <w:t xml:space="preserve">　</w:t>
            </w:r>
            <w:r w:rsidR="00204469" w:rsidRPr="00204469">
              <w:rPr>
                <w:b w:val="0"/>
                <w:bCs/>
                <w:iCs/>
                <w:color w:val="000000"/>
                <w:w w:val="33"/>
                <w:shd w:val="solid" w:color="000000" w:fill="000000"/>
                <w:fitText w:val="150" w:id="-1437438202"/>
                <w14:textFill>
                  <w14:solidFill>
                    <w14:srgbClr w14:val="000000">
                      <w14:alpha w14:val="100000"/>
                    </w14:srgbClr>
                  </w14:solidFill>
                </w14:textFill>
              </w:rPr>
              <w:t>|</w:t>
            </w:r>
            <w:r w:rsidR="00204469" w:rsidRPr="00204469">
              <w:rPr>
                <w:rFonts w:hint="eastAsia"/>
                <w:b w:val="0"/>
                <w:bCs/>
                <w:iCs/>
                <w:color w:val="000000"/>
                <w:spacing w:val="4"/>
                <w:w w:val="33"/>
                <w:shd w:val="solid" w:color="000000" w:fill="000000"/>
                <w:fitText w:val="150" w:id="-1437438202"/>
                <w14:textFill>
                  <w14:solidFill>
                    <w14:srgbClr w14:val="000000">
                      <w14:alpha w14:val="100000"/>
                    </w14:srgbClr>
                  </w14:solidFill>
                </w14:textFill>
              </w:rPr>
              <w:t xml:space="preserve">　</w:t>
            </w:r>
          </w:p>
        </w:tc>
        <w:tc>
          <w:tcPr>
            <w:tcW w:w="992" w:type="dxa"/>
            <w:shd w:val="clear" w:color="auto" w:fill="auto"/>
          </w:tcPr>
          <w:p w14:paraId="1666ED98" w14:textId="1E4BC731" w:rsidR="00880797" w:rsidRPr="000D0B28" w:rsidRDefault="00880797" w:rsidP="00880797">
            <w:pPr>
              <w:pStyle w:val="In-tableHeading"/>
              <w:keepNext w:val="0"/>
              <w:widowControl w:val="0"/>
              <w:jc w:val="center"/>
              <w:rPr>
                <w:b w:val="0"/>
                <w:bCs/>
                <w:iCs/>
                <w:highlight w:val="darkGray"/>
              </w:rPr>
            </w:pPr>
            <w:r w:rsidRPr="000D0B28">
              <w:rPr>
                <w:b w:val="0"/>
                <w:bCs/>
                <w:iCs/>
              </w:rPr>
              <w:t>-$</w:t>
            </w:r>
            <w:r w:rsidR="00204469" w:rsidRPr="00204469">
              <w:rPr>
                <w:rFonts w:hint="eastAsia"/>
                <w:b w:val="0"/>
                <w:bCs/>
                <w:iCs/>
                <w:color w:val="000000"/>
                <w:w w:val="33"/>
                <w:shd w:val="solid" w:color="000000" w:fill="000000"/>
                <w:fitText w:val="150" w:id="-1437438201"/>
                <w14:textFill>
                  <w14:solidFill>
                    <w14:srgbClr w14:val="000000">
                      <w14:alpha w14:val="100000"/>
                    </w14:srgbClr>
                  </w14:solidFill>
                </w14:textFill>
              </w:rPr>
              <w:t xml:space="preserve">　</w:t>
            </w:r>
            <w:r w:rsidR="00204469" w:rsidRPr="00204469">
              <w:rPr>
                <w:b w:val="0"/>
                <w:bCs/>
                <w:iCs/>
                <w:color w:val="000000"/>
                <w:w w:val="33"/>
                <w:shd w:val="solid" w:color="000000" w:fill="000000"/>
                <w:fitText w:val="150" w:id="-1437438201"/>
                <w14:textFill>
                  <w14:solidFill>
                    <w14:srgbClr w14:val="000000">
                      <w14:alpha w14:val="100000"/>
                    </w14:srgbClr>
                  </w14:solidFill>
                </w14:textFill>
              </w:rPr>
              <w:t>|</w:t>
            </w:r>
            <w:r w:rsidR="00204469" w:rsidRPr="00204469">
              <w:rPr>
                <w:rFonts w:hint="eastAsia"/>
                <w:b w:val="0"/>
                <w:bCs/>
                <w:iCs/>
                <w:color w:val="000000"/>
                <w:spacing w:val="4"/>
                <w:w w:val="33"/>
                <w:shd w:val="solid" w:color="000000" w:fill="000000"/>
                <w:fitText w:val="150" w:id="-1437438201"/>
                <w14:textFill>
                  <w14:solidFill>
                    <w14:srgbClr w14:val="000000">
                      <w14:alpha w14:val="100000"/>
                    </w14:srgbClr>
                  </w14:solidFill>
                </w14:textFill>
              </w:rPr>
              <w:t xml:space="preserve">　</w:t>
            </w:r>
          </w:p>
        </w:tc>
      </w:tr>
      <w:tr w:rsidR="00880797" w:rsidRPr="0040247D" w14:paraId="6F3F9653" w14:textId="77777777" w:rsidTr="009F7991">
        <w:trPr>
          <w:tblHeader/>
        </w:trPr>
        <w:tc>
          <w:tcPr>
            <w:tcW w:w="2830" w:type="dxa"/>
            <w:shd w:val="clear" w:color="auto" w:fill="auto"/>
            <w:vAlign w:val="center"/>
          </w:tcPr>
          <w:p w14:paraId="17641E4D" w14:textId="6F672152" w:rsidR="00880797" w:rsidRPr="00880797" w:rsidRDefault="00880797" w:rsidP="00880797">
            <w:pPr>
              <w:pStyle w:val="In-tableHeading"/>
              <w:keepNext w:val="0"/>
              <w:widowControl w:val="0"/>
              <w:rPr>
                <w:b w:val="0"/>
                <w:bCs/>
                <w:lang w:val="en-AU"/>
              </w:rPr>
            </w:pPr>
            <w:r w:rsidRPr="00880797">
              <w:rPr>
                <w:b w:val="0"/>
                <w:bCs/>
              </w:rPr>
              <w:t xml:space="preserve">Patient copayment </w:t>
            </w:r>
          </w:p>
        </w:tc>
        <w:tc>
          <w:tcPr>
            <w:tcW w:w="993" w:type="dxa"/>
            <w:shd w:val="clear" w:color="auto" w:fill="auto"/>
          </w:tcPr>
          <w:p w14:paraId="76EB36C7" w14:textId="26FD46F4" w:rsidR="00880797" w:rsidRPr="000D0B28" w:rsidRDefault="00880797" w:rsidP="00880797">
            <w:pPr>
              <w:pStyle w:val="In-tableHeading"/>
              <w:keepNext w:val="0"/>
              <w:widowControl w:val="0"/>
              <w:jc w:val="center"/>
              <w:rPr>
                <w:b w:val="0"/>
                <w:bCs/>
                <w:highlight w:val="darkGray"/>
                <w:lang w:val="en-AU"/>
              </w:rPr>
            </w:pPr>
            <w:r w:rsidRPr="000D0B28">
              <w:rPr>
                <w:b w:val="0"/>
                <w:bCs/>
              </w:rPr>
              <w:t>$</w:t>
            </w:r>
            <w:r w:rsidR="00204469" w:rsidRPr="00204469">
              <w:rPr>
                <w:rFonts w:hint="eastAsia"/>
                <w:b w:val="0"/>
                <w:bCs/>
                <w:color w:val="000000"/>
                <w:w w:val="33"/>
                <w:shd w:val="solid" w:color="000000" w:fill="000000"/>
                <w:fitText w:val="150" w:id="-1437438200"/>
                <w14:textFill>
                  <w14:solidFill>
                    <w14:srgbClr w14:val="000000">
                      <w14:alpha w14:val="100000"/>
                    </w14:srgbClr>
                  </w14:solidFill>
                </w14:textFill>
              </w:rPr>
              <w:t xml:space="preserve">　</w:t>
            </w:r>
            <w:r w:rsidR="00204469" w:rsidRPr="00204469">
              <w:rPr>
                <w:b w:val="0"/>
                <w:bCs/>
                <w:color w:val="000000"/>
                <w:w w:val="33"/>
                <w:shd w:val="solid" w:color="000000" w:fill="000000"/>
                <w:fitText w:val="150" w:id="-1437438200"/>
                <w14:textFill>
                  <w14:solidFill>
                    <w14:srgbClr w14:val="000000">
                      <w14:alpha w14:val="100000"/>
                    </w14:srgbClr>
                  </w14:solidFill>
                </w14:textFill>
              </w:rPr>
              <w:t>|</w:t>
            </w:r>
            <w:r w:rsidR="00204469" w:rsidRPr="00204469">
              <w:rPr>
                <w:rFonts w:hint="eastAsia"/>
                <w:b w:val="0"/>
                <w:bCs/>
                <w:color w:val="000000"/>
                <w:spacing w:val="4"/>
                <w:w w:val="33"/>
                <w:shd w:val="solid" w:color="000000" w:fill="000000"/>
                <w:fitText w:val="150" w:id="-1437438200"/>
                <w14:textFill>
                  <w14:solidFill>
                    <w14:srgbClr w14:val="000000">
                      <w14:alpha w14:val="100000"/>
                    </w14:srgbClr>
                  </w14:solidFill>
                </w14:textFill>
              </w:rPr>
              <w:t xml:space="preserve">　</w:t>
            </w:r>
            <w:r w:rsidR="009F7991">
              <w:rPr>
                <w:b w:val="0"/>
                <w:bCs/>
                <w:vertAlign w:val="superscript"/>
              </w:rPr>
              <w:t>3</w:t>
            </w:r>
          </w:p>
        </w:tc>
        <w:tc>
          <w:tcPr>
            <w:tcW w:w="992" w:type="dxa"/>
            <w:shd w:val="clear" w:color="auto" w:fill="auto"/>
          </w:tcPr>
          <w:p w14:paraId="38A16315" w14:textId="58EE3896" w:rsidR="00880797" w:rsidRPr="000D0B28" w:rsidRDefault="00880797" w:rsidP="00880797">
            <w:pPr>
              <w:pStyle w:val="In-tableHeading"/>
              <w:keepNext w:val="0"/>
              <w:widowControl w:val="0"/>
              <w:jc w:val="center"/>
              <w:rPr>
                <w:b w:val="0"/>
                <w:bCs/>
                <w:highlight w:val="darkGray"/>
                <w:lang w:val="en-AU"/>
              </w:rPr>
            </w:pPr>
            <w:r w:rsidRPr="000D0B28">
              <w:rPr>
                <w:b w:val="0"/>
                <w:bCs/>
              </w:rPr>
              <w:t>$</w:t>
            </w:r>
            <w:r w:rsidR="00204469" w:rsidRPr="00204469">
              <w:rPr>
                <w:b w:val="0"/>
                <w:bCs/>
                <w:color w:val="000000"/>
                <w:spacing w:val="74"/>
                <w:shd w:val="solid" w:color="000000" w:fill="000000"/>
                <w:fitText w:val="160" w:id="-1437438199"/>
                <w14:textFill>
                  <w14:solidFill>
                    <w14:srgbClr w14:val="000000">
                      <w14:alpha w14:val="100000"/>
                    </w14:srgbClr>
                  </w14:solidFill>
                </w14:textFill>
              </w:rPr>
              <w:t>|</w:t>
            </w:r>
            <w:r w:rsidR="00204469" w:rsidRPr="00204469">
              <w:rPr>
                <w:b w:val="0"/>
                <w:bCs/>
                <w:color w:val="000000"/>
                <w:spacing w:val="1"/>
                <w:shd w:val="solid" w:color="000000" w:fill="000000"/>
                <w:fitText w:val="160" w:id="-1437438199"/>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226300F6" w14:textId="5CC21F32" w:rsidR="00880797" w:rsidRPr="000D0B28" w:rsidRDefault="00880797" w:rsidP="00880797">
            <w:pPr>
              <w:pStyle w:val="In-tableHeading"/>
              <w:keepNext w:val="0"/>
              <w:widowControl w:val="0"/>
              <w:jc w:val="center"/>
              <w:rPr>
                <w:b w:val="0"/>
                <w:bCs/>
                <w:highlight w:val="darkGray"/>
                <w:lang w:val="en-AU"/>
              </w:rPr>
            </w:pPr>
            <w:r w:rsidRPr="000D0B28">
              <w:rPr>
                <w:b w:val="0"/>
                <w:bCs/>
              </w:rPr>
              <w:t>$</w:t>
            </w:r>
            <w:r w:rsidR="00204469" w:rsidRPr="00204469">
              <w:rPr>
                <w:b w:val="0"/>
                <w:bCs/>
                <w:color w:val="000000"/>
                <w:spacing w:val="74"/>
                <w:shd w:val="solid" w:color="000000" w:fill="000000"/>
                <w:fitText w:val="160" w:id="-1437438198"/>
                <w14:textFill>
                  <w14:solidFill>
                    <w14:srgbClr w14:val="000000">
                      <w14:alpha w14:val="100000"/>
                    </w14:srgbClr>
                  </w14:solidFill>
                </w14:textFill>
              </w:rPr>
              <w:t>|</w:t>
            </w:r>
            <w:r w:rsidR="00204469" w:rsidRPr="00204469">
              <w:rPr>
                <w:b w:val="0"/>
                <w:bCs/>
                <w:color w:val="000000"/>
                <w:spacing w:val="1"/>
                <w:shd w:val="solid" w:color="000000" w:fill="000000"/>
                <w:fitText w:val="160" w:id="-1437438198"/>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4B289929" w14:textId="096AC812" w:rsidR="00880797" w:rsidRPr="000D0B28" w:rsidRDefault="00880797" w:rsidP="00880797">
            <w:pPr>
              <w:pStyle w:val="In-tableHeading"/>
              <w:keepNext w:val="0"/>
              <w:widowControl w:val="0"/>
              <w:jc w:val="center"/>
              <w:rPr>
                <w:b w:val="0"/>
                <w:bCs/>
                <w:highlight w:val="darkGray"/>
                <w:lang w:val="en-AU"/>
              </w:rPr>
            </w:pPr>
            <w:r w:rsidRPr="000D0B28">
              <w:rPr>
                <w:b w:val="0"/>
                <w:bCs/>
              </w:rPr>
              <w:t>$</w:t>
            </w:r>
            <w:r w:rsidR="00204469" w:rsidRPr="00204469">
              <w:rPr>
                <w:b w:val="0"/>
                <w:bCs/>
                <w:color w:val="000000"/>
                <w:spacing w:val="74"/>
                <w:shd w:val="solid" w:color="000000" w:fill="000000"/>
                <w:fitText w:val="160" w:id="-1437438197"/>
                <w14:textFill>
                  <w14:solidFill>
                    <w14:srgbClr w14:val="000000">
                      <w14:alpha w14:val="100000"/>
                    </w14:srgbClr>
                  </w14:solidFill>
                </w14:textFill>
              </w:rPr>
              <w:t>|</w:t>
            </w:r>
            <w:r w:rsidR="00204469" w:rsidRPr="00204469">
              <w:rPr>
                <w:b w:val="0"/>
                <w:bCs/>
                <w:color w:val="000000"/>
                <w:spacing w:val="1"/>
                <w:shd w:val="solid" w:color="000000" w:fill="000000"/>
                <w:fitText w:val="160" w:id="-1437438197"/>
                <w14:textFill>
                  <w14:solidFill>
                    <w14:srgbClr w14:val="000000">
                      <w14:alpha w14:val="100000"/>
                    </w14:srgbClr>
                  </w14:solidFill>
                </w14:textFill>
              </w:rPr>
              <w:t>|</w:t>
            </w:r>
            <w:r w:rsidR="009F7991">
              <w:rPr>
                <w:b w:val="0"/>
                <w:bCs/>
                <w:vertAlign w:val="superscript"/>
              </w:rPr>
              <w:t>3</w:t>
            </w:r>
          </w:p>
        </w:tc>
        <w:tc>
          <w:tcPr>
            <w:tcW w:w="993" w:type="dxa"/>
            <w:shd w:val="clear" w:color="auto" w:fill="auto"/>
          </w:tcPr>
          <w:p w14:paraId="6F8891C8" w14:textId="57C68ED2" w:rsidR="00880797" w:rsidRPr="000D0B28" w:rsidRDefault="00880797" w:rsidP="00880797">
            <w:pPr>
              <w:pStyle w:val="In-tableHeading"/>
              <w:keepNext w:val="0"/>
              <w:widowControl w:val="0"/>
              <w:jc w:val="center"/>
              <w:rPr>
                <w:b w:val="0"/>
                <w:bCs/>
                <w:highlight w:val="darkGray"/>
                <w:lang w:val="en-AU"/>
              </w:rPr>
            </w:pPr>
            <w:r w:rsidRPr="000D0B28">
              <w:rPr>
                <w:b w:val="0"/>
                <w:bCs/>
              </w:rPr>
              <w:t>$</w:t>
            </w:r>
            <w:r w:rsidR="00204469" w:rsidRPr="00204469">
              <w:rPr>
                <w:rFonts w:hint="eastAsia"/>
                <w:b w:val="0"/>
                <w:bCs/>
                <w:color w:val="000000"/>
                <w:w w:val="33"/>
                <w:shd w:val="solid" w:color="000000" w:fill="000000"/>
                <w:fitText w:val="150" w:id="-1437438196"/>
                <w14:textFill>
                  <w14:solidFill>
                    <w14:srgbClr w14:val="000000">
                      <w14:alpha w14:val="100000"/>
                    </w14:srgbClr>
                  </w14:solidFill>
                </w14:textFill>
              </w:rPr>
              <w:t xml:space="preserve">　</w:t>
            </w:r>
            <w:r w:rsidR="00204469" w:rsidRPr="00204469">
              <w:rPr>
                <w:b w:val="0"/>
                <w:bCs/>
                <w:color w:val="000000"/>
                <w:w w:val="33"/>
                <w:shd w:val="solid" w:color="000000" w:fill="000000"/>
                <w:fitText w:val="150" w:id="-1437438196"/>
                <w14:textFill>
                  <w14:solidFill>
                    <w14:srgbClr w14:val="000000">
                      <w14:alpha w14:val="100000"/>
                    </w14:srgbClr>
                  </w14:solidFill>
                </w14:textFill>
              </w:rPr>
              <w:t>|</w:t>
            </w:r>
            <w:r w:rsidR="00204469" w:rsidRPr="00204469">
              <w:rPr>
                <w:rFonts w:hint="eastAsia"/>
                <w:b w:val="0"/>
                <w:bCs/>
                <w:color w:val="000000"/>
                <w:spacing w:val="4"/>
                <w:w w:val="33"/>
                <w:shd w:val="solid" w:color="000000" w:fill="000000"/>
                <w:fitText w:val="150" w:id="-1437438196"/>
                <w14:textFill>
                  <w14:solidFill>
                    <w14:srgbClr w14:val="000000">
                      <w14:alpha w14:val="100000"/>
                    </w14:srgbClr>
                  </w14:solidFill>
                </w14:textFill>
              </w:rPr>
              <w:t xml:space="preserve">　</w:t>
            </w:r>
            <w:r w:rsidR="009F7991">
              <w:rPr>
                <w:b w:val="0"/>
                <w:bCs/>
                <w:vertAlign w:val="superscript"/>
              </w:rPr>
              <w:t>3</w:t>
            </w:r>
          </w:p>
        </w:tc>
        <w:tc>
          <w:tcPr>
            <w:tcW w:w="992" w:type="dxa"/>
            <w:shd w:val="clear" w:color="auto" w:fill="auto"/>
          </w:tcPr>
          <w:p w14:paraId="654DA854" w14:textId="0086A482" w:rsidR="00880797" w:rsidRPr="000D0B28" w:rsidRDefault="00880797" w:rsidP="00880797">
            <w:pPr>
              <w:pStyle w:val="In-tableHeading"/>
              <w:keepNext w:val="0"/>
              <w:widowControl w:val="0"/>
              <w:jc w:val="center"/>
              <w:rPr>
                <w:b w:val="0"/>
                <w:bCs/>
                <w:highlight w:val="darkGray"/>
                <w:lang w:val="en-AU"/>
              </w:rPr>
            </w:pPr>
            <w:r w:rsidRPr="000D0B28">
              <w:rPr>
                <w:b w:val="0"/>
                <w:bCs/>
              </w:rPr>
              <w:t>$</w:t>
            </w:r>
            <w:r w:rsidR="00204469" w:rsidRPr="00204469">
              <w:rPr>
                <w:b w:val="0"/>
                <w:bCs/>
                <w:color w:val="000000"/>
                <w:spacing w:val="74"/>
                <w:shd w:val="solid" w:color="000000" w:fill="000000"/>
                <w:fitText w:val="160" w:id="-1437438195"/>
                <w14:textFill>
                  <w14:solidFill>
                    <w14:srgbClr w14:val="000000">
                      <w14:alpha w14:val="100000"/>
                    </w14:srgbClr>
                  </w14:solidFill>
                </w14:textFill>
              </w:rPr>
              <w:t>|</w:t>
            </w:r>
            <w:r w:rsidR="00204469" w:rsidRPr="00204469">
              <w:rPr>
                <w:b w:val="0"/>
                <w:bCs/>
                <w:color w:val="000000"/>
                <w:spacing w:val="1"/>
                <w:shd w:val="solid" w:color="000000" w:fill="000000"/>
                <w:fitText w:val="160" w:id="-1437438195"/>
                <w14:textFill>
                  <w14:solidFill>
                    <w14:srgbClr w14:val="000000">
                      <w14:alpha w14:val="100000"/>
                    </w14:srgbClr>
                  </w14:solidFill>
                </w14:textFill>
              </w:rPr>
              <w:t>|</w:t>
            </w:r>
            <w:r w:rsidR="009F7991">
              <w:rPr>
                <w:b w:val="0"/>
                <w:bCs/>
                <w:vertAlign w:val="superscript"/>
              </w:rPr>
              <w:t>3</w:t>
            </w:r>
          </w:p>
        </w:tc>
      </w:tr>
      <w:tr w:rsidR="00880797" w:rsidRPr="00DB490D" w14:paraId="049E1675" w14:textId="77777777" w:rsidTr="009F7991">
        <w:trPr>
          <w:tblHeader/>
        </w:trPr>
        <w:tc>
          <w:tcPr>
            <w:tcW w:w="2830" w:type="dxa"/>
            <w:shd w:val="clear" w:color="auto" w:fill="auto"/>
            <w:vAlign w:val="center"/>
          </w:tcPr>
          <w:p w14:paraId="6C4A33BF" w14:textId="11A02062" w:rsidR="00880797" w:rsidRPr="00DB490D" w:rsidRDefault="00880797" w:rsidP="00880797">
            <w:pPr>
              <w:pStyle w:val="In-tableHeading"/>
              <w:keepNext w:val="0"/>
              <w:widowControl w:val="0"/>
              <w:ind w:left="720"/>
              <w:rPr>
                <w:b w:val="0"/>
                <w:bCs/>
                <w:iCs/>
              </w:rPr>
            </w:pPr>
            <w:r w:rsidRPr="00DB490D">
              <w:rPr>
                <w:b w:val="0"/>
                <w:bCs/>
                <w:iCs/>
              </w:rPr>
              <w:t>Corrected</w:t>
            </w:r>
          </w:p>
        </w:tc>
        <w:tc>
          <w:tcPr>
            <w:tcW w:w="993" w:type="dxa"/>
            <w:shd w:val="clear" w:color="auto" w:fill="auto"/>
          </w:tcPr>
          <w:p w14:paraId="75B02683" w14:textId="2C3D0EDA" w:rsidR="00880797" w:rsidRPr="000D0B28" w:rsidRDefault="00880797" w:rsidP="00880797">
            <w:pPr>
              <w:pStyle w:val="In-tableHeading"/>
              <w:keepNext w:val="0"/>
              <w:widowControl w:val="0"/>
              <w:jc w:val="center"/>
              <w:rPr>
                <w:b w:val="0"/>
                <w:bCs/>
                <w:highlight w:val="darkGray"/>
              </w:rPr>
            </w:pPr>
            <w:r w:rsidRPr="000D0B28">
              <w:rPr>
                <w:b w:val="0"/>
                <w:bCs/>
                <w:iCs/>
              </w:rPr>
              <w:t>$</w:t>
            </w:r>
            <w:r w:rsidR="00204469" w:rsidRPr="00204469">
              <w:rPr>
                <w:rFonts w:hint="eastAsia"/>
                <w:b w:val="0"/>
                <w:bCs/>
                <w:iCs/>
                <w:color w:val="000000"/>
                <w:w w:val="33"/>
                <w:shd w:val="solid" w:color="000000" w:fill="000000"/>
                <w:fitText w:val="150" w:id="-1437438194"/>
                <w14:textFill>
                  <w14:solidFill>
                    <w14:srgbClr w14:val="000000">
                      <w14:alpha w14:val="100000"/>
                    </w14:srgbClr>
                  </w14:solidFill>
                </w14:textFill>
              </w:rPr>
              <w:t xml:space="preserve">　</w:t>
            </w:r>
            <w:r w:rsidR="00204469" w:rsidRPr="00204469">
              <w:rPr>
                <w:b w:val="0"/>
                <w:bCs/>
                <w:iCs/>
                <w:color w:val="000000"/>
                <w:w w:val="33"/>
                <w:shd w:val="solid" w:color="000000" w:fill="000000"/>
                <w:fitText w:val="150" w:id="-1437438194"/>
                <w14:textFill>
                  <w14:solidFill>
                    <w14:srgbClr w14:val="000000">
                      <w14:alpha w14:val="100000"/>
                    </w14:srgbClr>
                  </w14:solidFill>
                </w14:textFill>
              </w:rPr>
              <w:t>|</w:t>
            </w:r>
            <w:r w:rsidR="00204469" w:rsidRPr="00204469">
              <w:rPr>
                <w:rFonts w:hint="eastAsia"/>
                <w:b w:val="0"/>
                <w:bCs/>
                <w:iCs/>
                <w:color w:val="000000"/>
                <w:spacing w:val="4"/>
                <w:w w:val="33"/>
                <w:shd w:val="solid" w:color="000000" w:fill="000000"/>
                <w:fitText w:val="150" w:id="-1437438194"/>
                <w14:textFill>
                  <w14:solidFill>
                    <w14:srgbClr w14:val="000000">
                      <w14:alpha w14:val="100000"/>
                    </w14:srgbClr>
                  </w14:solidFill>
                </w14:textFill>
              </w:rPr>
              <w:t xml:space="preserve">　</w:t>
            </w:r>
            <w:r w:rsidR="009F7991">
              <w:rPr>
                <w:b w:val="0"/>
                <w:bCs/>
                <w:vertAlign w:val="superscript"/>
              </w:rPr>
              <w:t>3</w:t>
            </w:r>
          </w:p>
        </w:tc>
        <w:tc>
          <w:tcPr>
            <w:tcW w:w="992" w:type="dxa"/>
            <w:shd w:val="clear" w:color="auto" w:fill="auto"/>
          </w:tcPr>
          <w:p w14:paraId="01C260D0" w14:textId="501CDE1C" w:rsidR="00880797" w:rsidRPr="000D0B28" w:rsidRDefault="00880797" w:rsidP="00880797">
            <w:pPr>
              <w:pStyle w:val="In-tableHeading"/>
              <w:keepNext w:val="0"/>
              <w:widowControl w:val="0"/>
              <w:jc w:val="center"/>
              <w:rPr>
                <w:b w:val="0"/>
                <w:bCs/>
                <w:highlight w:val="darkGray"/>
              </w:rPr>
            </w:pPr>
            <w:r w:rsidRPr="000D0B28">
              <w:rPr>
                <w:b w:val="0"/>
                <w:bCs/>
                <w:iCs/>
              </w:rPr>
              <w:t>$</w:t>
            </w:r>
            <w:r w:rsidR="00204469" w:rsidRPr="00204469">
              <w:rPr>
                <w:b w:val="0"/>
                <w:bCs/>
                <w:iCs/>
                <w:color w:val="000000"/>
                <w:spacing w:val="74"/>
                <w:shd w:val="solid" w:color="000000" w:fill="000000"/>
                <w:fitText w:val="160" w:id="-1437438193"/>
                <w14:textFill>
                  <w14:solidFill>
                    <w14:srgbClr w14:val="000000">
                      <w14:alpha w14:val="100000"/>
                    </w14:srgbClr>
                  </w14:solidFill>
                </w14:textFill>
              </w:rPr>
              <w:t>|</w:t>
            </w:r>
            <w:r w:rsidR="00204469" w:rsidRPr="00204469">
              <w:rPr>
                <w:b w:val="0"/>
                <w:bCs/>
                <w:iCs/>
                <w:color w:val="000000"/>
                <w:spacing w:val="1"/>
                <w:shd w:val="solid" w:color="000000" w:fill="000000"/>
                <w:fitText w:val="160" w:id="-1437438193"/>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1908AA5C" w14:textId="2208F6CA" w:rsidR="00880797" w:rsidRPr="000D0B28" w:rsidRDefault="00880797" w:rsidP="00880797">
            <w:pPr>
              <w:pStyle w:val="In-tableHeading"/>
              <w:keepNext w:val="0"/>
              <w:widowControl w:val="0"/>
              <w:jc w:val="center"/>
              <w:rPr>
                <w:b w:val="0"/>
                <w:bCs/>
                <w:highlight w:val="darkGray"/>
              </w:rPr>
            </w:pPr>
            <w:r w:rsidRPr="000D0B28">
              <w:rPr>
                <w:b w:val="0"/>
                <w:bCs/>
                <w:iCs/>
              </w:rPr>
              <w:t>$</w:t>
            </w:r>
            <w:r w:rsidR="00204469" w:rsidRPr="00204469">
              <w:rPr>
                <w:b w:val="0"/>
                <w:bCs/>
                <w:iCs/>
                <w:color w:val="000000"/>
                <w:spacing w:val="74"/>
                <w:shd w:val="solid" w:color="000000" w:fill="000000"/>
                <w:fitText w:val="160" w:id="-1437438192"/>
                <w14:textFill>
                  <w14:solidFill>
                    <w14:srgbClr w14:val="000000">
                      <w14:alpha w14:val="100000"/>
                    </w14:srgbClr>
                  </w14:solidFill>
                </w14:textFill>
              </w:rPr>
              <w:t>|</w:t>
            </w:r>
            <w:r w:rsidR="00204469" w:rsidRPr="00204469">
              <w:rPr>
                <w:b w:val="0"/>
                <w:bCs/>
                <w:iCs/>
                <w:color w:val="000000"/>
                <w:spacing w:val="1"/>
                <w:shd w:val="solid" w:color="000000" w:fill="000000"/>
                <w:fitText w:val="160" w:id="-1437438192"/>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7C7C57FF" w14:textId="0C565162" w:rsidR="00880797" w:rsidRPr="000D0B28" w:rsidRDefault="00880797" w:rsidP="00880797">
            <w:pPr>
              <w:pStyle w:val="In-tableHeading"/>
              <w:keepNext w:val="0"/>
              <w:widowControl w:val="0"/>
              <w:jc w:val="center"/>
              <w:rPr>
                <w:b w:val="0"/>
                <w:bCs/>
                <w:highlight w:val="darkGray"/>
              </w:rPr>
            </w:pPr>
            <w:r w:rsidRPr="000D0B28">
              <w:rPr>
                <w:b w:val="0"/>
                <w:bCs/>
                <w:iCs/>
              </w:rPr>
              <w:t>$</w:t>
            </w:r>
            <w:r w:rsidR="00204469" w:rsidRPr="00204469">
              <w:rPr>
                <w:b w:val="0"/>
                <w:bCs/>
                <w:iCs/>
                <w:color w:val="000000"/>
                <w:spacing w:val="74"/>
                <w:shd w:val="solid" w:color="000000" w:fill="000000"/>
                <w:fitText w:val="160" w:id="-1437438208"/>
                <w14:textFill>
                  <w14:solidFill>
                    <w14:srgbClr w14:val="000000">
                      <w14:alpha w14:val="100000"/>
                    </w14:srgbClr>
                  </w14:solidFill>
                </w14:textFill>
              </w:rPr>
              <w:t>|</w:t>
            </w:r>
            <w:r w:rsidR="00204469" w:rsidRPr="00204469">
              <w:rPr>
                <w:b w:val="0"/>
                <w:bCs/>
                <w:iCs/>
                <w:color w:val="000000"/>
                <w:spacing w:val="1"/>
                <w:shd w:val="solid" w:color="000000" w:fill="000000"/>
                <w:fitText w:val="160" w:id="-1437438208"/>
                <w14:textFill>
                  <w14:solidFill>
                    <w14:srgbClr w14:val="000000">
                      <w14:alpha w14:val="100000"/>
                    </w14:srgbClr>
                  </w14:solidFill>
                </w14:textFill>
              </w:rPr>
              <w:t>|</w:t>
            </w:r>
            <w:r w:rsidR="009F7991">
              <w:rPr>
                <w:b w:val="0"/>
                <w:bCs/>
                <w:vertAlign w:val="superscript"/>
              </w:rPr>
              <w:t>3</w:t>
            </w:r>
          </w:p>
        </w:tc>
        <w:tc>
          <w:tcPr>
            <w:tcW w:w="993" w:type="dxa"/>
            <w:shd w:val="clear" w:color="auto" w:fill="auto"/>
          </w:tcPr>
          <w:p w14:paraId="4948DAE8" w14:textId="5BF116BF" w:rsidR="00880797" w:rsidRPr="000D0B28" w:rsidRDefault="00880797" w:rsidP="00880797">
            <w:pPr>
              <w:pStyle w:val="In-tableHeading"/>
              <w:keepNext w:val="0"/>
              <w:widowControl w:val="0"/>
              <w:jc w:val="center"/>
              <w:rPr>
                <w:b w:val="0"/>
                <w:bCs/>
                <w:highlight w:val="darkGray"/>
              </w:rPr>
            </w:pPr>
            <w:r w:rsidRPr="000D0B28">
              <w:rPr>
                <w:b w:val="0"/>
                <w:bCs/>
                <w:iCs/>
              </w:rPr>
              <w:t>$</w:t>
            </w:r>
            <w:r w:rsidR="00204469" w:rsidRPr="00204469">
              <w:rPr>
                <w:rFonts w:hint="eastAsia"/>
                <w:b w:val="0"/>
                <w:bCs/>
                <w:iCs/>
                <w:color w:val="000000"/>
                <w:w w:val="33"/>
                <w:shd w:val="solid" w:color="000000" w:fill="000000"/>
                <w:fitText w:val="150" w:id="-1437438207"/>
                <w14:textFill>
                  <w14:solidFill>
                    <w14:srgbClr w14:val="000000">
                      <w14:alpha w14:val="100000"/>
                    </w14:srgbClr>
                  </w14:solidFill>
                </w14:textFill>
              </w:rPr>
              <w:t xml:space="preserve">　</w:t>
            </w:r>
            <w:r w:rsidR="00204469" w:rsidRPr="00204469">
              <w:rPr>
                <w:b w:val="0"/>
                <w:bCs/>
                <w:iCs/>
                <w:color w:val="000000"/>
                <w:w w:val="33"/>
                <w:shd w:val="solid" w:color="000000" w:fill="000000"/>
                <w:fitText w:val="150" w:id="-1437438207"/>
                <w14:textFill>
                  <w14:solidFill>
                    <w14:srgbClr w14:val="000000">
                      <w14:alpha w14:val="100000"/>
                    </w14:srgbClr>
                  </w14:solidFill>
                </w14:textFill>
              </w:rPr>
              <w:t>|</w:t>
            </w:r>
            <w:r w:rsidR="00204469" w:rsidRPr="00204469">
              <w:rPr>
                <w:rFonts w:hint="eastAsia"/>
                <w:b w:val="0"/>
                <w:bCs/>
                <w:iCs/>
                <w:color w:val="000000"/>
                <w:spacing w:val="4"/>
                <w:w w:val="33"/>
                <w:shd w:val="solid" w:color="000000" w:fill="000000"/>
                <w:fitText w:val="150" w:id="-1437438207"/>
                <w14:textFill>
                  <w14:solidFill>
                    <w14:srgbClr w14:val="000000">
                      <w14:alpha w14:val="100000"/>
                    </w14:srgbClr>
                  </w14:solidFill>
                </w14:textFill>
              </w:rPr>
              <w:t xml:space="preserve">　</w:t>
            </w:r>
            <w:r w:rsidR="009F7991">
              <w:rPr>
                <w:b w:val="0"/>
                <w:bCs/>
                <w:vertAlign w:val="superscript"/>
              </w:rPr>
              <w:t>3</w:t>
            </w:r>
          </w:p>
        </w:tc>
        <w:tc>
          <w:tcPr>
            <w:tcW w:w="992" w:type="dxa"/>
            <w:shd w:val="clear" w:color="auto" w:fill="auto"/>
          </w:tcPr>
          <w:p w14:paraId="0B02C722" w14:textId="7C5FAA8F" w:rsidR="00880797" w:rsidRPr="000D0B28" w:rsidRDefault="00880797" w:rsidP="00880797">
            <w:pPr>
              <w:pStyle w:val="In-tableHeading"/>
              <w:keepNext w:val="0"/>
              <w:widowControl w:val="0"/>
              <w:jc w:val="center"/>
              <w:rPr>
                <w:b w:val="0"/>
                <w:bCs/>
                <w:highlight w:val="darkGray"/>
              </w:rPr>
            </w:pPr>
            <w:r w:rsidRPr="000D0B28">
              <w:rPr>
                <w:b w:val="0"/>
                <w:bCs/>
                <w:iCs/>
              </w:rPr>
              <w:t>$</w:t>
            </w:r>
            <w:r w:rsidR="00204469" w:rsidRPr="00204469">
              <w:rPr>
                <w:b w:val="0"/>
                <w:bCs/>
                <w:iCs/>
                <w:color w:val="000000"/>
                <w:spacing w:val="74"/>
                <w:shd w:val="solid" w:color="000000" w:fill="000000"/>
                <w:fitText w:val="160" w:id="-1437438206"/>
                <w14:textFill>
                  <w14:solidFill>
                    <w14:srgbClr w14:val="000000">
                      <w14:alpha w14:val="100000"/>
                    </w14:srgbClr>
                  </w14:solidFill>
                </w14:textFill>
              </w:rPr>
              <w:t>|</w:t>
            </w:r>
            <w:r w:rsidR="00204469" w:rsidRPr="00204469">
              <w:rPr>
                <w:b w:val="0"/>
                <w:bCs/>
                <w:iCs/>
                <w:color w:val="000000"/>
                <w:spacing w:val="1"/>
                <w:shd w:val="solid" w:color="000000" w:fill="000000"/>
                <w:fitText w:val="160" w:id="-1437438206"/>
                <w14:textFill>
                  <w14:solidFill>
                    <w14:srgbClr w14:val="000000">
                      <w14:alpha w14:val="100000"/>
                    </w14:srgbClr>
                  </w14:solidFill>
                </w14:textFill>
              </w:rPr>
              <w:t>|</w:t>
            </w:r>
            <w:r w:rsidR="009F7991">
              <w:rPr>
                <w:b w:val="0"/>
                <w:bCs/>
                <w:vertAlign w:val="superscript"/>
              </w:rPr>
              <w:t>3</w:t>
            </w:r>
          </w:p>
        </w:tc>
      </w:tr>
      <w:tr w:rsidR="00880797" w:rsidRPr="0040247D" w14:paraId="144C083A" w14:textId="77777777" w:rsidTr="009F7991">
        <w:trPr>
          <w:tblHeader/>
        </w:trPr>
        <w:tc>
          <w:tcPr>
            <w:tcW w:w="2830" w:type="dxa"/>
            <w:shd w:val="clear" w:color="auto" w:fill="auto"/>
            <w:vAlign w:val="center"/>
          </w:tcPr>
          <w:p w14:paraId="0471B477" w14:textId="10457774" w:rsidR="00880797" w:rsidRPr="00880797" w:rsidRDefault="00880797" w:rsidP="00880797">
            <w:pPr>
              <w:pStyle w:val="In-tableHeading"/>
              <w:keepNext w:val="0"/>
              <w:widowControl w:val="0"/>
              <w:rPr>
                <w:b w:val="0"/>
                <w:bCs/>
                <w:lang w:val="en-AU"/>
              </w:rPr>
            </w:pPr>
            <w:r w:rsidRPr="00880797">
              <w:rPr>
                <w:b w:val="0"/>
                <w:bCs/>
              </w:rPr>
              <w:t xml:space="preserve">PBS/RPBS cost </w:t>
            </w:r>
            <w:r w:rsidR="00822546">
              <w:rPr>
                <w:b w:val="0"/>
                <w:bCs/>
              </w:rPr>
              <w:t>net copayment</w:t>
            </w:r>
          </w:p>
        </w:tc>
        <w:tc>
          <w:tcPr>
            <w:tcW w:w="993" w:type="dxa"/>
            <w:shd w:val="clear" w:color="auto" w:fill="auto"/>
          </w:tcPr>
          <w:p w14:paraId="1924DA47" w14:textId="732E2F47" w:rsidR="00880797" w:rsidRPr="000D0B28" w:rsidRDefault="00880797" w:rsidP="00880797">
            <w:pPr>
              <w:pStyle w:val="In-tableHeading"/>
              <w:keepNext w:val="0"/>
              <w:widowControl w:val="0"/>
              <w:jc w:val="center"/>
              <w:rPr>
                <w:b w:val="0"/>
                <w:bCs/>
                <w:highlight w:val="darkGray"/>
                <w:lang w:val="en-AU"/>
              </w:rPr>
            </w:pPr>
            <w:r w:rsidRPr="000D0B28">
              <w:rPr>
                <w:b w:val="0"/>
                <w:bCs/>
              </w:rPr>
              <w:t>-$</w:t>
            </w:r>
            <w:r w:rsidR="00204469" w:rsidRPr="00204469">
              <w:rPr>
                <w:b w:val="0"/>
                <w:bCs/>
                <w:color w:val="000000"/>
                <w:spacing w:val="94"/>
                <w:shd w:val="solid" w:color="000000" w:fill="000000"/>
                <w:fitText w:val="180" w:id="-1437438205"/>
                <w14:textFill>
                  <w14:solidFill>
                    <w14:srgbClr w14:val="000000">
                      <w14:alpha w14:val="100000"/>
                    </w14:srgbClr>
                  </w14:solidFill>
                </w14:textFill>
              </w:rPr>
              <w:t>|</w:t>
            </w:r>
            <w:r w:rsidR="00204469" w:rsidRPr="00204469">
              <w:rPr>
                <w:b w:val="0"/>
                <w:bCs/>
                <w:color w:val="000000"/>
                <w:spacing w:val="1"/>
                <w:shd w:val="solid" w:color="000000" w:fill="000000"/>
                <w:fitText w:val="180" w:id="-1437438205"/>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35D68D3E" w14:textId="3937922B" w:rsidR="00880797" w:rsidRPr="000D0B28" w:rsidRDefault="00880797" w:rsidP="00880797">
            <w:pPr>
              <w:pStyle w:val="In-tableHeading"/>
              <w:keepNext w:val="0"/>
              <w:widowControl w:val="0"/>
              <w:jc w:val="center"/>
              <w:rPr>
                <w:b w:val="0"/>
                <w:bCs/>
                <w:highlight w:val="darkGray"/>
                <w:lang w:val="en-AU"/>
              </w:rPr>
            </w:pPr>
            <w:r w:rsidRPr="000D0B28">
              <w:rPr>
                <w:b w:val="0"/>
                <w:bCs/>
              </w:rPr>
              <w:t>-$</w:t>
            </w:r>
            <w:r w:rsidR="00204469" w:rsidRPr="00204469">
              <w:rPr>
                <w:b w:val="0"/>
                <w:bCs/>
                <w:color w:val="000000"/>
                <w:spacing w:val="94"/>
                <w:shd w:val="solid" w:color="000000" w:fill="000000"/>
                <w:fitText w:val="180" w:id="-1437438204"/>
                <w14:textFill>
                  <w14:solidFill>
                    <w14:srgbClr w14:val="000000">
                      <w14:alpha w14:val="100000"/>
                    </w14:srgbClr>
                  </w14:solidFill>
                </w14:textFill>
              </w:rPr>
              <w:t>|</w:t>
            </w:r>
            <w:r w:rsidR="00204469" w:rsidRPr="00204469">
              <w:rPr>
                <w:b w:val="0"/>
                <w:bCs/>
                <w:color w:val="000000"/>
                <w:spacing w:val="1"/>
                <w:shd w:val="solid" w:color="000000" w:fill="000000"/>
                <w:fitText w:val="180" w:id="-1437438204"/>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02F546E3" w14:textId="570C3EE9" w:rsidR="00880797" w:rsidRPr="000D0B28" w:rsidRDefault="00880797" w:rsidP="00880797">
            <w:pPr>
              <w:pStyle w:val="In-tableHeading"/>
              <w:keepNext w:val="0"/>
              <w:widowControl w:val="0"/>
              <w:jc w:val="center"/>
              <w:rPr>
                <w:b w:val="0"/>
                <w:bCs/>
                <w:highlight w:val="darkGray"/>
                <w:lang w:val="en-AU"/>
              </w:rPr>
            </w:pPr>
            <w:r w:rsidRPr="000D0B28">
              <w:rPr>
                <w:b w:val="0"/>
                <w:bCs/>
              </w:rPr>
              <w:t>-$</w:t>
            </w:r>
            <w:r w:rsidR="00204469" w:rsidRPr="00204469">
              <w:rPr>
                <w:b w:val="0"/>
                <w:bCs/>
                <w:color w:val="000000"/>
                <w:spacing w:val="94"/>
                <w:shd w:val="solid" w:color="000000" w:fill="000000"/>
                <w:fitText w:val="180" w:id="-1437438203"/>
                <w14:textFill>
                  <w14:solidFill>
                    <w14:srgbClr w14:val="000000">
                      <w14:alpha w14:val="100000"/>
                    </w14:srgbClr>
                  </w14:solidFill>
                </w14:textFill>
              </w:rPr>
              <w:t>|</w:t>
            </w:r>
            <w:r w:rsidR="00204469" w:rsidRPr="00204469">
              <w:rPr>
                <w:b w:val="0"/>
                <w:bCs/>
                <w:color w:val="000000"/>
                <w:spacing w:val="1"/>
                <w:shd w:val="solid" w:color="000000" w:fill="000000"/>
                <w:fitText w:val="180" w:id="-1437438203"/>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16AD3142" w14:textId="0C73C7FD" w:rsidR="00880797" w:rsidRPr="000D0B28" w:rsidRDefault="00880797" w:rsidP="00880797">
            <w:pPr>
              <w:pStyle w:val="In-tableHeading"/>
              <w:keepNext w:val="0"/>
              <w:widowControl w:val="0"/>
              <w:jc w:val="center"/>
              <w:rPr>
                <w:b w:val="0"/>
                <w:bCs/>
                <w:highlight w:val="darkGray"/>
                <w:lang w:val="en-AU"/>
              </w:rPr>
            </w:pPr>
            <w:r w:rsidRPr="000D0B28">
              <w:rPr>
                <w:b w:val="0"/>
                <w:bCs/>
              </w:rPr>
              <w:t>-$</w:t>
            </w:r>
            <w:r w:rsidR="00204469" w:rsidRPr="00204469">
              <w:rPr>
                <w:b w:val="0"/>
                <w:bCs/>
                <w:color w:val="000000"/>
                <w:spacing w:val="94"/>
                <w:shd w:val="solid" w:color="000000" w:fill="000000"/>
                <w:fitText w:val="180" w:id="-1437438202"/>
                <w14:textFill>
                  <w14:solidFill>
                    <w14:srgbClr w14:val="000000">
                      <w14:alpha w14:val="100000"/>
                    </w14:srgbClr>
                  </w14:solidFill>
                </w14:textFill>
              </w:rPr>
              <w:t>|</w:t>
            </w:r>
            <w:r w:rsidR="00204469" w:rsidRPr="00204469">
              <w:rPr>
                <w:b w:val="0"/>
                <w:bCs/>
                <w:color w:val="000000"/>
                <w:spacing w:val="1"/>
                <w:shd w:val="solid" w:color="000000" w:fill="000000"/>
                <w:fitText w:val="180" w:id="-1437438202"/>
                <w14:textFill>
                  <w14:solidFill>
                    <w14:srgbClr w14:val="000000">
                      <w14:alpha w14:val="100000"/>
                    </w14:srgbClr>
                  </w14:solidFill>
                </w14:textFill>
              </w:rPr>
              <w:t>|</w:t>
            </w:r>
            <w:r w:rsidR="009F7991">
              <w:rPr>
                <w:b w:val="0"/>
                <w:bCs/>
                <w:vertAlign w:val="superscript"/>
              </w:rPr>
              <w:t>3</w:t>
            </w:r>
          </w:p>
        </w:tc>
        <w:tc>
          <w:tcPr>
            <w:tcW w:w="993" w:type="dxa"/>
            <w:shd w:val="clear" w:color="auto" w:fill="auto"/>
          </w:tcPr>
          <w:p w14:paraId="0D476CB3" w14:textId="1D1DCFBE" w:rsidR="00880797" w:rsidRPr="000D0B28" w:rsidRDefault="00880797" w:rsidP="00880797">
            <w:pPr>
              <w:pStyle w:val="In-tableHeading"/>
              <w:keepNext w:val="0"/>
              <w:widowControl w:val="0"/>
              <w:jc w:val="center"/>
              <w:rPr>
                <w:b w:val="0"/>
                <w:bCs/>
                <w:highlight w:val="darkGray"/>
                <w:lang w:val="en-AU"/>
              </w:rPr>
            </w:pPr>
            <w:r w:rsidRPr="000D0B28">
              <w:rPr>
                <w:b w:val="0"/>
                <w:bCs/>
              </w:rPr>
              <w:t>-$</w:t>
            </w:r>
            <w:r w:rsidR="00204469" w:rsidRPr="00204469">
              <w:rPr>
                <w:b w:val="0"/>
                <w:bCs/>
                <w:color w:val="000000"/>
                <w:spacing w:val="94"/>
                <w:shd w:val="solid" w:color="000000" w:fill="000000"/>
                <w:fitText w:val="180" w:id="-1437438201"/>
                <w14:textFill>
                  <w14:solidFill>
                    <w14:srgbClr w14:val="000000">
                      <w14:alpha w14:val="100000"/>
                    </w14:srgbClr>
                  </w14:solidFill>
                </w14:textFill>
              </w:rPr>
              <w:t>|</w:t>
            </w:r>
            <w:r w:rsidR="00204469" w:rsidRPr="00204469">
              <w:rPr>
                <w:b w:val="0"/>
                <w:bCs/>
                <w:color w:val="000000"/>
                <w:spacing w:val="1"/>
                <w:shd w:val="solid" w:color="000000" w:fill="000000"/>
                <w:fitText w:val="180" w:id="-1437438201"/>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0821D098" w14:textId="4BA6F005" w:rsidR="00880797" w:rsidRPr="000D0B28" w:rsidRDefault="00880797" w:rsidP="00880797">
            <w:pPr>
              <w:pStyle w:val="In-tableHeading"/>
              <w:keepNext w:val="0"/>
              <w:widowControl w:val="0"/>
              <w:jc w:val="center"/>
              <w:rPr>
                <w:b w:val="0"/>
                <w:bCs/>
                <w:highlight w:val="darkGray"/>
                <w:lang w:val="en-AU"/>
              </w:rPr>
            </w:pPr>
            <w:r w:rsidRPr="000D0B28">
              <w:rPr>
                <w:b w:val="0"/>
                <w:bCs/>
              </w:rPr>
              <w:t>-$</w:t>
            </w:r>
            <w:r w:rsidR="00204469" w:rsidRPr="00204469">
              <w:rPr>
                <w:b w:val="0"/>
                <w:bCs/>
                <w:color w:val="000000"/>
                <w:spacing w:val="94"/>
                <w:shd w:val="solid" w:color="000000" w:fill="000000"/>
                <w:fitText w:val="180" w:id="-1437438200"/>
                <w14:textFill>
                  <w14:solidFill>
                    <w14:srgbClr w14:val="000000">
                      <w14:alpha w14:val="100000"/>
                    </w14:srgbClr>
                  </w14:solidFill>
                </w14:textFill>
              </w:rPr>
              <w:t>|</w:t>
            </w:r>
            <w:r w:rsidR="00204469" w:rsidRPr="00204469">
              <w:rPr>
                <w:b w:val="0"/>
                <w:bCs/>
                <w:color w:val="000000"/>
                <w:spacing w:val="1"/>
                <w:shd w:val="solid" w:color="000000" w:fill="000000"/>
                <w:fitText w:val="180" w:id="-1437438200"/>
                <w14:textFill>
                  <w14:solidFill>
                    <w14:srgbClr w14:val="000000">
                      <w14:alpha w14:val="100000"/>
                    </w14:srgbClr>
                  </w14:solidFill>
                </w14:textFill>
              </w:rPr>
              <w:t>|</w:t>
            </w:r>
            <w:r w:rsidR="009F7991">
              <w:rPr>
                <w:b w:val="0"/>
                <w:bCs/>
                <w:vertAlign w:val="superscript"/>
              </w:rPr>
              <w:t>3</w:t>
            </w:r>
          </w:p>
        </w:tc>
      </w:tr>
      <w:tr w:rsidR="00880797" w:rsidRPr="0040247D" w14:paraId="42E89E31" w14:textId="77777777" w:rsidTr="009F7991">
        <w:trPr>
          <w:tblHeader/>
        </w:trPr>
        <w:tc>
          <w:tcPr>
            <w:tcW w:w="2830" w:type="dxa"/>
            <w:shd w:val="clear" w:color="auto" w:fill="auto"/>
            <w:vAlign w:val="center"/>
          </w:tcPr>
          <w:p w14:paraId="5580E346" w14:textId="1913B45B" w:rsidR="00880797" w:rsidRPr="00880797" w:rsidRDefault="00880797" w:rsidP="00880797">
            <w:pPr>
              <w:pStyle w:val="In-tableHeading"/>
              <w:keepNext w:val="0"/>
              <w:widowControl w:val="0"/>
              <w:ind w:left="720"/>
              <w:rPr>
                <w:b w:val="0"/>
                <w:bCs/>
              </w:rPr>
            </w:pPr>
            <w:r w:rsidRPr="00DB490D">
              <w:rPr>
                <w:b w:val="0"/>
                <w:bCs/>
                <w:iCs/>
              </w:rPr>
              <w:t>Corrected</w:t>
            </w:r>
          </w:p>
        </w:tc>
        <w:tc>
          <w:tcPr>
            <w:tcW w:w="993" w:type="dxa"/>
            <w:shd w:val="clear" w:color="auto" w:fill="auto"/>
          </w:tcPr>
          <w:p w14:paraId="4C9BDE61" w14:textId="366048E9" w:rsidR="00880797" w:rsidRPr="000D0B28" w:rsidRDefault="00880797" w:rsidP="00880797">
            <w:pPr>
              <w:pStyle w:val="In-tableHeading"/>
              <w:keepNext w:val="0"/>
              <w:widowControl w:val="0"/>
              <w:jc w:val="center"/>
              <w:rPr>
                <w:b w:val="0"/>
                <w:bCs/>
                <w:highlight w:val="darkGray"/>
              </w:rPr>
            </w:pPr>
            <w:r w:rsidRPr="000D0B28">
              <w:rPr>
                <w:b w:val="0"/>
                <w:bCs/>
                <w:iCs/>
              </w:rPr>
              <w:t>-$</w:t>
            </w:r>
            <w:r w:rsidR="00204469" w:rsidRPr="00204469">
              <w:rPr>
                <w:b w:val="0"/>
                <w:bCs/>
                <w:iCs/>
                <w:color w:val="000000"/>
                <w:spacing w:val="94"/>
                <w:shd w:val="solid" w:color="000000" w:fill="000000"/>
                <w:fitText w:val="180" w:id="-1437437952"/>
                <w14:textFill>
                  <w14:solidFill>
                    <w14:srgbClr w14:val="000000">
                      <w14:alpha w14:val="100000"/>
                    </w14:srgbClr>
                  </w14:solidFill>
                </w14:textFill>
              </w:rPr>
              <w:t>|</w:t>
            </w:r>
            <w:r w:rsidR="00204469" w:rsidRPr="00204469">
              <w:rPr>
                <w:b w:val="0"/>
                <w:bCs/>
                <w:iCs/>
                <w:color w:val="000000"/>
                <w:spacing w:val="1"/>
                <w:shd w:val="solid" w:color="000000" w:fill="000000"/>
                <w:fitText w:val="180" w:id="-1437437952"/>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12AF02F0" w14:textId="45289A1C" w:rsidR="00880797" w:rsidRPr="000D0B28" w:rsidRDefault="00880797" w:rsidP="00880797">
            <w:pPr>
              <w:pStyle w:val="In-tableHeading"/>
              <w:keepNext w:val="0"/>
              <w:widowControl w:val="0"/>
              <w:jc w:val="center"/>
              <w:rPr>
                <w:b w:val="0"/>
                <w:bCs/>
                <w:highlight w:val="darkGray"/>
              </w:rPr>
            </w:pPr>
            <w:r w:rsidRPr="000D0B28">
              <w:rPr>
                <w:b w:val="0"/>
                <w:bCs/>
                <w:iCs/>
              </w:rPr>
              <w:t>-$</w:t>
            </w:r>
            <w:r w:rsidR="00204469" w:rsidRPr="00204469">
              <w:rPr>
                <w:b w:val="0"/>
                <w:bCs/>
                <w:iCs/>
                <w:color w:val="000000"/>
                <w:spacing w:val="94"/>
                <w:shd w:val="solid" w:color="000000" w:fill="000000"/>
                <w:fitText w:val="180" w:id="-1437437951"/>
                <w14:textFill>
                  <w14:solidFill>
                    <w14:srgbClr w14:val="000000">
                      <w14:alpha w14:val="100000"/>
                    </w14:srgbClr>
                  </w14:solidFill>
                </w14:textFill>
              </w:rPr>
              <w:t>|</w:t>
            </w:r>
            <w:r w:rsidR="00204469" w:rsidRPr="00204469">
              <w:rPr>
                <w:b w:val="0"/>
                <w:bCs/>
                <w:iCs/>
                <w:color w:val="000000"/>
                <w:spacing w:val="1"/>
                <w:shd w:val="solid" w:color="000000" w:fill="000000"/>
                <w:fitText w:val="180" w:id="-1437437951"/>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5F10608A" w14:textId="64D97193" w:rsidR="00880797" w:rsidRPr="000D0B28" w:rsidRDefault="00880797" w:rsidP="00880797">
            <w:pPr>
              <w:pStyle w:val="In-tableHeading"/>
              <w:keepNext w:val="0"/>
              <w:widowControl w:val="0"/>
              <w:jc w:val="center"/>
              <w:rPr>
                <w:b w:val="0"/>
                <w:bCs/>
                <w:highlight w:val="darkGray"/>
              </w:rPr>
            </w:pPr>
            <w:r w:rsidRPr="000D0B28">
              <w:rPr>
                <w:b w:val="0"/>
                <w:bCs/>
                <w:iCs/>
              </w:rPr>
              <w:t>-$</w:t>
            </w:r>
            <w:r w:rsidR="00204469" w:rsidRPr="00204469">
              <w:rPr>
                <w:b w:val="0"/>
                <w:bCs/>
                <w:iCs/>
                <w:color w:val="000000"/>
                <w:spacing w:val="94"/>
                <w:shd w:val="solid" w:color="000000" w:fill="000000"/>
                <w:fitText w:val="180" w:id="-1437437950"/>
                <w14:textFill>
                  <w14:solidFill>
                    <w14:srgbClr w14:val="000000">
                      <w14:alpha w14:val="100000"/>
                    </w14:srgbClr>
                  </w14:solidFill>
                </w14:textFill>
              </w:rPr>
              <w:t>|</w:t>
            </w:r>
            <w:r w:rsidR="00204469" w:rsidRPr="00204469">
              <w:rPr>
                <w:b w:val="0"/>
                <w:bCs/>
                <w:iCs/>
                <w:color w:val="000000"/>
                <w:spacing w:val="1"/>
                <w:shd w:val="solid" w:color="000000" w:fill="000000"/>
                <w:fitText w:val="180" w:id="-1437437950"/>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1254868C" w14:textId="43304837" w:rsidR="00880797" w:rsidRPr="000D0B28" w:rsidRDefault="00880797" w:rsidP="00880797">
            <w:pPr>
              <w:pStyle w:val="In-tableHeading"/>
              <w:keepNext w:val="0"/>
              <w:widowControl w:val="0"/>
              <w:jc w:val="center"/>
              <w:rPr>
                <w:b w:val="0"/>
                <w:bCs/>
                <w:highlight w:val="darkGray"/>
              </w:rPr>
            </w:pPr>
            <w:r w:rsidRPr="000D0B28">
              <w:rPr>
                <w:b w:val="0"/>
                <w:bCs/>
                <w:iCs/>
              </w:rPr>
              <w:t>-$</w:t>
            </w:r>
            <w:r w:rsidR="00204469" w:rsidRPr="00204469">
              <w:rPr>
                <w:b w:val="0"/>
                <w:bCs/>
                <w:iCs/>
                <w:color w:val="000000"/>
                <w:spacing w:val="94"/>
                <w:shd w:val="solid" w:color="000000" w:fill="000000"/>
                <w:fitText w:val="180" w:id="-1437437949"/>
                <w14:textFill>
                  <w14:solidFill>
                    <w14:srgbClr w14:val="000000">
                      <w14:alpha w14:val="100000"/>
                    </w14:srgbClr>
                  </w14:solidFill>
                </w14:textFill>
              </w:rPr>
              <w:t>|</w:t>
            </w:r>
            <w:r w:rsidR="00204469" w:rsidRPr="00204469">
              <w:rPr>
                <w:b w:val="0"/>
                <w:bCs/>
                <w:iCs/>
                <w:color w:val="000000"/>
                <w:spacing w:val="1"/>
                <w:shd w:val="solid" w:color="000000" w:fill="000000"/>
                <w:fitText w:val="180" w:id="-1437437949"/>
                <w14:textFill>
                  <w14:solidFill>
                    <w14:srgbClr w14:val="000000">
                      <w14:alpha w14:val="100000"/>
                    </w14:srgbClr>
                  </w14:solidFill>
                </w14:textFill>
              </w:rPr>
              <w:t>|</w:t>
            </w:r>
            <w:r w:rsidR="009F7991">
              <w:rPr>
                <w:b w:val="0"/>
                <w:bCs/>
                <w:vertAlign w:val="superscript"/>
              </w:rPr>
              <w:t>3</w:t>
            </w:r>
          </w:p>
        </w:tc>
        <w:tc>
          <w:tcPr>
            <w:tcW w:w="993" w:type="dxa"/>
            <w:shd w:val="clear" w:color="auto" w:fill="auto"/>
          </w:tcPr>
          <w:p w14:paraId="4FBA585D" w14:textId="7ACB288D" w:rsidR="00880797" w:rsidRPr="000D0B28" w:rsidRDefault="00880797" w:rsidP="00880797">
            <w:pPr>
              <w:pStyle w:val="In-tableHeading"/>
              <w:keepNext w:val="0"/>
              <w:widowControl w:val="0"/>
              <w:jc w:val="center"/>
              <w:rPr>
                <w:b w:val="0"/>
                <w:bCs/>
                <w:highlight w:val="darkGray"/>
              </w:rPr>
            </w:pPr>
            <w:r w:rsidRPr="000D0B28">
              <w:rPr>
                <w:b w:val="0"/>
                <w:bCs/>
                <w:iCs/>
              </w:rPr>
              <w:t>-$</w:t>
            </w:r>
            <w:r w:rsidR="00204469" w:rsidRPr="00204469">
              <w:rPr>
                <w:b w:val="0"/>
                <w:bCs/>
                <w:iCs/>
                <w:color w:val="000000"/>
                <w:spacing w:val="94"/>
                <w:shd w:val="solid" w:color="000000" w:fill="000000"/>
                <w:fitText w:val="180" w:id="-1437437948"/>
                <w14:textFill>
                  <w14:solidFill>
                    <w14:srgbClr w14:val="000000">
                      <w14:alpha w14:val="100000"/>
                    </w14:srgbClr>
                  </w14:solidFill>
                </w14:textFill>
              </w:rPr>
              <w:t>|</w:t>
            </w:r>
            <w:r w:rsidR="00204469" w:rsidRPr="00204469">
              <w:rPr>
                <w:b w:val="0"/>
                <w:bCs/>
                <w:iCs/>
                <w:color w:val="000000"/>
                <w:spacing w:val="1"/>
                <w:shd w:val="solid" w:color="000000" w:fill="000000"/>
                <w:fitText w:val="180" w:id="-1437437948"/>
                <w14:textFill>
                  <w14:solidFill>
                    <w14:srgbClr w14:val="000000">
                      <w14:alpha w14:val="100000"/>
                    </w14:srgbClr>
                  </w14:solidFill>
                </w14:textFill>
              </w:rPr>
              <w:t>|</w:t>
            </w:r>
            <w:r w:rsidR="009F7991">
              <w:rPr>
                <w:b w:val="0"/>
                <w:bCs/>
                <w:vertAlign w:val="superscript"/>
              </w:rPr>
              <w:t>3</w:t>
            </w:r>
          </w:p>
        </w:tc>
        <w:tc>
          <w:tcPr>
            <w:tcW w:w="992" w:type="dxa"/>
            <w:shd w:val="clear" w:color="auto" w:fill="auto"/>
          </w:tcPr>
          <w:p w14:paraId="3ADCC7C5" w14:textId="0CF5A4B0" w:rsidR="00880797" w:rsidRPr="000D0B28" w:rsidRDefault="00880797" w:rsidP="00880797">
            <w:pPr>
              <w:pStyle w:val="In-tableHeading"/>
              <w:keepNext w:val="0"/>
              <w:widowControl w:val="0"/>
              <w:jc w:val="center"/>
              <w:rPr>
                <w:b w:val="0"/>
                <w:bCs/>
                <w:highlight w:val="darkGray"/>
              </w:rPr>
            </w:pPr>
            <w:r w:rsidRPr="000D0B28">
              <w:rPr>
                <w:b w:val="0"/>
                <w:bCs/>
                <w:iCs/>
              </w:rPr>
              <w:t>-$</w:t>
            </w:r>
            <w:r w:rsidR="00204469" w:rsidRPr="00204469">
              <w:rPr>
                <w:b w:val="0"/>
                <w:bCs/>
                <w:iCs/>
                <w:color w:val="000000"/>
                <w:spacing w:val="94"/>
                <w:shd w:val="solid" w:color="000000" w:fill="000000"/>
                <w:fitText w:val="180" w:id="-1437437947"/>
                <w14:textFill>
                  <w14:solidFill>
                    <w14:srgbClr w14:val="000000">
                      <w14:alpha w14:val="100000"/>
                    </w14:srgbClr>
                  </w14:solidFill>
                </w14:textFill>
              </w:rPr>
              <w:t>|</w:t>
            </w:r>
            <w:r w:rsidR="00204469" w:rsidRPr="00204469">
              <w:rPr>
                <w:b w:val="0"/>
                <w:bCs/>
                <w:iCs/>
                <w:color w:val="000000"/>
                <w:spacing w:val="1"/>
                <w:shd w:val="solid" w:color="000000" w:fill="000000"/>
                <w:fitText w:val="180" w:id="-1437437947"/>
                <w14:textFill>
                  <w14:solidFill>
                    <w14:srgbClr w14:val="000000">
                      <w14:alpha w14:val="100000"/>
                    </w14:srgbClr>
                  </w14:solidFill>
                </w14:textFill>
              </w:rPr>
              <w:t>|</w:t>
            </w:r>
            <w:r w:rsidR="009F7991">
              <w:rPr>
                <w:b w:val="0"/>
                <w:bCs/>
                <w:vertAlign w:val="superscript"/>
              </w:rPr>
              <w:t>3</w:t>
            </w:r>
          </w:p>
        </w:tc>
      </w:tr>
      <w:tr w:rsidR="00067771" w:rsidRPr="0040247D" w14:paraId="56AD4A2A" w14:textId="77777777" w:rsidTr="005007F7">
        <w:tc>
          <w:tcPr>
            <w:tcW w:w="8784" w:type="dxa"/>
            <w:gridSpan w:val="7"/>
            <w:shd w:val="clear" w:color="auto" w:fill="auto"/>
            <w:vAlign w:val="center"/>
          </w:tcPr>
          <w:p w14:paraId="68B3D989" w14:textId="75B6F39E" w:rsidR="00476206" w:rsidRPr="0040247D" w:rsidRDefault="00740CAC" w:rsidP="007F7080">
            <w:pPr>
              <w:pStyle w:val="TableText0"/>
              <w:keepNext w:val="0"/>
              <w:widowControl w:val="0"/>
              <w:rPr>
                <w:b/>
                <w:bCs w:val="0"/>
              </w:rPr>
            </w:pPr>
            <w:r>
              <w:rPr>
                <w:b/>
                <w:bCs w:val="0"/>
              </w:rPr>
              <w:t xml:space="preserve">Estimated number of scripts and PBS/RPBS costs </w:t>
            </w:r>
            <w:r w:rsidR="00822546">
              <w:rPr>
                <w:b/>
                <w:bCs w:val="0"/>
              </w:rPr>
              <w:t xml:space="preserve">for </w:t>
            </w:r>
            <w:proofErr w:type="spellStart"/>
            <w:r>
              <w:rPr>
                <w:b/>
                <w:bCs w:val="0"/>
              </w:rPr>
              <w:t>Eligard</w:t>
            </w:r>
            <w:proofErr w:type="spellEnd"/>
            <w:r>
              <w:rPr>
                <w:b/>
                <w:bCs w:val="0"/>
              </w:rPr>
              <w:t xml:space="preserve"> 6 month </w:t>
            </w:r>
          </w:p>
        </w:tc>
      </w:tr>
      <w:tr w:rsidR="00067771" w:rsidRPr="0040247D" w14:paraId="54A0DD49" w14:textId="77777777" w:rsidTr="009F7991">
        <w:tc>
          <w:tcPr>
            <w:tcW w:w="2830" w:type="dxa"/>
            <w:shd w:val="clear" w:color="auto" w:fill="auto"/>
            <w:vAlign w:val="center"/>
          </w:tcPr>
          <w:p w14:paraId="51030E97" w14:textId="77777777" w:rsidR="00476206" w:rsidRPr="00880797" w:rsidRDefault="00476206" w:rsidP="007F7080">
            <w:pPr>
              <w:pStyle w:val="TableText0"/>
              <w:keepNext w:val="0"/>
              <w:widowControl w:val="0"/>
            </w:pPr>
            <w:r w:rsidRPr="00880797">
              <w:t>Total script numbers</w:t>
            </w:r>
          </w:p>
        </w:tc>
        <w:tc>
          <w:tcPr>
            <w:tcW w:w="993" w:type="dxa"/>
            <w:shd w:val="clear" w:color="auto" w:fill="auto"/>
            <w:vAlign w:val="center"/>
          </w:tcPr>
          <w:p w14:paraId="7D538ED1" w14:textId="24F2913C" w:rsidR="00476206" w:rsidRPr="000D0B28" w:rsidRDefault="00204469" w:rsidP="007F7080">
            <w:pPr>
              <w:pStyle w:val="TableText0"/>
              <w:keepNext w:val="0"/>
              <w:widowControl w:val="0"/>
              <w:jc w:val="center"/>
              <w:rPr>
                <w:rFonts w:cs="Arial"/>
                <w:highlight w:val="darkGray"/>
              </w:rPr>
            </w:pPr>
            <w:r w:rsidRPr="00204469">
              <w:rPr>
                <w:rFonts w:hint="eastAsia"/>
                <w:color w:val="000000"/>
                <w:w w:val="24"/>
                <w:shd w:val="solid" w:color="000000" w:fill="000000"/>
                <w:fitText w:val="110" w:id="-1437437946"/>
                <w14:textFill>
                  <w14:solidFill>
                    <w14:srgbClr w14:val="000000">
                      <w14:alpha w14:val="100000"/>
                    </w14:srgbClr>
                  </w14:solidFill>
                </w14:textFill>
              </w:rPr>
              <w:t xml:space="preserve">　</w:t>
            </w:r>
            <w:r w:rsidRPr="00204469">
              <w:rPr>
                <w:color w:val="000000"/>
                <w:w w:val="24"/>
                <w:shd w:val="solid" w:color="000000" w:fill="000000"/>
                <w:fitText w:val="110" w:id="-1437437946"/>
                <w14:textFill>
                  <w14:solidFill>
                    <w14:srgbClr w14:val="000000">
                      <w14:alpha w14:val="100000"/>
                    </w14:srgbClr>
                  </w14:solidFill>
                </w14:textFill>
              </w:rPr>
              <w:t>|</w:t>
            </w:r>
            <w:r w:rsidRPr="00204469">
              <w:rPr>
                <w:rFonts w:hint="eastAsia"/>
                <w:color w:val="000000"/>
                <w:spacing w:val="6"/>
                <w:w w:val="24"/>
                <w:shd w:val="solid" w:color="000000" w:fill="000000"/>
                <w:fitText w:val="110" w:id="-1437437946"/>
                <w14:textFill>
                  <w14:solidFill>
                    <w14:srgbClr w14:val="000000">
                      <w14:alpha w14:val="100000"/>
                    </w14:srgbClr>
                  </w14:solidFill>
                </w14:textFill>
              </w:rPr>
              <w:t xml:space="preserve">　</w:t>
            </w:r>
            <w:r w:rsidR="009F7991" w:rsidRPr="009F7991">
              <w:rPr>
                <w:vertAlign w:val="superscript"/>
              </w:rPr>
              <w:t>1</w:t>
            </w:r>
          </w:p>
        </w:tc>
        <w:tc>
          <w:tcPr>
            <w:tcW w:w="992" w:type="dxa"/>
            <w:shd w:val="clear" w:color="auto" w:fill="auto"/>
            <w:vAlign w:val="center"/>
          </w:tcPr>
          <w:p w14:paraId="099AF193" w14:textId="04D1FED1" w:rsidR="00476206" w:rsidRPr="000D0B28" w:rsidRDefault="00204469" w:rsidP="007F7080">
            <w:pPr>
              <w:pStyle w:val="TableText0"/>
              <w:keepNext w:val="0"/>
              <w:widowControl w:val="0"/>
              <w:jc w:val="center"/>
              <w:rPr>
                <w:rFonts w:cs="Arial"/>
                <w:highlight w:val="darkGray"/>
              </w:rPr>
            </w:pPr>
            <w:r w:rsidRPr="00204469">
              <w:rPr>
                <w:rFonts w:hint="eastAsia"/>
                <w:color w:val="000000"/>
                <w:w w:val="24"/>
                <w:shd w:val="solid" w:color="000000" w:fill="000000"/>
                <w:fitText w:val="110" w:id="-1437437945"/>
                <w14:textFill>
                  <w14:solidFill>
                    <w14:srgbClr w14:val="000000">
                      <w14:alpha w14:val="100000"/>
                    </w14:srgbClr>
                  </w14:solidFill>
                </w14:textFill>
              </w:rPr>
              <w:t xml:space="preserve">　</w:t>
            </w:r>
            <w:r w:rsidRPr="00204469">
              <w:rPr>
                <w:color w:val="000000"/>
                <w:w w:val="24"/>
                <w:shd w:val="solid" w:color="000000" w:fill="000000"/>
                <w:fitText w:val="110" w:id="-1437437945"/>
                <w14:textFill>
                  <w14:solidFill>
                    <w14:srgbClr w14:val="000000">
                      <w14:alpha w14:val="100000"/>
                    </w14:srgbClr>
                  </w14:solidFill>
                </w14:textFill>
              </w:rPr>
              <w:t>|</w:t>
            </w:r>
            <w:r w:rsidRPr="00204469">
              <w:rPr>
                <w:rFonts w:hint="eastAsia"/>
                <w:color w:val="000000"/>
                <w:spacing w:val="6"/>
                <w:w w:val="24"/>
                <w:shd w:val="solid" w:color="000000" w:fill="000000"/>
                <w:fitText w:val="110" w:id="-1437437945"/>
                <w14:textFill>
                  <w14:solidFill>
                    <w14:srgbClr w14:val="000000">
                      <w14:alpha w14:val="100000"/>
                    </w14:srgbClr>
                  </w14:solidFill>
                </w14:textFill>
              </w:rPr>
              <w:t xml:space="preserve">　</w:t>
            </w:r>
            <w:r w:rsidR="009F7991" w:rsidRPr="009F7991">
              <w:rPr>
                <w:vertAlign w:val="superscript"/>
              </w:rPr>
              <w:t>1</w:t>
            </w:r>
          </w:p>
        </w:tc>
        <w:tc>
          <w:tcPr>
            <w:tcW w:w="992" w:type="dxa"/>
            <w:shd w:val="clear" w:color="auto" w:fill="auto"/>
            <w:vAlign w:val="center"/>
          </w:tcPr>
          <w:p w14:paraId="18323B71" w14:textId="31AA84A0" w:rsidR="00476206" w:rsidRPr="000D0B28" w:rsidRDefault="00204469" w:rsidP="007F7080">
            <w:pPr>
              <w:pStyle w:val="TableText0"/>
              <w:keepNext w:val="0"/>
              <w:widowControl w:val="0"/>
              <w:jc w:val="center"/>
              <w:rPr>
                <w:rFonts w:cs="Arial"/>
                <w:highlight w:val="darkGray"/>
              </w:rPr>
            </w:pPr>
            <w:r w:rsidRPr="00204469">
              <w:rPr>
                <w:rFonts w:hint="eastAsia"/>
                <w:color w:val="000000"/>
                <w:w w:val="24"/>
                <w:shd w:val="solid" w:color="000000" w:fill="000000"/>
                <w:fitText w:val="110" w:id="-1437437944"/>
                <w14:textFill>
                  <w14:solidFill>
                    <w14:srgbClr w14:val="000000">
                      <w14:alpha w14:val="100000"/>
                    </w14:srgbClr>
                  </w14:solidFill>
                </w14:textFill>
              </w:rPr>
              <w:t xml:space="preserve">　</w:t>
            </w:r>
            <w:r w:rsidRPr="00204469">
              <w:rPr>
                <w:color w:val="000000"/>
                <w:w w:val="24"/>
                <w:shd w:val="solid" w:color="000000" w:fill="000000"/>
                <w:fitText w:val="110" w:id="-1437437944"/>
                <w14:textFill>
                  <w14:solidFill>
                    <w14:srgbClr w14:val="000000">
                      <w14:alpha w14:val="100000"/>
                    </w14:srgbClr>
                  </w14:solidFill>
                </w14:textFill>
              </w:rPr>
              <w:t>|</w:t>
            </w:r>
            <w:r w:rsidRPr="00204469">
              <w:rPr>
                <w:rFonts w:hint="eastAsia"/>
                <w:color w:val="000000"/>
                <w:spacing w:val="6"/>
                <w:w w:val="24"/>
                <w:shd w:val="solid" w:color="000000" w:fill="000000"/>
                <w:fitText w:val="110" w:id="-1437437944"/>
                <w14:textFill>
                  <w14:solidFill>
                    <w14:srgbClr w14:val="000000">
                      <w14:alpha w14:val="100000"/>
                    </w14:srgbClr>
                  </w14:solidFill>
                </w14:textFill>
              </w:rPr>
              <w:t xml:space="preserve">　</w:t>
            </w:r>
            <w:r w:rsidR="009F7991" w:rsidRPr="009F7991">
              <w:rPr>
                <w:vertAlign w:val="superscript"/>
              </w:rPr>
              <w:t>1</w:t>
            </w:r>
          </w:p>
        </w:tc>
        <w:tc>
          <w:tcPr>
            <w:tcW w:w="992" w:type="dxa"/>
            <w:shd w:val="clear" w:color="auto" w:fill="auto"/>
            <w:vAlign w:val="center"/>
          </w:tcPr>
          <w:p w14:paraId="5A1F29E0" w14:textId="248B93E6" w:rsidR="00476206" w:rsidRPr="000D0B28" w:rsidRDefault="00204469" w:rsidP="007F7080">
            <w:pPr>
              <w:pStyle w:val="TableText0"/>
              <w:keepNext w:val="0"/>
              <w:widowControl w:val="0"/>
              <w:jc w:val="center"/>
              <w:rPr>
                <w:rFonts w:cs="Arial"/>
                <w:highlight w:val="darkGray"/>
              </w:rPr>
            </w:pPr>
            <w:r w:rsidRPr="00204469">
              <w:rPr>
                <w:rFonts w:hint="eastAsia"/>
                <w:color w:val="000000"/>
                <w:w w:val="24"/>
                <w:shd w:val="solid" w:color="000000" w:fill="000000"/>
                <w:fitText w:val="110" w:id="-1437437943"/>
                <w14:textFill>
                  <w14:solidFill>
                    <w14:srgbClr w14:val="000000">
                      <w14:alpha w14:val="100000"/>
                    </w14:srgbClr>
                  </w14:solidFill>
                </w14:textFill>
              </w:rPr>
              <w:t xml:space="preserve">　</w:t>
            </w:r>
            <w:r w:rsidRPr="00204469">
              <w:rPr>
                <w:color w:val="000000"/>
                <w:w w:val="24"/>
                <w:shd w:val="solid" w:color="000000" w:fill="000000"/>
                <w:fitText w:val="110" w:id="-1437437943"/>
                <w14:textFill>
                  <w14:solidFill>
                    <w14:srgbClr w14:val="000000">
                      <w14:alpha w14:val="100000"/>
                    </w14:srgbClr>
                  </w14:solidFill>
                </w14:textFill>
              </w:rPr>
              <w:t>|</w:t>
            </w:r>
            <w:r w:rsidRPr="00204469">
              <w:rPr>
                <w:rFonts w:hint="eastAsia"/>
                <w:color w:val="000000"/>
                <w:spacing w:val="6"/>
                <w:w w:val="24"/>
                <w:shd w:val="solid" w:color="000000" w:fill="000000"/>
                <w:fitText w:val="110" w:id="-1437437943"/>
                <w14:textFill>
                  <w14:solidFill>
                    <w14:srgbClr w14:val="000000">
                      <w14:alpha w14:val="100000"/>
                    </w14:srgbClr>
                  </w14:solidFill>
                </w14:textFill>
              </w:rPr>
              <w:t xml:space="preserve">　</w:t>
            </w:r>
            <w:r w:rsidR="009F7991" w:rsidRPr="009F7991">
              <w:rPr>
                <w:vertAlign w:val="superscript"/>
              </w:rPr>
              <w:t>1</w:t>
            </w:r>
          </w:p>
        </w:tc>
        <w:tc>
          <w:tcPr>
            <w:tcW w:w="993" w:type="dxa"/>
            <w:shd w:val="clear" w:color="auto" w:fill="auto"/>
            <w:vAlign w:val="center"/>
          </w:tcPr>
          <w:p w14:paraId="78966FAE" w14:textId="6AE138B0" w:rsidR="00476206" w:rsidRPr="000D0B28" w:rsidRDefault="00204469" w:rsidP="007F7080">
            <w:pPr>
              <w:pStyle w:val="TableText0"/>
              <w:keepNext w:val="0"/>
              <w:widowControl w:val="0"/>
              <w:jc w:val="center"/>
              <w:rPr>
                <w:rFonts w:cs="Arial"/>
                <w:highlight w:val="darkGray"/>
              </w:rPr>
            </w:pPr>
            <w:r w:rsidRPr="00204469">
              <w:rPr>
                <w:rFonts w:hint="eastAsia"/>
                <w:color w:val="000000"/>
                <w:w w:val="24"/>
                <w:shd w:val="solid" w:color="000000" w:fill="000000"/>
                <w:fitText w:val="110" w:id="-1437437942"/>
                <w14:textFill>
                  <w14:solidFill>
                    <w14:srgbClr w14:val="000000">
                      <w14:alpha w14:val="100000"/>
                    </w14:srgbClr>
                  </w14:solidFill>
                </w14:textFill>
              </w:rPr>
              <w:t xml:space="preserve">　</w:t>
            </w:r>
            <w:r w:rsidRPr="00204469">
              <w:rPr>
                <w:color w:val="000000"/>
                <w:w w:val="24"/>
                <w:shd w:val="solid" w:color="000000" w:fill="000000"/>
                <w:fitText w:val="110" w:id="-1437437942"/>
                <w14:textFill>
                  <w14:solidFill>
                    <w14:srgbClr w14:val="000000">
                      <w14:alpha w14:val="100000"/>
                    </w14:srgbClr>
                  </w14:solidFill>
                </w14:textFill>
              </w:rPr>
              <w:t>|</w:t>
            </w:r>
            <w:r w:rsidRPr="00204469">
              <w:rPr>
                <w:rFonts w:hint="eastAsia"/>
                <w:color w:val="000000"/>
                <w:spacing w:val="6"/>
                <w:w w:val="24"/>
                <w:shd w:val="solid" w:color="000000" w:fill="000000"/>
                <w:fitText w:val="110" w:id="-1437437942"/>
                <w14:textFill>
                  <w14:solidFill>
                    <w14:srgbClr w14:val="000000">
                      <w14:alpha w14:val="100000"/>
                    </w14:srgbClr>
                  </w14:solidFill>
                </w14:textFill>
              </w:rPr>
              <w:t xml:space="preserve">　</w:t>
            </w:r>
            <w:r w:rsidR="009F7991" w:rsidRPr="009F7991">
              <w:rPr>
                <w:vertAlign w:val="superscript"/>
              </w:rPr>
              <w:t>1</w:t>
            </w:r>
          </w:p>
        </w:tc>
        <w:tc>
          <w:tcPr>
            <w:tcW w:w="992" w:type="dxa"/>
            <w:shd w:val="clear" w:color="auto" w:fill="auto"/>
            <w:vAlign w:val="center"/>
          </w:tcPr>
          <w:p w14:paraId="3E476956" w14:textId="4B7E0BAC" w:rsidR="00476206" w:rsidRPr="000D0B28" w:rsidRDefault="00204469" w:rsidP="007F7080">
            <w:pPr>
              <w:pStyle w:val="TableText0"/>
              <w:keepNext w:val="0"/>
              <w:widowControl w:val="0"/>
              <w:jc w:val="center"/>
              <w:rPr>
                <w:rFonts w:cs="Arial"/>
                <w:highlight w:val="darkGray"/>
              </w:rPr>
            </w:pPr>
            <w:r w:rsidRPr="00204469">
              <w:rPr>
                <w:rFonts w:hint="eastAsia"/>
                <w:color w:val="000000"/>
                <w:w w:val="24"/>
                <w:shd w:val="solid" w:color="000000" w:fill="000000"/>
                <w:fitText w:val="110" w:id="-1437437941"/>
                <w14:textFill>
                  <w14:solidFill>
                    <w14:srgbClr w14:val="000000">
                      <w14:alpha w14:val="100000"/>
                    </w14:srgbClr>
                  </w14:solidFill>
                </w14:textFill>
              </w:rPr>
              <w:t xml:space="preserve">　</w:t>
            </w:r>
            <w:r w:rsidRPr="00204469">
              <w:rPr>
                <w:color w:val="000000"/>
                <w:w w:val="24"/>
                <w:shd w:val="solid" w:color="000000" w:fill="000000"/>
                <w:fitText w:val="110" w:id="-1437437941"/>
                <w14:textFill>
                  <w14:solidFill>
                    <w14:srgbClr w14:val="000000">
                      <w14:alpha w14:val="100000"/>
                    </w14:srgbClr>
                  </w14:solidFill>
                </w14:textFill>
              </w:rPr>
              <w:t>|</w:t>
            </w:r>
            <w:r w:rsidRPr="00204469">
              <w:rPr>
                <w:rFonts w:hint="eastAsia"/>
                <w:color w:val="000000"/>
                <w:spacing w:val="6"/>
                <w:w w:val="24"/>
                <w:shd w:val="solid" w:color="000000" w:fill="000000"/>
                <w:fitText w:val="110" w:id="-1437437941"/>
                <w14:textFill>
                  <w14:solidFill>
                    <w14:srgbClr w14:val="000000">
                      <w14:alpha w14:val="100000"/>
                    </w14:srgbClr>
                  </w14:solidFill>
                </w14:textFill>
              </w:rPr>
              <w:t xml:space="preserve">　</w:t>
            </w:r>
            <w:r w:rsidR="009F7991" w:rsidRPr="009F7991">
              <w:rPr>
                <w:vertAlign w:val="superscript"/>
              </w:rPr>
              <w:t>1</w:t>
            </w:r>
          </w:p>
        </w:tc>
      </w:tr>
      <w:tr w:rsidR="00880797" w:rsidRPr="0040247D" w14:paraId="2963509C" w14:textId="77777777" w:rsidTr="009F7991">
        <w:tc>
          <w:tcPr>
            <w:tcW w:w="2830" w:type="dxa"/>
            <w:shd w:val="clear" w:color="auto" w:fill="auto"/>
            <w:vAlign w:val="center"/>
          </w:tcPr>
          <w:p w14:paraId="59BF2BE7" w14:textId="0D4ABE6E" w:rsidR="00880797" w:rsidRPr="00880797" w:rsidRDefault="00880797" w:rsidP="00880797">
            <w:pPr>
              <w:pStyle w:val="TableText0"/>
              <w:keepNext w:val="0"/>
              <w:widowControl w:val="0"/>
              <w:ind w:left="720"/>
            </w:pPr>
            <w:r w:rsidRPr="00DB490D">
              <w:rPr>
                <w:iCs/>
              </w:rPr>
              <w:t>Corrected</w:t>
            </w:r>
          </w:p>
        </w:tc>
        <w:tc>
          <w:tcPr>
            <w:tcW w:w="993" w:type="dxa"/>
            <w:shd w:val="clear" w:color="auto" w:fill="auto"/>
          </w:tcPr>
          <w:p w14:paraId="16042DC3" w14:textId="0482825F" w:rsidR="00880797" w:rsidRPr="000D0B28" w:rsidRDefault="00204469" w:rsidP="00880797">
            <w:pPr>
              <w:pStyle w:val="TableText0"/>
              <w:keepNext w:val="0"/>
              <w:widowControl w:val="0"/>
              <w:jc w:val="center"/>
              <w:rPr>
                <w:highlight w:val="darkGray"/>
              </w:rPr>
            </w:pPr>
            <w:r w:rsidRPr="00204469">
              <w:rPr>
                <w:rFonts w:hint="eastAsia"/>
                <w:iCs/>
                <w:color w:val="000000"/>
                <w:w w:val="24"/>
                <w:shd w:val="solid" w:color="000000" w:fill="000000"/>
                <w:fitText w:val="110" w:id="-1437437940"/>
                <w14:textFill>
                  <w14:solidFill>
                    <w14:srgbClr w14:val="000000">
                      <w14:alpha w14:val="100000"/>
                    </w14:srgbClr>
                  </w14:solidFill>
                </w14:textFill>
              </w:rPr>
              <w:t xml:space="preserve">　</w:t>
            </w:r>
            <w:r w:rsidRPr="00204469">
              <w:rPr>
                <w:iCs/>
                <w:color w:val="000000"/>
                <w:w w:val="24"/>
                <w:shd w:val="solid" w:color="000000" w:fill="000000"/>
                <w:fitText w:val="110" w:id="-1437437940"/>
                <w14:textFill>
                  <w14:solidFill>
                    <w14:srgbClr w14:val="000000">
                      <w14:alpha w14:val="100000"/>
                    </w14:srgbClr>
                  </w14:solidFill>
                </w14:textFill>
              </w:rPr>
              <w:t>|</w:t>
            </w:r>
            <w:r w:rsidRPr="00204469">
              <w:rPr>
                <w:rFonts w:hint="eastAsia"/>
                <w:iCs/>
                <w:color w:val="000000"/>
                <w:spacing w:val="6"/>
                <w:w w:val="24"/>
                <w:shd w:val="solid" w:color="000000" w:fill="000000"/>
                <w:fitText w:val="110" w:id="-1437437940"/>
                <w14:textFill>
                  <w14:solidFill>
                    <w14:srgbClr w14:val="000000">
                      <w14:alpha w14:val="100000"/>
                    </w14:srgbClr>
                  </w14:solidFill>
                </w14:textFill>
              </w:rPr>
              <w:t xml:space="preserve">　</w:t>
            </w:r>
            <w:r w:rsidR="009F7991" w:rsidRPr="009F7991">
              <w:rPr>
                <w:vertAlign w:val="superscript"/>
              </w:rPr>
              <w:t>1</w:t>
            </w:r>
          </w:p>
        </w:tc>
        <w:tc>
          <w:tcPr>
            <w:tcW w:w="992" w:type="dxa"/>
            <w:shd w:val="clear" w:color="auto" w:fill="auto"/>
          </w:tcPr>
          <w:p w14:paraId="395C5A72" w14:textId="5D45D643" w:rsidR="00880797" w:rsidRPr="000D0B28" w:rsidRDefault="00204469" w:rsidP="00880797">
            <w:pPr>
              <w:pStyle w:val="TableText0"/>
              <w:keepNext w:val="0"/>
              <w:widowControl w:val="0"/>
              <w:jc w:val="center"/>
              <w:rPr>
                <w:highlight w:val="darkGray"/>
              </w:rPr>
            </w:pPr>
            <w:r w:rsidRPr="00204469">
              <w:rPr>
                <w:rFonts w:hint="eastAsia"/>
                <w:iCs/>
                <w:color w:val="000000"/>
                <w:w w:val="24"/>
                <w:shd w:val="solid" w:color="000000" w:fill="000000"/>
                <w:fitText w:val="110" w:id="-1437437939"/>
                <w14:textFill>
                  <w14:solidFill>
                    <w14:srgbClr w14:val="000000">
                      <w14:alpha w14:val="100000"/>
                    </w14:srgbClr>
                  </w14:solidFill>
                </w14:textFill>
              </w:rPr>
              <w:t xml:space="preserve">　</w:t>
            </w:r>
            <w:r w:rsidRPr="00204469">
              <w:rPr>
                <w:iCs/>
                <w:color w:val="000000"/>
                <w:w w:val="24"/>
                <w:shd w:val="solid" w:color="000000" w:fill="000000"/>
                <w:fitText w:val="110" w:id="-1437437939"/>
                <w14:textFill>
                  <w14:solidFill>
                    <w14:srgbClr w14:val="000000">
                      <w14:alpha w14:val="100000"/>
                    </w14:srgbClr>
                  </w14:solidFill>
                </w14:textFill>
              </w:rPr>
              <w:t>|</w:t>
            </w:r>
            <w:r w:rsidRPr="00204469">
              <w:rPr>
                <w:rFonts w:hint="eastAsia"/>
                <w:iCs/>
                <w:color w:val="000000"/>
                <w:spacing w:val="6"/>
                <w:w w:val="24"/>
                <w:shd w:val="solid" w:color="000000" w:fill="000000"/>
                <w:fitText w:val="110" w:id="-1437437939"/>
                <w14:textFill>
                  <w14:solidFill>
                    <w14:srgbClr w14:val="000000">
                      <w14:alpha w14:val="100000"/>
                    </w14:srgbClr>
                  </w14:solidFill>
                </w14:textFill>
              </w:rPr>
              <w:t xml:space="preserve">　</w:t>
            </w:r>
            <w:r w:rsidR="009F7991" w:rsidRPr="009F7991">
              <w:rPr>
                <w:vertAlign w:val="superscript"/>
              </w:rPr>
              <w:t>1</w:t>
            </w:r>
          </w:p>
        </w:tc>
        <w:tc>
          <w:tcPr>
            <w:tcW w:w="992" w:type="dxa"/>
            <w:shd w:val="clear" w:color="auto" w:fill="auto"/>
          </w:tcPr>
          <w:p w14:paraId="2706A1A1" w14:textId="6DACAFA5" w:rsidR="00880797" w:rsidRPr="000D0B28" w:rsidRDefault="00204469" w:rsidP="00880797">
            <w:pPr>
              <w:pStyle w:val="TableText0"/>
              <w:keepNext w:val="0"/>
              <w:widowControl w:val="0"/>
              <w:jc w:val="center"/>
              <w:rPr>
                <w:highlight w:val="darkGray"/>
              </w:rPr>
            </w:pPr>
            <w:r w:rsidRPr="00204469">
              <w:rPr>
                <w:rFonts w:hint="eastAsia"/>
                <w:iCs/>
                <w:color w:val="000000"/>
                <w:w w:val="24"/>
                <w:shd w:val="solid" w:color="000000" w:fill="000000"/>
                <w:fitText w:val="110" w:id="-1437437938"/>
                <w14:textFill>
                  <w14:solidFill>
                    <w14:srgbClr w14:val="000000">
                      <w14:alpha w14:val="100000"/>
                    </w14:srgbClr>
                  </w14:solidFill>
                </w14:textFill>
              </w:rPr>
              <w:t xml:space="preserve">　</w:t>
            </w:r>
            <w:r w:rsidRPr="00204469">
              <w:rPr>
                <w:iCs/>
                <w:color w:val="000000"/>
                <w:w w:val="24"/>
                <w:shd w:val="solid" w:color="000000" w:fill="000000"/>
                <w:fitText w:val="110" w:id="-1437437938"/>
                <w14:textFill>
                  <w14:solidFill>
                    <w14:srgbClr w14:val="000000">
                      <w14:alpha w14:val="100000"/>
                    </w14:srgbClr>
                  </w14:solidFill>
                </w14:textFill>
              </w:rPr>
              <w:t>|</w:t>
            </w:r>
            <w:r w:rsidRPr="00204469">
              <w:rPr>
                <w:rFonts w:hint="eastAsia"/>
                <w:iCs/>
                <w:color w:val="000000"/>
                <w:spacing w:val="6"/>
                <w:w w:val="24"/>
                <w:shd w:val="solid" w:color="000000" w:fill="000000"/>
                <w:fitText w:val="110" w:id="-1437437938"/>
                <w14:textFill>
                  <w14:solidFill>
                    <w14:srgbClr w14:val="000000">
                      <w14:alpha w14:val="100000"/>
                    </w14:srgbClr>
                  </w14:solidFill>
                </w14:textFill>
              </w:rPr>
              <w:t xml:space="preserve">　</w:t>
            </w:r>
            <w:r w:rsidR="009F7991" w:rsidRPr="009F7991">
              <w:rPr>
                <w:vertAlign w:val="superscript"/>
              </w:rPr>
              <w:t>1</w:t>
            </w:r>
          </w:p>
        </w:tc>
        <w:tc>
          <w:tcPr>
            <w:tcW w:w="992" w:type="dxa"/>
            <w:shd w:val="clear" w:color="auto" w:fill="auto"/>
          </w:tcPr>
          <w:p w14:paraId="44736BA3" w14:textId="0E5578E7" w:rsidR="00880797" w:rsidRPr="009F7991" w:rsidRDefault="00204469" w:rsidP="00880797">
            <w:pPr>
              <w:pStyle w:val="TableText0"/>
              <w:keepNext w:val="0"/>
              <w:widowControl w:val="0"/>
              <w:jc w:val="center"/>
              <w:rPr>
                <w:highlight w:val="darkGray"/>
              </w:rPr>
            </w:pPr>
            <w:r w:rsidRPr="00204469">
              <w:rPr>
                <w:rFonts w:hint="eastAsia"/>
                <w:iCs/>
                <w:color w:val="000000"/>
                <w:w w:val="24"/>
                <w:shd w:val="solid" w:color="000000" w:fill="000000"/>
                <w:fitText w:val="110" w:id="-1437437937"/>
                <w14:textFill>
                  <w14:solidFill>
                    <w14:srgbClr w14:val="000000">
                      <w14:alpha w14:val="100000"/>
                    </w14:srgbClr>
                  </w14:solidFill>
                </w14:textFill>
              </w:rPr>
              <w:t xml:space="preserve">　</w:t>
            </w:r>
            <w:r w:rsidRPr="00204469">
              <w:rPr>
                <w:iCs/>
                <w:color w:val="000000"/>
                <w:w w:val="24"/>
                <w:shd w:val="solid" w:color="000000" w:fill="000000"/>
                <w:fitText w:val="110" w:id="-1437437937"/>
                <w14:textFill>
                  <w14:solidFill>
                    <w14:srgbClr w14:val="000000">
                      <w14:alpha w14:val="100000"/>
                    </w14:srgbClr>
                  </w14:solidFill>
                </w14:textFill>
              </w:rPr>
              <w:t>|</w:t>
            </w:r>
            <w:r w:rsidRPr="00204469">
              <w:rPr>
                <w:rFonts w:hint="eastAsia"/>
                <w:iCs/>
                <w:color w:val="000000"/>
                <w:spacing w:val="6"/>
                <w:w w:val="24"/>
                <w:shd w:val="solid" w:color="000000" w:fill="000000"/>
                <w:fitText w:val="110" w:id="-1437437937"/>
                <w14:textFill>
                  <w14:solidFill>
                    <w14:srgbClr w14:val="000000">
                      <w14:alpha w14:val="100000"/>
                    </w14:srgbClr>
                  </w14:solidFill>
                </w14:textFill>
              </w:rPr>
              <w:t xml:space="preserve">　</w:t>
            </w:r>
            <w:r w:rsidR="009F7991" w:rsidRPr="009F7991">
              <w:rPr>
                <w:vertAlign w:val="superscript"/>
              </w:rPr>
              <w:t>2</w:t>
            </w:r>
          </w:p>
        </w:tc>
        <w:tc>
          <w:tcPr>
            <w:tcW w:w="993" w:type="dxa"/>
            <w:shd w:val="clear" w:color="auto" w:fill="auto"/>
          </w:tcPr>
          <w:p w14:paraId="1AF5375D" w14:textId="77F1356E" w:rsidR="00880797" w:rsidRPr="009F7991" w:rsidRDefault="00204469" w:rsidP="00880797">
            <w:pPr>
              <w:pStyle w:val="TableText0"/>
              <w:keepNext w:val="0"/>
              <w:widowControl w:val="0"/>
              <w:jc w:val="center"/>
              <w:rPr>
                <w:highlight w:val="darkGray"/>
              </w:rPr>
            </w:pPr>
            <w:r w:rsidRPr="00204469">
              <w:rPr>
                <w:rFonts w:hint="eastAsia"/>
                <w:iCs/>
                <w:color w:val="000000"/>
                <w:w w:val="24"/>
                <w:shd w:val="solid" w:color="000000" w:fill="000000"/>
                <w:fitText w:val="110" w:id="-1437437936"/>
                <w14:textFill>
                  <w14:solidFill>
                    <w14:srgbClr w14:val="000000">
                      <w14:alpha w14:val="100000"/>
                    </w14:srgbClr>
                  </w14:solidFill>
                </w14:textFill>
              </w:rPr>
              <w:t xml:space="preserve">　</w:t>
            </w:r>
            <w:r w:rsidRPr="00204469">
              <w:rPr>
                <w:iCs/>
                <w:color w:val="000000"/>
                <w:w w:val="24"/>
                <w:shd w:val="solid" w:color="000000" w:fill="000000"/>
                <w:fitText w:val="110" w:id="-1437437936"/>
                <w14:textFill>
                  <w14:solidFill>
                    <w14:srgbClr w14:val="000000">
                      <w14:alpha w14:val="100000"/>
                    </w14:srgbClr>
                  </w14:solidFill>
                </w14:textFill>
              </w:rPr>
              <w:t>|</w:t>
            </w:r>
            <w:r w:rsidRPr="00204469">
              <w:rPr>
                <w:rFonts w:hint="eastAsia"/>
                <w:iCs/>
                <w:color w:val="000000"/>
                <w:spacing w:val="6"/>
                <w:w w:val="24"/>
                <w:shd w:val="solid" w:color="000000" w:fill="000000"/>
                <w:fitText w:val="110" w:id="-1437437936"/>
                <w14:textFill>
                  <w14:solidFill>
                    <w14:srgbClr w14:val="000000">
                      <w14:alpha w14:val="100000"/>
                    </w14:srgbClr>
                  </w14:solidFill>
                </w14:textFill>
              </w:rPr>
              <w:t xml:space="preserve">　</w:t>
            </w:r>
            <w:r w:rsidR="009F7991" w:rsidRPr="009F7991">
              <w:rPr>
                <w:vertAlign w:val="superscript"/>
              </w:rPr>
              <w:t>2</w:t>
            </w:r>
          </w:p>
        </w:tc>
        <w:tc>
          <w:tcPr>
            <w:tcW w:w="992" w:type="dxa"/>
            <w:shd w:val="clear" w:color="auto" w:fill="auto"/>
          </w:tcPr>
          <w:p w14:paraId="4C59BAE2" w14:textId="50A10C23" w:rsidR="00880797" w:rsidRPr="009F7991" w:rsidRDefault="00204469" w:rsidP="00880797">
            <w:pPr>
              <w:pStyle w:val="TableText0"/>
              <w:keepNext w:val="0"/>
              <w:widowControl w:val="0"/>
              <w:jc w:val="center"/>
              <w:rPr>
                <w:highlight w:val="darkGray"/>
              </w:rPr>
            </w:pPr>
            <w:r w:rsidRPr="00204469">
              <w:rPr>
                <w:rFonts w:hint="eastAsia"/>
                <w:iCs/>
                <w:color w:val="000000"/>
                <w:w w:val="24"/>
                <w:shd w:val="solid" w:color="000000" w:fill="000000"/>
                <w:fitText w:val="110" w:id="-1437437952"/>
                <w14:textFill>
                  <w14:solidFill>
                    <w14:srgbClr w14:val="000000">
                      <w14:alpha w14:val="100000"/>
                    </w14:srgbClr>
                  </w14:solidFill>
                </w14:textFill>
              </w:rPr>
              <w:t xml:space="preserve">　</w:t>
            </w:r>
            <w:r w:rsidRPr="00204469">
              <w:rPr>
                <w:iCs/>
                <w:color w:val="000000"/>
                <w:w w:val="24"/>
                <w:shd w:val="solid" w:color="000000" w:fill="000000"/>
                <w:fitText w:val="110" w:id="-1437437952"/>
                <w14:textFill>
                  <w14:solidFill>
                    <w14:srgbClr w14:val="000000">
                      <w14:alpha w14:val="100000"/>
                    </w14:srgbClr>
                  </w14:solidFill>
                </w14:textFill>
              </w:rPr>
              <w:t>|</w:t>
            </w:r>
            <w:r w:rsidRPr="00204469">
              <w:rPr>
                <w:rFonts w:hint="eastAsia"/>
                <w:iCs/>
                <w:color w:val="000000"/>
                <w:spacing w:val="6"/>
                <w:w w:val="24"/>
                <w:shd w:val="solid" w:color="000000" w:fill="000000"/>
                <w:fitText w:val="110" w:id="-1437437952"/>
                <w14:textFill>
                  <w14:solidFill>
                    <w14:srgbClr w14:val="000000">
                      <w14:alpha w14:val="100000"/>
                    </w14:srgbClr>
                  </w14:solidFill>
                </w14:textFill>
              </w:rPr>
              <w:t xml:space="preserve">　</w:t>
            </w:r>
            <w:r w:rsidR="009F7991" w:rsidRPr="009F7991">
              <w:rPr>
                <w:vertAlign w:val="superscript"/>
              </w:rPr>
              <w:t>2</w:t>
            </w:r>
          </w:p>
        </w:tc>
      </w:tr>
      <w:tr w:rsidR="00880797" w:rsidRPr="0040247D" w14:paraId="730E3891" w14:textId="77777777" w:rsidTr="009F7991">
        <w:tc>
          <w:tcPr>
            <w:tcW w:w="2830" w:type="dxa"/>
            <w:shd w:val="clear" w:color="auto" w:fill="auto"/>
            <w:vAlign w:val="center"/>
          </w:tcPr>
          <w:p w14:paraId="3A561994" w14:textId="77777777" w:rsidR="00880797" w:rsidRPr="00880797" w:rsidRDefault="00880797" w:rsidP="00880797">
            <w:pPr>
              <w:pStyle w:val="TableText0"/>
              <w:keepNext w:val="0"/>
              <w:widowControl w:val="0"/>
            </w:pPr>
            <w:r w:rsidRPr="00880797">
              <w:t xml:space="preserve">PBS/RPBS cost </w:t>
            </w:r>
          </w:p>
        </w:tc>
        <w:tc>
          <w:tcPr>
            <w:tcW w:w="993" w:type="dxa"/>
            <w:shd w:val="clear" w:color="auto" w:fill="auto"/>
            <w:vAlign w:val="center"/>
          </w:tcPr>
          <w:p w14:paraId="1420175D" w14:textId="0E49CCAE" w:rsidR="00880797" w:rsidRPr="009F7991" w:rsidRDefault="00880797" w:rsidP="00880797">
            <w:pPr>
              <w:pStyle w:val="TableText0"/>
              <w:keepNext w:val="0"/>
              <w:widowControl w:val="0"/>
              <w:jc w:val="center"/>
              <w:rPr>
                <w:rFonts w:cs="Arial"/>
              </w:rPr>
            </w:pPr>
            <w:r w:rsidRPr="009F7991">
              <w:t>$</w:t>
            </w:r>
            <w:r w:rsidR="00204469" w:rsidRPr="00204469">
              <w:rPr>
                <w:rFonts w:hint="eastAsia"/>
                <w:color w:val="000000"/>
                <w:w w:val="33"/>
                <w:shd w:val="solid" w:color="000000" w:fill="000000"/>
                <w:fitText w:val="150" w:id="-1437437951"/>
                <w14:textFill>
                  <w14:solidFill>
                    <w14:srgbClr w14:val="000000">
                      <w14:alpha w14:val="100000"/>
                    </w14:srgbClr>
                  </w14:solidFill>
                </w14:textFill>
              </w:rPr>
              <w:t xml:space="preserve">　</w:t>
            </w:r>
            <w:r w:rsidR="00204469" w:rsidRPr="00204469">
              <w:rPr>
                <w:color w:val="000000"/>
                <w:w w:val="33"/>
                <w:shd w:val="solid" w:color="000000" w:fill="000000"/>
                <w:fitText w:val="150" w:id="-1437437951"/>
                <w14:textFill>
                  <w14:solidFill>
                    <w14:srgbClr w14:val="000000">
                      <w14:alpha w14:val="100000"/>
                    </w14:srgbClr>
                  </w14:solidFill>
                </w14:textFill>
              </w:rPr>
              <w:t>|</w:t>
            </w:r>
            <w:r w:rsidR="00204469" w:rsidRPr="00204469">
              <w:rPr>
                <w:rFonts w:hint="eastAsia"/>
                <w:color w:val="000000"/>
                <w:spacing w:val="4"/>
                <w:w w:val="33"/>
                <w:shd w:val="solid" w:color="000000" w:fill="000000"/>
                <w:fitText w:val="150" w:id="-1437437951"/>
                <w14:textFill>
                  <w14:solidFill>
                    <w14:srgbClr w14:val="000000">
                      <w14:alpha w14:val="100000"/>
                    </w14:srgbClr>
                  </w14:solidFill>
                </w14:textFill>
              </w:rPr>
              <w:t xml:space="preserve">　</w:t>
            </w:r>
            <w:r w:rsidR="009F7991" w:rsidRPr="009F7991">
              <w:rPr>
                <w:vertAlign w:val="superscript"/>
              </w:rPr>
              <w:t>3</w:t>
            </w:r>
          </w:p>
        </w:tc>
        <w:tc>
          <w:tcPr>
            <w:tcW w:w="992" w:type="dxa"/>
            <w:shd w:val="clear" w:color="auto" w:fill="auto"/>
          </w:tcPr>
          <w:p w14:paraId="2E2D0109" w14:textId="7EC7B216" w:rsidR="00880797" w:rsidRPr="000D0B28" w:rsidRDefault="00880797" w:rsidP="00880797">
            <w:pPr>
              <w:pStyle w:val="TableText0"/>
              <w:keepNext w:val="0"/>
              <w:widowControl w:val="0"/>
              <w:jc w:val="center"/>
              <w:rPr>
                <w:rFonts w:cs="Arial"/>
                <w:highlight w:val="darkGray"/>
              </w:rPr>
            </w:pPr>
            <w:r w:rsidRPr="000D0B28">
              <w:t>$</w:t>
            </w:r>
            <w:r w:rsidR="00204469" w:rsidRPr="00204469">
              <w:rPr>
                <w:color w:val="000000"/>
                <w:spacing w:val="74"/>
                <w:shd w:val="solid" w:color="000000" w:fill="000000"/>
                <w:fitText w:val="160" w:id="-1437437950"/>
                <w14:textFill>
                  <w14:solidFill>
                    <w14:srgbClr w14:val="000000">
                      <w14:alpha w14:val="100000"/>
                    </w14:srgbClr>
                  </w14:solidFill>
                </w14:textFill>
              </w:rPr>
              <w:t>|</w:t>
            </w:r>
            <w:r w:rsidR="00204469" w:rsidRPr="00204469">
              <w:rPr>
                <w:color w:val="000000"/>
                <w:spacing w:val="1"/>
                <w:shd w:val="solid" w:color="000000" w:fill="000000"/>
                <w:fitText w:val="160" w:id="-1437437950"/>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0F8D7D3B" w14:textId="5A1EFCF2" w:rsidR="00880797" w:rsidRPr="000D0B28" w:rsidRDefault="00880797" w:rsidP="00880797">
            <w:pPr>
              <w:pStyle w:val="TableText0"/>
              <w:keepNext w:val="0"/>
              <w:widowControl w:val="0"/>
              <w:jc w:val="center"/>
              <w:rPr>
                <w:rFonts w:cs="Arial"/>
                <w:highlight w:val="darkGray"/>
              </w:rPr>
            </w:pPr>
            <w:r w:rsidRPr="000D0B28">
              <w:t>$</w:t>
            </w:r>
            <w:r w:rsidR="00204469" w:rsidRPr="00204469">
              <w:rPr>
                <w:color w:val="000000"/>
                <w:spacing w:val="74"/>
                <w:shd w:val="solid" w:color="000000" w:fill="000000"/>
                <w:fitText w:val="160" w:id="-1437437949"/>
                <w14:textFill>
                  <w14:solidFill>
                    <w14:srgbClr w14:val="000000">
                      <w14:alpha w14:val="100000"/>
                    </w14:srgbClr>
                  </w14:solidFill>
                </w14:textFill>
              </w:rPr>
              <w:t>|</w:t>
            </w:r>
            <w:r w:rsidR="00204469" w:rsidRPr="00204469">
              <w:rPr>
                <w:color w:val="000000"/>
                <w:spacing w:val="1"/>
                <w:shd w:val="solid" w:color="000000" w:fill="000000"/>
                <w:fitText w:val="160" w:id="-1437437949"/>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4209F46F" w14:textId="4D2E8545" w:rsidR="00880797" w:rsidRPr="000D0B28" w:rsidRDefault="00880797" w:rsidP="00880797">
            <w:pPr>
              <w:pStyle w:val="TableText0"/>
              <w:keepNext w:val="0"/>
              <w:widowControl w:val="0"/>
              <w:jc w:val="center"/>
              <w:rPr>
                <w:rFonts w:cs="Arial"/>
                <w:highlight w:val="darkGray"/>
              </w:rPr>
            </w:pPr>
            <w:r w:rsidRPr="000D0B28">
              <w:t>$</w:t>
            </w:r>
            <w:r w:rsidR="00204469" w:rsidRPr="00204469">
              <w:rPr>
                <w:color w:val="000000"/>
                <w:spacing w:val="74"/>
                <w:shd w:val="solid" w:color="000000" w:fill="000000"/>
                <w:fitText w:val="160" w:id="-1437437948"/>
                <w14:textFill>
                  <w14:solidFill>
                    <w14:srgbClr w14:val="000000">
                      <w14:alpha w14:val="100000"/>
                    </w14:srgbClr>
                  </w14:solidFill>
                </w14:textFill>
              </w:rPr>
              <w:t>|</w:t>
            </w:r>
            <w:r w:rsidR="00204469" w:rsidRPr="00204469">
              <w:rPr>
                <w:color w:val="000000"/>
                <w:spacing w:val="1"/>
                <w:shd w:val="solid" w:color="000000" w:fill="000000"/>
                <w:fitText w:val="160" w:id="-1437437948"/>
                <w14:textFill>
                  <w14:solidFill>
                    <w14:srgbClr w14:val="000000">
                      <w14:alpha w14:val="100000"/>
                    </w14:srgbClr>
                  </w14:solidFill>
                </w14:textFill>
              </w:rPr>
              <w:t>|</w:t>
            </w:r>
            <w:r w:rsidR="009F7991" w:rsidRPr="009F7991">
              <w:rPr>
                <w:vertAlign w:val="superscript"/>
              </w:rPr>
              <w:t>3</w:t>
            </w:r>
          </w:p>
        </w:tc>
        <w:tc>
          <w:tcPr>
            <w:tcW w:w="993" w:type="dxa"/>
            <w:shd w:val="clear" w:color="auto" w:fill="auto"/>
          </w:tcPr>
          <w:p w14:paraId="12F3226A" w14:textId="18004949" w:rsidR="00880797" w:rsidRPr="000D0B28" w:rsidRDefault="00880797" w:rsidP="00880797">
            <w:pPr>
              <w:pStyle w:val="TableText0"/>
              <w:keepNext w:val="0"/>
              <w:widowControl w:val="0"/>
              <w:jc w:val="center"/>
              <w:rPr>
                <w:rFonts w:cs="Arial"/>
                <w:highlight w:val="darkGray"/>
              </w:rPr>
            </w:pPr>
            <w:r w:rsidRPr="000D0B28">
              <w:t>$</w:t>
            </w:r>
            <w:r w:rsidR="00204469" w:rsidRPr="00204469">
              <w:rPr>
                <w:rFonts w:hint="eastAsia"/>
                <w:color w:val="000000"/>
                <w:w w:val="33"/>
                <w:shd w:val="solid" w:color="000000" w:fill="000000"/>
                <w:fitText w:val="150" w:id="-1437437947"/>
                <w14:textFill>
                  <w14:solidFill>
                    <w14:srgbClr w14:val="000000">
                      <w14:alpha w14:val="100000"/>
                    </w14:srgbClr>
                  </w14:solidFill>
                </w14:textFill>
              </w:rPr>
              <w:t xml:space="preserve">　</w:t>
            </w:r>
            <w:r w:rsidR="00204469" w:rsidRPr="00204469">
              <w:rPr>
                <w:color w:val="000000"/>
                <w:w w:val="33"/>
                <w:shd w:val="solid" w:color="000000" w:fill="000000"/>
                <w:fitText w:val="150" w:id="-1437437947"/>
                <w14:textFill>
                  <w14:solidFill>
                    <w14:srgbClr w14:val="000000">
                      <w14:alpha w14:val="100000"/>
                    </w14:srgbClr>
                  </w14:solidFill>
                </w14:textFill>
              </w:rPr>
              <w:t>|</w:t>
            </w:r>
            <w:r w:rsidR="00204469" w:rsidRPr="00204469">
              <w:rPr>
                <w:rFonts w:hint="eastAsia"/>
                <w:color w:val="000000"/>
                <w:spacing w:val="4"/>
                <w:w w:val="33"/>
                <w:shd w:val="solid" w:color="000000" w:fill="000000"/>
                <w:fitText w:val="150" w:id="-1437437947"/>
                <w14:textFill>
                  <w14:solidFill>
                    <w14:srgbClr w14:val="000000">
                      <w14:alpha w14:val="100000"/>
                    </w14:srgbClr>
                  </w14:solidFill>
                </w14:textFill>
              </w:rPr>
              <w:t xml:space="preserve">　</w:t>
            </w:r>
            <w:r w:rsidR="009F7991" w:rsidRPr="009F7991">
              <w:rPr>
                <w:vertAlign w:val="superscript"/>
              </w:rPr>
              <w:t>3</w:t>
            </w:r>
          </w:p>
        </w:tc>
        <w:tc>
          <w:tcPr>
            <w:tcW w:w="992" w:type="dxa"/>
            <w:shd w:val="clear" w:color="auto" w:fill="auto"/>
          </w:tcPr>
          <w:p w14:paraId="147BF90E" w14:textId="4328BABD" w:rsidR="00880797" w:rsidRPr="000D0B28" w:rsidRDefault="00880797" w:rsidP="00880797">
            <w:pPr>
              <w:pStyle w:val="TableText0"/>
              <w:keepNext w:val="0"/>
              <w:widowControl w:val="0"/>
              <w:jc w:val="center"/>
              <w:rPr>
                <w:rFonts w:cs="Arial"/>
                <w:highlight w:val="darkGray"/>
              </w:rPr>
            </w:pPr>
            <w:r w:rsidRPr="000D0B28">
              <w:t>$</w:t>
            </w:r>
            <w:r w:rsidR="00204469" w:rsidRPr="00204469">
              <w:rPr>
                <w:color w:val="000000"/>
                <w:spacing w:val="74"/>
                <w:shd w:val="solid" w:color="000000" w:fill="000000"/>
                <w:fitText w:val="160" w:id="-1437437946"/>
                <w14:textFill>
                  <w14:solidFill>
                    <w14:srgbClr w14:val="000000">
                      <w14:alpha w14:val="100000"/>
                    </w14:srgbClr>
                  </w14:solidFill>
                </w14:textFill>
              </w:rPr>
              <w:t>|</w:t>
            </w:r>
            <w:r w:rsidR="00204469" w:rsidRPr="00204469">
              <w:rPr>
                <w:color w:val="000000"/>
                <w:spacing w:val="1"/>
                <w:shd w:val="solid" w:color="000000" w:fill="000000"/>
                <w:fitText w:val="160" w:id="-1437437946"/>
                <w14:textFill>
                  <w14:solidFill>
                    <w14:srgbClr w14:val="000000">
                      <w14:alpha w14:val="100000"/>
                    </w14:srgbClr>
                  </w14:solidFill>
                </w14:textFill>
              </w:rPr>
              <w:t>|</w:t>
            </w:r>
            <w:r w:rsidR="009F7991" w:rsidRPr="009F7991">
              <w:rPr>
                <w:vertAlign w:val="superscript"/>
              </w:rPr>
              <w:t>3</w:t>
            </w:r>
          </w:p>
        </w:tc>
      </w:tr>
      <w:tr w:rsidR="00880797" w:rsidRPr="0040247D" w14:paraId="4BDBCC3A" w14:textId="77777777" w:rsidTr="009F7991">
        <w:tc>
          <w:tcPr>
            <w:tcW w:w="2830" w:type="dxa"/>
            <w:shd w:val="clear" w:color="auto" w:fill="auto"/>
            <w:vAlign w:val="center"/>
          </w:tcPr>
          <w:p w14:paraId="063AEAE4" w14:textId="07783BBC" w:rsidR="00880797" w:rsidRPr="00880797" w:rsidRDefault="00880797" w:rsidP="00880797">
            <w:pPr>
              <w:pStyle w:val="TableText0"/>
              <w:keepNext w:val="0"/>
              <w:widowControl w:val="0"/>
              <w:ind w:left="720"/>
            </w:pPr>
            <w:r w:rsidRPr="00DB490D">
              <w:rPr>
                <w:iCs/>
              </w:rPr>
              <w:t>Corrected</w:t>
            </w:r>
          </w:p>
        </w:tc>
        <w:tc>
          <w:tcPr>
            <w:tcW w:w="993" w:type="dxa"/>
            <w:shd w:val="clear" w:color="auto" w:fill="auto"/>
            <w:vAlign w:val="center"/>
          </w:tcPr>
          <w:p w14:paraId="1D51EDDE" w14:textId="6881E12D" w:rsidR="00880797" w:rsidRPr="009F7991" w:rsidRDefault="00880797" w:rsidP="00880797">
            <w:pPr>
              <w:pStyle w:val="TableText0"/>
              <w:keepNext w:val="0"/>
              <w:widowControl w:val="0"/>
              <w:jc w:val="center"/>
            </w:pPr>
            <w:r w:rsidRPr="009F7991">
              <w:rPr>
                <w:iCs/>
              </w:rPr>
              <w:t>$</w:t>
            </w:r>
            <w:r w:rsidR="00204469" w:rsidRPr="00204469">
              <w:rPr>
                <w:rFonts w:hint="eastAsia"/>
                <w:iCs/>
                <w:color w:val="000000"/>
                <w:w w:val="33"/>
                <w:shd w:val="solid" w:color="000000" w:fill="000000"/>
                <w:fitText w:val="150" w:id="-1437437945"/>
                <w14:textFill>
                  <w14:solidFill>
                    <w14:srgbClr w14:val="000000">
                      <w14:alpha w14:val="100000"/>
                    </w14:srgbClr>
                  </w14:solidFill>
                </w14:textFill>
              </w:rPr>
              <w:t xml:space="preserve">　</w:t>
            </w:r>
            <w:r w:rsidR="00204469" w:rsidRPr="00204469">
              <w:rPr>
                <w:iCs/>
                <w:color w:val="000000"/>
                <w:w w:val="33"/>
                <w:shd w:val="solid" w:color="000000" w:fill="000000"/>
                <w:fitText w:val="150" w:id="-1437437945"/>
                <w14:textFill>
                  <w14:solidFill>
                    <w14:srgbClr w14:val="000000">
                      <w14:alpha w14:val="100000"/>
                    </w14:srgbClr>
                  </w14:solidFill>
                </w14:textFill>
              </w:rPr>
              <w:t>|</w:t>
            </w:r>
            <w:r w:rsidR="00204469" w:rsidRPr="00204469">
              <w:rPr>
                <w:rFonts w:hint="eastAsia"/>
                <w:iCs/>
                <w:color w:val="000000"/>
                <w:spacing w:val="4"/>
                <w:w w:val="33"/>
                <w:shd w:val="solid" w:color="000000" w:fill="000000"/>
                <w:fitText w:val="150" w:id="-1437437945"/>
                <w14:textFill>
                  <w14:solidFill>
                    <w14:srgbClr w14:val="000000">
                      <w14:alpha w14:val="100000"/>
                    </w14:srgbClr>
                  </w14:solidFill>
                </w14:textFill>
              </w:rPr>
              <w:t xml:space="preserve">　</w:t>
            </w:r>
            <w:r w:rsidR="009F7991" w:rsidRPr="009F7991">
              <w:rPr>
                <w:vertAlign w:val="superscript"/>
              </w:rPr>
              <w:t>3</w:t>
            </w:r>
          </w:p>
        </w:tc>
        <w:tc>
          <w:tcPr>
            <w:tcW w:w="992" w:type="dxa"/>
            <w:shd w:val="clear" w:color="auto" w:fill="auto"/>
            <w:vAlign w:val="center"/>
          </w:tcPr>
          <w:p w14:paraId="6B1F2A99" w14:textId="4CBB5708" w:rsidR="00880797" w:rsidRPr="000D0B28" w:rsidRDefault="00880797" w:rsidP="00880797">
            <w:pPr>
              <w:pStyle w:val="TableText0"/>
              <w:keepNext w:val="0"/>
              <w:widowControl w:val="0"/>
              <w:jc w:val="center"/>
              <w:rPr>
                <w:highlight w:val="darkGray"/>
              </w:rPr>
            </w:pPr>
            <w:r w:rsidRPr="000D0B28">
              <w:rPr>
                <w:iCs/>
              </w:rPr>
              <w:t>$</w:t>
            </w:r>
            <w:r w:rsidR="00204469" w:rsidRPr="00204469">
              <w:rPr>
                <w:iCs/>
                <w:color w:val="000000"/>
                <w:spacing w:val="74"/>
                <w:shd w:val="solid" w:color="000000" w:fill="000000"/>
                <w:fitText w:val="160" w:id="-1437437944"/>
                <w14:textFill>
                  <w14:solidFill>
                    <w14:srgbClr w14:val="000000">
                      <w14:alpha w14:val="100000"/>
                    </w14:srgbClr>
                  </w14:solidFill>
                </w14:textFill>
              </w:rPr>
              <w:t>|</w:t>
            </w:r>
            <w:r w:rsidR="00204469" w:rsidRPr="00204469">
              <w:rPr>
                <w:iCs/>
                <w:color w:val="000000"/>
                <w:spacing w:val="1"/>
                <w:shd w:val="solid" w:color="000000" w:fill="000000"/>
                <w:fitText w:val="160" w:id="-1437437944"/>
                <w14:textFill>
                  <w14:solidFill>
                    <w14:srgbClr w14:val="000000">
                      <w14:alpha w14:val="100000"/>
                    </w14:srgbClr>
                  </w14:solidFill>
                </w14:textFill>
              </w:rPr>
              <w:t>|</w:t>
            </w:r>
            <w:r w:rsidR="009F7991" w:rsidRPr="009F7991">
              <w:rPr>
                <w:vertAlign w:val="superscript"/>
              </w:rPr>
              <w:t>3</w:t>
            </w:r>
          </w:p>
        </w:tc>
        <w:tc>
          <w:tcPr>
            <w:tcW w:w="992" w:type="dxa"/>
            <w:shd w:val="clear" w:color="auto" w:fill="auto"/>
            <w:vAlign w:val="center"/>
          </w:tcPr>
          <w:p w14:paraId="25B21E54" w14:textId="090F6044" w:rsidR="00880797" w:rsidRPr="000D0B28" w:rsidRDefault="00880797" w:rsidP="00880797">
            <w:pPr>
              <w:pStyle w:val="TableText0"/>
              <w:keepNext w:val="0"/>
              <w:widowControl w:val="0"/>
              <w:jc w:val="center"/>
              <w:rPr>
                <w:highlight w:val="darkGray"/>
              </w:rPr>
            </w:pPr>
            <w:r w:rsidRPr="000D0B28">
              <w:rPr>
                <w:iCs/>
              </w:rPr>
              <w:t>$</w:t>
            </w:r>
            <w:r w:rsidR="00204469" w:rsidRPr="00204469">
              <w:rPr>
                <w:iCs/>
                <w:color w:val="000000"/>
                <w:spacing w:val="74"/>
                <w:shd w:val="solid" w:color="000000" w:fill="000000"/>
                <w:fitText w:val="160" w:id="-1437437943"/>
                <w14:textFill>
                  <w14:solidFill>
                    <w14:srgbClr w14:val="000000">
                      <w14:alpha w14:val="100000"/>
                    </w14:srgbClr>
                  </w14:solidFill>
                </w14:textFill>
              </w:rPr>
              <w:t>|</w:t>
            </w:r>
            <w:r w:rsidR="00204469" w:rsidRPr="00204469">
              <w:rPr>
                <w:iCs/>
                <w:color w:val="000000"/>
                <w:spacing w:val="1"/>
                <w:shd w:val="solid" w:color="000000" w:fill="000000"/>
                <w:fitText w:val="160" w:id="-1437437943"/>
                <w14:textFill>
                  <w14:solidFill>
                    <w14:srgbClr w14:val="000000">
                      <w14:alpha w14:val="100000"/>
                    </w14:srgbClr>
                  </w14:solidFill>
                </w14:textFill>
              </w:rPr>
              <w:t>|</w:t>
            </w:r>
            <w:r w:rsidR="009F7991" w:rsidRPr="009F7991">
              <w:rPr>
                <w:vertAlign w:val="superscript"/>
              </w:rPr>
              <w:t>3</w:t>
            </w:r>
          </w:p>
        </w:tc>
        <w:tc>
          <w:tcPr>
            <w:tcW w:w="992" w:type="dxa"/>
            <w:shd w:val="clear" w:color="auto" w:fill="auto"/>
            <w:vAlign w:val="center"/>
          </w:tcPr>
          <w:p w14:paraId="3D4241FA" w14:textId="15F0BF8E" w:rsidR="00880797" w:rsidRPr="000D0B28" w:rsidRDefault="00880797" w:rsidP="00880797">
            <w:pPr>
              <w:pStyle w:val="TableText0"/>
              <w:keepNext w:val="0"/>
              <w:widowControl w:val="0"/>
              <w:jc w:val="center"/>
              <w:rPr>
                <w:highlight w:val="darkGray"/>
              </w:rPr>
            </w:pPr>
            <w:r w:rsidRPr="000D0B28">
              <w:rPr>
                <w:iCs/>
              </w:rPr>
              <w:t>$</w:t>
            </w:r>
            <w:r w:rsidR="00204469" w:rsidRPr="00204469">
              <w:rPr>
                <w:iCs/>
                <w:color w:val="000000"/>
                <w:spacing w:val="74"/>
                <w:shd w:val="solid" w:color="000000" w:fill="000000"/>
                <w:fitText w:val="160" w:id="-1437437942"/>
                <w14:textFill>
                  <w14:solidFill>
                    <w14:srgbClr w14:val="000000">
                      <w14:alpha w14:val="100000"/>
                    </w14:srgbClr>
                  </w14:solidFill>
                </w14:textFill>
              </w:rPr>
              <w:t>|</w:t>
            </w:r>
            <w:r w:rsidR="00204469" w:rsidRPr="00204469">
              <w:rPr>
                <w:iCs/>
                <w:color w:val="000000"/>
                <w:spacing w:val="1"/>
                <w:shd w:val="solid" w:color="000000" w:fill="000000"/>
                <w:fitText w:val="160" w:id="-1437437942"/>
                <w14:textFill>
                  <w14:solidFill>
                    <w14:srgbClr w14:val="000000">
                      <w14:alpha w14:val="100000"/>
                    </w14:srgbClr>
                  </w14:solidFill>
                </w14:textFill>
              </w:rPr>
              <w:t>|</w:t>
            </w:r>
            <w:r w:rsidR="009F7991" w:rsidRPr="009F7991">
              <w:rPr>
                <w:vertAlign w:val="superscript"/>
              </w:rPr>
              <w:t>3</w:t>
            </w:r>
          </w:p>
        </w:tc>
        <w:tc>
          <w:tcPr>
            <w:tcW w:w="993" w:type="dxa"/>
            <w:shd w:val="clear" w:color="auto" w:fill="auto"/>
            <w:vAlign w:val="center"/>
          </w:tcPr>
          <w:p w14:paraId="31E9D5E9" w14:textId="30ACF2D8" w:rsidR="00880797" w:rsidRPr="000D0B28" w:rsidRDefault="00880797" w:rsidP="00880797">
            <w:pPr>
              <w:pStyle w:val="TableText0"/>
              <w:keepNext w:val="0"/>
              <w:widowControl w:val="0"/>
              <w:jc w:val="center"/>
              <w:rPr>
                <w:highlight w:val="darkGray"/>
              </w:rPr>
            </w:pPr>
            <w:r w:rsidRPr="000D0B28">
              <w:rPr>
                <w:iCs/>
              </w:rPr>
              <w:t>$</w:t>
            </w:r>
            <w:r w:rsidR="00204469" w:rsidRPr="00204469">
              <w:rPr>
                <w:rFonts w:hint="eastAsia"/>
                <w:iCs/>
                <w:color w:val="000000"/>
                <w:w w:val="33"/>
                <w:shd w:val="solid" w:color="000000" w:fill="000000"/>
                <w:fitText w:val="150" w:id="-1437437941"/>
                <w14:textFill>
                  <w14:solidFill>
                    <w14:srgbClr w14:val="000000">
                      <w14:alpha w14:val="100000"/>
                    </w14:srgbClr>
                  </w14:solidFill>
                </w14:textFill>
              </w:rPr>
              <w:t xml:space="preserve">　</w:t>
            </w:r>
            <w:r w:rsidR="00204469" w:rsidRPr="00204469">
              <w:rPr>
                <w:iCs/>
                <w:color w:val="000000"/>
                <w:w w:val="33"/>
                <w:shd w:val="solid" w:color="000000" w:fill="000000"/>
                <w:fitText w:val="150" w:id="-1437437941"/>
                <w14:textFill>
                  <w14:solidFill>
                    <w14:srgbClr w14:val="000000">
                      <w14:alpha w14:val="100000"/>
                    </w14:srgbClr>
                  </w14:solidFill>
                </w14:textFill>
              </w:rPr>
              <w:t>|</w:t>
            </w:r>
            <w:r w:rsidR="00204469" w:rsidRPr="00204469">
              <w:rPr>
                <w:rFonts w:hint="eastAsia"/>
                <w:iCs/>
                <w:color w:val="000000"/>
                <w:spacing w:val="4"/>
                <w:w w:val="33"/>
                <w:shd w:val="solid" w:color="000000" w:fill="000000"/>
                <w:fitText w:val="150" w:id="-1437437941"/>
                <w14:textFill>
                  <w14:solidFill>
                    <w14:srgbClr w14:val="000000">
                      <w14:alpha w14:val="100000"/>
                    </w14:srgbClr>
                  </w14:solidFill>
                </w14:textFill>
              </w:rPr>
              <w:t xml:space="preserve">　</w:t>
            </w:r>
            <w:r w:rsidR="009F7991" w:rsidRPr="009F7991">
              <w:rPr>
                <w:vertAlign w:val="superscript"/>
              </w:rPr>
              <w:t>3</w:t>
            </w:r>
          </w:p>
        </w:tc>
        <w:tc>
          <w:tcPr>
            <w:tcW w:w="992" w:type="dxa"/>
            <w:shd w:val="clear" w:color="auto" w:fill="auto"/>
            <w:vAlign w:val="center"/>
          </w:tcPr>
          <w:p w14:paraId="72C0070F" w14:textId="643F8373" w:rsidR="00880797" w:rsidRPr="000D0B28" w:rsidRDefault="00880797" w:rsidP="00880797">
            <w:pPr>
              <w:pStyle w:val="TableText0"/>
              <w:keepNext w:val="0"/>
              <w:widowControl w:val="0"/>
              <w:jc w:val="center"/>
              <w:rPr>
                <w:highlight w:val="darkGray"/>
              </w:rPr>
            </w:pPr>
            <w:r w:rsidRPr="000D0B28">
              <w:rPr>
                <w:iCs/>
              </w:rPr>
              <w:t>$</w:t>
            </w:r>
            <w:r w:rsidR="00204469" w:rsidRPr="00204469">
              <w:rPr>
                <w:iCs/>
                <w:color w:val="000000"/>
                <w:spacing w:val="74"/>
                <w:shd w:val="solid" w:color="000000" w:fill="000000"/>
                <w:fitText w:val="160" w:id="-1437437940"/>
                <w14:textFill>
                  <w14:solidFill>
                    <w14:srgbClr w14:val="000000">
                      <w14:alpha w14:val="100000"/>
                    </w14:srgbClr>
                  </w14:solidFill>
                </w14:textFill>
              </w:rPr>
              <w:t>|</w:t>
            </w:r>
            <w:r w:rsidR="00204469" w:rsidRPr="00204469">
              <w:rPr>
                <w:iCs/>
                <w:color w:val="000000"/>
                <w:spacing w:val="1"/>
                <w:shd w:val="solid" w:color="000000" w:fill="000000"/>
                <w:fitText w:val="160" w:id="-1437437940"/>
                <w14:textFill>
                  <w14:solidFill>
                    <w14:srgbClr w14:val="000000">
                      <w14:alpha w14:val="100000"/>
                    </w14:srgbClr>
                  </w14:solidFill>
                </w14:textFill>
              </w:rPr>
              <w:t>|</w:t>
            </w:r>
            <w:r w:rsidR="009F7991" w:rsidRPr="009F7991">
              <w:rPr>
                <w:vertAlign w:val="superscript"/>
              </w:rPr>
              <w:t>3</w:t>
            </w:r>
          </w:p>
        </w:tc>
      </w:tr>
      <w:tr w:rsidR="00880797" w:rsidRPr="000D0B28" w14:paraId="1A4D98C3" w14:textId="77777777" w:rsidTr="009F7991">
        <w:tc>
          <w:tcPr>
            <w:tcW w:w="2830" w:type="dxa"/>
            <w:shd w:val="clear" w:color="auto" w:fill="auto"/>
            <w:vAlign w:val="center"/>
          </w:tcPr>
          <w:p w14:paraId="039D1282" w14:textId="63586143" w:rsidR="00880797" w:rsidRPr="00880797" w:rsidRDefault="00880797" w:rsidP="00880797">
            <w:pPr>
              <w:pStyle w:val="TableText0"/>
              <w:keepNext w:val="0"/>
              <w:widowControl w:val="0"/>
            </w:pPr>
            <w:r w:rsidRPr="00880797">
              <w:t xml:space="preserve">Patient </w:t>
            </w:r>
            <w:r w:rsidR="00E52CEF" w:rsidRPr="00880797">
              <w:t>co-payment</w:t>
            </w:r>
            <w:r w:rsidRPr="00880797">
              <w:t xml:space="preserve"> </w:t>
            </w:r>
          </w:p>
        </w:tc>
        <w:tc>
          <w:tcPr>
            <w:tcW w:w="993" w:type="dxa"/>
            <w:shd w:val="clear" w:color="auto" w:fill="auto"/>
          </w:tcPr>
          <w:p w14:paraId="3BDBB435" w14:textId="2578454F" w:rsidR="00880797" w:rsidRPr="009F7991" w:rsidRDefault="00880797" w:rsidP="00880797">
            <w:pPr>
              <w:pStyle w:val="TableText0"/>
              <w:keepNext w:val="0"/>
              <w:widowControl w:val="0"/>
              <w:jc w:val="center"/>
              <w:rPr>
                <w:rFonts w:cs="Arial"/>
                <w:highlight w:val="darkGray"/>
              </w:rPr>
            </w:pPr>
            <w:r w:rsidRPr="009F7991">
              <w:t>-$</w:t>
            </w:r>
            <w:r w:rsidR="00204469" w:rsidRPr="00204469">
              <w:rPr>
                <w:color w:val="000000"/>
                <w:spacing w:val="94"/>
                <w:shd w:val="solid" w:color="000000" w:fill="000000"/>
                <w:fitText w:val="180" w:id="-1437437939"/>
                <w14:textFill>
                  <w14:solidFill>
                    <w14:srgbClr w14:val="000000">
                      <w14:alpha w14:val="100000"/>
                    </w14:srgbClr>
                  </w14:solidFill>
                </w14:textFill>
              </w:rPr>
              <w:t>|</w:t>
            </w:r>
            <w:r w:rsidR="00204469" w:rsidRPr="00204469">
              <w:rPr>
                <w:color w:val="000000"/>
                <w:spacing w:val="1"/>
                <w:shd w:val="solid" w:color="000000" w:fill="000000"/>
                <w:fitText w:val="180" w:id="-1437437939"/>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769D2AD2" w14:textId="456331A0" w:rsidR="00880797" w:rsidRPr="000D0B28" w:rsidRDefault="00880797" w:rsidP="00880797">
            <w:pPr>
              <w:pStyle w:val="TableText0"/>
              <w:keepNext w:val="0"/>
              <w:widowControl w:val="0"/>
              <w:jc w:val="center"/>
              <w:rPr>
                <w:rFonts w:cs="Arial"/>
                <w:highlight w:val="darkGray"/>
              </w:rPr>
            </w:pPr>
            <w:r w:rsidRPr="000D0B28">
              <w:t>-$</w:t>
            </w:r>
            <w:r w:rsidR="00204469" w:rsidRPr="00204469">
              <w:rPr>
                <w:color w:val="000000"/>
                <w:spacing w:val="94"/>
                <w:shd w:val="solid" w:color="000000" w:fill="000000"/>
                <w:fitText w:val="180" w:id="-1437437938"/>
                <w14:textFill>
                  <w14:solidFill>
                    <w14:srgbClr w14:val="000000">
                      <w14:alpha w14:val="100000"/>
                    </w14:srgbClr>
                  </w14:solidFill>
                </w14:textFill>
              </w:rPr>
              <w:t>|</w:t>
            </w:r>
            <w:r w:rsidR="00204469" w:rsidRPr="00204469">
              <w:rPr>
                <w:color w:val="000000"/>
                <w:spacing w:val="1"/>
                <w:shd w:val="solid" w:color="000000" w:fill="000000"/>
                <w:fitText w:val="180" w:id="-1437437938"/>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0680A4C4" w14:textId="5AD0D48B" w:rsidR="00880797" w:rsidRPr="000D0B28" w:rsidRDefault="00880797" w:rsidP="00880797">
            <w:pPr>
              <w:pStyle w:val="TableText0"/>
              <w:keepNext w:val="0"/>
              <w:widowControl w:val="0"/>
              <w:jc w:val="center"/>
              <w:rPr>
                <w:rFonts w:cs="Arial"/>
                <w:highlight w:val="darkGray"/>
              </w:rPr>
            </w:pPr>
            <w:r w:rsidRPr="000D0B28">
              <w:t>-$</w:t>
            </w:r>
            <w:r w:rsidR="00204469" w:rsidRPr="00204469">
              <w:rPr>
                <w:color w:val="000000"/>
                <w:spacing w:val="94"/>
                <w:shd w:val="solid" w:color="000000" w:fill="000000"/>
                <w:fitText w:val="180" w:id="-1437437937"/>
                <w14:textFill>
                  <w14:solidFill>
                    <w14:srgbClr w14:val="000000">
                      <w14:alpha w14:val="100000"/>
                    </w14:srgbClr>
                  </w14:solidFill>
                </w14:textFill>
              </w:rPr>
              <w:t>|</w:t>
            </w:r>
            <w:r w:rsidR="00204469" w:rsidRPr="00204469">
              <w:rPr>
                <w:color w:val="000000"/>
                <w:spacing w:val="1"/>
                <w:shd w:val="solid" w:color="000000" w:fill="000000"/>
                <w:fitText w:val="180" w:id="-1437437937"/>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103DAB07" w14:textId="5482B2F5" w:rsidR="00880797" w:rsidRPr="000D0B28" w:rsidRDefault="00880797" w:rsidP="00880797">
            <w:pPr>
              <w:pStyle w:val="TableText0"/>
              <w:keepNext w:val="0"/>
              <w:widowControl w:val="0"/>
              <w:jc w:val="center"/>
              <w:rPr>
                <w:rFonts w:cs="Arial"/>
                <w:highlight w:val="darkGray"/>
              </w:rPr>
            </w:pPr>
            <w:r w:rsidRPr="000D0B28">
              <w:t>-$</w:t>
            </w:r>
            <w:r w:rsidR="00204469" w:rsidRPr="00204469">
              <w:rPr>
                <w:color w:val="000000"/>
                <w:spacing w:val="94"/>
                <w:shd w:val="solid" w:color="000000" w:fill="000000"/>
                <w:fitText w:val="180" w:id="-1437437936"/>
                <w14:textFill>
                  <w14:solidFill>
                    <w14:srgbClr w14:val="000000">
                      <w14:alpha w14:val="100000"/>
                    </w14:srgbClr>
                  </w14:solidFill>
                </w14:textFill>
              </w:rPr>
              <w:t>|</w:t>
            </w:r>
            <w:r w:rsidR="00204469" w:rsidRPr="00204469">
              <w:rPr>
                <w:color w:val="000000"/>
                <w:spacing w:val="1"/>
                <w:shd w:val="solid" w:color="000000" w:fill="000000"/>
                <w:fitText w:val="180" w:id="-1437437936"/>
                <w14:textFill>
                  <w14:solidFill>
                    <w14:srgbClr w14:val="000000">
                      <w14:alpha w14:val="100000"/>
                    </w14:srgbClr>
                  </w14:solidFill>
                </w14:textFill>
              </w:rPr>
              <w:t>|</w:t>
            </w:r>
            <w:r w:rsidR="009F7991" w:rsidRPr="009F7991">
              <w:rPr>
                <w:vertAlign w:val="superscript"/>
              </w:rPr>
              <w:t>3</w:t>
            </w:r>
          </w:p>
        </w:tc>
        <w:tc>
          <w:tcPr>
            <w:tcW w:w="993" w:type="dxa"/>
            <w:shd w:val="clear" w:color="auto" w:fill="auto"/>
          </w:tcPr>
          <w:p w14:paraId="28D6EB62" w14:textId="13306EB5" w:rsidR="00880797" w:rsidRPr="000D0B28" w:rsidRDefault="00880797" w:rsidP="00880797">
            <w:pPr>
              <w:pStyle w:val="TableText0"/>
              <w:keepNext w:val="0"/>
              <w:widowControl w:val="0"/>
              <w:jc w:val="center"/>
              <w:rPr>
                <w:rFonts w:cs="Arial"/>
                <w:highlight w:val="darkGray"/>
              </w:rPr>
            </w:pPr>
            <w:r w:rsidRPr="000D0B28">
              <w:t>-$</w:t>
            </w:r>
            <w:r w:rsidR="00204469" w:rsidRPr="00204469">
              <w:rPr>
                <w:color w:val="000000"/>
                <w:spacing w:val="94"/>
                <w:shd w:val="solid" w:color="000000" w:fill="000000"/>
                <w:fitText w:val="180" w:id="-1437437952"/>
                <w14:textFill>
                  <w14:solidFill>
                    <w14:srgbClr w14:val="000000">
                      <w14:alpha w14:val="100000"/>
                    </w14:srgbClr>
                  </w14:solidFill>
                </w14:textFill>
              </w:rPr>
              <w:t>|</w:t>
            </w:r>
            <w:r w:rsidR="00204469" w:rsidRPr="00204469">
              <w:rPr>
                <w:color w:val="000000"/>
                <w:spacing w:val="1"/>
                <w:shd w:val="solid" w:color="000000" w:fill="000000"/>
                <w:fitText w:val="180" w:id="-1437437952"/>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5810DF26" w14:textId="7D9A0F6E" w:rsidR="00880797" w:rsidRPr="000D0B28" w:rsidRDefault="00880797" w:rsidP="00880797">
            <w:pPr>
              <w:pStyle w:val="TableText0"/>
              <w:keepNext w:val="0"/>
              <w:widowControl w:val="0"/>
              <w:jc w:val="center"/>
              <w:rPr>
                <w:rFonts w:cs="Arial"/>
                <w:highlight w:val="darkGray"/>
              </w:rPr>
            </w:pPr>
            <w:r w:rsidRPr="000D0B28">
              <w:t>-$</w:t>
            </w:r>
            <w:r w:rsidR="00204469" w:rsidRPr="00204469">
              <w:rPr>
                <w:color w:val="000000"/>
                <w:spacing w:val="94"/>
                <w:shd w:val="solid" w:color="000000" w:fill="000000"/>
                <w:fitText w:val="180" w:id="-1437437951"/>
                <w14:textFill>
                  <w14:solidFill>
                    <w14:srgbClr w14:val="000000">
                      <w14:alpha w14:val="100000"/>
                    </w14:srgbClr>
                  </w14:solidFill>
                </w14:textFill>
              </w:rPr>
              <w:t>|</w:t>
            </w:r>
            <w:r w:rsidR="00204469" w:rsidRPr="00204469">
              <w:rPr>
                <w:color w:val="000000"/>
                <w:spacing w:val="1"/>
                <w:shd w:val="solid" w:color="000000" w:fill="000000"/>
                <w:fitText w:val="180" w:id="-1437437951"/>
                <w14:textFill>
                  <w14:solidFill>
                    <w14:srgbClr w14:val="000000">
                      <w14:alpha w14:val="100000"/>
                    </w14:srgbClr>
                  </w14:solidFill>
                </w14:textFill>
              </w:rPr>
              <w:t>|</w:t>
            </w:r>
            <w:r w:rsidR="009F7991" w:rsidRPr="009F7991">
              <w:rPr>
                <w:vertAlign w:val="superscript"/>
              </w:rPr>
              <w:t>3</w:t>
            </w:r>
          </w:p>
        </w:tc>
      </w:tr>
      <w:tr w:rsidR="00880797" w:rsidRPr="000D0B28" w14:paraId="6E29B633" w14:textId="77777777" w:rsidTr="009F7991">
        <w:tc>
          <w:tcPr>
            <w:tcW w:w="2830" w:type="dxa"/>
            <w:shd w:val="clear" w:color="auto" w:fill="auto"/>
            <w:vAlign w:val="center"/>
          </w:tcPr>
          <w:p w14:paraId="42EFF935" w14:textId="2A98507F" w:rsidR="00880797" w:rsidRPr="00880797" w:rsidRDefault="00880797" w:rsidP="00880797">
            <w:pPr>
              <w:pStyle w:val="TableText0"/>
              <w:keepNext w:val="0"/>
              <w:widowControl w:val="0"/>
              <w:ind w:left="720"/>
            </w:pPr>
            <w:r w:rsidRPr="00DB490D">
              <w:rPr>
                <w:iCs/>
              </w:rPr>
              <w:t>Corrected</w:t>
            </w:r>
          </w:p>
        </w:tc>
        <w:tc>
          <w:tcPr>
            <w:tcW w:w="993" w:type="dxa"/>
            <w:shd w:val="clear" w:color="auto" w:fill="auto"/>
            <w:vAlign w:val="center"/>
          </w:tcPr>
          <w:p w14:paraId="0B383635" w14:textId="3901B1F3" w:rsidR="00880797" w:rsidRPr="009F7991" w:rsidRDefault="00880797" w:rsidP="00880797">
            <w:pPr>
              <w:pStyle w:val="TableText0"/>
              <w:keepNext w:val="0"/>
              <w:widowControl w:val="0"/>
              <w:jc w:val="center"/>
              <w:rPr>
                <w:highlight w:val="darkGray"/>
              </w:rPr>
            </w:pPr>
            <w:r w:rsidRPr="009F7991">
              <w:rPr>
                <w:iCs/>
              </w:rPr>
              <w:t>-$</w:t>
            </w:r>
            <w:r w:rsidR="00204469" w:rsidRPr="00204469">
              <w:rPr>
                <w:iCs/>
                <w:color w:val="000000"/>
                <w:spacing w:val="94"/>
                <w:shd w:val="solid" w:color="000000" w:fill="000000"/>
                <w:fitText w:val="180" w:id="-1437437950"/>
                <w14:textFill>
                  <w14:solidFill>
                    <w14:srgbClr w14:val="000000">
                      <w14:alpha w14:val="100000"/>
                    </w14:srgbClr>
                  </w14:solidFill>
                </w14:textFill>
              </w:rPr>
              <w:t>|</w:t>
            </w:r>
            <w:r w:rsidR="00204469" w:rsidRPr="00204469">
              <w:rPr>
                <w:iCs/>
                <w:color w:val="000000"/>
                <w:spacing w:val="1"/>
                <w:shd w:val="solid" w:color="000000" w:fill="000000"/>
                <w:fitText w:val="180" w:id="-1437437950"/>
                <w14:textFill>
                  <w14:solidFill>
                    <w14:srgbClr w14:val="000000">
                      <w14:alpha w14:val="100000"/>
                    </w14:srgbClr>
                  </w14:solidFill>
                </w14:textFill>
              </w:rPr>
              <w:t>|</w:t>
            </w:r>
            <w:r w:rsidR="009F7991" w:rsidRPr="009F7991">
              <w:rPr>
                <w:vertAlign w:val="superscript"/>
              </w:rPr>
              <w:t>3</w:t>
            </w:r>
          </w:p>
        </w:tc>
        <w:tc>
          <w:tcPr>
            <w:tcW w:w="992" w:type="dxa"/>
            <w:shd w:val="clear" w:color="auto" w:fill="auto"/>
            <w:vAlign w:val="center"/>
          </w:tcPr>
          <w:p w14:paraId="06843B77" w14:textId="07EB1564" w:rsidR="00880797" w:rsidRPr="000D0B28" w:rsidRDefault="00880797" w:rsidP="00880797">
            <w:pPr>
              <w:pStyle w:val="TableText0"/>
              <w:keepNext w:val="0"/>
              <w:widowControl w:val="0"/>
              <w:jc w:val="center"/>
              <w:rPr>
                <w:highlight w:val="darkGray"/>
              </w:rPr>
            </w:pPr>
            <w:r w:rsidRPr="000D0B28">
              <w:rPr>
                <w:iCs/>
              </w:rPr>
              <w:t>-$</w:t>
            </w:r>
            <w:r w:rsidR="00204469" w:rsidRPr="00204469">
              <w:rPr>
                <w:iCs/>
                <w:color w:val="000000"/>
                <w:spacing w:val="94"/>
                <w:shd w:val="solid" w:color="000000" w:fill="000000"/>
                <w:fitText w:val="180" w:id="-1437437949"/>
                <w14:textFill>
                  <w14:solidFill>
                    <w14:srgbClr w14:val="000000">
                      <w14:alpha w14:val="100000"/>
                    </w14:srgbClr>
                  </w14:solidFill>
                </w14:textFill>
              </w:rPr>
              <w:t>|</w:t>
            </w:r>
            <w:r w:rsidR="00204469" w:rsidRPr="00204469">
              <w:rPr>
                <w:iCs/>
                <w:color w:val="000000"/>
                <w:spacing w:val="1"/>
                <w:shd w:val="solid" w:color="000000" w:fill="000000"/>
                <w:fitText w:val="180" w:id="-1437437949"/>
                <w14:textFill>
                  <w14:solidFill>
                    <w14:srgbClr w14:val="000000">
                      <w14:alpha w14:val="100000"/>
                    </w14:srgbClr>
                  </w14:solidFill>
                </w14:textFill>
              </w:rPr>
              <w:t>|</w:t>
            </w:r>
            <w:r w:rsidR="009F7991" w:rsidRPr="009F7991">
              <w:rPr>
                <w:vertAlign w:val="superscript"/>
              </w:rPr>
              <w:t>3</w:t>
            </w:r>
          </w:p>
        </w:tc>
        <w:tc>
          <w:tcPr>
            <w:tcW w:w="992" w:type="dxa"/>
            <w:shd w:val="clear" w:color="auto" w:fill="auto"/>
            <w:vAlign w:val="center"/>
          </w:tcPr>
          <w:p w14:paraId="19E9FE27" w14:textId="574937EA" w:rsidR="00880797" w:rsidRPr="000D0B28" w:rsidRDefault="00880797" w:rsidP="00880797">
            <w:pPr>
              <w:pStyle w:val="TableText0"/>
              <w:keepNext w:val="0"/>
              <w:widowControl w:val="0"/>
              <w:jc w:val="center"/>
              <w:rPr>
                <w:highlight w:val="darkGray"/>
              </w:rPr>
            </w:pPr>
            <w:r w:rsidRPr="000D0B28">
              <w:rPr>
                <w:iCs/>
              </w:rPr>
              <w:t>-$</w:t>
            </w:r>
            <w:r w:rsidR="00204469" w:rsidRPr="00204469">
              <w:rPr>
                <w:iCs/>
                <w:color w:val="000000"/>
                <w:spacing w:val="94"/>
                <w:shd w:val="solid" w:color="000000" w:fill="000000"/>
                <w:fitText w:val="180" w:id="-1437437948"/>
                <w14:textFill>
                  <w14:solidFill>
                    <w14:srgbClr w14:val="000000">
                      <w14:alpha w14:val="100000"/>
                    </w14:srgbClr>
                  </w14:solidFill>
                </w14:textFill>
              </w:rPr>
              <w:t>|</w:t>
            </w:r>
            <w:r w:rsidR="00204469" w:rsidRPr="00204469">
              <w:rPr>
                <w:iCs/>
                <w:color w:val="000000"/>
                <w:spacing w:val="1"/>
                <w:shd w:val="solid" w:color="000000" w:fill="000000"/>
                <w:fitText w:val="180" w:id="-1437437948"/>
                <w14:textFill>
                  <w14:solidFill>
                    <w14:srgbClr w14:val="000000">
                      <w14:alpha w14:val="100000"/>
                    </w14:srgbClr>
                  </w14:solidFill>
                </w14:textFill>
              </w:rPr>
              <w:t>|</w:t>
            </w:r>
            <w:r w:rsidR="009F7991" w:rsidRPr="009F7991">
              <w:rPr>
                <w:vertAlign w:val="superscript"/>
              </w:rPr>
              <w:t>3</w:t>
            </w:r>
          </w:p>
        </w:tc>
        <w:tc>
          <w:tcPr>
            <w:tcW w:w="992" w:type="dxa"/>
            <w:shd w:val="clear" w:color="auto" w:fill="auto"/>
            <w:vAlign w:val="center"/>
          </w:tcPr>
          <w:p w14:paraId="40C7E14E" w14:textId="4C2DF752" w:rsidR="00880797" w:rsidRPr="000D0B28" w:rsidRDefault="00880797" w:rsidP="00880797">
            <w:pPr>
              <w:pStyle w:val="TableText0"/>
              <w:keepNext w:val="0"/>
              <w:widowControl w:val="0"/>
              <w:jc w:val="center"/>
              <w:rPr>
                <w:highlight w:val="darkGray"/>
              </w:rPr>
            </w:pPr>
            <w:r w:rsidRPr="000D0B28">
              <w:rPr>
                <w:iCs/>
              </w:rPr>
              <w:t>-$</w:t>
            </w:r>
            <w:r w:rsidR="00204469" w:rsidRPr="00204469">
              <w:rPr>
                <w:iCs/>
                <w:color w:val="000000"/>
                <w:spacing w:val="94"/>
                <w:shd w:val="solid" w:color="000000" w:fill="000000"/>
                <w:fitText w:val="180" w:id="-1437437947"/>
                <w14:textFill>
                  <w14:solidFill>
                    <w14:srgbClr w14:val="000000">
                      <w14:alpha w14:val="100000"/>
                    </w14:srgbClr>
                  </w14:solidFill>
                </w14:textFill>
              </w:rPr>
              <w:t>|</w:t>
            </w:r>
            <w:r w:rsidR="00204469" w:rsidRPr="00204469">
              <w:rPr>
                <w:iCs/>
                <w:color w:val="000000"/>
                <w:spacing w:val="1"/>
                <w:shd w:val="solid" w:color="000000" w:fill="000000"/>
                <w:fitText w:val="180" w:id="-1437437947"/>
                <w14:textFill>
                  <w14:solidFill>
                    <w14:srgbClr w14:val="000000">
                      <w14:alpha w14:val="100000"/>
                    </w14:srgbClr>
                  </w14:solidFill>
                </w14:textFill>
              </w:rPr>
              <w:t>|</w:t>
            </w:r>
            <w:r w:rsidR="009F7991" w:rsidRPr="009F7991">
              <w:rPr>
                <w:vertAlign w:val="superscript"/>
              </w:rPr>
              <w:t>3</w:t>
            </w:r>
          </w:p>
        </w:tc>
        <w:tc>
          <w:tcPr>
            <w:tcW w:w="993" w:type="dxa"/>
            <w:shd w:val="clear" w:color="auto" w:fill="auto"/>
            <w:vAlign w:val="center"/>
          </w:tcPr>
          <w:p w14:paraId="4F1B3D95" w14:textId="5244A2AA" w:rsidR="00880797" w:rsidRPr="000D0B28" w:rsidRDefault="00880797" w:rsidP="00880797">
            <w:pPr>
              <w:pStyle w:val="TableText0"/>
              <w:keepNext w:val="0"/>
              <w:widowControl w:val="0"/>
              <w:jc w:val="center"/>
              <w:rPr>
                <w:highlight w:val="darkGray"/>
              </w:rPr>
            </w:pPr>
            <w:r w:rsidRPr="000D0B28">
              <w:rPr>
                <w:iCs/>
              </w:rPr>
              <w:t>-$</w:t>
            </w:r>
            <w:r w:rsidR="00204469" w:rsidRPr="00204469">
              <w:rPr>
                <w:iCs/>
                <w:color w:val="000000"/>
                <w:spacing w:val="94"/>
                <w:shd w:val="solid" w:color="000000" w:fill="000000"/>
                <w:fitText w:val="180" w:id="-1437437946"/>
                <w14:textFill>
                  <w14:solidFill>
                    <w14:srgbClr w14:val="000000">
                      <w14:alpha w14:val="100000"/>
                    </w14:srgbClr>
                  </w14:solidFill>
                </w14:textFill>
              </w:rPr>
              <w:t>|</w:t>
            </w:r>
            <w:r w:rsidR="00204469" w:rsidRPr="00204469">
              <w:rPr>
                <w:iCs/>
                <w:color w:val="000000"/>
                <w:spacing w:val="1"/>
                <w:shd w:val="solid" w:color="000000" w:fill="000000"/>
                <w:fitText w:val="180" w:id="-1437437946"/>
                <w14:textFill>
                  <w14:solidFill>
                    <w14:srgbClr w14:val="000000">
                      <w14:alpha w14:val="100000"/>
                    </w14:srgbClr>
                  </w14:solidFill>
                </w14:textFill>
              </w:rPr>
              <w:t>|</w:t>
            </w:r>
            <w:r w:rsidR="009F7991" w:rsidRPr="009F7991">
              <w:rPr>
                <w:vertAlign w:val="superscript"/>
              </w:rPr>
              <w:t>3</w:t>
            </w:r>
          </w:p>
        </w:tc>
        <w:tc>
          <w:tcPr>
            <w:tcW w:w="992" w:type="dxa"/>
            <w:shd w:val="clear" w:color="auto" w:fill="auto"/>
            <w:vAlign w:val="center"/>
          </w:tcPr>
          <w:p w14:paraId="63166B92" w14:textId="5671CD03" w:rsidR="00880797" w:rsidRPr="000D0B28" w:rsidRDefault="00880797" w:rsidP="00880797">
            <w:pPr>
              <w:pStyle w:val="TableText0"/>
              <w:keepNext w:val="0"/>
              <w:widowControl w:val="0"/>
              <w:jc w:val="center"/>
              <w:rPr>
                <w:highlight w:val="darkGray"/>
              </w:rPr>
            </w:pPr>
            <w:r w:rsidRPr="000D0B28">
              <w:rPr>
                <w:iCs/>
              </w:rPr>
              <w:t>-$</w:t>
            </w:r>
            <w:r w:rsidR="00204469" w:rsidRPr="00204469">
              <w:rPr>
                <w:iCs/>
                <w:color w:val="000000"/>
                <w:spacing w:val="94"/>
                <w:shd w:val="solid" w:color="000000" w:fill="000000"/>
                <w:fitText w:val="180" w:id="-1437437945"/>
                <w14:textFill>
                  <w14:solidFill>
                    <w14:srgbClr w14:val="000000">
                      <w14:alpha w14:val="100000"/>
                    </w14:srgbClr>
                  </w14:solidFill>
                </w14:textFill>
              </w:rPr>
              <w:t>|</w:t>
            </w:r>
            <w:r w:rsidR="00204469" w:rsidRPr="00204469">
              <w:rPr>
                <w:iCs/>
                <w:color w:val="000000"/>
                <w:spacing w:val="1"/>
                <w:shd w:val="solid" w:color="000000" w:fill="000000"/>
                <w:fitText w:val="180" w:id="-1437437945"/>
                <w14:textFill>
                  <w14:solidFill>
                    <w14:srgbClr w14:val="000000">
                      <w14:alpha w14:val="100000"/>
                    </w14:srgbClr>
                  </w14:solidFill>
                </w14:textFill>
              </w:rPr>
              <w:t>|</w:t>
            </w:r>
            <w:r w:rsidR="009F7991" w:rsidRPr="009F7991">
              <w:rPr>
                <w:vertAlign w:val="superscript"/>
              </w:rPr>
              <w:t>3</w:t>
            </w:r>
          </w:p>
        </w:tc>
      </w:tr>
      <w:tr w:rsidR="00880797" w:rsidRPr="000D0B28" w14:paraId="4965EB32" w14:textId="77777777" w:rsidTr="009F7991">
        <w:tc>
          <w:tcPr>
            <w:tcW w:w="2830" w:type="dxa"/>
            <w:shd w:val="clear" w:color="auto" w:fill="auto"/>
            <w:vAlign w:val="center"/>
          </w:tcPr>
          <w:p w14:paraId="2DEA3028" w14:textId="2229923A" w:rsidR="00880797" w:rsidRPr="00880797" w:rsidRDefault="00880797" w:rsidP="00880797">
            <w:pPr>
              <w:pStyle w:val="TableText0"/>
              <w:keepNext w:val="0"/>
              <w:widowControl w:val="0"/>
            </w:pPr>
            <w:r w:rsidRPr="00880797">
              <w:t xml:space="preserve">PBS/RPBS cost </w:t>
            </w:r>
            <w:r w:rsidR="00822546">
              <w:t xml:space="preserve">net </w:t>
            </w:r>
            <w:r w:rsidR="00E52CEF">
              <w:t>co-payment</w:t>
            </w:r>
          </w:p>
        </w:tc>
        <w:tc>
          <w:tcPr>
            <w:tcW w:w="993" w:type="dxa"/>
            <w:shd w:val="clear" w:color="auto" w:fill="auto"/>
          </w:tcPr>
          <w:p w14:paraId="0C4634AB" w14:textId="0E691DC8" w:rsidR="00880797" w:rsidRPr="009F7991" w:rsidRDefault="00880797" w:rsidP="00880797">
            <w:pPr>
              <w:pStyle w:val="TableText0"/>
              <w:keepNext w:val="0"/>
              <w:widowControl w:val="0"/>
              <w:jc w:val="center"/>
              <w:rPr>
                <w:rFonts w:cs="Arial"/>
                <w:highlight w:val="darkGray"/>
              </w:rPr>
            </w:pPr>
            <w:r w:rsidRPr="009F7991">
              <w:t>$</w:t>
            </w:r>
            <w:r w:rsidR="00204469" w:rsidRPr="00204469">
              <w:rPr>
                <w:rFonts w:hint="eastAsia"/>
                <w:color w:val="000000"/>
                <w:w w:val="33"/>
                <w:shd w:val="solid" w:color="000000" w:fill="000000"/>
                <w:fitText w:val="150" w:id="-1437437944"/>
                <w14:textFill>
                  <w14:solidFill>
                    <w14:srgbClr w14:val="000000">
                      <w14:alpha w14:val="100000"/>
                    </w14:srgbClr>
                  </w14:solidFill>
                </w14:textFill>
              </w:rPr>
              <w:t xml:space="preserve">　</w:t>
            </w:r>
            <w:r w:rsidR="00204469" w:rsidRPr="00204469">
              <w:rPr>
                <w:color w:val="000000"/>
                <w:w w:val="33"/>
                <w:shd w:val="solid" w:color="000000" w:fill="000000"/>
                <w:fitText w:val="150" w:id="-1437437944"/>
                <w14:textFill>
                  <w14:solidFill>
                    <w14:srgbClr w14:val="000000">
                      <w14:alpha w14:val="100000"/>
                    </w14:srgbClr>
                  </w14:solidFill>
                </w14:textFill>
              </w:rPr>
              <w:t>|</w:t>
            </w:r>
            <w:r w:rsidR="00204469" w:rsidRPr="00204469">
              <w:rPr>
                <w:rFonts w:hint="eastAsia"/>
                <w:color w:val="000000"/>
                <w:spacing w:val="4"/>
                <w:w w:val="33"/>
                <w:shd w:val="solid" w:color="000000" w:fill="000000"/>
                <w:fitText w:val="150" w:id="-1437437944"/>
                <w14:textFill>
                  <w14:solidFill>
                    <w14:srgbClr w14:val="000000">
                      <w14:alpha w14:val="100000"/>
                    </w14:srgbClr>
                  </w14:solidFill>
                </w14:textFill>
              </w:rPr>
              <w:t xml:space="preserve">　</w:t>
            </w:r>
            <w:r w:rsidR="009F7991" w:rsidRPr="009F7991">
              <w:rPr>
                <w:vertAlign w:val="superscript"/>
              </w:rPr>
              <w:t>3</w:t>
            </w:r>
          </w:p>
        </w:tc>
        <w:tc>
          <w:tcPr>
            <w:tcW w:w="992" w:type="dxa"/>
            <w:shd w:val="clear" w:color="auto" w:fill="auto"/>
          </w:tcPr>
          <w:p w14:paraId="7C5F3831" w14:textId="6F1EF0A5" w:rsidR="00880797" w:rsidRPr="000D0B28" w:rsidRDefault="00880797" w:rsidP="00880797">
            <w:pPr>
              <w:pStyle w:val="TableText0"/>
              <w:keepNext w:val="0"/>
              <w:widowControl w:val="0"/>
              <w:jc w:val="center"/>
              <w:rPr>
                <w:rFonts w:cs="Arial"/>
                <w:highlight w:val="darkGray"/>
              </w:rPr>
            </w:pPr>
            <w:r w:rsidRPr="000D0B28">
              <w:t>$</w:t>
            </w:r>
            <w:r w:rsidR="00204469" w:rsidRPr="00204469">
              <w:rPr>
                <w:color w:val="000000"/>
                <w:spacing w:val="74"/>
                <w:shd w:val="solid" w:color="000000" w:fill="000000"/>
                <w:fitText w:val="160" w:id="-1437437943"/>
                <w14:textFill>
                  <w14:solidFill>
                    <w14:srgbClr w14:val="000000">
                      <w14:alpha w14:val="100000"/>
                    </w14:srgbClr>
                  </w14:solidFill>
                </w14:textFill>
              </w:rPr>
              <w:t>|</w:t>
            </w:r>
            <w:r w:rsidR="00204469" w:rsidRPr="00204469">
              <w:rPr>
                <w:color w:val="000000"/>
                <w:spacing w:val="1"/>
                <w:shd w:val="solid" w:color="000000" w:fill="000000"/>
                <w:fitText w:val="160" w:id="-1437437943"/>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6BFBB938" w14:textId="6F5D9F72" w:rsidR="00880797" w:rsidRPr="000D0B28" w:rsidRDefault="00880797" w:rsidP="00880797">
            <w:pPr>
              <w:pStyle w:val="TableText0"/>
              <w:keepNext w:val="0"/>
              <w:widowControl w:val="0"/>
              <w:jc w:val="center"/>
              <w:rPr>
                <w:rFonts w:cs="Arial"/>
                <w:highlight w:val="darkGray"/>
              </w:rPr>
            </w:pPr>
            <w:r w:rsidRPr="000D0B28">
              <w:t>$</w:t>
            </w:r>
            <w:r w:rsidR="00204469" w:rsidRPr="00204469">
              <w:rPr>
                <w:color w:val="000000"/>
                <w:spacing w:val="74"/>
                <w:shd w:val="solid" w:color="000000" w:fill="000000"/>
                <w:fitText w:val="160" w:id="-1437437942"/>
                <w14:textFill>
                  <w14:solidFill>
                    <w14:srgbClr w14:val="000000">
                      <w14:alpha w14:val="100000"/>
                    </w14:srgbClr>
                  </w14:solidFill>
                </w14:textFill>
              </w:rPr>
              <w:t>|</w:t>
            </w:r>
            <w:r w:rsidR="00204469" w:rsidRPr="00204469">
              <w:rPr>
                <w:color w:val="000000"/>
                <w:spacing w:val="1"/>
                <w:shd w:val="solid" w:color="000000" w:fill="000000"/>
                <w:fitText w:val="160" w:id="-1437437942"/>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32FD7847" w14:textId="0951CF84" w:rsidR="00880797" w:rsidRPr="000D0B28" w:rsidRDefault="00880797" w:rsidP="00880797">
            <w:pPr>
              <w:pStyle w:val="TableText0"/>
              <w:keepNext w:val="0"/>
              <w:widowControl w:val="0"/>
              <w:jc w:val="center"/>
              <w:rPr>
                <w:rFonts w:cs="Arial"/>
                <w:highlight w:val="darkGray"/>
              </w:rPr>
            </w:pPr>
            <w:r w:rsidRPr="000D0B28">
              <w:t>$</w:t>
            </w:r>
            <w:r w:rsidR="00204469" w:rsidRPr="00204469">
              <w:rPr>
                <w:color w:val="000000"/>
                <w:spacing w:val="74"/>
                <w:shd w:val="solid" w:color="000000" w:fill="000000"/>
                <w:fitText w:val="160" w:id="-1437437941"/>
                <w14:textFill>
                  <w14:solidFill>
                    <w14:srgbClr w14:val="000000">
                      <w14:alpha w14:val="100000"/>
                    </w14:srgbClr>
                  </w14:solidFill>
                </w14:textFill>
              </w:rPr>
              <w:t>|</w:t>
            </w:r>
            <w:r w:rsidR="00204469" w:rsidRPr="00204469">
              <w:rPr>
                <w:color w:val="000000"/>
                <w:spacing w:val="1"/>
                <w:shd w:val="solid" w:color="000000" w:fill="000000"/>
                <w:fitText w:val="160" w:id="-1437437941"/>
                <w14:textFill>
                  <w14:solidFill>
                    <w14:srgbClr w14:val="000000">
                      <w14:alpha w14:val="100000"/>
                    </w14:srgbClr>
                  </w14:solidFill>
                </w14:textFill>
              </w:rPr>
              <w:t>|</w:t>
            </w:r>
            <w:r w:rsidR="009F7991" w:rsidRPr="009F7991">
              <w:rPr>
                <w:vertAlign w:val="superscript"/>
              </w:rPr>
              <w:t>3</w:t>
            </w:r>
          </w:p>
        </w:tc>
        <w:tc>
          <w:tcPr>
            <w:tcW w:w="993" w:type="dxa"/>
            <w:shd w:val="clear" w:color="auto" w:fill="auto"/>
          </w:tcPr>
          <w:p w14:paraId="40FC1B07" w14:textId="712A3045" w:rsidR="00880797" w:rsidRPr="000D0B28" w:rsidRDefault="00880797" w:rsidP="00880797">
            <w:pPr>
              <w:pStyle w:val="TableText0"/>
              <w:keepNext w:val="0"/>
              <w:widowControl w:val="0"/>
              <w:jc w:val="center"/>
              <w:rPr>
                <w:rFonts w:cs="Arial"/>
                <w:highlight w:val="darkGray"/>
              </w:rPr>
            </w:pPr>
            <w:r w:rsidRPr="000D0B28">
              <w:t>$</w:t>
            </w:r>
            <w:r w:rsidR="00204469" w:rsidRPr="00204469">
              <w:rPr>
                <w:rFonts w:hint="eastAsia"/>
                <w:color w:val="000000"/>
                <w:w w:val="33"/>
                <w:shd w:val="solid" w:color="000000" w:fill="000000"/>
                <w:fitText w:val="150" w:id="-1437437940"/>
                <w14:textFill>
                  <w14:solidFill>
                    <w14:srgbClr w14:val="000000">
                      <w14:alpha w14:val="100000"/>
                    </w14:srgbClr>
                  </w14:solidFill>
                </w14:textFill>
              </w:rPr>
              <w:t xml:space="preserve">　</w:t>
            </w:r>
            <w:r w:rsidR="00204469" w:rsidRPr="00204469">
              <w:rPr>
                <w:color w:val="000000"/>
                <w:w w:val="33"/>
                <w:shd w:val="solid" w:color="000000" w:fill="000000"/>
                <w:fitText w:val="150" w:id="-1437437940"/>
                <w14:textFill>
                  <w14:solidFill>
                    <w14:srgbClr w14:val="000000">
                      <w14:alpha w14:val="100000"/>
                    </w14:srgbClr>
                  </w14:solidFill>
                </w14:textFill>
              </w:rPr>
              <w:t>|</w:t>
            </w:r>
            <w:r w:rsidR="00204469" w:rsidRPr="00204469">
              <w:rPr>
                <w:rFonts w:hint="eastAsia"/>
                <w:color w:val="000000"/>
                <w:spacing w:val="4"/>
                <w:w w:val="33"/>
                <w:shd w:val="solid" w:color="000000" w:fill="000000"/>
                <w:fitText w:val="150" w:id="-1437437940"/>
                <w14:textFill>
                  <w14:solidFill>
                    <w14:srgbClr w14:val="000000">
                      <w14:alpha w14:val="100000"/>
                    </w14:srgbClr>
                  </w14:solidFill>
                </w14:textFill>
              </w:rPr>
              <w:t xml:space="preserve">　</w:t>
            </w:r>
            <w:r w:rsidR="009F7991" w:rsidRPr="009F7991">
              <w:rPr>
                <w:vertAlign w:val="superscript"/>
              </w:rPr>
              <w:t>3</w:t>
            </w:r>
          </w:p>
        </w:tc>
        <w:tc>
          <w:tcPr>
            <w:tcW w:w="992" w:type="dxa"/>
            <w:shd w:val="clear" w:color="auto" w:fill="auto"/>
          </w:tcPr>
          <w:p w14:paraId="22A5B037" w14:textId="7D27413F" w:rsidR="00880797" w:rsidRPr="000D0B28" w:rsidRDefault="00880797" w:rsidP="00880797">
            <w:pPr>
              <w:pStyle w:val="TableText0"/>
              <w:keepNext w:val="0"/>
              <w:widowControl w:val="0"/>
              <w:jc w:val="center"/>
              <w:rPr>
                <w:rFonts w:cs="Arial"/>
                <w:highlight w:val="darkGray"/>
              </w:rPr>
            </w:pPr>
            <w:r w:rsidRPr="000D0B28">
              <w:t>$</w:t>
            </w:r>
            <w:r w:rsidR="00204469" w:rsidRPr="00204469">
              <w:rPr>
                <w:color w:val="000000"/>
                <w:spacing w:val="74"/>
                <w:shd w:val="solid" w:color="000000" w:fill="000000"/>
                <w:fitText w:val="160" w:id="-1437437939"/>
                <w14:textFill>
                  <w14:solidFill>
                    <w14:srgbClr w14:val="000000">
                      <w14:alpha w14:val="100000"/>
                    </w14:srgbClr>
                  </w14:solidFill>
                </w14:textFill>
              </w:rPr>
              <w:t>|</w:t>
            </w:r>
            <w:r w:rsidR="00204469" w:rsidRPr="00204469">
              <w:rPr>
                <w:color w:val="000000"/>
                <w:spacing w:val="1"/>
                <w:shd w:val="solid" w:color="000000" w:fill="000000"/>
                <w:fitText w:val="160" w:id="-1437437939"/>
                <w14:textFill>
                  <w14:solidFill>
                    <w14:srgbClr w14:val="000000">
                      <w14:alpha w14:val="100000"/>
                    </w14:srgbClr>
                  </w14:solidFill>
                </w14:textFill>
              </w:rPr>
              <w:t>|</w:t>
            </w:r>
            <w:r w:rsidR="009F7991" w:rsidRPr="009F7991">
              <w:rPr>
                <w:vertAlign w:val="superscript"/>
              </w:rPr>
              <w:t>3</w:t>
            </w:r>
          </w:p>
        </w:tc>
      </w:tr>
      <w:tr w:rsidR="00880797" w:rsidRPr="000D0B28" w14:paraId="14CE7908" w14:textId="77777777" w:rsidTr="009F7991">
        <w:tc>
          <w:tcPr>
            <w:tcW w:w="2830" w:type="dxa"/>
            <w:shd w:val="clear" w:color="auto" w:fill="auto"/>
            <w:vAlign w:val="center"/>
          </w:tcPr>
          <w:p w14:paraId="076EB283" w14:textId="3054F0A1" w:rsidR="00880797" w:rsidRPr="00880797" w:rsidRDefault="00880797" w:rsidP="00880797">
            <w:pPr>
              <w:pStyle w:val="TableText0"/>
              <w:keepNext w:val="0"/>
              <w:widowControl w:val="0"/>
              <w:ind w:left="720"/>
            </w:pPr>
            <w:r w:rsidRPr="00DB490D">
              <w:rPr>
                <w:iCs/>
              </w:rPr>
              <w:t>Corrected</w:t>
            </w:r>
          </w:p>
        </w:tc>
        <w:tc>
          <w:tcPr>
            <w:tcW w:w="993" w:type="dxa"/>
            <w:shd w:val="clear" w:color="auto" w:fill="auto"/>
            <w:vAlign w:val="center"/>
          </w:tcPr>
          <w:p w14:paraId="3CC2FB3F" w14:textId="04F1C11D" w:rsidR="00880797" w:rsidRPr="009F7991" w:rsidRDefault="00880797" w:rsidP="00880797">
            <w:pPr>
              <w:pStyle w:val="TableText0"/>
              <w:keepNext w:val="0"/>
              <w:widowControl w:val="0"/>
              <w:jc w:val="center"/>
              <w:rPr>
                <w:highlight w:val="darkGray"/>
              </w:rPr>
            </w:pPr>
            <w:r w:rsidRPr="009F7991">
              <w:rPr>
                <w:iCs/>
              </w:rPr>
              <w:t>$</w:t>
            </w:r>
            <w:r w:rsidR="00204469" w:rsidRPr="00204469">
              <w:rPr>
                <w:rFonts w:hint="eastAsia"/>
                <w:iCs/>
                <w:color w:val="000000"/>
                <w:w w:val="33"/>
                <w:shd w:val="solid" w:color="000000" w:fill="000000"/>
                <w:fitText w:val="150" w:id="-1437437938"/>
                <w14:textFill>
                  <w14:solidFill>
                    <w14:srgbClr w14:val="000000">
                      <w14:alpha w14:val="100000"/>
                    </w14:srgbClr>
                  </w14:solidFill>
                </w14:textFill>
              </w:rPr>
              <w:t xml:space="preserve">　</w:t>
            </w:r>
            <w:r w:rsidR="00204469" w:rsidRPr="00204469">
              <w:rPr>
                <w:iCs/>
                <w:color w:val="000000"/>
                <w:w w:val="33"/>
                <w:shd w:val="solid" w:color="000000" w:fill="000000"/>
                <w:fitText w:val="150" w:id="-1437437938"/>
                <w14:textFill>
                  <w14:solidFill>
                    <w14:srgbClr w14:val="000000">
                      <w14:alpha w14:val="100000"/>
                    </w14:srgbClr>
                  </w14:solidFill>
                </w14:textFill>
              </w:rPr>
              <w:t>|</w:t>
            </w:r>
            <w:r w:rsidR="00204469" w:rsidRPr="00204469">
              <w:rPr>
                <w:rFonts w:hint="eastAsia"/>
                <w:iCs/>
                <w:color w:val="000000"/>
                <w:spacing w:val="4"/>
                <w:w w:val="33"/>
                <w:shd w:val="solid" w:color="000000" w:fill="000000"/>
                <w:fitText w:val="150" w:id="-1437437938"/>
                <w14:textFill>
                  <w14:solidFill>
                    <w14:srgbClr w14:val="000000">
                      <w14:alpha w14:val="100000"/>
                    </w14:srgbClr>
                  </w14:solidFill>
                </w14:textFill>
              </w:rPr>
              <w:t xml:space="preserve">　</w:t>
            </w:r>
            <w:r w:rsidR="009F7991" w:rsidRPr="009F7991">
              <w:rPr>
                <w:vertAlign w:val="superscript"/>
              </w:rPr>
              <w:t>3</w:t>
            </w:r>
          </w:p>
        </w:tc>
        <w:tc>
          <w:tcPr>
            <w:tcW w:w="992" w:type="dxa"/>
            <w:shd w:val="clear" w:color="auto" w:fill="auto"/>
            <w:vAlign w:val="center"/>
          </w:tcPr>
          <w:p w14:paraId="1F2D6772" w14:textId="4C3E3256" w:rsidR="00880797" w:rsidRPr="000D0B28" w:rsidRDefault="00880797" w:rsidP="00880797">
            <w:pPr>
              <w:pStyle w:val="TableText0"/>
              <w:keepNext w:val="0"/>
              <w:widowControl w:val="0"/>
              <w:jc w:val="center"/>
              <w:rPr>
                <w:highlight w:val="darkGray"/>
              </w:rPr>
            </w:pPr>
            <w:r w:rsidRPr="000D0B28">
              <w:rPr>
                <w:iCs/>
              </w:rPr>
              <w:t>$</w:t>
            </w:r>
            <w:r w:rsidR="00204469" w:rsidRPr="00204469">
              <w:rPr>
                <w:iCs/>
                <w:color w:val="000000"/>
                <w:spacing w:val="74"/>
                <w:shd w:val="solid" w:color="000000" w:fill="000000"/>
                <w:fitText w:val="160" w:id="-1437437937"/>
                <w14:textFill>
                  <w14:solidFill>
                    <w14:srgbClr w14:val="000000">
                      <w14:alpha w14:val="100000"/>
                    </w14:srgbClr>
                  </w14:solidFill>
                </w14:textFill>
              </w:rPr>
              <w:t>|</w:t>
            </w:r>
            <w:r w:rsidR="00204469" w:rsidRPr="00204469">
              <w:rPr>
                <w:iCs/>
                <w:color w:val="000000"/>
                <w:spacing w:val="1"/>
                <w:shd w:val="solid" w:color="000000" w:fill="000000"/>
                <w:fitText w:val="160" w:id="-1437437937"/>
                <w14:textFill>
                  <w14:solidFill>
                    <w14:srgbClr w14:val="000000">
                      <w14:alpha w14:val="100000"/>
                    </w14:srgbClr>
                  </w14:solidFill>
                </w14:textFill>
              </w:rPr>
              <w:t>|</w:t>
            </w:r>
            <w:r w:rsidR="009F7991" w:rsidRPr="009F7991">
              <w:rPr>
                <w:vertAlign w:val="superscript"/>
              </w:rPr>
              <w:t>3</w:t>
            </w:r>
          </w:p>
        </w:tc>
        <w:tc>
          <w:tcPr>
            <w:tcW w:w="992" w:type="dxa"/>
            <w:shd w:val="clear" w:color="auto" w:fill="auto"/>
            <w:vAlign w:val="center"/>
          </w:tcPr>
          <w:p w14:paraId="2BE645CD" w14:textId="2C2037CE" w:rsidR="00880797" w:rsidRPr="000D0B28" w:rsidRDefault="00880797" w:rsidP="00880797">
            <w:pPr>
              <w:pStyle w:val="TableText0"/>
              <w:keepNext w:val="0"/>
              <w:widowControl w:val="0"/>
              <w:jc w:val="center"/>
              <w:rPr>
                <w:highlight w:val="darkGray"/>
              </w:rPr>
            </w:pPr>
            <w:r w:rsidRPr="000D0B28">
              <w:rPr>
                <w:iCs/>
              </w:rPr>
              <w:t>$</w:t>
            </w:r>
            <w:r w:rsidR="00204469" w:rsidRPr="00204469">
              <w:rPr>
                <w:iCs/>
                <w:color w:val="000000"/>
                <w:spacing w:val="74"/>
                <w:shd w:val="solid" w:color="000000" w:fill="000000"/>
                <w:fitText w:val="160" w:id="-1437437936"/>
                <w14:textFill>
                  <w14:solidFill>
                    <w14:srgbClr w14:val="000000">
                      <w14:alpha w14:val="100000"/>
                    </w14:srgbClr>
                  </w14:solidFill>
                </w14:textFill>
              </w:rPr>
              <w:t>|</w:t>
            </w:r>
            <w:r w:rsidR="00204469" w:rsidRPr="00204469">
              <w:rPr>
                <w:iCs/>
                <w:color w:val="000000"/>
                <w:spacing w:val="1"/>
                <w:shd w:val="solid" w:color="000000" w:fill="000000"/>
                <w:fitText w:val="160" w:id="-1437437936"/>
                <w14:textFill>
                  <w14:solidFill>
                    <w14:srgbClr w14:val="000000">
                      <w14:alpha w14:val="100000"/>
                    </w14:srgbClr>
                  </w14:solidFill>
                </w14:textFill>
              </w:rPr>
              <w:t>|</w:t>
            </w:r>
            <w:r w:rsidR="009F7991" w:rsidRPr="009F7991">
              <w:rPr>
                <w:vertAlign w:val="superscript"/>
              </w:rPr>
              <w:t>3</w:t>
            </w:r>
          </w:p>
        </w:tc>
        <w:tc>
          <w:tcPr>
            <w:tcW w:w="992" w:type="dxa"/>
            <w:shd w:val="clear" w:color="auto" w:fill="auto"/>
            <w:vAlign w:val="center"/>
          </w:tcPr>
          <w:p w14:paraId="3C108497" w14:textId="132B4FF0" w:rsidR="00880797" w:rsidRPr="000D0B28" w:rsidRDefault="00880797" w:rsidP="00880797">
            <w:pPr>
              <w:pStyle w:val="TableText0"/>
              <w:keepNext w:val="0"/>
              <w:widowControl w:val="0"/>
              <w:jc w:val="center"/>
              <w:rPr>
                <w:highlight w:val="darkGray"/>
              </w:rPr>
            </w:pPr>
            <w:r w:rsidRPr="000D0B28">
              <w:rPr>
                <w:iCs/>
              </w:rPr>
              <w:t>$</w:t>
            </w:r>
            <w:r w:rsidR="00204469" w:rsidRPr="00204469">
              <w:rPr>
                <w:iCs/>
                <w:color w:val="000000"/>
                <w:spacing w:val="74"/>
                <w:shd w:val="solid" w:color="000000" w:fill="000000"/>
                <w:fitText w:val="160" w:id="-1437437952"/>
                <w14:textFill>
                  <w14:solidFill>
                    <w14:srgbClr w14:val="000000">
                      <w14:alpha w14:val="100000"/>
                    </w14:srgbClr>
                  </w14:solidFill>
                </w14:textFill>
              </w:rPr>
              <w:t>|</w:t>
            </w:r>
            <w:r w:rsidR="00204469" w:rsidRPr="00204469">
              <w:rPr>
                <w:iCs/>
                <w:color w:val="000000"/>
                <w:spacing w:val="1"/>
                <w:shd w:val="solid" w:color="000000" w:fill="000000"/>
                <w:fitText w:val="160" w:id="-1437437952"/>
                <w14:textFill>
                  <w14:solidFill>
                    <w14:srgbClr w14:val="000000">
                      <w14:alpha w14:val="100000"/>
                    </w14:srgbClr>
                  </w14:solidFill>
                </w14:textFill>
              </w:rPr>
              <w:t>|</w:t>
            </w:r>
            <w:r w:rsidR="009F7991" w:rsidRPr="009F7991">
              <w:rPr>
                <w:vertAlign w:val="superscript"/>
              </w:rPr>
              <w:t>3</w:t>
            </w:r>
          </w:p>
        </w:tc>
        <w:tc>
          <w:tcPr>
            <w:tcW w:w="993" w:type="dxa"/>
            <w:shd w:val="clear" w:color="auto" w:fill="auto"/>
            <w:vAlign w:val="center"/>
          </w:tcPr>
          <w:p w14:paraId="60BB7AC2" w14:textId="1F9FFC09" w:rsidR="00880797" w:rsidRPr="000D0B28" w:rsidRDefault="00880797" w:rsidP="00880797">
            <w:pPr>
              <w:pStyle w:val="TableText0"/>
              <w:keepNext w:val="0"/>
              <w:widowControl w:val="0"/>
              <w:jc w:val="center"/>
              <w:rPr>
                <w:highlight w:val="darkGray"/>
              </w:rPr>
            </w:pPr>
            <w:r w:rsidRPr="000D0B28">
              <w:rPr>
                <w:iCs/>
              </w:rPr>
              <w:t>$</w:t>
            </w:r>
            <w:r w:rsidR="00204469" w:rsidRPr="00204469">
              <w:rPr>
                <w:rFonts w:hint="eastAsia"/>
                <w:iCs/>
                <w:color w:val="000000"/>
                <w:w w:val="33"/>
                <w:shd w:val="solid" w:color="000000" w:fill="000000"/>
                <w:fitText w:val="150" w:id="-1437437951"/>
                <w14:textFill>
                  <w14:solidFill>
                    <w14:srgbClr w14:val="000000">
                      <w14:alpha w14:val="100000"/>
                    </w14:srgbClr>
                  </w14:solidFill>
                </w14:textFill>
              </w:rPr>
              <w:t xml:space="preserve">　</w:t>
            </w:r>
            <w:r w:rsidR="00204469" w:rsidRPr="00204469">
              <w:rPr>
                <w:iCs/>
                <w:color w:val="000000"/>
                <w:w w:val="33"/>
                <w:shd w:val="solid" w:color="000000" w:fill="000000"/>
                <w:fitText w:val="150" w:id="-1437437951"/>
                <w14:textFill>
                  <w14:solidFill>
                    <w14:srgbClr w14:val="000000">
                      <w14:alpha w14:val="100000"/>
                    </w14:srgbClr>
                  </w14:solidFill>
                </w14:textFill>
              </w:rPr>
              <w:t>|</w:t>
            </w:r>
            <w:r w:rsidR="00204469" w:rsidRPr="00204469">
              <w:rPr>
                <w:rFonts w:hint="eastAsia"/>
                <w:iCs/>
                <w:color w:val="000000"/>
                <w:spacing w:val="4"/>
                <w:w w:val="33"/>
                <w:shd w:val="solid" w:color="000000" w:fill="000000"/>
                <w:fitText w:val="150" w:id="-1437437951"/>
                <w14:textFill>
                  <w14:solidFill>
                    <w14:srgbClr w14:val="000000">
                      <w14:alpha w14:val="100000"/>
                    </w14:srgbClr>
                  </w14:solidFill>
                </w14:textFill>
              </w:rPr>
              <w:t xml:space="preserve">　</w:t>
            </w:r>
            <w:r w:rsidR="009F7991" w:rsidRPr="009F7991">
              <w:rPr>
                <w:vertAlign w:val="superscript"/>
              </w:rPr>
              <w:t>3</w:t>
            </w:r>
          </w:p>
        </w:tc>
        <w:tc>
          <w:tcPr>
            <w:tcW w:w="992" w:type="dxa"/>
            <w:shd w:val="clear" w:color="auto" w:fill="auto"/>
            <w:vAlign w:val="center"/>
          </w:tcPr>
          <w:p w14:paraId="13613F84" w14:textId="4469AEB7" w:rsidR="00880797" w:rsidRPr="000D0B28" w:rsidRDefault="00880797" w:rsidP="00880797">
            <w:pPr>
              <w:pStyle w:val="TableText0"/>
              <w:keepNext w:val="0"/>
              <w:widowControl w:val="0"/>
              <w:jc w:val="center"/>
              <w:rPr>
                <w:highlight w:val="darkGray"/>
              </w:rPr>
            </w:pPr>
            <w:r w:rsidRPr="000D0B28">
              <w:rPr>
                <w:iCs/>
              </w:rPr>
              <w:t>$</w:t>
            </w:r>
            <w:r w:rsidR="00204469" w:rsidRPr="00204469">
              <w:rPr>
                <w:iCs/>
                <w:color w:val="000000"/>
                <w:spacing w:val="74"/>
                <w:shd w:val="solid" w:color="000000" w:fill="000000"/>
                <w:fitText w:val="160" w:id="-1437437950"/>
                <w14:textFill>
                  <w14:solidFill>
                    <w14:srgbClr w14:val="000000">
                      <w14:alpha w14:val="100000"/>
                    </w14:srgbClr>
                  </w14:solidFill>
                </w14:textFill>
              </w:rPr>
              <w:t>|</w:t>
            </w:r>
            <w:r w:rsidR="00204469" w:rsidRPr="00204469">
              <w:rPr>
                <w:iCs/>
                <w:color w:val="000000"/>
                <w:spacing w:val="1"/>
                <w:shd w:val="solid" w:color="000000" w:fill="000000"/>
                <w:fitText w:val="160" w:id="-1437437950"/>
                <w14:textFill>
                  <w14:solidFill>
                    <w14:srgbClr w14:val="000000">
                      <w14:alpha w14:val="100000"/>
                    </w14:srgbClr>
                  </w14:solidFill>
                </w14:textFill>
              </w:rPr>
              <w:t>|</w:t>
            </w:r>
            <w:r w:rsidR="009F7991" w:rsidRPr="009F7991">
              <w:rPr>
                <w:vertAlign w:val="superscript"/>
              </w:rPr>
              <w:t>3</w:t>
            </w:r>
          </w:p>
        </w:tc>
      </w:tr>
      <w:tr w:rsidR="00104426" w:rsidRPr="0040247D" w14:paraId="6A0516EA" w14:textId="77777777" w:rsidTr="005007F7">
        <w:tc>
          <w:tcPr>
            <w:tcW w:w="8784" w:type="dxa"/>
            <w:gridSpan w:val="7"/>
            <w:shd w:val="clear" w:color="auto" w:fill="auto"/>
            <w:vAlign w:val="center"/>
          </w:tcPr>
          <w:p w14:paraId="0AC95D18" w14:textId="1B9F09F9" w:rsidR="00104426" w:rsidRPr="00104426" w:rsidRDefault="00104426" w:rsidP="00104426">
            <w:pPr>
              <w:pStyle w:val="TableText0"/>
              <w:keepNext w:val="0"/>
              <w:widowControl w:val="0"/>
              <w:rPr>
                <w:b/>
                <w:bCs w:val="0"/>
              </w:rPr>
            </w:pPr>
            <w:r w:rsidRPr="00104426">
              <w:rPr>
                <w:b/>
                <w:bCs w:val="0"/>
              </w:rPr>
              <w:t xml:space="preserve">Net </w:t>
            </w:r>
            <w:r>
              <w:rPr>
                <w:b/>
                <w:bCs w:val="0"/>
              </w:rPr>
              <w:t xml:space="preserve">financial impact </w:t>
            </w:r>
          </w:p>
        </w:tc>
      </w:tr>
      <w:tr w:rsidR="00104426" w:rsidRPr="0040247D" w14:paraId="51E05FE4" w14:textId="77777777" w:rsidTr="009F7991">
        <w:tc>
          <w:tcPr>
            <w:tcW w:w="2830" w:type="dxa"/>
            <w:shd w:val="clear" w:color="auto" w:fill="auto"/>
            <w:vAlign w:val="center"/>
          </w:tcPr>
          <w:p w14:paraId="7B9EFD1F" w14:textId="01F4180A" w:rsidR="00104426" w:rsidRPr="00104426" w:rsidRDefault="00104426" w:rsidP="00104426">
            <w:pPr>
              <w:pStyle w:val="TableText0"/>
              <w:keepNext w:val="0"/>
              <w:widowControl w:val="0"/>
            </w:pPr>
            <w:r>
              <w:t>Net cost PBS/RPBS</w:t>
            </w:r>
          </w:p>
        </w:tc>
        <w:tc>
          <w:tcPr>
            <w:tcW w:w="993" w:type="dxa"/>
            <w:shd w:val="clear" w:color="auto" w:fill="auto"/>
          </w:tcPr>
          <w:p w14:paraId="1D6187F3" w14:textId="67E48C65" w:rsidR="00104426" w:rsidRPr="000D0B28" w:rsidRDefault="00104426" w:rsidP="00104426">
            <w:pPr>
              <w:pStyle w:val="TableText0"/>
              <w:keepNext w:val="0"/>
              <w:widowControl w:val="0"/>
              <w:jc w:val="center"/>
              <w:rPr>
                <w:i/>
                <w:iCs/>
                <w:highlight w:val="darkGray"/>
              </w:rPr>
            </w:pPr>
            <w:r w:rsidRPr="000D0B28">
              <w:t>-$</w:t>
            </w:r>
            <w:r w:rsidR="00204469" w:rsidRPr="00204469">
              <w:rPr>
                <w:color w:val="000000"/>
                <w:spacing w:val="94"/>
                <w:shd w:val="solid" w:color="000000" w:fill="000000"/>
                <w:fitText w:val="180" w:id="-1437437949"/>
                <w14:textFill>
                  <w14:solidFill>
                    <w14:srgbClr w14:val="000000">
                      <w14:alpha w14:val="100000"/>
                    </w14:srgbClr>
                  </w14:solidFill>
                </w14:textFill>
              </w:rPr>
              <w:t>|</w:t>
            </w:r>
            <w:r w:rsidR="00204469" w:rsidRPr="00204469">
              <w:rPr>
                <w:color w:val="000000"/>
                <w:spacing w:val="1"/>
                <w:shd w:val="solid" w:color="000000" w:fill="000000"/>
                <w:fitText w:val="180" w:id="-1437437949"/>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41A92827" w14:textId="52F23242" w:rsidR="00104426" w:rsidRPr="000D0B28" w:rsidRDefault="00104426" w:rsidP="00104426">
            <w:pPr>
              <w:pStyle w:val="TableText0"/>
              <w:keepNext w:val="0"/>
              <w:widowControl w:val="0"/>
              <w:jc w:val="center"/>
              <w:rPr>
                <w:i/>
                <w:iCs/>
                <w:highlight w:val="darkGray"/>
              </w:rPr>
            </w:pPr>
            <w:r w:rsidRPr="000D0B28">
              <w:t>-$</w:t>
            </w:r>
            <w:r w:rsidR="00204469" w:rsidRPr="00204469">
              <w:rPr>
                <w:color w:val="000000"/>
                <w:spacing w:val="94"/>
                <w:shd w:val="solid" w:color="000000" w:fill="000000"/>
                <w:fitText w:val="180" w:id="-1437437696"/>
                <w14:textFill>
                  <w14:solidFill>
                    <w14:srgbClr w14:val="000000">
                      <w14:alpha w14:val="100000"/>
                    </w14:srgbClr>
                  </w14:solidFill>
                </w14:textFill>
              </w:rPr>
              <w:t>|</w:t>
            </w:r>
            <w:r w:rsidR="00204469" w:rsidRPr="00204469">
              <w:rPr>
                <w:color w:val="000000"/>
                <w:spacing w:val="1"/>
                <w:shd w:val="solid" w:color="000000" w:fill="000000"/>
                <w:fitText w:val="180" w:id="-1437437696"/>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117646D3" w14:textId="3B94E3FD" w:rsidR="00104426" w:rsidRPr="000D0B28" w:rsidRDefault="00104426" w:rsidP="00104426">
            <w:pPr>
              <w:pStyle w:val="TableText0"/>
              <w:keepNext w:val="0"/>
              <w:widowControl w:val="0"/>
              <w:jc w:val="center"/>
              <w:rPr>
                <w:i/>
                <w:iCs/>
                <w:highlight w:val="darkGray"/>
              </w:rPr>
            </w:pPr>
            <w:r w:rsidRPr="000D0B28">
              <w:t>-$</w:t>
            </w:r>
            <w:r w:rsidR="00204469" w:rsidRPr="00204469">
              <w:rPr>
                <w:color w:val="000000"/>
                <w:spacing w:val="94"/>
                <w:shd w:val="solid" w:color="000000" w:fill="000000"/>
                <w:fitText w:val="180" w:id="-1437437695"/>
                <w14:textFill>
                  <w14:solidFill>
                    <w14:srgbClr w14:val="000000">
                      <w14:alpha w14:val="100000"/>
                    </w14:srgbClr>
                  </w14:solidFill>
                </w14:textFill>
              </w:rPr>
              <w:t>|</w:t>
            </w:r>
            <w:r w:rsidR="00204469" w:rsidRPr="00204469">
              <w:rPr>
                <w:color w:val="000000"/>
                <w:spacing w:val="1"/>
                <w:shd w:val="solid" w:color="000000" w:fill="000000"/>
                <w:fitText w:val="180" w:id="-1437437695"/>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0187BA4A" w14:textId="1A50AAD6" w:rsidR="00104426" w:rsidRPr="000D0B28" w:rsidRDefault="00104426" w:rsidP="00104426">
            <w:pPr>
              <w:pStyle w:val="TableText0"/>
              <w:keepNext w:val="0"/>
              <w:widowControl w:val="0"/>
              <w:jc w:val="center"/>
              <w:rPr>
                <w:i/>
                <w:iCs/>
                <w:highlight w:val="darkGray"/>
              </w:rPr>
            </w:pPr>
            <w:r w:rsidRPr="000D0B28">
              <w:t>-$</w:t>
            </w:r>
            <w:r w:rsidR="00204469" w:rsidRPr="00204469">
              <w:rPr>
                <w:color w:val="000000"/>
                <w:spacing w:val="94"/>
                <w:shd w:val="solid" w:color="000000" w:fill="000000"/>
                <w:fitText w:val="180" w:id="-1437437694"/>
                <w14:textFill>
                  <w14:solidFill>
                    <w14:srgbClr w14:val="000000">
                      <w14:alpha w14:val="100000"/>
                    </w14:srgbClr>
                  </w14:solidFill>
                </w14:textFill>
              </w:rPr>
              <w:t>|</w:t>
            </w:r>
            <w:r w:rsidR="00204469" w:rsidRPr="00204469">
              <w:rPr>
                <w:color w:val="000000"/>
                <w:spacing w:val="1"/>
                <w:shd w:val="solid" w:color="000000" w:fill="000000"/>
                <w:fitText w:val="180" w:id="-1437437694"/>
                <w14:textFill>
                  <w14:solidFill>
                    <w14:srgbClr w14:val="000000">
                      <w14:alpha w14:val="100000"/>
                    </w14:srgbClr>
                  </w14:solidFill>
                </w14:textFill>
              </w:rPr>
              <w:t>|</w:t>
            </w:r>
            <w:r w:rsidR="009F7991" w:rsidRPr="009F7991">
              <w:rPr>
                <w:vertAlign w:val="superscript"/>
              </w:rPr>
              <w:t>3</w:t>
            </w:r>
          </w:p>
        </w:tc>
        <w:tc>
          <w:tcPr>
            <w:tcW w:w="993" w:type="dxa"/>
            <w:shd w:val="clear" w:color="auto" w:fill="auto"/>
          </w:tcPr>
          <w:p w14:paraId="4F024DBF" w14:textId="2FB89A3A" w:rsidR="00104426" w:rsidRPr="000D0B28" w:rsidRDefault="00104426" w:rsidP="00104426">
            <w:pPr>
              <w:pStyle w:val="TableText0"/>
              <w:keepNext w:val="0"/>
              <w:widowControl w:val="0"/>
              <w:jc w:val="center"/>
              <w:rPr>
                <w:i/>
                <w:iCs/>
                <w:highlight w:val="darkGray"/>
              </w:rPr>
            </w:pPr>
            <w:r w:rsidRPr="000D0B28">
              <w:t>-$</w:t>
            </w:r>
            <w:r w:rsidR="00204469" w:rsidRPr="00204469">
              <w:rPr>
                <w:color w:val="000000"/>
                <w:spacing w:val="94"/>
                <w:shd w:val="solid" w:color="000000" w:fill="000000"/>
                <w:fitText w:val="180" w:id="-1437437693"/>
                <w14:textFill>
                  <w14:solidFill>
                    <w14:srgbClr w14:val="000000">
                      <w14:alpha w14:val="100000"/>
                    </w14:srgbClr>
                  </w14:solidFill>
                </w14:textFill>
              </w:rPr>
              <w:t>|</w:t>
            </w:r>
            <w:r w:rsidR="00204469" w:rsidRPr="00204469">
              <w:rPr>
                <w:color w:val="000000"/>
                <w:spacing w:val="1"/>
                <w:shd w:val="solid" w:color="000000" w:fill="000000"/>
                <w:fitText w:val="180" w:id="-1437437693"/>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266D8051" w14:textId="3DEBE3AE" w:rsidR="00104426" w:rsidRPr="000D0B28" w:rsidRDefault="00104426" w:rsidP="00104426">
            <w:pPr>
              <w:pStyle w:val="TableText0"/>
              <w:keepNext w:val="0"/>
              <w:widowControl w:val="0"/>
              <w:jc w:val="center"/>
              <w:rPr>
                <w:i/>
                <w:iCs/>
                <w:highlight w:val="darkGray"/>
              </w:rPr>
            </w:pPr>
            <w:r w:rsidRPr="000D0B28">
              <w:t>-$</w:t>
            </w:r>
            <w:r w:rsidR="00204469" w:rsidRPr="00204469">
              <w:rPr>
                <w:color w:val="000000"/>
                <w:spacing w:val="94"/>
                <w:shd w:val="solid" w:color="000000" w:fill="000000"/>
                <w:fitText w:val="180" w:id="-1437437692"/>
                <w14:textFill>
                  <w14:solidFill>
                    <w14:srgbClr w14:val="000000">
                      <w14:alpha w14:val="100000"/>
                    </w14:srgbClr>
                  </w14:solidFill>
                </w14:textFill>
              </w:rPr>
              <w:t>|</w:t>
            </w:r>
            <w:r w:rsidR="00204469" w:rsidRPr="00204469">
              <w:rPr>
                <w:color w:val="000000"/>
                <w:spacing w:val="1"/>
                <w:shd w:val="solid" w:color="000000" w:fill="000000"/>
                <w:fitText w:val="180" w:id="-1437437692"/>
                <w14:textFill>
                  <w14:solidFill>
                    <w14:srgbClr w14:val="000000">
                      <w14:alpha w14:val="100000"/>
                    </w14:srgbClr>
                  </w14:solidFill>
                </w14:textFill>
              </w:rPr>
              <w:t>|</w:t>
            </w:r>
            <w:r w:rsidR="009F7991" w:rsidRPr="009F7991">
              <w:rPr>
                <w:vertAlign w:val="superscript"/>
              </w:rPr>
              <w:t>3</w:t>
            </w:r>
          </w:p>
        </w:tc>
      </w:tr>
      <w:tr w:rsidR="00104426" w:rsidRPr="00DB490D" w14:paraId="3275119C" w14:textId="77777777" w:rsidTr="009F7991">
        <w:tc>
          <w:tcPr>
            <w:tcW w:w="2830" w:type="dxa"/>
            <w:shd w:val="clear" w:color="auto" w:fill="auto"/>
            <w:vAlign w:val="center"/>
          </w:tcPr>
          <w:p w14:paraId="00008E99" w14:textId="4DAFE4F6" w:rsidR="00104426" w:rsidRPr="00DB490D" w:rsidRDefault="00104426" w:rsidP="00104426">
            <w:pPr>
              <w:pStyle w:val="TableText0"/>
              <w:keepNext w:val="0"/>
              <w:widowControl w:val="0"/>
              <w:ind w:left="720"/>
              <w:rPr>
                <w:iCs/>
              </w:rPr>
            </w:pPr>
            <w:r w:rsidRPr="00DB490D">
              <w:rPr>
                <w:iCs/>
              </w:rPr>
              <w:t>Corrected</w:t>
            </w:r>
          </w:p>
        </w:tc>
        <w:tc>
          <w:tcPr>
            <w:tcW w:w="993" w:type="dxa"/>
            <w:shd w:val="clear" w:color="auto" w:fill="auto"/>
          </w:tcPr>
          <w:p w14:paraId="306B2DD8" w14:textId="61B58901" w:rsidR="00104426" w:rsidRPr="000D0B28" w:rsidRDefault="00104426" w:rsidP="00104426">
            <w:pPr>
              <w:pStyle w:val="TableText0"/>
              <w:keepNext w:val="0"/>
              <w:widowControl w:val="0"/>
              <w:jc w:val="center"/>
              <w:rPr>
                <w:iCs/>
                <w:highlight w:val="darkGray"/>
              </w:rPr>
            </w:pPr>
            <w:r w:rsidRPr="000D0B28">
              <w:rPr>
                <w:iCs/>
              </w:rPr>
              <w:t>-$</w:t>
            </w:r>
            <w:r w:rsidR="00204469" w:rsidRPr="00204469">
              <w:rPr>
                <w:iCs/>
                <w:color w:val="000000"/>
                <w:spacing w:val="94"/>
                <w:shd w:val="solid" w:color="000000" w:fill="000000"/>
                <w:fitText w:val="180" w:id="-1437437691"/>
                <w14:textFill>
                  <w14:solidFill>
                    <w14:srgbClr w14:val="000000">
                      <w14:alpha w14:val="100000"/>
                    </w14:srgbClr>
                  </w14:solidFill>
                </w14:textFill>
              </w:rPr>
              <w:t>|</w:t>
            </w:r>
            <w:r w:rsidR="00204469" w:rsidRPr="00204469">
              <w:rPr>
                <w:iCs/>
                <w:color w:val="000000"/>
                <w:spacing w:val="1"/>
                <w:shd w:val="solid" w:color="000000" w:fill="000000"/>
                <w:fitText w:val="180" w:id="-1437437691"/>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1ACA7C08" w14:textId="2542A45C" w:rsidR="00104426" w:rsidRPr="000D0B28" w:rsidRDefault="00104426" w:rsidP="00104426">
            <w:pPr>
              <w:pStyle w:val="TableText0"/>
              <w:keepNext w:val="0"/>
              <w:widowControl w:val="0"/>
              <w:jc w:val="center"/>
              <w:rPr>
                <w:iCs/>
                <w:highlight w:val="darkGray"/>
              </w:rPr>
            </w:pPr>
            <w:r w:rsidRPr="000D0B28">
              <w:rPr>
                <w:iCs/>
              </w:rPr>
              <w:t>-$</w:t>
            </w:r>
            <w:r w:rsidR="00204469" w:rsidRPr="00204469">
              <w:rPr>
                <w:iCs/>
                <w:color w:val="000000"/>
                <w:spacing w:val="94"/>
                <w:shd w:val="solid" w:color="000000" w:fill="000000"/>
                <w:fitText w:val="180" w:id="-1437437690"/>
                <w14:textFill>
                  <w14:solidFill>
                    <w14:srgbClr w14:val="000000">
                      <w14:alpha w14:val="100000"/>
                    </w14:srgbClr>
                  </w14:solidFill>
                </w14:textFill>
              </w:rPr>
              <w:t>|</w:t>
            </w:r>
            <w:r w:rsidR="00204469" w:rsidRPr="00204469">
              <w:rPr>
                <w:iCs/>
                <w:color w:val="000000"/>
                <w:spacing w:val="1"/>
                <w:shd w:val="solid" w:color="000000" w:fill="000000"/>
                <w:fitText w:val="180" w:id="-1437437690"/>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650507E2" w14:textId="546575D7" w:rsidR="00104426" w:rsidRPr="000D0B28" w:rsidRDefault="00104426" w:rsidP="00104426">
            <w:pPr>
              <w:pStyle w:val="TableText0"/>
              <w:keepNext w:val="0"/>
              <w:widowControl w:val="0"/>
              <w:jc w:val="center"/>
              <w:rPr>
                <w:iCs/>
                <w:highlight w:val="darkGray"/>
              </w:rPr>
            </w:pPr>
            <w:r w:rsidRPr="000D0B28">
              <w:rPr>
                <w:iCs/>
              </w:rPr>
              <w:t>-$</w:t>
            </w:r>
            <w:r w:rsidR="00204469" w:rsidRPr="00204469">
              <w:rPr>
                <w:iCs/>
                <w:color w:val="000000"/>
                <w:spacing w:val="94"/>
                <w:shd w:val="solid" w:color="000000" w:fill="000000"/>
                <w:fitText w:val="180" w:id="-1437437689"/>
                <w14:textFill>
                  <w14:solidFill>
                    <w14:srgbClr w14:val="000000">
                      <w14:alpha w14:val="100000"/>
                    </w14:srgbClr>
                  </w14:solidFill>
                </w14:textFill>
              </w:rPr>
              <w:t>|</w:t>
            </w:r>
            <w:r w:rsidR="00204469" w:rsidRPr="00204469">
              <w:rPr>
                <w:iCs/>
                <w:color w:val="000000"/>
                <w:spacing w:val="1"/>
                <w:shd w:val="solid" w:color="000000" w:fill="000000"/>
                <w:fitText w:val="180" w:id="-1437437689"/>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0D0C6629" w14:textId="00C1992B" w:rsidR="00104426" w:rsidRPr="000D0B28" w:rsidRDefault="00104426" w:rsidP="00104426">
            <w:pPr>
              <w:pStyle w:val="TableText0"/>
              <w:keepNext w:val="0"/>
              <w:widowControl w:val="0"/>
              <w:jc w:val="center"/>
              <w:rPr>
                <w:iCs/>
                <w:highlight w:val="darkGray"/>
              </w:rPr>
            </w:pPr>
            <w:r w:rsidRPr="000D0B28">
              <w:rPr>
                <w:iCs/>
              </w:rPr>
              <w:t>-$</w:t>
            </w:r>
            <w:r w:rsidR="00204469" w:rsidRPr="00204469">
              <w:rPr>
                <w:iCs/>
                <w:color w:val="000000"/>
                <w:spacing w:val="94"/>
                <w:shd w:val="solid" w:color="000000" w:fill="000000"/>
                <w:fitText w:val="180" w:id="-1437437688"/>
                <w14:textFill>
                  <w14:solidFill>
                    <w14:srgbClr w14:val="000000">
                      <w14:alpha w14:val="100000"/>
                    </w14:srgbClr>
                  </w14:solidFill>
                </w14:textFill>
              </w:rPr>
              <w:t>|</w:t>
            </w:r>
            <w:r w:rsidR="00204469" w:rsidRPr="00204469">
              <w:rPr>
                <w:iCs/>
                <w:color w:val="000000"/>
                <w:spacing w:val="1"/>
                <w:shd w:val="solid" w:color="000000" w:fill="000000"/>
                <w:fitText w:val="180" w:id="-1437437688"/>
                <w14:textFill>
                  <w14:solidFill>
                    <w14:srgbClr w14:val="000000">
                      <w14:alpha w14:val="100000"/>
                    </w14:srgbClr>
                  </w14:solidFill>
                </w14:textFill>
              </w:rPr>
              <w:t>|</w:t>
            </w:r>
            <w:r w:rsidR="009F7991" w:rsidRPr="009F7991">
              <w:rPr>
                <w:vertAlign w:val="superscript"/>
              </w:rPr>
              <w:t>3</w:t>
            </w:r>
          </w:p>
        </w:tc>
        <w:tc>
          <w:tcPr>
            <w:tcW w:w="993" w:type="dxa"/>
            <w:shd w:val="clear" w:color="auto" w:fill="auto"/>
          </w:tcPr>
          <w:p w14:paraId="2FB7EC71" w14:textId="52E1C4D5" w:rsidR="00104426" w:rsidRPr="000D0B28" w:rsidRDefault="00104426" w:rsidP="00104426">
            <w:pPr>
              <w:pStyle w:val="TableText0"/>
              <w:keepNext w:val="0"/>
              <w:widowControl w:val="0"/>
              <w:jc w:val="center"/>
              <w:rPr>
                <w:iCs/>
                <w:highlight w:val="darkGray"/>
              </w:rPr>
            </w:pPr>
            <w:r w:rsidRPr="000D0B28">
              <w:rPr>
                <w:iCs/>
              </w:rPr>
              <w:t>-$</w:t>
            </w:r>
            <w:r w:rsidR="00204469" w:rsidRPr="00204469">
              <w:rPr>
                <w:iCs/>
                <w:color w:val="000000"/>
                <w:spacing w:val="94"/>
                <w:shd w:val="solid" w:color="000000" w:fill="000000"/>
                <w:fitText w:val="180" w:id="-1437437687"/>
                <w14:textFill>
                  <w14:solidFill>
                    <w14:srgbClr w14:val="000000">
                      <w14:alpha w14:val="100000"/>
                    </w14:srgbClr>
                  </w14:solidFill>
                </w14:textFill>
              </w:rPr>
              <w:t>|</w:t>
            </w:r>
            <w:r w:rsidR="00204469" w:rsidRPr="00204469">
              <w:rPr>
                <w:iCs/>
                <w:color w:val="000000"/>
                <w:spacing w:val="1"/>
                <w:shd w:val="solid" w:color="000000" w:fill="000000"/>
                <w:fitText w:val="180" w:id="-1437437687"/>
                <w14:textFill>
                  <w14:solidFill>
                    <w14:srgbClr w14:val="000000">
                      <w14:alpha w14:val="100000"/>
                    </w14:srgbClr>
                  </w14:solidFill>
                </w14:textFill>
              </w:rPr>
              <w:t>|</w:t>
            </w:r>
            <w:r w:rsidR="009F7991" w:rsidRPr="009F7991">
              <w:rPr>
                <w:vertAlign w:val="superscript"/>
              </w:rPr>
              <w:t>3</w:t>
            </w:r>
          </w:p>
        </w:tc>
        <w:tc>
          <w:tcPr>
            <w:tcW w:w="992" w:type="dxa"/>
            <w:shd w:val="clear" w:color="auto" w:fill="auto"/>
          </w:tcPr>
          <w:p w14:paraId="3DF671B5" w14:textId="65DE8764" w:rsidR="00104426" w:rsidRPr="000D0B28" w:rsidRDefault="00104426" w:rsidP="00104426">
            <w:pPr>
              <w:pStyle w:val="TableText0"/>
              <w:keepNext w:val="0"/>
              <w:widowControl w:val="0"/>
              <w:jc w:val="center"/>
              <w:rPr>
                <w:iCs/>
                <w:highlight w:val="darkGray"/>
              </w:rPr>
            </w:pPr>
            <w:r w:rsidRPr="000D0B28">
              <w:rPr>
                <w:iCs/>
              </w:rPr>
              <w:t>-$</w:t>
            </w:r>
            <w:r w:rsidR="00204469" w:rsidRPr="00204469">
              <w:rPr>
                <w:iCs/>
                <w:color w:val="000000"/>
                <w:spacing w:val="94"/>
                <w:shd w:val="solid" w:color="000000" w:fill="000000"/>
                <w:fitText w:val="180" w:id="-1437437686"/>
                <w14:textFill>
                  <w14:solidFill>
                    <w14:srgbClr w14:val="000000">
                      <w14:alpha w14:val="100000"/>
                    </w14:srgbClr>
                  </w14:solidFill>
                </w14:textFill>
              </w:rPr>
              <w:t>|</w:t>
            </w:r>
            <w:r w:rsidR="00204469" w:rsidRPr="00204469">
              <w:rPr>
                <w:iCs/>
                <w:color w:val="000000"/>
                <w:spacing w:val="1"/>
                <w:shd w:val="solid" w:color="000000" w:fill="000000"/>
                <w:fitText w:val="180" w:id="-1437437686"/>
                <w14:textFill>
                  <w14:solidFill>
                    <w14:srgbClr w14:val="000000">
                      <w14:alpha w14:val="100000"/>
                    </w14:srgbClr>
                  </w14:solidFill>
                </w14:textFill>
              </w:rPr>
              <w:t>|</w:t>
            </w:r>
            <w:r w:rsidR="009F7991" w:rsidRPr="009F7991">
              <w:rPr>
                <w:vertAlign w:val="superscript"/>
              </w:rPr>
              <w:t>3</w:t>
            </w:r>
          </w:p>
        </w:tc>
      </w:tr>
    </w:tbl>
    <w:p w14:paraId="3A684F06" w14:textId="6E8F70DC" w:rsidR="00992299" w:rsidRDefault="00476206" w:rsidP="00DC0CB4">
      <w:pPr>
        <w:pStyle w:val="TableFigureFooter"/>
        <w:widowControl w:val="0"/>
        <w:rPr>
          <w:iCs/>
        </w:rPr>
      </w:pPr>
      <w:r w:rsidRPr="0040247D">
        <w:t>Source Table 4-6, p110 of the submission; Financial estimate spreadsheet of submission, ‘</w:t>
      </w:r>
      <w:proofErr w:type="spellStart"/>
      <w:r w:rsidRPr="0040247D">
        <w:t>Eligard</w:t>
      </w:r>
      <w:proofErr w:type="spellEnd"/>
      <w:r w:rsidRPr="0040247D">
        <w:t xml:space="preserve"> - Leuprorelin - CPP - Financial Estimates - Base Case - 28 Feb 2022’ </w:t>
      </w:r>
      <w:r w:rsidRPr="00DB490D">
        <w:rPr>
          <w:iCs/>
        </w:rPr>
        <w:t>and during the evaluation</w:t>
      </w:r>
      <w:r w:rsidR="00880797" w:rsidRPr="00DB490D">
        <w:rPr>
          <w:iCs/>
        </w:rPr>
        <w:t xml:space="preserve">, with calculation errors corrected and updated </w:t>
      </w:r>
      <w:proofErr w:type="spellStart"/>
      <w:r w:rsidR="00880797" w:rsidRPr="00DB490D">
        <w:rPr>
          <w:iCs/>
        </w:rPr>
        <w:t>Lucrin</w:t>
      </w:r>
      <w:proofErr w:type="spellEnd"/>
      <w:r w:rsidR="00880797" w:rsidRPr="00DB490D">
        <w:rPr>
          <w:iCs/>
        </w:rPr>
        <w:t xml:space="preserve"> Paediatric price </w:t>
      </w:r>
    </w:p>
    <w:p w14:paraId="4C75E110" w14:textId="77777777" w:rsidR="009F7991" w:rsidRPr="001A6290" w:rsidRDefault="009F7991" w:rsidP="009F7991">
      <w:pPr>
        <w:pStyle w:val="TableFigureFooter"/>
        <w:keepNext/>
        <w:spacing w:after="0"/>
        <w:contextualSpacing w:val="0"/>
        <w:rPr>
          <w:i/>
        </w:rPr>
      </w:pPr>
      <w:bookmarkStart w:id="40" w:name="_Hlk112839435"/>
      <w:r w:rsidRPr="001A6290">
        <w:rPr>
          <w:i/>
        </w:rPr>
        <w:t>The redacted values correspond to the following ranges:</w:t>
      </w:r>
    </w:p>
    <w:bookmarkEnd w:id="40"/>
    <w:p w14:paraId="614810CE" w14:textId="7003E5F8" w:rsidR="009F7991" w:rsidRPr="00281DAB" w:rsidRDefault="009F7991" w:rsidP="009F7991">
      <w:pPr>
        <w:pStyle w:val="TableFigureFooter"/>
        <w:keepNext/>
        <w:spacing w:after="0"/>
        <w:contextualSpacing w:val="0"/>
      </w:pPr>
      <w:r w:rsidRPr="001A6290">
        <w:rPr>
          <w:i/>
          <w:szCs w:val="18"/>
          <w:vertAlign w:val="superscript"/>
        </w:rPr>
        <w:t>1</w:t>
      </w:r>
      <w:r w:rsidRPr="001A6290">
        <w:rPr>
          <w:i/>
          <w:szCs w:val="18"/>
        </w:rPr>
        <w:t xml:space="preserve"> &lt;500</w:t>
      </w:r>
    </w:p>
    <w:p w14:paraId="24B9A18E" w14:textId="543B5E65" w:rsidR="009F7991" w:rsidRPr="001A6290" w:rsidRDefault="009F7991" w:rsidP="009F7991">
      <w:pPr>
        <w:rPr>
          <w:rFonts w:ascii="Arial Narrow" w:hAnsi="Arial Narrow"/>
          <w:i/>
          <w:sz w:val="18"/>
          <w:szCs w:val="18"/>
        </w:rPr>
      </w:pPr>
      <w:r w:rsidRPr="001A6290">
        <w:rPr>
          <w:rFonts w:ascii="Arial Narrow" w:hAnsi="Arial Narrow"/>
          <w:i/>
          <w:sz w:val="18"/>
          <w:szCs w:val="18"/>
          <w:vertAlign w:val="superscript"/>
        </w:rPr>
        <w:t>2</w:t>
      </w:r>
      <w:r w:rsidRPr="001A6290">
        <w:rPr>
          <w:rFonts w:ascii="Arial Narrow" w:hAnsi="Arial Narrow"/>
          <w:i/>
          <w:sz w:val="18"/>
          <w:szCs w:val="18"/>
        </w:rPr>
        <w:t xml:space="preserve"> </w:t>
      </w:r>
      <w:r w:rsidRPr="009F7991">
        <w:rPr>
          <w:rFonts w:ascii="Arial Narrow" w:hAnsi="Arial Narrow"/>
          <w:i/>
          <w:sz w:val="18"/>
          <w:szCs w:val="18"/>
        </w:rPr>
        <w:t>500 &lt;5,000</w:t>
      </w:r>
    </w:p>
    <w:p w14:paraId="0FE98BA8" w14:textId="2A7F5BCE" w:rsidR="009F7991" w:rsidRDefault="009F7991" w:rsidP="009F7991">
      <w:pPr>
        <w:rPr>
          <w:rFonts w:ascii="Arial Narrow" w:hAnsi="Arial Narrow"/>
          <w:i/>
          <w:sz w:val="18"/>
          <w:szCs w:val="18"/>
        </w:rPr>
      </w:pPr>
      <w:r w:rsidRPr="001A6290">
        <w:rPr>
          <w:rFonts w:ascii="Arial Narrow" w:hAnsi="Arial Narrow"/>
          <w:i/>
          <w:sz w:val="18"/>
          <w:szCs w:val="18"/>
          <w:vertAlign w:val="superscript"/>
        </w:rPr>
        <w:t xml:space="preserve">3 </w:t>
      </w:r>
      <w:r w:rsidR="00F9250F" w:rsidRPr="00F9250F">
        <w:rPr>
          <w:rFonts w:ascii="Arial Narrow" w:hAnsi="Arial Narrow"/>
          <w:i/>
          <w:sz w:val="18"/>
          <w:szCs w:val="18"/>
        </w:rPr>
        <w:t>$0 to &lt; $10 million</w:t>
      </w:r>
    </w:p>
    <w:p w14:paraId="3A47BCB8" w14:textId="77777777" w:rsidR="009F7991" w:rsidRPr="009F7991" w:rsidRDefault="009F7991" w:rsidP="009F7991">
      <w:pPr>
        <w:rPr>
          <w:rFonts w:ascii="Arial Narrow" w:hAnsi="Arial Narrow"/>
          <w:i/>
          <w:sz w:val="18"/>
          <w:szCs w:val="18"/>
        </w:rPr>
      </w:pPr>
    </w:p>
    <w:p w14:paraId="4D5C3267" w14:textId="65C4A3C6" w:rsidR="00167156" w:rsidRPr="00DB490D" w:rsidRDefault="00167156" w:rsidP="0055154C">
      <w:pPr>
        <w:pStyle w:val="3-BodyText"/>
        <w:widowControl w:val="0"/>
        <w:ind w:left="709"/>
        <w:rPr>
          <w:iCs/>
        </w:rPr>
      </w:pPr>
      <w:r w:rsidRPr="0040247D">
        <w:t xml:space="preserve">The </w:t>
      </w:r>
      <w:r w:rsidR="00A17688" w:rsidRPr="0040247D">
        <w:t xml:space="preserve">cost </w:t>
      </w:r>
      <w:r w:rsidRPr="0040247D">
        <w:t xml:space="preserve">to the PBS/RPBS of listing </w:t>
      </w:r>
      <w:proofErr w:type="spellStart"/>
      <w:r w:rsidR="00A17688" w:rsidRPr="0040247D">
        <w:t>Eligard</w:t>
      </w:r>
      <w:proofErr w:type="spellEnd"/>
      <w:r w:rsidR="00A17688" w:rsidRPr="0040247D">
        <w:t xml:space="preserve"> </w:t>
      </w:r>
      <w:r w:rsidR="00F166AF" w:rsidRPr="0040247D">
        <w:t xml:space="preserve">6 month </w:t>
      </w:r>
      <w:r w:rsidRPr="0040247D">
        <w:t xml:space="preserve">was estimated </w:t>
      </w:r>
      <w:r w:rsidR="00A17688" w:rsidRPr="0040247D">
        <w:t xml:space="preserve">by the submission </w:t>
      </w:r>
      <w:r w:rsidRPr="0040247D">
        <w:t xml:space="preserve">to be </w:t>
      </w:r>
      <w:r w:rsidR="00F30A32" w:rsidRPr="00F30A32">
        <w:t>$0 to &lt; $10 million</w:t>
      </w:r>
      <w:r w:rsidR="00A17688" w:rsidRPr="0040247D">
        <w:t xml:space="preserve"> </w:t>
      </w:r>
      <w:r w:rsidRPr="0040247D">
        <w:t xml:space="preserve">in Year 6, and a total of </w:t>
      </w:r>
      <w:r w:rsidR="00F30A32" w:rsidRPr="00F30A32">
        <w:t>$0 to &lt; $10 million</w:t>
      </w:r>
      <w:r w:rsidR="009746DD" w:rsidRPr="0040247D">
        <w:t xml:space="preserve"> </w:t>
      </w:r>
      <w:r w:rsidRPr="0040247D">
        <w:t xml:space="preserve">in the first 6 years of listing. </w:t>
      </w:r>
      <w:r w:rsidR="009746DD" w:rsidRPr="0040247D">
        <w:t xml:space="preserve">This </w:t>
      </w:r>
      <w:r w:rsidR="00DC0CB4">
        <w:t xml:space="preserve">would </w:t>
      </w:r>
      <w:r w:rsidR="009746DD" w:rsidRPr="0040247D">
        <w:t xml:space="preserve">result in </w:t>
      </w:r>
      <w:r w:rsidRPr="0040247D">
        <w:t xml:space="preserve">a net cost saving of </w:t>
      </w:r>
      <w:r w:rsidR="00F30A32" w:rsidRPr="00F30A32">
        <w:t>$0 to &lt; $10 million</w:t>
      </w:r>
      <w:r w:rsidR="00A17688" w:rsidRPr="0040247D">
        <w:t xml:space="preserve"> </w:t>
      </w:r>
      <w:r w:rsidRPr="0040247D">
        <w:t xml:space="preserve">in the first 6 years of listing due to </w:t>
      </w:r>
      <w:r w:rsidR="009746DD" w:rsidRPr="0040247D">
        <w:t xml:space="preserve">the difference in price between </w:t>
      </w:r>
      <w:proofErr w:type="spellStart"/>
      <w:r w:rsidR="002B4FCF" w:rsidRPr="0040247D">
        <w:t>Lucrin</w:t>
      </w:r>
      <w:proofErr w:type="spellEnd"/>
      <w:r w:rsidR="002B4FCF" w:rsidRPr="0040247D">
        <w:t xml:space="preserve"> Paediatric</w:t>
      </w:r>
      <w:r w:rsidR="00F166AF" w:rsidRPr="0040247D">
        <w:t xml:space="preserve"> </w:t>
      </w:r>
      <w:r w:rsidR="009746DD" w:rsidRPr="0040247D">
        <w:t xml:space="preserve">and </w:t>
      </w:r>
      <w:proofErr w:type="spellStart"/>
      <w:r w:rsidR="009746DD" w:rsidRPr="0040247D">
        <w:t>Eligard</w:t>
      </w:r>
      <w:proofErr w:type="spellEnd"/>
      <w:r w:rsidR="00F166AF" w:rsidRPr="0040247D">
        <w:t xml:space="preserve"> 6 month</w:t>
      </w:r>
      <w:r w:rsidRPr="0040247D">
        <w:t>.</w:t>
      </w:r>
      <w:r w:rsidR="009746DD" w:rsidRPr="009314D5">
        <w:t xml:space="preserve"> After correction </w:t>
      </w:r>
      <w:r w:rsidR="00215AFE" w:rsidRPr="009314D5">
        <w:t xml:space="preserve">of </w:t>
      </w:r>
      <w:r w:rsidR="009746DD" w:rsidRPr="009314D5">
        <w:t>the calculation error</w:t>
      </w:r>
      <w:r w:rsidR="00B372BA" w:rsidRPr="009314D5">
        <w:t xml:space="preserve"> and adding the updated price of </w:t>
      </w:r>
      <w:proofErr w:type="spellStart"/>
      <w:r w:rsidR="002B4FCF" w:rsidRPr="009314D5">
        <w:t>Lucrin</w:t>
      </w:r>
      <w:proofErr w:type="spellEnd"/>
      <w:r w:rsidR="002B4FCF" w:rsidRPr="009314D5">
        <w:t xml:space="preserve"> Paediatric</w:t>
      </w:r>
      <w:r w:rsidR="009746DD" w:rsidRPr="009314D5">
        <w:t xml:space="preserve">, the estimated cost </w:t>
      </w:r>
      <w:r w:rsidR="00215AFE" w:rsidRPr="009314D5">
        <w:t xml:space="preserve">to the </w:t>
      </w:r>
      <w:r w:rsidR="009746DD" w:rsidRPr="009314D5">
        <w:t>PBS/</w:t>
      </w:r>
      <w:r w:rsidR="006126B7" w:rsidRPr="009314D5">
        <w:t xml:space="preserve">RPBS of listing </w:t>
      </w:r>
      <w:proofErr w:type="spellStart"/>
      <w:r w:rsidR="006126B7" w:rsidRPr="009314D5">
        <w:t>Eligard</w:t>
      </w:r>
      <w:proofErr w:type="spellEnd"/>
      <w:r w:rsidR="006126B7" w:rsidRPr="009314D5">
        <w:t xml:space="preserve"> 6 month </w:t>
      </w:r>
      <w:r w:rsidR="009746DD" w:rsidRPr="009314D5">
        <w:t>would be</w:t>
      </w:r>
      <w:r w:rsidR="00392F7C" w:rsidRPr="009314D5">
        <w:t xml:space="preserve"> approximately</w:t>
      </w:r>
      <w:r w:rsidR="009746DD" w:rsidRPr="009314D5">
        <w:t xml:space="preserve"> </w:t>
      </w:r>
      <w:r w:rsidR="00F30A32" w:rsidRPr="00F30A32">
        <w:t>$0 to &lt; $10 million</w:t>
      </w:r>
      <w:r w:rsidR="006126B7" w:rsidRPr="009314D5">
        <w:t xml:space="preserve"> in Year 6, and a total of </w:t>
      </w:r>
      <w:r w:rsidR="00F30A32" w:rsidRPr="00F30A32">
        <w:t>$0 to &lt; $10 million</w:t>
      </w:r>
      <w:r w:rsidR="006126B7" w:rsidRPr="009314D5">
        <w:t xml:space="preserve"> in the first 6 years of listing. This results in a net cost saving of </w:t>
      </w:r>
      <w:r w:rsidR="00F30A32" w:rsidRPr="00F30A32">
        <w:t>$0 to &lt; $10 million</w:t>
      </w:r>
      <w:r w:rsidR="006126B7" w:rsidRPr="009314D5">
        <w:t xml:space="preserve"> in the first 6 years of listing. </w:t>
      </w:r>
      <w:r w:rsidR="00A8397B" w:rsidRPr="009314D5">
        <w:t>A</w:t>
      </w:r>
      <w:r w:rsidR="002F476D" w:rsidRPr="009314D5">
        <w:t xml:space="preserve">fter correction, the </w:t>
      </w:r>
      <w:r w:rsidR="004D0671" w:rsidRPr="009314D5">
        <w:t xml:space="preserve">estimated </w:t>
      </w:r>
      <w:r w:rsidR="002F476D" w:rsidRPr="009314D5">
        <w:t xml:space="preserve">PBS/RPBS </w:t>
      </w:r>
      <w:r w:rsidR="004D0671" w:rsidRPr="009314D5">
        <w:t xml:space="preserve">cost of </w:t>
      </w:r>
      <w:proofErr w:type="spellStart"/>
      <w:r w:rsidR="004D0671" w:rsidRPr="009314D5">
        <w:t>Eligard</w:t>
      </w:r>
      <w:proofErr w:type="spellEnd"/>
      <w:r w:rsidR="004D0671" w:rsidRPr="009314D5">
        <w:t xml:space="preserve"> 6 month was </w:t>
      </w:r>
      <w:r w:rsidR="002F476D" w:rsidRPr="009314D5">
        <w:t xml:space="preserve">substantially </w:t>
      </w:r>
      <w:r w:rsidR="004D0671" w:rsidRPr="009314D5">
        <w:t>larger</w:t>
      </w:r>
      <w:r w:rsidR="002F476D" w:rsidRPr="009314D5">
        <w:t xml:space="preserve">, </w:t>
      </w:r>
      <w:r w:rsidR="00215AFE" w:rsidRPr="009314D5">
        <w:t xml:space="preserve">and </w:t>
      </w:r>
      <w:r w:rsidR="002F476D" w:rsidRPr="009314D5">
        <w:t xml:space="preserve">the </w:t>
      </w:r>
      <w:r w:rsidR="004D0671" w:rsidRPr="009314D5">
        <w:t xml:space="preserve">cost </w:t>
      </w:r>
      <w:r w:rsidR="002F476D" w:rsidRPr="009314D5">
        <w:t>saving</w:t>
      </w:r>
      <w:r w:rsidR="004D0671" w:rsidRPr="009314D5">
        <w:t>s</w:t>
      </w:r>
      <w:r w:rsidR="002F476D" w:rsidRPr="009314D5">
        <w:t xml:space="preserve"> </w:t>
      </w:r>
      <w:r w:rsidR="00215AFE" w:rsidRPr="009314D5">
        <w:t xml:space="preserve">were </w:t>
      </w:r>
      <w:r w:rsidR="004D0671" w:rsidRPr="009314D5">
        <w:t xml:space="preserve">smaller than the submission’s estimates. This was due to </w:t>
      </w:r>
      <w:r w:rsidR="00215AFE" w:rsidRPr="009314D5">
        <w:t xml:space="preserve">the </w:t>
      </w:r>
      <w:r w:rsidR="004D0671" w:rsidRPr="009314D5">
        <w:t xml:space="preserve">difference in </w:t>
      </w:r>
      <w:r w:rsidR="002F476D" w:rsidRPr="009314D5">
        <w:t>script</w:t>
      </w:r>
      <w:r w:rsidR="004D0671" w:rsidRPr="009314D5">
        <w:t xml:space="preserve"> estimates and </w:t>
      </w:r>
      <w:r w:rsidR="00215AFE" w:rsidRPr="009314D5">
        <w:t xml:space="preserve">the </w:t>
      </w:r>
      <w:r w:rsidR="002F476D" w:rsidRPr="009314D5">
        <w:t xml:space="preserve">reduction of the price of </w:t>
      </w:r>
      <w:proofErr w:type="spellStart"/>
      <w:r w:rsidR="002B4FCF" w:rsidRPr="009314D5">
        <w:t>Lucrin</w:t>
      </w:r>
      <w:proofErr w:type="spellEnd"/>
      <w:r w:rsidR="002B4FCF" w:rsidRPr="009314D5">
        <w:t xml:space="preserve"> Paediatric</w:t>
      </w:r>
      <w:r w:rsidR="004D0671" w:rsidRPr="009314D5">
        <w:t xml:space="preserve"> as of February 2022.</w:t>
      </w:r>
    </w:p>
    <w:p w14:paraId="6A0B584A" w14:textId="56C02129" w:rsidR="008007D9" w:rsidRDefault="00E341C8" w:rsidP="008007D9">
      <w:pPr>
        <w:pStyle w:val="3-BodyText"/>
      </w:pPr>
      <w:r w:rsidRPr="009314D5">
        <w:t xml:space="preserve">The </w:t>
      </w:r>
      <w:r w:rsidR="00F87CB9">
        <w:t>utilisation and financial we</w:t>
      </w:r>
      <w:r w:rsidRPr="009314D5">
        <w:t xml:space="preserve">re uncertain for </w:t>
      </w:r>
      <w:r w:rsidR="005007F7" w:rsidRPr="009314D5">
        <w:t xml:space="preserve">two </w:t>
      </w:r>
      <w:r w:rsidRPr="009314D5">
        <w:t>reasons:</w:t>
      </w:r>
    </w:p>
    <w:p w14:paraId="4E96ADA2" w14:textId="23C4FC09" w:rsidR="008007D9" w:rsidRPr="008007D9" w:rsidRDefault="008007D9" w:rsidP="008007D9">
      <w:pPr>
        <w:pStyle w:val="ListParagraph"/>
      </w:pPr>
      <w:r w:rsidRPr="008007D9">
        <w:lastRenderedPageBreak/>
        <w:t>T</w:t>
      </w:r>
      <w:r w:rsidR="00E341C8" w:rsidRPr="008007D9">
        <w:t xml:space="preserve">he predicted total number of scripts for </w:t>
      </w:r>
      <w:r w:rsidR="00245068" w:rsidRPr="008007D9">
        <w:t xml:space="preserve">the CPP </w:t>
      </w:r>
      <w:r w:rsidR="00E341C8" w:rsidRPr="008007D9">
        <w:t xml:space="preserve">market </w:t>
      </w:r>
      <w:r w:rsidR="00215AFE" w:rsidRPr="008007D9">
        <w:t xml:space="preserve">is </w:t>
      </w:r>
      <w:r w:rsidR="00E341C8" w:rsidRPr="008007D9">
        <w:t>uncertain</w:t>
      </w:r>
      <w:r w:rsidR="004D6A28" w:rsidRPr="008007D9">
        <w:t xml:space="preserve"> as it is </w:t>
      </w:r>
      <w:r w:rsidR="00245068" w:rsidRPr="008007D9">
        <w:t xml:space="preserve">driven by </w:t>
      </w:r>
      <w:r w:rsidR="004D6A28" w:rsidRPr="008007D9">
        <w:t xml:space="preserve">an unreasonable </w:t>
      </w:r>
      <w:r w:rsidR="00245068" w:rsidRPr="008007D9">
        <w:t>method of market growth estimate (see above)</w:t>
      </w:r>
      <w:r w:rsidR="00E341C8" w:rsidRPr="008007D9">
        <w:t>.</w:t>
      </w:r>
    </w:p>
    <w:p w14:paraId="777D21E9" w14:textId="16B5595E" w:rsidR="00E341C8" w:rsidRPr="009314D5" w:rsidRDefault="008007D9" w:rsidP="008007D9">
      <w:pPr>
        <w:pStyle w:val="ListParagraph"/>
      </w:pPr>
      <w:r>
        <w:t>T</w:t>
      </w:r>
      <w:r w:rsidR="00E341C8" w:rsidRPr="009314D5">
        <w:t>he uptake rate</w:t>
      </w:r>
      <w:r w:rsidR="00CB7F5B" w:rsidRPr="009314D5">
        <w:t>s</w:t>
      </w:r>
      <w:r w:rsidR="00E341C8" w:rsidRPr="009314D5">
        <w:t xml:space="preserve"> </w:t>
      </w:r>
      <w:r w:rsidR="00245068" w:rsidRPr="009314D5">
        <w:t xml:space="preserve">of </w:t>
      </w:r>
      <w:proofErr w:type="spellStart"/>
      <w:r w:rsidR="00245068" w:rsidRPr="009314D5">
        <w:t>Eligard</w:t>
      </w:r>
      <w:proofErr w:type="spellEnd"/>
      <w:r w:rsidR="00245068" w:rsidRPr="009314D5">
        <w:t xml:space="preserve"> 6 month </w:t>
      </w:r>
      <w:r w:rsidR="00CB7F5B" w:rsidRPr="009314D5">
        <w:t>were</w:t>
      </w:r>
      <w:r w:rsidR="00E341C8" w:rsidRPr="009314D5">
        <w:t xml:space="preserve"> assumed and not justified</w:t>
      </w:r>
      <w:r w:rsidR="00CB7F5B" w:rsidRPr="009314D5">
        <w:t xml:space="preserve"> in the submission</w:t>
      </w:r>
      <w:r w:rsidR="00245068" w:rsidRPr="009314D5">
        <w:t>, especially when the market dynamics with two alternative treatments (</w:t>
      </w:r>
      <w:proofErr w:type="spellStart"/>
      <w:r w:rsidR="002B4FCF" w:rsidRPr="009314D5">
        <w:t>Lucrin</w:t>
      </w:r>
      <w:proofErr w:type="spellEnd"/>
      <w:r w:rsidR="002B4FCF" w:rsidRPr="009314D5">
        <w:t xml:space="preserve"> Paediatric</w:t>
      </w:r>
      <w:r w:rsidR="00FE421C" w:rsidRPr="009314D5" w:rsidDel="00FE421C">
        <w:t xml:space="preserve"> </w:t>
      </w:r>
      <w:r w:rsidR="00245068" w:rsidRPr="009314D5">
        <w:t xml:space="preserve">and </w:t>
      </w:r>
      <w:proofErr w:type="spellStart"/>
      <w:r w:rsidR="00471BDC" w:rsidRPr="009314D5">
        <w:t>Diphereline</w:t>
      </w:r>
      <w:proofErr w:type="spellEnd"/>
      <w:r w:rsidR="00245068" w:rsidRPr="009314D5">
        <w:t>) might play out differently from a market with one alternative (</w:t>
      </w:r>
      <w:proofErr w:type="spellStart"/>
      <w:r w:rsidR="002B4FCF" w:rsidRPr="009314D5">
        <w:t>Lucrin</w:t>
      </w:r>
      <w:proofErr w:type="spellEnd"/>
      <w:r w:rsidR="002B4FCF" w:rsidRPr="009314D5">
        <w:t xml:space="preserve"> Paediatric</w:t>
      </w:r>
      <w:r w:rsidR="00245068" w:rsidRPr="009314D5">
        <w:t xml:space="preserve">), presented by the submission. </w:t>
      </w:r>
      <w:r w:rsidR="00AD3CF1" w:rsidRPr="009314D5">
        <w:t xml:space="preserve"> </w:t>
      </w:r>
    </w:p>
    <w:p w14:paraId="05ED70A5" w14:textId="0550436F" w:rsidR="00AE399A" w:rsidRPr="0040247D" w:rsidRDefault="00AE399A" w:rsidP="006A37A9">
      <w:pPr>
        <w:pStyle w:val="3-BodyText"/>
        <w:widowControl w:val="0"/>
        <w:ind w:left="709"/>
      </w:pPr>
      <w:r w:rsidRPr="0040247D">
        <w:t xml:space="preserve">The main source of uncertainty for the financial estimates presented </w:t>
      </w:r>
      <w:r w:rsidR="009746DD" w:rsidRPr="0040247D">
        <w:t xml:space="preserve">were the estimated market growth rate (based on historical data of </w:t>
      </w:r>
      <w:proofErr w:type="spellStart"/>
      <w:r w:rsidR="002B4FCF" w:rsidRPr="0040247D">
        <w:t>Lucrin</w:t>
      </w:r>
      <w:proofErr w:type="spellEnd"/>
      <w:r w:rsidR="002B4FCF" w:rsidRPr="0040247D">
        <w:t xml:space="preserve"> Paediatric</w:t>
      </w:r>
      <w:r w:rsidR="00DA7D71" w:rsidRPr="0040247D">
        <w:t xml:space="preserve"> </w:t>
      </w:r>
      <w:r w:rsidR="009746DD" w:rsidRPr="0040247D">
        <w:t>use) and up</w:t>
      </w:r>
      <w:r w:rsidR="00AD3CF1">
        <w:t>tak</w:t>
      </w:r>
      <w:r w:rsidR="009746DD" w:rsidRPr="0040247D">
        <w:t>e rate</w:t>
      </w:r>
      <w:r w:rsidR="00057CE3" w:rsidRPr="0040247D">
        <w:t>s</w:t>
      </w:r>
      <w:r w:rsidR="009746DD" w:rsidRPr="0040247D">
        <w:t xml:space="preserve"> of </w:t>
      </w:r>
      <w:proofErr w:type="spellStart"/>
      <w:r w:rsidR="009746DD" w:rsidRPr="0040247D">
        <w:t>Eligard</w:t>
      </w:r>
      <w:proofErr w:type="spellEnd"/>
      <w:r w:rsidR="00057CE3" w:rsidRPr="0040247D">
        <w:t xml:space="preserve"> 6 month</w:t>
      </w:r>
      <w:r w:rsidRPr="0040247D">
        <w:t>.</w:t>
      </w:r>
      <w:r w:rsidR="007E355A">
        <w:t xml:space="preserve"> </w:t>
      </w:r>
      <w:r w:rsidR="007E355A" w:rsidRPr="002663D8">
        <w:t xml:space="preserve">The ESC advised that the methods used to derive the utilisation and financial estimates and the structure of the estimates model were reliable for decision-making. The ESC advised that minor updates to the calculations used to derive the estimates should be considered as detailed in </w:t>
      </w:r>
      <w:r w:rsidR="007E355A">
        <w:t>table 10</w:t>
      </w:r>
      <w:r w:rsidR="007E355A" w:rsidRPr="002663D8">
        <w:t>. The ESC noted that sensitivity analyses were presented to assess the level of uncertainty of the estimated market growth rate.</w:t>
      </w:r>
      <w:r w:rsidRPr="0040247D">
        <w:t xml:space="preserve"> The results of the sensitivity analysis are shown</w:t>
      </w:r>
      <w:r w:rsidR="008268BF" w:rsidRPr="0040247D">
        <w:t xml:space="preserve"> in </w:t>
      </w:r>
      <w:r w:rsidR="008268BF" w:rsidRPr="0040247D">
        <w:fldChar w:fldCharType="begin"/>
      </w:r>
      <w:r w:rsidR="008268BF" w:rsidRPr="0040247D">
        <w:instrText xml:space="preserve"> REF _Ref102728308 \h </w:instrText>
      </w:r>
      <w:r w:rsidR="008268BF" w:rsidRPr="0040247D">
        <w:fldChar w:fldCharType="separate"/>
      </w:r>
      <w:r w:rsidR="008268BF" w:rsidRPr="0040247D">
        <w:t>Table 13</w:t>
      </w:r>
      <w:r w:rsidR="008268BF" w:rsidRPr="0040247D">
        <w:fldChar w:fldCharType="end"/>
      </w:r>
      <w:r w:rsidRPr="0040247D">
        <w:t>.</w:t>
      </w:r>
      <w:r w:rsidR="0093038A" w:rsidRPr="0040247D">
        <w:t xml:space="preserve"> </w:t>
      </w:r>
      <w:r w:rsidR="00501A01" w:rsidRPr="009314D5">
        <w:t>However, given the r</w:t>
      </w:r>
      <w:r w:rsidR="006A37A9">
        <w:t>e</w:t>
      </w:r>
      <w:r w:rsidR="00501A01" w:rsidRPr="009314D5">
        <w:t xml:space="preserve">quested price of </w:t>
      </w:r>
      <w:proofErr w:type="spellStart"/>
      <w:r w:rsidR="00501A01" w:rsidRPr="009314D5">
        <w:t>Eligard</w:t>
      </w:r>
      <w:proofErr w:type="spellEnd"/>
      <w:r w:rsidR="00501A01" w:rsidRPr="009314D5">
        <w:t xml:space="preserve"> 6 month for CPP, the listing remains cost saving under all scenarios.</w:t>
      </w:r>
    </w:p>
    <w:p w14:paraId="0B5368C7" w14:textId="2E14709E" w:rsidR="00AE399A" w:rsidRPr="004D6A28" w:rsidRDefault="00F60FC3" w:rsidP="004D6A28">
      <w:pPr>
        <w:pStyle w:val="TableFigureHeading"/>
      </w:pPr>
      <w:bookmarkStart w:id="41" w:name="_Ref102728308"/>
      <w:r w:rsidRPr="004D6A28">
        <w:t xml:space="preserve">Table </w:t>
      </w:r>
      <w:fldSimple w:instr=" SEQ Table \* ARABIC ">
        <w:r w:rsidRPr="004D6A28">
          <w:t>13</w:t>
        </w:r>
      </w:fldSimple>
      <w:bookmarkEnd w:id="41"/>
      <w:r w:rsidR="0081624C" w:rsidRPr="004D6A28">
        <w:t>:</w:t>
      </w:r>
      <w:r w:rsidR="00AE399A" w:rsidRPr="004D6A28">
        <w:t xml:space="preserve"> Results of sensitivity analysis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Results of sensitivity analysis"/>
        <w:tblDescription w:val="Table 13: Results of sensitivity analysis"/>
      </w:tblPr>
      <w:tblGrid>
        <w:gridCol w:w="1928"/>
        <w:gridCol w:w="902"/>
        <w:gridCol w:w="1020"/>
        <w:gridCol w:w="1020"/>
        <w:gridCol w:w="1020"/>
        <w:gridCol w:w="1020"/>
        <w:gridCol w:w="882"/>
        <w:gridCol w:w="1023"/>
      </w:tblGrid>
      <w:tr w:rsidR="00067771" w:rsidRPr="0040247D" w14:paraId="6B8960A2" w14:textId="77777777" w:rsidTr="005007F7">
        <w:trPr>
          <w:trHeight w:val="255"/>
        </w:trPr>
        <w:tc>
          <w:tcPr>
            <w:tcW w:w="1928" w:type="dxa"/>
            <w:vMerge w:val="restart"/>
            <w:shd w:val="clear" w:color="auto" w:fill="auto"/>
            <w:vAlign w:val="center"/>
            <w:hideMark/>
          </w:tcPr>
          <w:p w14:paraId="6BBF3DF8" w14:textId="33BBDD1A" w:rsidR="00E67550" w:rsidRPr="004D6A28" w:rsidRDefault="00E67550" w:rsidP="004D6A28">
            <w:pPr>
              <w:pStyle w:val="In-tableHeading"/>
            </w:pPr>
            <w:r w:rsidRPr="004D6A28">
              <w:t>Net impact for the health budget</w:t>
            </w:r>
          </w:p>
        </w:tc>
        <w:tc>
          <w:tcPr>
            <w:tcW w:w="902" w:type="dxa"/>
            <w:shd w:val="clear" w:color="auto" w:fill="auto"/>
            <w:noWrap/>
            <w:vAlign w:val="center"/>
            <w:hideMark/>
          </w:tcPr>
          <w:p w14:paraId="22B93E05" w14:textId="77777777" w:rsidR="00E67550" w:rsidRPr="004D6A28" w:rsidRDefault="00E67550" w:rsidP="004D6A28">
            <w:pPr>
              <w:pStyle w:val="In-tableHeading"/>
              <w:jc w:val="center"/>
            </w:pPr>
            <w:r w:rsidRPr="004D6A28">
              <w:t>Year 1</w:t>
            </w:r>
          </w:p>
        </w:tc>
        <w:tc>
          <w:tcPr>
            <w:tcW w:w="1020" w:type="dxa"/>
            <w:shd w:val="clear" w:color="auto" w:fill="auto"/>
            <w:noWrap/>
            <w:vAlign w:val="center"/>
            <w:hideMark/>
          </w:tcPr>
          <w:p w14:paraId="378D0116" w14:textId="77777777" w:rsidR="00E67550" w:rsidRPr="004D6A28" w:rsidRDefault="00E67550" w:rsidP="004D6A28">
            <w:pPr>
              <w:pStyle w:val="In-tableHeading"/>
              <w:jc w:val="center"/>
            </w:pPr>
            <w:r w:rsidRPr="004D6A28">
              <w:t>Year 2</w:t>
            </w:r>
          </w:p>
        </w:tc>
        <w:tc>
          <w:tcPr>
            <w:tcW w:w="1020" w:type="dxa"/>
            <w:shd w:val="clear" w:color="auto" w:fill="auto"/>
            <w:noWrap/>
            <w:vAlign w:val="center"/>
            <w:hideMark/>
          </w:tcPr>
          <w:p w14:paraId="376F7678" w14:textId="77777777" w:rsidR="00E67550" w:rsidRPr="004D6A28" w:rsidRDefault="00E67550" w:rsidP="004D6A28">
            <w:pPr>
              <w:pStyle w:val="In-tableHeading"/>
              <w:jc w:val="center"/>
            </w:pPr>
            <w:r w:rsidRPr="004D6A28">
              <w:t>Year 3</w:t>
            </w:r>
          </w:p>
        </w:tc>
        <w:tc>
          <w:tcPr>
            <w:tcW w:w="1020" w:type="dxa"/>
            <w:shd w:val="clear" w:color="auto" w:fill="auto"/>
            <w:noWrap/>
            <w:vAlign w:val="center"/>
            <w:hideMark/>
          </w:tcPr>
          <w:p w14:paraId="4A20AC64" w14:textId="77777777" w:rsidR="00E67550" w:rsidRPr="004D6A28" w:rsidRDefault="00E67550" w:rsidP="004D6A28">
            <w:pPr>
              <w:pStyle w:val="In-tableHeading"/>
              <w:jc w:val="center"/>
            </w:pPr>
            <w:r w:rsidRPr="004D6A28">
              <w:t>Year 4</w:t>
            </w:r>
          </w:p>
        </w:tc>
        <w:tc>
          <w:tcPr>
            <w:tcW w:w="1020" w:type="dxa"/>
            <w:shd w:val="clear" w:color="auto" w:fill="auto"/>
            <w:noWrap/>
            <w:vAlign w:val="center"/>
            <w:hideMark/>
          </w:tcPr>
          <w:p w14:paraId="62824727" w14:textId="77777777" w:rsidR="00E67550" w:rsidRPr="004D6A28" w:rsidRDefault="00E67550" w:rsidP="004D6A28">
            <w:pPr>
              <w:pStyle w:val="In-tableHeading"/>
              <w:jc w:val="center"/>
            </w:pPr>
            <w:r w:rsidRPr="004D6A28">
              <w:t>Year 5</w:t>
            </w:r>
          </w:p>
        </w:tc>
        <w:tc>
          <w:tcPr>
            <w:tcW w:w="882" w:type="dxa"/>
            <w:shd w:val="clear" w:color="auto" w:fill="auto"/>
            <w:noWrap/>
            <w:vAlign w:val="center"/>
            <w:hideMark/>
          </w:tcPr>
          <w:p w14:paraId="3AF0804E" w14:textId="77777777" w:rsidR="00E67550" w:rsidRPr="004D6A28" w:rsidRDefault="00E67550" w:rsidP="004D6A28">
            <w:pPr>
              <w:pStyle w:val="In-tableHeading"/>
              <w:jc w:val="center"/>
            </w:pPr>
            <w:r w:rsidRPr="004D6A28">
              <w:t>Year 6</w:t>
            </w:r>
          </w:p>
        </w:tc>
        <w:tc>
          <w:tcPr>
            <w:tcW w:w="1020" w:type="dxa"/>
            <w:shd w:val="clear" w:color="auto" w:fill="auto"/>
            <w:noWrap/>
            <w:vAlign w:val="center"/>
            <w:hideMark/>
          </w:tcPr>
          <w:p w14:paraId="377701B5" w14:textId="77777777" w:rsidR="00E67550" w:rsidRPr="004D6A28" w:rsidRDefault="00E67550" w:rsidP="004D6A28">
            <w:pPr>
              <w:pStyle w:val="In-tableHeading"/>
              <w:jc w:val="center"/>
            </w:pPr>
            <w:r w:rsidRPr="004D6A28">
              <w:t>Year 1-6</w:t>
            </w:r>
          </w:p>
        </w:tc>
      </w:tr>
      <w:tr w:rsidR="00067771" w:rsidRPr="0040247D" w14:paraId="1A9A41C9" w14:textId="77777777" w:rsidTr="005007F7">
        <w:trPr>
          <w:trHeight w:val="255"/>
        </w:trPr>
        <w:tc>
          <w:tcPr>
            <w:tcW w:w="1928" w:type="dxa"/>
            <w:vMerge/>
            <w:shd w:val="clear" w:color="auto" w:fill="auto"/>
            <w:vAlign w:val="center"/>
            <w:hideMark/>
          </w:tcPr>
          <w:p w14:paraId="104D0590" w14:textId="77777777" w:rsidR="00E67550" w:rsidRPr="004D6A28" w:rsidRDefault="00E67550" w:rsidP="004D6A28">
            <w:pPr>
              <w:pStyle w:val="In-tableHeading"/>
              <w:jc w:val="center"/>
            </w:pPr>
          </w:p>
        </w:tc>
        <w:tc>
          <w:tcPr>
            <w:tcW w:w="902" w:type="dxa"/>
            <w:shd w:val="clear" w:color="auto" w:fill="auto"/>
            <w:noWrap/>
            <w:vAlign w:val="center"/>
            <w:hideMark/>
          </w:tcPr>
          <w:p w14:paraId="75DB2F90" w14:textId="77777777" w:rsidR="00E67550" w:rsidRPr="004D6A28" w:rsidRDefault="00E67550" w:rsidP="004D6A28">
            <w:pPr>
              <w:pStyle w:val="In-tableHeading"/>
              <w:jc w:val="center"/>
            </w:pPr>
            <w:r w:rsidRPr="004D6A28">
              <w:t>2022</w:t>
            </w:r>
          </w:p>
        </w:tc>
        <w:tc>
          <w:tcPr>
            <w:tcW w:w="1020" w:type="dxa"/>
            <w:shd w:val="clear" w:color="auto" w:fill="auto"/>
            <w:noWrap/>
            <w:vAlign w:val="center"/>
            <w:hideMark/>
          </w:tcPr>
          <w:p w14:paraId="74BCA7BD" w14:textId="77777777" w:rsidR="00E67550" w:rsidRPr="004D6A28" w:rsidRDefault="00E67550" w:rsidP="004D6A28">
            <w:pPr>
              <w:pStyle w:val="In-tableHeading"/>
              <w:jc w:val="center"/>
            </w:pPr>
            <w:r w:rsidRPr="004D6A28">
              <w:t>2023</w:t>
            </w:r>
          </w:p>
        </w:tc>
        <w:tc>
          <w:tcPr>
            <w:tcW w:w="1020" w:type="dxa"/>
            <w:shd w:val="clear" w:color="auto" w:fill="auto"/>
            <w:noWrap/>
            <w:vAlign w:val="center"/>
            <w:hideMark/>
          </w:tcPr>
          <w:p w14:paraId="047BE464" w14:textId="77777777" w:rsidR="00E67550" w:rsidRPr="004D6A28" w:rsidRDefault="00E67550" w:rsidP="004D6A28">
            <w:pPr>
              <w:pStyle w:val="In-tableHeading"/>
              <w:jc w:val="center"/>
            </w:pPr>
            <w:r w:rsidRPr="004D6A28">
              <w:t>2024</w:t>
            </w:r>
          </w:p>
        </w:tc>
        <w:tc>
          <w:tcPr>
            <w:tcW w:w="1020" w:type="dxa"/>
            <w:shd w:val="clear" w:color="auto" w:fill="auto"/>
            <w:noWrap/>
            <w:vAlign w:val="center"/>
            <w:hideMark/>
          </w:tcPr>
          <w:p w14:paraId="1FF58501" w14:textId="77777777" w:rsidR="00E67550" w:rsidRPr="004D6A28" w:rsidRDefault="00E67550" w:rsidP="004D6A28">
            <w:pPr>
              <w:pStyle w:val="In-tableHeading"/>
              <w:jc w:val="center"/>
            </w:pPr>
            <w:r w:rsidRPr="004D6A28">
              <w:t>2025</w:t>
            </w:r>
          </w:p>
        </w:tc>
        <w:tc>
          <w:tcPr>
            <w:tcW w:w="1020" w:type="dxa"/>
            <w:shd w:val="clear" w:color="auto" w:fill="auto"/>
            <w:noWrap/>
            <w:vAlign w:val="center"/>
            <w:hideMark/>
          </w:tcPr>
          <w:p w14:paraId="28FC4571" w14:textId="77777777" w:rsidR="00E67550" w:rsidRPr="004D6A28" w:rsidRDefault="00E67550" w:rsidP="004D6A28">
            <w:pPr>
              <w:pStyle w:val="In-tableHeading"/>
              <w:jc w:val="center"/>
            </w:pPr>
            <w:r w:rsidRPr="004D6A28">
              <w:t>2026</w:t>
            </w:r>
          </w:p>
        </w:tc>
        <w:tc>
          <w:tcPr>
            <w:tcW w:w="882" w:type="dxa"/>
            <w:shd w:val="clear" w:color="auto" w:fill="auto"/>
            <w:noWrap/>
            <w:vAlign w:val="center"/>
            <w:hideMark/>
          </w:tcPr>
          <w:p w14:paraId="7100BDDD" w14:textId="77777777" w:rsidR="00E67550" w:rsidRPr="004D6A28" w:rsidRDefault="00E67550" w:rsidP="004D6A28">
            <w:pPr>
              <w:pStyle w:val="In-tableHeading"/>
              <w:jc w:val="center"/>
            </w:pPr>
            <w:r w:rsidRPr="004D6A28">
              <w:t>2027</w:t>
            </w:r>
          </w:p>
        </w:tc>
        <w:tc>
          <w:tcPr>
            <w:tcW w:w="1020" w:type="dxa"/>
            <w:shd w:val="clear" w:color="auto" w:fill="auto"/>
            <w:noWrap/>
            <w:vAlign w:val="center"/>
            <w:hideMark/>
          </w:tcPr>
          <w:p w14:paraId="4480C1DE" w14:textId="77777777" w:rsidR="00E67550" w:rsidRPr="004D6A28" w:rsidRDefault="00E67550" w:rsidP="004D6A28">
            <w:pPr>
              <w:pStyle w:val="In-tableHeading"/>
              <w:jc w:val="center"/>
            </w:pPr>
            <w:r w:rsidRPr="004D6A28">
              <w:t>2022-27</w:t>
            </w:r>
          </w:p>
        </w:tc>
      </w:tr>
      <w:tr w:rsidR="00067771" w:rsidRPr="0040247D" w14:paraId="0A9C10CC" w14:textId="77777777" w:rsidTr="005007F7">
        <w:trPr>
          <w:trHeight w:val="255"/>
        </w:trPr>
        <w:tc>
          <w:tcPr>
            <w:tcW w:w="1928" w:type="dxa"/>
            <w:shd w:val="clear" w:color="auto" w:fill="auto"/>
            <w:vAlign w:val="center"/>
          </w:tcPr>
          <w:p w14:paraId="2ADA7138" w14:textId="77777777" w:rsidR="00E67550" w:rsidRPr="0040247D" w:rsidRDefault="00E67550" w:rsidP="004D6A28">
            <w:pPr>
              <w:pStyle w:val="TableText0"/>
            </w:pPr>
            <w:r w:rsidRPr="0040247D">
              <w:t>Base case in the submission</w:t>
            </w:r>
          </w:p>
        </w:tc>
        <w:tc>
          <w:tcPr>
            <w:tcW w:w="902" w:type="dxa"/>
            <w:shd w:val="clear" w:color="auto" w:fill="auto"/>
            <w:noWrap/>
            <w:vAlign w:val="center"/>
          </w:tcPr>
          <w:p w14:paraId="193649D6" w14:textId="6FA07C54" w:rsidR="00E67550" w:rsidRPr="00030262" w:rsidRDefault="00E67550" w:rsidP="004D6A28">
            <w:pPr>
              <w:pStyle w:val="TableText0"/>
              <w:rPr>
                <w:vertAlign w:val="superscript"/>
              </w:rPr>
            </w:pPr>
            <w:r w:rsidRPr="0040247D">
              <w:t>-$</w:t>
            </w:r>
            <w:r w:rsidR="00204469" w:rsidRPr="00204469">
              <w:rPr>
                <w:color w:val="000000"/>
                <w:spacing w:val="49"/>
                <w:shd w:val="solid" w:color="000000" w:fill="000000"/>
                <w:fitText w:val="320" w:id="-1437437685"/>
                <w14:textFill>
                  <w14:solidFill>
                    <w14:srgbClr w14:val="000000">
                      <w14:alpha w14:val="100000"/>
                    </w14:srgbClr>
                  </w14:solidFill>
                </w14:textFill>
              </w:rPr>
              <w:t>|||</w:t>
            </w:r>
            <w:r w:rsidR="00204469" w:rsidRPr="00204469">
              <w:rPr>
                <w:color w:val="000000"/>
                <w:spacing w:val="3"/>
                <w:shd w:val="solid" w:color="000000" w:fill="000000"/>
                <w:fitText w:val="320" w:id="-1437437685"/>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tcPr>
          <w:p w14:paraId="52BB5E13" w14:textId="3879A190" w:rsidR="00E67550" w:rsidRPr="0040247D" w:rsidRDefault="00E67550" w:rsidP="004D6A28">
            <w:pPr>
              <w:pStyle w:val="TableText0"/>
            </w:pPr>
            <w:r w:rsidRPr="0040247D">
              <w:t>-$</w:t>
            </w:r>
            <w:r w:rsidR="00204469" w:rsidRPr="00204469">
              <w:rPr>
                <w:color w:val="000000"/>
                <w:spacing w:val="49"/>
                <w:shd w:val="solid" w:color="000000" w:fill="000000"/>
                <w:fitText w:val="320" w:id="-1437437684"/>
                <w14:textFill>
                  <w14:solidFill>
                    <w14:srgbClr w14:val="000000">
                      <w14:alpha w14:val="100000"/>
                    </w14:srgbClr>
                  </w14:solidFill>
                </w14:textFill>
              </w:rPr>
              <w:t>|||</w:t>
            </w:r>
            <w:r w:rsidR="00204469" w:rsidRPr="00204469">
              <w:rPr>
                <w:color w:val="000000"/>
                <w:spacing w:val="3"/>
                <w:shd w:val="solid" w:color="000000" w:fill="000000"/>
                <w:fitText w:val="320" w:id="-1437437684"/>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tcPr>
          <w:p w14:paraId="7914D5BE" w14:textId="20CC46A6" w:rsidR="00E67550" w:rsidRPr="0040247D" w:rsidRDefault="00E67550" w:rsidP="004D6A28">
            <w:pPr>
              <w:pStyle w:val="TableText0"/>
            </w:pPr>
            <w:r w:rsidRPr="0040247D">
              <w:t>-$</w:t>
            </w:r>
            <w:r w:rsidR="00204469" w:rsidRPr="00204469">
              <w:rPr>
                <w:color w:val="000000"/>
                <w:spacing w:val="49"/>
                <w:shd w:val="solid" w:color="000000" w:fill="000000"/>
                <w:fitText w:val="320" w:id="-1437437683"/>
                <w14:textFill>
                  <w14:solidFill>
                    <w14:srgbClr w14:val="000000">
                      <w14:alpha w14:val="100000"/>
                    </w14:srgbClr>
                  </w14:solidFill>
                </w14:textFill>
              </w:rPr>
              <w:t>|||</w:t>
            </w:r>
            <w:r w:rsidR="00204469" w:rsidRPr="00204469">
              <w:rPr>
                <w:color w:val="000000"/>
                <w:spacing w:val="3"/>
                <w:shd w:val="solid" w:color="000000" w:fill="000000"/>
                <w:fitText w:val="320" w:id="-1437437683"/>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tcPr>
          <w:p w14:paraId="2F58C7DF" w14:textId="1F75347A" w:rsidR="00E67550" w:rsidRPr="0040247D" w:rsidRDefault="00E67550" w:rsidP="004D6A28">
            <w:pPr>
              <w:pStyle w:val="TableText0"/>
            </w:pPr>
            <w:r w:rsidRPr="0040247D">
              <w:t>-$</w:t>
            </w:r>
            <w:r w:rsidR="00204469" w:rsidRPr="00204469">
              <w:rPr>
                <w:color w:val="000000"/>
                <w:spacing w:val="49"/>
                <w:shd w:val="solid" w:color="000000" w:fill="000000"/>
                <w:fitText w:val="320" w:id="-1437437682"/>
                <w14:textFill>
                  <w14:solidFill>
                    <w14:srgbClr w14:val="000000">
                      <w14:alpha w14:val="100000"/>
                    </w14:srgbClr>
                  </w14:solidFill>
                </w14:textFill>
              </w:rPr>
              <w:t>|||</w:t>
            </w:r>
            <w:r w:rsidR="00204469" w:rsidRPr="00204469">
              <w:rPr>
                <w:color w:val="000000"/>
                <w:spacing w:val="3"/>
                <w:shd w:val="solid" w:color="000000" w:fill="000000"/>
                <w:fitText w:val="320" w:id="-1437437682"/>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tcPr>
          <w:p w14:paraId="7BF87493" w14:textId="6B72C389" w:rsidR="00E67550" w:rsidRPr="0040247D" w:rsidRDefault="00E67550" w:rsidP="004D6A28">
            <w:pPr>
              <w:pStyle w:val="TableText0"/>
            </w:pPr>
            <w:r w:rsidRPr="0040247D">
              <w:t>-$</w:t>
            </w:r>
            <w:r w:rsidR="00204469" w:rsidRPr="00204469">
              <w:rPr>
                <w:color w:val="000000"/>
                <w:spacing w:val="49"/>
                <w:shd w:val="solid" w:color="000000" w:fill="000000"/>
                <w:fitText w:val="320" w:id="-1437437681"/>
                <w14:textFill>
                  <w14:solidFill>
                    <w14:srgbClr w14:val="000000">
                      <w14:alpha w14:val="100000"/>
                    </w14:srgbClr>
                  </w14:solidFill>
                </w14:textFill>
              </w:rPr>
              <w:t>|||</w:t>
            </w:r>
            <w:r w:rsidR="00204469" w:rsidRPr="00204469">
              <w:rPr>
                <w:color w:val="000000"/>
                <w:spacing w:val="3"/>
                <w:shd w:val="solid" w:color="000000" w:fill="000000"/>
                <w:fitText w:val="320" w:id="-1437437681"/>
                <w14:textFill>
                  <w14:solidFill>
                    <w14:srgbClr w14:val="000000">
                      <w14:alpha w14:val="100000"/>
                    </w14:srgbClr>
                  </w14:solidFill>
                </w14:textFill>
              </w:rPr>
              <w:t>|</w:t>
            </w:r>
            <w:r w:rsidR="00030262">
              <w:rPr>
                <w:vertAlign w:val="superscript"/>
              </w:rPr>
              <w:t>1</w:t>
            </w:r>
          </w:p>
        </w:tc>
        <w:tc>
          <w:tcPr>
            <w:tcW w:w="882" w:type="dxa"/>
            <w:shd w:val="clear" w:color="auto" w:fill="auto"/>
            <w:noWrap/>
            <w:vAlign w:val="center"/>
          </w:tcPr>
          <w:p w14:paraId="059D1EF2" w14:textId="21C00927" w:rsidR="00E67550" w:rsidRPr="0040247D" w:rsidRDefault="00E67550" w:rsidP="004D6A28">
            <w:pPr>
              <w:pStyle w:val="TableText0"/>
            </w:pPr>
            <w:r w:rsidRPr="0040247D">
              <w:t>-$</w:t>
            </w:r>
            <w:r w:rsidR="00204469" w:rsidRPr="00204469">
              <w:rPr>
                <w:color w:val="000000"/>
                <w:spacing w:val="49"/>
                <w:shd w:val="solid" w:color="000000" w:fill="000000"/>
                <w:fitText w:val="320" w:id="-1437437680"/>
                <w14:textFill>
                  <w14:solidFill>
                    <w14:srgbClr w14:val="000000">
                      <w14:alpha w14:val="100000"/>
                    </w14:srgbClr>
                  </w14:solidFill>
                </w14:textFill>
              </w:rPr>
              <w:t>|||</w:t>
            </w:r>
            <w:r w:rsidR="00204469" w:rsidRPr="00204469">
              <w:rPr>
                <w:color w:val="000000"/>
                <w:spacing w:val="3"/>
                <w:shd w:val="solid" w:color="000000" w:fill="000000"/>
                <w:fitText w:val="320" w:id="-1437437680"/>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tcPr>
          <w:p w14:paraId="77B8E0FC" w14:textId="7653C8F0" w:rsidR="00E67550" w:rsidRPr="0040247D" w:rsidRDefault="00E67550" w:rsidP="004D6A28">
            <w:pPr>
              <w:pStyle w:val="TableText0"/>
            </w:pPr>
            <w:r w:rsidRPr="0040247D">
              <w:t>-$</w:t>
            </w:r>
            <w:r w:rsidR="00204469" w:rsidRPr="00204469">
              <w:rPr>
                <w:color w:val="000000"/>
                <w:spacing w:val="49"/>
                <w:shd w:val="solid" w:color="000000" w:fill="000000"/>
                <w:fitText w:val="320" w:id="-1437437696"/>
                <w14:textFill>
                  <w14:solidFill>
                    <w14:srgbClr w14:val="000000">
                      <w14:alpha w14:val="100000"/>
                    </w14:srgbClr>
                  </w14:solidFill>
                </w14:textFill>
              </w:rPr>
              <w:t>|||</w:t>
            </w:r>
            <w:r w:rsidR="00204469" w:rsidRPr="00204469">
              <w:rPr>
                <w:color w:val="000000"/>
                <w:spacing w:val="3"/>
                <w:shd w:val="solid" w:color="000000" w:fill="000000"/>
                <w:fitText w:val="320" w:id="-1437437696"/>
                <w14:textFill>
                  <w14:solidFill>
                    <w14:srgbClr w14:val="000000">
                      <w14:alpha w14:val="100000"/>
                    </w14:srgbClr>
                  </w14:solidFill>
                </w14:textFill>
              </w:rPr>
              <w:t>|</w:t>
            </w:r>
            <w:r w:rsidR="00030262">
              <w:rPr>
                <w:vertAlign w:val="superscript"/>
              </w:rPr>
              <w:t>1</w:t>
            </w:r>
          </w:p>
        </w:tc>
      </w:tr>
      <w:tr w:rsidR="00067771" w:rsidRPr="0040247D" w14:paraId="6EA2D0F1" w14:textId="77777777" w:rsidTr="005007F7">
        <w:trPr>
          <w:trHeight w:val="255"/>
        </w:trPr>
        <w:tc>
          <w:tcPr>
            <w:tcW w:w="1928" w:type="dxa"/>
            <w:vMerge w:val="restart"/>
            <w:shd w:val="clear" w:color="auto" w:fill="auto"/>
            <w:vAlign w:val="center"/>
          </w:tcPr>
          <w:p w14:paraId="203D0F4B" w14:textId="77777777" w:rsidR="00E67550" w:rsidRPr="0040247D" w:rsidRDefault="00E67550" w:rsidP="004D6A28">
            <w:pPr>
              <w:pStyle w:val="TableText0"/>
            </w:pPr>
            <w:r w:rsidRPr="0040247D">
              <w:t>Higher uptake rate</w:t>
            </w:r>
          </w:p>
        </w:tc>
        <w:tc>
          <w:tcPr>
            <w:tcW w:w="902" w:type="dxa"/>
            <w:shd w:val="clear" w:color="auto" w:fill="auto"/>
            <w:noWrap/>
          </w:tcPr>
          <w:p w14:paraId="61807807" w14:textId="562F976F" w:rsidR="00E67550" w:rsidRPr="0040247D" w:rsidRDefault="00E67550" w:rsidP="004D6A28">
            <w:pPr>
              <w:pStyle w:val="TableText0"/>
            </w:pPr>
            <w:r w:rsidRPr="0040247D">
              <w:t>-$</w:t>
            </w:r>
            <w:r w:rsidR="00204469" w:rsidRPr="00204469">
              <w:rPr>
                <w:color w:val="000000"/>
                <w:spacing w:val="49"/>
                <w:shd w:val="solid" w:color="000000" w:fill="000000"/>
                <w:fitText w:val="320" w:id="-1437437695"/>
                <w14:textFill>
                  <w14:solidFill>
                    <w14:srgbClr w14:val="000000">
                      <w14:alpha w14:val="100000"/>
                    </w14:srgbClr>
                  </w14:solidFill>
                </w14:textFill>
              </w:rPr>
              <w:t>|||</w:t>
            </w:r>
            <w:r w:rsidR="00204469" w:rsidRPr="00204469">
              <w:rPr>
                <w:color w:val="000000"/>
                <w:spacing w:val="3"/>
                <w:shd w:val="solid" w:color="000000" w:fill="000000"/>
                <w:fitText w:val="320" w:id="-1437437695"/>
                <w14:textFill>
                  <w14:solidFill>
                    <w14:srgbClr w14:val="000000">
                      <w14:alpha w14:val="100000"/>
                    </w14:srgbClr>
                  </w14:solidFill>
                </w14:textFill>
              </w:rPr>
              <w:t>|</w:t>
            </w:r>
            <w:r w:rsidR="00030262">
              <w:rPr>
                <w:vertAlign w:val="superscript"/>
              </w:rPr>
              <w:t>1</w:t>
            </w:r>
          </w:p>
        </w:tc>
        <w:tc>
          <w:tcPr>
            <w:tcW w:w="1020" w:type="dxa"/>
            <w:shd w:val="clear" w:color="auto" w:fill="auto"/>
            <w:noWrap/>
          </w:tcPr>
          <w:p w14:paraId="18897ED6" w14:textId="728E7B99" w:rsidR="00E67550" w:rsidRPr="0040247D" w:rsidRDefault="00E67550" w:rsidP="004D6A28">
            <w:pPr>
              <w:pStyle w:val="TableText0"/>
            </w:pPr>
            <w:r w:rsidRPr="0040247D">
              <w:t>-$</w:t>
            </w:r>
            <w:r w:rsidR="00204469" w:rsidRPr="00204469">
              <w:rPr>
                <w:color w:val="000000"/>
                <w:spacing w:val="49"/>
                <w:shd w:val="solid" w:color="000000" w:fill="000000"/>
                <w:fitText w:val="320" w:id="-1437437694"/>
                <w14:textFill>
                  <w14:solidFill>
                    <w14:srgbClr w14:val="000000">
                      <w14:alpha w14:val="100000"/>
                    </w14:srgbClr>
                  </w14:solidFill>
                </w14:textFill>
              </w:rPr>
              <w:t>|||</w:t>
            </w:r>
            <w:r w:rsidR="00204469" w:rsidRPr="00204469">
              <w:rPr>
                <w:color w:val="000000"/>
                <w:spacing w:val="3"/>
                <w:shd w:val="solid" w:color="000000" w:fill="000000"/>
                <w:fitText w:val="320" w:id="-1437437694"/>
                <w14:textFill>
                  <w14:solidFill>
                    <w14:srgbClr w14:val="000000">
                      <w14:alpha w14:val="100000"/>
                    </w14:srgbClr>
                  </w14:solidFill>
                </w14:textFill>
              </w:rPr>
              <w:t>|</w:t>
            </w:r>
            <w:r w:rsidR="00030262">
              <w:rPr>
                <w:vertAlign w:val="superscript"/>
              </w:rPr>
              <w:t>1</w:t>
            </w:r>
          </w:p>
        </w:tc>
        <w:tc>
          <w:tcPr>
            <w:tcW w:w="1020" w:type="dxa"/>
            <w:shd w:val="clear" w:color="auto" w:fill="auto"/>
            <w:noWrap/>
          </w:tcPr>
          <w:p w14:paraId="6DD3867F" w14:textId="397E60A7" w:rsidR="00E67550" w:rsidRPr="0040247D" w:rsidRDefault="00E67550" w:rsidP="004D6A28">
            <w:pPr>
              <w:pStyle w:val="TableText0"/>
            </w:pPr>
            <w:r w:rsidRPr="0040247D">
              <w:t>-$</w:t>
            </w:r>
            <w:r w:rsidR="00204469" w:rsidRPr="00204469">
              <w:rPr>
                <w:color w:val="000000"/>
                <w:spacing w:val="49"/>
                <w:shd w:val="solid" w:color="000000" w:fill="000000"/>
                <w:fitText w:val="320" w:id="-1437437693"/>
                <w14:textFill>
                  <w14:solidFill>
                    <w14:srgbClr w14:val="000000">
                      <w14:alpha w14:val="100000"/>
                    </w14:srgbClr>
                  </w14:solidFill>
                </w14:textFill>
              </w:rPr>
              <w:t>|||</w:t>
            </w:r>
            <w:r w:rsidR="00204469" w:rsidRPr="00204469">
              <w:rPr>
                <w:color w:val="000000"/>
                <w:spacing w:val="3"/>
                <w:shd w:val="solid" w:color="000000" w:fill="000000"/>
                <w:fitText w:val="320" w:id="-1437437693"/>
                <w14:textFill>
                  <w14:solidFill>
                    <w14:srgbClr w14:val="000000">
                      <w14:alpha w14:val="100000"/>
                    </w14:srgbClr>
                  </w14:solidFill>
                </w14:textFill>
              </w:rPr>
              <w:t>|</w:t>
            </w:r>
            <w:r w:rsidR="00030262">
              <w:rPr>
                <w:vertAlign w:val="superscript"/>
              </w:rPr>
              <w:t>1</w:t>
            </w:r>
          </w:p>
        </w:tc>
        <w:tc>
          <w:tcPr>
            <w:tcW w:w="1020" w:type="dxa"/>
            <w:shd w:val="clear" w:color="auto" w:fill="auto"/>
            <w:noWrap/>
          </w:tcPr>
          <w:p w14:paraId="66DB9D29" w14:textId="68CE3F92" w:rsidR="00E67550" w:rsidRPr="0040247D" w:rsidRDefault="00E67550" w:rsidP="004D6A28">
            <w:pPr>
              <w:pStyle w:val="TableText0"/>
            </w:pPr>
            <w:r w:rsidRPr="0040247D">
              <w:t>-$</w:t>
            </w:r>
            <w:r w:rsidR="00204469" w:rsidRPr="00204469">
              <w:rPr>
                <w:color w:val="000000"/>
                <w:spacing w:val="49"/>
                <w:shd w:val="solid" w:color="000000" w:fill="000000"/>
                <w:fitText w:val="320" w:id="-1437437692"/>
                <w14:textFill>
                  <w14:solidFill>
                    <w14:srgbClr w14:val="000000">
                      <w14:alpha w14:val="100000"/>
                    </w14:srgbClr>
                  </w14:solidFill>
                </w14:textFill>
              </w:rPr>
              <w:t>|||</w:t>
            </w:r>
            <w:r w:rsidR="00204469" w:rsidRPr="00204469">
              <w:rPr>
                <w:color w:val="000000"/>
                <w:spacing w:val="3"/>
                <w:shd w:val="solid" w:color="000000" w:fill="000000"/>
                <w:fitText w:val="320" w:id="-1437437692"/>
                <w14:textFill>
                  <w14:solidFill>
                    <w14:srgbClr w14:val="000000">
                      <w14:alpha w14:val="100000"/>
                    </w14:srgbClr>
                  </w14:solidFill>
                </w14:textFill>
              </w:rPr>
              <w:t>|</w:t>
            </w:r>
            <w:r w:rsidR="00030262">
              <w:rPr>
                <w:vertAlign w:val="superscript"/>
              </w:rPr>
              <w:t>1</w:t>
            </w:r>
          </w:p>
        </w:tc>
        <w:tc>
          <w:tcPr>
            <w:tcW w:w="1020" w:type="dxa"/>
            <w:shd w:val="clear" w:color="auto" w:fill="auto"/>
            <w:noWrap/>
          </w:tcPr>
          <w:p w14:paraId="122924CF" w14:textId="6EA80DEB" w:rsidR="00E67550" w:rsidRPr="0040247D" w:rsidRDefault="00E67550" w:rsidP="004D6A28">
            <w:pPr>
              <w:pStyle w:val="TableText0"/>
            </w:pPr>
            <w:r w:rsidRPr="0040247D">
              <w:t>-$</w:t>
            </w:r>
            <w:r w:rsidR="00204469" w:rsidRPr="00204469">
              <w:rPr>
                <w:color w:val="000000"/>
                <w:spacing w:val="49"/>
                <w:shd w:val="solid" w:color="000000" w:fill="000000"/>
                <w:fitText w:val="320" w:id="-1437437691"/>
                <w14:textFill>
                  <w14:solidFill>
                    <w14:srgbClr w14:val="000000">
                      <w14:alpha w14:val="100000"/>
                    </w14:srgbClr>
                  </w14:solidFill>
                </w14:textFill>
              </w:rPr>
              <w:t>|||</w:t>
            </w:r>
            <w:r w:rsidR="00204469" w:rsidRPr="00204469">
              <w:rPr>
                <w:color w:val="000000"/>
                <w:spacing w:val="3"/>
                <w:shd w:val="solid" w:color="000000" w:fill="000000"/>
                <w:fitText w:val="320" w:id="-1437437691"/>
                <w14:textFill>
                  <w14:solidFill>
                    <w14:srgbClr w14:val="000000">
                      <w14:alpha w14:val="100000"/>
                    </w14:srgbClr>
                  </w14:solidFill>
                </w14:textFill>
              </w:rPr>
              <w:t>|</w:t>
            </w:r>
            <w:r w:rsidR="00030262">
              <w:rPr>
                <w:vertAlign w:val="superscript"/>
              </w:rPr>
              <w:t>1</w:t>
            </w:r>
          </w:p>
        </w:tc>
        <w:tc>
          <w:tcPr>
            <w:tcW w:w="882" w:type="dxa"/>
            <w:shd w:val="clear" w:color="auto" w:fill="auto"/>
            <w:noWrap/>
          </w:tcPr>
          <w:p w14:paraId="4F75D6CA" w14:textId="61C012A7" w:rsidR="00E67550" w:rsidRPr="0040247D" w:rsidRDefault="00E67550" w:rsidP="004D6A28">
            <w:pPr>
              <w:pStyle w:val="TableText0"/>
            </w:pPr>
            <w:r w:rsidRPr="0040247D">
              <w:t>-$</w:t>
            </w:r>
            <w:r w:rsidR="00204469" w:rsidRPr="00204469">
              <w:rPr>
                <w:color w:val="000000"/>
                <w:spacing w:val="49"/>
                <w:shd w:val="solid" w:color="000000" w:fill="000000"/>
                <w:fitText w:val="320" w:id="-1437437690"/>
                <w14:textFill>
                  <w14:solidFill>
                    <w14:srgbClr w14:val="000000">
                      <w14:alpha w14:val="100000"/>
                    </w14:srgbClr>
                  </w14:solidFill>
                </w14:textFill>
              </w:rPr>
              <w:t>|||</w:t>
            </w:r>
            <w:r w:rsidR="00204469" w:rsidRPr="00204469">
              <w:rPr>
                <w:color w:val="000000"/>
                <w:spacing w:val="3"/>
                <w:shd w:val="solid" w:color="000000" w:fill="000000"/>
                <w:fitText w:val="320" w:id="-1437437690"/>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tcPr>
          <w:p w14:paraId="76BDE90F" w14:textId="57498391" w:rsidR="00E67550" w:rsidRPr="0040247D" w:rsidRDefault="00E67550" w:rsidP="004D6A28">
            <w:pPr>
              <w:pStyle w:val="TableText0"/>
            </w:pPr>
            <w:r w:rsidRPr="0040247D">
              <w:t>-$</w:t>
            </w:r>
            <w:r w:rsidR="00204469" w:rsidRPr="00204469">
              <w:rPr>
                <w:color w:val="000000"/>
                <w:spacing w:val="49"/>
                <w:shd w:val="solid" w:color="000000" w:fill="000000"/>
                <w:fitText w:val="320" w:id="-1437437689"/>
                <w14:textFill>
                  <w14:solidFill>
                    <w14:srgbClr w14:val="000000">
                      <w14:alpha w14:val="100000"/>
                    </w14:srgbClr>
                  </w14:solidFill>
                </w14:textFill>
              </w:rPr>
              <w:t>|||</w:t>
            </w:r>
            <w:r w:rsidR="00204469" w:rsidRPr="00204469">
              <w:rPr>
                <w:color w:val="000000"/>
                <w:spacing w:val="3"/>
                <w:shd w:val="solid" w:color="000000" w:fill="000000"/>
                <w:fitText w:val="320" w:id="-1437437689"/>
                <w14:textFill>
                  <w14:solidFill>
                    <w14:srgbClr w14:val="000000">
                      <w14:alpha w14:val="100000"/>
                    </w14:srgbClr>
                  </w14:solidFill>
                </w14:textFill>
              </w:rPr>
              <w:t>|</w:t>
            </w:r>
            <w:r w:rsidR="00030262">
              <w:rPr>
                <w:vertAlign w:val="superscript"/>
              </w:rPr>
              <w:t>1</w:t>
            </w:r>
          </w:p>
        </w:tc>
      </w:tr>
      <w:tr w:rsidR="00067771" w:rsidRPr="00DB490D" w14:paraId="5A2D7E69" w14:textId="77777777" w:rsidTr="005007F7">
        <w:trPr>
          <w:trHeight w:val="255"/>
        </w:trPr>
        <w:tc>
          <w:tcPr>
            <w:tcW w:w="1928" w:type="dxa"/>
            <w:vMerge/>
            <w:shd w:val="clear" w:color="auto" w:fill="auto"/>
            <w:vAlign w:val="center"/>
          </w:tcPr>
          <w:p w14:paraId="7736AE59" w14:textId="77777777" w:rsidR="00E67550" w:rsidRPr="00DB490D" w:rsidRDefault="00E67550" w:rsidP="004D6A28">
            <w:pPr>
              <w:pStyle w:val="TableText0"/>
            </w:pPr>
          </w:p>
        </w:tc>
        <w:tc>
          <w:tcPr>
            <w:tcW w:w="902" w:type="dxa"/>
            <w:shd w:val="clear" w:color="auto" w:fill="auto"/>
            <w:noWrap/>
            <w:vAlign w:val="center"/>
          </w:tcPr>
          <w:p w14:paraId="07CB95D4" w14:textId="77777777" w:rsidR="00E67550" w:rsidRPr="007A7345" w:rsidRDefault="00E67550" w:rsidP="004D6A28">
            <w:pPr>
              <w:pStyle w:val="TableText0"/>
            </w:pPr>
            <w:r w:rsidRPr="007A7345">
              <w:t>100%</w:t>
            </w:r>
          </w:p>
        </w:tc>
        <w:tc>
          <w:tcPr>
            <w:tcW w:w="1020" w:type="dxa"/>
            <w:shd w:val="clear" w:color="auto" w:fill="auto"/>
            <w:noWrap/>
            <w:vAlign w:val="center"/>
          </w:tcPr>
          <w:p w14:paraId="283FA57B" w14:textId="77777777" w:rsidR="00E67550" w:rsidRPr="007A7345" w:rsidRDefault="00E67550" w:rsidP="004D6A28">
            <w:pPr>
              <w:pStyle w:val="TableText0"/>
            </w:pPr>
            <w:r w:rsidRPr="007A7345">
              <w:t>71%</w:t>
            </w:r>
          </w:p>
        </w:tc>
        <w:tc>
          <w:tcPr>
            <w:tcW w:w="1020" w:type="dxa"/>
            <w:shd w:val="clear" w:color="auto" w:fill="auto"/>
            <w:noWrap/>
            <w:vAlign w:val="center"/>
          </w:tcPr>
          <w:p w14:paraId="2CBC33C1" w14:textId="77777777" w:rsidR="00E67550" w:rsidRPr="007A7345" w:rsidRDefault="00E67550" w:rsidP="004D6A28">
            <w:pPr>
              <w:pStyle w:val="TableText0"/>
            </w:pPr>
            <w:r w:rsidRPr="007A7345">
              <w:t>41%</w:t>
            </w:r>
          </w:p>
        </w:tc>
        <w:tc>
          <w:tcPr>
            <w:tcW w:w="1020" w:type="dxa"/>
            <w:shd w:val="clear" w:color="auto" w:fill="auto"/>
            <w:noWrap/>
            <w:vAlign w:val="center"/>
          </w:tcPr>
          <w:p w14:paraId="4B1A454F" w14:textId="77777777" w:rsidR="00E67550" w:rsidRPr="007A7345" w:rsidRDefault="00E67550" w:rsidP="004D6A28">
            <w:pPr>
              <w:pStyle w:val="TableText0"/>
            </w:pPr>
            <w:r w:rsidRPr="007A7345">
              <w:t>36%</w:t>
            </w:r>
          </w:p>
        </w:tc>
        <w:tc>
          <w:tcPr>
            <w:tcW w:w="1020" w:type="dxa"/>
            <w:shd w:val="clear" w:color="auto" w:fill="auto"/>
            <w:noWrap/>
            <w:vAlign w:val="center"/>
          </w:tcPr>
          <w:p w14:paraId="49E1CB81" w14:textId="77777777" w:rsidR="00E67550" w:rsidRPr="007A7345" w:rsidRDefault="00E67550" w:rsidP="004D6A28">
            <w:pPr>
              <w:pStyle w:val="TableText0"/>
            </w:pPr>
            <w:r w:rsidRPr="007A7345">
              <w:t>17%</w:t>
            </w:r>
          </w:p>
        </w:tc>
        <w:tc>
          <w:tcPr>
            <w:tcW w:w="882" w:type="dxa"/>
            <w:shd w:val="clear" w:color="auto" w:fill="auto"/>
            <w:noWrap/>
            <w:vAlign w:val="center"/>
          </w:tcPr>
          <w:p w14:paraId="7648EB9A" w14:textId="77777777" w:rsidR="00E67550" w:rsidRPr="007A7345" w:rsidRDefault="00E67550" w:rsidP="004D6A28">
            <w:pPr>
              <w:pStyle w:val="TableText0"/>
            </w:pPr>
            <w:r w:rsidRPr="007A7345">
              <w:t>18%</w:t>
            </w:r>
          </w:p>
        </w:tc>
        <w:tc>
          <w:tcPr>
            <w:tcW w:w="1020" w:type="dxa"/>
            <w:shd w:val="clear" w:color="auto" w:fill="auto"/>
            <w:noWrap/>
            <w:vAlign w:val="center"/>
          </w:tcPr>
          <w:p w14:paraId="668367AE" w14:textId="51446A59" w:rsidR="00E67550" w:rsidRPr="007A7345" w:rsidRDefault="00E67550" w:rsidP="004D6A28">
            <w:pPr>
              <w:pStyle w:val="TableText0"/>
            </w:pPr>
            <w:r w:rsidRPr="007A7345">
              <w:t>29%</w:t>
            </w:r>
          </w:p>
        </w:tc>
      </w:tr>
      <w:tr w:rsidR="00067771" w:rsidRPr="0040247D" w14:paraId="1CF7101A" w14:textId="77777777" w:rsidTr="005007F7">
        <w:trPr>
          <w:trHeight w:val="255"/>
        </w:trPr>
        <w:tc>
          <w:tcPr>
            <w:tcW w:w="8815" w:type="dxa"/>
            <w:gridSpan w:val="8"/>
            <w:shd w:val="clear" w:color="auto" w:fill="auto"/>
            <w:vAlign w:val="center"/>
          </w:tcPr>
          <w:p w14:paraId="1E577A2F" w14:textId="77777777" w:rsidR="00E67550" w:rsidRPr="0040247D" w:rsidRDefault="00E67550" w:rsidP="00552D3C">
            <w:pPr>
              <w:pStyle w:val="TableText0"/>
              <w:keepNext w:val="0"/>
              <w:widowControl w:val="0"/>
              <w:rPr>
                <w:b/>
                <w:bCs w:val="0"/>
              </w:rPr>
            </w:pPr>
          </w:p>
        </w:tc>
      </w:tr>
      <w:tr w:rsidR="00067771" w:rsidRPr="0040247D" w14:paraId="7F95293C" w14:textId="77777777" w:rsidTr="005007F7">
        <w:trPr>
          <w:trHeight w:val="255"/>
        </w:trPr>
        <w:tc>
          <w:tcPr>
            <w:tcW w:w="8815" w:type="dxa"/>
            <w:gridSpan w:val="8"/>
            <w:shd w:val="clear" w:color="auto" w:fill="auto"/>
            <w:vAlign w:val="center"/>
          </w:tcPr>
          <w:p w14:paraId="4D3183AC" w14:textId="786026AF" w:rsidR="00E67550" w:rsidRPr="0040247D" w:rsidRDefault="00E67550" w:rsidP="00552D3C">
            <w:pPr>
              <w:pStyle w:val="TableText0"/>
              <w:keepNext w:val="0"/>
              <w:widowControl w:val="0"/>
              <w:rPr>
                <w:b/>
                <w:bCs w:val="0"/>
              </w:rPr>
            </w:pPr>
            <w:r w:rsidRPr="0040247D">
              <w:rPr>
                <w:b/>
                <w:bCs w:val="0"/>
              </w:rPr>
              <w:t xml:space="preserve">Calculated during the evaluation (corrected formula, DPMQ for </w:t>
            </w:r>
            <w:proofErr w:type="spellStart"/>
            <w:r w:rsidR="002B4FCF" w:rsidRPr="0040247D">
              <w:rPr>
                <w:b/>
                <w:bCs w:val="0"/>
              </w:rPr>
              <w:t>Lucrin</w:t>
            </w:r>
            <w:proofErr w:type="spellEnd"/>
            <w:r w:rsidR="002B4FCF" w:rsidRPr="0040247D">
              <w:rPr>
                <w:b/>
                <w:bCs w:val="0"/>
              </w:rPr>
              <w:t xml:space="preserve"> Paediatric</w:t>
            </w:r>
            <w:r w:rsidR="00F23CC4" w:rsidRPr="0040247D" w:rsidDel="00F23CC4">
              <w:rPr>
                <w:b/>
                <w:bCs w:val="0"/>
              </w:rPr>
              <w:t xml:space="preserve"> </w:t>
            </w:r>
            <w:r w:rsidRPr="0040247D">
              <w:rPr>
                <w:b/>
                <w:bCs w:val="0"/>
              </w:rPr>
              <w:t>= $951.64)</w:t>
            </w:r>
          </w:p>
        </w:tc>
      </w:tr>
      <w:tr w:rsidR="00067771" w:rsidRPr="00DB490D" w14:paraId="33FAA80B" w14:textId="77777777" w:rsidTr="005007F7">
        <w:trPr>
          <w:trHeight w:val="255"/>
        </w:trPr>
        <w:tc>
          <w:tcPr>
            <w:tcW w:w="1928" w:type="dxa"/>
            <w:shd w:val="clear" w:color="auto" w:fill="auto"/>
            <w:vAlign w:val="center"/>
            <w:hideMark/>
          </w:tcPr>
          <w:p w14:paraId="185BD524" w14:textId="77777777" w:rsidR="00E67550" w:rsidRPr="00DB490D" w:rsidRDefault="00E67550" w:rsidP="00552D3C">
            <w:pPr>
              <w:pStyle w:val="TableText0"/>
              <w:keepNext w:val="0"/>
              <w:widowControl w:val="0"/>
              <w:rPr>
                <w:iCs/>
              </w:rPr>
            </w:pPr>
            <w:r w:rsidRPr="00DB490D">
              <w:rPr>
                <w:iCs/>
              </w:rPr>
              <w:t xml:space="preserve">Base case (corrected) </w:t>
            </w:r>
          </w:p>
        </w:tc>
        <w:tc>
          <w:tcPr>
            <w:tcW w:w="902" w:type="dxa"/>
            <w:shd w:val="clear" w:color="auto" w:fill="auto"/>
            <w:noWrap/>
            <w:vAlign w:val="center"/>
            <w:hideMark/>
          </w:tcPr>
          <w:p w14:paraId="160C80C0" w14:textId="134C9065" w:rsidR="00E67550" w:rsidRPr="00DB490D" w:rsidRDefault="00E67550" w:rsidP="00552D3C">
            <w:pPr>
              <w:pStyle w:val="TableText0"/>
              <w:keepNext w:val="0"/>
              <w:widowControl w:val="0"/>
              <w:jc w:val="right"/>
              <w:rPr>
                <w:iCs/>
              </w:rPr>
            </w:pPr>
            <w:r w:rsidRPr="00DB490D">
              <w:rPr>
                <w:iCs/>
              </w:rPr>
              <w:t>-$</w:t>
            </w:r>
            <w:r w:rsidR="00204469" w:rsidRPr="00204469">
              <w:rPr>
                <w:rFonts w:hint="eastAsia"/>
                <w:iCs/>
                <w:color w:val="000000"/>
                <w:w w:val="29"/>
                <w:shd w:val="solid" w:color="000000" w:fill="000000"/>
                <w:fitText w:val="130" w:id="-1437437688"/>
                <w14:textFill>
                  <w14:solidFill>
                    <w14:srgbClr w14:val="000000">
                      <w14:alpha w14:val="100000"/>
                    </w14:srgbClr>
                  </w14:solidFill>
                </w14:textFill>
              </w:rPr>
              <w:t xml:space="preserve">　</w:t>
            </w:r>
            <w:r w:rsidR="00204469" w:rsidRPr="00204469">
              <w:rPr>
                <w:iCs/>
                <w:color w:val="000000"/>
                <w:w w:val="29"/>
                <w:shd w:val="solid" w:color="000000" w:fill="000000"/>
                <w:fitText w:val="130" w:id="-1437437688"/>
                <w14:textFill>
                  <w14:solidFill>
                    <w14:srgbClr w14:val="000000">
                      <w14:alpha w14:val="100000"/>
                    </w14:srgbClr>
                  </w14:solidFill>
                </w14:textFill>
              </w:rPr>
              <w:t>|</w:t>
            </w:r>
            <w:r w:rsidR="00204469" w:rsidRPr="00204469">
              <w:rPr>
                <w:rFonts w:hint="eastAsia"/>
                <w:iCs/>
                <w:color w:val="000000"/>
                <w:spacing w:val="2"/>
                <w:w w:val="29"/>
                <w:shd w:val="solid" w:color="000000" w:fill="000000"/>
                <w:fitText w:val="130" w:id="-1437437688"/>
                <w14:textFill>
                  <w14:solidFill>
                    <w14:srgbClr w14:val="000000">
                      <w14:alpha w14:val="100000"/>
                    </w14:srgbClr>
                  </w14:solidFill>
                </w14:textFill>
              </w:rPr>
              <w:t xml:space="preserve">　</w:t>
            </w:r>
            <w:r w:rsidR="00030262">
              <w:rPr>
                <w:vertAlign w:val="superscript"/>
              </w:rPr>
              <w:t>1</w:t>
            </w:r>
          </w:p>
        </w:tc>
        <w:tc>
          <w:tcPr>
            <w:tcW w:w="1020" w:type="dxa"/>
            <w:shd w:val="clear" w:color="auto" w:fill="auto"/>
            <w:noWrap/>
            <w:vAlign w:val="center"/>
            <w:hideMark/>
          </w:tcPr>
          <w:p w14:paraId="78B401D7" w14:textId="780E964F" w:rsidR="00E67550" w:rsidRPr="00DB490D" w:rsidRDefault="00E67550" w:rsidP="00552D3C">
            <w:pPr>
              <w:pStyle w:val="TableText0"/>
              <w:keepNext w:val="0"/>
              <w:widowControl w:val="0"/>
              <w:jc w:val="right"/>
              <w:rPr>
                <w:iCs/>
              </w:rPr>
            </w:pPr>
            <w:r w:rsidRPr="00DB490D">
              <w:rPr>
                <w:iCs/>
              </w:rPr>
              <w:t>-$</w:t>
            </w:r>
            <w:r w:rsidR="00204469" w:rsidRPr="00204469">
              <w:rPr>
                <w:iCs/>
                <w:color w:val="000000"/>
                <w:shd w:val="solid" w:color="000000" w:fill="000000"/>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hideMark/>
          </w:tcPr>
          <w:p w14:paraId="2CB788DF" w14:textId="77B7B020" w:rsidR="00E67550" w:rsidRPr="00DB490D" w:rsidRDefault="00E67550" w:rsidP="00552D3C">
            <w:pPr>
              <w:pStyle w:val="TableText0"/>
              <w:keepNext w:val="0"/>
              <w:widowControl w:val="0"/>
              <w:jc w:val="right"/>
              <w:rPr>
                <w:iCs/>
              </w:rPr>
            </w:pPr>
            <w:r w:rsidRPr="00DB490D">
              <w:rPr>
                <w:iCs/>
              </w:rPr>
              <w:t>-$</w:t>
            </w:r>
            <w:r w:rsidR="00204469" w:rsidRPr="00204469">
              <w:rPr>
                <w:iCs/>
                <w:color w:val="000000"/>
                <w:shd w:val="solid" w:color="000000" w:fill="000000"/>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hideMark/>
          </w:tcPr>
          <w:p w14:paraId="180A9EEB" w14:textId="1193002D" w:rsidR="00E67550" w:rsidRPr="00DB490D" w:rsidRDefault="00E67550" w:rsidP="00552D3C">
            <w:pPr>
              <w:pStyle w:val="TableText0"/>
              <w:keepNext w:val="0"/>
              <w:widowControl w:val="0"/>
              <w:jc w:val="right"/>
              <w:rPr>
                <w:iCs/>
              </w:rPr>
            </w:pPr>
            <w:r w:rsidRPr="00DB490D">
              <w:rPr>
                <w:iCs/>
              </w:rPr>
              <w:t>-$</w:t>
            </w:r>
            <w:r w:rsidR="00204469" w:rsidRPr="00204469">
              <w:rPr>
                <w:iCs/>
                <w:color w:val="000000"/>
                <w:shd w:val="solid" w:color="000000" w:fill="000000"/>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hideMark/>
          </w:tcPr>
          <w:p w14:paraId="6A7F50EB" w14:textId="333F4EE2" w:rsidR="00E67550" w:rsidRPr="00DB490D" w:rsidRDefault="00E67550" w:rsidP="00552D3C">
            <w:pPr>
              <w:pStyle w:val="TableText0"/>
              <w:keepNext w:val="0"/>
              <w:widowControl w:val="0"/>
              <w:jc w:val="right"/>
              <w:rPr>
                <w:iCs/>
              </w:rPr>
            </w:pPr>
            <w:r w:rsidRPr="00DB490D">
              <w:rPr>
                <w:iCs/>
              </w:rPr>
              <w:t>-$</w:t>
            </w:r>
            <w:r w:rsidR="00204469" w:rsidRPr="00204469">
              <w:rPr>
                <w:iCs/>
                <w:color w:val="000000"/>
                <w:shd w:val="solid" w:color="000000" w:fill="000000"/>
                <w14:textFill>
                  <w14:solidFill>
                    <w14:srgbClr w14:val="000000">
                      <w14:alpha w14:val="100000"/>
                    </w14:srgbClr>
                  </w14:solidFill>
                </w14:textFill>
              </w:rPr>
              <w:t>|</w:t>
            </w:r>
            <w:r w:rsidR="00030262">
              <w:rPr>
                <w:vertAlign w:val="superscript"/>
              </w:rPr>
              <w:t>1</w:t>
            </w:r>
          </w:p>
        </w:tc>
        <w:tc>
          <w:tcPr>
            <w:tcW w:w="882" w:type="dxa"/>
            <w:shd w:val="clear" w:color="auto" w:fill="auto"/>
            <w:noWrap/>
            <w:vAlign w:val="center"/>
            <w:hideMark/>
          </w:tcPr>
          <w:p w14:paraId="31504660" w14:textId="0BC7F1CB" w:rsidR="00E67550" w:rsidRPr="00DB490D" w:rsidRDefault="00E67550" w:rsidP="00552D3C">
            <w:pPr>
              <w:pStyle w:val="TableText0"/>
              <w:keepNext w:val="0"/>
              <w:widowControl w:val="0"/>
              <w:jc w:val="right"/>
              <w:rPr>
                <w:iCs/>
              </w:rPr>
            </w:pPr>
            <w:r w:rsidRPr="00DB490D">
              <w:rPr>
                <w:iCs/>
              </w:rPr>
              <w:t>-$</w:t>
            </w:r>
            <w:r w:rsidR="00204469" w:rsidRPr="00204469">
              <w:rPr>
                <w:rFonts w:hint="eastAsia"/>
                <w:iCs/>
                <w:color w:val="000000"/>
                <w:w w:val="33"/>
                <w:shd w:val="solid" w:color="000000" w:fill="000000"/>
                <w:fitText w:val="150" w:id="-1437437687"/>
                <w14:textFill>
                  <w14:solidFill>
                    <w14:srgbClr w14:val="000000">
                      <w14:alpha w14:val="100000"/>
                    </w14:srgbClr>
                  </w14:solidFill>
                </w14:textFill>
              </w:rPr>
              <w:t xml:space="preserve">　</w:t>
            </w:r>
            <w:r w:rsidR="00204469" w:rsidRPr="00204469">
              <w:rPr>
                <w:iCs/>
                <w:color w:val="000000"/>
                <w:w w:val="33"/>
                <w:shd w:val="solid" w:color="000000" w:fill="000000"/>
                <w:fitText w:val="150" w:id="-1437437687"/>
                <w14:textFill>
                  <w14:solidFill>
                    <w14:srgbClr w14:val="000000">
                      <w14:alpha w14:val="100000"/>
                    </w14:srgbClr>
                  </w14:solidFill>
                </w14:textFill>
              </w:rPr>
              <w:t>|</w:t>
            </w:r>
            <w:r w:rsidR="00204469" w:rsidRPr="00204469">
              <w:rPr>
                <w:rFonts w:hint="eastAsia"/>
                <w:iCs/>
                <w:color w:val="000000"/>
                <w:spacing w:val="4"/>
                <w:w w:val="33"/>
                <w:shd w:val="solid" w:color="000000" w:fill="000000"/>
                <w:fitText w:val="150" w:id="-1437437687"/>
                <w14:textFill>
                  <w14:solidFill>
                    <w14:srgbClr w14:val="000000">
                      <w14:alpha w14:val="100000"/>
                    </w14:srgbClr>
                  </w14:solidFill>
                </w14:textFill>
              </w:rPr>
              <w:t xml:space="preserve">　</w:t>
            </w:r>
            <w:r w:rsidR="00030262">
              <w:rPr>
                <w:vertAlign w:val="superscript"/>
              </w:rPr>
              <w:t>1</w:t>
            </w:r>
          </w:p>
        </w:tc>
        <w:tc>
          <w:tcPr>
            <w:tcW w:w="1020" w:type="dxa"/>
            <w:shd w:val="clear" w:color="auto" w:fill="auto"/>
            <w:noWrap/>
            <w:vAlign w:val="center"/>
            <w:hideMark/>
          </w:tcPr>
          <w:p w14:paraId="6FA8A624" w14:textId="3C3065B3" w:rsidR="00E67550" w:rsidRPr="00030262" w:rsidRDefault="00E67550" w:rsidP="00552D3C">
            <w:pPr>
              <w:widowControl w:val="0"/>
              <w:jc w:val="right"/>
              <w:rPr>
                <w:rFonts w:ascii="Arial Narrow" w:eastAsiaTheme="majorEastAsia" w:hAnsi="Arial Narrow" w:cstheme="majorBidi"/>
                <w:bCs/>
                <w:iCs/>
                <w:sz w:val="20"/>
                <w:vertAlign w:val="superscript"/>
              </w:rPr>
            </w:pPr>
            <w:r w:rsidRPr="00DB490D">
              <w:rPr>
                <w:rFonts w:ascii="Arial Narrow" w:eastAsiaTheme="majorEastAsia" w:hAnsi="Arial Narrow" w:cstheme="majorBidi"/>
                <w:bCs/>
                <w:iCs/>
                <w:sz w:val="20"/>
              </w:rPr>
              <w:t>-$</w:t>
            </w:r>
            <w:r w:rsidR="00204469" w:rsidRPr="000F0F35">
              <w:rPr>
                <w:rFonts w:ascii="Arial Narrow" w:eastAsiaTheme="majorEastAsia" w:hAnsi="Arial Narrow" w:cstheme="majorBidi" w:hint="eastAsia"/>
                <w:bCs/>
                <w:iCs/>
                <w:color w:val="000000"/>
                <w:w w:val="15"/>
                <w:sz w:val="20"/>
                <w:shd w:val="solid" w:color="000000" w:fill="000000"/>
                <w:fitText w:val="10" w:id="-1437437686"/>
                <w14:textFill>
                  <w14:solidFill>
                    <w14:srgbClr w14:val="000000">
                      <w14:alpha w14:val="100000"/>
                    </w14:srgbClr>
                  </w14:solidFill>
                </w14:textFill>
              </w:rPr>
              <w:t xml:space="preserve">　</w:t>
            </w:r>
            <w:r w:rsidR="00204469" w:rsidRPr="000F0F35">
              <w:rPr>
                <w:rFonts w:ascii="Arial Narrow" w:eastAsiaTheme="majorEastAsia" w:hAnsi="Arial Narrow" w:cstheme="majorBidi"/>
                <w:bCs/>
                <w:iCs/>
                <w:color w:val="000000"/>
                <w:w w:val="15"/>
                <w:sz w:val="20"/>
                <w:shd w:val="solid" w:color="000000" w:fill="000000"/>
                <w:fitText w:val="10" w:id="-1437437686"/>
                <w14:textFill>
                  <w14:solidFill>
                    <w14:srgbClr w14:val="000000">
                      <w14:alpha w14:val="100000"/>
                    </w14:srgbClr>
                  </w14:solidFill>
                </w14:textFill>
              </w:rPr>
              <w:t>|</w:t>
            </w:r>
            <w:r w:rsidR="00204469" w:rsidRPr="000F0F35">
              <w:rPr>
                <w:rFonts w:ascii="Arial Narrow" w:eastAsiaTheme="majorEastAsia" w:hAnsi="Arial Narrow" w:cstheme="majorBidi" w:hint="eastAsia"/>
                <w:bCs/>
                <w:iCs/>
                <w:color w:val="000000"/>
                <w:spacing w:val="-56"/>
                <w:w w:val="15"/>
                <w:sz w:val="20"/>
                <w:shd w:val="solid" w:color="000000" w:fill="000000"/>
                <w:fitText w:val="10" w:id="-1437437686"/>
                <w14:textFill>
                  <w14:solidFill>
                    <w14:srgbClr w14:val="000000">
                      <w14:alpha w14:val="100000"/>
                    </w14:srgbClr>
                  </w14:solidFill>
                </w14:textFill>
              </w:rPr>
              <w:t xml:space="preserve">　</w:t>
            </w:r>
            <w:r w:rsidR="00030262" w:rsidRPr="00030262">
              <w:rPr>
                <w:rFonts w:ascii="Arial Narrow" w:eastAsiaTheme="majorEastAsia" w:hAnsi="Arial Narrow"/>
                <w:bCs/>
                <w:iCs/>
                <w:sz w:val="20"/>
                <w:szCs w:val="20"/>
                <w:vertAlign w:val="superscript"/>
              </w:rPr>
              <w:t>1</w:t>
            </w:r>
          </w:p>
        </w:tc>
      </w:tr>
      <w:tr w:rsidR="00067771" w:rsidRPr="00DB490D" w14:paraId="31A5B552" w14:textId="77777777" w:rsidTr="005007F7">
        <w:trPr>
          <w:trHeight w:val="255"/>
        </w:trPr>
        <w:tc>
          <w:tcPr>
            <w:tcW w:w="1928" w:type="dxa"/>
            <w:vMerge w:val="restart"/>
            <w:shd w:val="clear" w:color="auto" w:fill="auto"/>
            <w:vAlign w:val="center"/>
            <w:hideMark/>
          </w:tcPr>
          <w:p w14:paraId="320D764E" w14:textId="77777777" w:rsidR="00E67550" w:rsidRPr="00DB490D" w:rsidRDefault="00E67550" w:rsidP="00552D3C">
            <w:pPr>
              <w:pStyle w:val="TableText0"/>
              <w:keepNext w:val="0"/>
              <w:widowControl w:val="0"/>
              <w:rPr>
                <w:iCs/>
              </w:rPr>
            </w:pPr>
            <w:r w:rsidRPr="00DB490D">
              <w:rPr>
                <w:iCs/>
              </w:rPr>
              <w:t xml:space="preserve">Higher uptake rate </w:t>
            </w:r>
          </w:p>
        </w:tc>
        <w:tc>
          <w:tcPr>
            <w:tcW w:w="902" w:type="dxa"/>
            <w:shd w:val="clear" w:color="auto" w:fill="auto"/>
            <w:noWrap/>
            <w:vAlign w:val="center"/>
            <w:hideMark/>
          </w:tcPr>
          <w:p w14:paraId="49804CAD" w14:textId="416036EC" w:rsidR="00E67550" w:rsidRPr="00DB490D" w:rsidRDefault="00E67550" w:rsidP="00552D3C">
            <w:pPr>
              <w:pStyle w:val="TableText0"/>
              <w:keepNext w:val="0"/>
              <w:widowControl w:val="0"/>
              <w:jc w:val="right"/>
              <w:rPr>
                <w:iCs/>
              </w:rPr>
            </w:pPr>
            <w:r w:rsidRPr="00DB490D">
              <w:rPr>
                <w:iCs/>
              </w:rPr>
              <w:t>-$</w:t>
            </w:r>
            <w:r w:rsidR="00204469" w:rsidRPr="00204469">
              <w:rPr>
                <w:rFonts w:hint="eastAsia"/>
                <w:iCs/>
                <w:color w:val="000000"/>
                <w:w w:val="29"/>
                <w:shd w:val="solid" w:color="000000" w:fill="000000"/>
                <w:fitText w:val="130" w:id="-1437437685"/>
                <w14:textFill>
                  <w14:solidFill>
                    <w14:srgbClr w14:val="000000">
                      <w14:alpha w14:val="100000"/>
                    </w14:srgbClr>
                  </w14:solidFill>
                </w14:textFill>
              </w:rPr>
              <w:t xml:space="preserve">　</w:t>
            </w:r>
            <w:r w:rsidR="00204469" w:rsidRPr="00204469">
              <w:rPr>
                <w:iCs/>
                <w:color w:val="000000"/>
                <w:w w:val="29"/>
                <w:shd w:val="solid" w:color="000000" w:fill="000000"/>
                <w:fitText w:val="130" w:id="-1437437685"/>
                <w14:textFill>
                  <w14:solidFill>
                    <w14:srgbClr w14:val="000000">
                      <w14:alpha w14:val="100000"/>
                    </w14:srgbClr>
                  </w14:solidFill>
                </w14:textFill>
              </w:rPr>
              <w:t>|</w:t>
            </w:r>
            <w:r w:rsidR="00204469" w:rsidRPr="00204469">
              <w:rPr>
                <w:rFonts w:hint="eastAsia"/>
                <w:iCs/>
                <w:color w:val="000000"/>
                <w:spacing w:val="2"/>
                <w:w w:val="29"/>
                <w:shd w:val="solid" w:color="000000" w:fill="000000"/>
                <w:fitText w:val="130" w:id="-1437437685"/>
                <w14:textFill>
                  <w14:solidFill>
                    <w14:srgbClr w14:val="000000">
                      <w14:alpha w14:val="100000"/>
                    </w14:srgbClr>
                  </w14:solidFill>
                </w14:textFill>
              </w:rPr>
              <w:t xml:space="preserve">　</w:t>
            </w:r>
            <w:r w:rsidR="00030262">
              <w:rPr>
                <w:vertAlign w:val="superscript"/>
              </w:rPr>
              <w:t>1</w:t>
            </w:r>
          </w:p>
        </w:tc>
        <w:tc>
          <w:tcPr>
            <w:tcW w:w="1020" w:type="dxa"/>
            <w:shd w:val="clear" w:color="auto" w:fill="auto"/>
            <w:noWrap/>
            <w:vAlign w:val="center"/>
            <w:hideMark/>
          </w:tcPr>
          <w:p w14:paraId="5A0A677B" w14:textId="7AFD3F28" w:rsidR="00E67550" w:rsidRPr="00DB490D" w:rsidRDefault="00E67550" w:rsidP="00552D3C">
            <w:pPr>
              <w:pStyle w:val="TableText0"/>
              <w:keepNext w:val="0"/>
              <w:widowControl w:val="0"/>
              <w:jc w:val="right"/>
              <w:rPr>
                <w:iCs/>
              </w:rPr>
            </w:pPr>
            <w:r w:rsidRPr="00DB490D">
              <w:rPr>
                <w:iCs/>
              </w:rPr>
              <w:t>-$</w:t>
            </w:r>
            <w:r w:rsidR="00204469" w:rsidRPr="00204469">
              <w:rPr>
                <w:iCs/>
                <w:color w:val="000000"/>
                <w:shd w:val="solid" w:color="000000" w:fill="000000"/>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hideMark/>
          </w:tcPr>
          <w:p w14:paraId="5C30C355" w14:textId="453BEF23" w:rsidR="00E67550" w:rsidRPr="00DB490D" w:rsidRDefault="00E67550" w:rsidP="00552D3C">
            <w:pPr>
              <w:pStyle w:val="TableText0"/>
              <w:keepNext w:val="0"/>
              <w:widowControl w:val="0"/>
              <w:jc w:val="right"/>
              <w:rPr>
                <w:iCs/>
              </w:rPr>
            </w:pPr>
            <w:r w:rsidRPr="00DB490D">
              <w:rPr>
                <w:iCs/>
              </w:rPr>
              <w:t>-$</w:t>
            </w:r>
            <w:r w:rsidR="00204469" w:rsidRPr="00204469">
              <w:rPr>
                <w:iCs/>
                <w:color w:val="000000"/>
                <w:shd w:val="solid" w:color="000000" w:fill="000000"/>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hideMark/>
          </w:tcPr>
          <w:p w14:paraId="55C27210" w14:textId="48638319" w:rsidR="00E67550" w:rsidRPr="00DB490D" w:rsidRDefault="00E67550" w:rsidP="00552D3C">
            <w:pPr>
              <w:pStyle w:val="TableText0"/>
              <w:keepNext w:val="0"/>
              <w:widowControl w:val="0"/>
              <w:jc w:val="right"/>
              <w:rPr>
                <w:iCs/>
              </w:rPr>
            </w:pPr>
            <w:r w:rsidRPr="00DB490D">
              <w:rPr>
                <w:iCs/>
              </w:rPr>
              <w:t>-$</w:t>
            </w:r>
            <w:r w:rsidR="00204469" w:rsidRPr="00204469">
              <w:rPr>
                <w:iCs/>
                <w:color w:val="000000"/>
                <w:shd w:val="solid" w:color="000000" w:fill="000000"/>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hideMark/>
          </w:tcPr>
          <w:p w14:paraId="1F9EB604" w14:textId="12A15A95" w:rsidR="00E67550" w:rsidRPr="00DB490D" w:rsidRDefault="00E67550" w:rsidP="00552D3C">
            <w:pPr>
              <w:pStyle w:val="TableText0"/>
              <w:keepNext w:val="0"/>
              <w:widowControl w:val="0"/>
              <w:jc w:val="right"/>
              <w:rPr>
                <w:iCs/>
              </w:rPr>
            </w:pPr>
            <w:r w:rsidRPr="00DB490D">
              <w:rPr>
                <w:iCs/>
              </w:rPr>
              <w:t>-$</w:t>
            </w:r>
            <w:r w:rsidR="00204469" w:rsidRPr="00204469">
              <w:rPr>
                <w:iCs/>
                <w:color w:val="000000"/>
                <w:shd w:val="solid" w:color="000000" w:fill="000000"/>
                <w14:textFill>
                  <w14:solidFill>
                    <w14:srgbClr w14:val="000000">
                      <w14:alpha w14:val="100000"/>
                    </w14:srgbClr>
                  </w14:solidFill>
                </w14:textFill>
              </w:rPr>
              <w:t>|</w:t>
            </w:r>
            <w:r w:rsidR="00030262">
              <w:rPr>
                <w:vertAlign w:val="superscript"/>
              </w:rPr>
              <w:t>1</w:t>
            </w:r>
          </w:p>
        </w:tc>
        <w:tc>
          <w:tcPr>
            <w:tcW w:w="882" w:type="dxa"/>
            <w:shd w:val="clear" w:color="auto" w:fill="auto"/>
            <w:noWrap/>
            <w:vAlign w:val="center"/>
            <w:hideMark/>
          </w:tcPr>
          <w:p w14:paraId="26B98801" w14:textId="0241A7D3" w:rsidR="00E67550" w:rsidRPr="00DB490D" w:rsidRDefault="00E67550" w:rsidP="00552D3C">
            <w:pPr>
              <w:pStyle w:val="TableText0"/>
              <w:keepNext w:val="0"/>
              <w:widowControl w:val="0"/>
              <w:jc w:val="right"/>
              <w:rPr>
                <w:iCs/>
              </w:rPr>
            </w:pPr>
            <w:r w:rsidRPr="00DB490D">
              <w:rPr>
                <w:iCs/>
              </w:rPr>
              <w:t>-$</w:t>
            </w:r>
            <w:r w:rsidR="00204469" w:rsidRPr="00204469">
              <w:rPr>
                <w:rFonts w:hint="eastAsia"/>
                <w:iCs/>
                <w:color w:val="000000"/>
                <w:w w:val="33"/>
                <w:shd w:val="solid" w:color="000000" w:fill="000000"/>
                <w:fitText w:val="150" w:id="-1437437684"/>
                <w14:textFill>
                  <w14:solidFill>
                    <w14:srgbClr w14:val="000000">
                      <w14:alpha w14:val="100000"/>
                    </w14:srgbClr>
                  </w14:solidFill>
                </w14:textFill>
              </w:rPr>
              <w:t xml:space="preserve">　</w:t>
            </w:r>
            <w:r w:rsidR="00204469" w:rsidRPr="00204469">
              <w:rPr>
                <w:iCs/>
                <w:color w:val="000000"/>
                <w:w w:val="33"/>
                <w:shd w:val="solid" w:color="000000" w:fill="000000"/>
                <w:fitText w:val="150" w:id="-1437437684"/>
                <w14:textFill>
                  <w14:solidFill>
                    <w14:srgbClr w14:val="000000">
                      <w14:alpha w14:val="100000"/>
                    </w14:srgbClr>
                  </w14:solidFill>
                </w14:textFill>
              </w:rPr>
              <w:t>|</w:t>
            </w:r>
            <w:r w:rsidR="00204469" w:rsidRPr="00204469">
              <w:rPr>
                <w:rFonts w:hint="eastAsia"/>
                <w:iCs/>
                <w:color w:val="000000"/>
                <w:spacing w:val="4"/>
                <w:w w:val="33"/>
                <w:shd w:val="solid" w:color="000000" w:fill="000000"/>
                <w:fitText w:val="150" w:id="-1437437684"/>
                <w14:textFill>
                  <w14:solidFill>
                    <w14:srgbClr w14:val="000000">
                      <w14:alpha w14:val="100000"/>
                    </w14:srgbClr>
                  </w14:solidFill>
                </w14:textFill>
              </w:rPr>
              <w:t xml:space="preserve">　</w:t>
            </w:r>
            <w:r w:rsidR="00030262">
              <w:rPr>
                <w:vertAlign w:val="superscript"/>
              </w:rPr>
              <w:t>1</w:t>
            </w:r>
          </w:p>
        </w:tc>
        <w:tc>
          <w:tcPr>
            <w:tcW w:w="1020" w:type="dxa"/>
            <w:shd w:val="clear" w:color="auto" w:fill="auto"/>
            <w:noWrap/>
            <w:vAlign w:val="center"/>
            <w:hideMark/>
          </w:tcPr>
          <w:p w14:paraId="36A34BF5" w14:textId="4187F462" w:rsidR="00E67550" w:rsidRPr="00DB490D" w:rsidRDefault="00E67550" w:rsidP="00552D3C">
            <w:pPr>
              <w:widowControl w:val="0"/>
              <w:jc w:val="right"/>
              <w:rPr>
                <w:rFonts w:ascii="Arial Narrow" w:eastAsiaTheme="majorEastAsia" w:hAnsi="Arial Narrow" w:cstheme="majorBidi"/>
                <w:bCs/>
                <w:iCs/>
                <w:sz w:val="20"/>
              </w:rPr>
            </w:pPr>
            <w:r w:rsidRPr="00DB490D">
              <w:rPr>
                <w:rFonts w:ascii="Arial Narrow" w:eastAsiaTheme="majorEastAsia" w:hAnsi="Arial Narrow" w:cstheme="majorBidi"/>
                <w:bCs/>
                <w:iCs/>
                <w:sz w:val="20"/>
              </w:rPr>
              <w:t>-$</w:t>
            </w:r>
            <w:r w:rsidR="00204469" w:rsidRPr="000F0F35">
              <w:rPr>
                <w:rFonts w:ascii="Arial Narrow" w:eastAsiaTheme="majorEastAsia" w:hAnsi="Arial Narrow" w:cstheme="majorBidi" w:hint="eastAsia"/>
                <w:bCs/>
                <w:iCs/>
                <w:color w:val="000000"/>
                <w:w w:val="15"/>
                <w:sz w:val="20"/>
                <w:shd w:val="solid" w:color="000000" w:fill="000000"/>
                <w:fitText w:val="10" w:id="-1437437683"/>
                <w14:textFill>
                  <w14:solidFill>
                    <w14:srgbClr w14:val="000000">
                      <w14:alpha w14:val="100000"/>
                    </w14:srgbClr>
                  </w14:solidFill>
                </w14:textFill>
              </w:rPr>
              <w:t xml:space="preserve">　</w:t>
            </w:r>
            <w:r w:rsidR="00204469" w:rsidRPr="000F0F35">
              <w:rPr>
                <w:rFonts w:ascii="Arial Narrow" w:eastAsiaTheme="majorEastAsia" w:hAnsi="Arial Narrow" w:cstheme="majorBidi"/>
                <w:bCs/>
                <w:iCs/>
                <w:color w:val="000000"/>
                <w:w w:val="15"/>
                <w:sz w:val="20"/>
                <w:shd w:val="solid" w:color="000000" w:fill="000000"/>
                <w:fitText w:val="10" w:id="-1437437683"/>
                <w14:textFill>
                  <w14:solidFill>
                    <w14:srgbClr w14:val="000000">
                      <w14:alpha w14:val="100000"/>
                    </w14:srgbClr>
                  </w14:solidFill>
                </w14:textFill>
              </w:rPr>
              <w:t>|</w:t>
            </w:r>
            <w:r w:rsidR="00204469" w:rsidRPr="000F0F35">
              <w:rPr>
                <w:rFonts w:ascii="Arial Narrow" w:eastAsiaTheme="majorEastAsia" w:hAnsi="Arial Narrow" w:cstheme="majorBidi" w:hint="eastAsia"/>
                <w:bCs/>
                <w:iCs/>
                <w:color w:val="000000"/>
                <w:spacing w:val="-56"/>
                <w:w w:val="15"/>
                <w:sz w:val="20"/>
                <w:shd w:val="solid" w:color="000000" w:fill="000000"/>
                <w:fitText w:val="10" w:id="-1437437683"/>
                <w14:textFill>
                  <w14:solidFill>
                    <w14:srgbClr w14:val="000000">
                      <w14:alpha w14:val="100000"/>
                    </w14:srgbClr>
                  </w14:solidFill>
                </w14:textFill>
              </w:rPr>
              <w:t xml:space="preserve">　</w:t>
            </w:r>
            <w:r w:rsidR="00030262" w:rsidRPr="00030262">
              <w:rPr>
                <w:rFonts w:ascii="Arial Narrow" w:eastAsiaTheme="majorEastAsia" w:hAnsi="Arial Narrow"/>
                <w:bCs/>
                <w:iCs/>
                <w:sz w:val="20"/>
                <w:szCs w:val="20"/>
                <w:vertAlign w:val="superscript"/>
              </w:rPr>
              <w:t>1</w:t>
            </w:r>
          </w:p>
        </w:tc>
      </w:tr>
      <w:tr w:rsidR="00067771" w:rsidRPr="00DB490D" w14:paraId="31D450DA" w14:textId="77777777" w:rsidTr="005007F7">
        <w:trPr>
          <w:trHeight w:val="92"/>
        </w:trPr>
        <w:tc>
          <w:tcPr>
            <w:tcW w:w="1928" w:type="dxa"/>
            <w:vMerge/>
            <w:shd w:val="clear" w:color="auto" w:fill="auto"/>
            <w:vAlign w:val="center"/>
            <w:hideMark/>
          </w:tcPr>
          <w:p w14:paraId="3D29D0EC" w14:textId="77777777" w:rsidR="00E67550" w:rsidRPr="00DB490D" w:rsidRDefault="00E67550" w:rsidP="00552D3C">
            <w:pPr>
              <w:pStyle w:val="TableText0"/>
              <w:keepNext w:val="0"/>
              <w:widowControl w:val="0"/>
              <w:rPr>
                <w:iCs/>
              </w:rPr>
            </w:pPr>
          </w:p>
        </w:tc>
        <w:tc>
          <w:tcPr>
            <w:tcW w:w="902" w:type="dxa"/>
            <w:shd w:val="clear" w:color="auto" w:fill="auto"/>
            <w:noWrap/>
            <w:vAlign w:val="center"/>
            <w:hideMark/>
          </w:tcPr>
          <w:p w14:paraId="0840C82D" w14:textId="77777777" w:rsidR="00E67550" w:rsidRPr="007A7345" w:rsidRDefault="00E67550" w:rsidP="00552D3C">
            <w:pPr>
              <w:pStyle w:val="TableText0"/>
              <w:keepNext w:val="0"/>
              <w:widowControl w:val="0"/>
              <w:jc w:val="center"/>
            </w:pPr>
            <w:r w:rsidRPr="007A7345">
              <w:t>100%</w:t>
            </w:r>
          </w:p>
        </w:tc>
        <w:tc>
          <w:tcPr>
            <w:tcW w:w="1020" w:type="dxa"/>
            <w:shd w:val="clear" w:color="auto" w:fill="auto"/>
            <w:noWrap/>
            <w:vAlign w:val="center"/>
            <w:hideMark/>
          </w:tcPr>
          <w:p w14:paraId="384C230A" w14:textId="77777777" w:rsidR="00E67550" w:rsidRPr="007A7345" w:rsidRDefault="00E67550" w:rsidP="00552D3C">
            <w:pPr>
              <w:pStyle w:val="TableText0"/>
              <w:keepNext w:val="0"/>
              <w:widowControl w:val="0"/>
              <w:jc w:val="center"/>
            </w:pPr>
            <w:r w:rsidRPr="007A7345">
              <w:t>71%</w:t>
            </w:r>
          </w:p>
        </w:tc>
        <w:tc>
          <w:tcPr>
            <w:tcW w:w="1020" w:type="dxa"/>
            <w:shd w:val="clear" w:color="auto" w:fill="auto"/>
            <w:noWrap/>
            <w:vAlign w:val="center"/>
            <w:hideMark/>
          </w:tcPr>
          <w:p w14:paraId="5BE9156A" w14:textId="77777777" w:rsidR="00E67550" w:rsidRPr="007A7345" w:rsidRDefault="00E67550" w:rsidP="00552D3C">
            <w:pPr>
              <w:pStyle w:val="TableText0"/>
              <w:keepNext w:val="0"/>
              <w:widowControl w:val="0"/>
              <w:jc w:val="center"/>
            </w:pPr>
            <w:r w:rsidRPr="007A7345">
              <w:t>41%</w:t>
            </w:r>
          </w:p>
        </w:tc>
        <w:tc>
          <w:tcPr>
            <w:tcW w:w="1020" w:type="dxa"/>
            <w:shd w:val="clear" w:color="auto" w:fill="auto"/>
            <w:noWrap/>
            <w:vAlign w:val="center"/>
            <w:hideMark/>
          </w:tcPr>
          <w:p w14:paraId="17E77B19" w14:textId="77777777" w:rsidR="00E67550" w:rsidRPr="007A7345" w:rsidRDefault="00E67550" w:rsidP="00552D3C">
            <w:pPr>
              <w:pStyle w:val="TableText0"/>
              <w:keepNext w:val="0"/>
              <w:widowControl w:val="0"/>
              <w:jc w:val="center"/>
            </w:pPr>
            <w:r w:rsidRPr="007A7345">
              <w:t>36%</w:t>
            </w:r>
          </w:p>
        </w:tc>
        <w:tc>
          <w:tcPr>
            <w:tcW w:w="1020" w:type="dxa"/>
            <w:shd w:val="clear" w:color="auto" w:fill="auto"/>
            <w:noWrap/>
            <w:vAlign w:val="center"/>
            <w:hideMark/>
          </w:tcPr>
          <w:p w14:paraId="266A1DAA" w14:textId="77777777" w:rsidR="00E67550" w:rsidRPr="007A7345" w:rsidRDefault="00E67550" w:rsidP="00552D3C">
            <w:pPr>
              <w:pStyle w:val="TableText0"/>
              <w:keepNext w:val="0"/>
              <w:widowControl w:val="0"/>
              <w:jc w:val="center"/>
            </w:pPr>
            <w:r w:rsidRPr="007A7345">
              <w:t>17%</w:t>
            </w:r>
          </w:p>
        </w:tc>
        <w:tc>
          <w:tcPr>
            <w:tcW w:w="882" w:type="dxa"/>
            <w:shd w:val="clear" w:color="auto" w:fill="auto"/>
            <w:noWrap/>
            <w:vAlign w:val="center"/>
            <w:hideMark/>
          </w:tcPr>
          <w:p w14:paraId="5000C358" w14:textId="77777777" w:rsidR="00E67550" w:rsidRPr="007A7345" w:rsidRDefault="00E67550" w:rsidP="00552D3C">
            <w:pPr>
              <w:pStyle w:val="TableText0"/>
              <w:keepNext w:val="0"/>
              <w:widowControl w:val="0"/>
              <w:jc w:val="center"/>
            </w:pPr>
            <w:r w:rsidRPr="007A7345">
              <w:t>18%</w:t>
            </w:r>
          </w:p>
        </w:tc>
        <w:tc>
          <w:tcPr>
            <w:tcW w:w="1020" w:type="dxa"/>
            <w:shd w:val="clear" w:color="auto" w:fill="auto"/>
            <w:noWrap/>
            <w:vAlign w:val="center"/>
            <w:hideMark/>
          </w:tcPr>
          <w:p w14:paraId="4852F6D6" w14:textId="48B0BDA3" w:rsidR="00E67550" w:rsidRPr="007A7345" w:rsidRDefault="00E67550" w:rsidP="00552D3C">
            <w:pPr>
              <w:pStyle w:val="TableText0"/>
              <w:keepNext w:val="0"/>
              <w:widowControl w:val="0"/>
              <w:jc w:val="center"/>
            </w:pPr>
            <w:r w:rsidRPr="007A7345">
              <w:t>27%</w:t>
            </w:r>
          </w:p>
        </w:tc>
      </w:tr>
      <w:tr w:rsidR="00067771" w:rsidRPr="00DB490D" w14:paraId="2AE6348C" w14:textId="77777777" w:rsidTr="005007F7">
        <w:trPr>
          <w:trHeight w:val="92"/>
        </w:trPr>
        <w:tc>
          <w:tcPr>
            <w:tcW w:w="1928" w:type="dxa"/>
            <w:vMerge w:val="restart"/>
            <w:shd w:val="clear" w:color="auto" w:fill="auto"/>
            <w:vAlign w:val="center"/>
          </w:tcPr>
          <w:p w14:paraId="392E7E42" w14:textId="77777777" w:rsidR="00E67550" w:rsidRPr="00DB490D" w:rsidRDefault="00E67550" w:rsidP="00552D3C">
            <w:pPr>
              <w:pStyle w:val="TableText0"/>
              <w:keepNext w:val="0"/>
              <w:widowControl w:val="0"/>
              <w:rPr>
                <w:iCs/>
              </w:rPr>
            </w:pPr>
            <w:r w:rsidRPr="00DB490D">
              <w:rPr>
                <w:iCs/>
              </w:rPr>
              <w:t xml:space="preserve">Alternative market growth estimates – linear </w:t>
            </w:r>
          </w:p>
        </w:tc>
        <w:tc>
          <w:tcPr>
            <w:tcW w:w="902" w:type="dxa"/>
            <w:shd w:val="clear" w:color="auto" w:fill="auto"/>
            <w:noWrap/>
            <w:vAlign w:val="center"/>
          </w:tcPr>
          <w:p w14:paraId="47AE7342" w14:textId="01B64924" w:rsidR="00E67550" w:rsidRPr="00DB490D" w:rsidRDefault="00E67550" w:rsidP="00552D3C">
            <w:pPr>
              <w:pStyle w:val="TableText0"/>
              <w:keepNext w:val="0"/>
              <w:widowControl w:val="0"/>
              <w:jc w:val="right"/>
              <w:rPr>
                <w:iCs/>
              </w:rPr>
            </w:pPr>
            <w:r w:rsidRPr="00DB490D">
              <w:rPr>
                <w:iCs/>
              </w:rPr>
              <w:t>-$</w:t>
            </w:r>
            <w:r w:rsidR="00204469" w:rsidRPr="00204469">
              <w:rPr>
                <w:rFonts w:hint="eastAsia"/>
                <w:iCs/>
                <w:color w:val="000000"/>
                <w:w w:val="29"/>
                <w:shd w:val="solid" w:color="000000" w:fill="000000"/>
                <w:fitText w:val="130" w:id="-1437437682"/>
                <w14:textFill>
                  <w14:solidFill>
                    <w14:srgbClr w14:val="000000">
                      <w14:alpha w14:val="100000"/>
                    </w14:srgbClr>
                  </w14:solidFill>
                </w14:textFill>
              </w:rPr>
              <w:t xml:space="preserve">　</w:t>
            </w:r>
            <w:r w:rsidR="00204469" w:rsidRPr="00204469">
              <w:rPr>
                <w:iCs/>
                <w:color w:val="000000"/>
                <w:w w:val="29"/>
                <w:shd w:val="solid" w:color="000000" w:fill="000000"/>
                <w:fitText w:val="130" w:id="-1437437682"/>
                <w14:textFill>
                  <w14:solidFill>
                    <w14:srgbClr w14:val="000000">
                      <w14:alpha w14:val="100000"/>
                    </w14:srgbClr>
                  </w14:solidFill>
                </w14:textFill>
              </w:rPr>
              <w:t>|</w:t>
            </w:r>
            <w:r w:rsidR="00204469" w:rsidRPr="00204469">
              <w:rPr>
                <w:rFonts w:hint="eastAsia"/>
                <w:iCs/>
                <w:color w:val="000000"/>
                <w:spacing w:val="2"/>
                <w:w w:val="29"/>
                <w:shd w:val="solid" w:color="000000" w:fill="000000"/>
                <w:fitText w:val="130" w:id="-1437437682"/>
                <w14:textFill>
                  <w14:solidFill>
                    <w14:srgbClr w14:val="000000">
                      <w14:alpha w14:val="100000"/>
                    </w14:srgbClr>
                  </w14:solidFill>
                </w14:textFill>
              </w:rPr>
              <w:t xml:space="preserve">　</w:t>
            </w:r>
            <w:r w:rsidR="00030262">
              <w:rPr>
                <w:vertAlign w:val="superscript"/>
              </w:rPr>
              <w:t>1</w:t>
            </w:r>
          </w:p>
        </w:tc>
        <w:tc>
          <w:tcPr>
            <w:tcW w:w="1020" w:type="dxa"/>
            <w:shd w:val="clear" w:color="auto" w:fill="auto"/>
            <w:noWrap/>
            <w:vAlign w:val="center"/>
          </w:tcPr>
          <w:p w14:paraId="0A88772F" w14:textId="220A5342" w:rsidR="00E67550" w:rsidRPr="00DB490D" w:rsidRDefault="00E67550" w:rsidP="00552D3C">
            <w:pPr>
              <w:pStyle w:val="TableText0"/>
              <w:keepNext w:val="0"/>
              <w:widowControl w:val="0"/>
              <w:jc w:val="right"/>
              <w:rPr>
                <w:iCs/>
              </w:rPr>
            </w:pPr>
            <w:r w:rsidRPr="00DB490D">
              <w:rPr>
                <w:iCs/>
              </w:rPr>
              <w:t>-$</w:t>
            </w:r>
            <w:r w:rsidR="00204469" w:rsidRPr="00204469">
              <w:rPr>
                <w:iCs/>
                <w:color w:val="000000"/>
                <w:shd w:val="solid" w:color="000000" w:fill="000000"/>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tcPr>
          <w:p w14:paraId="3050EF23" w14:textId="0960207B" w:rsidR="00E67550" w:rsidRPr="00DB490D" w:rsidRDefault="00E67550" w:rsidP="00552D3C">
            <w:pPr>
              <w:pStyle w:val="TableText0"/>
              <w:keepNext w:val="0"/>
              <w:widowControl w:val="0"/>
              <w:jc w:val="right"/>
              <w:rPr>
                <w:iCs/>
              </w:rPr>
            </w:pPr>
            <w:r w:rsidRPr="00DB490D">
              <w:rPr>
                <w:iCs/>
              </w:rPr>
              <w:t>-$</w:t>
            </w:r>
            <w:r w:rsidR="00204469" w:rsidRPr="00204469">
              <w:rPr>
                <w:iCs/>
                <w:color w:val="000000"/>
                <w:shd w:val="solid" w:color="000000" w:fill="000000"/>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tcPr>
          <w:p w14:paraId="2BF2D9DF" w14:textId="0A7468B3" w:rsidR="00E67550" w:rsidRPr="00DB490D" w:rsidRDefault="00E67550" w:rsidP="00552D3C">
            <w:pPr>
              <w:pStyle w:val="TableText0"/>
              <w:keepNext w:val="0"/>
              <w:widowControl w:val="0"/>
              <w:jc w:val="right"/>
              <w:rPr>
                <w:iCs/>
              </w:rPr>
            </w:pPr>
            <w:r w:rsidRPr="00DB490D">
              <w:rPr>
                <w:iCs/>
              </w:rPr>
              <w:t>-$</w:t>
            </w:r>
            <w:r w:rsidR="00204469" w:rsidRPr="00204469">
              <w:rPr>
                <w:iCs/>
                <w:color w:val="000000"/>
                <w:shd w:val="solid" w:color="000000" w:fill="000000"/>
                <w14:textFill>
                  <w14:solidFill>
                    <w14:srgbClr w14:val="000000">
                      <w14:alpha w14:val="100000"/>
                    </w14:srgbClr>
                  </w14:solidFill>
                </w14:textFill>
              </w:rPr>
              <w:t>|</w:t>
            </w:r>
            <w:r w:rsidR="00030262">
              <w:rPr>
                <w:vertAlign w:val="superscript"/>
              </w:rPr>
              <w:t>1</w:t>
            </w:r>
          </w:p>
        </w:tc>
        <w:tc>
          <w:tcPr>
            <w:tcW w:w="1020" w:type="dxa"/>
            <w:shd w:val="clear" w:color="auto" w:fill="auto"/>
            <w:noWrap/>
            <w:vAlign w:val="center"/>
          </w:tcPr>
          <w:p w14:paraId="1E9D16C8" w14:textId="7C9F7572" w:rsidR="00E67550" w:rsidRPr="00DB490D" w:rsidRDefault="00E67550" w:rsidP="00552D3C">
            <w:pPr>
              <w:pStyle w:val="TableText0"/>
              <w:keepNext w:val="0"/>
              <w:widowControl w:val="0"/>
              <w:jc w:val="right"/>
              <w:rPr>
                <w:iCs/>
              </w:rPr>
            </w:pPr>
            <w:r w:rsidRPr="00DB490D">
              <w:rPr>
                <w:iCs/>
              </w:rPr>
              <w:t>-$</w:t>
            </w:r>
            <w:r w:rsidR="00204469" w:rsidRPr="00204469">
              <w:rPr>
                <w:iCs/>
                <w:color w:val="000000"/>
                <w:shd w:val="solid" w:color="000000" w:fill="000000"/>
                <w14:textFill>
                  <w14:solidFill>
                    <w14:srgbClr w14:val="000000">
                      <w14:alpha w14:val="100000"/>
                    </w14:srgbClr>
                  </w14:solidFill>
                </w14:textFill>
              </w:rPr>
              <w:t>|</w:t>
            </w:r>
            <w:r w:rsidR="00030262">
              <w:rPr>
                <w:vertAlign w:val="superscript"/>
              </w:rPr>
              <w:t>1</w:t>
            </w:r>
          </w:p>
        </w:tc>
        <w:tc>
          <w:tcPr>
            <w:tcW w:w="882" w:type="dxa"/>
            <w:shd w:val="clear" w:color="auto" w:fill="auto"/>
            <w:noWrap/>
            <w:vAlign w:val="center"/>
          </w:tcPr>
          <w:p w14:paraId="0B7FB72C" w14:textId="32215578" w:rsidR="00E67550" w:rsidRPr="00DB490D" w:rsidRDefault="00E67550" w:rsidP="00552D3C">
            <w:pPr>
              <w:pStyle w:val="TableText0"/>
              <w:keepNext w:val="0"/>
              <w:widowControl w:val="0"/>
              <w:jc w:val="right"/>
              <w:rPr>
                <w:iCs/>
              </w:rPr>
            </w:pPr>
            <w:r w:rsidRPr="00DB490D">
              <w:rPr>
                <w:iCs/>
              </w:rPr>
              <w:t>-$</w:t>
            </w:r>
            <w:r w:rsidR="00204469" w:rsidRPr="00204469">
              <w:rPr>
                <w:rFonts w:hint="eastAsia"/>
                <w:iCs/>
                <w:color w:val="000000"/>
                <w:w w:val="33"/>
                <w:shd w:val="solid" w:color="000000" w:fill="000000"/>
                <w:fitText w:val="150" w:id="-1437437681"/>
                <w14:textFill>
                  <w14:solidFill>
                    <w14:srgbClr w14:val="000000">
                      <w14:alpha w14:val="100000"/>
                    </w14:srgbClr>
                  </w14:solidFill>
                </w14:textFill>
              </w:rPr>
              <w:t xml:space="preserve">　</w:t>
            </w:r>
            <w:r w:rsidR="00204469" w:rsidRPr="00204469">
              <w:rPr>
                <w:iCs/>
                <w:color w:val="000000"/>
                <w:w w:val="33"/>
                <w:shd w:val="solid" w:color="000000" w:fill="000000"/>
                <w:fitText w:val="150" w:id="-1437437681"/>
                <w14:textFill>
                  <w14:solidFill>
                    <w14:srgbClr w14:val="000000">
                      <w14:alpha w14:val="100000"/>
                    </w14:srgbClr>
                  </w14:solidFill>
                </w14:textFill>
              </w:rPr>
              <w:t>|</w:t>
            </w:r>
            <w:r w:rsidR="00204469" w:rsidRPr="00204469">
              <w:rPr>
                <w:rFonts w:hint="eastAsia"/>
                <w:iCs/>
                <w:color w:val="000000"/>
                <w:spacing w:val="4"/>
                <w:w w:val="33"/>
                <w:shd w:val="solid" w:color="000000" w:fill="000000"/>
                <w:fitText w:val="150" w:id="-1437437681"/>
                <w14:textFill>
                  <w14:solidFill>
                    <w14:srgbClr w14:val="000000">
                      <w14:alpha w14:val="100000"/>
                    </w14:srgbClr>
                  </w14:solidFill>
                </w14:textFill>
              </w:rPr>
              <w:t xml:space="preserve">　</w:t>
            </w:r>
            <w:r w:rsidR="00030262">
              <w:rPr>
                <w:vertAlign w:val="superscript"/>
              </w:rPr>
              <w:t>1</w:t>
            </w:r>
          </w:p>
        </w:tc>
        <w:tc>
          <w:tcPr>
            <w:tcW w:w="1020" w:type="dxa"/>
            <w:shd w:val="clear" w:color="auto" w:fill="auto"/>
            <w:noWrap/>
            <w:vAlign w:val="center"/>
          </w:tcPr>
          <w:p w14:paraId="3DA2D585" w14:textId="48108A2B" w:rsidR="00E67550" w:rsidRPr="00DB490D" w:rsidRDefault="00E67550" w:rsidP="00552D3C">
            <w:pPr>
              <w:pStyle w:val="TableText0"/>
              <w:keepNext w:val="0"/>
              <w:widowControl w:val="0"/>
              <w:jc w:val="right"/>
              <w:rPr>
                <w:iCs/>
              </w:rPr>
            </w:pPr>
            <w:r w:rsidRPr="00DB490D">
              <w:rPr>
                <w:iCs/>
              </w:rPr>
              <w:t>-$</w:t>
            </w:r>
            <w:r w:rsidR="00204469" w:rsidRPr="000F0F35">
              <w:rPr>
                <w:rFonts w:hint="eastAsia"/>
                <w:iCs/>
                <w:color w:val="000000"/>
                <w:w w:val="15"/>
                <w:shd w:val="solid" w:color="000000" w:fill="000000"/>
                <w:fitText w:val="10" w:id="-1437437680"/>
                <w14:textFill>
                  <w14:solidFill>
                    <w14:srgbClr w14:val="000000">
                      <w14:alpha w14:val="100000"/>
                    </w14:srgbClr>
                  </w14:solidFill>
                </w14:textFill>
              </w:rPr>
              <w:t xml:space="preserve">　</w:t>
            </w:r>
            <w:r w:rsidR="00204469" w:rsidRPr="000F0F35">
              <w:rPr>
                <w:iCs/>
                <w:color w:val="000000"/>
                <w:w w:val="15"/>
                <w:shd w:val="solid" w:color="000000" w:fill="000000"/>
                <w:fitText w:val="10" w:id="-1437437680"/>
                <w14:textFill>
                  <w14:solidFill>
                    <w14:srgbClr w14:val="000000">
                      <w14:alpha w14:val="100000"/>
                    </w14:srgbClr>
                  </w14:solidFill>
                </w14:textFill>
              </w:rPr>
              <w:t>|</w:t>
            </w:r>
            <w:r w:rsidR="00204469" w:rsidRPr="000F0F35">
              <w:rPr>
                <w:rFonts w:hint="eastAsia"/>
                <w:iCs/>
                <w:color w:val="000000"/>
                <w:spacing w:val="-56"/>
                <w:w w:val="15"/>
                <w:shd w:val="solid" w:color="000000" w:fill="000000"/>
                <w:fitText w:val="10" w:id="-1437437680"/>
                <w14:textFill>
                  <w14:solidFill>
                    <w14:srgbClr w14:val="000000">
                      <w14:alpha w14:val="100000"/>
                    </w14:srgbClr>
                  </w14:solidFill>
                </w14:textFill>
              </w:rPr>
              <w:t xml:space="preserve">　</w:t>
            </w:r>
            <w:r w:rsidR="00030262" w:rsidRPr="00030262">
              <w:rPr>
                <w:bCs w:val="0"/>
                <w:iCs/>
                <w:szCs w:val="20"/>
                <w:vertAlign w:val="superscript"/>
              </w:rPr>
              <w:t>1</w:t>
            </w:r>
          </w:p>
        </w:tc>
      </w:tr>
      <w:tr w:rsidR="00067771" w:rsidRPr="00DB490D" w14:paraId="1E29958C" w14:textId="77777777" w:rsidTr="005007F7">
        <w:trPr>
          <w:trHeight w:val="92"/>
        </w:trPr>
        <w:tc>
          <w:tcPr>
            <w:tcW w:w="1928" w:type="dxa"/>
            <w:vMerge/>
            <w:shd w:val="clear" w:color="auto" w:fill="auto"/>
            <w:vAlign w:val="center"/>
          </w:tcPr>
          <w:p w14:paraId="5C7AA18B" w14:textId="77777777" w:rsidR="00E67550" w:rsidRPr="00DB490D" w:rsidRDefault="00E67550" w:rsidP="00552D3C">
            <w:pPr>
              <w:pStyle w:val="TableText0"/>
              <w:keepNext w:val="0"/>
              <w:widowControl w:val="0"/>
              <w:rPr>
                <w:iCs/>
              </w:rPr>
            </w:pPr>
          </w:p>
        </w:tc>
        <w:tc>
          <w:tcPr>
            <w:tcW w:w="902" w:type="dxa"/>
            <w:shd w:val="clear" w:color="auto" w:fill="auto"/>
            <w:noWrap/>
          </w:tcPr>
          <w:p w14:paraId="679444A9" w14:textId="77777777" w:rsidR="00E67550" w:rsidRPr="007A7345" w:rsidRDefault="00E67550" w:rsidP="00552D3C">
            <w:pPr>
              <w:pStyle w:val="TableText0"/>
              <w:keepNext w:val="0"/>
              <w:widowControl w:val="0"/>
              <w:jc w:val="center"/>
            </w:pPr>
            <w:r w:rsidRPr="007A7345">
              <w:t>83%</w:t>
            </w:r>
          </w:p>
        </w:tc>
        <w:tc>
          <w:tcPr>
            <w:tcW w:w="1020" w:type="dxa"/>
            <w:shd w:val="clear" w:color="auto" w:fill="auto"/>
            <w:noWrap/>
          </w:tcPr>
          <w:p w14:paraId="3E1AE834" w14:textId="77777777" w:rsidR="00E67550" w:rsidRPr="007A7345" w:rsidRDefault="00E67550" w:rsidP="00552D3C">
            <w:pPr>
              <w:pStyle w:val="TableText0"/>
              <w:keepNext w:val="0"/>
              <w:widowControl w:val="0"/>
              <w:jc w:val="center"/>
            </w:pPr>
            <w:r w:rsidRPr="007A7345">
              <w:t>74%</w:t>
            </w:r>
          </w:p>
        </w:tc>
        <w:tc>
          <w:tcPr>
            <w:tcW w:w="1020" w:type="dxa"/>
            <w:shd w:val="clear" w:color="auto" w:fill="auto"/>
            <w:noWrap/>
          </w:tcPr>
          <w:p w14:paraId="294AE071" w14:textId="77777777" w:rsidR="00E67550" w:rsidRPr="007A7345" w:rsidRDefault="00E67550" w:rsidP="00552D3C">
            <w:pPr>
              <w:pStyle w:val="TableText0"/>
              <w:keepNext w:val="0"/>
              <w:widowControl w:val="0"/>
              <w:jc w:val="center"/>
            </w:pPr>
            <w:r w:rsidRPr="007A7345">
              <w:t>69%</w:t>
            </w:r>
          </w:p>
        </w:tc>
        <w:tc>
          <w:tcPr>
            <w:tcW w:w="1020" w:type="dxa"/>
            <w:shd w:val="clear" w:color="auto" w:fill="auto"/>
            <w:noWrap/>
          </w:tcPr>
          <w:p w14:paraId="389128D1" w14:textId="77777777" w:rsidR="00E67550" w:rsidRPr="007A7345" w:rsidRDefault="00E67550" w:rsidP="00552D3C">
            <w:pPr>
              <w:pStyle w:val="TableText0"/>
              <w:keepNext w:val="0"/>
              <w:widowControl w:val="0"/>
              <w:jc w:val="center"/>
            </w:pPr>
            <w:r w:rsidRPr="007A7345">
              <w:t>64%</w:t>
            </w:r>
          </w:p>
        </w:tc>
        <w:tc>
          <w:tcPr>
            <w:tcW w:w="1020" w:type="dxa"/>
            <w:shd w:val="clear" w:color="auto" w:fill="auto"/>
            <w:noWrap/>
          </w:tcPr>
          <w:p w14:paraId="33D7A4A1" w14:textId="77777777" w:rsidR="00E67550" w:rsidRPr="007A7345" w:rsidRDefault="00E67550" w:rsidP="00552D3C">
            <w:pPr>
              <w:pStyle w:val="TableText0"/>
              <w:keepNext w:val="0"/>
              <w:widowControl w:val="0"/>
              <w:jc w:val="center"/>
            </w:pPr>
            <w:r w:rsidRPr="007A7345">
              <w:t>58%</w:t>
            </w:r>
          </w:p>
        </w:tc>
        <w:tc>
          <w:tcPr>
            <w:tcW w:w="882" w:type="dxa"/>
            <w:shd w:val="clear" w:color="auto" w:fill="auto"/>
            <w:noWrap/>
          </w:tcPr>
          <w:p w14:paraId="72D391FF" w14:textId="77777777" w:rsidR="00E67550" w:rsidRPr="007A7345" w:rsidRDefault="00E67550" w:rsidP="00552D3C">
            <w:pPr>
              <w:pStyle w:val="TableText0"/>
              <w:keepNext w:val="0"/>
              <w:widowControl w:val="0"/>
              <w:jc w:val="center"/>
            </w:pPr>
            <w:r w:rsidRPr="007A7345">
              <w:t>51%</w:t>
            </w:r>
          </w:p>
        </w:tc>
        <w:tc>
          <w:tcPr>
            <w:tcW w:w="1020" w:type="dxa"/>
            <w:shd w:val="clear" w:color="auto" w:fill="auto"/>
            <w:noWrap/>
          </w:tcPr>
          <w:p w14:paraId="3994D7DA" w14:textId="3F67EE42" w:rsidR="00E67550" w:rsidRPr="007A7345" w:rsidRDefault="00E67550" w:rsidP="00552D3C">
            <w:pPr>
              <w:pStyle w:val="TableText0"/>
              <w:keepNext w:val="0"/>
              <w:widowControl w:val="0"/>
              <w:jc w:val="center"/>
            </w:pPr>
            <w:r w:rsidRPr="007A7345">
              <w:t>59%</w:t>
            </w:r>
          </w:p>
        </w:tc>
      </w:tr>
    </w:tbl>
    <w:p w14:paraId="50024D0A" w14:textId="6C24D0B6" w:rsidR="00AE399A" w:rsidRDefault="00AE399A" w:rsidP="007F7080">
      <w:pPr>
        <w:pStyle w:val="TableFigureFooter"/>
        <w:widowControl w:val="0"/>
      </w:pPr>
      <w:r w:rsidRPr="0040247D">
        <w:t>Source: Table 4</w:t>
      </w:r>
      <w:r w:rsidR="004F40B4" w:rsidRPr="0040247D">
        <w:t>-</w:t>
      </w:r>
      <w:r w:rsidRPr="0040247D">
        <w:t>9</w:t>
      </w:r>
      <w:r w:rsidR="004F40B4" w:rsidRPr="0040247D">
        <w:t xml:space="preserve"> &amp; Table 4-10</w:t>
      </w:r>
      <w:r w:rsidRPr="0040247D">
        <w:t>, p 1</w:t>
      </w:r>
      <w:r w:rsidR="004F40B4" w:rsidRPr="0040247D">
        <w:t>13-114</w:t>
      </w:r>
      <w:r w:rsidRPr="0040247D">
        <w:t xml:space="preserve"> of the submission</w:t>
      </w:r>
      <w:r w:rsidR="004F40B4" w:rsidRPr="0040247D">
        <w:t>; Financial estimate spreadsheet of submission, ‘</w:t>
      </w:r>
      <w:proofErr w:type="spellStart"/>
      <w:r w:rsidR="004F40B4" w:rsidRPr="0040247D">
        <w:t>Eligard</w:t>
      </w:r>
      <w:proofErr w:type="spellEnd"/>
      <w:r w:rsidR="004F40B4" w:rsidRPr="0040247D">
        <w:t xml:space="preserve"> - Leuprorelin - CPP - Financial Estimates - SA1 - (Final)’</w:t>
      </w:r>
    </w:p>
    <w:p w14:paraId="35E703F5" w14:textId="77777777" w:rsidR="00030262" w:rsidRPr="00D86F1E" w:rsidRDefault="00030262" w:rsidP="00030262">
      <w:pPr>
        <w:pStyle w:val="TableFigureFooter"/>
        <w:keepNext/>
        <w:spacing w:after="0"/>
        <w:contextualSpacing w:val="0"/>
        <w:rPr>
          <w:i/>
        </w:rPr>
      </w:pPr>
      <w:r w:rsidRPr="00D86F1E">
        <w:rPr>
          <w:i/>
        </w:rPr>
        <w:t>The redacted values correspond to the following ranges:</w:t>
      </w:r>
    </w:p>
    <w:p w14:paraId="7A8F90FD" w14:textId="696D1354" w:rsidR="00030262" w:rsidRPr="00281DAB" w:rsidRDefault="00030262" w:rsidP="00030262">
      <w:pPr>
        <w:pStyle w:val="TableFigureFooter"/>
        <w:keepNext/>
        <w:spacing w:after="0"/>
        <w:contextualSpacing w:val="0"/>
      </w:pPr>
      <w:r w:rsidRPr="00D86F1E">
        <w:rPr>
          <w:i/>
          <w:szCs w:val="18"/>
          <w:vertAlign w:val="superscript"/>
        </w:rPr>
        <w:t>1</w:t>
      </w:r>
      <w:r w:rsidRPr="00D86F1E">
        <w:rPr>
          <w:i/>
          <w:szCs w:val="18"/>
        </w:rPr>
        <w:t xml:space="preserve"> </w:t>
      </w:r>
      <w:r w:rsidRPr="00030262">
        <w:rPr>
          <w:i/>
          <w:szCs w:val="18"/>
        </w:rPr>
        <w:t>$0 to &lt; $10 million</w:t>
      </w:r>
    </w:p>
    <w:p w14:paraId="5B67BDBE" w14:textId="77777777" w:rsidR="00030262" w:rsidRPr="0040247D" w:rsidRDefault="00030262" w:rsidP="007F7080">
      <w:pPr>
        <w:pStyle w:val="TableFigureFooter"/>
        <w:widowControl w:val="0"/>
      </w:pPr>
    </w:p>
    <w:p w14:paraId="2238DEE9" w14:textId="35BFD5DA" w:rsidR="00576972" w:rsidRPr="0040247D" w:rsidRDefault="00576972" w:rsidP="007F7080">
      <w:pPr>
        <w:pStyle w:val="4-SubsectionHeading"/>
        <w:keepNext w:val="0"/>
        <w:widowControl w:val="0"/>
      </w:pPr>
      <w:bookmarkStart w:id="42" w:name="_Toc22897648"/>
      <w:bookmarkStart w:id="43" w:name="_Toc103764966"/>
      <w:r w:rsidRPr="0040247D">
        <w:t>Quality Use of Medicines</w:t>
      </w:r>
      <w:bookmarkEnd w:id="42"/>
      <w:bookmarkEnd w:id="43"/>
    </w:p>
    <w:p w14:paraId="1B38DC76" w14:textId="7DC7DD0A" w:rsidR="007309B4" w:rsidRDefault="001E5E7D" w:rsidP="004D6A28">
      <w:pPr>
        <w:pStyle w:val="3-BodyText"/>
        <w:widowControl w:val="0"/>
        <w:ind w:left="709"/>
      </w:pPr>
      <w:r w:rsidRPr="0040247D">
        <w:t xml:space="preserve">The submission stated that </w:t>
      </w:r>
      <w:r w:rsidR="00F974E5" w:rsidRPr="0040247D">
        <w:t xml:space="preserve">the Sponsor will support the reimbursed supply of </w:t>
      </w:r>
      <w:proofErr w:type="spellStart"/>
      <w:r w:rsidR="00F974E5" w:rsidRPr="0040247D">
        <w:t>Eligard</w:t>
      </w:r>
      <w:proofErr w:type="spellEnd"/>
      <w:r w:rsidR="00F974E5" w:rsidRPr="0040247D">
        <w:t xml:space="preserve"> 6 month for CPP in Australia through a range of Quality Use of Medicines</w:t>
      </w:r>
      <w:r w:rsidR="00F87CB9">
        <w:t xml:space="preserve"> (QUM)</w:t>
      </w:r>
      <w:r w:rsidR="00F974E5" w:rsidRPr="0040247D">
        <w:t xml:space="preserve"> initiatives including writing to impacted healthcare professionals explaining the CPP indication. The Sponsor also </w:t>
      </w:r>
      <w:r w:rsidR="004D6A28">
        <w:t>committed to</w:t>
      </w:r>
      <w:r w:rsidR="00F974E5" w:rsidRPr="0040247D">
        <w:t xml:space="preserve"> making available </w:t>
      </w:r>
      <w:r w:rsidR="004D6A28">
        <w:t xml:space="preserve">a </w:t>
      </w:r>
      <w:r w:rsidR="00F974E5" w:rsidRPr="0040247D">
        <w:t xml:space="preserve">video and collateral material on how to mix and administer </w:t>
      </w:r>
      <w:proofErr w:type="spellStart"/>
      <w:r w:rsidR="00F974E5" w:rsidRPr="0040247D">
        <w:t>Eligard</w:t>
      </w:r>
      <w:proofErr w:type="spellEnd"/>
      <w:r w:rsidR="007309B4" w:rsidRPr="0040247D">
        <w:t xml:space="preserve"> 6 month.</w:t>
      </w:r>
    </w:p>
    <w:p w14:paraId="4DAB83FC" w14:textId="4186D033" w:rsidR="00E57B4B" w:rsidRPr="00FF5DCF" w:rsidRDefault="00FF5DCF" w:rsidP="00FF5DCF">
      <w:pPr>
        <w:pStyle w:val="3-BodyText"/>
        <w:widowControl w:val="0"/>
        <w:numPr>
          <w:ilvl w:val="0"/>
          <w:numId w:val="0"/>
        </w:numPr>
        <w:ind w:left="709"/>
      </w:pPr>
      <w:r w:rsidRPr="00C33D30">
        <w:rPr>
          <w:i/>
        </w:rPr>
        <w:t>For more detail on PBAC’s view, see section 7 PBAC outcome.</w:t>
      </w:r>
      <w:bookmarkStart w:id="44" w:name="_Toc103764968"/>
    </w:p>
    <w:bookmarkEnd w:id="44"/>
    <w:p w14:paraId="16A46121" w14:textId="75AEC219" w:rsidR="00237202" w:rsidRDefault="00237202" w:rsidP="00237202">
      <w:pPr>
        <w:pStyle w:val="2-SectionHeading"/>
      </w:pPr>
      <w:r>
        <w:lastRenderedPageBreak/>
        <w:t>PBAC Outcome</w:t>
      </w:r>
    </w:p>
    <w:p w14:paraId="3B83FDA0" w14:textId="3E04C9FB" w:rsidR="00CC3FE4" w:rsidRPr="00CC3FE4" w:rsidRDefault="0064799C" w:rsidP="007934E2">
      <w:pPr>
        <w:widowControl w:val="0"/>
        <w:numPr>
          <w:ilvl w:val="1"/>
          <w:numId w:val="1"/>
        </w:numPr>
        <w:spacing w:after="120"/>
        <w:ind w:left="709"/>
      </w:pPr>
      <w:r>
        <w:t xml:space="preserve">The PBAC recommended the listing of </w:t>
      </w:r>
      <w:proofErr w:type="spellStart"/>
      <w:r w:rsidR="008F61E1">
        <w:t>Eligard</w:t>
      </w:r>
      <w:proofErr w:type="spellEnd"/>
      <w:r w:rsidR="008F61E1">
        <w:t xml:space="preserve"> 6 month</w:t>
      </w:r>
      <w:r w:rsidRPr="0040247D">
        <w:t xml:space="preserve"> for the treatment of CPP</w:t>
      </w:r>
      <w:r w:rsidR="006F319D">
        <w:t xml:space="preserve"> on a cost-minimisation basis to </w:t>
      </w:r>
      <w:proofErr w:type="spellStart"/>
      <w:r w:rsidR="008F61E1">
        <w:t>Lucrin</w:t>
      </w:r>
      <w:proofErr w:type="spellEnd"/>
      <w:r w:rsidR="008F61E1">
        <w:t xml:space="preserve"> Paediatric</w:t>
      </w:r>
      <w:r w:rsidR="00C009F6">
        <w:t xml:space="preserve"> (leuprorelin 3-month)</w:t>
      </w:r>
      <w:r w:rsidR="00A43779">
        <w:t xml:space="preserve">. </w:t>
      </w:r>
      <w:r w:rsidR="00D0138E">
        <w:t>In making this recommendation, t</w:t>
      </w:r>
      <w:r w:rsidR="00D0138E" w:rsidRPr="00D0138E">
        <w:rPr>
          <w:rFonts w:asciiTheme="minorHAnsi" w:hAnsiTheme="minorHAnsi"/>
          <w:snapToGrid w:val="0"/>
          <w:lang w:val="en-GB"/>
        </w:rPr>
        <w:t xml:space="preserve">he PBAC considered that </w:t>
      </w:r>
      <w:proofErr w:type="spellStart"/>
      <w:r w:rsidR="00D0138E" w:rsidRPr="00D0138E">
        <w:rPr>
          <w:rFonts w:asciiTheme="minorHAnsi" w:hAnsiTheme="minorHAnsi"/>
          <w:snapToGrid w:val="0"/>
          <w:lang w:val="en-GB"/>
        </w:rPr>
        <w:t>Eligard</w:t>
      </w:r>
      <w:proofErr w:type="spellEnd"/>
      <w:r w:rsidR="00D0138E" w:rsidRPr="00D0138E">
        <w:rPr>
          <w:rFonts w:asciiTheme="minorHAnsi" w:hAnsiTheme="minorHAnsi"/>
          <w:snapToGrid w:val="0"/>
          <w:lang w:val="en-GB"/>
        </w:rPr>
        <w:t xml:space="preserve"> 6 month was non-inferior in effectiveness and safety to </w:t>
      </w:r>
      <w:proofErr w:type="spellStart"/>
      <w:r w:rsidR="00D0138E" w:rsidRPr="00D0138E">
        <w:rPr>
          <w:rFonts w:asciiTheme="minorHAnsi" w:hAnsiTheme="minorHAnsi"/>
          <w:snapToGrid w:val="0"/>
          <w:lang w:val="en-GB"/>
        </w:rPr>
        <w:t>Lucrin</w:t>
      </w:r>
      <w:proofErr w:type="spellEnd"/>
      <w:r w:rsidR="00D0138E" w:rsidRPr="00D0138E">
        <w:rPr>
          <w:rFonts w:asciiTheme="minorHAnsi" w:hAnsiTheme="minorHAnsi"/>
          <w:snapToGrid w:val="0"/>
          <w:lang w:val="en-GB"/>
        </w:rPr>
        <w:t xml:space="preserve"> Paediatric and </w:t>
      </w:r>
      <w:proofErr w:type="spellStart"/>
      <w:r w:rsidR="00D0138E" w:rsidRPr="00D0138E">
        <w:rPr>
          <w:rFonts w:asciiTheme="minorHAnsi" w:hAnsiTheme="minorHAnsi"/>
          <w:snapToGrid w:val="0"/>
          <w:lang w:val="en-GB"/>
        </w:rPr>
        <w:t>Diphereline</w:t>
      </w:r>
      <w:proofErr w:type="spellEnd"/>
      <w:r w:rsidR="00C009F6">
        <w:rPr>
          <w:rFonts w:asciiTheme="minorHAnsi" w:hAnsiTheme="minorHAnsi"/>
          <w:snapToGrid w:val="0"/>
          <w:lang w:val="en-GB"/>
        </w:rPr>
        <w:t xml:space="preserve"> (triptorelin)</w:t>
      </w:r>
      <w:r w:rsidR="00D0138E" w:rsidRPr="00D0138E">
        <w:rPr>
          <w:rFonts w:asciiTheme="minorHAnsi" w:hAnsiTheme="minorHAnsi"/>
          <w:snapToGrid w:val="0"/>
          <w:lang w:val="en-GB"/>
        </w:rPr>
        <w:t xml:space="preserve"> for the treatment of CPP.</w:t>
      </w:r>
      <w:r w:rsidR="00D0138E">
        <w:rPr>
          <w:rFonts w:asciiTheme="minorHAnsi" w:hAnsiTheme="minorHAnsi"/>
          <w:snapToGrid w:val="0"/>
          <w:lang w:val="en-GB"/>
        </w:rPr>
        <w:t xml:space="preserve"> </w:t>
      </w:r>
    </w:p>
    <w:p w14:paraId="2BDBA0F2" w14:textId="34E11F8C" w:rsidR="00A43779" w:rsidRPr="0040247D" w:rsidRDefault="00A43779" w:rsidP="007934E2">
      <w:pPr>
        <w:widowControl w:val="0"/>
        <w:numPr>
          <w:ilvl w:val="1"/>
          <w:numId w:val="1"/>
        </w:numPr>
        <w:spacing w:after="120"/>
        <w:ind w:left="709"/>
      </w:pPr>
      <w:r>
        <w:t>T</w:t>
      </w:r>
      <w:r w:rsidRPr="0040247D">
        <w:t xml:space="preserve">he </w:t>
      </w:r>
      <w:r>
        <w:t>PBAC considered that the</w:t>
      </w:r>
      <w:r w:rsidRPr="0040247D">
        <w:t xml:space="preserve"> </w:t>
      </w:r>
      <w:proofErr w:type="spellStart"/>
      <w:r w:rsidRPr="0040247D">
        <w:t>equi</w:t>
      </w:r>
      <w:proofErr w:type="spellEnd"/>
      <w:r w:rsidRPr="0040247D">
        <w:t xml:space="preserve">-effective doses over </w:t>
      </w:r>
      <w:r>
        <w:t xml:space="preserve">a </w:t>
      </w:r>
      <w:r w:rsidRPr="0040247D">
        <w:t>1-year period were:</w:t>
      </w:r>
    </w:p>
    <w:p w14:paraId="23BA2999" w14:textId="77777777" w:rsidR="00A43779" w:rsidRPr="0040247D" w:rsidRDefault="00A43779" w:rsidP="008007D9">
      <w:pPr>
        <w:pStyle w:val="ListParagraph"/>
      </w:pPr>
      <w:r w:rsidRPr="0040247D">
        <w:t xml:space="preserve">2 injections of </w:t>
      </w:r>
      <w:proofErr w:type="spellStart"/>
      <w:r w:rsidRPr="0040247D">
        <w:t>Eligard</w:t>
      </w:r>
      <w:proofErr w:type="spellEnd"/>
      <w:r w:rsidRPr="0040247D">
        <w:t xml:space="preserve"> 6 month (45 mg) </w:t>
      </w:r>
      <w:r w:rsidRPr="0040247D">
        <w:rPr>
          <w:rFonts w:cstheme="minorHAnsi"/>
        </w:rPr>
        <w:t>≡</w:t>
      </w:r>
      <w:r w:rsidRPr="0040247D">
        <w:t xml:space="preserve"> 4 injections of </w:t>
      </w:r>
      <w:proofErr w:type="spellStart"/>
      <w:r w:rsidRPr="0040247D">
        <w:t>Lucrin</w:t>
      </w:r>
      <w:proofErr w:type="spellEnd"/>
      <w:r w:rsidRPr="0040247D">
        <w:t xml:space="preserve"> Paediatric </w:t>
      </w:r>
    </w:p>
    <w:p w14:paraId="37DAA993" w14:textId="77777777" w:rsidR="00A43779" w:rsidRPr="0040247D" w:rsidRDefault="00A43779" w:rsidP="008007D9">
      <w:pPr>
        <w:pStyle w:val="ListParagraph"/>
      </w:pPr>
      <w:r w:rsidRPr="0040247D">
        <w:t xml:space="preserve">2 injections of </w:t>
      </w:r>
      <w:proofErr w:type="spellStart"/>
      <w:r w:rsidRPr="0040247D">
        <w:t>Eligard</w:t>
      </w:r>
      <w:proofErr w:type="spellEnd"/>
      <w:r w:rsidRPr="0040247D">
        <w:t xml:space="preserve"> 6 month (45 mg) </w:t>
      </w:r>
      <w:r w:rsidRPr="0040247D">
        <w:rPr>
          <w:rFonts w:cstheme="minorHAnsi"/>
        </w:rPr>
        <w:t>≡</w:t>
      </w:r>
      <w:r w:rsidRPr="0040247D">
        <w:t xml:space="preserve"> 2 injections of </w:t>
      </w:r>
      <w:proofErr w:type="spellStart"/>
      <w:r w:rsidRPr="0040247D">
        <w:t>Diphereline</w:t>
      </w:r>
      <w:proofErr w:type="spellEnd"/>
      <w:r w:rsidRPr="0040247D">
        <w:t xml:space="preserve"> (22.5 mg)</w:t>
      </w:r>
    </w:p>
    <w:p w14:paraId="455FE5B3" w14:textId="77777777" w:rsidR="009F7A8F" w:rsidRPr="009F7A8F" w:rsidRDefault="007A4DB8" w:rsidP="00C3097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accepted </w:t>
      </w:r>
      <w:proofErr w:type="spellStart"/>
      <w:r>
        <w:rPr>
          <w:rFonts w:asciiTheme="minorHAnsi" w:hAnsiTheme="minorHAnsi"/>
          <w:snapToGrid w:val="0"/>
          <w:lang w:val="en-GB"/>
        </w:rPr>
        <w:t>Lucrin</w:t>
      </w:r>
      <w:proofErr w:type="spellEnd"/>
      <w:r>
        <w:rPr>
          <w:rFonts w:asciiTheme="minorHAnsi" w:hAnsiTheme="minorHAnsi"/>
          <w:snapToGrid w:val="0"/>
          <w:lang w:val="en-GB"/>
        </w:rPr>
        <w:t xml:space="preserve"> Paediatric as the primary comparator on the basis that </w:t>
      </w:r>
      <w:r w:rsidR="00C30977">
        <w:rPr>
          <w:rFonts w:asciiTheme="minorHAnsi" w:hAnsiTheme="minorHAnsi"/>
          <w:snapToGrid w:val="0"/>
          <w:lang w:val="en-GB"/>
        </w:rPr>
        <w:t xml:space="preserve">it is </w:t>
      </w:r>
      <w:r w:rsidR="00C30977" w:rsidRPr="0040247D">
        <w:t>pharmacologically the same with the same mode of action</w:t>
      </w:r>
      <w:r w:rsidR="00C30977">
        <w:t xml:space="preserve"> as </w:t>
      </w:r>
      <w:proofErr w:type="spellStart"/>
      <w:r w:rsidR="00C30977">
        <w:t>Eligard</w:t>
      </w:r>
      <w:proofErr w:type="spellEnd"/>
      <w:r w:rsidR="00C30977">
        <w:t xml:space="preserve"> 6 month and </w:t>
      </w:r>
      <w:r w:rsidR="00C30977" w:rsidRPr="0040247D">
        <w:t>is the only leuprorelin acetate product PBS listed for the treatment of CPP</w:t>
      </w:r>
      <w:r w:rsidR="00C30977">
        <w:t>.</w:t>
      </w:r>
      <w:r w:rsidR="00C30977">
        <w:rPr>
          <w:rFonts w:asciiTheme="minorHAnsi" w:hAnsiTheme="minorHAnsi"/>
          <w:snapToGrid w:val="0"/>
          <w:lang w:val="en-GB"/>
        </w:rPr>
        <w:t xml:space="preserve"> </w:t>
      </w:r>
      <w:r w:rsidR="00E13517" w:rsidRPr="00C30977">
        <w:rPr>
          <w:rFonts w:asciiTheme="minorHAnsi" w:hAnsiTheme="minorHAnsi"/>
          <w:snapToGrid w:val="0"/>
          <w:lang w:val="en-GB"/>
        </w:rPr>
        <w:t>The PBA</w:t>
      </w:r>
      <w:r w:rsidR="00EA2616" w:rsidRPr="00C30977">
        <w:rPr>
          <w:rFonts w:asciiTheme="minorHAnsi" w:hAnsiTheme="minorHAnsi"/>
          <w:snapToGrid w:val="0"/>
          <w:lang w:val="en-GB"/>
        </w:rPr>
        <w:t xml:space="preserve">C </w:t>
      </w:r>
      <w:r w:rsidR="00E13517" w:rsidRPr="00C30977">
        <w:rPr>
          <w:rFonts w:asciiTheme="minorHAnsi" w:hAnsiTheme="minorHAnsi"/>
          <w:snapToGrid w:val="0"/>
          <w:lang w:val="en-GB"/>
        </w:rPr>
        <w:t xml:space="preserve">accepted </w:t>
      </w:r>
      <w:proofErr w:type="spellStart"/>
      <w:r w:rsidR="00E13517" w:rsidRPr="00C30977">
        <w:rPr>
          <w:rFonts w:asciiTheme="minorHAnsi" w:hAnsiTheme="minorHAnsi"/>
          <w:snapToGrid w:val="0"/>
          <w:lang w:val="en-GB"/>
        </w:rPr>
        <w:t>Diphereline</w:t>
      </w:r>
      <w:proofErr w:type="spellEnd"/>
      <w:r w:rsidR="00E13517" w:rsidRPr="00C30977">
        <w:rPr>
          <w:rFonts w:asciiTheme="minorHAnsi" w:hAnsiTheme="minorHAnsi"/>
          <w:snapToGrid w:val="0"/>
          <w:lang w:val="en-GB"/>
        </w:rPr>
        <w:t xml:space="preserve"> as </w:t>
      </w:r>
      <w:r w:rsidR="00BB3EFB" w:rsidRPr="00C30977">
        <w:rPr>
          <w:rFonts w:asciiTheme="minorHAnsi" w:hAnsiTheme="minorHAnsi"/>
          <w:snapToGrid w:val="0"/>
          <w:lang w:val="en-GB"/>
        </w:rPr>
        <w:t>a</w:t>
      </w:r>
      <w:r w:rsidRPr="00C30977">
        <w:rPr>
          <w:rFonts w:asciiTheme="minorHAnsi" w:hAnsiTheme="minorHAnsi"/>
          <w:snapToGrid w:val="0"/>
          <w:lang w:val="en-GB"/>
        </w:rPr>
        <w:t xml:space="preserve"> supplementary </w:t>
      </w:r>
      <w:r w:rsidR="00BB3EFB" w:rsidRPr="00C30977">
        <w:rPr>
          <w:rFonts w:asciiTheme="minorHAnsi" w:hAnsiTheme="minorHAnsi"/>
          <w:snapToGrid w:val="0"/>
          <w:lang w:val="en-GB"/>
        </w:rPr>
        <w:t xml:space="preserve">comparator, noting that </w:t>
      </w:r>
      <w:r w:rsidRPr="00C30977">
        <w:rPr>
          <w:rFonts w:asciiTheme="minorHAnsi" w:hAnsiTheme="minorHAnsi"/>
          <w:snapToGrid w:val="0"/>
          <w:lang w:val="en-GB"/>
        </w:rPr>
        <w:t xml:space="preserve">it is used to treat the same indication and has the same dose frequency as </w:t>
      </w:r>
      <w:proofErr w:type="spellStart"/>
      <w:r w:rsidRPr="00C30977">
        <w:rPr>
          <w:rFonts w:asciiTheme="minorHAnsi" w:hAnsiTheme="minorHAnsi"/>
          <w:snapToGrid w:val="0"/>
          <w:lang w:val="en-GB"/>
        </w:rPr>
        <w:t>Eligard</w:t>
      </w:r>
      <w:proofErr w:type="spellEnd"/>
      <w:r w:rsidRPr="00C30977">
        <w:rPr>
          <w:rFonts w:asciiTheme="minorHAnsi" w:hAnsiTheme="minorHAnsi"/>
          <w:snapToGrid w:val="0"/>
          <w:lang w:val="en-GB"/>
        </w:rPr>
        <w:t xml:space="preserve"> 6 month</w:t>
      </w:r>
      <w:r>
        <w:t>.</w:t>
      </w:r>
      <w:r w:rsidR="00C30977">
        <w:t xml:space="preserve"> </w:t>
      </w:r>
    </w:p>
    <w:p w14:paraId="1DC985C6" w14:textId="62F078C6" w:rsidR="00AC3748" w:rsidRPr="0040247D" w:rsidRDefault="00AC3748" w:rsidP="00AC3748">
      <w:pPr>
        <w:pStyle w:val="3-BodyText"/>
      </w:pPr>
      <w:r>
        <w:rPr>
          <w:snapToGrid w:val="0"/>
          <w:lang w:val="en-GB"/>
        </w:rPr>
        <w:t xml:space="preserve">The PBAC noted that the </w:t>
      </w:r>
      <w:r w:rsidRPr="0040247D">
        <w:t>submission was based on a naïve indirect comparison consisting of</w:t>
      </w:r>
      <w:r>
        <w:t xml:space="preserve"> three open label studies and one extension study. The PBAC noted that d</w:t>
      </w:r>
      <w:r w:rsidRPr="00E57B4B">
        <w:t xml:space="preserve">ue to the small sample size, the values could fluctuate widely, and </w:t>
      </w:r>
      <w:r>
        <w:t xml:space="preserve">considered that </w:t>
      </w:r>
      <w:r w:rsidRPr="00E57B4B">
        <w:t xml:space="preserve">the comparative conclusion based on the observed trends </w:t>
      </w:r>
      <w:r>
        <w:t>may be</w:t>
      </w:r>
      <w:r w:rsidRPr="00E57B4B">
        <w:t xml:space="preserve"> uncertain</w:t>
      </w:r>
      <w:r>
        <w:t xml:space="preserve">. However, the PBAC considered that the clinical place of GnRH analogues in the treatment of CPP was well established and considered that the evidence presented was adequate to demonstrate non-inferiority given the rarity of the condition and in the context of the established clinical place of these therapies. For this reason, based on the evidence presented, the PBAC considered that </w:t>
      </w:r>
      <w:proofErr w:type="spellStart"/>
      <w:r>
        <w:t>Eligard</w:t>
      </w:r>
      <w:proofErr w:type="spellEnd"/>
      <w:r>
        <w:t xml:space="preserve"> 6 month is likely to be of similar comparative efficacy to </w:t>
      </w:r>
      <w:proofErr w:type="spellStart"/>
      <w:r>
        <w:t>Lucrin</w:t>
      </w:r>
      <w:proofErr w:type="spellEnd"/>
      <w:r>
        <w:t xml:space="preserve"> Paediatric and </w:t>
      </w:r>
      <w:proofErr w:type="spellStart"/>
      <w:r>
        <w:t>Diphereline</w:t>
      </w:r>
      <w:proofErr w:type="spellEnd"/>
      <w:r>
        <w:t xml:space="preserve"> for the treatment of CPP.</w:t>
      </w:r>
    </w:p>
    <w:p w14:paraId="3ED87D69" w14:textId="35190C5D" w:rsidR="008F61E1" w:rsidRPr="009F7A8F" w:rsidRDefault="008F61E1" w:rsidP="008F61E1">
      <w:pPr>
        <w:widowControl w:val="0"/>
        <w:numPr>
          <w:ilvl w:val="1"/>
          <w:numId w:val="1"/>
        </w:numPr>
        <w:spacing w:after="120"/>
        <w:rPr>
          <w:rFonts w:asciiTheme="minorHAnsi" w:hAnsiTheme="minorHAnsi"/>
          <w:snapToGrid w:val="0"/>
          <w:lang w:val="en-GB"/>
        </w:rPr>
      </w:pPr>
      <w:r>
        <w:t xml:space="preserve">The PBAC noted the submission’s claim that </w:t>
      </w:r>
      <w:proofErr w:type="spellStart"/>
      <w:r>
        <w:t>Eligard</w:t>
      </w:r>
      <w:proofErr w:type="spellEnd"/>
      <w:r>
        <w:t xml:space="preserve"> 6 month addressed an unmet clinical need in patients with CPP </w:t>
      </w:r>
      <w:r w:rsidR="00126D88">
        <w:t>because</w:t>
      </w:r>
      <w:r>
        <w:t xml:space="preserve"> it pr</w:t>
      </w:r>
      <w:r w:rsidRPr="0040247D">
        <w:t xml:space="preserve">ovides longer lasting treatment compared to </w:t>
      </w:r>
      <w:proofErr w:type="spellStart"/>
      <w:r w:rsidRPr="0040247D">
        <w:t>Lucrin</w:t>
      </w:r>
      <w:proofErr w:type="spellEnd"/>
      <w:r w:rsidRPr="0040247D">
        <w:t xml:space="preserve"> Paediatric</w:t>
      </w:r>
      <w:r>
        <w:t xml:space="preserve">; </w:t>
      </w:r>
      <w:r w:rsidRPr="0040247D">
        <w:t xml:space="preserve">is administered less frequently compared to </w:t>
      </w:r>
      <w:proofErr w:type="spellStart"/>
      <w:r w:rsidRPr="0040247D">
        <w:t>Lucrin</w:t>
      </w:r>
      <w:proofErr w:type="spellEnd"/>
      <w:r w:rsidRPr="0040247D">
        <w:t xml:space="preserve"> Paediatric; provides an alternative leuprorelin acetate depot product for children with CPP in case of medication shortages on the PBS; and is administered by a less painful subcutaneous injection compared to </w:t>
      </w:r>
      <w:proofErr w:type="spellStart"/>
      <w:r w:rsidRPr="0040247D">
        <w:t>Lucrin</w:t>
      </w:r>
      <w:proofErr w:type="spellEnd"/>
      <w:r w:rsidRPr="0040247D">
        <w:t xml:space="preserve"> Paediatric which is</w:t>
      </w:r>
      <w:r>
        <w:t xml:space="preserve"> an</w:t>
      </w:r>
      <w:r w:rsidRPr="0040247D">
        <w:t xml:space="preserve"> intramuscular injection.</w:t>
      </w:r>
      <w:r w:rsidRPr="008F61E1">
        <w:rPr>
          <w:iCs/>
        </w:rPr>
        <w:t xml:space="preserve"> </w:t>
      </w:r>
      <w:r w:rsidR="00C30977">
        <w:rPr>
          <w:iCs/>
        </w:rPr>
        <w:t xml:space="preserve">Further, the </w:t>
      </w:r>
      <w:r w:rsidR="00C30977">
        <w:t xml:space="preserve">PBAC noted that there are no PBS listed formulations of leuprorelin that can be administered 6 monthly. </w:t>
      </w:r>
      <w:r>
        <w:rPr>
          <w:iCs/>
        </w:rPr>
        <w:t xml:space="preserve">The PBAC </w:t>
      </w:r>
      <w:r w:rsidR="00297C3D">
        <w:rPr>
          <w:iCs/>
        </w:rPr>
        <w:t xml:space="preserve">noted </w:t>
      </w:r>
      <w:r>
        <w:rPr>
          <w:iCs/>
        </w:rPr>
        <w:t xml:space="preserve">that </w:t>
      </w:r>
      <w:proofErr w:type="spellStart"/>
      <w:r>
        <w:rPr>
          <w:iCs/>
        </w:rPr>
        <w:t>Elig</w:t>
      </w:r>
      <w:r w:rsidR="00844AC4">
        <w:rPr>
          <w:iCs/>
        </w:rPr>
        <w:t>ar</w:t>
      </w:r>
      <w:r>
        <w:rPr>
          <w:iCs/>
        </w:rPr>
        <w:t>d</w:t>
      </w:r>
      <w:proofErr w:type="spellEnd"/>
      <w:r>
        <w:rPr>
          <w:iCs/>
        </w:rPr>
        <w:t xml:space="preserve"> 6 month ha</w:t>
      </w:r>
      <w:r w:rsidR="00AB1AB0">
        <w:rPr>
          <w:iCs/>
        </w:rPr>
        <w:t>s</w:t>
      </w:r>
      <w:r>
        <w:rPr>
          <w:iCs/>
        </w:rPr>
        <w:t xml:space="preserve"> a longer treatment duration and frequency of administration</w:t>
      </w:r>
      <w:r w:rsidR="00AB1AB0">
        <w:rPr>
          <w:iCs/>
        </w:rPr>
        <w:t xml:space="preserve"> compared to </w:t>
      </w:r>
      <w:proofErr w:type="spellStart"/>
      <w:r w:rsidR="00AB1AB0">
        <w:rPr>
          <w:iCs/>
        </w:rPr>
        <w:t>Lucrin</w:t>
      </w:r>
      <w:proofErr w:type="spellEnd"/>
      <w:r w:rsidR="00AB1AB0">
        <w:rPr>
          <w:iCs/>
        </w:rPr>
        <w:t xml:space="preserve"> Paediatric</w:t>
      </w:r>
      <w:r>
        <w:rPr>
          <w:iCs/>
        </w:rPr>
        <w:t xml:space="preserve"> and considered </w:t>
      </w:r>
      <w:r w:rsidR="00844AC4">
        <w:rPr>
          <w:iCs/>
        </w:rPr>
        <w:t>while the clinical need for additional treatment options was low, some patients using leuprorelin may experience a modest benefit from less frequent injections.</w:t>
      </w:r>
      <w:r w:rsidR="00126D88">
        <w:rPr>
          <w:iCs/>
        </w:rPr>
        <w:t xml:space="preserve"> However, the PBAC considered that </w:t>
      </w:r>
      <w:r w:rsidR="00AB1AB0">
        <w:rPr>
          <w:iCs/>
        </w:rPr>
        <w:t xml:space="preserve">the submission claim of less injection site pain </w:t>
      </w:r>
      <w:r w:rsidR="00126D88" w:rsidRPr="00E57B4B">
        <w:t xml:space="preserve">was not adequately supported by the trial data: injection site pain was reported at 31% in TOL2581A </w:t>
      </w:r>
      <w:r w:rsidR="00126D88" w:rsidRPr="00E57B4B">
        <w:lastRenderedPageBreak/>
        <w:t>(</w:t>
      </w:r>
      <w:proofErr w:type="spellStart"/>
      <w:r w:rsidR="00126D88" w:rsidRPr="00E57B4B">
        <w:t>Eligard</w:t>
      </w:r>
      <w:proofErr w:type="spellEnd"/>
      <w:r w:rsidR="00126D88" w:rsidRPr="00E57B4B">
        <w:t xml:space="preserve"> 6 month) compared to 19% and 33% in Lee 2012 and Lee 2104 (</w:t>
      </w:r>
      <w:proofErr w:type="spellStart"/>
      <w:r w:rsidR="00126D88" w:rsidRPr="00E57B4B">
        <w:t>Lucrin</w:t>
      </w:r>
      <w:proofErr w:type="spellEnd"/>
      <w:r w:rsidR="00126D88" w:rsidRPr="00E57B4B">
        <w:t xml:space="preserve"> Paediatric).</w:t>
      </w:r>
    </w:p>
    <w:p w14:paraId="17DE7498" w14:textId="0CBD483D" w:rsidR="009F7A8F" w:rsidRPr="008F61E1" w:rsidRDefault="00961728" w:rsidP="008F61E1">
      <w:pPr>
        <w:widowControl w:val="0"/>
        <w:numPr>
          <w:ilvl w:val="1"/>
          <w:numId w:val="1"/>
        </w:numPr>
        <w:spacing w:after="120"/>
        <w:rPr>
          <w:rFonts w:asciiTheme="minorHAnsi" w:hAnsiTheme="minorHAnsi"/>
          <w:snapToGrid w:val="0"/>
          <w:lang w:val="en-GB"/>
        </w:rPr>
      </w:pPr>
      <w:r>
        <w:t xml:space="preserve">The PBAC </w:t>
      </w:r>
      <w:r w:rsidR="00C72259">
        <w:t>noted that t</w:t>
      </w:r>
      <w:r w:rsidR="00C72259" w:rsidRPr="00E57B4B">
        <w:t>he number of adverse events appear</w:t>
      </w:r>
      <w:r w:rsidR="00C72259">
        <w:t>ed</w:t>
      </w:r>
      <w:r w:rsidR="00C72259" w:rsidRPr="00E57B4B">
        <w:t xml:space="preserve"> to be unfavourable to </w:t>
      </w:r>
      <w:proofErr w:type="spellStart"/>
      <w:r w:rsidR="00C72259" w:rsidRPr="00E57B4B">
        <w:t>Eligard</w:t>
      </w:r>
      <w:proofErr w:type="spellEnd"/>
      <w:r w:rsidR="00C72259" w:rsidRPr="00E57B4B">
        <w:t xml:space="preserve"> 6 month compared to </w:t>
      </w:r>
      <w:proofErr w:type="spellStart"/>
      <w:r w:rsidR="00C72259" w:rsidRPr="00E57B4B">
        <w:t>Lucrin</w:t>
      </w:r>
      <w:proofErr w:type="spellEnd"/>
      <w:r w:rsidR="00C72259" w:rsidRPr="00E57B4B">
        <w:t xml:space="preserve"> Paediatric in the naïve treatment arm, however, </w:t>
      </w:r>
      <w:r w:rsidR="00C72259">
        <w:t xml:space="preserve">was </w:t>
      </w:r>
      <w:r w:rsidR="00C72259" w:rsidRPr="00E57B4B">
        <w:t>favour</w:t>
      </w:r>
      <w:r w:rsidR="00C72259">
        <w:t>able to</w:t>
      </w:r>
      <w:r w:rsidR="00C72259" w:rsidRPr="00E57B4B">
        <w:t xml:space="preserve"> </w:t>
      </w:r>
      <w:proofErr w:type="spellStart"/>
      <w:r w:rsidR="00C72259" w:rsidRPr="00E57B4B">
        <w:t>Eligard</w:t>
      </w:r>
      <w:proofErr w:type="spellEnd"/>
      <w:r w:rsidR="00C72259" w:rsidRPr="00E57B4B">
        <w:t xml:space="preserve"> 6 month when comparing to</w:t>
      </w:r>
      <w:r w:rsidR="00C72259">
        <w:t xml:space="preserve"> the</w:t>
      </w:r>
      <w:r w:rsidR="00C72259" w:rsidRPr="00E57B4B">
        <w:t xml:space="preserve"> Lee 2014 extension, noting that the patients in the Lee 2014 were treatment experienced. </w:t>
      </w:r>
      <w:r w:rsidR="00E311A5">
        <w:t>The PBAC considered that</w:t>
      </w:r>
      <w:r w:rsidR="005F6634">
        <w:t>,</w:t>
      </w:r>
      <w:r w:rsidR="00E311A5">
        <w:t xml:space="preserve"> </w:t>
      </w:r>
      <w:r>
        <w:t>g</w:t>
      </w:r>
      <w:r w:rsidRPr="00E57B4B">
        <w:t xml:space="preserve">iven the high risk of bias of all </w:t>
      </w:r>
      <w:r>
        <w:t xml:space="preserve">the </w:t>
      </w:r>
      <w:r w:rsidRPr="00E57B4B">
        <w:t>included studies and that they were all single arm studies, the comparison</w:t>
      </w:r>
      <w:r>
        <w:t xml:space="preserve"> of safety</w:t>
      </w:r>
      <w:r w:rsidRPr="00E57B4B">
        <w:t xml:space="preserve"> was uncertain</w:t>
      </w:r>
      <w:r w:rsidR="005F6634">
        <w:t>;</w:t>
      </w:r>
      <w:r>
        <w:t xml:space="preserve"> </w:t>
      </w:r>
      <w:r w:rsidR="00E311A5">
        <w:t>h</w:t>
      </w:r>
      <w:r>
        <w:t xml:space="preserve">owever, </w:t>
      </w:r>
      <w:r w:rsidR="006C793B">
        <w:t xml:space="preserve">given </w:t>
      </w:r>
      <w:r>
        <w:t xml:space="preserve">the </w:t>
      </w:r>
      <w:r w:rsidR="006C793B">
        <w:t>established risk/benefit profile of GnRH analogues</w:t>
      </w:r>
      <w:r w:rsidR="00E311A5">
        <w:t>,</w:t>
      </w:r>
      <w:r w:rsidR="006C793B">
        <w:t xml:space="preserve"> considered </w:t>
      </w:r>
      <w:r w:rsidR="00E311A5">
        <w:t>the</w:t>
      </w:r>
      <w:r w:rsidR="006C793B">
        <w:t xml:space="preserve"> claim of non-inferior comparative safety was reasonable.</w:t>
      </w:r>
    </w:p>
    <w:p w14:paraId="3B853EC7" w14:textId="5183B032" w:rsidR="006849D5" w:rsidRPr="00E311A5" w:rsidRDefault="00AF7417" w:rsidP="00E311A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recalled its July 2021 advice that </w:t>
      </w:r>
      <w:r w:rsidRPr="00E57B4B">
        <w:t xml:space="preserve">the differences in age ranges between triptorelin and leuprorelin in the registration studies were unlikely to substantially impact clinical practice and </w:t>
      </w:r>
      <w:r>
        <w:t xml:space="preserve">that </w:t>
      </w:r>
      <w:r w:rsidRPr="00E57B4B">
        <w:t>it was reasonable for the restrictions to reflect the upper subject age ranges in the TGA registration studies</w:t>
      </w:r>
      <w:r>
        <w:t xml:space="preserve">. On this basis the PBAC </w:t>
      </w:r>
      <w:r w:rsidR="003F1769">
        <w:t>recommended</w:t>
      </w:r>
      <w:r>
        <w:t xml:space="preserve"> that </w:t>
      </w:r>
      <w:proofErr w:type="spellStart"/>
      <w:r>
        <w:t>Eligard</w:t>
      </w:r>
      <w:proofErr w:type="spellEnd"/>
      <w:r>
        <w:t xml:space="preserve"> 6 month </w:t>
      </w:r>
      <w:r w:rsidR="003F1769">
        <w:t>be used in patients who had symptom onset prior to their 8</w:t>
      </w:r>
      <w:r w:rsidR="003F1769" w:rsidRPr="003F1769">
        <w:rPr>
          <w:vertAlign w:val="superscript"/>
        </w:rPr>
        <w:t>th</w:t>
      </w:r>
      <w:r w:rsidR="003F1769">
        <w:t xml:space="preserve"> birthday (girls) or 9</w:t>
      </w:r>
      <w:r w:rsidR="003F1769" w:rsidRPr="003F1769">
        <w:rPr>
          <w:vertAlign w:val="superscript"/>
        </w:rPr>
        <w:t>th</w:t>
      </w:r>
      <w:r w:rsidR="003F1769">
        <w:t xml:space="preserve"> birthday (boys), and that treatment could be continued up until their 10</w:t>
      </w:r>
      <w:r w:rsidR="003F1769" w:rsidRPr="003F1769">
        <w:rPr>
          <w:vertAlign w:val="superscript"/>
        </w:rPr>
        <w:t>th</w:t>
      </w:r>
      <w:r w:rsidR="003F1769">
        <w:t xml:space="preserve"> birthday (girls) or 11</w:t>
      </w:r>
      <w:r w:rsidR="003F1769" w:rsidRPr="003F1769">
        <w:rPr>
          <w:vertAlign w:val="superscript"/>
        </w:rPr>
        <w:t>th</w:t>
      </w:r>
      <w:r w:rsidR="003F1769">
        <w:t xml:space="preserve"> birthday (boys), consistent with the restriction of </w:t>
      </w:r>
      <w:proofErr w:type="spellStart"/>
      <w:r w:rsidR="00CE7C27">
        <w:t>Lucrin</w:t>
      </w:r>
      <w:proofErr w:type="spellEnd"/>
      <w:r w:rsidR="00CE7C27">
        <w:t xml:space="preserve"> Paediatric </w:t>
      </w:r>
      <w:r w:rsidR="003F1769">
        <w:t>for CPP.</w:t>
      </w:r>
    </w:p>
    <w:p w14:paraId="536D15A5" w14:textId="56D2071D" w:rsidR="001239F0" w:rsidRDefault="001239F0" w:rsidP="007934E2">
      <w:pPr>
        <w:pStyle w:val="3-BodyText"/>
        <w:rPr>
          <w:rFonts w:eastAsia="Times New Roman" w:cs="Arial"/>
          <w:snapToGrid w:val="0"/>
          <w:szCs w:val="24"/>
          <w:lang w:val="en-GB"/>
        </w:rPr>
      </w:pPr>
      <w:r w:rsidRPr="001239F0">
        <w:rPr>
          <w:rFonts w:eastAsia="Times New Roman" w:cs="Arial"/>
          <w:snapToGrid w:val="0"/>
          <w:szCs w:val="24"/>
          <w:lang w:val="en-GB"/>
        </w:rPr>
        <w:t xml:space="preserve">The PBAC considered that the </w:t>
      </w:r>
      <w:r w:rsidR="00844AC4">
        <w:rPr>
          <w:rFonts w:eastAsia="Times New Roman" w:cs="Arial"/>
          <w:snapToGrid w:val="0"/>
          <w:szCs w:val="24"/>
          <w:lang w:val="en-GB"/>
        </w:rPr>
        <w:t>utilisation and financial</w:t>
      </w:r>
      <w:r w:rsidR="00844AC4" w:rsidRPr="001239F0">
        <w:rPr>
          <w:rFonts w:eastAsia="Times New Roman" w:cs="Arial"/>
          <w:snapToGrid w:val="0"/>
          <w:szCs w:val="24"/>
          <w:lang w:val="en-GB"/>
        </w:rPr>
        <w:t xml:space="preserve"> </w:t>
      </w:r>
      <w:r w:rsidR="00E311A5" w:rsidRPr="001239F0">
        <w:rPr>
          <w:rFonts w:eastAsia="Times New Roman" w:cs="Arial"/>
          <w:snapToGrid w:val="0"/>
          <w:szCs w:val="24"/>
          <w:lang w:val="en-GB"/>
        </w:rPr>
        <w:t xml:space="preserve">estimates </w:t>
      </w:r>
      <w:r>
        <w:rPr>
          <w:rFonts w:eastAsia="Times New Roman" w:cs="Arial"/>
          <w:snapToGrid w:val="0"/>
          <w:szCs w:val="24"/>
          <w:lang w:val="en-GB"/>
        </w:rPr>
        <w:t>we</w:t>
      </w:r>
      <w:r w:rsidR="00E311A5" w:rsidRPr="001239F0">
        <w:rPr>
          <w:rFonts w:eastAsia="Times New Roman" w:cs="Arial"/>
          <w:snapToGrid w:val="0"/>
          <w:szCs w:val="24"/>
          <w:lang w:val="en-GB"/>
        </w:rPr>
        <w:t>re uncertain for two reasons:</w:t>
      </w:r>
    </w:p>
    <w:p w14:paraId="282B3581" w14:textId="1AF81DAE" w:rsidR="001239F0" w:rsidRDefault="001239F0" w:rsidP="001239F0">
      <w:pPr>
        <w:pStyle w:val="ListParagraph"/>
        <w:rPr>
          <w:lang w:val="en-GB"/>
        </w:rPr>
      </w:pPr>
      <w:r>
        <w:rPr>
          <w:lang w:val="en-GB"/>
        </w:rPr>
        <w:t>T</w:t>
      </w:r>
      <w:r w:rsidR="00E311A5" w:rsidRPr="001239F0">
        <w:rPr>
          <w:lang w:val="en-GB"/>
        </w:rPr>
        <w:t>he predicted total number of scripts for the CPP market was uncertain, driven by the method of market growth estimate.</w:t>
      </w:r>
    </w:p>
    <w:p w14:paraId="645AAE75" w14:textId="77777777" w:rsidR="001239F0" w:rsidRDefault="001239F0" w:rsidP="001239F0">
      <w:pPr>
        <w:pStyle w:val="ListParagraph"/>
        <w:rPr>
          <w:lang w:val="en-GB"/>
        </w:rPr>
      </w:pPr>
      <w:r>
        <w:rPr>
          <w:lang w:val="en-GB"/>
        </w:rPr>
        <w:t>T</w:t>
      </w:r>
      <w:r w:rsidR="00E311A5" w:rsidRPr="001239F0">
        <w:rPr>
          <w:lang w:val="en-GB"/>
        </w:rPr>
        <w:t xml:space="preserve">he uptake rates of </w:t>
      </w:r>
      <w:proofErr w:type="spellStart"/>
      <w:r w:rsidR="00E311A5" w:rsidRPr="001239F0">
        <w:rPr>
          <w:lang w:val="en-GB"/>
        </w:rPr>
        <w:t>Eligard</w:t>
      </w:r>
      <w:proofErr w:type="spellEnd"/>
      <w:r w:rsidR="00E311A5" w:rsidRPr="001239F0">
        <w:rPr>
          <w:lang w:val="en-GB"/>
        </w:rPr>
        <w:t xml:space="preserve"> 6 month were assumed and not justified in the submission.</w:t>
      </w:r>
    </w:p>
    <w:p w14:paraId="5E9F2A60" w14:textId="3A68F6C7" w:rsidR="00E311A5" w:rsidRPr="001239F0" w:rsidRDefault="00E311A5" w:rsidP="001239F0">
      <w:pPr>
        <w:pStyle w:val="3-BodyText"/>
        <w:numPr>
          <w:ilvl w:val="0"/>
          <w:numId w:val="0"/>
        </w:numPr>
        <w:ind w:left="720"/>
        <w:rPr>
          <w:snapToGrid w:val="0"/>
          <w:lang w:val="en-GB"/>
        </w:rPr>
      </w:pPr>
      <w:r w:rsidRPr="001239F0">
        <w:rPr>
          <w:snapToGrid w:val="0"/>
          <w:lang w:val="en-GB"/>
        </w:rPr>
        <w:t>However, given</w:t>
      </w:r>
      <w:r w:rsidR="001239F0">
        <w:rPr>
          <w:snapToGrid w:val="0"/>
          <w:lang w:val="en-GB"/>
        </w:rPr>
        <w:t xml:space="preserve"> that</w:t>
      </w:r>
      <w:r w:rsidRPr="001239F0">
        <w:rPr>
          <w:snapToGrid w:val="0"/>
          <w:lang w:val="en-GB"/>
        </w:rPr>
        <w:t xml:space="preserve"> the annual cost of </w:t>
      </w:r>
      <w:proofErr w:type="spellStart"/>
      <w:r w:rsidRPr="001239F0">
        <w:rPr>
          <w:snapToGrid w:val="0"/>
          <w:lang w:val="en-GB"/>
        </w:rPr>
        <w:t>Eligard</w:t>
      </w:r>
      <w:proofErr w:type="spellEnd"/>
      <w:r w:rsidRPr="001239F0">
        <w:rPr>
          <w:snapToGrid w:val="0"/>
          <w:lang w:val="en-GB"/>
        </w:rPr>
        <w:t xml:space="preserve"> 6 month at the requested price for CPP </w:t>
      </w:r>
      <w:r w:rsidR="001239F0">
        <w:rPr>
          <w:snapToGrid w:val="0"/>
          <w:lang w:val="en-GB"/>
        </w:rPr>
        <w:t>wa</w:t>
      </w:r>
      <w:r w:rsidRPr="001239F0">
        <w:rPr>
          <w:snapToGrid w:val="0"/>
          <w:lang w:val="en-GB"/>
        </w:rPr>
        <w:t xml:space="preserve">s less than the cost of alternative gonadotropin-releasing hormone (GnRH) analogues, the </w:t>
      </w:r>
      <w:r w:rsidR="001239F0">
        <w:rPr>
          <w:snapToGrid w:val="0"/>
          <w:lang w:val="en-GB"/>
        </w:rPr>
        <w:t xml:space="preserve">PBAC considered the </w:t>
      </w:r>
      <w:r w:rsidRPr="001239F0">
        <w:rPr>
          <w:snapToGrid w:val="0"/>
          <w:lang w:val="en-GB"/>
        </w:rPr>
        <w:t>listing</w:t>
      </w:r>
      <w:r w:rsidR="001239F0">
        <w:rPr>
          <w:snapToGrid w:val="0"/>
          <w:lang w:val="en-GB"/>
        </w:rPr>
        <w:t xml:space="preserve"> was</w:t>
      </w:r>
      <w:r w:rsidRPr="001239F0">
        <w:rPr>
          <w:snapToGrid w:val="0"/>
          <w:lang w:val="en-GB"/>
        </w:rPr>
        <w:t xml:space="preserve"> likely </w:t>
      </w:r>
      <w:r w:rsidR="001239F0">
        <w:rPr>
          <w:snapToGrid w:val="0"/>
          <w:lang w:val="en-GB"/>
        </w:rPr>
        <w:t>to be</w:t>
      </w:r>
      <w:r w:rsidRPr="001239F0">
        <w:rPr>
          <w:snapToGrid w:val="0"/>
          <w:lang w:val="en-GB"/>
        </w:rPr>
        <w:t xml:space="preserve"> cost saving</w:t>
      </w:r>
      <w:r w:rsidR="00844AC4">
        <w:rPr>
          <w:snapToGrid w:val="0"/>
          <w:lang w:val="en-GB"/>
        </w:rPr>
        <w:t xml:space="preserve"> as it would only replace more expensive alternatives.</w:t>
      </w:r>
    </w:p>
    <w:p w14:paraId="2E9BA17A" w14:textId="365E14E7" w:rsidR="009F7A8F" w:rsidRPr="00C30977" w:rsidRDefault="009F7A8F" w:rsidP="009F7A8F">
      <w:pPr>
        <w:pStyle w:val="3-BodyText"/>
        <w:rPr>
          <w:snapToGrid w:val="0"/>
          <w:lang w:val="en-GB"/>
        </w:rPr>
      </w:pPr>
      <w:r>
        <w:t xml:space="preserve">The PBAC noted that both </w:t>
      </w:r>
      <w:proofErr w:type="spellStart"/>
      <w:r>
        <w:t>Diphereline</w:t>
      </w:r>
      <w:proofErr w:type="spellEnd"/>
      <w:r>
        <w:t xml:space="preserve"> and </w:t>
      </w:r>
      <w:proofErr w:type="spellStart"/>
      <w:r>
        <w:t>Lucrin</w:t>
      </w:r>
      <w:proofErr w:type="spellEnd"/>
      <w:r>
        <w:t xml:space="preserve"> Paediatric are administered as intramuscular injections whereas </w:t>
      </w:r>
      <w:proofErr w:type="spellStart"/>
      <w:r>
        <w:t>Eligard</w:t>
      </w:r>
      <w:proofErr w:type="spellEnd"/>
      <w:r>
        <w:t xml:space="preserve"> 6 month is administered as a subcutaneous injection. </w:t>
      </w:r>
      <w:r w:rsidRPr="0040247D">
        <w:t>The</w:t>
      </w:r>
      <w:r>
        <w:t xml:space="preserve"> PBAC noted that the</w:t>
      </w:r>
      <w:r w:rsidRPr="0040247D">
        <w:t xml:space="preserve"> Sponsor </w:t>
      </w:r>
      <w:r>
        <w:t>had</w:t>
      </w:r>
      <w:r w:rsidRPr="0040247D">
        <w:t xml:space="preserve"> </w:t>
      </w:r>
      <w:r>
        <w:t>committed to</w:t>
      </w:r>
      <w:r w:rsidRPr="0040247D">
        <w:t xml:space="preserve"> </w:t>
      </w:r>
      <w:r w:rsidR="00844AC4">
        <w:t xml:space="preserve">educational and QUM activities to support clinicians with the listing of </w:t>
      </w:r>
      <w:proofErr w:type="spellStart"/>
      <w:r w:rsidRPr="0040247D">
        <w:t>Eligard</w:t>
      </w:r>
      <w:proofErr w:type="spellEnd"/>
      <w:r w:rsidRPr="0040247D">
        <w:t xml:space="preserve"> 6 month</w:t>
      </w:r>
      <w:r>
        <w:t>.</w:t>
      </w:r>
    </w:p>
    <w:p w14:paraId="627F623F" w14:textId="0476AE96" w:rsidR="00AC3748" w:rsidRDefault="001239F0" w:rsidP="00AC3748">
      <w:pPr>
        <w:pStyle w:val="3-BodyText"/>
      </w:pPr>
      <w:r w:rsidRPr="00525B39">
        <w:rPr>
          <w:bCs/>
          <w:snapToGrid w:val="0"/>
          <w:lang w:val="en-GB"/>
        </w:rPr>
        <w:t xml:space="preserve">The PBAC advised that </w:t>
      </w:r>
      <w:proofErr w:type="spellStart"/>
      <w:r>
        <w:rPr>
          <w:bCs/>
          <w:snapToGrid w:val="0"/>
          <w:lang w:val="en-GB"/>
        </w:rPr>
        <w:t>Eligard</w:t>
      </w:r>
      <w:proofErr w:type="spellEnd"/>
      <w:r>
        <w:rPr>
          <w:bCs/>
          <w:snapToGrid w:val="0"/>
          <w:lang w:val="en-GB"/>
        </w:rPr>
        <w:t xml:space="preserve"> 6 month is no</w:t>
      </w:r>
      <w:r w:rsidRPr="00525B39">
        <w:rPr>
          <w:bCs/>
          <w:snapToGrid w:val="0"/>
          <w:lang w:val="en-GB"/>
        </w:rPr>
        <w:t>t suitable for presc</w:t>
      </w:r>
      <w:r>
        <w:rPr>
          <w:bCs/>
          <w:snapToGrid w:val="0"/>
          <w:lang w:val="en-GB"/>
        </w:rPr>
        <w:t xml:space="preserve">ribing by nurse practitioners, noting that </w:t>
      </w:r>
      <w:r w:rsidR="00AC3748">
        <w:t xml:space="preserve">leuprorelin </w:t>
      </w:r>
      <w:r w:rsidR="007B3714">
        <w:t>cannot c</w:t>
      </w:r>
      <w:r w:rsidR="00AC3748">
        <w:t>urrently be prescribed by nurse practitioners for the treatment of CPP</w:t>
      </w:r>
      <w:r w:rsidR="007B3714">
        <w:t>.</w:t>
      </w:r>
    </w:p>
    <w:p w14:paraId="4BE8F01D" w14:textId="740BBAD8" w:rsidR="00AC3748" w:rsidRDefault="008158ED" w:rsidP="00AC3748">
      <w:pPr>
        <w:pStyle w:val="3-BodyText"/>
      </w:pPr>
      <w:r>
        <w:t xml:space="preserve">The PBAC </w:t>
      </w:r>
      <w:r w:rsidR="007B3714" w:rsidRPr="00525B39">
        <w:rPr>
          <w:bCs/>
          <w:snapToGrid w:val="0"/>
          <w:lang w:val="en-GB"/>
        </w:rPr>
        <w:t>recommended that the Early Supply Rule should apply</w:t>
      </w:r>
      <w:r w:rsidR="007B3714">
        <w:t xml:space="preserve"> to</w:t>
      </w:r>
      <w:r>
        <w:t xml:space="preserve"> </w:t>
      </w:r>
      <w:proofErr w:type="spellStart"/>
      <w:r w:rsidR="00AC3748">
        <w:t>Eligard</w:t>
      </w:r>
      <w:proofErr w:type="spellEnd"/>
      <w:r w:rsidR="00AC3748">
        <w:t xml:space="preserve"> 6 month as it currently applies to </w:t>
      </w:r>
      <w:proofErr w:type="spellStart"/>
      <w:r w:rsidR="00AC3748">
        <w:t>Lucrin</w:t>
      </w:r>
      <w:proofErr w:type="spellEnd"/>
      <w:r w:rsidR="00AC3748">
        <w:t xml:space="preserve"> Paediatric.</w:t>
      </w:r>
    </w:p>
    <w:p w14:paraId="5B5F4966" w14:textId="54D20530" w:rsidR="00A43779" w:rsidRDefault="00A43779" w:rsidP="007934E2">
      <w:pPr>
        <w:pStyle w:val="3-BodyText"/>
      </w:pPr>
      <w:r w:rsidRPr="00A43779">
        <w:lastRenderedPageBreak/>
        <w:t xml:space="preserve">The PBAC noted that its recommendation was on a cost-minimisation basis and advised that, because </w:t>
      </w:r>
      <w:proofErr w:type="spellStart"/>
      <w:r w:rsidR="009F7A8F">
        <w:t>Eligard</w:t>
      </w:r>
      <w:proofErr w:type="spellEnd"/>
      <w:r w:rsidR="009F7A8F">
        <w:t xml:space="preserve"> 6 month</w:t>
      </w:r>
      <w:r w:rsidRPr="00A43779">
        <w:t xml:space="preserve"> is not expected to provide a substantial and clinically relevant improvement in efficacy, or reduction of toxicity, over </w:t>
      </w:r>
      <w:proofErr w:type="spellStart"/>
      <w:r w:rsidR="009F7A8F">
        <w:t>Lucrin</w:t>
      </w:r>
      <w:proofErr w:type="spellEnd"/>
      <w:r w:rsidR="009F7A8F">
        <w:t xml:space="preserve"> Paediatric</w:t>
      </w:r>
      <w:r w:rsidRPr="00A43779">
        <w:t xml:space="preserve">, or not expected to address a high and urgent unmet clinical need given the presence of an alternative therapy, the criteria prescribed by the </w:t>
      </w:r>
      <w:r w:rsidRPr="002F3CC4">
        <w:rPr>
          <w:i/>
          <w:iCs/>
        </w:rPr>
        <w:t xml:space="preserve">National Health (Pharmaceuticals and Vaccines – Cost Recovery) Regulations 2022 </w:t>
      </w:r>
      <w:r w:rsidRPr="00A43779">
        <w:t>for Pricing Pathway A were not met.</w:t>
      </w:r>
    </w:p>
    <w:p w14:paraId="73BB0E03" w14:textId="5E14AECA" w:rsidR="00844AC4" w:rsidRDefault="00A43779" w:rsidP="007C238C">
      <w:pPr>
        <w:pStyle w:val="3-BodyText"/>
      </w:pPr>
      <w:r w:rsidRPr="00525B39">
        <w:rPr>
          <w:rFonts w:cs="Arial"/>
          <w:bCs/>
          <w:snapToGrid w:val="0"/>
          <w:lang w:val="en-GB"/>
        </w:rPr>
        <w:t>PBAC noted that this submission is not eligible for an Independent Review</w:t>
      </w:r>
      <w:r>
        <w:rPr>
          <w:rFonts w:cs="Arial"/>
          <w:bCs/>
          <w:snapToGrid w:val="0"/>
          <w:lang w:val="en-GB"/>
        </w:rPr>
        <w:t xml:space="preserve"> as it received a positive recommendation.</w:t>
      </w:r>
    </w:p>
    <w:p w14:paraId="7928BB8D" w14:textId="25A881B5" w:rsidR="00237202" w:rsidRDefault="00237202" w:rsidP="00A43779">
      <w:pPr>
        <w:pStyle w:val="3-BodyText"/>
        <w:numPr>
          <w:ilvl w:val="0"/>
          <w:numId w:val="0"/>
        </w:numPr>
      </w:pPr>
      <w:r w:rsidRPr="00237202">
        <w:rPr>
          <w:b/>
          <w:bCs/>
        </w:rPr>
        <w:t>Outcome:</w:t>
      </w:r>
      <w:r w:rsidRPr="00237202">
        <w:rPr>
          <w:b/>
          <w:bCs/>
        </w:rPr>
        <w:br/>
      </w:r>
      <w:r w:rsidR="00255721">
        <w:t>Recommend</w:t>
      </w:r>
      <w:r w:rsidR="00844AC4">
        <w:t>ed</w:t>
      </w:r>
    </w:p>
    <w:p w14:paraId="4C84D565" w14:textId="77777777" w:rsidR="008E3C46" w:rsidRPr="00255721" w:rsidRDefault="008E3C46" w:rsidP="00A43779">
      <w:pPr>
        <w:pStyle w:val="3-BodyText"/>
        <w:numPr>
          <w:ilvl w:val="0"/>
          <w:numId w:val="0"/>
        </w:numPr>
      </w:pPr>
    </w:p>
    <w:p w14:paraId="6AD935F4" w14:textId="19F2A9A9" w:rsidR="00237202" w:rsidRDefault="00237202" w:rsidP="008E3C46">
      <w:pPr>
        <w:pStyle w:val="2-SectionHeading"/>
      </w:pPr>
      <w:r>
        <w:t>Recommended listing</w:t>
      </w:r>
    </w:p>
    <w:p w14:paraId="0D6365A8" w14:textId="57BB4637" w:rsidR="004450CD" w:rsidRDefault="004450CD" w:rsidP="004450CD">
      <w:pPr>
        <w:pStyle w:val="3-BodyText"/>
      </w:pPr>
      <w:r>
        <w:t>Add</w:t>
      </w:r>
      <w:r w:rsidR="004E518F">
        <w:t xml:space="preserve">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2577"/>
        <w:gridCol w:w="791"/>
        <w:gridCol w:w="792"/>
        <w:gridCol w:w="791"/>
        <w:gridCol w:w="792"/>
        <w:gridCol w:w="1776"/>
      </w:tblGrid>
      <w:tr w:rsidR="00A43779" w:rsidRPr="001428E9" w14:paraId="5E5BC651" w14:textId="77777777" w:rsidTr="008F5750">
        <w:trPr>
          <w:cantSplit/>
          <w:trHeight w:val="20"/>
        </w:trPr>
        <w:tc>
          <w:tcPr>
            <w:tcW w:w="3939" w:type="dxa"/>
            <w:gridSpan w:val="2"/>
            <w:vAlign w:val="center"/>
          </w:tcPr>
          <w:p w14:paraId="304B527E" w14:textId="77777777" w:rsidR="00A43779" w:rsidRPr="00BA681C" w:rsidRDefault="00A43779" w:rsidP="008F5750">
            <w:pPr>
              <w:keepLines/>
              <w:rPr>
                <w:rFonts w:ascii="Arial Narrow" w:hAnsi="Arial Narrow"/>
                <w:b/>
                <w:bCs/>
                <w:color w:val="000000" w:themeColor="text1"/>
                <w:sz w:val="20"/>
                <w:szCs w:val="20"/>
              </w:rPr>
            </w:pPr>
            <w:r w:rsidRPr="00BA681C">
              <w:rPr>
                <w:rFonts w:ascii="Arial Narrow" w:hAnsi="Arial Narrow"/>
                <w:b/>
                <w:bCs/>
                <w:color w:val="000000" w:themeColor="text1"/>
                <w:sz w:val="20"/>
                <w:szCs w:val="20"/>
              </w:rPr>
              <w:t>MEDICINAL PRODUCT</w:t>
            </w:r>
          </w:p>
          <w:p w14:paraId="54A86A30" w14:textId="77777777" w:rsidR="00A43779" w:rsidRPr="00BA681C" w:rsidRDefault="00A43779" w:rsidP="008F5750">
            <w:pPr>
              <w:keepLines/>
              <w:rPr>
                <w:rFonts w:ascii="Arial Narrow" w:hAnsi="Arial Narrow"/>
                <w:b/>
                <w:color w:val="000000" w:themeColor="text1"/>
                <w:sz w:val="20"/>
                <w:szCs w:val="20"/>
              </w:rPr>
            </w:pPr>
            <w:r w:rsidRPr="00BA681C">
              <w:rPr>
                <w:rFonts w:ascii="Arial Narrow" w:hAnsi="Arial Narrow"/>
                <w:b/>
                <w:bCs/>
                <w:color w:val="000000" w:themeColor="text1"/>
                <w:sz w:val="20"/>
                <w:szCs w:val="20"/>
              </w:rPr>
              <w:t>medicinal product pack</w:t>
            </w:r>
          </w:p>
        </w:tc>
        <w:tc>
          <w:tcPr>
            <w:tcW w:w="811" w:type="dxa"/>
            <w:vAlign w:val="center"/>
          </w:tcPr>
          <w:p w14:paraId="5BFE990A" w14:textId="77777777" w:rsidR="00A43779" w:rsidRPr="00BA681C" w:rsidRDefault="00A43779" w:rsidP="008F5750">
            <w:pPr>
              <w:keepLines/>
              <w:jc w:val="center"/>
              <w:rPr>
                <w:rFonts w:ascii="Arial Narrow" w:hAnsi="Arial Narrow"/>
                <w:b/>
                <w:color w:val="000000" w:themeColor="text1"/>
                <w:sz w:val="20"/>
                <w:szCs w:val="20"/>
              </w:rPr>
            </w:pPr>
            <w:r w:rsidRPr="00BA681C">
              <w:rPr>
                <w:rFonts w:ascii="Arial Narrow" w:hAnsi="Arial Narrow"/>
                <w:b/>
                <w:color w:val="000000" w:themeColor="text1"/>
                <w:sz w:val="20"/>
                <w:szCs w:val="20"/>
              </w:rPr>
              <w:t>PBS item code</w:t>
            </w:r>
          </w:p>
        </w:tc>
        <w:tc>
          <w:tcPr>
            <w:tcW w:w="812" w:type="dxa"/>
            <w:vAlign w:val="center"/>
          </w:tcPr>
          <w:p w14:paraId="5141FA29" w14:textId="77777777" w:rsidR="00A43779" w:rsidRPr="00BA681C" w:rsidRDefault="00A43779" w:rsidP="008F5750">
            <w:pPr>
              <w:keepLines/>
              <w:jc w:val="center"/>
              <w:rPr>
                <w:rFonts w:ascii="Arial Narrow" w:hAnsi="Arial Narrow"/>
                <w:b/>
                <w:color w:val="000000" w:themeColor="text1"/>
                <w:sz w:val="20"/>
                <w:szCs w:val="20"/>
              </w:rPr>
            </w:pPr>
            <w:r w:rsidRPr="00BA681C">
              <w:rPr>
                <w:rFonts w:ascii="Arial Narrow" w:hAnsi="Arial Narrow"/>
                <w:b/>
                <w:color w:val="000000" w:themeColor="text1"/>
                <w:sz w:val="20"/>
                <w:szCs w:val="20"/>
              </w:rPr>
              <w:t>Max. qty packs</w:t>
            </w:r>
          </w:p>
        </w:tc>
        <w:tc>
          <w:tcPr>
            <w:tcW w:w="811" w:type="dxa"/>
            <w:vAlign w:val="center"/>
          </w:tcPr>
          <w:p w14:paraId="6B26D574" w14:textId="77777777" w:rsidR="00A43779" w:rsidRPr="00BA681C" w:rsidRDefault="00A43779" w:rsidP="008F5750">
            <w:pPr>
              <w:keepLines/>
              <w:jc w:val="center"/>
              <w:rPr>
                <w:rFonts w:ascii="Arial Narrow" w:hAnsi="Arial Narrow"/>
                <w:b/>
                <w:color w:val="000000" w:themeColor="text1"/>
                <w:sz w:val="20"/>
                <w:szCs w:val="20"/>
              </w:rPr>
            </w:pPr>
            <w:r w:rsidRPr="00BA681C">
              <w:rPr>
                <w:rFonts w:ascii="Arial Narrow" w:hAnsi="Arial Narrow"/>
                <w:b/>
                <w:color w:val="000000" w:themeColor="text1"/>
                <w:sz w:val="20"/>
                <w:szCs w:val="20"/>
              </w:rPr>
              <w:t>Max. qty units</w:t>
            </w:r>
          </w:p>
        </w:tc>
        <w:tc>
          <w:tcPr>
            <w:tcW w:w="812" w:type="dxa"/>
            <w:vAlign w:val="center"/>
          </w:tcPr>
          <w:p w14:paraId="4BD7A5D2" w14:textId="77777777" w:rsidR="00A43779" w:rsidRPr="00BA681C" w:rsidRDefault="00A43779" w:rsidP="008F5750">
            <w:pPr>
              <w:keepLines/>
              <w:jc w:val="center"/>
              <w:rPr>
                <w:rFonts w:ascii="Arial Narrow" w:hAnsi="Arial Narrow"/>
                <w:b/>
                <w:color w:val="000000" w:themeColor="text1"/>
                <w:sz w:val="20"/>
                <w:szCs w:val="20"/>
              </w:rPr>
            </w:pPr>
            <w:r w:rsidRPr="00BA681C">
              <w:rPr>
                <w:rFonts w:ascii="Arial Narrow" w:hAnsi="Arial Narrow"/>
                <w:b/>
                <w:color w:val="000000" w:themeColor="text1"/>
                <w:sz w:val="20"/>
                <w:szCs w:val="20"/>
              </w:rPr>
              <w:t>№.of</w:t>
            </w:r>
          </w:p>
          <w:p w14:paraId="2B014BAC" w14:textId="77777777" w:rsidR="00A43779" w:rsidRPr="00BA681C" w:rsidRDefault="00A43779" w:rsidP="008F5750">
            <w:pPr>
              <w:keepLines/>
              <w:jc w:val="center"/>
              <w:rPr>
                <w:rFonts w:ascii="Arial Narrow" w:hAnsi="Arial Narrow"/>
                <w:b/>
                <w:color w:val="000000" w:themeColor="text1"/>
                <w:sz w:val="20"/>
                <w:szCs w:val="20"/>
              </w:rPr>
            </w:pPr>
            <w:proofErr w:type="spellStart"/>
            <w:r w:rsidRPr="00BA681C">
              <w:rPr>
                <w:rFonts w:ascii="Arial Narrow" w:hAnsi="Arial Narrow"/>
                <w:b/>
                <w:color w:val="000000" w:themeColor="text1"/>
                <w:sz w:val="20"/>
                <w:szCs w:val="20"/>
              </w:rPr>
              <w:t>Rpts</w:t>
            </w:r>
            <w:proofErr w:type="spellEnd"/>
          </w:p>
        </w:tc>
        <w:tc>
          <w:tcPr>
            <w:tcW w:w="1831" w:type="dxa"/>
            <w:vAlign w:val="center"/>
          </w:tcPr>
          <w:p w14:paraId="6BC0CBEA" w14:textId="77777777" w:rsidR="00A43779" w:rsidRPr="00BA681C" w:rsidRDefault="00A43779" w:rsidP="008F5750">
            <w:pPr>
              <w:keepLines/>
              <w:rPr>
                <w:rFonts w:ascii="Arial Narrow" w:hAnsi="Arial Narrow"/>
                <w:b/>
                <w:color w:val="000000" w:themeColor="text1"/>
                <w:sz w:val="20"/>
                <w:szCs w:val="20"/>
                <w:lang w:val="fr-FR"/>
              </w:rPr>
            </w:pPr>
            <w:r w:rsidRPr="00BA681C">
              <w:rPr>
                <w:rFonts w:ascii="Arial Narrow" w:hAnsi="Arial Narrow"/>
                <w:b/>
                <w:color w:val="000000" w:themeColor="text1"/>
                <w:sz w:val="20"/>
                <w:szCs w:val="20"/>
              </w:rPr>
              <w:t>Available brands</w:t>
            </w:r>
          </w:p>
        </w:tc>
      </w:tr>
      <w:tr w:rsidR="00A43779" w:rsidRPr="001428E9" w14:paraId="3EA12B93" w14:textId="77777777" w:rsidTr="008F5750">
        <w:trPr>
          <w:cantSplit/>
          <w:trHeight w:val="20"/>
        </w:trPr>
        <w:tc>
          <w:tcPr>
            <w:tcW w:w="9016" w:type="dxa"/>
            <w:gridSpan w:val="7"/>
            <w:vAlign w:val="center"/>
          </w:tcPr>
          <w:p w14:paraId="01D40A70" w14:textId="77777777" w:rsidR="00A43779" w:rsidRPr="00BA681C" w:rsidRDefault="00A43779" w:rsidP="008F5750">
            <w:pPr>
              <w:keepLines/>
              <w:rPr>
                <w:rFonts w:ascii="Arial Narrow" w:hAnsi="Arial Narrow"/>
                <w:color w:val="000000" w:themeColor="text1"/>
                <w:sz w:val="20"/>
                <w:szCs w:val="20"/>
              </w:rPr>
            </w:pPr>
            <w:r w:rsidRPr="00BA681C">
              <w:rPr>
                <w:rFonts w:ascii="Arial Narrow" w:hAnsi="Arial Narrow"/>
                <w:color w:val="000000" w:themeColor="text1"/>
                <w:sz w:val="20"/>
                <w:szCs w:val="20"/>
              </w:rPr>
              <w:t>LEUPRORELIN</w:t>
            </w:r>
          </w:p>
        </w:tc>
      </w:tr>
      <w:tr w:rsidR="00A43779" w:rsidRPr="001428E9" w14:paraId="530EC25D" w14:textId="77777777" w:rsidTr="008F5750">
        <w:trPr>
          <w:cantSplit/>
          <w:trHeight w:val="20"/>
        </w:trPr>
        <w:tc>
          <w:tcPr>
            <w:tcW w:w="3939" w:type="dxa"/>
            <w:gridSpan w:val="2"/>
            <w:vAlign w:val="center"/>
          </w:tcPr>
          <w:p w14:paraId="48118BC8" w14:textId="77777777" w:rsidR="00A43779" w:rsidRPr="00BA681C" w:rsidRDefault="00A43779" w:rsidP="008F5750">
            <w:pPr>
              <w:keepLines/>
              <w:rPr>
                <w:rFonts w:ascii="Arial Narrow" w:hAnsi="Arial Narrow"/>
                <w:color w:val="000000" w:themeColor="text1"/>
                <w:sz w:val="20"/>
                <w:szCs w:val="20"/>
              </w:rPr>
            </w:pPr>
            <w:r w:rsidRPr="00BA681C">
              <w:rPr>
                <w:rFonts w:ascii="Arial Narrow" w:hAnsi="Arial Narrow"/>
                <w:color w:val="000000" w:themeColor="text1"/>
                <w:sz w:val="20"/>
                <w:szCs w:val="20"/>
              </w:rPr>
              <w:t>leuprorelin acetate 45 mg modified release injection [1 syringe] (&amp;) inert substance diluent [1 syringe], 1 pack</w:t>
            </w:r>
          </w:p>
        </w:tc>
        <w:tc>
          <w:tcPr>
            <w:tcW w:w="811" w:type="dxa"/>
            <w:vAlign w:val="center"/>
          </w:tcPr>
          <w:p w14:paraId="642C5F48" w14:textId="77777777" w:rsidR="00A43779" w:rsidRPr="00BA681C" w:rsidRDefault="00A43779" w:rsidP="008F5750">
            <w:pPr>
              <w:keepLines/>
              <w:jc w:val="center"/>
              <w:rPr>
                <w:rFonts w:ascii="Arial Narrow" w:hAnsi="Arial Narrow"/>
                <w:color w:val="000000" w:themeColor="text1"/>
                <w:sz w:val="20"/>
                <w:szCs w:val="20"/>
              </w:rPr>
            </w:pPr>
            <w:r w:rsidRPr="00BA681C">
              <w:rPr>
                <w:rFonts w:ascii="Arial Narrow" w:hAnsi="Arial Narrow"/>
                <w:color w:val="000000" w:themeColor="text1"/>
                <w:sz w:val="20"/>
                <w:szCs w:val="20"/>
              </w:rPr>
              <w:t>NEW</w:t>
            </w:r>
          </w:p>
        </w:tc>
        <w:tc>
          <w:tcPr>
            <w:tcW w:w="812" w:type="dxa"/>
            <w:vAlign w:val="center"/>
          </w:tcPr>
          <w:p w14:paraId="15502F04" w14:textId="77777777" w:rsidR="00A43779" w:rsidRPr="00BA681C" w:rsidRDefault="00A43779" w:rsidP="008F5750">
            <w:pPr>
              <w:keepLines/>
              <w:jc w:val="center"/>
              <w:rPr>
                <w:rFonts w:ascii="Arial Narrow" w:hAnsi="Arial Narrow"/>
                <w:color w:val="000000" w:themeColor="text1"/>
                <w:sz w:val="20"/>
                <w:szCs w:val="20"/>
              </w:rPr>
            </w:pPr>
            <w:r w:rsidRPr="00BA681C">
              <w:rPr>
                <w:rFonts w:ascii="Arial Narrow" w:hAnsi="Arial Narrow"/>
                <w:color w:val="000000" w:themeColor="text1"/>
                <w:sz w:val="20"/>
                <w:szCs w:val="20"/>
              </w:rPr>
              <w:t>1</w:t>
            </w:r>
          </w:p>
        </w:tc>
        <w:tc>
          <w:tcPr>
            <w:tcW w:w="811" w:type="dxa"/>
            <w:vAlign w:val="center"/>
          </w:tcPr>
          <w:p w14:paraId="40286879" w14:textId="77777777" w:rsidR="00A43779" w:rsidRPr="00BA681C" w:rsidRDefault="00A43779" w:rsidP="008F5750">
            <w:pPr>
              <w:keepLines/>
              <w:jc w:val="center"/>
              <w:rPr>
                <w:rFonts w:ascii="Arial Narrow" w:hAnsi="Arial Narrow"/>
                <w:color w:val="000000" w:themeColor="text1"/>
                <w:sz w:val="20"/>
                <w:szCs w:val="20"/>
              </w:rPr>
            </w:pPr>
            <w:r w:rsidRPr="00BA681C">
              <w:rPr>
                <w:rFonts w:ascii="Arial Narrow" w:hAnsi="Arial Narrow"/>
                <w:color w:val="000000" w:themeColor="text1"/>
                <w:sz w:val="20"/>
                <w:szCs w:val="20"/>
              </w:rPr>
              <w:t>1</w:t>
            </w:r>
          </w:p>
        </w:tc>
        <w:tc>
          <w:tcPr>
            <w:tcW w:w="812" w:type="dxa"/>
            <w:vAlign w:val="center"/>
          </w:tcPr>
          <w:p w14:paraId="693CB063" w14:textId="77777777" w:rsidR="00A43779" w:rsidRPr="00BA681C" w:rsidRDefault="00A43779" w:rsidP="008F5750">
            <w:pPr>
              <w:keepLines/>
              <w:jc w:val="center"/>
              <w:rPr>
                <w:rFonts w:ascii="Arial Narrow" w:hAnsi="Arial Narrow"/>
                <w:color w:val="000000" w:themeColor="text1"/>
                <w:sz w:val="20"/>
                <w:szCs w:val="20"/>
              </w:rPr>
            </w:pPr>
            <w:r w:rsidRPr="00BA681C">
              <w:rPr>
                <w:rFonts w:ascii="Arial Narrow" w:hAnsi="Arial Narrow"/>
                <w:color w:val="000000" w:themeColor="text1"/>
                <w:sz w:val="20"/>
                <w:szCs w:val="20"/>
              </w:rPr>
              <w:t>0</w:t>
            </w:r>
          </w:p>
        </w:tc>
        <w:tc>
          <w:tcPr>
            <w:tcW w:w="1831" w:type="dxa"/>
            <w:vAlign w:val="center"/>
          </w:tcPr>
          <w:p w14:paraId="5847BC47" w14:textId="77777777" w:rsidR="00A43779" w:rsidRPr="00BA681C" w:rsidRDefault="00A43779" w:rsidP="008F5750">
            <w:pPr>
              <w:keepLines/>
              <w:rPr>
                <w:rFonts w:ascii="Arial Narrow" w:hAnsi="Arial Narrow"/>
                <w:color w:val="000000" w:themeColor="text1"/>
                <w:sz w:val="20"/>
                <w:szCs w:val="20"/>
              </w:rPr>
            </w:pPr>
            <w:proofErr w:type="spellStart"/>
            <w:r w:rsidRPr="00BA681C">
              <w:rPr>
                <w:rFonts w:ascii="Arial Narrow" w:hAnsi="Arial Narrow"/>
                <w:color w:val="000000" w:themeColor="text1"/>
                <w:sz w:val="20"/>
                <w:szCs w:val="20"/>
              </w:rPr>
              <w:t>Eligard</w:t>
            </w:r>
            <w:proofErr w:type="spellEnd"/>
            <w:r w:rsidRPr="00BA681C">
              <w:rPr>
                <w:rFonts w:ascii="Arial Narrow" w:hAnsi="Arial Narrow"/>
                <w:color w:val="000000" w:themeColor="text1"/>
                <w:sz w:val="20"/>
                <w:szCs w:val="20"/>
              </w:rPr>
              <w:t xml:space="preserve"> 6 month</w:t>
            </w:r>
          </w:p>
        </w:tc>
      </w:tr>
      <w:tr w:rsidR="00A43779" w:rsidRPr="001428E9" w14:paraId="487D57AD" w14:textId="77777777" w:rsidTr="008F5750">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F7FB4E9" w14:textId="77777777" w:rsidR="00A43779" w:rsidRDefault="00A43779" w:rsidP="008F5750">
            <w:pPr>
              <w:rPr>
                <w:rFonts w:ascii="Arial Narrow" w:hAnsi="Arial Narrow"/>
                <w:color w:val="000000" w:themeColor="text1"/>
                <w:sz w:val="20"/>
                <w:szCs w:val="20"/>
              </w:rPr>
            </w:pPr>
          </w:p>
          <w:p w14:paraId="78434A11" w14:textId="373B7837" w:rsidR="002759B5" w:rsidRPr="00BA681C" w:rsidRDefault="002759B5" w:rsidP="008F5750">
            <w:pPr>
              <w:rPr>
                <w:rFonts w:ascii="Arial Narrow" w:hAnsi="Arial Narrow"/>
                <w:color w:val="000000" w:themeColor="text1"/>
                <w:sz w:val="20"/>
                <w:szCs w:val="20"/>
              </w:rPr>
            </w:pPr>
          </w:p>
        </w:tc>
      </w:tr>
      <w:tr w:rsidR="00A43779" w:rsidRPr="001428E9" w14:paraId="14D57F2A" w14:textId="77777777" w:rsidTr="008F5750">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B995819" w14:textId="77777777" w:rsidR="00A43779" w:rsidRPr="00BA681C" w:rsidRDefault="00A43779" w:rsidP="008F5750">
            <w:pPr>
              <w:keepLines/>
              <w:rPr>
                <w:rFonts w:ascii="Arial Narrow" w:hAnsi="Arial Narrow"/>
                <w:b/>
                <w:color w:val="000000" w:themeColor="text1"/>
                <w:sz w:val="20"/>
                <w:szCs w:val="20"/>
              </w:rPr>
            </w:pPr>
            <w:r w:rsidRPr="00BA681C">
              <w:rPr>
                <w:rFonts w:ascii="Arial Narrow" w:hAnsi="Arial Narrow"/>
                <w:b/>
                <w:color w:val="000000" w:themeColor="text1"/>
                <w:sz w:val="20"/>
                <w:szCs w:val="20"/>
              </w:rPr>
              <w:t>Restriction Summary 6425 / Treatment of Concept: 6425</w:t>
            </w:r>
          </w:p>
        </w:tc>
      </w:tr>
      <w:tr w:rsidR="00A43779" w:rsidRPr="001428E9" w14:paraId="209730EC" w14:textId="77777777" w:rsidTr="008F5750">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5D7C3E0E" w14:textId="59ABE048" w:rsidR="00A43779" w:rsidRPr="00BA681C" w:rsidRDefault="00A43779" w:rsidP="008F5750">
            <w:pPr>
              <w:jc w:val="center"/>
              <w:rPr>
                <w:rFonts w:ascii="Arial Narrow" w:hAnsi="Arial Narrow"/>
                <w:b/>
                <w:color w:val="000000" w:themeColor="text1"/>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2658A16" w14:textId="77777777" w:rsidR="00A43779" w:rsidRPr="00BA681C" w:rsidRDefault="00A43779" w:rsidP="008F5750">
            <w:pPr>
              <w:keepLines/>
              <w:rPr>
                <w:rFonts w:ascii="Arial Narrow" w:hAnsi="Arial Narrow"/>
                <w:color w:val="000000" w:themeColor="text1"/>
                <w:sz w:val="20"/>
                <w:szCs w:val="20"/>
              </w:rPr>
            </w:pPr>
            <w:r w:rsidRPr="00BA681C">
              <w:rPr>
                <w:rFonts w:ascii="Arial Narrow" w:hAnsi="Arial Narrow"/>
                <w:b/>
                <w:color w:val="000000" w:themeColor="text1"/>
                <w:sz w:val="20"/>
                <w:szCs w:val="20"/>
              </w:rPr>
              <w:t xml:space="preserve">Category / Program: </w:t>
            </w:r>
            <w:r w:rsidRPr="00BA681C">
              <w:rPr>
                <w:rFonts w:ascii="Arial Narrow" w:hAnsi="Arial Narrow"/>
                <w:color w:val="000000" w:themeColor="text1"/>
                <w:sz w:val="20"/>
                <w:szCs w:val="20"/>
              </w:rPr>
              <w:t xml:space="preserve">GENERAL – General Schedule (Code GE) </w:t>
            </w:r>
          </w:p>
          <w:p w14:paraId="0C6F3028" w14:textId="77777777" w:rsidR="00A43779" w:rsidRPr="00BA681C" w:rsidRDefault="00A43779" w:rsidP="008F5750">
            <w:pPr>
              <w:keepLines/>
              <w:rPr>
                <w:rFonts w:ascii="Arial Narrow" w:hAnsi="Arial Narrow"/>
                <w:color w:val="000000" w:themeColor="text1"/>
                <w:sz w:val="20"/>
                <w:szCs w:val="20"/>
              </w:rPr>
            </w:pPr>
          </w:p>
        </w:tc>
      </w:tr>
      <w:tr w:rsidR="00A43779" w:rsidRPr="001428E9" w14:paraId="6C535922" w14:textId="77777777" w:rsidTr="008F5750">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33C95A8" w14:textId="77777777" w:rsidR="00A43779" w:rsidRPr="00BA681C" w:rsidRDefault="00A43779" w:rsidP="008F5750">
            <w:pPr>
              <w:rPr>
                <w:rFonts w:ascii="Arial Narrow" w:hAnsi="Arial Narrow"/>
                <w:color w:val="000000" w:themeColor="text1"/>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6462703" w14:textId="77777777" w:rsidR="00A43779" w:rsidRPr="00BA681C" w:rsidRDefault="00A43779" w:rsidP="008F5750">
            <w:pPr>
              <w:keepLines/>
              <w:rPr>
                <w:rFonts w:ascii="Arial Narrow" w:hAnsi="Arial Narrow"/>
                <w:b/>
                <w:color w:val="000000" w:themeColor="text1"/>
                <w:sz w:val="20"/>
                <w:szCs w:val="20"/>
              </w:rPr>
            </w:pPr>
            <w:r w:rsidRPr="00BA681C">
              <w:rPr>
                <w:rFonts w:ascii="Arial Narrow" w:hAnsi="Arial Narrow"/>
                <w:b/>
                <w:color w:val="000000" w:themeColor="text1"/>
                <w:sz w:val="20"/>
                <w:szCs w:val="20"/>
              </w:rPr>
              <w:t xml:space="preserve">Prescriber type: </w:t>
            </w:r>
            <w:r w:rsidRPr="00BA681C">
              <w:rPr>
                <w:rFonts w:ascii="Arial Narrow" w:hAnsi="Arial Narrow"/>
                <w:color w:val="000000" w:themeColor="text1"/>
                <w:sz w:val="20"/>
                <w:szCs w:val="20"/>
              </w:rPr>
              <w:fldChar w:fldCharType="begin">
                <w:ffData>
                  <w:name w:val=""/>
                  <w:enabled/>
                  <w:calcOnExit w:val="0"/>
                  <w:checkBox>
                    <w:sizeAuto/>
                    <w:default w:val="1"/>
                  </w:checkBox>
                </w:ffData>
              </w:fldChar>
            </w:r>
            <w:r w:rsidRPr="00BA681C">
              <w:rPr>
                <w:rFonts w:ascii="Arial Narrow" w:hAnsi="Arial Narrow"/>
                <w:color w:val="000000" w:themeColor="text1"/>
                <w:sz w:val="20"/>
                <w:szCs w:val="20"/>
              </w:rPr>
              <w:instrText xml:space="preserve"> FORMCHECKBOX </w:instrText>
            </w:r>
            <w:r w:rsidR="000F0F35">
              <w:rPr>
                <w:rFonts w:ascii="Arial Narrow" w:hAnsi="Arial Narrow"/>
                <w:color w:val="000000" w:themeColor="text1"/>
                <w:sz w:val="20"/>
                <w:szCs w:val="20"/>
              </w:rPr>
            </w:r>
            <w:r w:rsidR="000F0F35">
              <w:rPr>
                <w:rFonts w:ascii="Arial Narrow" w:hAnsi="Arial Narrow"/>
                <w:color w:val="000000" w:themeColor="text1"/>
                <w:sz w:val="20"/>
                <w:szCs w:val="20"/>
              </w:rPr>
              <w:fldChar w:fldCharType="separate"/>
            </w:r>
            <w:r w:rsidRPr="00BA681C">
              <w:rPr>
                <w:rFonts w:ascii="Arial Narrow" w:hAnsi="Arial Narrow"/>
                <w:color w:val="000000" w:themeColor="text1"/>
                <w:sz w:val="20"/>
                <w:szCs w:val="20"/>
              </w:rPr>
              <w:fldChar w:fldCharType="end"/>
            </w:r>
            <w:r w:rsidRPr="00BA681C">
              <w:rPr>
                <w:rFonts w:ascii="Arial Narrow" w:hAnsi="Arial Narrow"/>
                <w:color w:val="000000" w:themeColor="text1"/>
                <w:sz w:val="20"/>
                <w:szCs w:val="20"/>
              </w:rPr>
              <w:t>Medical Practitioners</w:t>
            </w:r>
          </w:p>
        </w:tc>
      </w:tr>
      <w:tr w:rsidR="00A43779" w:rsidRPr="001428E9" w14:paraId="5F289FC8" w14:textId="77777777" w:rsidTr="008F5750">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548F4C49" w14:textId="77777777" w:rsidR="00A43779" w:rsidRPr="00BA681C" w:rsidRDefault="00A43779" w:rsidP="008F5750">
            <w:pPr>
              <w:rPr>
                <w:rFonts w:ascii="Arial Narrow" w:hAnsi="Arial Narrow"/>
                <w:color w:val="000000" w:themeColor="text1"/>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86E6BC2" w14:textId="77777777" w:rsidR="00A43779" w:rsidRPr="00BA681C" w:rsidRDefault="00A43779" w:rsidP="008F5750">
            <w:pPr>
              <w:keepLines/>
              <w:jc w:val="left"/>
              <w:rPr>
                <w:rFonts w:ascii="Arial Narrow" w:eastAsia="Calibri" w:hAnsi="Arial Narrow"/>
                <w:color w:val="000000" w:themeColor="text1"/>
                <w:sz w:val="20"/>
                <w:szCs w:val="20"/>
              </w:rPr>
            </w:pPr>
            <w:r w:rsidRPr="00BA681C">
              <w:rPr>
                <w:rFonts w:ascii="Arial Narrow" w:hAnsi="Arial Narrow"/>
                <w:b/>
                <w:color w:val="000000" w:themeColor="text1"/>
                <w:sz w:val="20"/>
                <w:szCs w:val="20"/>
              </w:rPr>
              <w:t xml:space="preserve">Restriction type: </w:t>
            </w:r>
            <w:r w:rsidRPr="00BA681C">
              <w:rPr>
                <w:rFonts w:ascii="Arial Narrow" w:eastAsia="Calibri" w:hAnsi="Arial Narrow"/>
                <w:color w:val="000000" w:themeColor="text1"/>
                <w:sz w:val="20"/>
                <w:szCs w:val="20"/>
              </w:rPr>
              <w:br/>
            </w:r>
            <w:r w:rsidRPr="00BA681C">
              <w:rPr>
                <w:rFonts w:ascii="Arial Narrow" w:eastAsia="Calibri" w:hAnsi="Arial Narrow"/>
                <w:color w:val="000000" w:themeColor="text1"/>
                <w:sz w:val="20"/>
                <w:szCs w:val="20"/>
              </w:rPr>
              <w:fldChar w:fldCharType="begin">
                <w:ffData>
                  <w:name w:val="Check1"/>
                  <w:enabled/>
                  <w:calcOnExit w:val="0"/>
                  <w:checkBox>
                    <w:sizeAuto/>
                    <w:default w:val="1"/>
                  </w:checkBox>
                </w:ffData>
              </w:fldChar>
            </w:r>
            <w:r w:rsidRPr="00BA681C">
              <w:rPr>
                <w:rFonts w:ascii="Arial Narrow" w:eastAsia="Calibri" w:hAnsi="Arial Narrow"/>
                <w:color w:val="000000" w:themeColor="text1"/>
                <w:sz w:val="20"/>
                <w:szCs w:val="20"/>
              </w:rPr>
              <w:instrText xml:space="preserve"> FORMCHECKBOX </w:instrText>
            </w:r>
            <w:r w:rsidR="000F0F35">
              <w:rPr>
                <w:rFonts w:ascii="Arial Narrow" w:eastAsia="Calibri" w:hAnsi="Arial Narrow"/>
                <w:color w:val="000000" w:themeColor="text1"/>
                <w:sz w:val="20"/>
                <w:szCs w:val="20"/>
              </w:rPr>
            </w:r>
            <w:r w:rsidR="000F0F35">
              <w:rPr>
                <w:rFonts w:ascii="Arial Narrow" w:eastAsia="Calibri" w:hAnsi="Arial Narrow"/>
                <w:color w:val="000000" w:themeColor="text1"/>
                <w:sz w:val="20"/>
                <w:szCs w:val="20"/>
              </w:rPr>
              <w:fldChar w:fldCharType="separate"/>
            </w:r>
            <w:r w:rsidRPr="00BA681C">
              <w:rPr>
                <w:rFonts w:ascii="Arial Narrow" w:eastAsia="Calibri" w:hAnsi="Arial Narrow"/>
                <w:color w:val="000000" w:themeColor="text1"/>
                <w:sz w:val="20"/>
                <w:szCs w:val="20"/>
              </w:rPr>
              <w:fldChar w:fldCharType="end"/>
            </w:r>
            <w:r w:rsidRPr="00BA681C">
              <w:rPr>
                <w:rFonts w:ascii="Arial Narrow" w:eastAsia="Calibri" w:hAnsi="Arial Narrow"/>
                <w:color w:val="000000" w:themeColor="text1"/>
                <w:sz w:val="20"/>
                <w:szCs w:val="20"/>
              </w:rPr>
              <w:t>Restricted benefit</w:t>
            </w:r>
          </w:p>
        </w:tc>
      </w:tr>
      <w:tr w:rsidR="00A43779" w:rsidRPr="001428E9" w14:paraId="7461765F" w14:textId="77777777" w:rsidTr="008F5750">
        <w:tblPrEx>
          <w:tblCellMar>
            <w:top w:w="15" w:type="dxa"/>
            <w:bottom w:w="15" w:type="dxa"/>
          </w:tblCellMar>
          <w:tblLook w:val="04A0" w:firstRow="1" w:lastRow="0" w:firstColumn="1" w:lastColumn="0" w:noHBand="0" w:noVBand="1"/>
        </w:tblPrEx>
        <w:trPr>
          <w:cantSplit/>
          <w:trHeight w:val="20"/>
        </w:trPr>
        <w:tc>
          <w:tcPr>
            <w:tcW w:w="1271" w:type="dxa"/>
            <w:vMerge/>
            <w:vAlign w:val="center"/>
          </w:tcPr>
          <w:p w14:paraId="34869F3D" w14:textId="77777777" w:rsidR="00A43779" w:rsidRPr="00BA681C" w:rsidRDefault="00A43779" w:rsidP="008F5750">
            <w:pPr>
              <w:keepLines/>
              <w:jc w:val="center"/>
              <w:rPr>
                <w:rFonts w:ascii="Arial Narrow" w:hAnsi="Arial Narrow"/>
                <w:color w:val="000000" w:themeColor="text1"/>
                <w:sz w:val="20"/>
                <w:szCs w:val="20"/>
              </w:rPr>
            </w:pPr>
          </w:p>
        </w:tc>
        <w:tc>
          <w:tcPr>
            <w:tcW w:w="7745" w:type="dxa"/>
            <w:gridSpan w:val="6"/>
            <w:vAlign w:val="center"/>
          </w:tcPr>
          <w:p w14:paraId="2B97A9FF" w14:textId="77777777" w:rsidR="00A43779" w:rsidRPr="00BA681C" w:rsidRDefault="00A43779" w:rsidP="008F5750">
            <w:pPr>
              <w:keepLines/>
              <w:rPr>
                <w:rFonts w:ascii="Arial Narrow" w:hAnsi="Arial Narrow"/>
                <w:b/>
                <w:bCs/>
                <w:color w:val="000000" w:themeColor="text1"/>
                <w:sz w:val="20"/>
                <w:szCs w:val="20"/>
              </w:rPr>
            </w:pPr>
            <w:r w:rsidRPr="00BA681C">
              <w:rPr>
                <w:rFonts w:ascii="Arial Narrow" w:hAnsi="Arial Narrow"/>
                <w:b/>
                <w:bCs/>
                <w:color w:val="000000" w:themeColor="text1"/>
                <w:sz w:val="20"/>
                <w:szCs w:val="20"/>
              </w:rPr>
              <w:t xml:space="preserve">Condition: </w:t>
            </w:r>
            <w:r w:rsidRPr="00BA681C">
              <w:rPr>
                <w:rFonts w:ascii="Arial Narrow" w:hAnsi="Arial Narrow"/>
                <w:bCs/>
                <w:color w:val="000000" w:themeColor="text1"/>
                <w:sz w:val="20"/>
                <w:szCs w:val="20"/>
              </w:rPr>
              <w:t>Central precocious puberty</w:t>
            </w:r>
          </w:p>
        </w:tc>
      </w:tr>
      <w:tr w:rsidR="00A43779" w:rsidRPr="001428E9" w14:paraId="73035928" w14:textId="77777777" w:rsidTr="0066642A">
        <w:tblPrEx>
          <w:tblCellMar>
            <w:top w:w="15" w:type="dxa"/>
            <w:bottom w:w="15" w:type="dxa"/>
          </w:tblCellMar>
          <w:tblLook w:val="04A0" w:firstRow="1" w:lastRow="0" w:firstColumn="1" w:lastColumn="0" w:noHBand="0" w:noVBand="1"/>
        </w:tblPrEx>
        <w:trPr>
          <w:cantSplit/>
          <w:trHeight w:val="20"/>
        </w:trPr>
        <w:tc>
          <w:tcPr>
            <w:tcW w:w="1271" w:type="dxa"/>
            <w:vAlign w:val="center"/>
          </w:tcPr>
          <w:p w14:paraId="5A071970" w14:textId="31C8184D" w:rsidR="00A43779" w:rsidRPr="00BA681C" w:rsidRDefault="00A43779" w:rsidP="008F5750">
            <w:pPr>
              <w:keepLines/>
              <w:jc w:val="center"/>
              <w:rPr>
                <w:rFonts w:ascii="Arial Narrow" w:hAnsi="Arial Narrow"/>
                <w:color w:val="000000" w:themeColor="text1"/>
                <w:sz w:val="20"/>
                <w:szCs w:val="20"/>
              </w:rPr>
            </w:pPr>
          </w:p>
        </w:tc>
        <w:tc>
          <w:tcPr>
            <w:tcW w:w="7745" w:type="dxa"/>
            <w:gridSpan w:val="6"/>
            <w:vAlign w:val="center"/>
            <w:hideMark/>
          </w:tcPr>
          <w:p w14:paraId="5D67D280" w14:textId="77777777" w:rsidR="00A43779" w:rsidRPr="00BA681C" w:rsidRDefault="00A43779" w:rsidP="008F5750">
            <w:pPr>
              <w:keepLines/>
              <w:rPr>
                <w:rFonts w:ascii="Arial Narrow" w:hAnsi="Arial Narrow"/>
                <w:color w:val="000000" w:themeColor="text1"/>
                <w:sz w:val="20"/>
                <w:szCs w:val="20"/>
              </w:rPr>
            </w:pPr>
            <w:r w:rsidRPr="00BA681C">
              <w:rPr>
                <w:rFonts w:ascii="Arial Narrow" w:hAnsi="Arial Narrow"/>
                <w:b/>
                <w:bCs/>
                <w:color w:val="000000" w:themeColor="text1"/>
                <w:sz w:val="20"/>
                <w:szCs w:val="20"/>
              </w:rPr>
              <w:t>Indication:</w:t>
            </w:r>
            <w:r w:rsidRPr="00BA681C">
              <w:rPr>
                <w:rFonts w:ascii="Arial Narrow" w:hAnsi="Arial Narrow"/>
                <w:color w:val="000000" w:themeColor="text1"/>
                <w:sz w:val="20"/>
                <w:szCs w:val="20"/>
              </w:rPr>
              <w:t xml:space="preserve"> </w:t>
            </w:r>
            <w:r w:rsidRPr="00BA681C">
              <w:rPr>
                <w:rFonts w:ascii="Arial Narrow" w:hAnsi="Arial Narrow"/>
                <w:bCs/>
                <w:color w:val="000000" w:themeColor="text1"/>
                <w:sz w:val="20"/>
                <w:szCs w:val="20"/>
              </w:rPr>
              <w:t>Central precocious puberty</w:t>
            </w:r>
          </w:p>
        </w:tc>
      </w:tr>
      <w:tr w:rsidR="00A43779" w:rsidRPr="001428E9" w14:paraId="4B6A319F" w14:textId="77777777" w:rsidTr="0066642A">
        <w:tblPrEx>
          <w:tblCellMar>
            <w:top w:w="15" w:type="dxa"/>
            <w:bottom w:w="15" w:type="dxa"/>
          </w:tblCellMar>
          <w:tblLook w:val="04A0" w:firstRow="1" w:lastRow="0" w:firstColumn="1" w:lastColumn="0" w:noHBand="0" w:noVBand="1"/>
        </w:tblPrEx>
        <w:trPr>
          <w:cantSplit/>
          <w:trHeight w:val="20"/>
        </w:trPr>
        <w:tc>
          <w:tcPr>
            <w:tcW w:w="1271" w:type="dxa"/>
            <w:vAlign w:val="center"/>
          </w:tcPr>
          <w:p w14:paraId="62803982" w14:textId="77777777" w:rsidR="00A43779" w:rsidRPr="00BA681C" w:rsidRDefault="00A43779" w:rsidP="008F5750">
            <w:pPr>
              <w:jc w:val="center"/>
              <w:rPr>
                <w:rFonts w:ascii="Arial Narrow" w:hAnsi="Arial Narrow"/>
                <w:color w:val="000000" w:themeColor="text1"/>
                <w:sz w:val="20"/>
                <w:szCs w:val="20"/>
              </w:rPr>
            </w:pPr>
          </w:p>
        </w:tc>
        <w:tc>
          <w:tcPr>
            <w:tcW w:w="7745" w:type="dxa"/>
            <w:gridSpan w:val="6"/>
            <w:vAlign w:val="center"/>
            <w:hideMark/>
          </w:tcPr>
          <w:p w14:paraId="6C2B124E" w14:textId="77777777" w:rsidR="00A43779" w:rsidRPr="00BA681C" w:rsidRDefault="00A43779" w:rsidP="008F5750">
            <w:pPr>
              <w:rPr>
                <w:rFonts w:ascii="Arial Narrow" w:hAnsi="Arial Narrow"/>
                <w:color w:val="000000" w:themeColor="text1"/>
                <w:sz w:val="20"/>
                <w:szCs w:val="20"/>
              </w:rPr>
            </w:pPr>
            <w:r w:rsidRPr="00BA681C">
              <w:rPr>
                <w:rFonts w:ascii="Arial Narrow" w:hAnsi="Arial Narrow"/>
                <w:b/>
                <w:bCs/>
                <w:color w:val="000000" w:themeColor="text1"/>
                <w:sz w:val="20"/>
                <w:szCs w:val="20"/>
              </w:rPr>
              <w:t>Treatment Phase:</w:t>
            </w:r>
            <w:r w:rsidRPr="00BA681C">
              <w:rPr>
                <w:rFonts w:ascii="Arial Narrow" w:hAnsi="Arial Narrow"/>
                <w:color w:val="000000" w:themeColor="text1"/>
                <w:sz w:val="20"/>
                <w:szCs w:val="20"/>
              </w:rPr>
              <w:t xml:space="preserve"> Initial treatment</w:t>
            </w:r>
          </w:p>
        </w:tc>
      </w:tr>
      <w:tr w:rsidR="00A43779" w:rsidRPr="001428E9" w14:paraId="61178273" w14:textId="77777777" w:rsidTr="0066642A">
        <w:tblPrEx>
          <w:tblCellMar>
            <w:top w:w="15" w:type="dxa"/>
            <w:bottom w:w="15" w:type="dxa"/>
          </w:tblCellMar>
          <w:tblLook w:val="04A0" w:firstRow="1" w:lastRow="0" w:firstColumn="1" w:lastColumn="0" w:noHBand="0" w:noVBand="1"/>
        </w:tblPrEx>
        <w:trPr>
          <w:cantSplit/>
          <w:trHeight w:val="20"/>
        </w:trPr>
        <w:tc>
          <w:tcPr>
            <w:tcW w:w="1271" w:type="dxa"/>
            <w:vAlign w:val="center"/>
          </w:tcPr>
          <w:p w14:paraId="15AF2C3D" w14:textId="77777777" w:rsidR="00A43779" w:rsidRPr="00BA681C" w:rsidRDefault="00A43779" w:rsidP="008F5750">
            <w:pPr>
              <w:jc w:val="center"/>
              <w:rPr>
                <w:rFonts w:ascii="Arial Narrow" w:hAnsi="Arial Narrow"/>
                <w:color w:val="000000" w:themeColor="text1"/>
                <w:sz w:val="20"/>
                <w:szCs w:val="20"/>
              </w:rPr>
            </w:pPr>
          </w:p>
        </w:tc>
        <w:tc>
          <w:tcPr>
            <w:tcW w:w="7745" w:type="dxa"/>
            <w:gridSpan w:val="6"/>
            <w:vAlign w:val="center"/>
            <w:hideMark/>
          </w:tcPr>
          <w:p w14:paraId="7C40E82A" w14:textId="77777777" w:rsidR="00A43779" w:rsidRPr="00BA681C" w:rsidRDefault="00A43779" w:rsidP="008F5750">
            <w:pPr>
              <w:rPr>
                <w:rFonts w:ascii="Arial Narrow" w:hAnsi="Arial Narrow"/>
                <w:color w:val="000000" w:themeColor="text1"/>
                <w:sz w:val="20"/>
                <w:szCs w:val="20"/>
              </w:rPr>
            </w:pPr>
            <w:r w:rsidRPr="00BA681C">
              <w:rPr>
                <w:rFonts w:ascii="Arial Narrow" w:hAnsi="Arial Narrow"/>
                <w:b/>
                <w:bCs/>
                <w:color w:val="000000" w:themeColor="text1"/>
                <w:sz w:val="20"/>
                <w:szCs w:val="20"/>
              </w:rPr>
              <w:t xml:space="preserve">Clinical criteria: </w:t>
            </w:r>
          </w:p>
        </w:tc>
      </w:tr>
      <w:tr w:rsidR="00A43779" w:rsidRPr="001428E9" w14:paraId="0E00CD7D" w14:textId="77777777" w:rsidTr="0066642A">
        <w:tblPrEx>
          <w:tblCellMar>
            <w:top w:w="15" w:type="dxa"/>
            <w:bottom w:w="15" w:type="dxa"/>
          </w:tblCellMar>
          <w:tblLook w:val="04A0" w:firstRow="1" w:lastRow="0" w:firstColumn="1" w:lastColumn="0" w:noHBand="0" w:noVBand="1"/>
        </w:tblPrEx>
        <w:trPr>
          <w:cantSplit/>
          <w:trHeight w:val="20"/>
        </w:trPr>
        <w:tc>
          <w:tcPr>
            <w:tcW w:w="1271" w:type="dxa"/>
            <w:vAlign w:val="center"/>
          </w:tcPr>
          <w:p w14:paraId="03CF8D59" w14:textId="4F2A6E88" w:rsidR="00A43779" w:rsidRPr="00BA681C" w:rsidRDefault="00A43779" w:rsidP="008F5750">
            <w:pPr>
              <w:jc w:val="center"/>
              <w:rPr>
                <w:rFonts w:ascii="Arial Narrow" w:hAnsi="Arial Narrow"/>
                <w:color w:val="000000" w:themeColor="text1"/>
                <w:sz w:val="20"/>
                <w:szCs w:val="20"/>
              </w:rPr>
            </w:pPr>
          </w:p>
        </w:tc>
        <w:tc>
          <w:tcPr>
            <w:tcW w:w="7745" w:type="dxa"/>
            <w:gridSpan w:val="6"/>
            <w:vAlign w:val="center"/>
            <w:hideMark/>
          </w:tcPr>
          <w:p w14:paraId="4C6E2EE0" w14:textId="77777777" w:rsidR="00A43779" w:rsidRPr="00BA681C" w:rsidRDefault="00A43779" w:rsidP="008F5750">
            <w:pPr>
              <w:rPr>
                <w:rFonts w:ascii="Arial Narrow" w:hAnsi="Arial Narrow"/>
                <w:color w:val="000000" w:themeColor="text1"/>
                <w:sz w:val="20"/>
                <w:szCs w:val="20"/>
              </w:rPr>
            </w:pPr>
            <w:r w:rsidRPr="00BA681C">
              <w:rPr>
                <w:rFonts w:ascii="Arial Narrow" w:hAnsi="Arial Narrow"/>
                <w:color w:val="000000" w:themeColor="text1"/>
                <w:sz w:val="20"/>
                <w:szCs w:val="20"/>
              </w:rPr>
              <w:t>Must be treated by a paediatric endocrinologist; or</w:t>
            </w:r>
          </w:p>
          <w:p w14:paraId="3A093346" w14:textId="77777777" w:rsidR="00A43779" w:rsidRPr="00BA681C" w:rsidRDefault="00A43779" w:rsidP="008F5750">
            <w:pPr>
              <w:rPr>
                <w:rFonts w:ascii="Arial Narrow" w:hAnsi="Arial Narrow"/>
                <w:color w:val="000000" w:themeColor="text1"/>
                <w:sz w:val="20"/>
                <w:szCs w:val="20"/>
              </w:rPr>
            </w:pPr>
            <w:r w:rsidRPr="00BA681C">
              <w:rPr>
                <w:rFonts w:ascii="Arial Narrow" w:hAnsi="Arial Narrow"/>
                <w:color w:val="000000" w:themeColor="text1"/>
                <w:sz w:val="20"/>
                <w:szCs w:val="20"/>
              </w:rPr>
              <w:t>Must be treated by an endocrinologist specialising in paediatrics</w:t>
            </w:r>
          </w:p>
        </w:tc>
      </w:tr>
      <w:tr w:rsidR="00A43779" w:rsidRPr="001428E9" w14:paraId="55F04D87" w14:textId="77777777" w:rsidTr="0066642A">
        <w:tblPrEx>
          <w:tblCellMar>
            <w:top w:w="15" w:type="dxa"/>
            <w:bottom w:w="15" w:type="dxa"/>
          </w:tblCellMar>
          <w:tblLook w:val="04A0" w:firstRow="1" w:lastRow="0" w:firstColumn="1" w:lastColumn="0" w:noHBand="0" w:noVBand="1"/>
        </w:tblPrEx>
        <w:trPr>
          <w:cantSplit/>
          <w:trHeight w:val="20"/>
        </w:trPr>
        <w:tc>
          <w:tcPr>
            <w:tcW w:w="1271" w:type="dxa"/>
            <w:vAlign w:val="center"/>
          </w:tcPr>
          <w:p w14:paraId="4FD7EBB5" w14:textId="77777777" w:rsidR="00A43779" w:rsidRPr="00BA681C" w:rsidRDefault="00A43779" w:rsidP="008F5750">
            <w:pPr>
              <w:jc w:val="center"/>
              <w:rPr>
                <w:rFonts w:ascii="Arial Narrow" w:hAnsi="Arial Narrow"/>
                <w:color w:val="000000" w:themeColor="text1"/>
                <w:sz w:val="20"/>
                <w:szCs w:val="20"/>
              </w:rPr>
            </w:pPr>
          </w:p>
        </w:tc>
        <w:tc>
          <w:tcPr>
            <w:tcW w:w="7745" w:type="dxa"/>
            <w:gridSpan w:val="6"/>
            <w:vAlign w:val="center"/>
            <w:hideMark/>
          </w:tcPr>
          <w:p w14:paraId="297A5A8B" w14:textId="77777777" w:rsidR="00A43779" w:rsidRPr="00BA681C" w:rsidRDefault="00A43779" w:rsidP="008F5750">
            <w:pPr>
              <w:rPr>
                <w:rFonts w:ascii="Arial Narrow" w:hAnsi="Arial Narrow"/>
                <w:color w:val="000000" w:themeColor="text1"/>
                <w:sz w:val="20"/>
                <w:szCs w:val="20"/>
              </w:rPr>
            </w:pPr>
            <w:r w:rsidRPr="00BA681C">
              <w:rPr>
                <w:rFonts w:ascii="Arial Narrow" w:hAnsi="Arial Narrow"/>
                <w:b/>
                <w:bCs/>
                <w:color w:val="000000" w:themeColor="text1"/>
                <w:sz w:val="20"/>
                <w:szCs w:val="20"/>
              </w:rPr>
              <w:t>AND</w:t>
            </w:r>
          </w:p>
        </w:tc>
      </w:tr>
      <w:tr w:rsidR="00A43779" w:rsidRPr="001428E9" w14:paraId="0231AA8A" w14:textId="77777777" w:rsidTr="008F5750">
        <w:tblPrEx>
          <w:tblCellMar>
            <w:top w:w="15" w:type="dxa"/>
            <w:bottom w:w="15" w:type="dxa"/>
          </w:tblCellMar>
          <w:tblLook w:val="04A0" w:firstRow="1" w:lastRow="0" w:firstColumn="1" w:lastColumn="0" w:noHBand="0" w:noVBand="1"/>
        </w:tblPrEx>
        <w:trPr>
          <w:cantSplit/>
          <w:trHeight w:val="20"/>
        </w:trPr>
        <w:tc>
          <w:tcPr>
            <w:tcW w:w="1271" w:type="dxa"/>
            <w:vAlign w:val="center"/>
          </w:tcPr>
          <w:p w14:paraId="7EDB155F" w14:textId="23293111" w:rsidR="00A43779" w:rsidRPr="00A20C07" w:rsidRDefault="00A43779" w:rsidP="008F5750">
            <w:pPr>
              <w:jc w:val="center"/>
              <w:rPr>
                <w:rFonts w:ascii="Arial Narrow" w:hAnsi="Arial Narrow"/>
                <w:strike/>
                <w:color w:val="000000" w:themeColor="text1"/>
                <w:sz w:val="20"/>
                <w:szCs w:val="20"/>
              </w:rPr>
            </w:pPr>
          </w:p>
        </w:tc>
        <w:tc>
          <w:tcPr>
            <w:tcW w:w="7745" w:type="dxa"/>
            <w:gridSpan w:val="6"/>
            <w:vAlign w:val="center"/>
            <w:hideMark/>
          </w:tcPr>
          <w:p w14:paraId="35CFDBD7" w14:textId="77777777" w:rsidR="00A43779" w:rsidRPr="00BA681C" w:rsidRDefault="00A43779" w:rsidP="008F5750">
            <w:pPr>
              <w:rPr>
                <w:rFonts w:ascii="Arial Narrow" w:hAnsi="Arial Narrow"/>
                <w:color w:val="000000" w:themeColor="text1"/>
                <w:sz w:val="20"/>
                <w:szCs w:val="20"/>
              </w:rPr>
            </w:pPr>
            <w:r w:rsidRPr="00BA681C">
              <w:rPr>
                <w:rFonts w:ascii="Arial Narrow" w:hAnsi="Arial Narrow"/>
                <w:b/>
                <w:bCs/>
                <w:color w:val="000000" w:themeColor="text1"/>
                <w:sz w:val="20"/>
                <w:szCs w:val="20"/>
              </w:rPr>
              <w:t>Population criteria:</w:t>
            </w:r>
          </w:p>
        </w:tc>
      </w:tr>
      <w:tr w:rsidR="00A43779" w:rsidRPr="001428E9" w14:paraId="1F8E1D81" w14:textId="77777777" w:rsidTr="0066642A">
        <w:tblPrEx>
          <w:tblCellMar>
            <w:top w:w="15" w:type="dxa"/>
            <w:bottom w:w="15" w:type="dxa"/>
          </w:tblCellMar>
          <w:tblLook w:val="04A0" w:firstRow="1" w:lastRow="0" w:firstColumn="1" w:lastColumn="0" w:noHBand="0" w:noVBand="1"/>
        </w:tblPrEx>
        <w:trPr>
          <w:cantSplit/>
          <w:trHeight w:val="20"/>
        </w:trPr>
        <w:tc>
          <w:tcPr>
            <w:tcW w:w="1271" w:type="dxa"/>
            <w:vAlign w:val="center"/>
          </w:tcPr>
          <w:p w14:paraId="246186E4" w14:textId="29DF27E2" w:rsidR="00A43779" w:rsidRPr="00C349A0" w:rsidRDefault="00A43779" w:rsidP="008F5750">
            <w:pPr>
              <w:jc w:val="center"/>
              <w:rPr>
                <w:rFonts w:ascii="Arial Narrow" w:hAnsi="Arial Narrow"/>
                <w:color w:val="000000" w:themeColor="text1"/>
                <w:sz w:val="20"/>
                <w:szCs w:val="20"/>
              </w:rPr>
            </w:pPr>
          </w:p>
        </w:tc>
        <w:tc>
          <w:tcPr>
            <w:tcW w:w="7745" w:type="dxa"/>
            <w:gridSpan w:val="6"/>
            <w:vAlign w:val="center"/>
            <w:hideMark/>
          </w:tcPr>
          <w:p w14:paraId="7DB839CB" w14:textId="77777777" w:rsidR="00A43779" w:rsidRPr="00A43779" w:rsidRDefault="00A43779" w:rsidP="008F5750">
            <w:pPr>
              <w:rPr>
                <w:rFonts w:ascii="Arial Narrow" w:hAnsi="Arial Narrow"/>
                <w:color w:val="000000" w:themeColor="text1"/>
                <w:sz w:val="20"/>
                <w:szCs w:val="20"/>
              </w:rPr>
            </w:pPr>
            <w:r w:rsidRPr="00A43779">
              <w:rPr>
                <w:rFonts w:ascii="Arial Narrow" w:hAnsi="Arial Narrow"/>
                <w:color w:val="000000" w:themeColor="text1"/>
                <w:sz w:val="20"/>
                <w:szCs w:val="20"/>
              </w:rPr>
              <w:t xml:space="preserve">Patient must be of an age that is prior to their 10th birthday if female; or  </w:t>
            </w:r>
          </w:p>
        </w:tc>
      </w:tr>
      <w:tr w:rsidR="00A43779" w:rsidRPr="001428E9" w14:paraId="608AB8E8" w14:textId="77777777" w:rsidTr="008F5750">
        <w:tblPrEx>
          <w:tblCellMar>
            <w:top w:w="15" w:type="dxa"/>
            <w:bottom w:w="15" w:type="dxa"/>
          </w:tblCellMar>
          <w:tblLook w:val="04A0" w:firstRow="1" w:lastRow="0" w:firstColumn="1" w:lastColumn="0" w:noHBand="0" w:noVBand="1"/>
        </w:tblPrEx>
        <w:trPr>
          <w:cantSplit/>
          <w:trHeight w:val="20"/>
        </w:trPr>
        <w:tc>
          <w:tcPr>
            <w:tcW w:w="1271" w:type="dxa"/>
            <w:vAlign w:val="center"/>
          </w:tcPr>
          <w:p w14:paraId="2A0EA1FA" w14:textId="7109BFB9" w:rsidR="00A43779" w:rsidRPr="00A20C07" w:rsidRDefault="00A43779" w:rsidP="008F5750">
            <w:pPr>
              <w:jc w:val="center"/>
              <w:rPr>
                <w:rFonts w:ascii="Arial Narrow" w:hAnsi="Arial Narrow"/>
                <w:color w:val="000000" w:themeColor="text1"/>
                <w:sz w:val="20"/>
                <w:szCs w:val="20"/>
              </w:rPr>
            </w:pPr>
          </w:p>
        </w:tc>
        <w:tc>
          <w:tcPr>
            <w:tcW w:w="7745" w:type="dxa"/>
            <w:gridSpan w:val="6"/>
            <w:vAlign w:val="center"/>
          </w:tcPr>
          <w:p w14:paraId="0E68AB92" w14:textId="77777777" w:rsidR="00A43779" w:rsidRPr="00A43779" w:rsidRDefault="00A43779" w:rsidP="008F5750">
            <w:pPr>
              <w:rPr>
                <w:rFonts w:ascii="Arial Narrow" w:hAnsi="Arial Narrow"/>
                <w:color w:val="000000" w:themeColor="text1"/>
                <w:sz w:val="20"/>
                <w:szCs w:val="20"/>
              </w:rPr>
            </w:pPr>
            <w:r w:rsidRPr="00A43779">
              <w:rPr>
                <w:rFonts w:ascii="Arial Narrow" w:hAnsi="Arial Narrow"/>
                <w:color w:val="000000" w:themeColor="text1"/>
                <w:sz w:val="20"/>
                <w:szCs w:val="20"/>
              </w:rPr>
              <w:t>Patient must be of an age that is prior to their 11th birthday if male</w:t>
            </w:r>
          </w:p>
        </w:tc>
      </w:tr>
      <w:tr w:rsidR="00A43779" w:rsidRPr="001428E9" w14:paraId="28646BC7" w14:textId="77777777" w:rsidTr="008F5750">
        <w:tblPrEx>
          <w:tblCellMar>
            <w:top w:w="15" w:type="dxa"/>
            <w:bottom w:w="15" w:type="dxa"/>
          </w:tblCellMar>
          <w:tblLook w:val="04A0" w:firstRow="1" w:lastRow="0" w:firstColumn="1" w:lastColumn="0" w:noHBand="0" w:noVBand="1"/>
        </w:tblPrEx>
        <w:trPr>
          <w:cantSplit/>
          <w:trHeight w:val="20"/>
        </w:trPr>
        <w:tc>
          <w:tcPr>
            <w:tcW w:w="1271" w:type="dxa"/>
            <w:vAlign w:val="center"/>
          </w:tcPr>
          <w:p w14:paraId="44E49750" w14:textId="77777777" w:rsidR="00A43779" w:rsidRPr="00BA681C" w:rsidRDefault="00A43779" w:rsidP="008F5750">
            <w:pPr>
              <w:jc w:val="center"/>
              <w:rPr>
                <w:rFonts w:ascii="Arial Narrow" w:hAnsi="Arial Narrow"/>
                <w:color w:val="000000" w:themeColor="text1"/>
                <w:sz w:val="20"/>
                <w:szCs w:val="20"/>
              </w:rPr>
            </w:pPr>
          </w:p>
        </w:tc>
        <w:tc>
          <w:tcPr>
            <w:tcW w:w="7745" w:type="dxa"/>
            <w:gridSpan w:val="6"/>
            <w:vAlign w:val="center"/>
          </w:tcPr>
          <w:p w14:paraId="108DBBA5" w14:textId="77777777" w:rsidR="00A43779" w:rsidRPr="00A43779" w:rsidRDefault="00A43779" w:rsidP="008F5750">
            <w:pPr>
              <w:rPr>
                <w:rFonts w:ascii="Arial Narrow" w:hAnsi="Arial Narrow"/>
                <w:color w:val="000000" w:themeColor="text1"/>
                <w:sz w:val="20"/>
                <w:szCs w:val="20"/>
              </w:rPr>
            </w:pPr>
            <w:r w:rsidRPr="00A43779">
              <w:rPr>
                <w:rFonts w:ascii="Arial Narrow" w:hAnsi="Arial Narrow"/>
                <w:b/>
                <w:bCs/>
                <w:color w:val="000000" w:themeColor="text1"/>
                <w:sz w:val="20"/>
                <w:szCs w:val="20"/>
              </w:rPr>
              <w:t>AND</w:t>
            </w:r>
          </w:p>
        </w:tc>
      </w:tr>
      <w:tr w:rsidR="00A43779" w:rsidRPr="001428E9" w14:paraId="5CA3DB41" w14:textId="77777777" w:rsidTr="008F5750">
        <w:tblPrEx>
          <w:tblCellMar>
            <w:top w:w="15" w:type="dxa"/>
            <w:bottom w:w="15" w:type="dxa"/>
          </w:tblCellMar>
          <w:tblLook w:val="04A0" w:firstRow="1" w:lastRow="0" w:firstColumn="1" w:lastColumn="0" w:noHBand="0" w:noVBand="1"/>
        </w:tblPrEx>
        <w:trPr>
          <w:cantSplit/>
          <w:trHeight w:val="20"/>
        </w:trPr>
        <w:tc>
          <w:tcPr>
            <w:tcW w:w="1271" w:type="dxa"/>
            <w:vAlign w:val="center"/>
          </w:tcPr>
          <w:p w14:paraId="2F878C08" w14:textId="2C5F14F7" w:rsidR="00A43779" w:rsidRPr="00A20C07" w:rsidRDefault="00A43779" w:rsidP="008F5750">
            <w:pPr>
              <w:jc w:val="center"/>
              <w:rPr>
                <w:rFonts w:ascii="Arial Narrow" w:hAnsi="Arial Narrow"/>
                <w:strike/>
                <w:color w:val="000000" w:themeColor="text1"/>
                <w:sz w:val="20"/>
                <w:szCs w:val="20"/>
              </w:rPr>
            </w:pPr>
          </w:p>
        </w:tc>
        <w:tc>
          <w:tcPr>
            <w:tcW w:w="7745" w:type="dxa"/>
            <w:gridSpan w:val="6"/>
            <w:vAlign w:val="center"/>
          </w:tcPr>
          <w:p w14:paraId="7E13E778" w14:textId="77777777" w:rsidR="00A43779" w:rsidRPr="00A43779" w:rsidRDefault="00A43779" w:rsidP="008F5750">
            <w:pPr>
              <w:rPr>
                <w:rFonts w:ascii="Arial Narrow" w:hAnsi="Arial Narrow"/>
                <w:color w:val="000000" w:themeColor="text1"/>
                <w:sz w:val="20"/>
                <w:szCs w:val="20"/>
              </w:rPr>
            </w:pPr>
            <w:r w:rsidRPr="00A43779">
              <w:rPr>
                <w:rFonts w:ascii="Arial Narrow" w:hAnsi="Arial Narrow"/>
                <w:b/>
                <w:bCs/>
                <w:color w:val="000000" w:themeColor="text1"/>
                <w:sz w:val="20"/>
                <w:szCs w:val="20"/>
              </w:rPr>
              <w:t>Population criteria:</w:t>
            </w:r>
          </w:p>
        </w:tc>
      </w:tr>
      <w:tr w:rsidR="00A43779" w:rsidRPr="001428E9" w14:paraId="225DE797" w14:textId="77777777" w:rsidTr="008F5750">
        <w:tblPrEx>
          <w:tblCellMar>
            <w:top w:w="15" w:type="dxa"/>
            <w:bottom w:w="15" w:type="dxa"/>
          </w:tblCellMar>
          <w:tblLook w:val="04A0" w:firstRow="1" w:lastRow="0" w:firstColumn="1" w:lastColumn="0" w:noHBand="0" w:noVBand="1"/>
        </w:tblPrEx>
        <w:trPr>
          <w:cantSplit/>
          <w:trHeight w:val="20"/>
        </w:trPr>
        <w:tc>
          <w:tcPr>
            <w:tcW w:w="1271" w:type="dxa"/>
            <w:vAlign w:val="center"/>
          </w:tcPr>
          <w:p w14:paraId="6BC48BC0" w14:textId="1E0D0602" w:rsidR="00A43779" w:rsidRPr="00BF4D4A" w:rsidRDefault="00A43779" w:rsidP="008F5750">
            <w:pPr>
              <w:jc w:val="center"/>
              <w:rPr>
                <w:rFonts w:ascii="Arial Narrow" w:hAnsi="Arial Narrow"/>
                <w:color w:val="000000" w:themeColor="text1"/>
                <w:sz w:val="20"/>
                <w:szCs w:val="20"/>
              </w:rPr>
            </w:pPr>
          </w:p>
        </w:tc>
        <w:tc>
          <w:tcPr>
            <w:tcW w:w="7745" w:type="dxa"/>
            <w:gridSpan w:val="6"/>
            <w:vAlign w:val="center"/>
          </w:tcPr>
          <w:p w14:paraId="1A0A90B3" w14:textId="77777777" w:rsidR="00A43779" w:rsidRPr="00A43779" w:rsidRDefault="00A43779" w:rsidP="008F5750">
            <w:pPr>
              <w:rPr>
                <w:rFonts w:ascii="Arial Narrow" w:hAnsi="Arial Narrow"/>
                <w:color w:val="000000" w:themeColor="text1"/>
                <w:sz w:val="20"/>
                <w:szCs w:val="20"/>
              </w:rPr>
            </w:pPr>
            <w:r w:rsidRPr="00A43779">
              <w:rPr>
                <w:rFonts w:ascii="Arial Narrow" w:hAnsi="Arial Narrow"/>
                <w:color w:val="000000" w:themeColor="text1"/>
                <w:sz w:val="20"/>
                <w:szCs w:val="20"/>
              </w:rPr>
              <w:t xml:space="preserve">Patient must have had onset of signs/symptoms of central precocious puberty prior to their 8th birthday if female; or </w:t>
            </w:r>
          </w:p>
        </w:tc>
      </w:tr>
      <w:tr w:rsidR="00A43779" w:rsidRPr="001428E9" w14:paraId="19E1A25A" w14:textId="77777777" w:rsidTr="008F5750">
        <w:tblPrEx>
          <w:tblCellMar>
            <w:top w:w="15" w:type="dxa"/>
            <w:bottom w:w="15" w:type="dxa"/>
          </w:tblCellMar>
          <w:tblLook w:val="04A0" w:firstRow="1" w:lastRow="0" w:firstColumn="1" w:lastColumn="0" w:noHBand="0" w:noVBand="1"/>
        </w:tblPrEx>
        <w:trPr>
          <w:cantSplit/>
          <w:trHeight w:val="20"/>
        </w:trPr>
        <w:tc>
          <w:tcPr>
            <w:tcW w:w="1271" w:type="dxa"/>
            <w:vAlign w:val="center"/>
          </w:tcPr>
          <w:p w14:paraId="078A470D" w14:textId="74AC407B" w:rsidR="00A43779" w:rsidRPr="00A20C07" w:rsidRDefault="00A43779" w:rsidP="008F5750">
            <w:pPr>
              <w:jc w:val="center"/>
              <w:rPr>
                <w:rFonts w:ascii="Arial Narrow" w:hAnsi="Arial Narrow"/>
                <w:color w:val="000000" w:themeColor="text1"/>
                <w:sz w:val="20"/>
                <w:szCs w:val="20"/>
              </w:rPr>
            </w:pPr>
          </w:p>
        </w:tc>
        <w:tc>
          <w:tcPr>
            <w:tcW w:w="7745" w:type="dxa"/>
            <w:gridSpan w:val="6"/>
            <w:vAlign w:val="center"/>
          </w:tcPr>
          <w:p w14:paraId="5ED4843B" w14:textId="47F12A21" w:rsidR="00A43779" w:rsidRPr="00A43779" w:rsidRDefault="00A43779" w:rsidP="008F5750">
            <w:pPr>
              <w:rPr>
                <w:rFonts w:ascii="Arial Narrow" w:hAnsi="Arial Narrow"/>
                <w:color w:val="000000" w:themeColor="text1"/>
                <w:sz w:val="20"/>
                <w:szCs w:val="20"/>
              </w:rPr>
            </w:pPr>
            <w:r w:rsidRPr="00A43779">
              <w:rPr>
                <w:rFonts w:ascii="Arial Narrow" w:hAnsi="Arial Narrow"/>
                <w:color w:val="000000" w:themeColor="text1"/>
                <w:sz w:val="20"/>
                <w:szCs w:val="20"/>
              </w:rPr>
              <w:t xml:space="preserve">Patient must have had onset of signs/symptoms of central precocious puberty prior to their 9th birthday if male </w:t>
            </w:r>
          </w:p>
        </w:tc>
      </w:tr>
    </w:tbl>
    <w:p w14:paraId="3FFB7FAC" w14:textId="62909287" w:rsidR="00C22249" w:rsidRDefault="00C22249" w:rsidP="00C22249">
      <w:pPr>
        <w:pStyle w:val="TableFigureFoo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2577"/>
        <w:gridCol w:w="791"/>
        <w:gridCol w:w="792"/>
        <w:gridCol w:w="791"/>
        <w:gridCol w:w="792"/>
        <w:gridCol w:w="1776"/>
      </w:tblGrid>
      <w:tr w:rsidR="00EC7D7D" w:rsidRPr="001428E9" w14:paraId="25034BEB" w14:textId="77777777" w:rsidTr="002D4E7B">
        <w:trPr>
          <w:cantSplit/>
          <w:trHeight w:val="20"/>
        </w:trPr>
        <w:tc>
          <w:tcPr>
            <w:tcW w:w="3939" w:type="dxa"/>
            <w:gridSpan w:val="2"/>
            <w:vAlign w:val="center"/>
          </w:tcPr>
          <w:p w14:paraId="6F435592" w14:textId="77777777" w:rsidR="00EC7D7D" w:rsidRPr="00BA681C" w:rsidRDefault="00EC7D7D" w:rsidP="002D4E7B">
            <w:pPr>
              <w:keepLines/>
              <w:rPr>
                <w:rFonts w:ascii="Arial Narrow" w:hAnsi="Arial Narrow"/>
                <w:b/>
                <w:bCs/>
                <w:color w:val="000000" w:themeColor="text1"/>
                <w:sz w:val="20"/>
                <w:szCs w:val="20"/>
              </w:rPr>
            </w:pPr>
            <w:r w:rsidRPr="00BA681C">
              <w:rPr>
                <w:rFonts w:ascii="Arial Narrow" w:hAnsi="Arial Narrow"/>
                <w:b/>
                <w:bCs/>
                <w:color w:val="000000" w:themeColor="text1"/>
                <w:sz w:val="20"/>
                <w:szCs w:val="20"/>
              </w:rPr>
              <w:t>MEDICINAL PRODUCT</w:t>
            </w:r>
          </w:p>
          <w:p w14:paraId="0536A519" w14:textId="77777777" w:rsidR="00EC7D7D" w:rsidRPr="00BA681C" w:rsidRDefault="00EC7D7D" w:rsidP="002D4E7B">
            <w:pPr>
              <w:keepLines/>
              <w:rPr>
                <w:rFonts w:ascii="Arial Narrow" w:hAnsi="Arial Narrow"/>
                <w:b/>
                <w:color w:val="000000" w:themeColor="text1"/>
                <w:sz w:val="20"/>
                <w:szCs w:val="20"/>
              </w:rPr>
            </w:pPr>
            <w:r w:rsidRPr="00BA681C">
              <w:rPr>
                <w:rFonts w:ascii="Arial Narrow" w:hAnsi="Arial Narrow"/>
                <w:b/>
                <w:bCs/>
                <w:color w:val="000000" w:themeColor="text1"/>
                <w:sz w:val="20"/>
                <w:szCs w:val="20"/>
              </w:rPr>
              <w:t>medicinal product pack</w:t>
            </w:r>
          </w:p>
        </w:tc>
        <w:tc>
          <w:tcPr>
            <w:tcW w:w="811" w:type="dxa"/>
            <w:vAlign w:val="center"/>
          </w:tcPr>
          <w:p w14:paraId="1C6868A8" w14:textId="77777777" w:rsidR="00EC7D7D" w:rsidRPr="00BA681C" w:rsidRDefault="00EC7D7D" w:rsidP="002D4E7B">
            <w:pPr>
              <w:keepLines/>
              <w:jc w:val="center"/>
              <w:rPr>
                <w:rFonts w:ascii="Arial Narrow" w:hAnsi="Arial Narrow"/>
                <w:b/>
                <w:color w:val="000000" w:themeColor="text1"/>
                <w:sz w:val="20"/>
                <w:szCs w:val="20"/>
              </w:rPr>
            </w:pPr>
            <w:r w:rsidRPr="00BA681C">
              <w:rPr>
                <w:rFonts w:ascii="Arial Narrow" w:hAnsi="Arial Narrow"/>
                <w:b/>
                <w:color w:val="000000" w:themeColor="text1"/>
                <w:sz w:val="20"/>
                <w:szCs w:val="20"/>
              </w:rPr>
              <w:t>PBS item code</w:t>
            </w:r>
          </w:p>
        </w:tc>
        <w:tc>
          <w:tcPr>
            <w:tcW w:w="812" w:type="dxa"/>
            <w:vAlign w:val="center"/>
          </w:tcPr>
          <w:p w14:paraId="6C83ADD3" w14:textId="77777777" w:rsidR="00EC7D7D" w:rsidRPr="00BA681C" w:rsidRDefault="00EC7D7D" w:rsidP="002D4E7B">
            <w:pPr>
              <w:keepLines/>
              <w:jc w:val="center"/>
              <w:rPr>
                <w:rFonts w:ascii="Arial Narrow" w:hAnsi="Arial Narrow"/>
                <w:b/>
                <w:color w:val="000000" w:themeColor="text1"/>
                <w:sz w:val="20"/>
                <w:szCs w:val="20"/>
              </w:rPr>
            </w:pPr>
            <w:r w:rsidRPr="00BA681C">
              <w:rPr>
                <w:rFonts w:ascii="Arial Narrow" w:hAnsi="Arial Narrow"/>
                <w:b/>
                <w:color w:val="000000" w:themeColor="text1"/>
                <w:sz w:val="20"/>
                <w:szCs w:val="20"/>
              </w:rPr>
              <w:t>Max. qty packs</w:t>
            </w:r>
          </w:p>
        </w:tc>
        <w:tc>
          <w:tcPr>
            <w:tcW w:w="811" w:type="dxa"/>
            <w:vAlign w:val="center"/>
          </w:tcPr>
          <w:p w14:paraId="12B06BB8" w14:textId="77777777" w:rsidR="00EC7D7D" w:rsidRPr="00BA681C" w:rsidRDefault="00EC7D7D" w:rsidP="002D4E7B">
            <w:pPr>
              <w:keepLines/>
              <w:jc w:val="center"/>
              <w:rPr>
                <w:rFonts w:ascii="Arial Narrow" w:hAnsi="Arial Narrow"/>
                <w:b/>
                <w:color w:val="000000" w:themeColor="text1"/>
                <w:sz w:val="20"/>
                <w:szCs w:val="20"/>
              </w:rPr>
            </w:pPr>
            <w:r w:rsidRPr="00BA681C">
              <w:rPr>
                <w:rFonts w:ascii="Arial Narrow" w:hAnsi="Arial Narrow"/>
                <w:b/>
                <w:color w:val="000000" w:themeColor="text1"/>
                <w:sz w:val="20"/>
                <w:szCs w:val="20"/>
              </w:rPr>
              <w:t>Max. qty units</w:t>
            </w:r>
          </w:p>
        </w:tc>
        <w:tc>
          <w:tcPr>
            <w:tcW w:w="812" w:type="dxa"/>
            <w:vAlign w:val="center"/>
          </w:tcPr>
          <w:p w14:paraId="15213342" w14:textId="77777777" w:rsidR="00EC7D7D" w:rsidRPr="00BA681C" w:rsidRDefault="00EC7D7D" w:rsidP="002D4E7B">
            <w:pPr>
              <w:keepLines/>
              <w:jc w:val="center"/>
              <w:rPr>
                <w:rFonts w:ascii="Arial Narrow" w:hAnsi="Arial Narrow"/>
                <w:b/>
                <w:color w:val="000000" w:themeColor="text1"/>
                <w:sz w:val="20"/>
                <w:szCs w:val="20"/>
              </w:rPr>
            </w:pPr>
            <w:r w:rsidRPr="00BA681C">
              <w:rPr>
                <w:rFonts w:ascii="Arial Narrow" w:hAnsi="Arial Narrow"/>
                <w:b/>
                <w:color w:val="000000" w:themeColor="text1"/>
                <w:sz w:val="20"/>
                <w:szCs w:val="20"/>
              </w:rPr>
              <w:t>№.of</w:t>
            </w:r>
          </w:p>
          <w:p w14:paraId="35B83468" w14:textId="77777777" w:rsidR="00EC7D7D" w:rsidRPr="00BA681C" w:rsidRDefault="00EC7D7D" w:rsidP="002D4E7B">
            <w:pPr>
              <w:keepLines/>
              <w:jc w:val="center"/>
              <w:rPr>
                <w:rFonts w:ascii="Arial Narrow" w:hAnsi="Arial Narrow"/>
                <w:b/>
                <w:color w:val="000000" w:themeColor="text1"/>
                <w:sz w:val="20"/>
                <w:szCs w:val="20"/>
              </w:rPr>
            </w:pPr>
            <w:proofErr w:type="spellStart"/>
            <w:r w:rsidRPr="00BA681C">
              <w:rPr>
                <w:rFonts w:ascii="Arial Narrow" w:hAnsi="Arial Narrow"/>
                <w:b/>
                <w:color w:val="000000" w:themeColor="text1"/>
                <w:sz w:val="20"/>
                <w:szCs w:val="20"/>
              </w:rPr>
              <w:t>Rpts</w:t>
            </w:r>
            <w:proofErr w:type="spellEnd"/>
          </w:p>
        </w:tc>
        <w:tc>
          <w:tcPr>
            <w:tcW w:w="1831" w:type="dxa"/>
            <w:vAlign w:val="center"/>
          </w:tcPr>
          <w:p w14:paraId="76BF53EB" w14:textId="77777777" w:rsidR="00EC7D7D" w:rsidRPr="00BA681C" w:rsidRDefault="00EC7D7D" w:rsidP="002D4E7B">
            <w:pPr>
              <w:keepLines/>
              <w:rPr>
                <w:rFonts w:ascii="Arial Narrow" w:hAnsi="Arial Narrow"/>
                <w:b/>
                <w:color w:val="000000" w:themeColor="text1"/>
                <w:sz w:val="20"/>
                <w:szCs w:val="20"/>
                <w:lang w:val="fr-FR"/>
              </w:rPr>
            </w:pPr>
            <w:r w:rsidRPr="00BA681C">
              <w:rPr>
                <w:rFonts w:ascii="Arial Narrow" w:hAnsi="Arial Narrow"/>
                <w:b/>
                <w:color w:val="000000" w:themeColor="text1"/>
                <w:sz w:val="20"/>
                <w:szCs w:val="20"/>
              </w:rPr>
              <w:t>Available brands</w:t>
            </w:r>
          </w:p>
        </w:tc>
      </w:tr>
      <w:tr w:rsidR="00EC7D7D" w:rsidRPr="001428E9" w14:paraId="0E821643" w14:textId="77777777" w:rsidTr="002D4E7B">
        <w:trPr>
          <w:cantSplit/>
          <w:trHeight w:val="20"/>
        </w:trPr>
        <w:tc>
          <w:tcPr>
            <w:tcW w:w="9016" w:type="dxa"/>
            <w:gridSpan w:val="7"/>
            <w:vAlign w:val="center"/>
          </w:tcPr>
          <w:p w14:paraId="0A843F6E" w14:textId="77777777" w:rsidR="00EC7D7D" w:rsidRPr="00BA681C" w:rsidRDefault="00EC7D7D" w:rsidP="002D4E7B">
            <w:pPr>
              <w:keepLines/>
              <w:rPr>
                <w:rFonts w:ascii="Arial Narrow" w:hAnsi="Arial Narrow"/>
                <w:color w:val="000000" w:themeColor="text1"/>
                <w:sz w:val="20"/>
                <w:szCs w:val="20"/>
              </w:rPr>
            </w:pPr>
            <w:r w:rsidRPr="00BA681C">
              <w:rPr>
                <w:rFonts w:ascii="Arial Narrow" w:hAnsi="Arial Narrow"/>
                <w:color w:val="000000" w:themeColor="text1"/>
                <w:sz w:val="20"/>
                <w:szCs w:val="20"/>
              </w:rPr>
              <w:t>LEUPRORELIN</w:t>
            </w:r>
          </w:p>
        </w:tc>
      </w:tr>
      <w:tr w:rsidR="00EC7D7D" w:rsidRPr="001428E9" w14:paraId="4A6BB3AC" w14:textId="77777777" w:rsidTr="002D4E7B">
        <w:trPr>
          <w:cantSplit/>
          <w:trHeight w:val="20"/>
        </w:trPr>
        <w:tc>
          <w:tcPr>
            <w:tcW w:w="3939" w:type="dxa"/>
            <w:gridSpan w:val="2"/>
            <w:vAlign w:val="center"/>
          </w:tcPr>
          <w:p w14:paraId="2F9CBDC4" w14:textId="77777777" w:rsidR="00EC7D7D" w:rsidRPr="00BA681C" w:rsidRDefault="00EC7D7D" w:rsidP="002D4E7B">
            <w:pPr>
              <w:keepLines/>
              <w:rPr>
                <w:rFonts w:ascii="Arial Narrow" w:hAnsi="Arial Narrow"/>
                <w:color w:val="000000" w:themeColor="text1"/>
                <w:sz w:val="20"/>
                <w:szCs w:val="20"/>
              </w:rPr>
            </w:pPr>
            <w:r w:rsidRPr="00BA681C">
              <w:rPr>
                <w:rFonts w:ascii="Arial Narrow" w:hAnsi="Arial Narrow"/>
                <w:color w:val="000000" w:themeColor="text1"/>
                <w:sz w:val="20"/>
                <w:szCs w:val="20"/>
              </w:rPr>
              <w:t>leuprorelin acetate 45 mg modified release injection [1 syringe] (&amp;) inert substance diluent [1 syringe], 1 pack</w:t>
            </w:r>
          </w:p>
        </w:tc>
        <w:tc>
          <w:tcPr>
            <w:tcW w:w="811" w:type="dxa"/>
            <w:vAlign w:val="center"/>
          </w:tcPr>
          <w:p w14:paraId="2B28CF3D" w14:textId="77777777" w:rsidR="00EC7D7D" w:rsidRPr="00BA681C" w:rsidRDefault="00EC7D7D" w:rsidP="002D4E7B">
            <w:pPr>
              <w:keepLines/>
              <w:jc w:val="center"/>
              <w:rPr>
                <w:rFonts w:ascii="Arial Narrow" w:hAnsi="Arial Narrow"/>
                <w:color w:val="000000" w:themeColor="text1"/>
                <w:sz w:val="20"/>
                <w:szCs w:val="20"/>
              </w:rPr>
            </w:pPr>
            <w:r w:rsidRPr="00BA681C">
              <w:rPr>
                <w:rFonts w:ascii="Arial Narrow" w:hAnsi="Arial Narrow"/>
                <w:color w:val="000000" w:themeColor="text1"/>
                <w:sz w:val="20"/>
                <w:szCs w:val="20"/>
              </w:rPr>
              <w:t>NEW</w:t>
            </w:r>
          </w:p>
        </w:tc>
        <w:tc>
          <w:tcPr>
            <w:tcW w:w="812" w:type="dxa"/>
            <w:vAlign w:val="center"/>
          </w:tcPr>
          <w:p w14:paraId="57A31221" w14:textId="77777777" w:rsidR="00EC7D7D" w:rsidRPr="00BA681C" w:rsidRDefault="00EC7D7D" w:rsidP="002D4E7B">
            <w:pPr>
              <w:keepLines/>
              <w:jc w:val="center"/>
              <w:rPr>
                <w:rFonts w:ascii="Arial Narrow" w:hAnsi="Arial Narrow"/>
                <w:color w:val="000000" w:themeColor="text1"/>
                <w:sz w:val="20"/>
                <w:szCs w:val="20"/>
              </w:rPr>
            </w:pPr>
            <w:r w:rsidRPr="00BA681C">
              <w:rPr>
                <w:rFonts w:ascii="Arial Narrow" w:hAnsi="Arial Narrow"/>
                <w:color w:val="000000" w:themeColor="text1"/>
                <w:sz w:val="20"/>
                <w:szCs w:val="20"/>
              </w:rPr>
              <w:t>1</w:t>
            </w:r>
          </w:p>
        </w:tc>
        <w:tc>
          <w:tcPr>
            <w:tcW w:w="811" w:type="dxa"/>
            <w:vAlign w:val="center"/>
          </w:tcPr>
          <w:p w14:paraId="25FB53F5" w14:textId="77777777" w:rsidR="00EC7D7D" w:rsidRPr="00BA681C" w:rsidRDefault="00EC7D7D" w:rsidP="002D4E7B">
            <w:pPr>
              <w:keepLines/>
              <w:jc w:val="center"/>
              <w:rPr>
                <w:rFonts w:ascii="Arial Narrow" w:hAnsi="Arial Narrow"/>
                <w:color w:val="000000" w:themeColor="text1"/>
                <w:sz w:val="20"/>
                <w:szCs w:val="20"/>
              </w:rPr>
            </w:pPr>
            <w:r w:rsidRPr="00BA681C">
              <w:rPr>
                <w:rFonts w:ascii="Arial Narrow" w:hAnsi="Arial Narrow"/>
                <w:color w:val="000000" w:themeColor="text1"/>
                <w:sz w:val="20"/>
                <w:szCs w:val="20"/>
              </w:rPr>
              <w:t>1</w:t>
            </w:r>
          </w:p>
        </w:tc>
        <w:tc>
          <w:tcPr>
            <w:tcW w:w="812" w:type="dxa"/>
            <w:vAlign w:val="center"/>
          </w:tcPr>
          <w:p w14:paraId="35D09AEC" w14:textId="77777777" w:rsidR="00EC7D7D" w:rsidRPr="00BA681C" w:rsidRDefault="00EC7D7D" w:rsidP="002D4E7B">
            <w:pPr>
              <w:keepLines/>
              <w:jc w:val="center"/>
              <w:rPr>
                <w:rFonts w:ascii="Arial Narrow" w:hAnsi="Arial Narrow"/>
                <w:color w:val="000000" w:themeColor="text1"/>
                <w:sz w:val="20"/>
                <w:szCs w:val="20"/>
              </w:rPr>
            </w:pPr>
            <w:r w:rsidRPr="00BA681C">
              <w:rPr>
                <w:rFonts w:ascii="Arial Narrow" w:hAnsi="Arial Narrow"/>
                <w:color w:val="000000" w:themeColor="text1"/>
                <w:sz w:val="20"/>
                <w:szCs w:val="20"/>
              </w:rPr>
              <w:t>0</w:t>
            </w:r>
          </w:p>
        </w:tc>
        <w:tc>
          <w:tcPr>
            <w:tcW w:w="1831" w:type="dxa"/>
            <w:vAlign w:val="center"/>
          </w:tcPr>
          <w:p w14:paraId="1ED41D10" w14:textId="77777777" w:rsidR="00EC7D7D" w:rsidRPr="00BA681C" w:rsidRDefault="00EC7D7D" w:rsidP="002D4E7B">
            <w:pPr>
              <w:keepLines/>
              <w:rPr>
                <w:rFonts w:ascii="Arial Narrow" w:hAnsi="Arial Narrow"/>
                <w:color w:val="000000" w:themeColor="text1"/>
                <w:sz w:val="20"/>
                <w:szCs w:val="20"/>
              </w:rPr>
            </w:pPr>
            <w:proofErr w:type="spellStart"/>
            <w:r w:rsidRPr="00BA681C">
              <w:rPr>
                <w:rFonts w:ascii="Arial Narrow" w:hAnsi="Arial Narrow"/>
                <w:color w:val="000000" w:themeColor="text1"/>
                <w:sz w:val="20"/>
                <w:szCs w:val="20"/>
              </w:rPr>
              <w:t>Eligard</w:t>
            </w:r>
            <w:proofErr w:type="spellEnd"/>
            <w:r w:rsidRPr="00BA681C">
              <w:rPr>
                <w:rFonts w:ascii="Arial Narrow" w:hAnsi="Arial Narrow"/>
                <w:color w:val="000000" w:themeColor="text1"/>
                <w:sz w:val="20"/>
                <w:szCs w:val="20"/>
              </w:rPr>
              <w:t xml:space="preserve"> 6 month</w:t>
            </w:r>
          </w:p>
        </w:tc>
      </w:tr>
      <w:tr w:rsidR="00EC7D7D" w:rsidRPr="001428E9" w14:paraId="322D919C" w14:textId="77777777" w:rsidTr="002D4E7B">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0D8A48E" w14:textId="77777777" w:rsidR="00EC7D7D" w:rsidRPr="00BA681C" w:rsidRDefault="00EC7D7D" w:rsidP="002D4E7B">
            <w:pPr>
              <w:rPr>
                <w:rFonts w:ascii="Arial Narrow" w:hAnsi="Arial Narrow"/>
                <w:color w:val="000000" w:themeColor="text1"/>
                <w:sz w:val="20"/>
                <w:szCs w:val="20"/>
              </w:rPr>
            </w:pPr>
          </w:p>
        </w:tc>
      </w:tr>
      <w:tr w:rsidR="00EC7D7D" w:rsidRPr="001428E9" w14:paraId="1082C0B9" w14:textId="77777777" w:rsidTr="002D4E7B">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937E617" w14:textId="77777777" w:rsidR="00EC7D7D" w:rsidRPr="00BA681C" w:rsidRDefault="00EC7D7D" w:rsidP="002D4E7B">
            <w:pPr>
              <w:keepLines/>
              <w:rPr>
                <w:rFonts w:ascii="Arial Narrow" w:hAnsi="Arial Narrow"/>
                <w:b/>
                <w:color w:val="000000" w:themeColor="text1"/>
                <w:sz w:val="20"/>
                <w:szCs w:val="20"/>
              </w:rPr>
            </w:pPr>
            <w:r w:rsidRPr="00BA681C">
              <w:rPr>
                <w:rFonts w:ascii="Arial Narrow" w:hAnsi="Arial Narrow"/>
                <w:b/>
                <w:color w:val="000000" w:themeColor="text1"/>
                <w:sz w:val="20"/>
                <w:szCs w:val="20"/>
              </w:rPr>
              <w:t xml:space="preserve">Restriction Summary </w:t>
            </w:r>
            <w:r>
              <w:rPr>
                <w:rFonts w:ascii="Arial Narrow" w:hAnsi="Arial Narrow"/>
                <w:b/>
                <w:color w:val="000000" w:themeColor="text1"/>
                <w:sz w:val="20"/>
                <w:szCs w:val="20"/>
              </w:rPr>
              <w:t>12351</w:t>
            </w:r>
            <w:r w:rsidRPr="00BA681C">
              <w:rPr>
                <w:rFonts w:ascii="Arial Narrow" w:hAnsi="Arial Narrow"/>
                <w:b/>
                <w:color w:val="000000" w:themeColor="text1"/>
                <w:sz w:val="20"/>
                <w:szCs w:val="20"/>
              </w:rPr>
              <w:t xml:space="preserve"> / Treatment of Concept: </w:t>
            </w:r>
            <w:r>
              <w:rPr>
                <w:rFonts w:ascii="Arial Narrow" w:hAnsi="Arial Narrow"/>
                <w:b/>
                <w:color w:val="000000" w:themeColor="text1"/>
                <w:sz w:val="20"/>
                <w:szCs w:val="20"/>
              </w:rPr>
              <w:t>12351</w:t>
            </w:r>
          </w:p>
        </w:tc>
      </w:tr>
      <w:tr w:rsidR="00EC7D7D" w:rsidRPr="001428E9" w14:paraId="02949D11" w14:textId="77777777" w:rsidTr="002D4E7B">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3282DD0" w14:textId="270A252D" w:rsidR="00EC7D7D" w:rsidRPr="00BA681C" w:rsidRDefault="00EC7D7D" w:rsidP="002D4E7B">
            <w:pPr>
              <w:jc w:val="center"/>
              <w:rPr>
                <w:rFonts w:ascii="Arial Narrow" w:hAnsi="Arial Narrow"/>
                <w:b/>
                <w:color w:val="000000" w:themeColor="text1"/>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772254F" w14:textId="77777777" w:rsidR="00EC7D7D" w:rsidRPr="00BA681C" w:rsidRDefault="00EC7D7D" w:rsidP="002D4E7B">
            <w:pPr>
              <w:keepLines/>
              <w:rPr>
                <w:rFonts w:ascii="Arial Narrow" w:hAnsi="Arial Narrow"/>
                <w:color w:val="000000" w:themeColor="text1"/>
                <w:sz w:val="20"/>
                <w:szCs w:val="20"/>
              </w:rPr>
            </w:pPr>
            <w:r w:rsidRPr="00BA681C">
              <w:rPr>
                <w:rFonts w:ascii="Arial Narrow" w:hAnsi="Arial Narrow"/>
                <w:b/>
                <w:color w:val="000000" w:themeColor="text1"/>
                <w:sz w:val="20"/>
                <w:szCs w:val="20"/>
              </w:rPr>
              <w:t xml:space="preserve">Category / Program: </w:t>
            </w:r>
            <w:r w:rsidRPr="00BA681C">
              <w:rPr>
                <w:rFonts w:ascii="Arial Narrow" w:hAnsi="Arial Narrow"/>
                <w:color w:val="000000" w:themeColor="text1"/>
                <w:sz w:val="20"/>
                <w:szCs w:val="20"/>
              </w:rPr>
              <w:t xml:space="preserve">GENERAL – General Schedule (Code GE) </w:t>
            </w:r>
          </w:p>
          <w:p w14:paraId="310E09A4" w14:textId="77777777" w:rsidR="00EC7D7D" w:rsidRPr="00BA681C" w:rsidRDefault="00EC7D7D" w:rsidP="002D4E7B">
            <w:pPr>
              <w:keepLines/>
              <w:rPr>
                <w:rFonts w:ascii="Arial Narrow" w:hAnsi="Arial Narrow"/>
                <w:color w:val="000000" w:themeColor="text1"/>
                <w:sz w:val="20"/>
                <w:szCs w:val="20"/>
              </w:rPr>
            </w:pPr>
          </w:p>
        </w:tc>
      </w:tr>
      <w:tr w:rsidR="00EC7D7D" w:rsidRPr="001428E9" w14:paraId="74B41CE7" w14:textId="77777777" w:rsidTr="002D4E7B">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1A5A4967" w14:textId="77777777" w:rsidR="00EC7D7D" w:rsidRPr="00BA681C" w:rsidRDefault="00EC7D7D" w:rsidP="002D4E7B">
            <w:pPr>
              <w:rPr>
                <w:rFonts w:ascii="Arial Narrow" w:hAnsi="Arial Narrow"/>
                <w:color w:val="000000" w:themeColor="text1"/>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4BEBF0D" w14:textId="77777777" w:rsidR="00EC7D7D" w:rsidRPr="00BA681C" w:rsidRDefault="00EC7D7D" w:rsidP="002D4E7B">
            <w:pPr>
              <w:keepLines/>
              <w:rPr>
                <w:rFonts w:ascii="Arial Narrow" w:hAnsi="Arial Narrow"/>
                <w:b/>
                <w:color w:val="000000" w:themeColor="text1"/>
                <w:sz w:val="20"/>
                <w:szCs w:val="20"/>
              </w:rPr>
            </w:pPr>
            <w:r w:rsidRPr="00BA681C">
              <w:rPr>
                <w:rFonts w:ascii="Arial Narrow" w:hAnsi="Arial Narrow"/>
                <w:b/>
                <w:color w:val="000000" w:themeColor="text1"/>
                <w:sz w:val="20"/>
                <w:szCs w:val="20"/>
              </w:rPr>
              <w:t xml:space="preserve">Prescriber type: </w:t>
            </w:r>
            <w:r w:rsidRPr="00BA681C">
              <w:rPr>
                <w:rFonts w:ascii="Arial Narrow" w:hAnsi="Arial Narrow"/>
                <w:color w:val="000000" w:themeColor="text1"/>
                <w:sz w:val="20"/>
                <w:szCs w:val="20"/>
              </w:rPr>
              <w:fldChar w:fldCharType="begin">
                <w:ffData>
                  <w:name w:val=""/>
                  <w:enabled/>
                  <w:calcOnExit w:val="0"/>
                  <w:checkBox>
                    <w:sizeAuto/>
                    <w:default w:val="1"/>
                  </w:checkBox>
                </w:ffData>
              </w:fldChar>
            </w:r>
            <w:r w:rsidRPr="00BA681C">
              <w:rPr>
                <w:rFonts w:ascii="Arial Narrow" w:hAnsi="Arial Narrow"/>
                <w:color w:val="000000" w:themeColor="text1"/>
                <w:sz w:val="20"/>
                <w:szCs w:val="20"/>
              </w:rPr>
              <w:instrText xml:space="preserve"> FORMCHECKBOX </w:instrText>
            </w:r>
            <w:r w:rsidR="000F0F35">
              <w:rPr>
                <w:rFonts w:ascii="Arial Narrow" w:hAnsi="Arial Narrow"/>
                <w:color w:val="000000" w:themeColor="text1"/>
                <w:sz w:val="20"/>
                <w:szCs w:val="20"/>
              </w:rPr>
            </w:r>
            <w:r w:rsidR="000F0F35">
              <w:rPr>
                <w:rFonts w:ascii="Arial Narrow" w:hAnsi="Arial Narrow"/>
                <w:color w:val="000000" w:themeColor="text1"/>
                <w:sz w:val="20"/>
                <w:szCs w:val="20"/>
              </w:rPr>
              <w:fldChar w:fldCharType="separate"/>
            </w:r>
            <w:r w:rsidRPr="00BA681C">
              <w:rPr>
                <w:rFonts w:ascii="Arial Narrow" w:hAnsi="Arial Narrow"/>
                <w:color w:val="000000" w:themeColor="text1"/>
                <w:sz w:val="20"/>
                <w:szCs w:val="20"/>
              </w:rPr>
              <w:fldChar w:fldCharType="end"/>
            </w:r>
            <w:r w:rsidRPr="00BA681C">
              <w:rPr>
                <w:rFonts w:ascii="Arial Narrow" w:hAnsi="Arial Narrow"/>
                <w:color w:val="000000" w:themeColor="text1"/>
                <w:sz w:val="20"/>
                <w:szCs w:val="20"/>
              </w:rPr>
              <w:t>Medical Practitioners</w:t>
            </w:r>
          </w:p>
        </w:tc>
      </w:tr>
      <w:tr w:rsidR="00EC7D7D" w:rsidRPr="001428E9" w14:paraId="215386CC" w14:textId="77777777" w:rsidTr="002D4E7B">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3CC5B930" w14:textId="77777777" w:rsidR="00EC7D7D" w:rsidRPr="00BA681C" w:rsidRDefault="00EC7D7D" w:rsidP="002D4E7B">
            <w:pPr>
              <w:rPr>
                <w:rFonts w:ascii="Arial Narrow" w:hAnsi="Arial Narrow"/>
                <w:color w:val="000000" w:themeColor="text1"/>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5E363D" w14:textId="5E17016D" w:rsidR="00EC7D7D" w:rsidRPr="00BA681C" w:rsidRDefault="00EC7D7D" w:rsidP="00EC7D7D">
            <w:pPr>
              <w:keepLines/>
              <w:jc w:val="left"/>
              <w:rPr>
                <w:rFonts w:ascii="Arial Narrow" w:eastAsia="Calibri" w:hAnsi="Arial Narrow"/>
                <w:color w:val="000000" w:themeColor="text1"/>
                <w:sz w:val="20"/>
                <w:szCs w:val="20"/>
              </w:rPr>
            </w:pPr>
            <w:r w:rsidRPr="00BA681C">
              <w:rPr>
                <w:rFonts w:ascii="Arial Narrow" w:hAnsi="Arial Narrow"/>
                <w:b/>
                <w:color w:val="000000" w:themeColor="text1"/>
                <w:sz w:val="20"/>
                <w:szCs w:val="20"/>
              </w:rPr>
              <w:t>Restriction</w:t>
            </w:r>
            <w:r>
              <w:rPr>
                <w:rFonts w:ascii="Arial Narrow" w:hAnsi="Arial Narrow"/>
                <w:b/>
                <w:color w:val="000000" w:themeColor="text1"/>
                <w:sz w:val="20"/>
                <w:szCs w:val="20"/>
              </w:rPr>
              <w:t xml:space="preserve"> </w:t>
            </w:r>
            <w:r w:rsidRPr="00BA681C">
              <w:rPr>
                <w:rFonts w:ascii="Arial Narrow" w:hAnsi="Arial Narrow"/>
                <w:b/>
                <w:color w:val="000000" w:themeColor="text1"/>
                <w:sz w:val="20"/>
                <w:szCs w:val="20"/>
              </w:rPr>
              <w:t xml:space="preserve">type: </w:t>
            </w:r>
            <w:r w:rsidRPr="00BA681C">
              <w:rPr>
                <w:rFonts w:ascii="Arial Narrow" w:eastAsia="Calibri" w:hAnsi="Arial Narrow"/>
                <w:color w:val="000000" w:themeColor="text1"/>
                <w:sz w:val="20"/>
                <w:szCs w:val="20"/>
              </w:rPr>
              <w:br/>
            </w:r>
            <w:r w:rsidRPr="00BA681C">
              <w:rPr>
                <w:rFonts w:ascii="Arial Narrow" w:eastAsia="Calibri" w:hAnsi="Arial Narrow"/>
                <w:color w:val="000000" w:themeColor="text1"/>
                <w:sz w:val="20"/>
                <w:szCs w:val="20"/>
              </w:rPr>
              <w:fldChar w:fldCharType="begin">
                <w:ffData>
                  <w:name w:val="Check1"/>
                  <w:enabled/>
                  <w:calcOnExit w:val="0"/>
                  <w:checkBox>
                    <w:sizeAuto/>
                    <w:default w:val="1"/>
                  </w:checkBox>
                </w:ffData>
              </w:fldChar>
            </w:r>
            <w:r w:rsidRPr="00BA681C">
              <w:rPr>
                <w:rFonts w:ascii="Arial Narrow" w:eastAsia="Calibri" w:hAnsi="Arial Narrow"/>
                <w:color w:val="000000" w:themeColor="text1"/>
                <w:sz w:val="20"/>
                <w:szCs w:val="20"/>
              </w:rPr>
              <w:instrText xml:space="preserve"> FORMCHECKBOX </w:instrText>
            </w:r>
            <w:r w:rsidR="000F0F35">
              <w:rPr>
                <w:rFonts w:ascii="Arial Narrow" w:eastAsia="Calibri" w:hAnsi="Arial Narrow"/>
                <w:color w:val="000000" w:themeColor="text1"/>
                <w:sz w:val="20"/>
                <w:szCs w:val="20"/>
              </w:rPr>
            </w:r>
            <w:r w:rsidR="000F0F35">
              <w:rPr>
                <w:rFonts w:ascii="Arial Narrow" w:eastAsia="Calibri" w:hAnsi="Arial Narrow"/>
                <w:color w:val="000000" w:themeColor="text1"/>
                <w:sz w:val="20"/>
                <w:szCs w:val="20"/>
              </w:rPr>
              <w:fldChar w:fldCharType="separate"/>
            </w:r>
            <w:r w:rsidRPr="00BA681C">
              <w:rPr>
                <w:rFonts w:ascii="Arial Narrow" w:eastAsia="Calibri" w:hAnsi="Arial Narrow"/>
                <w:color w:val="000000" w:themeColor="text1"/>
                <w:sz w:val="20"/>
                <w:szCs w:val="20"/>
              </w:rPr>
              <w:fldChar w:fldCharType="end"/>
            </w:r>
            <w:r w:rsidRPr="00BA681C">
              <w:rPr>
                <w:rFonts w:ascii="Arial Narrow" w:eastAsia="Calibri" w:hAnsi="Arial Narrow"/>
                <w:color w:val="000000" w:themeColor="text1"/>
                <w:sz w:val="20"/>
                <w:szCs w:val="20"/>
              </w:rPr>
              <w:t>Restricted benefit</w:t>
            </w:r>
          </w:p>
        </w:tc>
      </w:tr>
      <w:tr w:rsidR="00EC7D7D" w:rsidRPr="001428E9" w14:paraId="3D529E38" w14:textId="77777777" w:rsidTr="002D4E7B">
        <w:tblPrEx>
          <w:tblCellMar>
            <w:top w:w="15" w:type="dxa"/>
            <w:bottom w:w="15" w:type="dxa"/>
          </w:tblCellMar>
          <w:tblLook w:val="04A0" w:firstRow="1" w:lastRow="0" w:firstColumn="1" w:lastColumn="0" w:noHBand="0" w:noVBand="1"/>
        </w:tblPrEx>
        <w:trPr>
          <w:cantSplit/>
          <w:trHeight w:val="20"/>
        </w:trPr>
        <w:tc>
          <w:tcPr>
            <w:tcW w:w="1271" w:type="dxa"/>
            <w:vMerge/>
            <w:vAlign w:val="center"/>
          </w:tcPr>
          <w:p w14:paraId="1C670246" w14:textId="77777777" w:rsidR="00EC7D7D" w:rsidRPr="00BA681C" w:rsidRDefault="00EC7D7D" w:rsidP="002D4E7B">
            <w:pPr>
              <w:keepLines/>
              <w:jc w:val="center"/>
              <w:rPr>
                <w:rFonts w:ascii="Arial Narrow" w:hAnsi="Arial Narrow"/>
                <w:color w:val="000000" w:themeColor="text1"/>
                <w:sz w:val="20"/>
                <w:szCs w:val="20"/>
              </w:rPr>
            </w:pPr>
          </w:p>
        </w:tc>
        <w:tc>
          <w:tcPr>
            <w:tcW w:w="7745" w:type="dxa"/>
            <w:gridSpan w:val="6"/>
            <w:vAlign w:val="center"/>
          </w:tcPr>
          <w:p w14:paraId="36CEF9D1" w14:textId="77777777" w:rsidR="00EC7D7D" w:rsidRPr="00BA681C" w:rsidRDefault="00EC7D7D" w:rsidP="002D4E7B">
            <w:pPr>
              <w:keepLines/>
              <w:rPr>
                <w:rFonts w:ascii="Arial Narrow" w:hAnsi="Arial Narrow"/>
                <w:b/>
                <w:bCs/>
                <w:color w:val="000000" w:themeColor="text1"/>
                <w:sz w:val="20"/>
                <w:szCs w:val="20"/>
              </w:rPr>
            </w:pPr>
            <w:r w:rsidRPr="00BA681C">
              <w:rPr>
                <w:rFonts w:ascii="Arial Narrow" w:hAnsi="Arial Narrow"/>
                <w:b/>
                <w:bCs/>
                <w:color w:val="000000" w:themeColor="text1"/>
                <w:sz w:val="20"/>
                <w:szCs w:val="20"/>
              </w:rPr>
              <w:t xml:space="preserve">Condition: </w:t>
            </w:r>
            <w:r w:rsidRPr="00BA681C">
              <w:rPr>
                <w:rFonts w:ascii="Arial Narrow" w:hAnsi="Arial Narrow"/>
                <w:bCs/>
                <w:color w:val="000000" w:themeColor="text1"/>
                <w:sz w:val="20"/>
                <w:szCs w:val="20"/>
              </w:rPr>
              <w:t>Central precocious puberty</w:t>
            </w:r>
          </w:p>
        </w:tc>
      </w:tr>
      <w:tr w:rsidR="00EC7D7D" w:rsidRPr="001428E9" w14:paraId="57CCD888" w14:textId="77777777" w:rsidTr="0066642A">
        <w:tblPrEx>
          <w:tblCellMar>
            <w:top w:w="15" w:type="dxa"/>
            <w:bottom w:w="15" w:type="dxa"/>
          </w:tblCellMar>
          <w:tblLook w:val="04A0" w:firstRow="1" w:lastRow="0" w:firstColumn="1" w:lastColumn="0" w:noHBand="0" w:noVBand="1"/>
        </w:tblPrEx>
        <w:trPr>
          <w:cantSplit/>
          <w:trHeight w:val="20"/>
        </w:trPr>
        <w:tc>
          <w:tcPr>
            <w:tcW w:w="1271" w:type="dxa"/>
            <w:vAlign w:val="center"/>
          </w:tcPr>
          <w:p w14:paraId="258C9546" w14:textId="4B40F3D5" w:rsidR="00EC7D7D" w:rsidRPr="00BA681C" w:rsidRDefault="00EC7D7D" w:rsidP="002D4E7B">
            <w:pPr>
              <w:keepLines/>
              <w:jc w:val="center"/>
              <w:rPr>
                <w:rFonts w:ascii="Arial Narrow" w:hAnsi="Arial Narrow"/>
                <w:color w:val="000000" w:themeColor="text1"/>
                <w:sz w:val="20"/>
                <w:szCs w:val="20"/>
              </w:rPr>
            </w:pPr>
          </w:p>
        </w:tc>
        <w:tc>
          <w:tcPr>
            <w:tcW w:w="7745" w:type="dxa"/>
            <w:gridSpan w:val="6"/>
            <w:vAlign w:val="center"/>
            <w:hideMark/>
          </w:tcPr>
          <w:p w14:paraId="1D476A7C" w14:textId="77777777" w:rsidR="00EC7D7D" w:rsidRPr="00BA681C" w:rsidRDefault="00EC7D7D" w:rsidP="002D4E7B">
            <w:pPr>
              <w:keepLines/>
              <w:rPr>
                <w:rFonts w:ascii="Arial Narrow" w:hAnsi="Arial Narrow"/>
                <w:color w:val="000000" w:themeColor="text1"/>
                <w:sz w:val="20"/>
                <w:szCs w:val="20"/>
              </w:rPr>
            </w:pPr>
            <w:r w:rsidRPr="00BA681C">
              <w:rPr>
                <w:rFonts w:ascii="Arial Narrow" w:hAnsi="Arial Narrow"/>
                <w:b/>
                <w:bCs/>
                <w:color w:val="000000" w:themeColor="text1"/>
                <w:sz w:val="20"/>
                <w:szCs w:val="20"/>
              </w:rPr>
              <w:t>Indication:</w:t>
            </w:r>
            <w:r w:rsidRPr="00BA681C">
              <w:rPr>
                <w:rFonts w:ascii="Arial Narrow" w:hAnsi="Arial Narrow"/>
                <w:color w:val="000000" w:themeColor="text1"/>
                <w:sz w:val="20"/>
                <w:szCs w:val="20"/>
              </w:rPr>
              <w:t xml:space="preserve"> </w:t>
            </w:r>
            <w:r w:rsidRPr="00BA681C">
              <w:rPr>
                <w:rFonts w:ascii="Arial Narrow" w:hAnsi="Arial Narrow"/>
                <w:bCs/>
                <w:color w:val="000000" w:themeColor="text1"/>
                <w:sz w:val="20"/>
                <w:szCs w:val="20"/>
              </w:rPr>
              <w:t>Central precocious puberty</w:t>
            </w:r>
          </w:p>
        </w:tc>
      </w:tr>
      <w:tr w:rsidR="00EC7D7D" w:rsidRPr="001428E9" w14:paraId="28967623" w14:textId="77777777" w:rsidTr="0066642A">
        <w:tblPrEx>
          <w:tblCellMar>
            <w:top w:w="15" w:type="dxa"/>
            <w:bottom w:w="15" w:type="dxa"/>
          </w:tblCellMar>
          <w:tblLook w:val="04A0" w:firstRow="1" w:lastRow="0" w:firstColumn="1" w:lastColumn="0" w:noHBand="0" w:noVBand="1"/>
        </w:tblPrEx>
        <w:trPr>
          <w:cantSplit/>
          <w:trHeight w:val="20"/>
        </w:trPr>
        <w:tc>
          <w:tcPr>
            <w:tcW w:w="1271" w:type="dxa"/>
            <w:vAlign w:val="center"/>
          </w:tcPr>
          <w:p w14:paraId="689BD02A" w14:textId="77777777" w:rsidR="00EC7D7D" w:rsidRPr="00BA681C" w:rsidRDefault="00EC7D7D" w:rsidP="002D4E7B">
            <w:pPr>
              <w:jc w:val="center"/>
              <w:rPr>
                <w:rFonts w:ascii="Arial Narrow" w:hAnsi="Arial Narrow"/>
                <w:color w:val="000000" w:themeColor="text1"/>
                <w:sz w:val="20"/>
                <w:szCs w:val="20"/>
              </w:rPr>
            </w:pPr>
          </w:p>
        </w:tc>
        <w:tc>
          <w:tcPr>
            <w:tcW w:w="7745" w:type="dxa"/>
            <w:gridSpan w:val="6"/>
            <w:vAlign w:val="center"/>
            <w:hideMark/>
          </w:tcPr>
          <w:p w14:paraId="3C8DD7A4" w14:textId="77777777" w:rsidR="00EC7D7D" w:rsidRPr="00BA681C" w:rsidRDefault="00EC7D7D" w:rsidP="002D4E7B">
            <w:pPr>
              <w:rPr>
                <w:rFonts w:ascii="Arial Narrow" w:hAnsi="Arial Narrow"/>
                <w:color w:val="000000" w:themeColor="text1"/>
                <w:sz w:val="20"/>
                <w:szCs w:val="20"/>
              </w:rPr>
            </w:pPr>
            <w:r w:rsidRPr="00BA681C">
              <w:rPr>
                <w:rFonts w:ascii="Arial Narrow" w:hAnsi="Arial Narrow"/>
                <w:b/>
                <w:bCs/>
                <w:color w:val="000000" w:themeColor="text1"/>
                <w:sz w:val="20"/>
                <w:szCs w:val="20"/>
              </w:rPr>
              <w:t>Treatment Phase:</w:t>
            </w:r>
            <w:r w:rsidRPr="00BA681C">
              <w:rPr>
                <w:rFonts w:ascii="Arial Narrow" w:hAnsi="Arial Narrow"/>
                <w:color w:val="000000" w:themeColor="text1"/>
                <w:sz w:val="20"/>
                <w:szCs w:val="20"/>
              </w:rPr>
              <w:t xml:space="preserve"> </w:t>
            </w:r>
            <w:r w:rsidRPr="00AA433B">
              <w:rPr>
                <w:rFonts w:ascii="Arial Narrow" w:hAnsi="Arial Narrow"/>
                <w:color w:val="000000" w:themeColor="text1"/>
                <w:sz w:val="20"/>
                <w:szCs w:val="20"/>
              </w:rPr>
              <w:t>Continuing treatment with this drug, or, switching gonadotropin releasing hormone analogue therapy</w:t>
            </w:r>
          </w:p>
        </w:tc>
      </w:tr>
      <w:tr w:rsidR="00EC7D7D" w:rsidRPr="001428E9" w14:paraId="0B260C38" w14:textId="77777777" w:rsidTr="002D4E7B">
        <w:tblPrEx>
          <w:tblCellMar>
            <w:top w:w="15" w:type="dxa"/>
            <w:bottom w:w="15" w:type="dxa"/>
          </w:tblCellMar>
          <w:tblLook w:val="04A0" w:firstRow="1" w:lastRow="0" w:firstColumn="1" w:lastColumn="0" w:noHBand="0" w:noVBand="1"/>
        </w:tblPrEx>
        <w:trPr>
          <w:cantSplit/>
          <w:trHeight w:val="20"/>
        </w:trPr>
        <w:tc>
          <w:tcPr>
            <w:tcW w:w="1271" w:type="dxa"/>
            <w:vAlign w:val="center"/>
          </w:tcPr>
          <w:p w14:paraId="2F3EE21A" w14:textId="15D70CF8" w:rsidR="00EC7D7D" w:rsidRPr="00BA681C" w:rsidRDefault="00EC7D7D" w:rsidP="002D4E7B">
            <w:pPr>
              <w:jc w:val="center"/>
              <w:rPr>
                <w:rFonts w:ascii="Arial Narrow" w:hAnsi="Arial Narrow"/>
                <w:color w:val="000000" w:themeColor="text1"/>
                <w:sz w:val="20"/>
                <w:szCs w:val="20"/>
              </w:rPr>
            </w:pPr>
          </w:p>
        </w:tc>
        <w:tc>
          <w:tcPr>
            <w:tcW w:w="7745" w:type="dxa"/>
            <w:gridSpan w:val="6"/>
            <w:vAlign w:val="center"/>
            <w:hideMark/>
          </w:tcPr>
          <w:p w14:paraId="1A74BA91" w14:textId="77777777" w:rsidR="00EC7D7D" w:rsidRPr="00BA681C" w:rsidRDefault="00EC7D7D" w:rsidP="002D4E7B">
            <w:pPr>
              <w:rPr>
                <w:rFonts w:ascii="Arial Narrow" w:hAnsi="Arial Narrow"/>
                <w:color w:val="000000" w:themeColor="text1"/>
                <w:sz w:val="20"/>
                <w:szCs w:val="20"/>
              </w:rPr>
            </w:pPr>
            <w:r w:rsidRPr="00BA681C">
              <w:rPr>
                <w:rFonts w:ascii="Arial Narrow" w:hAnsi="Arial Narrow"/>
                <w:b/>
                <w:bCs/>
                <w:color w:val="000000" w:themeColor="text1"/>
                <w:sz w:val="20"/>
                <w:szCs w:val="20"/>
              </w:rPr>
              <w:t xml:space="preserve">Clinical criteria: </w:t>
            </w:r>
          </w:p>
        </w:tc>
      </w:tr>
      <w:tr w:rsidR="00EC7D7D" w:rsidRPr="001428E9" w14:paraId="0578DA19" w14:textId="77777777" w:rsidTr="002D4E7B">
        <w:tblPrEx>
          <w:tblCellMar>
            <w:top w:w="15" w:type="dxa"/>
            <w:bottom w:w="15" w:type="dxa"/>
          </w:tblCellMar>
          <w:tblLook w:val="04A0" w:firstRow="1" w:lastRow="0" w:firstColumn="1" w:lastColumn="0" w:noHBand="0" w:noVBand="1"/>
        </w:tblPrEx>
        <w:trPr>
          <w:cantSplit/>
          <w:trHeight w:val="20"/>
        </w:trPr>
        <w:tc>
          <w:tcPr>
            <w:tcW w:w="1271" w:type="dxa"/>
            <w:vAlign w:val="center"/>
          </w:tcPr>
          <w:p w14:paraId="6FF191F2" w14:textId="77777777" w:rsidR="00EC7D7D" w:rsidRPr="00BA681C" w:rsidRDefault="00EC7D7D" w:rsidP="002D4E7B">
            <w:pPr>
              <w:jc w:val="center"/>
              <w:rPr>
                <w:rFonts w:ascii="Arial Narrow" w:hAnsi="Arial Narrow"/>
                <w:color w:val="000000" w:themeColor="text1"/>
                <w:sz w:val="20"/>
                <w:szCs w:val="20"/>
              </w:rPr>
            </w:pPr>
          </w:p>
        </w:tc>
        <w:tc>
          <w:tcPr>
            <w:tcW w:w="7745" w:type="dxa"/>
            <w:gridSpan w:val="6"/>
            <w:vAlign w:val="center"/>
            <w:hideMark/>
          </w:tcPr>
          <w:p w14:paraId="2178D10D" w14:textId="77777777" w:rsidR="00EC7D7D" w:rsidRDefault="00EC7D7D" w:rsidP="002D4E7B">
            <w:pPr>
              <w:rPr>
                <w:rFonts w:ascii="Arial Narrow" w:hAnsi="Arial Narrow"/>
                <w:color w:val="000000" w:themeColor="text1"/>
                <w:sz w:val="20"/>
                <w:szCs w:val="20"/>
              </w:rPr>
            </w:pPr>
            <w:r w:rsidRPr="00AA433B">
              <w:rPr>
                <w:rFonts w:ascii="Arial Narrow" w:hAnsi="Arial Narrow"/>
                <w:color w:val="000000" w:themeColor="text1"/>
                <w:sz w:val="20"/>
                <w:szCs w:val="20"/>
              </w:rPr>
              <w:t>Must be treated by a medical practitioner identifying as one of: (</w:t>
            </w:r>
            <w:proofErr w:type="spellStart"/>
            <w:r w:rsidRPr="00AA433B">
              <w:rPr>
                <w:rFonts w:ascii="Arial Narrow" w:hAnsi="Arial Narrow"/>
                <w:color w:val="000000" w:themeColor="text1"/>
                <w:sz w:val="20"/>
                <w:szCs w:val="20"/>
              </w:rPr>
              <w:t>i</w:t>
            </w:r>
            <w:proofErr w:type="spellEnd"/>
            <w:r w:rsidRPr="00AA433B">
              <w:rPr>
                <w:rFonts w:ascii="Arial Narrow" w:hAnsi="Arial Narrow"/>
                <w:color w:val="000000" w:themeColor="text1"/>
                <w:sz w:val="20"/>
                <w:szCs w:val="20"/>
              </w:rPr>
              <w:t>) a paediatric endocrinologist, (ii) an endocrinologist specialising in paediatrics; or</w:t>
            </w:r>
          </w:p>
          <w:p w14:paraId="32F894FF" w14:textId="77777777" w:rsidR="00EC7D7D" w:rsidRPr="00BA681C" w:rsidRDefault="00EC7D7D" w:rsidP="002D4E7B">
            <w:pPr>
              <w:rPr>
                <w:rFonts w:ascii="Arial Narrow" w:hAnsi="Arial Narrow"/>
                <w:color w:val="000000" w:themeColor="text1"/>
                <w:sz w:val="20"/>
                <w:szCs w:val="20"/>
              </w:rPr>
            </w:pPr>
            <w:r w:rsidRPr="00AA433B">
              <w:rPr>
                <w:rFonts w:ascii="Arial Narrow" w:hAnsi="Arial Narrow"/>
                <w:color w:val="000000" w:themeColor="text1"/>
                <w:sz w:val="20"/>
                <w:szCs w:val="20"/>
              </w:rPr>
              <w:t xml:space="preserve">Must be treated by a medical practitioner who has consulted at least one of the </w:t>
            </w:r>
            <w:proofErr w:type="gramStart"/>
            <w:r w:rsidRPr="00AA433B">
              <w:rPr>
                <w:rFonts w:ascii="Arial Narrow" w:hAnsi="Arial Narrow"/>
                <w:color w:val="000000" w:themeColor="text1"/>
                <w:sz w:val="20"/>
                <w:szCs w:val="20"/>
              </w:rPr>
              <w:t>above mentioned</w:t>
            </w:r>
            <w:proofErr w:type="gramEnd"/>
            <w:r w:rsidRPr="00AA433B">
              <w:rPr>
                <w:rFonts w:ascii="Arial Narrow" w:hAnsi="Arial Narrow"/>
                <w:color w:val="000000" w:themeColor="text1"/>
                <w:sz w:val="20"/>
                <w:szCs w:val="20"/>
              </w:rPr>
              <w:t xml:space="preserve"> specialist types, with agreement reached that the patient should be treated with this pharmaceutical benefit on this occasion</w:t>
            </w:r>
          </w:p>
        </w:tc>
      </w:tr>
      <w:tr w:rsidR="00EC7D7D" w:rsidRPr="001428E9" w14:paraId="27723131" w14:textId="77777777" w:rsidTr="002D4E7B">
        <w:tblPrEx>
          <w:tblCellMar>
            <w:top w:w="15" w:type="dxa"/>
            <w:bottom w:w="15" w:type="dxa"/>
          </w:tblCellMar>
          <w:tblLook w:val="04A0" w:firstRow="1" w:lastRow="0" w:firstColumn="1" w:lastColumn="0" w:noHBand="0" w:noVBand="1"/>
        </w:tblPrEx>
        <w:trPr>
          <w:cantSplit/>
          <w:trHeight w:val="20"/>
        </w:trPr>
        <w:tc>
          <w:tcPr>
            <w:tcW w:w="1271" w:type="dxa"/>
            <w:vAlign w:val="center"/>
          </w:tcPr>
          <w:p w14:paraId="0853B44C" w14:textId="77777777" w:rsidR="00EC7D7D" w:rsidRPr="00BA681C" w:rsidRDefault="00EC7D7D" w:rsidP="002D4E7B">
            <w:pPr>
              <w:jc w:val="center"/>
              <w:rPr>
                <w:rFonts w:ascii="Arial Narrow" w:hAnsi="Arial Narrow"/>
                <w:color w:val="000000" w:themeColor="text1"/>
                <w:sz w:val="20"/>
                <w:szCs w:val="20"/>
              </w:rPr>
            </w:pPr>
          </w:p>
        </w:tc>
        <w:tc>
          <w:tcPr>
            <w:tcW w:w="7745" w:type="dxa"/>
            <w:gridSpan w:val="6"/>
            <w:vAlign w:val="center"/>
            <w:hideMark/>
          </w:tcPr>
          <w:p w14:paraId="0E387877" w14:textId="09EA0B6F" w:rsidR="00EC7D7D" w:rsidRPr="00BA681C" w:rsidRDefault="00EC7D7D" w:rsidP="002D4E7B">
            <w:pPr>
              <w:rPr>
                <w:rFonts w:ascii="Arial Narrow" w:hAnsi="Arial Narrow"/>
                <w:color w:val="000000" w:themeColor="text1"/>
                <w:sz w:val="20"/>
                <w:szCs w:val="20"/>
              </w:rPr>
            </w:pPr>
            <w:r w:rsidRPr="00BA681C">
              <w:rPr>
                <w:rFonts w:ascii="Arial Narrow" w:hAnsi="Arial Narrow"/>
                <w:b/>
                <w:bCs/>
                <w:color w:val="000000" w:themeColor="text1"/>
                <w:sz w:val="20"/>
                <w:szCs w:val="20"/>
              </w:rPr>
              <w:t>AND</w:t>
            </w:r>
          </w:p>
        </w:tc>
      </w:tr>
      <w:tr w:rsidR="00EC7D7D" w:rsidRPr="001428E9" w14:paraId="0BB933BF" w14:textId="77777777" w:rsidTr="002D4E7B">
        <w:tblPrEx>
          <w:tblCellMar>
            <w:top w:w="15" w:type="dxa"/>
            <w:bottom w:w="15" w:type="dxa"/>
          </w:tblCellMar>
          <w:tblLook w:val="04A0" w:firstRow="1" w:lastRow="0" w:firstColumn="1" w:lastColumn="0" w:noHBand="0" w:noVBand="1"/>
        </w:tblPrEx>
        <w:trPr>
          <w:cantSplit/>
          <w:trHeight w:val="20"/>
        </w:trPr>
        <w:tc>
          <w:tcPr>
            <w:tcW w:w="1271" w:type="dxa"/>
            <w:vAlign w:val="center"/>
          </w:tcPr>
          <w:p w14:paraId="62D5F4F9" w14:textId="180F5ACD" w:rsidR="00EC7D7D" w:rsidRPr="00BA681C" w:rsidRDefault="00EC7D7D" w:rsidP="002D4E7B">
            <w:pPr>
              <w:jc w:val="center"/>
              <w:rPr>
                <w:rFonts w:ascii="Arial Narrow" w:hAnsi="Arial Narrow"/>
                <w:color w:val="000000" w:themeColor="text1"/>
                <w:sz w:val="20"/>
                <w:szCs w:val="20"/>
              </w:rPr>
            </w:pPr>
          </w:p>
        </w:tc>
        <w:tc>
          <w:tcPr>
            <w:tcW w:w="7745" w:type="dxa"/>
            <w:gridSpan w:val="6"/>
            <w:vAlign w:val="center"/>
            <w:hideMark/>
          </w:tcPr>
          <w:p w14:paraId="4523DBEF" w14:textId="77777777" w:rsidR="00EC7D7D" w:rsidRPr="00BA681C" w:rsidRDefault="00EC7D7D" w:rsidP="002D4E7B">
            <w:pPr>
              <w:rPr>
                <w:rFonts w:ascii="Arial Narrow" w:hAnsi="Arial Narrow"/>
                <w:color w:val="000000" w:themeColor="text1"/>
                <w:sz w:val="20"/>
                <w:szCs w:val="20"/>
              </w:rPr>
            </w:pPr>
            <w:r>
              <w:rPr>
                <w:rFonts w:ascii="Arial Narrow" w:hAnsi="Arial Narrow"/>
                <w:b/>
                <w:bCs/>
                <w:color w:val="000000" w:themeColor="text1"/>
                <w:sz w:val="20"/>
                <w:szCs w:val="20"/>
              </w:rPr>
              <w:t>Treatment criteria</w:t>
            </w:r>
          </w:p>
        </w:tc>
      </w:tr>
      <w:tr w:rsidR="00EC7D7D" w:rsidRPr="001428E9" w14:paraId="40696BE7" w14:textId="77777777" w:rsidTr="002D4E7B">
        <w:tblPrEx>
          <w:tblCellMar>
            <w:top w:w="15" w:type="dxa"/>
            <w:bottom w:w="15" w:type="dxa"/>
          </w:tblCellMar>
          <w:tblLook w:val="04A0" w:firstRow="1" w:lastRow="0" w:firstColumn="1" w:lastColumn="0" w:noHBand="0" w:noVBand="1"/>
        </w:tblPrEx>
        <w:trPr>
          <w:cantSplit/>
          <w:trHeight w:val="20"/>
        </w:trPr>
        <w:tc>
          <w:tcPr>
            <w:tcW w:w="1271" w:type="dxa"/>
            <w:vAlign w:val="center"/>
          </w:tcPr>
          <w:p w14:paraId="5B02EAA5" w14:textId="201B19FB" w:rsidR="00EC7D7D" w:rsidRPr="00BA681C" w:rsidRDefault="00EC7D7D" w:rsidP="002D4E7B">
            <w:pPr>
              <w:jc w:val="center"/>
              <w:rPr>
                <w:rFonts w:ascii="Arial Narrow" w:hAnsi="Arial Narrow"/>
                <w:color w:val="000000" w:themeColor="text1"/>
                <w:sz w:val="20"/>
                <w:szCs w:val="20"/>
              </w:rPr>
            </w:pPr>
          </w:p>
        </w:tc>
        <w:tc>
          <w:tcPr>
            <w:tcW w:w="7745" w:type="dxa"/>
            <w:gridSpan w:val="6"/>
            <w:vAlign w:val="center"/>
            <w:hideMark/>
          </w:tcPr>
          <w:p w14:paraId="19F0A7FE" w14:textId="77777777" w:rsidR="00EC7D7D" w:rsidRPr="00BA681C" w:rsidRDefault="00EC7D7D" w:rsidP="002D4E7B">
            <w:pPr>
              <w:rPr>
                <w:rFonts w:ascii="Arial Narrow" w:hAnsi="Arial Narrow"/>
                <w:color w:val="000000" w:themeColor="text1"/>
                <w:sz w:val="20"/>
                <w:szCs w:val="20"/>
              </w:rPr>
            </w:pPr>
            <w:r w:rsidRPr="00AA433B">
              <w:rPr>
                <w:rFonts w:ascii="Arial Narrow" w:hAnsi="Arial Narrow"/>
                <w:color w:val="000000" w:themeColor="text1"/>
                <w:sz w:val="20"/>
                <w:szCs w:val="20"/>
              </w:rPr>
              <w:t>Patient must be undergoing continuing treatment with a gonadotropin releasing hormone analogue initiated through the PBS for this PBS indication</w:t>
            </w:r>
          </w:p>
        </w:tc>
      </w:tr>
    </w:tbl>
    <w:p w14:paraId="5F52318A" w14:textId="77777777" w:rsidR="00EC7D7D" w:rsidRDefault="00EC7D7D" w:rsidP="00C22249">
      <w:pPr>
        <w:pStyle w:val="TableFigureFooter"/>
      </w:pPr>
    </w:p>
    <w:p w14:paraId="2D9706A0" w14:textId="286B85DF" w:rsidR="00C22249" w:rsidRPr="00DB490D" w:rsidRDefault="00C22249" w:rsidP="00C22249">
      <w:pPr>
        <w:pStyle w:val="3-BodyText"/>
      </w:pPr>
      <w:r w:rsidRPr="00DB490D">
        <w:t xml:space="preserve">Flow on changes to the wording of the population criteria to the current initial listing for </w:t>
      </w:r>
      <w:proofErr w:type="spellStart"/>
      <w:r w:rsidRPr="00DB490D">
        <w:t>Lucrin</w:t>
      </w:r>
      <w:proofErr w:type="spellEnd"/>
      <w:r w:rsidRPr="00DB490D">
        <w:t xml:space="preserve"> Paediatric (PBS item code: 11960L):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40"/>
        <w:gridCol w:w="7516"/>
      </w:tblGrid>
      <w:tr w:rsidR="00C22249" w:rsidRPr="00F27780" w14:paraId="398F9DF7" w14:textId="77777777" w:rsidTr="008E3C46">
        <w:trPr>
          <w:cantSplit/>
          <w:trHeight w:val="20"/>
        </w:trPr>
        <w:tc>
          <w:tcPr>
            <w:tcW w:w="1240" w:type="dxa"/>
            <w:vAlign w:val="center"/>
          </w:tcPr>
          <w:p w14:paraId="15E5E306" w14:textId="4AC06BCE" w:rsidR="00C22249" w:rsidRPr="00C22249" w:rsidRDefault="00C22249" w:rsidP="008F5750">
            <w:pPr>
              <w:jc w:val="center"/>
              <w:rPr>
                <w:rFonts w:ascii="Arial Narrow" w:hAnsi="Arial Narrow"/>
                <w:strike/>
                <w:color w:val="000000" w:themeColor="text1"/>
                <w:sz w:val="20"/>
                <w:szCs w:val="20"/>
              </w:rPr>
            </w:pPr>
            <w:r w:rsidRPr="00C22249">
              <w:rPr>
                <w:rFonts w:ascii="Arial Narrow" w:hAnsi="Arial Narrow"/>
                <w:strike/>
                <w:color w:val="000000" w:themeColor="text1"/>
                <w:sz w:val="20"/>
                <w:szCs w:val="20"/>
              </w:rPr>
              <w:t xml:space="preserve">Remove </w:t>
            </w:r>
          </w:p>
        </w:tc>
        <w:tc>
          <w:tcPr>
            <w:tcW w:w="7516" w:type="dxa"/>
            <w:vAlign w:val="center"/>
          </w:tcPr>
          <w:p w14:paraId="2F4307D1" w14:textId="5E3AB766" w:rsidR="00C22249" w:rsidRPr="00F27780" w:rsidRDefault="00C22249" w:rsidP="008F5750">
            <w:pPr>
              <w:rPr>
                <w:rFonts w:ascii="Arial Narrow" w:hAnsi="Arial Narrow"/>
                <w:strike/>
                <w:color w:val="000000" w:themeColor="text1"/>
                <w:sz w:val="20"/>
                <w:szCs w:val="20"/>
              </w:rPr>
            </w:pPr>
            <w:r w:rsidRPr="00BA681C">
              <w:rPr>
                <w:rFonts w:ascii="Arial Narrow" w:hAnsi="Arial Narrow"/>
                <w:b/>
                <w:bCs/>
                <w:color w:val="000000" w:themeColor="text1"/>
                <w:sz w:val="20"/>
                <w:szCs w:val="20"/>
              </w:rPr>
              <w:t>Population criteria:</w:t>
            </w:r>
          </w:p>
        </w:tc>
      </w:tr>
      <w:tr w:rsidR="00C22249" w:rsidRPr="00F27780" w14:paraId="129F966E" w14:textId="77777777" w:rsidTr="008E3C46">
        <w:trPr>
          <w:cantSplit/>
          <w:trHeight w:val="20"/>
        </w:trPr>
        <w:tc>
          <w:tcPr>
            <w:tcW w:w="1240" w:type="dxa"/>
            <w:vAlign w:val="center"/>
            <w:hideMark/>
          </w:tcPr>
          <w:p w14:paraId="55ABD9AE" w14:textId="52F48B76" w:rsidR="00C22249" w:rsidRPr="00C22249" w:rsidRDefault="00C22249" w:rsidP="008F5750">
            <w:pPr>
              <w:jc w:val="center"/>
              <w:rPr>
                <w:rFonts w:ascii="Arial Narrow" w:hAnsi="Arial Narrow"/>
                <w:strike/>
                <w:color w:val="000000" w:themeColor="text1"/>
                <w:sz w:val="20"/>
                <w:szCs w:val="20"/>
              </w:rPr>
            </w:pPr>
            <w:r w:rsidRPr="00C22249">
              <w:rPr>
                <w:rFonts w:ascii="Arial Narrow" w:hAnsi="Arial Narrow"/>
                <w:strike/>
                <w:color w:val="000000" w:themeColor="text1"/>
                <w:sz w:val="20"/>
                <w:szCs w:val="20"/>
              </w:rPr>
              <w:t xml:space="preserve">Remove </w:t>
            </w:r>
          </w:p>
          <w:p w14:paraId="3CCAD6F5" w14:textId="77777777" w:rsidR="00C22249" w:rsidRPr="00C22249" w:rsidRDefault="00C22249" w:rsidP="008F5750">
            <w:pPr>
              <w:jc w:val="center"/>
              <w:rPr>
                <w:rFonts w:ascii="Arial Narrow" w:hAnsi="Arial Narrow"/>
                <w:i/>
                <w:iCs/>
                <w:color w:val="000000" w:themeColor="text1"/>
                <w:sz w:val="20"/>
                <w:szCs w:val="20"/>
              </w:rPr>
            </w:pPr>
            <w:r w:rsidRPr="00C22249">
              <w:rPr>
                <w:rFonts w:ascii="Arial Narrow" w:hAnsi="Arial Narrow"/>
                <w:i/>
                <w:iCs/>
                <w:color w:val="000000" w:themeColor="text1"/>
                <w:sz w:val="20"/>
                <w:szCs w:val="20"/>
              </w:rPr>
              <w:t>Insert New PC1</w:t>
            </w:r>
          </w:p>
        </w:tc>
        <w:tc>
          <w:tcPr>
            <w:tcW w:w="7516" w:type="dxa"/>
            <w:vAlign w:val="center"/>
            <w:hideMark/>
          </w:tcPr>
          <w:p w14:paraId="4CA53A50" w14:textId="77777777" w:rsidR="00C22249" w:rsidRDefault="00C22249" w:rsidP="008F5750">
            <w:pPr>
              <w:rPr>
                <w:rFonts w:ascii="Arial Narrow" w:hAnsi="Arial Narrow"/>
                <w:strike/>
                <w:color w:val="000000" w:themeColor="text1"/>
                <w:sz w:val="20"/>
                <w:szCs w:val="20"/>
              </w:rPr>
            </w:pPr>
            <w:r w:rsidRPr="00F27780">
              <w:rPr>
                <w:rFonts w:ascii="Arial Narrow" w:hAnsi="Arial Narrow"/>
                <w:strike/>
                <w:color w:val="000000" w:themeColor="text1"/>
                <w:sz w:val="20"/>
                <w:szCs w:val="20"/>
              </w:rPr>
              <w:t>Patient must be aged 10 years or younger (girls) or 11 years or younger (boys)</w:t>
            </w:r>
            <w:r>
              <w:rPr>
                <w:rFonts w:ascii="Arial Narrow" w:hAnsi="Arial Narrow"/>
                <w:strike/>
                <w:color w:val="000000" w:themeColor="text1"/>
                <w:sz w:val="20"/>
                <w:szCs w:val="20"/>
              </w:rPr>
              <w:t xml:space="preserve"> </w:t>
            </w:r>
          </w:p>
          <w:p w14:paraId="79BAE993" w14:textId="77777777" w:rsidR="00C22249" w:rsidRPr="00F27780" w:rsidRDefault="00C22249" w:rsidP="008F5750">
            <w:pPr>
              <w:rPr>
                <w:rFonts w:ascii="Arial Narrow" w:hAnsi="Arial Narrow"/>
                <w:i/>
                <w:iCs/>
                <w:color w:val="000000" w:themeColor="text1"/>
                <w:sz w:val="20"/>
                <w:szCs w:val="20"/>
              </w:rPr>
            </w:pPr>
            <w:r>
              <w:rPr>
                <w:rFonts w:ascii="Arial Narrow" w:hAnsi="Arial Narrow"/>
                <w:i/>
                <w:iCs/>
                <w:color w:val="000000" w:themeColor="text1"/>
                <w:sz w:val="20"/>
                <w:szCs w:val="20"/>
              </w:rPr>
              <w:t>Patient must be of an age that is prior to their 10</w:t>
            </w:r>
            <w:r w:rsidRPr="00C349A0">
              <w:rPr>
                <w:rFonts w:ascii="Arial Narrow" w:hAnsi="Arial Narrow"/>
                <w:i/>
                <w:iCs/>
                <w:color w:val="000000" w:themeColor="text1"/>
                <w:sz w:val="20"/>
                <w:szCs w:val="20"/>
              </w:rPr>
              <w:t>th</w:t>
            </w:r>
            <w:r>
              <w:rPr>
                <w:rFonts w:ascii="Arial Narrow" w:hAnsi="Arial Narrow"/>
                <w:i/>
                <w:iCs/>
                <w:color w:val="000000" w:themeColor="text1"/>
                <w:sz w:val="20"/>
                <w:szCs w:val="20"/>
              </w:rPr>
              <w:t xml:space="preserve"> birthday if female; or  </w:t>
            </w:r>
          </w:p>
        </w:tc>
      </w:tr>
      <w:tr w:rsidR="00C22249" w:rsidRPr="00BF4D4A" w14:paraId="17EF6081" w14:textId="77777777" w:rsidTr="008E3C46">
        <w:trPr>
          <w:cantSplit/>
          <w:trHeight w:val="20"/>
        </w:trPr>
        <w:tc>
          <w:tcPr>
            <w:tcW w:w="1240" w:type="dxa"/>
            <w:vAlign w:val="center"/>
          </w:tcPr>
          <w:p w14:paraId="0F5AAE57" w14:textId="77777777" w:rsidR="00C22249" w:rsidRPr="00C22249" w:rsidRDefault="00C22249" w:rsidP="008F5750">
            <w:pPr>
              <w:jc w:val="center"/>
              <w:rPr>
                <w:rFonts w:ascii="Arial Narrow" w:hAnsi="Arial Narrow"/>
                <w:i/>
                <w:iCs/>
                <w:color w:val="000000" w:themeColor="text1"/>
                <w:sz w:val="20"/>
                <w:szCs w:val="20"/>
              </w:rPr>
            </w:pPr>
            <w:r w:rsidRPr="00C22249">
              <w:rPr>
                <w:rFonts w:ascii="Arial Narrow" w:hAnsi="Arial Narrow"/>
                <w:i/>
                <w:iCs/>
                <w:color w:val="000000" w:themeColor="text1"/>
                <w:sz w:val="20"/>
                <w:szCs w:val="20"/>
              </w:rPr>
              <w:t>Insert New PC2</w:t>
            </w:r>
          </w:p>
        </w:tc>
        <w:tc>
          <w:tcPr>
            <w:tcW w:w="7516" w:type="dxa"/>
            <w:vAlign w:val="center"/>
          </w:tcPr>
          <w:p w14:paraId="24DEF1CF" w14:textId="77777777" w:rsidR="00C22249" w:rsidRPr="00BF4D4A" w:rsidRDefault="00C22249" w:rsidP="008F5750">
            <w:pPr>
              <w:rPr>
                <w:rFonts w:ascii="Arial Narrow" w:hAnsi="Arial Narrow"/>
                <w:i/>
                <w:iCs/>
                <w:color w:val="000000" w:themeColor="text1"/>
                <w:sz w:val="20"/>
                <w:szCs w:val="20"/>
              </w:rPr>
            </w:pPr>
            <w:r>
              <w:rPr>
                <w:rFonts w:ascii="Arial Narrow" w:hAnsi="Arial Narrow"/>
                <w:i/>
                <w:iCs/>
                <w:color w:val="000000" w:themeColor="text1"/>
                <w:sz w:val="20"/>
                <w:szCs w:val="20"/>
              </w:rPr>
              <w:t>Patient must be of an age that is prior to their 11</w:t>
            </w:r>
            <w:r w:rsidRPr="00C349A0">
              <w:rPr>
                <w:rFonts w:ascii="Arial Narrow" w:hAnsi="Arial Narrow"/>
                <w:i/>
                <w:iCs/>
                <w:color w:val="000000" w:themeColor="text1"/>
                <w:sz w:val="20"/>
                <w:szCs w:val="20"/>
              </w:rPr>
              <w:t>th</w:t>
            </w:r>
            <w:r>
              <w:rPr>
                <w:rFonts w:ascii="Arial Narrow" w:hAnsi="Arial Narrow"/>
                <w:i/>
                <w:iCs/>
                <w:color w:val="000000" w:themeColor="text1"/>
                <w:sz w:val="20"/>
                <w:szCs w:val="20"/>
              </w:rPr>
              <w:t xml:space="preserve"> birthday if male</w:t>
            </w:r>
          </w:p>
        </w:tc>
      </w:tr>
      <w:tr w:rsidR="00C22249" w:rsidRPr="00BA681C" w14:paraId="6297E891" w14:textId="77777777" w:rsidTr="008E3C46">
        <w:trPr>
          <w:cantSplit/>
          <w:trHeight w:val="20"/>
        </w:trPr>
        <w:tc>
          <w:tcPr>
            <w:tcW w:w="1240" w:type="dxa"/>
            <w:vAlign w:val="center"/>
          </w:tcPr>
          <w:p w14:paraId="5555E138" w14:textId="77777777" w:rsidR="00C22249" w:rsidRPr="00BA681C" w:rsidRDefault="00C22249" w:rsidP="008F5750">
            <w:pPr>
              <w:jc w:val="center"/>
              <w:rPr>
                <w:rFonts w:ascii="Arial Narrow" w:hAnsi="Arial Narrow"/>
                <w:color w:val="000000" w:themeColor="text1"/>
                <w:sz w:val="20"/>
                <w:szCs w:val="20"/>
              </w:rPr>
            </w:pPr>
          </w:p>
        </w:tc>
        <w:tc>
          <w:tcPr>
            <w:tcW w:w="7516" w:type="dxa"/>
            <w:vAlign w:val="center"/>
          </w:tcPr>
          <w:p w14:paraId="5AAE0F90" w14:textId="77777777" w:rsidR="00C22249" w:rsidRPr="00BA681C" w:rsidRDefault="00C22249" w:rsidP="008F5750">
            <w:pPr>
              <w:rPr>
                <w:rFonts w:ascii="Arial Narrow" w:hAnsi="Arial Narrow"/>
                <w:color w:val="000000" w:themeColor="text1"/>
                <w:sz w:val="20"/>
                <w:szCs w:val="20"/>
              </w:rPr>
            </w:pPr>
            <w:r w:rsidRPr="00BA681C">
              <w:rPr>
                <w:rFonts w:ascii="Arial Narrow" w:hAnsi="Arial Narrow"/>
                <w:b/>
                <w:bCs/>
                <w:color w:val="000000" w:themeColor="text1"/>
                <w:sz w:val="20"/>
                <w:szCs w:val="20"/>
              </w:rPr>
              <w:t>AND</w:t>
            </w:r>
          </w:p>
        </w:tc>
      </w:tr>
      <w:tr w:rsidR="00C22249" w:rsidRPr="00BA681C" w14:paraId="18B31D70" w14:textId="77777777" w:rsidTr="008E3C46">
        <w:trPr>
          <w:cantSplit/>
          <w:trHeight w:val="20"/>
        </w:trPr>
        <w:tc>
          <w:tcPr>
            <w:tcW w:w="1240" w:type="dxa"/>
            <w:vAlign w:val="center"/>
          </w:tcPr>
          <w:p w14:paraId="78C1FA09" w14:textId="0A970E9A" w:rsidR="00C22249" w:rsidRPr="00C22249" w:rsidRDefault="00C22249" w:rsidP="008F5750">
            <w:pPr>
              <w:jc w:val="center"/>
              <w:rPr>
                <w:rFonts w:ascii="Arial Narrow" w:hAnsi="Arial Narrow"/>
                <w:strike/>
                <w:color w:val="000000" w:themeColor="text1"/>
                <w:sz w:val="20"/>
                <w:szCs w:val="20"/>
              </w:rPr>
            </w:pPr>
            <w:r w:rsidRPr="00C22249">
              <w:rPr>
                <w:rFonts w:ascii="Arial Narrow" w:hAnsi="Arial Narrow"/>
                <w:strike/>
                <w:color w:val="000000" w:themeColor="text1"/>
                <w:sz w:val="20"/>
                <w:szCs w:val="20"/>
              </w:rPr>
              <w:t xml:space="preserve">Remove </w:t>
            </w:r>
          </w:p>
        </w:tc>
        <w:tc>
          <w:tcPr>
            <w:tcW w:w="7516" w:type="dxa"/>
            <w:vAlign w:val="center"/>
          </w:tcPr>
          <w:p w14:paraId="44A212AC" w14:textId="77777777" w:rsidR="00C22249" w:rsidRPr="00BA681C" w:rsidRDefault="00C22249" w:rsidP="008F5750">
            <w:pPr>
              <w:rPr>
                <w:rFonts w:ascii="Arial Narrow" w:hAnsi="Arial Narrow"/>
                <w:color w:val="000000" w:themeColor="text1"/>
                <w:sz w:val="20"/>
                <w:szCs w:val="20"/>
              </w:rPr>
            </w:pPr>
            <w:r w:rsidRPr="00BA681C">
              <w:rPr>
                <w:rFonts w:ascii="Arial Narrow" w:hAnsi="Arial Narrow"/>
                <w:b/>
                <w:bCs/>
                <w:color w:val="000000" w:themeColor="text1"/>
                <w:sz w:val="20"/>
                <w:szCs w:val="20"/>
              </w:rPr>
              <w:t>Population criteria:</w:t>
            </w:r>
          </w:p>
        </w:tc>
      </w:tr>
      <w:tr w:rsidR="00C22249" w:rsidRPr="00F27780" w14:paraId="010423F1" w14:textId="77777777" w:rsidTr="008E3C46">
        <w:trPr>
          <w:cantSplit/>
          <w:trHeight w:val="20"/>
        </w:trPr>
        <w:tc>
          <w:tcPr>
            <w:tcW w:w="1240" w:type="dxa"/>
            <w:vAlign w:val="center"/>
          </w:tcPr>
          <w:p w14:paraId="2A7D1A12" w14:textId="6017F087" w:rsidR="00C22249" w:rsidRPr="00C22249" w:rsidRDefault="00C22249" w:rsidP="008F5750">
            <w:pPr>
              <w:jc w:val="center"/>
              <w:rPr>
                <w:rFonts w:ascii="Arial Narrow" w:hAnsi="Arial Narrow"/>
                <w:strike/>
                <w:color w:val="000000" w:themeColor="text1"/>
                <w:sz w:val="20"/>
                <w:szCs w:val="20"/>
              </w:rPr>
            </w:pPr>
            <w:r w:rsidRPr="00C22249">
              <w:rPr>
                <w:rFonts w:ascii="Arial Narrow" w:hAnsi="Arial Narrow"/>
                <w:strike/>
                <w:color w:val="000000" w:themeColor="text1"/>
                <w:sz w:val="20"/>
                <w:szCs w:val="20"/>
              </w:rPr>
              <w:t xml:space="preserve">Remove </w:t>
            </w:r>
          </w:p>
          <w:p w14:paraId="1C5DE9DA" w14:textId="77777777" w:rsidR="00C22249" w:rsidRPr="00C22249" w:rsidRDefault="00C22249" w:rsidP="008F5750">
            <w:pPr>
              <w:jc w:val="center"/>
              <w:rPr>
                <w:rFonts w:ascii="Arial Narrow" w:hAnsi="Arial Narrow"/>
                <w:i/>
                <w:iCs/>
                <w:color w:val="000000" w:themeColor="text1"/>
                <w:sz w:val="20"/>
                <w:szCs w:val="20"/>
              </w:rPr>
            </w:pPr>
            <w:r w:rsidRPr="00C22249">
              <w:rPr>
                <w:rFonts w:ascii="Arial Narrow" w:hAnsi="Arial Narrow"/>
                <w:i/>
                <w:iCs/>
                <w:color w:val="000000" w:themeColor="text1"/>
                <w:sz w:val="20"/>
                <w:szCs w:val="20"/>
              </w:rPr>
              <w:t>Insert New PC3</w:t>
            </w:r>
          </w:p>
        </w:tc>
        <w:tc>
          <w:tcPr>
            <w:tcW w:w="7516" w:type="dxa"/>
            <w:vAlign w:val="center"/>
          </w:tcPr>
          <w:p w14:paraId="59E10458" w14:textId="77777777" w:rsidR="00C22249" w:rsidRDefault="00C22249" w:rsidP="008F5750">
            <w:pPr>
              <w:rPr>
                <w:rFonts w:ascii="Arial Narrow" w:hAnsi="Arial Narrow"/>
                <w:strike/>
                <w:color w:val="000000" w:themeColor="text1"/>
                <w:sz w:val="20"/>
                <w:szCs w:val="20"/>
              </w:rPr>
            </w:pPr>
            <w:r w:rsidRPr="00F27780">
              <w:rPr>
                <w:rFonts w:ascii="Arial Narrow" w:hAnsi="Arial Narrow"/>
                <w:strike/>
                <w:color w:val="000000" w:themeColor="text1"/>
                <w:sz w:val="20"/>
                <w:szCs w:val="20"/>
              </w:rPr>
              <w:t>Patient must have had onset of signs or symptoms of central precocious puberty prior to the age of 8 years (girls) or 9 years (boys)</w:t>
            </w:r>
          </w:p>
          <w:p w14:paraId="28708DFE" w14:textId="77777777" w:rsidR="00C22249" w:rsidRPr="00F27780" w:rsidRDefault="00C22249" w:rsidP="008F5750">
            <w:pPr>
              <w:rPr>
                <w:rFonts w:ascii="Arial Narrow" w:hAnsi="Arial Narrow"/>
                <w:i/>
                <w:iCs/>
                <w:color w:val="000000" w:themeColor="text1"/>
                <w:sz w:val="20"/>
                <w:szCs w:val="20"/>
              </w:rPr>
            </w:pPr>
            <w:r>
              <w:rPr>
                <w:rFonts w:ascii="Arial Narrow" w:hAnsi="Arial Narrow"/>
                <w:i/>
                <w:iCs/>
                <w:color w:val="000000" w:themeColor="text1"/>
                <w:sz w:val="20"/>
                <w:szCs w:val="20"/>
              </w:rPr>
              <w:t>Patient must have had onset of signs/symptoms of central precocious puberty prior to their 8</w:t>
            </w:r>
            <w:r w:rsidRPr="00BF4D4A">
              <w:rPr>
                <w:rFonts w:ascii="Arial Narrow" w:hAnsi="Arial Narrow"/>
                <w:i/>
                <w:iCs/>
                <w:color w:val="000000" w:themeColor="text1"/>
                <w:sz w:val="20"/>
                <w:szCs w:val="20"/>
              </w:rPr>
              <w:t>th</w:t>
            </w:r>
            <w:r>
              <w:rPr>
                <w:rFonts w:ascii="Arial Narrow" w:hAnsi="Arial Narrow"/>
                <w:i/>
                <w:iCs/>
                <w:color w:val="000000" w:themeColor="text1"/>
                <w:sz w:val="20"/>
                <w:szCs w:val="20"/>
              </w:rPr>
              <w:t xml:space="preserve"> birthday if female; or </w:t>
            </w:r>
          </w:p>
        </w:tc>
      </w:tr>
      <w:tr w:rsidR="00C22249" w:rsidRPr="00F27780" w14:paraId="07DF10E7" w14:textId="77777777" w:rsidTr="008E3C46">
        <w:trPr>
          <w:cantSplit/>
          <w:trHeight w:val="20"/>
        </w:trPr>
        <w:tc>
          <w:tcPr>
            <w:tcW w:w="1240" w:type="dxa"/>
            <w:vAlign w:val="center"/>
          </w:tcPr>
          <w:p w14:paraId="16E37FCA" w14:textId="77777777" w:rsidR="00C22249" w:rsidRPr="00C22249" w:rsidRDefault="00C22249" w:rsidP="008F5750">
            <w:pPr>
              <w:jc w:val="center"/>
              <w:rPr>
                <w:rFonts w:ascii="Arial Narrow" w:hAnsi="Arial Narrow"/>
                <w:i/>
                <w:iCs/>
                <w:color w:val="000000" w:themeColor="text1"/>
                <w:sz w:val="20"/>
                <w:szCs w:val="20"/>
              </w:rPr>
            </w:pPr>
            <w:r w:rsidRPr="00C22249">
              <w:rPr>
                <w:rFonts w:ascii="Arial Narrow" w:hAnsi="Arial Narrow"/>
                <w:i/>
                <w:iCs/>
                <w:color w:val="000000" w:themeColor="text1"/>
                <w:sz w:val="20"/>
                <w:szCs w:val="20"/>
              </w:rPr>
              <w:t>Insert New PC4</w:t>
            </w:r>
          </w:p>
        </w:tc>
        <w:tc>
          <w:tcPr>
            <w:tcW w:w="7516" w:type="dxa"/>
            <w:vAlign w:val="center"/>
          </w:tcPr>
          <w:p w14:paraId="30AA1471" w14:textId="72C553D3" w:rsidR="00C22249" w:rsidRPr="00F27780" w:rsidRDefault="00C22249" w:rsidP="008F5750">
            <w:pPr>
              <w:rPr>
                <w:rFonts w:ascii="Arial Narrow" w:hAnsi="Arial Narrow"/>
                <w:i/>
                <w:iCs/>
                <w:color w:val="000000" w:themeColor="text1"/>
                <w:sz w:val="20"/>
                <w:szCs w:val="20"/>
              </w:rPr>
            </w:pPr>
            <w:r>
              <w:rPr>
                <w:rFonts w:ascii="Arial Narrow" w:hAnsi="Arial Narrow"/>
                <w:i/>
                <w:iCs/>
                <w:color w:val="000000" w:themeColor="text1"/>
                <w:sz w:val="20"/>
                <w:szCs w:val="20"/>
              </w:rPr>
              <w:t>Patient must have had onset of signs/symptoms of central precocious puberty prior to their 9</w:t>
            </w:r>
            <w:r w:rsidRPr="00BF4D4A">
              <w:rPr>
                <w:rFonts w:ascii="Arial Narrow" w:hAnsi="Arial Narrow"/>
                <w:i/>
                <w:iCs/>
                <w:color w:val="000000" w:themeColor="text1"/>
                <w:sz w:val="20"/>
                <w:szCs w:val="20"/>
              </w:rPr>
              <w:t>th</w:t>
            </w:r>
            <w:r>
              <w:rPr>
                <w:rFonts w:ascii="Arial Narrow" w:hAnsi="Arial Narrow"/>
                <w:i/>
                <w:iCs/>
                <w:color w:val="000000" w:themeColor="text1"/>
                <w:sz w:val="20"/>
                <w:szCs w:val="20"/>
              </w:rPr>
              <w:t xml:space="preserve"> birthday if male </w:t>
            </w:r>
          </w:p>
        </w:tc>
      </w:tr>
    </w:tbl>
    <w:p w14:paraId="15459D22" w14:textId="77777777" w:rsidR="008E3C46" w:rsidRDefault="008E3C46" w:rsidP="00A43779">
      <w:pPr>
        <w:rPr>
          <w:rFonts w:asciiTheme="minorHAnsi" w:hAnsiTheme="minorHAnsi"/>
          <w:b/>
          <w:bCs/>
          <w:i/>
          <w:szCs w:val="22"/>
        </w:rPr>
      </w:pPr>
    </w:p>
    <w:p w14:paraId="22865AAF" w14:textId="018BF441" w:rsidR="004450CD" w:rsidRDefault="008E3C46" w:rsidP="00A43779">
      <w:pPr>
        <w:rPr>
          <w:rFonts w:asciiTheme="minorHAnsi" w:hAnsiTheme="minorHAnsi"/>
          <w:szCs w:val="22"/>
        </w:rPr>
      </w:pPr>
      <w:r w:rsidRPr="00BB6D30">
        <w:rPr>
          <w:rFonts w:asciiTheme="minorHAnsi" w:hAnsiTheme="minorHAnsi"/>
          <w:b/>
          <w:bCs/>
          <w:i/>
          <w:szCs w:val="22"/>
        </w:rPr>
        <w:lastRenderedPageBreak/>
        <w:t>This restriction may be subject to further review. Should there be any changes made to the restriction the sponsor will be informed</w:t>
      </w:r>
      <w:r w:rsidRPr="007F262A">
        <w:rPr>
          <w:rFonts w:asciiTheme="minorHAnsi" w:hAnsiTheme="minorHAnsi"/>
          <w:szCs w:val="22"/>
        </w:rPr>
        <w:t>.</w:t>
      </w:r>
    </w:p>
    <w:p w14:paraId="71261EAD" w14:textId="5E73D479" w:rsidR="00A85954" w:rsidRDefault="00A85954" w:rsidP="00A43779">
      <w:pPr>
        <w:rPr>
          <w:rFonts w:asciiTheme="minorHAnsi" w:hAnsiTheme="minorHAnsi"/>
          <w:szCs w:val="22"/>
        </w:rPr>
      </w:pPr>
    </w:p>
    <w:p w14:paraId="6A3D6316" w14:textId="77777777" w:rsidR="00A85954" w:rsidRPr="00DC6997" w:rsidRDefault="00A85954" w:rsidP="00A85954">
      <w:pPr>
        <w:pStyle w:val="2-SectionHeading"/>
        <w:numPr>
          <w:ilvl w:val="0"/>
          <w:numId w:val="1"/>
        </w:numPr>
        <w:ind w:left="709"/>
        <w:outlineLvl w:val="1"/>
      </w:pPr>
      <w:r w:rsidRPr="00DC6997">
        <w:t>Context for Decision</w:t>
      </w:r>
    </w:p>
    <w:p w14:paraId="500F29DE" w14:textId="77777777" w:rsidR="00A85954" w:rsidRPr="00DC6997" w:rsidRDefault="00A85954" w:rsidP="00A85954">
      <w:pPr>
        <w:spacing w:after="120" w:line="259" w:lineRule="auto"/>
        <w:ind w:left="709"/>
        <w:rPr>
          <w:rFonts w:eastAsia="Calibri"/>
          <w:bCs/>
          <w:sz w:val="22"/>
          <w:szCs w:val="22"/>
          <w:lang w:val="en-GB" w:eastAsia="en-US"/>
        </w:rPr>
      </w:pPr>
      <w:r w:rsidRPr="00DC6997">
        <w:rPr>
          <w:rFonts w:eastAsia="Calibri"/>
          <w:bCs/>
          <w:sz w:val="22"/>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0C6128C" w14:textId="77777777" w:rsidR="00A85954" w:rsidRPr="00DC6997" w:rsidRDefault="00A85954" w:rsidP="00A85954">
      <w:pPr>
        <w:pStyle w:val="2-SectionHeading"/>
        <w:numPr>
          <w:ilvl w:val="0"/>
          <w:numId w:val="1"/>
        </w:numPr>
        <w:outlineLvl w:val="1"/>
      </w:pPr>
      <w:r w:rsidRPr="00DC6997">
        <w:t>Sponsor’s Comment</w:t>
      </w:r>
    </w:p>
    <w:p w14:paraId="326CB71E" w14:textId="77777777" w:rsidR="00A85954" w:rsidRPr="00DC6997" w:rsidRDefault="00A85954" w:rsidP="00A85954">
      <w:pPr>
        <w:spacing w:after="120" w:line="259" w:lineRule="auto"/>
        <w:ind w:left="709"/>
        <w:rPr>
          <w:rFonts w:eastAsia="Calibri"/>
          <w:bCs/>
          <w:sz w:val="22"/>
          <w:szCs w:val="22"/>
          <w:lang w:eastAsia="en-US"/>
        </w:rPr>
      </w:pPr>
      <w:r w:rsidRPr="00DC6997">
        <w:rPr>
          <w:rFonts w:eastAsia="Calibri"/>
          <w:bCs/>
          <w:sz w:val="22"/>
          <w:szCs w:val="22"/>
          <w:lang w:eastAsia="en-US"/>
        </w:rPr>
        <w:t>The sponsor had no comment.</w:t>
      </w:r>
    </w:p>
    <w:p w14:paraId="0FB9CDBF" w14:textId="77777777" w:rsidR="00A85954" w:rsidRDefault="00A85954" w:rsidP="00A85954">
      <w:pPr>
        <w:widowControl w:val="0"/>
        <w:rPr>
          <w:rFonts w:asciiTheme="minorHAnsi" w:hAnsiTheme="minorHAnsi"/>
          <w:bCs/>
          <w:snapToGrid w:val="0"/>
        </w:rPr>
      </w:pPr>
    </w:p>
    <w:p w14:paraId="1CAB147B" w14:textId="77777777" w:rsidR="00A85954" w:rsidRPr="004450CD" w:rsidRDefault="00A85954" w:rsidP="00A43779"/>
    <w:sectPr w:rsidR="00A85954" w:rsidRPr="004450CD" w:rsidSect="00AC59E7">
      <w:headerReference w:type="even" r:id="rId8"/>
      <w:headerReference w:type="default" r:id="rId9"/>
      <w:footerReference w:type="even" r:id="rId10"/>
      <w:footerReference w:type="default" r:id="rId11"/>
      <w:headerReference w:type="first" r:id="rId12"/>
      <w:footerReference w:type="first" r:id="rId13"/>
      <w:pgSz w:w="11907" w:h="16840" w:code="9"/>
      <w:pgMar w:top="1440" w:right="1701"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5965" w14:textId="77777777" w:rsidR="00215A5E" w:rsidRDefault="00215A5E" w:rsidP="00124A51">
      <w:r>
        <w:separator/>
      </w:r>
    </w:p>
    <w:p w14:paraId="3C476683" w14:textId="77777777" w:rsidR="00215A5E" w:rsidRDefault="00215A5E"/>
  </w:endnote>
  <w:endnote w:type="continuationSeparator" w:id="0">
    <w:p w14:paraId="6A80CA0A" w14:textId="77777777" w:rsidR="00215A5E" w:rsidRDefault="00215A5E" w:rsidP="00124A51">
      <w:r>
        <w:continuationSeparator/>
      </w:r>
    </w:p>
    <w:p w14:paraId="69D3CC07" w14:textId="77777777" w:rsidR="00215A5E" w:rsidRDefault="00215A5E"/>
  </w:endnote>
  <w:endnote w:type="continuationNotice" w:id="1">
    <w:p w14:paraId="2D8B7DB7" w14:textId="77777777" w:rsidR="00215A5E" w:rsidRDefault="00215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EB19" w14:textId="77777777" w:rsidR="00204469" w:rsidRDefault="00204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FooterChar"/>
      </w:rPr>
      <w:id w:val="1598283554"/>
      <w:docPartObj>
        <w:docPartGallery w:val="Page Numbers (Bottom of Page)"/>
        <w:docPartUnique/>
      </w:docPartObj>
    </w:sdtPr>
    <w:sdtEndPr>
      <w:rPr>
        <w:rStyle w:val="DefaultParagraphFont"/>
        <w:b w:val="0"/>
        <w:bCs/>
        <w:noProof/>
      </w:rPr>
    </w:sdtEndPr>
    <w:sdtContent>
      <w:p w14:paraId="18064B75" w14:textId="77777777" w:rsidR="00810458" w:rsidRDefault="00810458">
        <w:pPr>
          <w:pStyle w:val="Footer"/>
          <w:jc w:val="center"/>
          <w:rPr>
            <w:rStyle w:val="PageFooterChar"/>
          </w:rPr>
        </w:pPr>
      </w:p>
      <w:p w14:paraId="12AF51CD" w14:textId="3EF3E862" w:rsidR="00810458" w:rsidRPr="00274D82" w:rsidRDefault="00810458" w:rsidP="00274D82">
        <w:pPr>
          <w:pStyle w:val="Footer"/>
          <w:jc w:val="center"/>
          <w:rPr>
            <w:b/>
            <w:bCs/>
          </w:rPr>
        </w:pPr>
        <w:r w:rsidRPr="00274D82">
          <w:rPr>
            <w:b/>
            <w:bCs/>
          </w:rPr>
          <w:fldChar w:fldCharType="begin"/>
        </w:r>
        <w:r w:rsidRPr="00274D82">
          <w:rPr>
            <w:b/>
            <w:bCs/>
          </w:rPr>
          <w:instrText xml:space="preserve"> PAGE   \* MERGEFORMAT </w:instrText>
        </w:r>
        <w:r w:rsidRPr="00274D82">
          <w:rPr>
            <w:b/>
            <w:bCs/>
          </w:rPr>
          <w:fldChar w:fldCharType="separate"/>
        </w:r>
        <w:r w:rsidR="00345D47">
          <w:rPr>
            <w:b/>
            <w:bCs/>
            <w:noProof/>
          </w:rPr>
          <w:t>26</w:t>
        </w:r>
        <w:r w:rsidRPr="00274D8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1871" w14:textId="77777777" w:rsidR="00204469" w:rsidRDefault="00204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E9EA" w14:textId="77777777" w:rsidR="00215A5E" w:rsidRDefault="00215A5E" w:rsidP="00124A51">
      <w:r>
        <w:separator/>
      </w:r>
    </w:p>
    <w:p w14:paraId="48DD6BCE" w14:textId="77777777" w:rsidR="00215A5E" w:rsidRDefault="00215A5E"/>
  </w:footnote>
  <w:footnote w:type="continuationSeparator" w:id="0">
    <w:p w14:paraId="7C97BDD7" w14:textId="77777777" w:rsidR="00215A5E" w:rsidRDefault="00215A5E" w:rsidP="00124A51">
      <w:r>
        <w:continuationSeparator/>
      </w:r>
    </w:p>
    <w:p w14:paraId="645AE14E" w14:textId="77777777" w:rsidR="00215A5E" w:rsidRDefault="00215A5E"/>
  </w:footnote>
  <w:footnote w:type="continuationNotice" w:id="1">
    <w:p w14:paraId="5E7AA6C5" w14:textId="77777777" w:rsidR="00215A5E" w:rsidRDefault="00215A5E"/>
  </w:footnote>
  <w:footnote w:id="2">
    <w:p w14:paraId="3FA479EB" w14:textId="76385DD7" w:rsidR="00810458" w:rsidRPr="00D84390" w:rsidRDefault="00810458">
      <w:pPr>
        <w:pStyle w:val="FootnoteText"/>
        <w:rPr>
          <w:rFonts w:ascii="Arial Narrow" w:hAnsi="Arial Narrow"/>
          <w:sz w:val="18"/>
          <w:szCs w:val="18"/>
        </w:rPr>
      </w:pPr>
      <w:r w:rsidRPr="00D84390">
        <w:rPr>
          <w:rStyle w:val="FootnoteReference"/>
          <w:rFonts w:ascii="Arial Narrow" w:hAnsi="Arial Narrow"/>
          <w:sz w:val="18"/>
          <w:szCs w:val="18"/>
        </w:rPr>
        <w:footnoteRef/>
      </w:r>
      <w:r w:rsidRPr="00D84390">
        <w:rPr>
          <w:rFonts w:ascii="Arial Narrow" w:hAnsi="Arial Narrow"/>
          <w:sz w:val="18"/>
          <w:szCs w:val="18"/>
        </w:rPr>
        <w:t xml:space="preserve"> Aguirre, Rebecca Schneider, and Erica A. Eugster. "Central precocious puberty: From genetics to treatment." Best Practice &amp; Research Clinical Endocrinology &amp; Metabolism 32.4 (2018): 343-354.</w:t>
      </w:r>
    </w:p>
  </w:footnote>
  <w:footnote w:id="3">
    <w:p w14:paraId="6EB9B99E" w14:textId="7F9EE536" w:rsidR="00810458" w:rsidRPr="00D84390" w:rsidRDefault="00810458" w:rsidP="008F4C09">
      <w:pPr>
        <w:pStyle w:val="FootnoteText"/>
        <w:rPr>
          <w:rFonts w:ascii="Arial Narrow" w:hAnsi="Arial Narrow"/>
          <w:sz w:val="18"/>
          <w:szCs w:val="18"/>
        </w:rPr>
      </w:pPr>
      <w:r w:rsidRPr="00D84390">
        <w:rPr>
          <w:rStyle w:val="FootnoteReference"/>
          <w:rFonts w:ascii="Arial Narrow" w:hAnsi="Arial Narrow"/>
          <w:sz w:val="18"/>
          <w:szCs w:val="18"/>
        </w:rPr>
        <w:footnoteRef/>
      </w:r>
      <w:r w:rsidRPr="00D84390">
        <w:rPr>
          <w:rFonts w:ascii="Arial Narrow" w:hAnsi="Arial Narrow"/>
          <w:sz w:val="18"/>
          <w:szCs w:val="18"/>
        </w:rPr>
        <w:t xml:space="preserve"> </w:t>
      </w:r>
      <w:r w:rsidRPr="00D84390">
        <w:rPr>
          <w:rFonts w:ascii="Arial Narrow" w:hAnsi="Arial Narrow"/>
          <w:sz w:val="18"/>
          <w:szCs w:val="18"/>
        </w:rPr>
        <w:t>Cantas-Orsdemir, Sena, and Erica A. Eugster. "Update on central precocious puberty: from etiologies to outcomes." Expert Review of Endocrinology &amp; Metabolism 14.2 (2019): 123-130.</w:t>
      </w:r>
      <w:r w:rsidRPr="00D84390" w:rsidDel="008F4C09">
        <w:rPr>
          <w:rFonts w:ascii="Arial Narrow" w:hAnsi="Arial Narrow"/>
          <w:sz w:val="18"/>
          <w:szCs w:val="18"/>
        </w:rPr>
        <w:t xml:space="preserve"> </w:t>
      </w:r>
    </w:p>
  </w:footnote>
  <w:footnote w:id="4">
    <w:p w14:paraId="59DF4B3A" w14:textId="71B64A96" w:rsidR="00810458" w:rsidRPr="00D84390" w:rsidRDefault="00810458" w:rsidP="008F4C09">
      <w:pPr>
        <w:pStyle w:val="FootnoteText"/>
        <w:rPr>
          <w:rFonts w:ascii="Arial Narrow" w:hAnsi="Arial Narrow"/>
          <w:sz w:val="18"/>
          <w:szCs w:val="18"/>
        </w:rPr>
      </w:pPr>
      <w:r w:rsidRPr="00D84390">
        <w:rPr>
          <w:rStyle w:val="FootnoteReference"/>
          <w:rFonts w:ascii="Arial Narrow" w:hAnsi="Arial Narrow"/>
          <w:sz w:val="18"/>
          <w:szCs w:val="18"/>
        </w:rPr>
        <w:footnoteRef/>
      </w:r>
      <w:r w:rsidRPr="00D84390">
        <w:rPr>
          <w:rFonts w:ascii="Arial Narrow" w:hAnsi="Arial Narrow"/>
          <w:sz w:val="18"/>
          <w:szCs w:val="18"/>
        </w:rPr>
        <w:t xml:space="preserve"> </w:t>
      </w:r>
      <w:r w:rsidRPr="00D84390">
        <w:rPr>
          <w:rFonts w:ascii="Arial Narrow" w:hAnsi="Arial Narrow"/>
          <w:sz w:val="18"/>
          <w:szCs w:val="18"/>
        </w:rPr>
        <w:t>Eugster, Erica A. "Treatment of central precocious puberty." Journal of the Endocrine Society 3.5 (2019): 965-972.</w:t>
      </w:r>
      <w:r w:rsidRPr="00D84390" w:rsidDel="008F4C09">
        <w:rPr>
          <w:rFonts w:ascii="Arial Narrow" w:hAnsi="Arial Narrow"/>
          <w:sz w:val="18"/>
          <w:szCs w:val="18"/>
        </w:rPr>
        <w:t xml:space="preserve"> </w:t>
      </w:r>
    </w:p>
  </w:footnote>
  <w:footnote w:id="5">
    <w:p w14:paraId="60E06ACA" w14:textId="4A3AF214" w:rsidR="00810458" w:rsidRPr="00D84390" w:rsidRDefault="00810458" w:rsidP="008F4C09">
      <w:pPr>
        <w:pStyle w:val="FootnoteText"/>
        <w:rPr>
          <w:rFonts w:ascii="Arial Narrow" w:hAnsi="Arial Narrow"/>
          <w:sz w:val="18"/>
          <w:szCs w:val="18"/>
        </w:rPr>
      </w:pPr>
      <w:r w:rsidRPr="00D84390">
        <w:rPr>
          <w:rStyle w:val="FootnoteReference"/>
          <w:rFonts w:ascii="Arial Narrow" w:hAnsi="Arial Narrow"/>
          <w:sz w:val="18"/>
          <w:szCs w:val="18"/>
        </w:rPr>
        <w:footnoteRef/>
      </w:r>
      <w:r w:rsidRPr="00D84390">
        <w:rPr>
          <w:rFonts w:ascii="Arial Narrow" w:hAnsi="Arial Narrow"/>
          <w:sz w:val="18"/>
          <w:szCs w:val="18"/>
        </w:rPr>
        <w:t xml:space="preserve"> National Organization for Rare Disorders (2021). "Precocious Puberty." Available at: https://rarediseases.org/rare-diseases/precocious-puberty/</w:t>
      </w:r>
      <w:r w:rsidRPr="00D84390" w:rsidDel="008F4C09">
        <w:rPr>
          <w:rFonts w:ascii="Arial Narrow" w:hAnsi="Arial Narrow"/>
          <w:sz w:val="18"/>
          <w:szCs w:val="18"/>
        </w:rPr>
        <w:t xml:space="preserve"> </w:t>
      </w:r>
    </w:p>
  </w:footnote>
  <w:footnote w:id="6">
    <w:p w14:paraId="5F111D8D" w14:textId="4A572C23" w:rsidR="00810458" w:rsidRPr="00D84390" w:rsidRDefault="00810458">
      <w:pPr>
        <w:pStyle w:val="FootnoteText"/>
        <w:rPr>
          <w:rFonts w:ascii="Arial Narrow" w:hAnsi="Arial Narrow"/>
          <w:sz w:val="18"/>
          <w:szCs w:val="18"/>
        </w:rPr>
      </w:pPr>
      <w:r w:rsidRPr="00D84390">
        <w:rPr>
          <w:rStyle w:val="FootnoteReference"/>
          <w:rFonts w:ascii="Arial Narrow" w:hAnsi="Arial Narrow"/>
          <w:sz w:val="18"/>
          <w:szCs w:val="18"/>
        </w:rPr>
        <w:footnoteRef/>
      </w:r>
      <w:r w:rsidRPr="00D84390">
        <w:rPr>
          <w:rFonts w:ascii="Arial Narrow" w:hAnsi="Arial Narrow"/>
          <w:sz w:val="18"/>
          <w:szCs w:val="18"/>
        </w:rPr>
        <w:t xml:space="preserve"> Acc</w:t>
      </w:r>
      <w:r>
        <w:rPr>
          <w:rFonts w:ascii="Arial Narrow" w:hAnsi="Arial Narrow"/>
          <w:sz w:val="18"/>
          <w:szCs w:val="18"/>
        </w:rPr>
        <w:t xml:space="preserve">ording to the ABS, the percentage of Australians born in South American countries were around 2%; and about 5% of Australian identified as “other ethnicity” which include Hispanic and Latino. See </w:t>
      </w:r>
      <w:hyperlink r:id="rId1" w:history="1">
        <w:r w:rsidRPr="00094A3F">
          <w:rPr>
            <w:rStyle w:val="Hyperlink"/>
            <w:rFonts w:ascii="Arial Narrow" w:hAnsi="Arial Narrow"/>
            <w:sz w:val="18"/>
            <w:szCs w:val="18"/>
          </w:rPr>
          <w:t>https://www.abs.gov.au/ausstats/</w:t>
        </w:r>
      </w:hyperlink>
      <w:r>
        <w:rPr>
          <w:rFonts w:ascii="Arial Narrow" w:hAnsi="Arial Narrow"/>
          <w:sz w:val="18"/>
          <w:szCs w:val="18"/>
        </w:rPr>
        <w:t xml:space="preserve">   </w:t>
      </w:r>
    </w:p>
  </w:footnote>
  <w:footnote w:id="7">
    <w:p w14:paraId="71A07246" w14:textId="15278A2A" w:rsidR="00810458" w:rsidRPr="00D84390" w:rsidRDefault="00810458">
      <w:pPr>
        <w:pStyle w:val="FootnoteText"/>
        <w:rPr>
          <w:rFonts w:ascii="Arial Narrow" w:hAnsi="Arial Narrow"/>
          <w:sz w:val="18"/>
          <w:szCs w:val="18"/>
          <w:lang w:eastAsia="zh-CN"/>
        </w:rPr>
      </w:pPr>
      <w:r w:rsidRPr="00D84390">
        <w:rPr>
          <w:rStyle w:val="FootnoteReference"/>
          <w:rFonts w:ascii="Arial Narrow" w:hAnsi="Arial Narrow"/>
          <w:sz w:val="18"/>
          <w:szCs w:val="18"/>
        </w:rPr>
        <w:footnoteRef/>
      </w:r>
      <w:r w:rsidRPr="00D84390">
        <w:rPr>
          <w:rFonts w:ascii="Arial Narrow" w:hAnsi="Arial Narrow"/>
          <w:sz w:val="18"/>
          <w:szCs w:val="18"/>
        </w:rPr>
        <w:t xml:space="preserve"> Aguirre, Rebecca Schneider, and Erica A. </w:t>
      </w:r>
      <w:r w:rsidRPr="00D84390">
        <w:rPr>
          <w:rFonts w:ascii="Arial Narrow" w:hAnsi="Arial Narrow"/>
          <w:sz w:val="18"/>
          <w:szCs w:val="18"/>
        </w:rPr>
        <w:t>Eugster. "Central precocious puberty: From genetics to treatment." Best Practice &amp; Research Clinical Endocrinology &amp; Metabolism 32.4 (2018): 343-354.</w:t>
      </w:r>
    </w:p>
  </w:footnote>
  <w:footnote w:id="8">
    <w:p w14:paraId="31E10CB8" w14:textId="19B22D3E" w:rsidR="00810458" w:rsidRPr="00D84390" w:rsidRDefault="00810458">
      <w:pPr>
        <w:pStyle w:val="FootnoteText"/>
        <w:rPr>
          <w:rFonts w:ascii="Arial Narrow" w:hAnsi="Arial Narrow"/>
          <w:sz w:val="18"/>
          <w:szCs w:val="18"/>
          <w:lang w:eastAsia="zh-CN"/>
        </w:rPr>
      </w:pPr>
      <w:r w:rsidRPr="00D84390">
        <w:rPr>
          <w:rFonts w:ascii="Arial Narrow" w:hAnsi="Arial Narrow"/>
          <w:sz w:val="18"/>
          <w:szCs w:val="18"/>
        </w:rPr>
        <w:footnoteRef/>
      </w:r>
      <w:r w:rsidRPr="00D84390">
        <w:rPr>
          <w:rFonts w:ascii="Arial Narrow" w:hAnsi="Arial Narrow"/>
          <w:sz w:val="18"/>
          <w:szCs w:val="18"/>
        </w:rPr>
        <w:t xml:space="preserve"> Krishna, </w:t>
      </w:r>
      <w:r w:rsidRPr="00D84390">
        <w:rPr>
          <w:rFonts w:ascii="Arial Narrow" w:hAnsi="Arial Narrow"/>
          <w:sz w:val="18"/>
          <w:szCs w:val="18"/>
        </w:rPr>
        <w:t>Kanthi Bangalore, et al. "Use of gonadotropin-releasing hormone analogs in children: update by an international consortium." Hormone research in paediatrics 91.6 (2019): 357-372.</w:t>
      </w:r>
    </w:p>
  </w:footnote>
  <w:footnote w:id="9">
    <w:p w14:paraId="16B98A0F" w14:textId="77777777" w:rsidR="00810458" w:rsidRPr="00D84390" w:rsidRDefault="00810458" w:rsidP="00BB50B6">
      <w:pPr>
        <w:pStyle w:val="FootnoteText"/>
        <w:rPr>
          <w:rFonts w:ascii="Arial Narrow" w:hAnsi="Arial Narrow"/>
          <w:sz w:val="18"/>
          <w:szCs w:val="18"/>
        </w:rPr>
      </w:pPr>
      <w:r w:rsidRPr="00D84390">
        <w:rPr>
          <w:rStyle w:val="FootnoteReference"/>
          <w:rFonts w:ascii="Arial Narrow" w:hAnsi="Arial Narrow"/>
          <w:sz w:val="18"/>
          <w:szCs w:val="18"/>
        </w:rPr>
        <w:footnoteRef/>
      </w:r>
      <w:r w:rsidRPr="00D84390">
        <w:rPr>
          <w:rFonts w:ascii="Arial Narrow" w:hAnsi="Arial Narrow"/>
          <w:sz w:val="18"/>
          <w:szCs w:val="18"/>
        </w:rPr>
        <w:t xml:space="preserve"> PBAC PSD (2021). Triptorelin, Powder for I.M. injection (prolonged release) 22.5 mg (as </w:t>
      </w:r>
      <w:r w:rsidRPr="00D84390">
        <w:rPr>
          <w:rFonts w:ascii="Arial Narrow" w:hAnsi="Arial Narrow"/>
          <w:sz w:val="18"/>
          <w:szCs w:val="18"/>
        </w:rPr>
        <w:t>embonate) with solvent, syringe and needles, Diphereline, PBAC.</w:t>
      </w:r>
    </w:p>
  </w:footnote>
  <w:footnote w:id="10">
    <w:p w14:paraId="07842135" w14:textId="2E12B3E2" w:rsidR="00810458" w:rsidRPr="00D84390" w:rsidRDefault="00810458">
      <w:pPr>
        <w:pStyle w:val="FootnoteText"/>
        <w:rPr>
          <w:rFonts w:ascii="Arial Narrow" w:hAnsi="Arial Narrow"/>
          <w:sz w:val="18"/>
          <w:szCs w:val="18"/>
        </w:rPr>
      </w:pPr>
      <w:r w:rsidRPr="00D84390">
        <w:rPr>
          <w:rStyle w:val="FootnoteReference"/>
          <w:rFonts w:ascii="Arial Narrow" w:hAnsi="Arial Narrow"/>
          <w:sz w:val="18"/>
          <w:szCs w:val="18"/>
        </w:rPr>
        <w:footnoteRef/>
      </w:r>
      <w:r w:rsidRPr="00D84390">
        <w:rPr>
          <w:rFonts w:ascii="Arial Narrow" w:hAnsi="Arial Narrow"/>
          <w:sz w:val="18"/>
          <w:szCs w:val="18"/>
        </w:rPr>
        <w:t xml:space="preserve"> PBAC PSD (2021). Triptorelin, Powder for I.M. injection (prolonged release) 22.5 mg (as </w:t>
      </w:r>
      <w:r w:rsidRPr="00D84390">
        <w:rPr>
          <w:rFonts w:ascii="Arial Narrow" w:hAnsi="Arial Narrow"/>
          <w:sz w:val="18"/>
          <w:szCs w:val="18"/>
        </w:rPr>
        <w:t>embonate) with solvent, syringe and needles, Diphereline, PBAC.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2C9D" w14:textId="77777777" w:rsidR="00204469" w:rsidRDefault="00204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493D" w14:textId="77777777" w:rsidR="00A85954" w:rsidRPr="00E3136B" w:rsidRDefault="00A85954" w:rsidP="00A85954">
    <w:pPr>
      <w:pStyle w:val="Header"/>
      <w:ind w:left="360"/>
      <w:rPr>
        <w:rFonts w:asciiTheme="minorHAnsi" w:hAnsiTheme="minorHAnsi"/>
        <w:i/>
        <w:color w:val="808080"/>
      </w:rPr>
    </w:pPr>
    <w:bookmarkStart w:id="45" w:name="_Hlk76375146"/>
    <w:r w:rsidRPr="00E3136B">
      <w:rPr>
        <w:rFonts w:asciiTheme="minorHAnsi" w:hAnsiTheme="minorHAnsi"/>
        <w:i/>
        <w:color w:val="808080"/>
      </w:rPr>
      <w:t>Public Summary Document – July 2022 PBAC Meeting</w:t>
    </w:r>
  </w:p>
  <w:bookmarkEnd w:id="45"/>
  <w:p w14:paraId="460E5FD5" w14:textId="77777777" w:rsidR="00810458" w:rsidRPr="00274D82" w:rsidRDefault="00810458" w:rsidP="002663D8">
    <w:pPr>
      <w:pStyle w:val="Head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2458" w14:textId="77777777" w:rsidR="00204469" w:rsidRDefault="00204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524F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00CC6"/>
    <w:multiLevelType w:val="hybridMultilevel"/>
    <w:tmpl w:val="800496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680DA0"/>
    <w:multiLevelType w:val="hybridMultilevel"/>
    <w:tmpl w:val="D166BA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F81797"/>
    <w:multiLevelType w:val="hybridMultilevel"/>
    <w:tmpl w:val="589CF13A"/>
    <w:lvl w:ilvl="0" w:tplc="D50AA206">
      <w:start w:val="1"/>
      <w:numFmt w:val="decimal"/>
      <w:lvlText w:val="%1."/>
      <w:lvlJc w:val="left"/>
      <w:pPr>
        <w:ind w:left="720" w:hanging="360"/>
      </w:pPr>
      <w:rPr>
        <w:i w:val="0"/>
        <w:i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9A434D"/>
    <w:multiLevelType w:val="hybridMultilevel"/>
    <w:tmpl w:val="4AF28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7A47EC"/>
    <w:multiLevelType w:val="hybridMultilevel"/>
    <w:tmpl w:val="EB6A0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304D71"/>
    <w:multiLevelType w:val="hybridMultilevel"/>
    <w:tmpl w:val="0D6C4BE2"/>
    <w:lvl w:ilvl="0" w:tplc="447CC062">
      <w:start w:val="1"/>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390AF6"/>
    <w:multiLevelType w:val="hybridMultilevel"/>
    <w:tmpl w:val="6AB058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69085E"/>
    <w:multiLevelType w:val="hybridMultilevel"/>
    <w:tmpl w:val="AF7A505E"/>
    <w:lvl w:ilvl="0" w:tplc="9D6EEF04">
      <w:start w:val="1"/>
      <w:numFmt w:val="decimal"/>
      <w:lvlText w:val="(%1)"/>
      <w:lvlJc w:val="left"/>
      <w:pPr>
        <w:ind w:left="1860" w:hanging="360"/>
      </w:pPr>
      <w:rPr>
        <w:rFonts w:hint="default"/>
        <w:i w:val="0"/>
        <w:iCs w:val="0"/>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916325"/>
    <w:multiLevelType w:val="hybridMultilevel"/>
    <w:tmpl w:val="5B9E305E"/>
    <w:lvl w:ilvl="0" w:tplc="9CD890EC">
      <w:numFmt w:val="bullet"/>
      <w:lvlText w:val="-"/>
      <w:lvlJc w:val="left"/>
      <w:pPr>
        <w:ind w:left="1080" w:hanging="360"/>
      </w:pPr>
      <w:rPr>
        <w:rFonts w:ascii="Calibri" w:eastAsia="Times New Roman" w:hAnsi="Calibri" w:cs="Calibri" w:hint="default"/>
        <w:i w:val="0"/>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8B448A9"/>
    <w:multiLevelType w:val="hybridMultilevel"/>
    <w:tmpl w:val="62548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6D727C"/>
    <w:multiLevelType w:val="hybridMultilevel"/>
    <w:tmpl w:val="7C5C7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263872"/>
    <w:multiLevelType w:val="hybridMultilevel"/>
    <w:tmpl w:val="3E2C748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313E9D"/>
    <w:multiLevelType w:val="hybridMultilevel"/>
    <w:tmpl w:val="7846A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346AD7"/>
    <w:multiLevelType w:val="hybridMultilevel"/>
    <w:tmpl w:val="A614FA72"/>
    <w:lvl w:ilvl="0" w:tplc="76C83B7C">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52B7166"/>
    <w:multiLevelType w:val="hybridMultilevel"/>
    <w:tmpl w:val="2B3AA4DE"/>
    <w:lvl w:ilvl="0" w:tplc="E280019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F18CE"/>
    <w:multiLevelType w:val="hybridMultilevel"/>
    <w:tmpl w:val="750830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250968"/>
    <w:multiLevelType w:val="hybridMultilevel"/>
    <w:tmpl w:val="26DADD28"/>
    <w:lvl w:ilvl="0" w:tplc="0C090017">
      <w:start w:val="1"/>
      <w:numFmt w:val="lowerLetter"/>
      <w:lvlText w:val="%1)"/>
      <w:lvlJc w:val="left"/>
      <w:pPr>
        <w:ind w:left="829" w:hanging="360"/>
      </w:pPr>
      <w:rPr>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37104D"/>
    <w:multiLevelType w:val="hybridMultilevel"/>
    <w:tmpl w:val="002A9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0D5702"/>
    <w:multiLevelType w:val="hybridMultilevel"/>
    <w:tmpl w:val="718EF7A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0AA1899"/>
    <w:multiLevelType w:val="hybridMultilevel"/>
    <w:tmpl w:val="E99C8B60"/>
    <w:lvl w:ilvl="0" w:tplc="DB4EC788">
      <w:start w:val="1"/>
      <w:numFmt w:val="bullet"/>
      <w:pStyle w:val="KMC16-BulletLis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E10DF6A">
      <w:numFmt w:val="bullet"/>
      <w:lvlText w:val="•"/>
      <w:lvlJc w:val="left"/>
      <w:pPr>
        <w:ind w:left="2250" w:hanging="45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4751C"/>
    <w:multiLevelType w:val="hybridMultilevel"/>
    <w:tmpl w:val="66ECF2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4A3FF0"/>
    <w:multiLevelType w:val="multilevel"/>
    <w:tmpl w:val="2634E19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84D033C"/>
    <w:multiLevelType w:val="multilevel"/>
    <w:tmpl w:val="D7F2EB9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bCs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156E4A"/>
    <w:multiLevelType w:val="hybridMultilevel"/>
    <w:tmpl w:val="BB52B6F4"/>
    <w:lvl w:ilvl="0" w:tplc="0C090001">
      <w:start w:val="1"/>
      <w:numFmt w:val="bullet"/>
      <w:lvlText w:val=""/>
      <w:lvlJc w:val="left"/>
      <w:pPr>
        <w:ind w:left="1080" w:hanging="360"/>
      </w:pPr>
      <w:rPr>
        <w:rFonts w:ascii="Symbol" w:hAnsi="Symbol" w:hint="default"/>
        <w:i w:val="0"/>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5"/>
  </w:num>
  <w:num w:numId="2">
    <w:abstractNumId w:val="22"/>
  </w:num>
  <w:num w:numId="3">
    <w:abstractNumId w:val="23"/>
  </w:num>
  <w:num w:numId="4">
    <w:abstractNumId w:val="0"/>
  </w:num>
  <w:num w:numId="5">
    <w:abstractNumId w:val="28"/>
  </w:num>
  <w:num w:numId="6">
    <w:abstractNumId w:val="19"/>
  </w:num>
  <w:num w:numId="7">
    <w:abstractNumId w:val="9"/>
  </w:num>
  <w:num w:numId="8">
    <w:abstractNumId w:val="25"/>
  </w:num>
  <w:num w:numId="9">
    <w:abstractNumId w:val="30"/>
  </w:num>
  <w:num w:numId="10">
    <w:abstractNumId w:val="14"/>
  </w:num>
  <w:num w:numId="11">
    <w:abstractNumId w:val="21"/>
  </w:num>
  <w:num w:numId="12">
    <w:abstractNumId w:val="24"/>
  </w:num>
  <w:num w:numId="13">
    <w:abstractNumId w:val="8"/>
  </w:num>
  <w:num w:numId="14">
    <w:abstractNumId w:val="31"/>
  </w:num>
  <w:num w:numId="15">
    <w:abstractNumId w:val="15"/>
  </w:num>
  <w:num w:numId="16">
    <w:abstractNumId w:val="16"/>
  </w:num>
  <w:num w:numId="17">
    <w:abstractNumId w:val="6"/>
  </w:num>
  <w:num w:numId="18">
    <w:abstractNumId w:val="27"/>
  </w:num>
  <w:num w:numId="19">
    <w:abstractNumId w:val="3"/>
  </w:num>
  <w:num w:numId="20">
    <w:abstractNumId w:val="1"/>
  </w:num>
  <w:num w:numId="21">
    <w:abstractNumId w:val="35"/>
  </w:num>
  <w:num w:numId="22">
    <w:abstractNumId w:val="10"/>
  </w:num>
  <w:num w:numId="23">
    <w:abstractNumId w:val="35"/>
  </w:num>
  <w:num w:numId="24">
    <w:abstractNumId w:val="35"/>
  </w:num>
  <w:num w:numId="25">
    <w:abstractNumId w:val="36"/>
  </w:num>
  <w:num w:numId="26">
    <w:abstractNumId w:val="35"/>
  </w:num>
  <w:num w:numId="27">
    <w:abstractNumId w:val="33"/>
  </w:num>
  <w:num w:numId="28">
    <w:abstractNumId w:val="5"/>
  </w:num>
  <w:num w:numId="29">
    <w:abstractNumId w:val="12"/>
  </w:num>
  <w:num w:numId="30">
    <w:abstractNumId w:val="37"/>
  </w:num>
  <w:num w:numId="31">
    <w:abstractNumId w:val="4"/>
  </w:num>
  <w:num w:numId="32">
    <w:abstractNumId w:val="3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2"/>
  </w:num>
  <w:num w:numId="36">
    <w:abstractNumId w:val="20"/>
  </w:num>
  <w:num w:numId="37">
    <w:abstractNumId w:val="35"/>
  </w:num>
  <w:num w:numId="38">
    <w:abstractNumId w:val="35"/>
  </w:num>
  <w:num w:numId="39">
    <w:abstractNumId w:val="17"/>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7"/>
  </w:num>
  <w:num w:numId="43">
    <w:abstractNumId w:val="2"/>
  </w:num>
  <w:num w:numId="44">
    <w:abstractNumId w:val="13"/>
  </w:num>
  <w:num w:numId="45">
    <w:abstractNumId w:val="18"/>
  </w:num>
  <w:num w:numId="46">
    <w:abstractNumId w:val="11"/>
  </w:num>
  <w:num w:numId="4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yMDAzMjM1MDGzMDZT0lEKTi0uzszPAymwrAUABYaPriwAAAA="/>
  </w:docVars>
  <w:rsids>
    <w:rsidRoot w:val="00E65E79"/>
    <w:rsid w:val="00000790"/>
    <w:rsid w:val="0000110B"/>
    <w:rsid w:val="00001AF3"/>
    <w:rsid w:val="00003499"/>
    <w:rsid w:val="000037F6"/>
    <w:rsid w:val="000039B7"/>
    <w:rsid w:val="00004799"/>
    <w:rsid w:val="0000639A"/>
    <w:rsid w:val="0001190D"/>
    <w:rsid w:val="00011F59"/>
    <w:rsid w:val="00013247"/>
    <w:rsid w:val="00013315"/>
    <w:rsid w:val="00015103"/>
    <w:rsid w:val="00015886"/>
    <w:rsid w:val="00015EF4"/>
    <w:rsid w:val="000162EF"/>
    <w:rsid w:val="000207C9"/>
    <w:rsid w:val="0002225F"/>
    <w:rsid w:val="00023763"/>
    <w:rsid w:val="0002498E"/>
    <w:rsid w:val="00025B84"/>
    <w:rsid w:val="000264C3"/>
    <w:rsid w:val="000271BC"/>
    <w:rsid w:val="000274B8"/>
    <w:rsid w:val="00030262"/>
    <w:rsid w:val="000302C9"/>
    <w:rsid w:val="00031A1D"/>
    <w:rsid w:val="00031EDE"/>
    <w:rsid w:val="00033863"/>
    <w:rsid w:val="00034CE9"/>
    <w:rsid w:val="00035D33"/>
    <w:rsid w:val="00035DC0"/>
    <w:rsid w:val="00036829"/>
    <w:rsid w:val="0003744D"/>
    <w:rsid w:val="00037CEB"/>
    <w:rsid w:val="00040895"/>
    <w:rsid w:val="00042399"/>
    <w:rsid w:val="000435EE"/>
    <w:rsid w:val="00043C37"/>
    <w:rsid w:val="00043EEC"/>
    <w:rsid w:val="00043FAA"/>
    <w:rsid w:val="00045017"/>
    <w:rsid w:val="00045A2B"/>
    <w:rsid w:val="0004698F"/>
    <w:rsid w:val="000507A2"/>
    <w:rsid w:val="00052AB0"/>
    <w:rsid w:val="000539D0"/>
    <w:rsid w:val="00054621"/>
    <w:rsid w:val="000546D7"/>
    <w:rsid w:val="00055702"/>
    <w:rsid w:val="00056ECF"/>
    <w:rsid w:val="00057CE3"/>
    <w:rsid w:val="000604DF"/>
    <w:rsid w:val="000636F9"/>
    <w:rsid w:val="00063B4E"/>
    <w:rsid w:val="00064A3E"/>
    <w:rsid w:val="000653B5"/>
    <w:rsid w:val="00066360"/>
    <w:rsid w:val="00066AF8"/>
    <w:rsid w:val="00067771"/>
    <w:rsid w:val="00071248"/>
    <w:rsid w:val="000720B9"/>
    <w:rsid w:val="00073258"/>
    <w:rsid w:val="000737F7"/>
    <w:rsid w:val="000748BB"/>
    <w:rsid w:val="0007672F"/>
    <w:rsid w:val="00076B54"/>
    <w:rsid w:val="0007731D"/>
    <w:rsid w:val="000774F0"/>
    <w:rsid w:val="00080909"/>
    <w:rsid w:val="00080F3B"/>
    <w:rsid w:val="000812CA"/>
    <w:rsid w:val="00081E63"/>
    <w:rsid w:val="0008258D"/>
    <w:rsid w:val="00083E99"/>
    <w:rsid w:val="00084501"/>
    <w:rsid w:val="00084FA8"/>
    <w:rsid w:val="000856C5"/>
    <w:rsid w:val="00085860"/>
    <w:rsid w:val="00085906"/>
    <w:rsid w:val="00085C31"/>
    <w:rsid w:val="0008772B"/>
    <w:rsid w:val="00087C62"/>
    <w:rsid w:val="000902D9"/>
    <w:rsid w:val="00090C7E"/>
    <w:rsid w:val="00092072"/>
    <w:rsid w:val="0009246B"/>
    <w:rsid w:val="00092600"/>
    <w:rsid w:val="0009262B"/>
    <w:rsid w:val="00093310"/>
    <w:rsid w:val="00093ECE"/>
    <w:rsid w:val="0009445C"/>
    <w:rsid w:val="00094EA8"/>
    <w:rsid w:val="00095200"/>
    <w:rsid w:val="00095B38"/>
    <w:rsid w:val="00095FE5"/>
    <w:rsid w:val="00096284"/>
    <w:rsid w:val="000969A8"/>
    <w:rsid w:val="000A0B11"/>
    <w:rsid w:val="000A1BC0"/>
    <w:rsid w:val="000A2E29"/>
    <w:rsid w:val="000A3B7F"/>
    <w:rsid w:val="000A4023"/>
    <w:rsid w:val="000A6039"/>
    <w:rsid w:val="000A7453"/>
    <w:rsid w:val="000A7D08"/>
    <w:rsid w:val="000B0121"/>
    <w:rsid w:val="000B0576"/>
    <w:rsid w:val="000B0670"/>
    <w:rsid w:val="000B0DCB"/>
    <w:rsid w:val="000B0E75"/>
    <w:rsid w:val="000B2DCB"/>
    <w:rsid w:val="000B5CE0"/>
    <w:rsid w:val="000B6CAC"/>
    <w:rsid w:val="000B7612"/>
    <w:rsid w:val="000B78AE"/>
    <w:rsid w:val="000C04E4"/>
    <w:rsid w:val="000C053F"/>
    <w:rsid w:val="000C2706"/>
    <w:rsid w:val="000C3DF9"/>
    <w:rsid w:val="000C58B3"/>
    <w:rsid w:val="000C6713"/>
    <w:rsid w:val="000C7AA0"/>
    <w:rsid w:val="000D0B28"/>
    <w:rsid w:val="000D18F4"/>
    <w:rsid w:val="000D1BFC"/>
    <w:rsid w:val="000D1D5D"/>
    <w:rsid w:val="000D281A"/>
    <w:rsid w:val="000D2848"/>
    <w:rsid w:val="000D3060"/>
    <w:rsid w:val="000D326A"/>
    <w:rsid w:val="000D51FB"/>
    <w:rsid w:val="000D7131"/>
    <w:rsid w:val="000D7A19"/>
    <w:rsid w:val="000D7B88"/>
    <w:rsid w:val="000E0640"/>
    <w:rsid w:val="000E135D"/>
    <w:rsid w:val="000E1AA5"/>
    <w:rsid w:val="000E1FA5"/>
    <w:rsid w:val="000E482D"/>
    <w:rsid w:val="000E4A17"/>
    <w:rsid w:val="000E6708"/>
    <w:rsid w:val="000F00BA"/>
    <w:rsid w:val="000F0857"/>
    <w:rsid w:val="000F0F35"/>
    <w:rsid w:val="000F316A"/>
    <w:rsid w:val="000F38FB"/>
    <w:rsid w:val="000F3C74"/>
    <w:rsid w:val="000F4BB8"/>
    <w:rsid w:val="000F4FA9"/>
    <w:rsid w:val="000F53FB"/>
    <w:rsid w:val="000F7127"/>
    <w:rsid w:val="000F7B54"/>
    <w:rsid w:val="00100F8A"/>
    <w:rsid w:val="00101EA5"/>
    <w:rsid w:val="0010204F"/>
    <w:rsid w:val="00104426"/>
    <w:rsid w:val="0010452E"/>
    <w:rsid w:val="001057F6"/>
    <w:rsid w:val="00105AE2"/>
    <w:rsid w:val="001060C6"/>
    <w:rsid w:val="00106B80"/>
    <w:rsid w:val="00106BA0"/>
    <w:rsid w:val="00107CBC"/>
    <w:rsid w:val="0011032E"/>
    <w:rsid w:val="0011348B"/>
    <w:rsid w:val="001151A0"/>
    <w:rsid w:val="00115982"/>
    <w:rsid w:val="00116C53"/>
    <w:rsid w:val="00120819"/>
    <w:rsid w:val="00120D5A"/>
    <w:rsid w:val="00121799"/>
    <w:rsid w:val="001222FC"/>
    <w:rsid w:val="00123902"/>
    <w:rsid w:val="001239F0"/>
    <w:rsid w:val="001247E3"/>
    <w:rsid w:val="001248A3"/>
    <w:rsid w:val="00124A51"/>
    <w:rsid w:val="00126621"/>
    <w:rsid w:val="00126B1D"/>
    <w:rsid w:val="00126D88"/>
    <w:rsid w:val="001301E9"/>
    <w:rsid w:val="00131195"/>
    <w:rsid w:val="00131D82"/>
    <w:rsid w:val="00132A45"/>
    <w:rsid w:val="00132B22"/>
    <w:rsid w:val="00133D36"/>
    <w:rsid w:val="0013484F"/>
    <w:rsid w:val="001363A0"/>
    <w:rsid w:val="00137645"/>
    <w:rsid w:val="0014015A"/>
    <w:rsid w:val="00140E99"/>
    <w:rsid w:val="00141F7D"/>
    <w:rsid w:val="00143F67"/>
    <w:rsid w:val="00145540"/>
    <w:rsid w:val="001456B0"/>
    <w:rsid w:val="00146829"/>
    <w:rsid w:val="001500DD"/>
    <w:rsid w:val="0015016D"/>
    <w:rsid w:val="00150656"/>
    <w:rsid w:val="00150F56"/>
    <w:rsid w:val="0015126C"/>
    <w:rsid w:val="001536A6"/>
    <w:rsid w:val="001565F9"/>
    <w:rsid w:val="00156F8F"/>
    <w:rsid w:val="00157130"/>
    <w:rsid w:val="001576B1"/>
    <w:rsid w:val="0016047B"/>
    <w:rsid w:val="0016057D"/>
    <w:rsid w:val="00160A4C"/>
    <w:rsid w:val="00162913"/>
    <w:rsid w:val="00163EFF"/>
    <w:rsid w:val="00163F66"/>
    <w:rsid w:val="0016467F"/>
    <w:rsid w:val="00165ECA"/>
    <w:rsid w:val="001661FB"/>
    <w:rsid w:val="00167156"/>
    <w:rsid w:val="001671A0"/>
    <w:rsid w:val="0016767F"/>
    <w:rsid w:val="00170F86"/>
    <w:rsid w:val="0017188D"/>
    <w:rsid w:val="00173042"/>
    <w:rsid w:val="00173565"/>
    <w:rsid w:val="00173B07"/>
    <w:rsid w:val="00173E77"/>
    <w:rsid w:val="00174166"/>
    <w:rsid w:val="00174FA9"/>
    <w:rsid w:val="001751FA"/>
    <w:rsid w:val="00176512"/>
    <w:rsid w:val="00180ED1"/>
    <w:rsid w:val="00181D9C"/>
    <w:rsid w:val="00183918"/>
    <w:rsid w:val="00184B0E"/>
    <w:rsid w:val="00184F59"/>
    <w:rsid w:val="001872DC"/>
    <w:rsid w:val="0018752F"/>
    <w:rsid w:val="00187FF2"/>
    <w:rsid w:val="0019023B"/>
    <w:rsid w:val="00190C19"/>
    <w:rsid w:val="00192D00"/>
    <w:rsid w:val="00193838"/>
    <w:rsid w:val="00194AD8"/>
    <w:rsid w:val="00195222"/>
    <w:rsid w:val="001975D8"/>
    <w:rsid w:val="00197B03"/>
    <w:rsid w:val="00197F6C"/>
    <w:rsid w:val="001A1398"/>
    <w:rsid w:val="001A178E"/>
    <w:rsid w:val="001A43FA"/>
    <w:rsid w:val="001A47C5"/>
    <w:rsid w:val="001A4B1F"/>
    <w:rsid w:val="001A4F38"/>
    <w:rsid w:val="001A59FB"/>
    <w:rsid w:val="001A5E9E"/>
    <w:rsid w:val="001A6354"/>
    <w:rsid w:val="001A6366"/>
    <w:rsid w:val="001A6B46"/>
    <w:rsid w:val="001A775A"/>
    <w:rsid w:val="001A7AE8"/>
    <w:rsid w:val="001B184C"/>
    <w:rsid w:val="001B204E"/>
    <w:rsid w:val="001B2254"/>
    <w:rsid w:val="001B2372"/>
    <w:rsid w:val="001B3443"/>
    <w:rsid w:val="001B4D20"/>
    <w:rsid w:val="001C0277"/>
    <w:rsid w:val="001C2A9B"/>
    <w:rsid w:val="001C4299"/>
    <w:rsid w:val="001C4874"/>
    <w:rsid w:val="001C5445"/>
    <w:rsid w:val="001C5F94"/>
    <w:rsid w:val="001C63D5"/>
    <w:rsid w:val="001C6474"/>
    <w:rsid w:val="001C6E66"/>
    <w:rsid w:val="001C7210"/>
    <w:rsid w:val="001D1100"/>
    <w:rsid w:val="001D1391"/>
    <w:rsid w:val="001D25D7"/>
    <w:rsid w:val="001D2731"/>
    <w:rsid w:val="001D2E33"/>
    <w:rsid w:val="001D50B2"/>
    <w:rsid w:val="001D7645"/>
    <w:rsid w:val="001E151F"/>
    <w:rsid w:val="001E1DD7"/>
    <w:rsid w:val="001E1E86"/>
    <w:rsid w:val="001E238E"/>
    <w:rsid w:val="001E2483"/>
    <w:rsid w:val="001E2B1E"/>
    <w:rsid w:val="001E2B32"/>
    <w:rsid w:val="001E2CFF"/>
    <w:rsid w:val="001E2F24"/>
    <w:rsid w:val="001E30D4"/>
    <w:rsid w:val="001E34DF"/>
    <w:rsid w:val="001E39F2"/>
    <w:rsid w:val="001E48B2"/>
    <w:rsid w:val="001E48C8"/>
    <w:rsid w:val="001E52EB"/>
    <w:rsid w:val="001E5E7D"/>
    <w:rsid w:val="001E61D2"/>
    <w:rsid w:val="001E705F"/>
    <w:rsid w:val="001E740C"/>
    <w:rsid w:val="001E779F"/>
    <w:rsid w:val="001E7EF8"/>
    <w:rsid w:val="001F1235"/>
    <w:rsid w:val="001F196A"/>
    <w:rsid w:val="001F1CB3"/>
    <w:rsid w:val="001F38B5"/>
    <w:rsid w:val="001F4081"/>
    <w:rsid w:val="001F4728"/>
    <w:rsid w:val="001F69E9"/>
    <w:rsid w:val="001F7361"/>
    <w:rsid w:val="00200350"/>
    <w:rsid w:val="002011B0"/>
    <w:rsid w:val="00203181"/>
    <w:rsid w:val="00203783"/>
    <w:rsid w:val="0020385F"/>
    <w:rsid w:val="00203927"/>
    <w:rsid w:val="00204469"/>
    <w:rsid w:val="002068A0"/>
    <w:rsid w:val="00207021"/>
    <w:rsid w:val="0020732F"/>
    <w:rsid w:val="00207D00"/>
    <w:rsid w:val="002105C1"/>
    <w:rsid w:val="00210651"/>
    <w:rsid w:val="0021132F"/>
    <w:rsid w:val="00211F5B"/>
    <w:rsid w:val="00213EF5"/>
    <w:rsid w:val="00215A5E"/>
    <w:rsid w:val="00215AFE"/>
    <w:rsid w:val="00216BF5"/>
    <w:rsid w:val="00217473"/>
    <w:rsid w:val="0022158F"/>
    <w:rsid w:val="0022223C"/>
    <w:rsid w:val="00223AB0"/>
    <w:rsid w:val="00223B49"/>
    <w:rsid w:val="00223D5A"/>
    <w:rsid w:val="00224266"/>
    <w:rsid w:val="00224647"/>
    <w:rsid w:val="00224DD4"/>
    <w:rsid w:val="00225F17"/>
    <w:rsid w:val="00226051"/>
    <w:rsid w:val="002278A0"/>
    <w:rsid w:val="002309CC"/>
    <w:rsid w:val="0023209F"/>
    <w:rsid w:val="00233C01"/>
    <w:rsid w:val="0023413C"/>
    <w:rsid w:val="002346F0"/>
    <w:rsid w:val="002350D4"/>
    <w:rsid w:val="0023629D"/>
    <w:rsid w:val="00237202"/>
    <w:rsid w:val="00237255"/>
    <w:rsid w:val="00240E85"/>
    <w:rsid w:val="00242418"/>
    <w:rsid w:val="002424AF"/>
    <w:rsid w:val="002439DC"/>
    <w:rsid w:val="002441D2"/>
    <w:rsid w:val="00244DC8"/>
    <w:rsid w:val="00244F19"/>
    <w:rsid w:val="00245068"/>
    <w:rsid w:val="002458BA"/>
    <w:rsid w:val="00245CE9"/>
    <w:rsid w:val="0024636C"/>
    <w:rsid w:val="00247925"/>
    <w:rsid w:val="00251006"/>
    <w:rsid w:val="00251605"/>
    <w:rsid w:val="002524D5"/>
    <w:rsid w:val="00253721"/>
    <w:rsid w:val="00253B1D"/>
    <w:rsid w:val="00253F1D"/>
    <w:rsid w:val="00254DCF"/>
    <w:rsid w:val="0025534B"/>
    <w:rsid w:val="00255721"/>
    <w:rsid w:val="00255BB7"/>
    <w:rsid w:val="00256AC0"/>
    <w:rsid w:val="00257541"/>
    <w:rsid w:val="00257A39"/>
    <w:rsid w:val="00257AC4"/>
    <w:rsid w:val="00261522"/>
    <w:rsid w:val="00261EEF"/>
    <w:rsid w:val="00262A1A"/>
    <w:rsid w:val="00262A87"/>
    <w:rsid w:val="00264D26"/>
    <w:rsid w:val="002663D8"/>
    <w:rsid w:val="00267642"/>
    <w:rsid w:val="00267AEA"/>
    <w:rsid w:val="002700E6"/>
    <w:rsid w:val="00271418"/>
    <w:rsid w:val="00271D83"/>
    <w:rsid w:val="0027294B"/>
    <w:rsid w:val="00272EAF"/>
    <w:rsid w:val="00273EB4"/>
    <w:rsid w:val="00274682"/>
    <w:rsid w:val="002746D0"/>
    <w:rsid w:val="00274D82"/>
    <w:rsid w:val="002759B5"/>
    <w:rsid w:val="00275C5A"/>
    <w:rsid w:val="002767A8"/>
    <w:rsid w:val="00277E82"/>
    <w:rsid w:val="002801D6"/>
    <w:rsid w:val="00280631"/>
    <w:rsid w:val="00280644"/>
    <w:rsid w:val="00281014"/>
    <w:rsid w:val="00281DC8"/>
    <w:rsid w:val="0028444B"/>
    <w:rsid w:val="0028665D"/>
    <w:rsid w:val="002875E4"/>
    <w:rsid w:val="0029027B"/>
    <w:rsid w:val="002934BF"/>
    <w:rsid w:val="00294512"/>
    <w:rsid w:val="00297B29"/>
    <w:rsid w:val="00297B92"/>
    <w:rsid w:val="00297C3D"/>
    <w:rsid w:val="002A14AB"/>
    <w:rsid w:val="002A27EA"/>
    <w:rsid w:val="002A2A30"/>
    <w:rsid w:val="002A2ADE"/>
    <w:rsid w:val="002A2F50"/>
    <w:rsid w:val="002A340A"/>
    <w:rsid w:val="002A383A"/>
    <w:rsid w:val="002B05A1"/>
    <w:rsid w:val="002B09A4"/>
    <w:rsid w:val="002B1C1F"/>
    <w:rsid w:val="002B2CD5"/>
    <w:rsid w:val="002B432F"/>
    <w:rsid w:val="002B437C"/>
    <w:rsid w:val="002B4FCF"/>
    <w:rsid w:val="002B5559"/>
    <w:rsid w:val="002B62B3"/>
    <w:rsid w:val="002B6754"/>
    <w:rsid w:val="002B6CCE"/>
    <w:rsid w:val="002B708C"/>
    <w:rsid w:val="002C0F6F"/>
    <w:rsid w:val="002C2510"/>
    <w:rsid w:val="002C2775"/>
    <w:rsid w:val="002C27C1"/>
    <w:rsid w:val="002C49D9"/>
    <w:rsid w:val="002C5099"/>
    <w:rsid w:val="002C5889"/>
    <w:rsid w:val="002C5F77"/>
    <w:rsid w:val="002C665C"/>
    <w:rsid w:val="002C71CE"/>
    <w:rsid w:val="002D08F8"/>
    <w:rsid w:val="002D12DB"/>
    <w:rsid w:val="002D19AB"/>
    <w:rsid w:val="002D2EFA"/>
    <w:rsid w:val="002D30AF"/>
    <w:rsid w:val="002D4918"/>
    <w:rsid w:val="002D577C"/>
    <w:rsid w:val="002E02BE"/>
    <w:rsid w:val="002E1071"/>
    <w:rsid w:val="002E15B9"/>
    <w:rsid w:val="002E2158"/>
    <w:rsid w:val="002E4F02"/>
    <w:rsid w:val="002E553D"/>
    <w:rsid w:val="002E7722"/>
    <w:rsid w:val="002E7C34"/>
    <w:rsid w:val="002F07BA"/>
    <w:rsid w:val="002F0A93"/>
    <w:rsid w:val="002F0DA9"/>
    <w:rsid w:val="002F1014"/>
    <w:rsid w:val="002F2796"/>
    <w:rsid w:val="002F2C6D"/>
    <w:rsid w:val="002F3CC4"/>
    <w:rsid w:val="002F476D"/>
    <w:rsid w:val="002F5A03"/>
    <w:rsid w:val="002F639B"/>
    <w:rsid w:val="002F643C"/>
    <w:rsid w:val="002F71C0"/>
    <w:rsid w:val="002F74F1"/>
    <w:rsid w:val="00300A34"/>
    <w:rsid w:val="00301017"/>
    <w:rsid w:val="0030155F"/>
    <w:rsid w:val="00304879"/>
    <w:rsid w:val="003051EA"/>
    <w:rsid w:val="0030587B"/>
    <w:rsid w:val="00306D98"/>
    <w:rsid w:val="00307167"/>
    <w:rsid w:val="0030786C"/>
    <w:rsid w:val="0031031A"/>
    <w:rsid w:val="00310981"/>
    <w:rsid w:val="003124D9"/>
    <w:rsid w:val="00312594"/>
    <w:rsid w:val="003145C7"/>
    <w:rsid w:val="00315498"/>
    <w:rsid w:val="0031563B"/>
    <w:rsid w:val="00315A6F"/>
    <w:rsid w:val="0031604D"/>
    <w:rsid w:val="00316474"/>
    <w:rsid w:val="00317A5E"/>
    <w:rsid w:val="00320576"/>
    <w:rsid w:val="00322107"/>
    <w:rsid w:val="00322355"/>
    <w:rsid w:val="00322846"/>
    <w:rsid w:val="00322C5E"/>
    <w:rsid w:val="003232EE"/>
    <w:rsid w:val="00324295"/>
    <w:rsid w:val="00325833"/>
    <w:rsid w:val="003259AB"/>
    <w:rsid w:val="003269BD"/>
    <w:rsid w:val="00326DA7"/>
    <w:rsid w:val="00326DC2"/>
    <w:rsid w:val="003270E4"/>
    <w:rsid w:val="00330DAA"/>
    <w:rsid w:val="00330F5C"/>
    <w:rsid w:val="00333F85"/>
    <w:rsid w:val="003366C9"/>
    <w:rsid w:val="003371B0"/>
    <w:rsid w:val="00340DF1"/>
    <w:rsid w:val="00344759"/>
    <w:rsid w:val="003447DD"/>
    <w:rsid w:val="00345A98"/>
    <w:rsid w:val="00345D47"/>
    <w:rsid w:val="00347B86"/>
    <w:rsid w:val="00347C82"/>
    <w:rsid w:val="00350087"/>
    <w:rsid w:val="00350A25"/>
    <w:rsid w:val="003517F9"/>
    <w:rsid w:val="00351BA9"/>
    <w:rsid w:val="00354F64"/>
    <w:rsid w:val="0035620E"/>
    <w:rsid w:val="00357CC8"/>
    <w:rsid w:val="00360345"/>
    <w:rsid w:val="003607E4"/>
    <w:rsid w:val="00361A05"/>
    <w:rsid w:val="003624C4"/>
    <w:rsid w:val="00362A68"/>
    <w:rsid w:val="0036339C"/>
    <w:rsid w:val="00363B00"/>
    <w:rsid w:val="003654AC"/>
    <w:rsid w:val="00367352"/>
    <w:rsid w:val="003673FA"/>
    <w:rsid w:val="003678A7"/>
    <w:rsid w:val="00370BE5"/>
    <w:rsid w:val="003710CF"/>
    <w:rsid w:val="003722E7"/>
    <w:rsid w:val="0037358A"/>
    <w:rsid w:val="00374A9D"/>
    <w:rsid w:val="003750F6"/>
    <w:rsid w:val="003760FC"/>
    <w:rsid w:val="00376DEC"/>
    <w:rsid w:val="00381A48"/>
    <w:rsid w:val="00381EBE"/>
    <w:rsid w:val="003820F6"/>
    <w:rsid w:val="0038365C"/>
    <w:rsid w:val="0038369B"/>
    <w:rsid w:val="00383948"/>
    <w:rsid w:val="00383B78"/>
    <w:rsid w:val="00385A9D"/>
    <w:rsid w:val="00386736"/>
    <w:rsid w:val="003869AE"/>
    <w:rsid w:val="003902B1"/>
    <w:rsid w:val="0039179C"/>
    <w:rsid w:val="00392F7C"/>
    <w:rsid w:val="00392FB5"/>
    <w:rsid w:val="003934D4"/>
    <w:rsid w:val="0039402E"/>
    <w:rsid w:val="00394423"/>
    <w:rsid w:val="00396896"/>
    <w:rsid w:val="00396FD0"/>
    <w:rsid w:val="003A1A7A"/>
    <w:rsid w:val="003A1BE1"/>
    <w:rsid w:val="003A2392"/>
    <w:rsid w:val="003A2831"/>
    <w:rsid w:val="003A2849"/>
    <w:rsid w:val="003A3CB6"/>
    <w:rsid w:val="003A3ED1"/>
    <w:rsid w:val="003A44DB"/>
    <w:rsid w:val="003A77A4"/>
    <w:rsid w:val="003B0905"/>
    <w:rsid w:val="003B16C4"/>
    <w:rsid w:val="003B3971"/>
    <w:rsid w:val="003B55D1"/>
    <w:rsid w:val="003B5B61"/>
    <w:rsid w:val="003B7A4F"/>
    <w:rsid w:val="003C1654"/>
    <w:rsid w:val="003C47FF"/>
    <w:rsid w:val="003C487D"/>
    <w:rsid w:val="003C50D4"/>
    <w:rsid w:val="003C5542"/>
    <w:rsid w:val="003C64BC"/>
    <w:rsid w:val="003C677F"/>
    <w:rsid w:val="003C6BC9"/>
    <w:rsid w:val="003C7720"/>
    <w:rsid w:val="003C79AD"/>
    <w:rsid w:val="003C7D19"/>
    <w:rsid w:val="003C7D2F"/>
    <w:rsid w:val="003D0234"/>
    <w:rsid w:val="003D0642"/>
    <w:rsid w:val="003D082B"/>
    <w:rsid w:val="003D1828"/>
    <w:rsid w:val="003D1DE4"/>
    <w:rsid w:val="003D1E9A"/>
    <w:rsid w:val="003D21BD"/>
    <w:rsid w:val="003D2422"/>
    <w:rsid w:val="003D39A1"/>
    <w:rsid w:val="003D3E6F"/>
    <w:rsid w:val="003D3FBF"/>
    <w:rsid w:val="003D4A30"/>
    <w:rsid w:val="003D71E2"/>
    <w:rsid w:val="003D7452"/>
    <w:rsid w:val="003D79BB"/>
    <w:rsid w:val="003D7C98"/>
    <w:rsid w:val="003D7D9D"/>
    <w:rsid w:val="003E0543"/>
    <w:rsid w:val="003E1727"/>
    <w:rsid w:val="003E399E"/>
    <w:rsid w:val="003E749E"/>
    <w:rsid w:val="003F134E"/>
    <w:rsid w:val="003F1769"/>
    <w:rsid w:val="003F36BD"/>
    <w:rsid w:val="003F4156"/>
    <w:rsid w:val="003F5ADF"/>
    <w:rsid w:val="003F617B"/>
    <w:rsid w:val="003F6507"/>
    <w:rsid w:val="00400B29"/>
    <w:rsid w:val="0040247D"/>
    <w:rsid w:val="004030C7"/>
    <w:rsid w:val="004039E1"/>
    <w:rsid w:val="0040504B"/>
    <w:rsid w:val="004059F4"/>
    <w:rsid w:val="004073BF"/>
    <w:rsid w:val="00407A36"/>
    <w:rsid w:val="00407F0F"/>
    <w:rsid w:val="00407FE5"/>
    <w:rsid w:val="004101B0"/>
    <w:rsid w:val="00410326"/>
    <w:rsid w:val="00410708"/>
    <w:rsid w:val="00410B65"/>
    <w:rsid w:val="00410EC7"/>
    <w:rsid w:val="004114B0"/>
    <w:rsid w:val="0041163A"/>
    <w:rsid w:val="00411B39"/>
    <w:rsid w:val="004127A7"/>
    <w:rsid w:val="004135A2"/>
    <w:rsid w:val="00413A1E"/>
    <w:rsid w:val="00413F20"/>
    <w:rsid w:val="00414476"/>
    <w:rsid w:val="00414C2E"/>
    <w:rsid w:val="004151CF"/>
    <w:rsid w:val="00416364"/>
    <w:rsid w:val="00416F32"/>
    <w:rsid w:val="0042047F"/>
    <w:rsid w:val="00420A48"/>
    <w:rsid w:val="00420AA6"/>
    <w:rsid w:val="00420B9F"/>
    <w:rsid w:val="004218BB"/>
    <w:rsid w:val="0042192C"/>
    <w:rsid w:val="00422260"/>
    <w:rsid w:val="0042413F"/>
    <w:rsid w:val="004268AB"/>
    <w:rsid w:val="0042690C"/>
    <w:rsid w:val="00426911"/>
    <w:rsid w:val="00427208"/>
    <w:rsid w:val="004319F8"/>
    <w:rsid w:val="00431E55"/>
    <w:rsid w:val="004321F6"/>
    <w:rsid w:val="00433044"/>
    <w:rsid w:val="0043335F"/>
    <w:rsid w:val="0043347F"/>
    <w:rsid w:val="004334EF"/>
    <w:rsid w:val="00434088"/>
    <w:rsid w:val="00435148"/>
    <w:rsid w:val="004375B9"/>
    <w:rsid w:val="004428D0"/>
    <w:rsid w:val="00444185"/>
    <w:rsid w:val="00444342"/>
    <w:rsid w:val="004443A7"/>
    <w:rsid w:val="0044442C"/>
    <w:rsid w:val="00444FE9"/>
    <w:rsid w:val="00445009"/>
    <w:rsid w:val="004450CD"/>
    <w:rsid w:val="004455F6"/>
    <w:rsid w:val="00445941"/>
    <w:rsid w:val="00445A63"/>
    <w:rsid w:val="004464EB"/>
    <w:rsid w:val="00446D49"/>
    <w:rsid w:val="00447D26"/>
    <w:rsid w:val="00447DFC"/>
    <w:rsid w:val="004530E6"/>
    <w:rsid w:val="00454285"/>
    <w:rsid w:val="00454B03"/>
    <w:rsid w:val="00454CC9"/>
    <w:rsid w:val="00455D45"/>
    <w:rsid w:val="00460084"/>
    <w:rsid w:val="00460E56"/>
    <w:rsid w:val="00461073"/>
    <w:rsid w:val="00461744"/>
    <w:rsid w:val="00462119"/>
    <w:rsid w:val="00463B59"/>
    <w:rsid w:val="004642B3"/>
    <w:rsid w:val="00464595"/>
    <w:rsid w:val="004658B5"/>
    <w:rsid w:val="004672CB"/>
    <w:rsid w:val="0046761F"/>
    <w:rsid w:val="004679D8"/>
    <w:rsid w:val="00471BDC"/>
    <w:rsid w:val="00471EA5"/>
    <w:rsid w:val="00472A79"/>
    <w:rsid w:val="00473F19"/>
    <w:rsid w:val="00474D00"/>
    <w:rsid w:val="00475E22"/>
    <w:rsid w:val="00476206"/>
    <w:rsid w:val="0048088E"/>
    <w:rsid w:val="00480995"/>
    <w:rsid w:val="00480F2B"/>
    <w:rsid w:val="0048131D"/>
    <w:rsid w:val="00482720"/>
    <w:rsid w:val="004835E7"/>
    <w:rsid w:val="0048434A"/>
    <w:rsid w:val="004848D5"/>
    <w:rsid w:val="004859E4"/>
    <w:rsid w:val="00486092"/>
    <w:rsid w:val="004867E2"/>
    <w:rsid w:val="00486E00"/>
    <w:rsid w:val="00490B17"/>
    <w:rsid w:val="0049155E"/>
    <w:rsid w:val="00491B3A"/>
    <w:rsid w:val="00492CFD"/>
    <w:rsid w:val="00494207"/>
    <w:rsid w:val="00494603"/>
    <w:rsid w:val="004948F0"/>
    <w:rsid w:val="00494DD5"/>
    <w:rsid w:val="004962D2"/>
    <w:rsid w:val="004A08F4"/>
    <w:rsid w:val="004A0DA1"/>
    <w:rsid w:val="004A13D6"/>
    <w:rsid w:val="004A481B"/>
    <w:rsid w:val="004A52E9"/>
    <w:rsid w:val="004A5809"/>
    <w:rsid w:val="004A6040"/>
    <w:rsid w:val="004A6597"/>
    <w:rsid w:val="004A6CC7"/>
    <w:rsid w:val="004A7610"/>
    <w:rsid w:val="004A7848"/>
    <w:rsid w:val="004B1CB4"/>
    <w:rsid w:val="004B2F18"/>
    <w:rsid w:val="004B3DDB"/>
    <w:rsid w:val="004B44FD"/>
    <w:rsid w:val="004B5BA7"/>
    <w:rsid w:val="004B5CFC"/>
    <w:rsid w:val="004B6F79"/>
    <w:rsid w:val="004B774D"/>
    <w:rsid w:val="004C18FA"/>
    <w:rsid w:val="004C357F"/>
    <w:rsid w:val="004C35B5"/>
    <w:rsid w:val="004C3EA7"/>
    <w:rsid w:val="004C4AED"/>
    <w:rsid w:val="004D0386"/>
    <w:rsid w:val="004D0671"/>
    <w:rsid w:val="004D13CD"/>
    <w:rsid w:val="004D2219"/>
    <w:rsid w:val="004D2C2D"/>
    <w:rsid w:val="004D5053"/>
    <w:rsid w:val="004D68A8"/>
    <w:rsid w:val="004D69B5"/>
    <w:rsid w:val="004D6A28"/>
    <w:rsid w:val="004D6DB9"/>
    <w:rsid w:val="004D7227"/>
    <w:rsid w:val="004E0E7F"/>
    <w:rsid w:val="004E0EB8"/>
    <w:rsid w:val="004E0EDD"/>
    <w:rsid w:val="004E18E9"/>
    <w:rsid w:val="004E22E7"/>
    <w:rsid w:val="004E2ADC"/>
    <w:rsid w:val="004E2C29"/>
    <w:rsid w:val="004E40A8"/>
    <w:rsid w:val="004E43B2"/>
    <w:rsid w:val="004E518F"/>
    <w:rsid w:val="004E6E76"/>
    <w:rsid w:val="004F0851"/>
    <w:rsid w:val="004F1477"/>
    <w:rsid w:val="004F1D02"/>
    <w:rsid w:val="004F2679"/>
    <w:rsid w:val="004F2F21"/>
    <w:rsid w:val="004F3DE5"/>
    <w:rsid w:val="004F40B4"/>
    <w:rsid w:val="004F6913"/>
    <w:rsid w:val="004F7318"/>
    <w:rsid w:val="004F7865"/>
    <w:rsid w:val="004F7A72"/>
    <w:rsid w:val="004F7C71"/>
    <w:rsid w:val="00500765"/>
    <w:rsid w:val="005007F7"/>
    <w:rsid w:val="005011B8"/>
    <w:rsid w:val="0050174E"/>
    <w:rsid w:val="00501854"/>
    <w:rsid w:val="00501A01"/>
    <w:rsid w:val="0050219B"/>
    <w:rsid w:val="0050281A"/>
    <w:rsid w:val="00502CF5"/>
    <w:rsid w:val="005033AD"/>
    <w:rsid w:val="00503E6F"/>
    <w:rsid w:val="00503F17"/>
    <w:rsid w:val="00505A56"/>
    <w:rsid w:val="005066DE"/>
    <w:rsid w:val="00506928"/>
    <w:rsid w:val="00506ECA"/>
    <w:rsid w:val="005077EF"/>
    <w:rsid w:val="005103FB"/>
    <w:rsid w:val="00510C75"/>
    <w:rsid w:val="005110FE"/>
    <w:rsid w:val="00511AD5"/>
    <w:rsid w:val="00511D23"/>
    <w:rsid w:val="00511DC7"/>
    <w:rsid w:val="005142C5"/>
    <w:rsid w:val="0051501B"/>
    <w:rsid w:val="005152B5"/>
    <w:rsid w:val="005169BB"/>
    <w:rsid w:val="0051711B"/>
    <w:rsid w:val="0052123C"/>
    <w:rsid w:val="00521319"/>
    <w:rsid w:val="00522BC8"/>
    <w:rsid w:val="00523C28"/>
    <w:rsid w:val="0052434A"/>
    <w:rsid w:val="0053049B"/>
    <w:rsid w:val="0053176B"/>
    <w:rsid w:val="00533E98"/>
    <w:rsid w:val="00535235"/>
    <w:rsid w:val="00536F42"/>
    <w:rsid w:val="00536FB2"/>
    <w:rsid w:val="00537182"/>
    <w:rsid w:val="005373CD"/>
    <w:rsid w:val="00540A5E"/>
    <w:rsid w:val="00541EDD"/>
    <w:rsid w:val="00542435"/>
    <w:rsid w:val="00542743"/>
    <w:rsid w:val="00542C2D"/>
    <w:rsid w:val="00543D3B"/>
    <w:rsid w:val="0054502A"/>
    <w:rsid w:val="00546211"/>
    <w:rsid w:val="005478BD"/>
    <w:rsid w:val="005479E3"/>
    <w:rsid w:val="005500DD"/>
    <w:rsid w:val="00550243"/>
    <w:rsid w:val="0055154C"/>
    <w:rsid w:val="00551985"/>
    <w:rsid w:val="00552A85"/>
    <w:rsid w:val="00552BD3"/>
    <w:rsid w:val="00552D3C"/>
    <w:rsid w:val="005532A0"/>
    <w:rsid w:val="00553DC8"/>
    <w:rsid w:val="005542B0"/>
    <w:rsid w:val="00554B48"/>
    <w:rsid w:val="00555109"/>
    <w:rsid w:val="005554CB"/>
    <w:rsid w:val="00555779"/>
    <w:rsid w:val="00556B0E"/>
    <w:rsid w:val="00556B35"/>
    <w:rsid w:val="00556D13"/>
    <w:rsid w:val="0055741A"/>
    <w:rsid w:val="00560039"/>
    <w:rsid w:val="00560D27"/>
    <w:rsid w:val="005611B7"/>
    <w:rsid w:val="005618D4"/>
    <w:rsid w:val="0056287C"/>
    <w:rsid w:val="00564560"/>
    <w:rsid w:val="00565DF0"/>
    <w:rsid w:val="0056658D"/>
    <w:rsid w:val="00566646"/>
    <w:rsid w:val="0056696F"/>
    <w:rsid w:val="00570E71"/>
    <w:rsid w:val="00572269"/>
    <w:rsid w:val="0057244A"/>
    <w:rsid w:val="00572D26"/>
    <w:rsid w:val="00572F26"/>
    <w:rsid w:val="005750C5"/>
    <w:rsid w:val="005752DE"/>
    <w:rsid w:val="00575D8D"/>
    <w:rsid w:val="00576972"/>
    <w:rsid w:val="00576F4A"/>
    <w:rsid w:val="00583699"/>
    <w:rsid w:val="00584727"/>
    <w:rsid w:val="00584C27"/>
    <w:rsid w:val="00585608"/>
    <w:rsid w:val="00585CDD"/>
    <w:rsid w:val="00586278"/>
    <w:rsid w:val="00587058"/>
    <w:rsid w:val="00587805"/>
    <w:rsid w:val="00590876"/>
    <w:rsid w:val="00591957"/>
    <w:rsid w:val="00596391"/>
    <w:rsid w:val="00596EF0"/>
    <w:rsid w:val="00597BF9"/>
    <w:rsid w:val="005A0EE4"/>
    <w:rsid w:val="005A2EA2"/>
    <w:rsid w:val="005A309A"/>
    <w:rsid w:val="005A373D"/>
    <w:rsid w:val="005A3754"/>
    <w:rsid w:val="005B0B58"/>
    <w:rsid w:val="005B201B"/>
    <w:rsid w:val="005B2345"/>
    <w:rsid w:val="005B431B"/>
    <w:rsid w:val="005B4D58"/>
    <w:rsid w:val="005B4E53"/>
    <w:rsid w:val="005B5857"/>
    <w:rsid w:val="005C0048"/>
    <w:rsid w:val="005C19C4"/>
    <w:rsid w:val="005C1B83"/>
    <w:rsid w:val="005C226C"/>
    <w:rsid w:val="005C25FF"/>
    <w:rsid w:val="005C2D55"/>
    <w:rsid w:val="005C346B"/>
    <w:rsid w:val="005C78EC"/>
    <w:rsid w:val="005D044D"/>
    <w:rsid w:val="005D0ABD"/>
    <w:rsid w:val="005D18AD"/>
    <w:rsid w:val="005D1FD3"/>
    <w:rsid w:val="005D26B4"/>
    <w:rsid w:val="005D2C6A"/>
    <w:rsid w:val="005D2F55"/>
    <w:rsid w:val="005D31D2"/>
    <w:rsid w:val="005D6B3F"/>
    <w:rsid w:val="005D70F5"/>
    <w:rsid w:val="005D7D57"/>
    <w:rsid w:val="005E04F3"/>
    <w:rsid w:val="005E1CEF"/>
    <w:rsid w:val="005E37C8"/>
    <w:rsid w:val="005E552B"/>
    <w:rsid w:val="005E5F8F"/>
    <w:rsid w:val="005E6C02"/>
    <w:rsid w:val="005E6CBC"/>
    <w:rsid w:val="005E72FF"/>
    <w:rsid w:val="005E73C0"/>
    <w:rsid w:val="005E76E8"/>
    <w:rsid w:val="005F1A3B"/>
    <w:rsid w:val="005F25E6"/>
    <w:rsid w:val="005F2706"/>
    <w:rsid w:val="005F3D58"/>
    <w:rsid w:val="005F4CA2"/>
    <w:rsid w:val="005F6634"/>
    <w:rsid w:val="005F6A8F"/>
    <w:rsid w:val="005F6BB7"/>
    <w:rsid w:val="005F7588"/>
    <w:rsid w:val="006024C6"/>
    <w:rsid w:val="00603DB9"/>
    <w:rsid w:val="006040A2"/>
    <w:rsid w:val="00604B06"/>
    <w:rsid w:val="00604D36"/>
    <w:rsid w:val="00606FBA"/>
    <w:rsid w:val="00607669"/>
    <w:rsid w:val="006076F4"/>
    <w:rsid w:val="00607AFD"/>
    <w:rsid w:val="006106F5"/>
    <w:rsid w:val="006126B7"/>
    <w:rsid w:val="00612F97"/>
    <w:rsid w:val="0061345D"/>
    <w:rsid w:val="00613BE7"/>
    <w:rsid w:val="0061549B"/>
    <w:rsid w:val="00616802"/>
    <w:rsid w:val="00616A90"/>
    <w:rsid w:val="006174D1"/>
    <w:rsid w:val="00617E12"/>
    <w:rsid w:val="0062069C"/>
    <w:rsid w:val="00620C25"/>
    <w:rsid w:val="00621477"/>
    <w:rsid w:val="00621ADA"/>
    <w:rsid w:val="00623F7B"/>
    <w:rsid w:val="00626B76"/>
    <w:rsid w:val="00626D26"/>
    <w:rsid w:val="0063158F"/>
    <w:rsid w:val="00631D6B"/>
    <w:rsid w:val="00631E65"/>
    <w:rsid w:val="00632183"/>
    <w:rsid w:val="00632DAF"/>
    <w:rsid w:val="006330A1"/>
    <w:rsid w:val="00633959"/>
    <w:rsid w:val="00633F36"/>
    <w:rsid w:val="0063479F"/>
    <w:rsid w:val="006353F0"/>
    <w:rsid w:val="0063547E"/>
    <w:rsid w:val="006357B5"/>
    <w:rsid w:val="006364A1"/>
    <w:rsid w:val="0063678E"/>
    <w:rsid w:val="0063712D"/>
    <w:rsid w:val="00637BFD"/>
    <w:rsid w:val="006401D3"/>
    <w:rsid w:val="00640BD9"/>
    <w:rsid w:val="00641179"/>
    <w:rsid w:val="006412FF"/>
    <w:rsid w:val="00641C4E"/>
    <w:rsid w:val="00641FB3"/>
    <w:rsid w:val="00642EDB"/>
    <w:rsid w:val="0064434C"/>
    <w:rsid w:val="00644F1C"/>
    <w:rsid w:val="006470EB"/>
    <w:rsid w:val="0064714A"/>
    <w:rsid w:val="006471CC"/>
    <w:rsid w:val="006475DC"/>
    <w:rsid w:val="0064799C"/>
    <w:rsid w:val="00647A29"/>
    <w:rsid w:val="0065079F"/>
    <w:rsid w:val="0065205E"/>
    <w:rsid w:val="00652A28"/>
    <w:rsid w:val="0065379F"/>
    <w:rsid w:val="00654269"/>
    <w:rsid w:val="00654CC4"/>
    <w:rsid w:val="00655396"/>
    <w:rsid w:val="00655803"/>
    <w:rsid w:val="00656188"/>
    <w:rsid w:val="006567EB"/>
    <w:rsid w:val="0065715A"/>
    <w:rsid w:val="006610F1"/>
    <w:rsid w:val="006612B6"/>
    <w:rsid w:val="00661C6B"/>
    <w:rsid w:val="00662375"/>
    <w:rsid w:val="00663969"/>
    <w:rsid w:val="00664FE8"/>
    <w:rsid w:val="0066642A"/>
    <w:rsid w:val="00666EAE"/>
    <w:rsid w:val="00671004"/>
    <w:rsid w:val="006717E3"/>
    <w:rsid w:val="00672646"/>
    <w:rsid w:val="00673CF1"/>
    <w:rsid w:val="00674E42"/>
    <w:rsid w:val="0067665C"/>
    <w:rsid w:val="0067763C"/>
    <w:rsid w:val="006777AE"/>
    <w:rsid w:val="00680199"/>
    <w:rsid w:val="006813F8"/>
    <w:rsid w:val="00682112"/>
    <w:rsid w:val="006823C9"/>
    <w:rsid w:val="006828F1"/>
    <w:rsid w:val="00682BA6"/>
    <w:rsid w:val="0068383F"/>
    <w:rsid w:val="0068394A"/>
    <w:rsid w:val="006840F6"/>
    <w:rsid w:val="006849D5"/>
    <w:rsid w:val="0068526D"/>
    <w:rsid w:val="006859C8"/>
    <w:rsid w:val="00685E1B"/>
    <w:rsid w:val="00685EC3"/>
    <w:rsid w:val="00685F7A"/>
    <w:rsid w:val="00686957"/>
    <w:rsid w:val="006872BA"/>
    <w:rsid w:val="006878E8"/>
    <w:rsid w:val="00687C59"/>
    <w:rsid w:val="00690795"/>
    <w:rsid w:val="006908A5"/>
    <w:rsid w:val="00691648"/>
    <w:rsid w:val="006917D7"/>
    <w:rsid w:val="00691ACA"/>
    <w:rsid w:val="0069434C"/>
    <w:rsid w:val="00694F44"/>
    <w:rsid w:val="00694F7C"/>
    <w:rsid w:val="00696F51"/>
    <w:rsid w:val="006979A5"/>
    <w:rsid w:val="006A194A"/>
    <w:rsid w:val="006A1B5D"/>
    <w:rsid w:val="006A31B4"/>
    <w:rsid w:val="006A37A9"/>
    <w:rsid w:val="006A47C0"/>
    <w:rsid w:val="006A6659"/>
    <w:rsid w:val="006A6B99"/>
    <w:rsid w:val="006A7E5F"/>
    <w:rsid w:val="006B0822"/>
    <w:rsid w:val="006B261B"/>
    <w:rsid w:val="006B2C90"/>
    <w:rsid w:val="006B3281"/>
    <w:rsid w:val="006B35E6"/>
    <w:rsid w:val="006B3B8A"/>
    <w:rsid w:val="006B465A"/>
    <w:rsid w:val="006B54B5"/>
    <w:rsid w:val="006B54B8"/>
    <w:rsid w:val="006B6DD0"/>
    <w:rsid w:val="006B77B0"/>
    <w:rsid w:val="006C0399"/>
    <w:rsid w:val="006C27C6"/>
    <w:rsid w:val="006C2A8E"/>
    <w:rsid w:val="006C3255"/>
    <w:rsid w:val="006C3F26"/>
    <w:rsid w:val="006C438C"/>
    <w:rsid w:val="006C68A5"/>
    <w:rsid w:val="006C793B"/>
    <w:rsid w:val="006D0132"/>
    <w:rsid w:val="006D0D17"/>
    <w:rsid w:val="006D3C7D"/>
    <w:rsid w:val="006D4659"/>
    <w:rsid w:val="006D5485"/>
    <w:rsid w:val="006D5D5F"/>
    <w:rsid w:val="006D68FB"/>
    <w:rsid w:val="006E2868"/>
    <w:rsid w:val="006E3481"/>
    <w:rsid w:val="006E5033"/>
    <w:rsid w:val="006E716A"/>
    <w:rsid w:val="006F2DD0"/>
    <w:rsid w:val="006F306C"/>
    <w:rsid w:val="006F30A8"/>
    <w:rsid w:val="006F319D"/>
    <w:rsid w:val="006F63A5"/>
    <w:rsid w:val="006F6EFA"/>
    <w:rsid w:val="0070142B"/>
    <w:rsid w:val="007017D6"/>
    <w:rsid w:val="007018A9"/>
    <w:rsid w:val="00702761"/>
    <w:rsid w:val="0070276E"/>
    <w:rsid w:val="00702F8F"/>
    <w:rsid w:val="007034DD"/>
    <w:rsid w:val="00703F04"/>
    <w:rsid w:val="00704317"/>
    <w:rsid w:val="00704639"/>
    <w:rsid w:val="007079FC"/>
    <w:rsid w:val="0071042E"/>
    <w:rsid w:val="00711A36"/>
    <w:rsid w:val="00712A74"/>
    <w:rsid w:val="00712D1E"/>
    <w:rsid w:val="00714C26"/>
    <w:rsid w:val="0071529C"/>
    <w:rsid w:val="00716452"/>
    <w:rsid w:val="007170DA"/>
    <w:rsid w:val="007172AD"/>
    <w:rsid w:val="0071737B"/>
    <w:rsid w:val="007179A6"/>
    <w:rsid w:val="00720241"/>
    <w:rsid w:val="00720801"/>
    <w:rsid w:val="0072158D"/>
    <w:rsid w:val="00721687"/>
    <w:rsid w:val="00722B1B"/>
    <w:rsid w:val="00723E9A"/>
    <w:rsid w:val="0072416F"/>
    <w:rsid w:val="007272CF"/>
    <w:rsid w:val="00727C94"/>
    <w:rsid w:val="007309B4"/>
    <w:rsid w:val="00731B0A"/>
    <w:rsid w:val="00731EAE"/>
    <w:rsid w:val="00733073"/>
    <w:rsid w:val="00735033"/>
    <w:rsid w:val="00735328"/>
    <w:rsid w:val="0073685B"/>
    <w:rsid w:val="00736A53"/>
    <w:rsid w:val="00740CAC"/>
    <w:rsid w:val="007449BF"/>
    <w:rsid w:val="00744F5D"/>
    <w:rsid w:val="00745176"/>
    <w:rsid w:val="00745FA4"/>
    <w:rsid w:val="00746BC0"/>
    <w:rsid w:val="00746BE6"/>
    <w:rsid w:val="007472D5"/>
    <w:rsid w:val="007473DA"/>
    <w:rsid w:val="007510B4"/>
    <w:rsid w:val="00752142"/>
    <w:rsid w:val="007523F9"/>
    <w:rsid w:val="0075357E"/>
    <w:rsid w:val="00754003"/>
    <w:rsid w:val="007549F3"/>
    <w:rsid w:val="00757001"/>
    <w:rsid w:val="007573E8"/>
    <w:rsid w:val="00760248"/>
    <w:rsid w:val="00760C4E"/>
    <w:rsid w:val="00760F9E"/>
    <w:rsid w:val="00761124"/>
    <w:rsid w:val="007627BE"/>
    <w:rsid w:val="00763258"/>
    <w:rsid w:val="00763BEC"/>
    <w:rsid w:val="00764B65"/>
    <w:rsid w:val="00764BEF"/>
    <w:rsid w:val="00764F03"/>
    <w:rsid w:val="00765B1A"/>
    <w:rsid w:val="00770589"/>
    <w:rsid w:val="0077196B"/>
    <w:rsid w:val="00775A9E"/>
    <w:rsid w:val="0077662E"/>
    <w:rsid w:val="00777335"/>
    <w:rsid w:val="00777B58"/>
    <w:rsid w:val="00777F24"/>
    <w:rsid w:val="00781743"/>
    <w:rsid w:val="00781A5D"/>
    <w:rsid w:val="00781B47"/>
    <w:rsid w:val="007843F2"/>
    <w:rsid w:val="0078452F"/>
    <w:rsid w:val="00785A9F"/>
    <w:rsid w:val="00785B29"/>
    <w:rsid w:val="00787227"/>
    <w:rsid w:val="007878F6"/>
    <w:rsid w:val="007925DF"/>
    <w:rsid w:val="007934E2"/>
    <w:rsid w:val="00794D57"/>
    <w:rsid w:val="00795CCA"/>
    <w:rsid w:val="00795D6A"/>
    <w:rsid w:val="007A08AA"/>
    <w:rsid w:val="007A0A12"/>
    <w:rsid w:val="007A132D"/>
    <w:rsid w:val="007A1345"/>
    <w:rsid w:val="007A2DDB"/>
    <w:rsid w:val="007A312F"/>
    <w:rsid w:val="007A4DB8"/>
    <w:rsid w:val="007A4E1B"/>
    <w:rsid w:val="007A70BA"/>
    <w:rsid w:val="007A7345"/>
    <w:rsid w:val="007B0123"/>
    <w:rsid w:val="007B0D68"/>
    <w:rsid w:val="007B168D"/>
    <w:rsid w:val="007B224B"/>
    <w:rsid w:val="007B251D"/>
    <w:rsid w:val="007B3714"/>
    <w:rsid w:val="007B4F58"/>
    <w:rsid w:val="007B528D"/>
    <w:rsid w:val="007B52A3"/>
    <w:rsid w:val="007B63CA"/>
    <w:rsid w:val="007B77D1"/>
    <w:rsid w:val="007C07C7"/>
    <w:rsid w:val="007C0C2A"/>
    <w:rsid w:val="007C1CD9"/>
    <w:rsid w:val="007C238C"/>
    <w:rsid w:val="007C32EF"/>
    <w:rsid w:val="007C361D"/>
    <w:rsid w:val="007C4B84"/>
    <w:rsid w:val="007C5774"/>
    <w:rsid w:val="007C5FEC"/>
    <w:rsid w:val="007C6091"/>
    <w:rsid w:val="007C70FF"/>
    <w:rsid w:val="007C76EC"/>
    <w:rsid w:val="007C7C25"/>
    <w:rsid w:val="007D004F"/>
    <w:rsid w:val="007D0388"/>
    <w:rsid w:val="007D058E"/>
    <w:rsid w:val="007D0B38"/>
    <w:rsid w:val="007D0FC4"/>
    <w:rsid w:val="007D2363"/>
    <w:rsid w:val="007D3075"/>
    <w:rsid w:val="007D5440"/>
    <w:rsid w:val="007D69EB"/>
    <w:rsid w:val="007D6CFC"/>
    <w:rsid w:val="007D7C36"/>
    <w:rsid w:val="007E128F"/>
    <w:rsid w:val="007E355A"/>
    <w:rsid w:val="007E7FF7"/>
    <w:rsid w:val="007F0D93"/>
    <w:rsid w:val="007F1017"/>
    <w:rsid w:val="007F24D0"/>
    <w:rsid w:val="007F4A3F"/>
    <w:rsid w:val="007F4A61"/>
    <w:rsid w:val="007F5255"/>
    <w:rsid w:val="007F56CC"/>
    <w:rsid w:val="007F57AE"/>
    <w:rsid w:val="007F5A54"/>
    <w:rsid w:val="007F61C2"/>
    <w:rsid w:val="007F6DFD"/>
    <w:rsid w:val="007F7080"/>
    <w:rsid w:val="008007D9"/>
    <w:rsid w:val="00800E0B"/>
    <w:rsid w:val="008013CE"/>
    <w:rsid w:val="00801E5F"/>
    <w:rsid w:val="00804AD2"/>
    <w:rsid w:val="00805142"/>
    <w:rsid w:val="00805DE4"/>
    <w:rsid w:val="00805FCE"/>
    <w:rsid w:val="00807A8B"/>
    <w:rsid w:val="00810458"/>
    <w:rsid w:val="00811383"/>
    <w:rsid w:val="00812149"/>
    <w:rsid w:val="00812CAB"/>
    <w:rsid w:val="00812CAC"/>
    <w:rsid w:val="008135E4"/>
    <w:rsid w:val="008158ED"/>
    <w:rsid w:val="00815B7B"/>
    <w:rsid w:val="0081624C"/>
    <w:rsid w:val="00816361"/>
    <w:rsid w:val="008166EF"/>
    <w:rsid w:val="00816FEF"/>
    <w:rsid w:val="00820A8C"/>
    <w:rsid w:val="00820FD5"/>
    <w:rsid w:val="008215FB"/>
    <w:rsid w:val="00822546"/>
    <w:rsid w:val="00823174"/>
    <w:rsid w:val="008244C8"/>
    <w:rsid w:val="00825751"/>
    <w:rsid w:val="00825B67"/>
    <w:rsid w:val="008264EB"/>
    <w:rsid w:val="008268BF"/>
    <w:rsid w:val="00833B05"/>
    <w:rsid w:val="008353EB"/>
    <w:rsid w:val="008362B4"/>
    <w:rsid w:val="008379F1"/>
    <w:rsid w:val="00840BC2"/>
    <w:rsid w:val="00840CA2"/>
    <w:rsid w:val="00840CC4"/>
    <w:rsid w:val="0084144C"/>
    <w:rsid w:val="00841D97"/>
    <w:rsid w:val="0084262D"/>
    <w:rsid w:val="00842E3D"/>
    <w:rsid w:val="00842FEF"/>
    <w:rsid w:val="0084374F"/>
    <w:rsid w:val="00844A22"/>
    <w:rsid w:val="00844AC4"/>
    <w:rsid w:val="008454F2"/>
    <w:rsid w:val="008467E0"/>
    <w:rsid w:val="00846A5C"/>
    <w:rsid w:val="00847703"/>
    <w:rsid w:val="00847DF5"/>
    <w:rsid w:val="00852193"/>
    <w:rsid w:val="0085309D"/>
    <w:rsid w:val="00853DEF"/>
    <w:rsid w:val="00856897"/>
    <w:rsid w:val="008568C6"/>
    <w:rsid w:val="00856E9A"/>
    <w:rsid w:val="008571BE"/>
    <w:rsid w:val="0086075D"/>
    <w:rsid w:val="008608DD"/>
    <w:rsid w:val="00862502"/>
    <w:rsid w:val="00862CC1"/>
    <w:rsid w:val="00863387"/>
    <w:rsid w:val="00864526"/>
    <w:rsid w:val="008660B0"/>
    <w:rsid w:val="008660D4"/>
    <w:rsid w:val="00871211"/>
    <w:rsid w:val="00871FA9"/>
    <w:rsid w:val="008728E9"/>
    <w:rsid w:val="00872B82"/>
    <w:rsid w:val="00877661"/>
    <w:rsid w:val="00880797"/>
    <w:rsid w:val="00882874"/>
    <w:rsid w:val="00882E3C"/>
    <w:rsid w:val="00883787"/>
    <w:rsid w:val="00883FA7"/>
    <w:rsid w:val="00885460"/>
    <w:rsid w:val="008855E4"/>
    <w:rsid w:val="00886CD2"/>
    <w:rsid w:val="00891E6F"/>
    <w:rsid w:val="00892332"/>
    <w:rsid w:val="0089275D"/>
    <w:rsid w:val="00892A36"/>
    <w:rsid w:val="00892CF9"/>
    <w:rsid w:val="00893239"/>
    <w:rsid w:val="00893EE5"/>
    <w:rsid w:val="00894489"/>
    <w:rsid w:val="00895DEA"/>
    <w:rsid w:val="008963A5"/>
    <w:rsid w:val="00896D5D"/>
    <w:rsid w:val="00897007"/>
    <w:rsid w:val="00897718"/>
    <w:rsid w:val="008A0F8E"/>
    <w:rsid w:val="008A1578"/>
    <w:rsid w:val="008A3363"/>
    <w:rsid w:val="008A3371"/>
    <w:rsid w:val="008A3C3E"/>
    <w:rsid w:val="008A6134"/>
    <w:rsid w:val="008A79DE"/>
    <w:rsid w:val="008B1757"/>
    <w:rsid w:val="008B21CF"/>
    <w:rsid w:val="008B2D9C"/>
    <w:rsid w:val="008B523F"/>
    <w:rsid w:val="008B537D"/>
    <w:rsid w:val="008B5F07"/>
    <w:rsid w:val="008B6C7E"/>
    <w:rsid w:val="008B7992"/>
    <w:rsid w:val="008B7D7E"/>
    <w:rsid w:val="008C1487"/>
    <w:rsid w:val="008C15F9"/>
    <w:rsid w:val="008C5610"/>
    <w:rsid w:val="008C5739"/>
    <w:rsid w:val="008C7B18"/>
    <w:rsid w:val="008C7ECB"/>
    <w:rsid w:val="008D2904"/>
    <w:rsid w:val="008D3202"/>
    <w:rsid w:val="008D340A"/>
    <w:rsid w:val="008D3B86"/>
    <w:rsid w:val="008D4755"/>
    <w:rsid w:val="008D4C3D"/>
    <w:rsid w:val="008D743C"/>
    <w:rsid w:val="008E0D3C"/>
    <w:rsid w:val="008E1B9E"/>
    <w:rsid w:val="008E26D2"/>
    <w:rsid w:val="008E2E2E"/>
    <w:rsid w:val="008E3C46"/>
    <w:rsid w:val="008E55AB"/>
    <w:rsid w:val="008E55EC"/>
    <w:rsid w:val="008E684D"/>
    <w:rsid w:val="008E6852"/>
    <w:rsid w:val="008F120A"/>
    <w:rsid w:val="008F27E0"/>
    <w:rsid w:val="008F3188"/>
    <w:rsid w:val="008F47D5"/>
    <w:rsid w:val="008F48EB"/>
    <w:rsid w:val="008F4C09"/>
    <w:rsid w:val="008F4F0B"/>
    <w:rsid w:val="008F5750"/>
    <w:rsid w:val="008F58C3"/>
    <w:rsid w:val="008F609A"/>
    <w:rsid w:val="008F6147"/>
    <w:rsid w:val="008F61E1"/>
    <w:rsid w:val="00901D7F"/>
    <w:rsid w:val="009044B9"/>
    <w:rsid w:val="009046C4"/>
    <w:rsid w:val="00905844"/>
    <w:rsid w:val="009062A5"/>
    <w:rsid w:val="00907674"/>
    <w:rsid w:val="00910FA7"/>
    <w:rsid w:val="00911272"/>
    <w:rsid w:val="009112B7"/>
    <w:rsid w:val="00911F0E"/>
    <w:rsid w:val="009124E5"/>
    <w:rsid w:val="0091327A"/>
    <w:rsid w:val="00913326"/>
    <w:rsid w:val="009135D6"/>
    <w:rsid w:val="0091499F"/>
    <w:rsid w:val="00914C77"/>
    <w:rsid w:val="00916E35"/>
    <w:rsid w:val="00917857"/>
    <w:rsid w:val="0091799D"/>
    <w:rsid w:val="0092064D"/>
    <w:rsid w:val="00921ACB"/>
    <w:rsid w:val="0092369B"/>
    <w:rsid w:val="00923B8C"/>
    <w:rsid w:val="00924D9E"/>
    <w:rsid w:val="00925048"/>
    <w:rsid w:val="00926C97"/>
    <w:rsid w:val="00927598"/>
    <w:rsid w:val="00927964"/>
    <w:rsid w:val="00927B9C"/>
    <w:rsid w:val="0093038A"/>
    <w:rsid w:val="009314D5"/>
    <w:rsid w:val="00931ADA"/>
    <w:rsid w:val="00932CC1"/>
    <w:rsid w:val="00933F9B"/>
    <w:rsid w:val="00934988"/>
    <w:rsid w:val="00937089"/>
    <w:rsid w:val="00940DF2"/>
    <w:rsid w:val="009410B4"/>
    <w:rsid w:val="0094323D"/>
    <w:rsid w:val="00944F8A"/>
    <w:rsid w:val="009468CA"/>
    <w:rsid w:val="009473E7"/>
    <w:rsid w:val="009510A2"/>
    <w:rsid w:val="0095141A"/>
    <w:rsid w:val="009515C8"/>
    <w:rsid w:val="00953257"/>
    <w:rsid w:val="0095474C"/>
    <w:rsid w:val="00961728"/>
    <w:rsid w:val="0096236D"/>
    <w:rsid w:val="00962CB9"/>
    <w:rsid w:val="00963D5F"/>
    <w:rsid w:val="00964312"/>
    <w:rsid w:val="00964CE7"/>
    <w:rsid w:val="00965B8A"/>
    <w:rsid w:val="0097071F"/>
    <w:rsid w:val="00970C97"/>
    <w:rsid w:val="009717AC"/>
    <w:rsid w:val="0097393D"/>
    <w:rsid w:val="009746DD"/>
    <w:rsid w:val="009751C1"/>
    <w:rsid w:val="00975D16"/>
    <w:rsid w:val="0098008B"/>
    <w:rsid w:val="009805ED"/>
    <w:rsid w:val="009811F1"/>
    <w:rsid w:val="00983E57"/>
    <w:rsid w:val="00985DE2"/>
    <w:rsid w:val="00985EAA"/>
    <w:rsid w:val="0098675D"/>
    <w:rsid w:val="00990DB0"/>
    <w:rsid w:val="00992299"/>
    <w:rsid w:val="009926E0"/>
    <w:rsid w:val="00992853"/>
    <w:rsid w:val="0099451E"/>
    <w:rsid w:val="00994F60"/>
    <w:rsid w:val="00996B1A"/>
    <w:rsid w:val="009A0F88"/>
    <w:rsid w:val="009A29A8"/>
    <w:rsid w:val="009A2DCC"/>
    <w:rsid w:val="009A50E0"/>
    <w:rsid w:val="009A5ABC"/>
    <w:rsid w:val="009A6107"/>
    <w:rsid w:val="009A7F10"/>
    <w:rsid w:val="009B0390"/>
    <w:rsid w:val="009B039C"/>
    <w:rsid w:val="009B0C20"/>
    <w:rsid w:val="009B12CD"/>
    <w:rsid w:val="009B22D2"/>
    <w:rsid w:val="009B28D1"/>
    <w:rsid w:val="009B3E26"/>
    <w:rsid w:val="009B50C5"/>
    <w:rsid w:val="009B5892"/>
    <w:rsid w:val="009C0EE8"/>
    <w:rsid w:val="009C3644"/>
    <w:rsid w:val="009C3706"/>
    <w:rsid w:val="009C3A3A"/>
    <w:rsid w:val="009C5F1F"/>
    <w:rsid w:val="009C6CEA"/>
    <w:rsid w:val="009C7072"/>
    <w:rsid w:val="009C7B85"/>
    <w:rsid w:val="009D0254"/>
    <w:rsid w:val="009D1A64"/>
    <w:rsid w:val="009D5B91"/>
    <w:rsid w:val="009D792E"/>
    <w:rsid w:val="009E0DFE"/>
    <w:rsid w:val="009E21DD"/>
    <w:rsid w:val="009E31F6"/>
    <w:rsid w:val="009E4C07"/>
    <w:rsid w:val="009E7B44"/>
    <w:rsid w:val="009F108B"/>
    <w:rsid w:val="009F1213"/>
    <w:rsid w:val="009F1580"/>
    <w:rsid w:val="009F1BAC"/>
    <w:rsid w:val="009F7769"/>
    <w:rsid w:val="009F7991"/>
    <w:rsid w:val="009F7A8F"/>
    <w:rsid w:val="009F7ED1"/>
    <w:rsid w:val="00A01184"/>
    <w:rsid w:val="00A02F38"/>
    <w:rsid w:val="00A037C2"/>
    <w:rsid w:val="00A03AF3"/>
    <w:rsid w:val="00A03C0A"/>
    <w:rsid w:val="00A03D43"/>
    <w:rsid w:val="00A04380"/>
    <w:rsid w:val="00A0461C"/>
    <w:rsid w:val="00A05472"/>
    <w:rsid w:val="00A05C32"/>
    <w:rsid w:val="00A0653F"/>
    <w:rsid w:val="00A105E7"/>
    <w:rsid w:val="00A1117F"/>
    <w:rsid w:val="00A11B69"/>
    <w:rsid w:val="00A11CD0"/>
    <w:rsid w:val="00A12D64"/>
    <w:rsid w:val="00A13948"/>
    <w:rsid w:val="00A15254"/>
    <w:rsid w:val="00A1555B"/>
    <w:rsid w:val="00A155C5"/>
    <w:rsid w:val="00A15FB8"/>
    <w:rsid w:val="00A16AD8"/>
    <w:rsid w:val="00A17688"/>
    <w:rsid w:val="00A20BA0"/>
    <w:rsid w:val="00A21C95"/>
    <w:rsid w:val="00A21CF3"/>
    <w:rsid w:val="00A22BE6"/>
    <w:rsid w:val="00A24813"/>
    <w:rsid w:val="00A27AEC"/>
    <w:rsid w:val="00A27CEA"/>
    <w:rsid w:val="00A303F8"/>
    <w:rsid w:val="00A320DB"/>
    <w:rsid w:val="00A33914"/>
    <w:rsid w:val="00A33E20"/>
    <w:rsid w:val="00A34D67"/>
    <w:rsid w:val="00A35D16"/>
    <w:rsid w:val="00A35E66"/>
    <w:rsid w:val="00A35ED8"/>
    <w:rsid w:val="00A369BD"/>
    <w:rsid w:val="00A37BCD"/>
    <w:rsid w:val="00A40087"/>
    <w:rsid w:val="00A41689"/>
    <w:rsid w:val="00A41D15"/>
    <w:rsid w:val="00A42592"/>
    <w:rsid w:val="00A4279B"/>
    <w:rsid w:val="00A43779"/>
    <w:rsid w:val="00A43C59"/>
    <w:rsid w:val="00A50ECD"/>
    <w:rsid w:val="00A518F3"/>
    <w:rsid w:val="00A5231A"/>
    <w:rsid w:val="00A52612"/>
    <w:rsid w:val="00A52729"/>
    <w:rsid w:val="00A52C03"/>
    <w:rsid w:val="00A53675"/>
    <w:rsid w:val="00A53838"/>
    <w:rsid w:val="00A564D7"/>
    <w:rsid w:val="00A56B6A"/>
    <w:rsid w:val="00A578DC"/>
    <w:rsid w:val="00A608B2"/>
    <w:rsid w:val="00A62370"/>
    <w:rsid w:val="00A6405E"/>
    <w:rsid w:val="00A640E2"/>
    <w:rsid w:val="00A642B5"/>
    <w:rsid w:val="00A64D65"/>
    <w:rsid w:val="00A662E3"/>
    <w:rsid w:val="00A66D4F"/>
    <w:rsid w:val="00A6725B"/>
    <w:rsid w:val="00A70605"/>
    <w:rsid w:val="00A710F9"/>
    <w:rsid w:val="00A73134"/>
    <w:rsid w:val="00A735B7"/>
    <w:rsid w:val="00A7361F"/>
    <w:rsid w:val="00A73646"/>
    <w:rsid w:val="00A73C49"/>
    <w:rsid w:val="00A76001"/>
    <w:rsid w:val="00A777B2"/>
    <w:rsid w:val="00A77F67"/>
    <w:rsid w:val="00A825D4"/>
    <w:rsid w:val="00A826BD"/>
    <w:rsid w:val="00A828F6"/>
    <w:rsid w:val="00A82B73"/>
    <w:rsid w:val="00A8397B"/>
    <w:rsid w:val="00A85954"/>
    <w:rsid w:val="00A86E8B"/>
    <w:rsid w:val="00A87164"/>
    <w:rsid w:val="00A9264F"/>
    <w:rsid w:val="00A92844"/>
    <w:rsid w:val="00A93072"/>
    <w:rsid w:val="00A938BD"/>
    <w:rsid w:val="00A93953"/>
    <w:rsid w:val="00A94935"/>
    <w:rsid w:val="00A959D8"/>
    <w:rsid w:val="00AA0BF0"/>
    <w:rsid w:val="00AA113D"/>
    <w:rsid w:val="00AA3F8E"/>
    <w:rsid w:val="00AA6BD5"/>
    <w:rsid w:val="00AA6BD8"/>
    <w:rsid w:val="00AA6C7D"/>
    <w:rsid w:val="00AA6CAF"/>
    <w:rsid w:val="00AA7FD6"/>
    <w:rsid w:val="00AB042A"/>
    <w:rsid w:val="00AB0AD1"/>
    <w:rsid w:val="00AB10F0"/>
    <w:rsid w:val="00AB19EF"/>
    <w:rsid w:val="00AB1AB0"/>
    <w:rsid w:val="00AB2D34"/>
    <w:rsid w:val="00AB335A"/>
    <w:rsid w:val="00AB3430"/>
    <w:rsid w:val="00AB37B9"/>
    <w:rsid w:val="00AB464E"/>
    <w:rsid w:val="00AB4AD1"/>
    <w:rsid w:val="00AB5E07"/>
    <w:rsid w:val="00AB7657"/>
    <w:rsid w:val="00AB7CFA"/>
    <w:rsid w:val="00AC2290"/>
    <w:rsid w:val="00AC2E26"/>
    <w:rsid w:val="00AC3748"/>
    <w:rsid w:val="00AC59E7"/>
    <w:rsid w:val="00AC5B48"/>
    <w:rsid w:val="00AC5BA6"/>
    <w:rsid w:val="00AC5BAB"/>
    <w:rsid w:val="00AC7516"/>
    <w:rsid w:val="00AD0D28"/>
    <w:rsid w:val="00AD1450"/>
    <w:rsid w:val="00AD3CF1"/>
    <w:rsid w:val="00AD6502"/>
    <w:rsid w:val="00AE04C7"/>
    <w:rsid w:val="00AE0695"/>
    <w:rsid w:val="00AE08E5"/>
    <w:rsid w:val="00AE399A"/>
    <w:rsid w:val="00AE3E7E"/>
    <w:rsid w:val="00AE46A5"/>
    <w:rsid w:val="00AE473E"/>
    <w:rsid w:val="00AE4DC3"/>
    <w:rsid w:val="00AE5741"/>
    <w:rsid w:val="00AF1315"/>
    <w:rsid w:val="00AF19BF"/>
    <w:rsid w:val="00AF20FA"/>
    <w:rsid w:val="00AF2DC3"/>
    <w:rsid w:val="00AF38B6"/>
    <w:rsid w:val="00AF44B4"/>
    <w:rsid w:val="00AF64E9"/>
    <w:rsid w:val="00AF7417"/>
    <w:rsid w:val="00B00FB5"/>
    <w:rsid w:val="00B0173D"/>
    <w:rsid w:val="00B01B30"/>
    <w:rsid w:val="00B033E5"/>
    <w:rsid w:val="00B03A63"/>
    <w:rsid w:val="00B0402D"/>
    <w:rsid w:val="00B06A58"/>
    <w:rsid w:val="00B0786D"/>
    <w:rsid w:val="00B11EE4"/>
    <w:rsid w:val="00B201A4"/>
    <w:rsid w:val="00B201D1"/>
    <w:rsid w:val="00B213A6"/>
    <w:rsid w:val="00B235B0"/>
    <w:rsid w:val="00B24DF6"/>
    <w:rsid w:val="00B25831"/>
    <w:rsid w:val="00B27233"/>
    <w:rsid w:val="00B27327"/>
    <w:rsid w:val="00B303E1"/>
    <w:rsid w:val="00B344BC"/>
    <w:rsid w:val="00B34FE2"/>
    <w:rsid w:val="00B35166"/>
    <w:rsid w:val="00B357D8"/>
    <w:rsid w:val="00B360F4"/>
    <w:rsid w:val="00B362E4"/>
    <w:rsid w:val="00B365C5"/>
    <w:rsid w:val="00B3695D"/>
    <w:rsid w:val="00B369B1"/>
    <w:rsid w:val="00B36A00"/>
    <w:rsid w:val="00B372BA"/>
    <w:rsid w:val="00B37BFC"/>
    <w:rsid w:val="00B40358"/>
    <w:rsid w:val="00B411BC"/>
    <w:rsid w:val="00B41614"/>
    <w:rsid w:val="00B42851"/>
    <w:rsid w:val="00B42F80"/>
    <w:rsid w:val="00B435CB"/>
    <w:rsid w:val="00B4526F"/>
    <w:rsid w:val="00B47919"/>
    <w:rsid w:val="00B505C8"/>
    <w:rsid w:val="00B50DB8"/>
    <w:rsid w:val="00B51379"/>
    <w:rsid w:val="00B514F7"/>
    <w:rsid w:val="00B5328F"/>
    <w:rsid w:val="00B53654"/>
    <w:rsid w:val="00B53905"/>
    <w:rsid w:val="00B53AAE"/>
    <w:rsid w:val="00B54B5B"/>
    <w:rsid w:val="00B5562E"/>
    <w:rsid w:val="00B55862"/>
    <w:rsid w:val="00B55D65"/>
    <w:rsid w:val="00B57000"/>
    <w:rsid w:val="00B60939"/>
    <w:rsid w:val="00B60AFD"/>
    <w:rsid w:val="00B60C4C"/>
    <w:rsid w:val="00B61404"/>
    <w:rsid w:val="00B618E4"/>
    <w:rsid w:val="00B62715"/>
    <w:rsid w:val="00B63BC0"/>
    <w:rsid w:val="00B646E4"/>
    <w:rsid w:val="00B65611"/>
    <w:rsid w:val="00B6755F"/>
    <w:rsid w:val="00B70E8E"/>
    <w:rsid w:val="00B73910"/>
    <w:rsid w:val="00B75A36"/>
    <w:rsid w:val="00B763F6"/>
    <w:rsid w:val="00B76B7E"/>
    <w:rsid w:val="00B76C92"/>
    <w:rsid w:val="00B77303"/>
    <w:rsid w:val="00B818A4"/>
    <w:rsid w:val="00B81B87"/>
    <w:rsid w:val="00B8277B"/>
    <w:rsid w:val="00B83D49"/>
    <w:rsid w:val="00B84117"/>
    <w:rsid w:val="00B842E5"/>
    <w:rsid w:val="00B84988"/>
    <w:rsid w:val="00B858F0"/>
    <w:rsid w:val="00B85AA2"/>
    <w:rsid w:val="00B85AE7"/>
    <w:rsid w:val="00B8649C"/>
    <w:rsid w:val="00B8654D"/>
    <w:rsid w:val="00B8695D"/>
    <w:rsid w:val="00B87F0A"/>
    <w:rsid w:val="00B9055A"/>
    <w:rsid w:val="00B92D0B"/>
    <w:rsid w:val="00B941D6"/>
    <w:rsid w:val="00B94945"/>
    <w:rsid w:val="00B94DD6"/>
    <w:rsid w:val="00B94FA2"/>
    <w:rsid w:val="00B96F43"/>
    <w:rsid w:val="00BA0F70"/>
    <w:rsid w:val="00BA184D"/>
    <w:rsid w:val="00BA18B8"/>
    <w:rsid w:val="00BA1DB3"/>
    <w:rsid w:val="00BA2418"/>
    <w:rsid w:val="00BA322D"/>
    <w:rsid w:val="00BA436D"/>
    <w:rsid w:val="00BA4431"/>
    <w:rsid w:val="00BA63FA"/>
    <w:rsid w:val="00BA7CAD"/>
    <w:rsid w:val="00BB00B3"/>
    <w:rsid w:val="00BB0BDD"/>
    <w:rsid w:val="00BB1046"/>
    <w:rsid w:val="00BB176C"/>
    <w:rsid w:val="00BB23D4"/>
    <w:rsid w:val="00BB2883"/>
    <w:rsid w:val="00BB2A73"/>
    <w:rsid w:val="00BB39B2"/>
    <w:rsid w:val="00BB3A45"/>
    <w:rsid w:val="00BB3EFB"/>
    <w:rsid w:val="00BB4ACC"/>
    <w:rsid w:val="00BB50B6"/>
    <w:rsid w:val="00BB703E"/>
    <w:rsid w:val="00BB732D"/>
    <w:rsid w:val="00BB7405"/>
    <w:rsid w:val="00BC19B3"/>
    <w:rsid w:val="00BC2F88"/>
    <w:rsid w:val="00BC3631"/>
    <w:rsid w:val="00BC591F"/>
    <w:rsid w:val="00BC7D6D"/>
    <w:rsid w:val="00BD06C7"/>
    <w:rsid w:val="00BD2108"/>
    <w:rsid w:val="00BD3181"/>
    <w:rsid w:val="00BD4D0A"/>
    <w:rsid w:val="00BD5E0B"/>
    <w:rsid w:val="00BD68A3"/>
    <w:rsid w:val="00BD6938"/>
    <w:rsid w:val="00BD6CF3"/>
    <w:rsid w:val="00BD7C12"/>
    <w:rsid w:val="00BE0ECA"/>
    <w:rsid w:val="00BE2180"/>
    <w:rsid w:val="00BE21F2"/>
    <w:rsid w:val="00BE2F13"/>
    <w:rsid w:val="00BE4275"/>
    <w:rsid w:val="00BE50E6"/>
    <w:rsid w:val="00BE5F8D"/>
    <w:rsid w:val="00BE7B61"/>
    <w:rsid w:val="00BF06AE"/>
    <w:rsid w:val="00BF0F95"/>
    <w:rsid w:val="00BF2433"/>
    <w:rsid w:val="00BF61C9"/>
    <w:rsid w:val="00BF6C94"/>
    <w:rsid w:val="00C00424"/>
    <w:rsid w:val="00C009F6"/>
    <w:rsid w:val="00C0144E"/>
    <w:rsid w:val="00C02896"/>
    <w:rsid w:val="00C02B03"/>
    <w:rsid w:val="00C03941"/>
    <w:rsid w:val="00C068EE"/>
    <w:rsid w:val="00C106FB"/>
    <w:rsid w:val="00C1179F"/>
    <w:rsid w:val="00C12C14"/>
    <w:rsid w:val="00C13FF1"/>
    <w:rsid w:val="00C14E26"/>
    <w:rsid w:val="00C15F04"/>
    <w:rsid w:val="00C179B3"/>
    <w:rsid w:val="00C17E3F"/>
    <w:rsid w:val="00C200AA"/>
    <w:rsid w:val="00C201F4"/>
    <w:rsid w:val="00C2047B"/>
    <w:rsid w:val="00C20592"/>
    <w:rsid w:val="00C22249"/>
    <w:rsid w:val="00C237ED"/>
    <w:rsid w:val="00C24632"/>
    <w:rsid w:val="00C25418"/>
    <w:rsid w:val="00C25D9C"/>
    <w:rsid w:val="00C2778B"/>
    <w:rsid w:val="00C27AC6"/>
    <w:rsid w:val="00C27F42"/>
    <w:rsid w:val="00C30977"/>
    <w:rsid w:val="00C30A8F"/>
    <w:rsid w:val="00C31649"/>
    <w:rsid w:val="00C320B8"/>
    <w:rsid w:val="00C329BB"/>
    <w:rsid w:val="00C3434C"/>
    <w:rsid w:val="00C35154"/>
    <w:rsid w:val="00C351FB"/>
    <w:rsid w:val="00C35B62"/>
    <w:rsid w:val="00C369B8"/>
    <w:rsid w:val="00C40385"/>
    <w:rsid w:val="00C41506"/>
    <w:rsid w:val="00C41768"/>
    <w:rsid w:val="00C431BD"/>
    <w:rsid w:val="00C44072"/>
    <w:rsid w:val="00C44A91"/>
    <w:rsid w:val="00C475AA"/>
    <w:rsid w:val="00C511F7"/>
    <w:rsid w:val="00C51E46"/>
    <w:rsid w:val="00C524D4"/>
    <w:rsid w:val="00C52CC6"/>
    <w:rsid w:val="00C52E43"/>
    <w:rsid w:val="00C53113"/>
    <w:rsid w:val="00C53C98"/>
    <w:rsid w:val="00C5564D"/>
    <w:rsid w:val="00C56FCF"/>
    <w:rsid w:val="00C578C2"/>
    <w:rsid w:val="00C57B6C"/>
    <w:rsid w:val="00C6066B"/>
    <w:rsid w:val="00C61640"/>
    <w:rsid w:val="00C62649"/>
    <w:rsid w:val="00C628A6"/>
    <w:rsid w:val="00C64344"/>
    <w:rsid w:val="00C65108"/>
    <w:rsid w:val="00C65576"/>
    <w:rsid w:val="00C66165"/>
    <w:rsid w:val="00C6711C"/>
    <w:rsid w:val="00C702CC"/>
    <w:rsid w:val="00C7060A"/>
    <w:rsid w:val="00C7151A"/>
    <w:rsid w:val="00C717E3"/>
    <w:rsid w:val="00C71948"/>
    <w:rsid w:val="00C71F60"/>
    <w:rsid w:val="00C72241"/>
    <w:rsid w:val="00C72259"/>
    <w:rsid w:val="00C72AFC"/>
    <w:rsid w:val="00C73396"/>
    <w:rsid w:val="00C750C8"/>
    <w:rsid w:val="00C7560F"/>
    <w:rsid w:val="00C758E0"/>
    <w:rsid w:val="00C76415"/>
    <w:rsid w:val="00C77076"/>
    <w:rsid w:val="00C775F8"/>
    <w:rsid w:val="00C80A0E"/>
    <w:rsid w:val="00C8213F"/>
    <w:rsid w:val="00C83F50"/>
    <w:rsid w:val="00C84A4B"/>
    <w:rsid w:val="00C85154"/>
    <w:rsid w:val="00C85555"/>
    <w:rsid w:val="00C8797A"/>
    <w:rsid w:val="00C900B8"/>
    <w:rsid w:val="00C90C71"/>
    <w:rsid w:val="00C91FD1"/>
    <w:rsid w:val="00C931CF"/>
    <w:rsid w:val="00C938CF"/>
    <w:rsid w:val="00C94053"/>
    <w:rsid w:val="00C942C4"/>
    <w:rsid w:val="00C942C8"/>
    <w:rsid w:val="00C95FCE"/>
    <w:rsid w:val="00C9624D"/>
    <w:rsid w:val="00C96640"/>
    <w:rsid w:val="00C969DA"/>
    <w:rsid w:val="00CA03E9"/>
    <w:rsid w:val="00CA1457"/>
    <w:rsid w:val="00CA2C77"/>
    <w:rsid w:val="00CA34E3"/>
    <w:rsid w:val="00CA444F"/>
    <w:rsid w:val="00CA4E0B"/>
    <w:rsid w:val="00CA5245"/>
    <w:rsid w:val="00CA6367"/>
    <w:rsid w:val="00CA71F4"/>
    <w:rsid w:val="00CA7B09"/>
    <w:rsid w:val="00CB12A5"/>
    <w:rsid w:val="00CB1CAC"/>
    <w:rsid w:val="00CB2F2A"/>
    <w:rsid w:val="00CB5B1A"/>
    <w:rsid w:val="00CB6B22"/>
    <w:rsid w:val="00CB7421"/>
    <w:rsid w:val="00CB7F5B"/>
    <w:rsid w:val="00CB7F5F"/>
    <w:rsid w:val="00CC0A9D"/>
    <w:rsid w:val="00CC1B39"/>
    <w:rsid w:val="00CC1F22"/>
    <w:rsid w:val="00CC35EA"/>
    <w:rsid w:val="00CC3848"/>
    <w:rsid w:val="00CC3FE4"/>
    <w:rsid w:val="00CC4144"/>
    <w:rsid w:val="00CC6357"/>
    <w:rsid w:val="00CC6FA3"/>
    <w:rsid w:val="00CC7DA9"/>
    <w:rsid w:val="00CC7F5F"/>
    <w:rsid w:val="00CD04B5"/>
    <w:rsid w:val="00CD1AC5"/>
    <w:rsid w:val="00CD2ED2"/>
    <w:rsid w:val="00CD3F77"/>
    <w:rsid w:val="00CD4891"/>
    <w:rsid w:val="00CD5F9C"/>
    <w:rsid w:val="00CD6ADC"/>
    <w:rsid w:val="00CD7193"/>
    <w:rsid w:val="00CE10C6"/>
    <w:rsid w:val="00CE3070"/>
    <w:rsid w:val="00CE380C"/>
    <w:rsid w:val="00CE38C8"/>
    <w:rsid w:val="00CE3EDD"/>
    <w:rsid w:val="00CE6274"/>
    <w:rsid w:val="00CE6B9F"/>
    <w:rsid w:val="00CE76A5"/>
    <w:rsid w:val="00CE77B6"/>
    <w:rsid w:val="00CE7C27"/>
    <w:rsid w:val="00CE7E43"/>
    <w:rsid w:val="00CF22F7"/>
    <w:rsid w:val="00CF2B8D"/>
    <w:rsid w:val="00CF456B"/>
    <w:rsid w:val="00CF5A22"/>
    <w:rsid w:val="00D0138E"/>
    <w:rsid w:val="00D01433"/>
    <w:rsid w:val="00D0262E"/>
    <w:rsid w:val="00D03A8A"/>
    <w:rsid w:val="00D0488D"/>
    <w:rsid w:val="00D05E3D"/>
    <w:rsid w:val="00D06139"/>
    <w:rsid w:val="00D07CE8"/>
    <w:rsid w:val="00D110BD"/>
    <w:rsid w:val="00D1188C"/>
    <w:rsid w:val="00D13675"/>
    <w:rsid w:val="00D141E1"/>
    <w:rsid w:val="00D15314"/>
    <w:rsid w:val="00D15C85"/>
    <w:rsid w:val="00D17D6C"/>
    <w:rsid w:val="00D2155B"/>
    <w:rsid w:val="00D23D11"/>
    <w:rsid w:val="00D24402"/>
    <w:rsid w:val="00D244B6"/>
    <w:rsid w:val="00D24D30"/>
    <w:rsid w:val="00D25551"/>
    <w:rsid w:val="00D25B55"/>
    <w:rsid w:val="00D2754D"/>
    <w:rsid w:val="00D27B27"/>
    <w:rsid w:val="00D332BE"/>
    <w:rsid w:val="00D33A13"/>
    <w:rsid w:val="00D33BE9"/>
    <w:rsid w:val="00D33F93"/>
    <w:rsid w:val="00D352CE"/>
    <w:rsid w:val="00D357FF"/>
    <w:rsid w:val="00D36E20"/>
    <w:rsid w:val="00D37237"/>
    <w:rsid w:val="00D40549"/>
    <w:rsid w:val="00D40D00"/>
    <w:rsid w:val="00D4181B"/>
    <w:rsid w:val="00D424C7"/>
    <w:rsid w:val="00D43B2A"/>
    <w:rsid w:val="00D43D83"/>
    <w:rsid w:val="00D47500"/>
    <w:rsid w:val="00D47575"/>
    <w:rsid w:val="00D47A92"/>
    <w:rsid w:val="00D52263"/>
    <w:rsid w:val="00D5243B"/>
    <w:rsid w:val="00D533EC"/>
    <w:rsid w:val="00D56A95"/>
    <w:rsid w:val="00D63315"/>
    <w:rsid w:val="00D6475B"/>
    <w:rsid w:val="00D70F16"/>
    <w:rsid w:val="00D72F57"/>
    <w:rsid w:val="00D76A44"/>
    <w:rsid w:val="00D815EF"/>
    <w:rsid w:val="00D81F26"/>
    <w:rsid w:val="00D83F6C"/>
    <w:rsid w:val="00D84390"/>
    <w:rsid w:val="00D86231"/>
    <w:rsid w:val="00D91923"/>
    <w:rsid w:val="00D93753"/>
    <w:rsid w:val="00D94227"/>
    <w:rsid w:val="00D94CEB"/>
    <w:rsid w:val="00D97474"/>
    <w:rsid w:val="00DA10B8"/>
    <w:rsid w:val="00DA262E"/>
    <w:rsid w:val="00DA27DA"/>
    <w:rsid w:val="00DA3167"/>
    <w:rsid w:val="00DA3B29"/>
    <w:rsid w:val="00DA3C27"/>
    <w:rsid w:val="00DA3DBB"/>
    <w:rsid w:val="00DA4DC3"/>
    <w:rsid w:val="00DA77A5"/>
    <w:rsid w:val="00DA7D71"/>
    <w:rsid w:val="00DB0136"/>
    <w:rsid w:val="00DB0AE1"/>
    <w:rsid w:val="00DB1541"/>
    <w:rsid w:val="00DB3DBF"/>
    <w:rsid w:val="00DB484F"/>
    <w:rsid w:val="00DB490D"/>
    <w:rsid w:val="00DB5604"/>
    <w:rsid w:val="00DB57A5"/>
    <w:rsid w:val="00DB639E"/>
    <w:rsid w:val="00DB65DD"/>
    <w:rsid w:val="00DC010B"/>
    <w:rsid w:val="00DC04F6"/>
    <w:rsid w:val="00DC0690"/>
    <w:rsid w:val="00DC0CB4"/>
    <w:rsid w:val="00DC1D65"/>
    <w:rsid w:val="00DC2541"/>
    <w:rsid w:val="00DC257A"/>
    <w:rsid w:val="00DC3819"/>
    <w:rsid w:val="00DC39D4"/>
    <w:rsid w:val="00DC3C57"/>
    <w:rsid w:val="00DC3F52"/>
    <w:rsid w:val="00DC5501"/>
    <w:rsid w:val="00DC5DF8"/>
    <w:rsid w:val="00DC6DB1"/>
    <w:rsid w:val="00DC7154"/>
    <w:rsid w:val="00DC77C8"/>
    <w:rsid w:val="00DC7E8A"/>
    <w:rsid w:val="00DD0E3A"/>
    <w:rsid w:val="00DD0F78"/>
    <w:rsid w:val="00DD1BD3"/>
    <w:rsid w:val="00DD273C"/>
    <w:rsid w:val="00DD2B77"/>
    <w:rsid w:val="00DD3313"/>
    <w:rsid w:val="00DD3F28"/>
    <w:rsid w:val="00DD4537"/>
    <w:rsid w:val="00DD4E15"/>
    <w:rsid w:val="00DD5F60"/>
    <w:rsid w:val="00DD60B9"/>
    <w:rsid w:val="00DD6F77"/>
    <w:rsid w:val="00DD6FCC"/>
    <w:rsid w:val="00DD7816"/>
    <w:rsid w:val="00DD7E45"/>
    <w:rsid w:val="00DE07EE"/>
    <w:rsid w:val="00DE0F08"/>
    <w:rsid w:val="00DE110E"/>
    <w:rsid w:val="00DE2304"/>
    <w:rsid w:val="00DE2634"/>
    <w:rsid w:val="00DE3138"/>
    <w:rsid w:val="00DE37F8"/>
    <w:rsid w:val="00DE4FCB"/>
    <w:rsid w:val="00DE50CF"/>
    <w:rsid w:val="00DE5D07"/>
    <w:rsid w:val="00DE62A4"/>
    <w:rsid w:val="00DE6DA1"/>
    <w:rsid w:val="00DE6DC0"/>
    <w:rsid w:val="00DE72A7"/>
    <w:rsid w:val="00DE7468"/>
    <w:rsid w:val="00DE7832"/>
    <w:rsid w:val="00DE796E"/>
    <w:rsid w:val="00DF18FC"/>
    <w:rsid w:val="00DF3EF3"/>
    <w:rsid w:val="00DF5D2B"/>
    <w:rsid w:val="00E00E8E"/>
    <w:rsid w:val="00E0291D"/>
    <w:rsid w:val="00E04C1C"/>
    <w:rsid w:val="00E05630"/>
    <w:rsid w:val="00E06DBB"/>
    <w:rsid w:val="00E10149"/>
    <w:rsid w:val="00E10B9A"/>
    <w:rsid w:val="00E11340"/>
    <w:rsid w:val="00E122A1"/>
    <w:rsid w:val="00E13517"/>
    <w:rsid w:val="00E16372"/>
    <w:rsid w:val="00E1687F"/>
    <w:rsid w:val="00E20E4D"/>
    <w:rsid w:val="00E20ED6"/>
    <w:rsid w:val="00E20F5F"/>
    <w:rsid w:val="00E21358"/>
    <w:rsid w:val="00E21B6F"/>
    <w:rsid w:val="00E2249B"/>
    <w:rsid w:val="00E22A0D"/>
    <w:rsid w:val="00E23A41"/>
    <w:rsid w:val="00E23FF6"/>
    <w:rsid w:val="00E2405C"/>
    <w:rsid w:val="00E240A5"/>
    <w:rsid w:val="00E244F6"/>
    <w:rsid w:val="00E2771E"/>
    <w:rsid w:val="00E311A5"/>
    <w:rsid w:val="00E311EF"/>
    <w:rsid w:val="00E32180"/>
    <w:rsid w:val="00E3260E"/>
    <w:rsid w:val="00E3413F"/>
    <w:rsid w:val="00E341C8"/>
    <w:rsid w:val="00E34948"/>
    <w:rsid w:val="00E35134"/>
    <w:rsid w:val="00E364A2"/>
    <w:rsid w:val="00E372C9"/>
    <w:rsid w:val="00E37569"/>
    <w:rsid w:val="00E401B2"/>
    <w:rsid w:val="00E4058F"/>
    <w:rsid w:val="00E40CFC"/>
    <w:rsid w:val="00E41D76"/>
    <w:rsid w:val="00E41E30"/>
    <w:rsid w:val="00E42192"/>
    <w:rsid w:val="00E42F73"/>
    <w:rsid w:val="00E43D70"/>
    <w:rsid w:val="00E454AE"/>
    <w:rsid w:val="00E466F3"/>
    <w:rsid w:val="00E47B2C"/>
    <w:rsid w:val="00E5046B"/>
    <w:rsid w:val="00E50CD1"/>
    <w:rsid w:val="00E51560"/>
    <w:rsid w:val="00E52CEF"/>
    <w:rsid w:val="00E53FC8"/>
    <w:rsid w:val="00E5411E"/>
    <w:rsid w:val="00E54347"/>
    <w:rsid w:val="00E55424"/>
    <w:rsid w:val="00E55915"/>
    <w:rsid w:val="00E55BB5"/>
    <w:rsid w:val="00E571AD"/>
    <w:rsid w:val="00E57B4B"/>
    <w:rsid w:val="00E57BD8"/>
    <w:rsid w:val="00E6084F"/>
    <w:rsid w:val="00E613E3"/>
    <w:rsid w:val="00E62CC7"/>
    <w:rsid w:val="00E63673"/>
    <w:rsid w:val="00E63FF2"/>
    <w:rsid w:val="00E65D82"/>
    <w:rsid w:val="00E65E79"/>
    <w:rsid w:val="00E66BA2"/>
    <w:rsid w:val="00E67416"/>
    <w:rsid w:val="00E67550"/>
    <w:rsid w:val="00E676B2"/>
    <w:rsid w:val="00E718B6"/>
    <w:rsid w:val="00E723BA"/>
    <w:rsid w:val="00E7249E"/>
    <w:rsid w:val="00E73581"/>
    <w:rsid w:val="00E73B99"/>
    <w:rsid w:val="00E80B8A"/>
    <w:rsid w:val="00E80FF2"/>
    <w:rsid w:val="00E81515"/>
    <w:rsid w:val="00E81E42"/>
    <w:rsid w:val="00E833F7"/>
    <w:rsid w:val="00E83676"/>
    <w:rsid w:val="00E83BDF"/>
    <w:rsid w:val="00E8670A"/>
    <w:rsid w:val="00E87A1D"/>
    <w:rsid w:val="00E9094A"/>
    <w:rsid w:val="00E915A6"/>
    <w:rsid w:val="00E91D35"/>
    <w:rsid w:val="00E926A5"/>
    <w:rsid w:val="00E94639"/>
    <w:rsid w:val="00E9471F"/>
    <w:rsid w:val="00E97BF5"/>
    <w:rsid w:val="00E97FBE"/>
    <w:rsid w:val="00EA1375"/>
    <w:rsid w:val="00EA17C3"/>
    <w:rsid w:val="00EA2616"/>
    <w:rsid w:val="00EA2CAA"/>
    <w:rsid w:val="00EA2E8F"/>
    <w:rsid w:val="00EA3041"/>
    <w:rsid w:val="00EA3864"/>
    <w:rsid w:val="00EA6C35"/>
    <w:rsid w:val="00EA7F1C"/>
    <w:rsid w:val="00EB15B6"/>
    <w:rsid w:val="00EB1E8D"/>
    <w:rsid w:val="00EB233F"/>
    <w:rsid w:val="00EB3046"/>
    <w:rsid w:val="00EB3D06"/>
    <w:rsid w:val="00EB435E"/>
    <w:rsid w:val="00EB4916"/>
    <w:rsid w:val="00EB6635"/>
    <w:rsid w:val="00EC00C9"/>
    <w:rsid w:val="00EC0DD9"/>
    <w:rsid w:val="00EC14C6"/>
    <w:rsid w:val="00EC2649"/>
    <w:rsid w:val="00EC31ED"/>
    <w:rsid w:val="00EC3E0D"/>
    <w:rsid w:val="00EC4770"/>
    <w:rsid w:val="00EC47BC"/>
    <w:rsid w:val="00EC52C9"/>
    <w:rsid w:val="00EC5836"/>
    <w:rsid w:val="00EC5D06"/>
    <w:rsid w:val="00EC632F"/>
    <w:rsid w:val="00EC688C"/>
    <w:rsid w:val="00EC7906"/>
    <w:rsid w:val="00EC7D7D"/>
    <w:rsid w:val="00ED0717"/>
    <w:rsid w:val="00ED33E6"/>
    <w:rsid w:val="00ED445A"/>
    <w:rsid w:val="00ED57EA"/>
    <w:rsid w:val="00ED5BD4"/>
    <w:rsid w:val="00EE07D3"/>
    <w:rsid w:val="00EE17C4"/>
    <w:rsid w:val="00EE1996"/>
    <w:rsid w:val="00EE1C01"/>
    <w:rsid w:val="00EE22AF"/>
    <w:rsid w:val="00EE26B3"/>
    <w:rsid w:val="00EE3987"/>
    <w:rsid w:val="00EF0171"/>
    <w:rsid w:val="00EF1B25"/>
    <w:rsid w:val="00EF1DA0"/>
    <w:rsid w:val="00EF4747"/>
    <w:rsid w:val="00EF4A93"/>
    <w:rsid w:val="00EF4BF8"/>
    <w:rsid w:val="00EF56C4"/>
    <w:rsid w:val="00F02253"/>
    <w:rsid w:val="00F03C2E"/>
    <w:rsid w:val="00F04A66"/>
    <w:rsid w:val="00F04B4B"/>
    <w:rsid w:val="00F04C3E"/>
    <w:rsid w:val="00F04F3C"/>
    <w:rsid w:val="00F0516C"/>
    <w:rsid w:val="00F05729"/>
    <w:rsid w:val="00F05BBE"/>
    <w:rsid w:val="00F06275"/>
    <w:rsid w:val="00F067A2"/>
    <w:rsid w:val="00F07732"/>
    <w:rsid w:val="00F07B9E"/>
    <w:rsid w:val="00F1116F"/>
    <w:rsid w:val="00F1263A"/>
    <w:rsid w:val="00F150E6"/>
    <w:rsid w:val="00F15B77"/>
    <w:rsid w:val="00F166AF"/>
    <w:rsid w:val="00F17A78"/>
    <w:rsid w:val="00F20AEA"/>
    <w:rsid w:val="00F20D50"/>
    <w:rsid w:val="00F220A5"/>
    <w:rsid w:val="00F23CC4"/>
    <w:rsid w:val="00F2418F"/>
    <w:rsid w:val="00F24837"/>
    <w:rsid w:val="00F25010"/>
    <w:rsid w:val="00F2575F"/>
    <w:rsid w:val="00F274D7"/>
    <w:rsid w:val="00F27565"/>
    <w:rsid w:val="00F30A32"/>
    <w:rsid w:val="00F310D4"/>
    <w:rsid w:val="00F31D5A"/>
    <w:rsid w:val="00F32442"/>
    <w:rsid w:val="00F33975"/>
    <w:rsid w:val="00F33DE9"/>
    <w:rsid w:val="00F33E05"/>
    <w:rsid w:val="00F35E6D"/>
    <w:rsid w:val="00F3619A"/>
    <w:rsid w:val="00F40AAA"/>
    <w:rsid w:val="00F40BA7"/>
    <w:rsid w:val="00F40F9D"/>
    <w:rsid w:val="00F41ACD"/>
    <w:rsid w:val="00F46CB6"/>
    <w:rsid w:val="00F4756D"/>
    <w:rsid w:val="00F47DE8"/>
    <w:rsid w:val="00F47EDC"/>
    <w:rsid w:val="00F524A9"/>
    <w:rsid w:val="00F541F2"/>
    <w:rsid w:val="00F542C1"/>
    <w:rsid w:val="00F55E73"/>
    <w:rsid w:val="00F55EDA"/>
    <w:rsid w:val="00F56C80"/>
    <w:rsid w:val="00F56CE0"/>
    <w:rsid w:val="00F578A6"/>
    <w:rsid w:val="00F60092"/>
    <w:rsid w:val="00F601EC"/>
    <w:rsid w:val="00F60FC3"/>
    <w:rsid w:val="00F61BFA"/>
    <w:rsid w:val="00F61C18"/>
    <w:rsid w:val="00F64E9C"/>
    <w:rsid w:val="00F657D6"/>
    <w:rsid w:val="00F659A8"/>
    <w:rsid w:val="00F65F4B"/>
    <w:rsid w:val="00F6743F"/>
    <w:rsid w:val="00F67A69"/>
    <w:rsid w:val="00F704F2"/>
    <w:rsid w:val="00F70BFF"/>
    <w:rsid w:val="00F70C9D"/>
    <w:rsid w:val="00F74CD9"/>
    <w:rsid w:val="00F77CCA"/>
    <w:rsid w:val="00F77D9E"/>
    <w:rsid w:val="00F80A7B"/>
    <w:rsid w:val="00F80E5D"/>
    <w:rsid w:val="00F81E78"/>
    <w:rsid w:val="00F84558"/>
    <w:rsid w:val="00F851CE"/>
    <w:rsid w:val="00F86B85"/>
    <w:rsid w:val="00F87810"/>
    <w:rsid w:val="00F87CB9"/>
    <w:rsid w:val="00F91219"/>
    <w:rsid w:val="00F913BF"/>
    <w:rsid w:val="00F92444"/>
    <w:rsid w:val="00F9250F"/>
    <w:rsid w:val="00F9393E"/>
    <w:rsid w:val="00F96266"/>
    <w:rsid w:val="00F9662B"/>
    <w:rsid w:val="00F96E37"/>
    <w:rsid w:val="00F96FD0"/>
    <w:rsid w:val="00F974E5"/>
    <w:rsid w:val="00F97A78"/>
    <w:rsid w:val="00FA0B20"/>
    <w:rsid w:val="00FA196A"/>
    <w:rsid w:val="00FA24E7"/>
    <w:rsid w:val="00FA3CE5"/>
    <w:rsid w:val="00FA4AAB"/>
    <w:rsid w:val="00FA4FB6"/>
    <w:rsid w:val="00FA5EE6"/>
    <w:rsid w:val="00FA7956"/>
    <w:rsid w:val="00FB12F2"/>
    <w:rsid w:val="00FB188E"/>
    <w:rsid w:val="00FB2497"/>
    <w:rsid w:val="00FB2FCB"/>
    <w:rsid w:val="00FB4522"/>
    <w:rsid w:val="00FB68EE"/>
    <w:rsid w:val="00FB7C55"/>
    <w:rsid w:val="00FC1074"/>
    <w:rsid w:val="00FC1884"/>
    <w:rsid w:val="00FC32D8"/>
    <w:rsid w:val="00FC371D"/>
    <w:rsid w:val="00FC3916"/>
    <w:rsid w:val="00FC39F4"/>
    <w:rsid w:val="00FC4141"/>
    <w:rsid w:val="00FC56A1"/>
    <w:rsid w:val="00FC5F0B"/>
    <w:rsid w:val="00FD0534"/>
    <w:rsid w:val="00FD1EEF"/>
    <w:rsid w:val="00FD2100"/>
    <w:rsid w:val="00FD436C"/>
    <w:rsid w:val="00FD446D"/>
    <w:rsid w:val="00FD4F2C"/>
    <w:rsid w:val="00FD6394"/>
    <w:rsid w:val="00FD6E24"/>
    <w:rsid w:val="00FD7B58"/>
    <w:rsid w:val="00FE0E6C"/>
    <w:rsid w:val="00FE1CDC"/>
    <w:rsid w:val="00FE2B3C"/>
    <w:rsid w:val="00FE2CBF"/>
    <w:rsid w:val="00FE3CB9"/>
    <w:rsid w:val="00FE3F3C"/>
    <w:rsid w:val="00FE415E"/>
    <w:rsid w:val="00FE421C"/>
    <w:rsid w:val="00FE4D63"/>
    <w:rsid w:val="00FE65C5"/>
    <w:rsid w:val="00FE70C3"/>
    <w:rsid w:val="00FF2AD9"/>
    <w:rsid w:val="00FF359F"/>
    <w:rsid w:val="00FF3DCF"/>
    <w:rsid w:val="00FF492C"/>
    <w:rsid w:val="00FF4A21"/>
    <w:rsid w:val="00FF54CF"/>
    <w:rsid w:val="00FF5AA3"/>
    <w:rsid w:val="00FF5AD8"/>
    <w:rsid w:val="00FF5DCF"/>
    <w:rsid w:val="00FF64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3D8"/>
    <w:pPr>
      <w:jc w:val="both"/>
    </w:pPr>
    <w:rPr>
      <w:rFonts w:ascii="Calibri" w:hAnsi="Calibri" w:cs="Arial"/>
      <w:sz w:val="24"/>
      <w:szCs w:val="24"/>
    </w:rPr>
  </w:style>
  <w:style w:type="paragraph" w:styleId="Heading1">
    <w:name w:val="heading 1"/>
    <w:basedOn w:val="Normal"/>
    <w:next w:val="Normal"/>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aliases w:val="3.7.1"/>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uiPriority w:val="9"/>
    <w:rsid w:val="00124A51"/>
    <w:pPr>
      <w:spacing w:before="240" w:after="60"/>
      <w:outlineLvl w:val="4"/>
    </w:pPr>
    <w:rPr>
      <w:b/>
      <w:bCs/>
      <w:iCs/>
      <w:sz w:val="26"/>
      <w:szCs w:val="26"/>
    </w:rPr>
  </w:style>
  <w:style w:type="paragraph" w:styleId="Heading6">
    <w:name w:val="heading 6"/>
    <w:basedOn w:val="Normal"/>
    <w:next w:val="Normal"/>
    <w:uiPriority w:val="9"/>
    <w:rsid w:val="00124A51"/>
    <w:pPr>
      <w:spacing w:before="240" w:after="60"/>
      <w:outlineLvl w:val="5"/>
    </w:pPr>
    <w:rPr>
      <w:b/>
      <w:bCs/>
      <w:i/>
    </w:rPr>
  </w:style>
  <w:style w:type="paragraph" w:styleId="Heading7">
    <w:name w:val="heading 7"/>
    <w:basedOn w:val="Normal"/>
    <w:next w:val="Normal"/>
    <w:link w:val="Heading7Char"/>
    <w:uiPriority w:val="9"/>
    <w:rsid w:val="00124A51"/>
    <w:pPr>
      <w:keepNext/>
      <w:jc w:val="center"/>
      <w:outlineLvl w:val="6"/>
    </w:pPr>
    <w:rPr>
      <w:b/>
      <w:sz w:val="20"/>
    </w:rPr>
  </w:style>
  <w:style w:type="paragraph" w:styleId="Heading8">
    <w:name w:val="heading 8"/>
    <w:basedOn w:val="Normal"/>
    <w:next w:val="Normal"/>
    <w:link w:val="Heading8Char"/>
    <w:uiPriority w:val="9"/>
    <w:rsid w:val="00124A51"/>
    <w:pPr>
      <w:keepNext/>
      <w:jc w:val="right"/>
      <w:outlineLvl w:val="7"/>
    </w:pPr>
    <w:rPr>
      <w:b/>
    </w:rPr>
  </w:style>
  <w:style w:type="paragraph" w:styleId="Heading9">
    <w:name w:val="heading 9"/>
    <w:basedOn w:val="Normal"/>
    <w:next w:val="Normal"/>
    <w:link w:val="Heading9Char"/>
    <w:uiPriority w:val="9"/>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
    <w:basedOn w:val="Normal"/>
    <w:next w:val="Normal"/>
    <w:link w:val="CaptionChar"/>
    <w:uiPriority w:val="99"/>
    <w:unhideWhenUsed/>
    <w:rsid w:val="00124A51"/>
    <w:pPr>
      <w:spacing w:after="200"/>
    </w:pPr>
    <w:rPr>
      <w:b/>
      <w:bCs/>
      <w:color w:val="4F81BD" w:themeColor="accent1"/>
      <w:sz w:val="18"/>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34"/>
    <w:qFormat/>
    <w:rsid w:val="008007D9"/>
    <w:pPr>
      <w:numPr>
        <w:numId w:val="3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8007D9"/>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2663D8"/>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2663D8"/>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AC5BA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33F85"/>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2663D8"/>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2663D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2663D8"/>
    <w:pPr>
      <w:keepNext/>
    </w:pPr>
    <w:rPr>
      <w:rFonts w:ascii="Arial Narrow" w:eastAsiaTheme="majorEastAsia" w:hAnsi="Arial Narrow"/>
      <w:b/>
      <w:szCs w:val="24"/>
      <w:lang w:val="en-US"/>
    </w:rPr>
  </w:style>
  <w:style w:type="paragraph" w:customStyle="1" w:styleId="2-SectionHeading">
    <w:name w:val="2-Section Heading"/>
    <w:qFormat/>
    <w:rsid w:val="002663D8"/>
    <w:pPr>
      <w:keepNext/>
      <w:numPr>
        <w:numId w:val="4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2663D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2663D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2663D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2663D8"/>
    <w:rPr>
      <w:rFonts w:ascii="Arial Narrow" w:eastAsiaTheme="majorEastAsia" w:hAnsi="Arial Narrow" w:cstheme="majorBidi"/>
      <w:b/>
      <w:bCs/>
      <w:szCs w:val="24"/>
    </w:rPr>
  </w:style>
  <w:style w:type="paragraph" w:customStyle="1" w:styleId="3-BodyText">
    <w:name w:val="3-Body Text"/>
    <w:link w:val="3-BodyTextChar"/>
    <w:qFormat/>
    <w:rsid w:val="002663D8"/>
    <w:pPr>
      <w:numPr>
        <w:ilvl w:val="1"/>
        <w:numId w:val="40"/>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2663D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2663D8"/>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2663D8"/>
    <w:rPr>
      <w:rFonts w:ascii="Calibri" w:hAnsi="Calibri" w:cs="Arial"/>
      <w:b/>
      <w:sz w:val="24"/>
      <w:szCs w:val="24"/>
    </w:rPr>
  </w:style>
  <w:style w:type="paragraph" w:customStyle="1" w:styleId="TableFigureFooter">
    <w:name w:val="Table/Figure Footer"/>
    <w:basedOn w:val="Normal"/>
    <w:link w:val="TableFigureFooterChar"/>
    <w:qFormat/>
    <w:rsid w:val="002663D8"/>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2663D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2663D8"/>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2663D8"/>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2663D8"/>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2663D8"/>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2663D8"/>
    <w:rPr>
      <w:rFonts w:ascii="Arial Narrow" w:eastAsiaTheme="majorEastAsia" w:hAnsi="Arial Narrow" w:cstheme="majorBidi"/>
      <w:bCs/>
      <w:szCs w:val="24"/>
    </w:rPr>
  </w:style>
  <w:style w:type="table" w:customStyle="1" w:styleId="Summarybox5">
    <w:name w:val="Summary box5"/>
    <w:basedOn w:val="TableNormal"/>
    <w:next w:val="TableGrid"/>
    <w:uiPriority w:val="59"/>
    <w:rsid w:val="00BC2F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4C18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59"/>
    <w:rsid w:val="00AC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59"/>
    <w:rsid w:val="00801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59"/>
    <w:rsid w:val="00801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
    <w:name w:val="Table Gridbeth5"/>
    <w:basedOn w:val="TableNormal"/>
    <w:next w:val="TableGrid"/>
    <w:uiPriority w:val="59"/>
    <w:rsid w:val="00F7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6">
    <w:name w:val="Table Gridbeth6"/>
    <w:basedOn w:val="TableNormal"/>
    <w:next w:val="TableGrid"/>
    <w:uiPriority w:val="59"/>
    <w:rsid w:val="00F7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7">
    <w:name w:val="Table Gridbeth7"/>
    <w:basedOn w:val="TableNormal"/>
    <w:next w:val="TableGrid"/>
    <w:uiPriority w:val="59"/>
    <w:rsid w:val="00F04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8">
    <w:name w:val="Table Gridbeth8"/>
    <w:basedOn w:val="TableNormal"/>
    <w:next w:val="TableGrid"/>
    <w:uiPriority w:val="59"/>
    <w:rsid w:val="00D63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0">
    <w:name w:val="Table Gridbeth10"/>
    <w:basedOn w:val="TableNormal"/>
    <w:next w:val="TableGrid"/>
    <w:uiPriority w:val="59"/>
    <w:rsid w:val="00A1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3">
    <w:name w:val="Table Gridbeth13"/>
    <w:basedOn w:val="TableNormal"/>
    <w:next w:val="TableGrid"/>
    <w:uiPriority w:val="59"/>
    <w:rsid w:val="00A1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
    <w:name w:val="Summary box11"/>
    <w:basedOn w:val="TableNormal"/>
    <w:next w:val="TableGrid"/>
    <w:uiPriority w:val="59"/>
    <w:rsid w:val="003944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4">
    <w:name w:val="Table Gridbeth14"/>
    <w:basedOn w:val="TableNormal"/>
    <w:next w:val="TableGrid"/>
    <w:uiPriority w:val="59"/>
    <w:rsid w:val="0039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B21CF"/>
    <w:rPr>
      <w:sz w:val="20"/>
      <w:szCs w:val="20"/>
    </w:rPr>
  </w:style>
  <w:style w:type="character" w:customStyle="1" w:styleId="FootnoteTextChar">
    <w:name w:val="Footnote Text Char"/>
    <w:basedOn w:val="DefaultParagraphFont"/>
    <w:link w:val="FootnoteText"/>
    <w:semiHidden/>
    <w:rsid w:val="008B21CF"/>
    <w:rPr>
      <w:rFonts w:ascii="Calibri" w:hAnsi="Calibri" w:cs="Arial"/>
    </w:rPr>
  </w:style>
  <w:style w:type="character" w:styleId="FootnoteReference">
    <w:name w:val="footnote reference"/>
    <w:basedOn w:val="DefaultParagraphFont"/>
    <w:semiHidden/>
    <w:unhideWhenUsed/>
    <w:rsid w:val="008B21CF"/>
    <w:rPr>
      <w:vertAlign w:val="superscript"/>
    </w:rPr>
  </w:style>
  <w:style w:type="paragraph" w:customStyle="1" w:styleId="KMC16-Tablecontent">
    <w:name w:val="KMC16 - Table content"/>
    <w:basedOn w:val="Normal"/>
    <w:link w:val="KMC16-TablecontentChar"/>
    <w:rsid w:val="000D7B88"/>
    <w:pPr>
      <w:spacing w:before="40" w:after="40"/>
      <w:jc w:val="left"/>
    </w:pPr>
    <w:rPr>
      <w:rFonts w:ascii="Arial Narrow" w:hAnsi="Arial Narrow"/>
      <w:color w:val="000000"/>
      <w:sz w:val="20"/>
      <w:szCs w:val="22"/>
      <w:lang w:val="en-GB" w:eastAsia="en-US"/>
    </w:rPr>
  </w:style>
  <w:style w:type="character" w:customStyle="1" w:styleId="KMC16-TablecontentChar">
    <w:name w:val="KMC16 - Table content Char"/>
    <w:basedOn w:val="DefaultParagraphFont"/>
    <w:link w:val="KMC16-Tablecontent"/>
    <w:rsid w:val="000D7B88"/>
    <w:rPr>
      <w:rFonts w:ascii="Arial Narrow" w:eastAsia="SimSun" w:hAnsi="Arial Narrow" w:cs="Arial"/>
      <w:color w:val="000000"/>
      <w:szCs w:val="22"/>
      <w:lang w:val="en-GB" w:eastAsia="en-US"/>
    </w:rPr>
  </w:style>
  <w:style w:type="paragraph" w:customStyle="1" w:styleId="KMC16-TableHeading">
    <w:name w:val="KMC16 - Table Heading"/>
    <w:basedOn w:val="Normal"/>
    <w:rsid w:val="000D7B88"/>
    <w:pPr>
      <w:spacing w:before="40" w:after="40"/>
      <w:jc w:val="center"/>
    </w:pPr>
    <w:rPr>
      <w:rFonts w:ascii="Arial Narrow" w:hAnsi="Arial Narrow"/>
      <w:b/>
      <w:color w:val="000000"/>
      <w:sz w:val="20"/>
      <w:szCs w:val="22"/>
      <w:lang w:eastAsia="en-US"/>
    </w:rPr>
  </w:style>
  <w:style w:type="paragraph" w:customStyle="1" w:styleId="KMC16ES-tabletext">
    <w:name w:val="KMC16 ES - table text"/>
    <w:basedOn w:val="Normal"/>
    <w:rsid w:val="000D7B88"/>
    <w:pPr>
      <w:keepNext/>
      <w:spacing w:after="40"/>
      <w:jc w:val="left"/>
    </w:pPr>
    <w:rPr>
      <w:rFonts w:ascii="Arial Narrow" w:eastAsia="Batang" w:hAnsi="Arial Narrow" w:cstheme="minorBidi"/>
      <w:color w:val="000000" w:themeColor="text1"/>
      <w:sz w:val="20"/>
      <w:szCs w:val="20"/>
      <w:lang w:eastAsia="en-US"/>
    </w:rPr>
  </w:style>
  <w:style w:type="paragraph" w:customStyle="1" w:styleId="Default">
    <w:name w:val="Default"/>
    <w:link w:val="DefaultChar"/>
    <w:rsid w:val="00BA2418"/>
    <w:pPr>
      <w:autoSpaceDE w:val="0"/>
      <w:autoSpaceDN w:val="0"/>
      <w:adjustRightInd w:val="0"/>
    </w:pPr>
    <w:rPr>
      <w:rFonts w:ascii="Calibri" w:eastAsia="Batang" w:hAnsi="Calibri" w:cs="Calibri"/>
      <w:color w:val="000000"/>
      <w:sz w:val="24"/>
      <w:szCs w:val="24"/>
      <w:lang w:val="en-GB" w:eastAsia="en-US"/>
    </w:rPr>
  </w:style>
  <w:style w:type="character" w:customStyle="1" w:styleId="DefaultChar">
    <w:name w:val="Default Char"/>
    <w:basedOn w:val="DefaultParagraphFont"/>
    <w:link w:val="Default"/>
    <w:rsid w:val="00BA2418"/>
    <w:rPr>
      <w:rFonts w:ascii="Calibri" w:eastAsia="Batang" w:hAnsi="Calibri" w:cs="Calibri"/>
      <w:color w:val="000000"/>
      <w:sz w:val="24"/>
      <w:szCs w:val="24"/>
      <w:lang w:val="en-GB" w:eastAsia="en-US"/>
    </w:rPr>
  </w:style>
  <w:style w:type="character" w:customStyle="1" w:styleId="Small">
    <w:name w:val="Small"/>
    <w:uiPriority w:val="4"/>
    <w:rsid w:val="00120819"/>
    <w:rPr>
      <w:bCs/>
      <w:iCs/>
      <w:color w:val="000000" w:themeColor="text1"/>
      <w:sz w:val="24"/>
      <w:lang w:eastAsia="en-US"/>
    </w:rPr>
  </w:style>
  <w:style w:type="paragraph" w:customStyle="1" w:styleId="KMC16-BulletLists">
    <w:name w:val="KMC16 - Bullet Lists"/>
    <w:basedOn w:val="Normal"/>
    <w:link w:val="KMC16-BulletListsChar"/>
    <w:rsid w:val="00280631"/>
    <w:pPr>
      <w:numPr>
        <w:numId w:val="9"/>
      </w:numPr>
      <w:spacing w:before="120" w:after="240" w:line="360" w:lineRule="auto"/>
      <w:contextualSpacing/>
      <w:jc w:val="left"/>
    </w:pPr>
    <w:rPr>
      <w:rFonts w:ascii="Arial" w:eastAsia="Batang" w:hAnsi="Arial" w:cstheme="minorBidi"/>
      <w:sz w:val="22"/>
      <w:szCs w:val="22"/>
      <w:lang w:eastAsia="en-US"/>
    </w:rPr>
  </w:style>
  <w:style w:type="character" w:customStyle="1" w:styleId="KMC16-BulletListsChar">
    <w:name w:val="KMC16 - Bullet Lists Char"/>
    <w:basedOn w:val="DefaultParagraphFont"/>
    <w:link w:val="KMC16-BulletLists"/>
    <w:rsid w:val="00280631"/>
    <w:rPr>
      <w:rFonts w:ascii="Arial" w:eastAsia="Batang" w:hAnsi="Arial" w:cstheme="minorBidi"/>
      <w:sz w:val="22"/>
      <w:szCs w:val="22"/>
      <w:lang w:eastAsia="en-US"/>
    </w:rPr>
  </w:style>
  <w:style w:type="table" w:customStyle="1" w:styleId="ASDTable2">
    <w:name w:val="ASD Table2"/>
    <w:basedOn w:val="TableNormal"/>
    <w:next w:val="TableGrid"/>
    <w:uiPriority w:val="39"/>
    <w:rsid w:val="005E04F3"/>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
    <w:name w:val="ASD Table1"/>
    <w:basedOn w:val="TableNormal"/>
    <w:next w:val="TableGrid"/>
    <w:uiPriority w:val="39"/>
    <w:rsid w:val="00A20BA0"/>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C16-TFNotes">
    <w:name w:val="KMC16 - TF Notes"/>
    <w:basedOn w:val="Normal"/>
    <w:rsid w:val="00A20BA0"/>
    <w:pPr>
      <w:spacing w:before="45" w:after="240"/>
      <w:contextualSpacing/>
    </w:pPr>
    <w:rPr>
      <w:rFonts w:eastAsia="Batang" w:cstheme="minorBidi"/>
      <w:color w:val="000000" w:themeColor="text1"/>
      <w:sz w:val="16"/>
      <w:szCs w:val="22"/>
      <w:lang w:eastAsia="en-US"/>
    </w:rPr>
  </w:style>
  <w:style w:type="character" w:customStyle="1" w:styleId="UnresolvedMention1">
    <w:name w:val="Unresolved Mention1"/>
    <w:basedOn w:val="DefaultParagraphFont"/>
    <w:uiPriority w:val="99"/>
    <w:semiHidden/>
    <w:unhideWhenUsed/>
    <w:rsid w:val="002D30AF"/>
    <w:rPr>
      <w:color w:val="605E5C"/>
      <w:shd w:val="clear" w:color="auto" w:fill="E1DFDD"/>
    </w:rPr>
  </w:style>
  <w:style w:type="character" w:styleId="Mention">
    <w:name w:val="Mention"/>
    <w:basedOn w:val="DefaultParagraphFont"/>
    <w:uiPriority w:val="99"/>
    <w:unhideWhenUsed/>
    <w:rsid w:val="006206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89">
      <w:bodyDiv w:val="1"/>
      <w:marLeft w:val="0"/>
      <w:marRight w:val="0"/>
      <w:marTop w:val="0"/>
      <w:marBottom w:val="0"/>
      <w:divBdr>
        <w:top w:val="none" w:sz="0" w:space="0" w:color="auto"/>
        <w:left w:val="none" w:sz="0" w:space="0" w:color="auto"/>
        <w:bottom w:val="none" w:sz="0" w:space="0" w:color="auto"/>
        <w:right w:val="none" w:sz="0" w:space="0" w:color="auto"/>
      </w:divBdr>
    </w:div>
    <w:div w:id="4811100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5265031">
      <w:bodyDiv w:val="1"/>
      <w:marLeft w:val="0"/>
      <w:marRight w:val="0"/>
      <w:marTop w:val="0"/>
      <w:marBottom w:val="0"/>
      <w:divBdr>
        <w:top w:val="none" w:sz="0" w:space="0" w:color="auto"/>
        <w:left w:val="none" w:sz="0" w:space="0" w:color="auto"/>
        <w:bottom w:val="none" w:sz="0" w:space="0" w:color="auto"/>
        <w:right w:val="none" w:sz="0" w:space="0" w:color="auto"/>
      </w:divBdr>
    </w:div>
    <w:div w:id="226381393">
      <w:bodyDiv w:val="1"/>
      <w:marLeft w:val="0"/>
      <w:marRight w:val="0"/>
      <w:marTop w:val="0"/>
      <w:marBottom w:val="0"/>
      <w:divBdr>
        <w:top w:val="none" w:sz="0" w:space="0" w:color="auto"/>
        <w:left w:val="none" w:sz="0" w:space="0" w:color="auto"/>
        <w:bottom w:val="none" w:sz="0" w:space="0" w:color="auto"/>
        <w:right w:val="none" w:sz="0" w:space="0" w:color="auto"/>
      </w:divBdr>
    </w:div>
    <w:div w:id="27729646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7317073">
      <w:bodyDiv w:val="1"/>
      <w:marLeft w:val="0"/>
      <w:marRight w:val="0"/>
      <w:marTop w:val="0"/>
      <w:marBottom w:val="0"/>
      <w:divBdr>
        <w:top w:val="none" w:sz="0" w:space="0" w:color="auto"/>
        <w:left w:val="none" w:sz="0" w:space="0" w:color="auto"/>
        <w:bottom w:val="none" w:sz="0" w:space="0" w:color="auto"/>
        <w:right w:val="none" w:sz="0" w:space="0" w:color="auto"/>
      </w:divBdr>
    </w:div>
    <w:div w:id="417408769">
      <w:bodyDiv w:val="1"/>
      <w:marLeft w:val="0"/>
      <w:marRight w:val="0"/>
      <w:marTop w:val="0"/>
      <w:marBottom w:val="0"/>
      <w:divBdr>
        <w:top w:val="none" w:sz="0" w:space="0" w:color="auto"/>
        <w:left w:val="none" w:sz="0" w:space="0" w:color="auto"/>
        <w:bottom w:val="none" w:sz="0" w:space="0" w:color="auto"/>
        <w:right w:val="none" w:sz="0" w:space="0" w:color="auto"/>
      </w:divBdr>
    </w:div>
    <w:div w:id="500312072">
      <w:bodyDiv w:val="1"/>
      <w:marLeft w:val="0"/>
      <w:marRight w:val="0"/>
      <w:marTop w:val="0"/>
      <w:marBottom w:val="0"/>
      <w:divBdr>
        <w:top w:val="none" w:sz="0" w:space="0" w:color="auto"/>
        <w:left w:val="none" w:sz="0" w:space="0" w:color="auto"/>
        <w:bottom w:val="none" w:sz="0" w:space="0" w:color="auto"/>
        <w:right w:val="none" w:sz="0" w:space="0" w:color="auto"/>
      </w:divBdr>
      <w:divsChild>
        <w:div w:id="1409156298">
          <w:marLeft w:val="0"/>
          <w:marRight w:val="0"/>
          <w:marTop w:val="0"/>
          <w:marBottom w:val="0"/>
          <w:divBdr>
            <w:top w:val="none" w:sz="0" w:space="0" w:color="auto"/>
            <w:left w:val="none" w:sz="0" w:space="0" w:color="auto"/>
            <w:bottom w:val="none" w:sz="0" w:space="0" w:color="auto"/>
            <w:right w:val="none" w:sz="0" w:space="0" w:color="auto"/>
          </w:divBdr>
        </w:div>
      </w:divsChild>
    </w:div>
    <w:div w:id="583690836">
      <w:bodyDiv w:val="1"/>
      <w:marLeft w:val="0"/>
      <w:marRight w:val="0"/>
      <w:marTop w:val="0"/>
      <w:marBottom w:val="0"/>
      <w:divBdr>
        <w:top w:val="none" w:sz="0" w:space="0" w:color="auto"/>
        <w:left w:val="none" w:sz="0" w:space="0" w:color="auto"/>
        <w:bottom w:val="none" w:sz="0" w:space="0" w:color="auto"/>
        <w:right w:val="none" w:sz="0" w:space="0" w:color="auto"/>
      </w:divBdr>
    </w:div>
    <w:div w:id="606887823">
      <w:bodyDiv w:val="1"/>
      <w:marLeft w:val="0"/>
      <w:marRight w:val="0"/>
      <w:marTop w:val="0"/>
      <w:marBottom w:val="0"/>
      <w:divBdr>
        <w:top w:val="none" w:sz="0" w:space="0" w:color="auto"/>
        <w:left w:val="none" w:sz="0" w:space="0" w:color="auto"/>
        <w:bottom w:val="none" w:sz="0" w:space="0" w:color="auto"/>
        <w:right w:val="none" w:sz="0" w:space="0" w:color="auto"/>
      </w:divBdr>
    </w:div>
    <w:div w:id="612370221">
      <w:bodyDiv w:val="1"/>
      <w:marLeft w:val="0"/>
      <w:marRight w:val="0"/>
      <w:marTop w:val="0"/>
      <w:marBottom w:val="0"/>
      <w:divBdr>
        <w:top w:val="none" w:sz="0" w:space="0" w:color="auto"/>
        <w:left w:val="none" w:sz="0" w:space="0" w:color="auto"/>
        <w:bottom w:val="none" w:sz="0" w:space="0" w:color="auto"/>
        <w:right w:val="none" w:sz="0" w:space="0" w:color="auto"/>
      </w:divBdr>
    </w:div>
    <w:div w:id="836380241">
      <w:bodyDiv w:val="1"/>
      <w:marLeft w:val="0"/>
      <w:marRight w:val="0"/>
      <w:marTop w:val="0"/>
      <w:marBottom w:val="0"/>
      <w:divBdr>
        <w:top w:val="none" w:sz="0" w:space="0" w:color="auto"/>
        <w:left w:val="none" w:sz="0" w:space="0" w:color="auto"/>
        <w:bottom w:val="none" w:sz="0" w:space="0" w:color="auto"/>
        <w:right w:val="none" w:sz="0" w:space="0" w:color="auto"/>
      </w:divBdr>
    </w:div>
    <w:div w:id="945573305">
      <w:bodyDiv w:val="1"/>
      <w:marLeft w:val="0"/>
      <w:marRight w:val="0"/>
      <w:marTop w:val="0"/>
      <w:marBottom w:val="0"/>
      <w:divBdr>
        <w:top w:val="none" w:sz="0" w:space="0" w:color="auto"/>
        <w:left w:val="none" w:sz="0" w:space="0" w:color="auto"/>
        <w:bottom w:val="none" w:sz="0" w:space="0" w:color="auto"/>
        <w:right w:val="none" w:sz="0" w:space="0" w:color="auto"/>
      </w:divBdr>
    </w:div>
    <w:div w:id="105828276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3866">
      <w:bodyDiv w:val="1"/>
      <w:marLeft w:val="0"/>
      <w:marRight w:val="0"/>
      <w:marTop w:val="0"/>
      <w:marBottom w:val="0"/>
      <w:divBdr>
        <w:top w:val="none" w:sz="0" w:space="0" w:color="auto"/>
        <w:left w:val="none" w:sz="0" w:space="0" w:color="auto"/>
        <w:bottom w:val="none" w:sz="0" w:space="0" w:color="auto"/>
        <w:right w:val="none" w:sz="0" w:space="0" w:color="auto"/>
      </w:divBdr>
    </w:div>
    <w:div w:id="1292252191">
      <w:bodyDiv w:val="1"/>
      <w:marLeft w:val="0"/>
      <w:marRight w:val="0"/>
      <w:marTop w:val="0"/>
      <w:marBottom w:val="0"/>
      <w:divBdr>
        <w:top w:val="none" w:sz="0" w:space="0" w:color="auto"/>
        <w:left w:val="none" w:sz="0" w:space="0" w:color="auto"/>
        <w:bottom w:val="none" w:sz="0" w:space="0" w:color="auto"/>
        <w:right w:val="none" w:sz="0" w:space="0" w:color="auto"/>
      </w:divBdr>
    </w:div>
    <w:div w:id="141986227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521897639">
      <w:bodyDiv w:val="1"/>
      <w:marLeft w:val="0"/>
      <w:marRight w:val="0"/>
      <w:marTop w:val="0"/>
      <w:marBottom w:val="0"/>
      <w:divBdr>
        <w:top w:val="none" w:sz="0" w:space="0" w:color="auto"/>
        <w:left w:val="none" w:sz="0" w:space="0" w:color="auto"/>
        <w:bottom w:val="none" w:sz="0" w:space="0" w:color="auto"/>
        <w:right w:val="none" w:sz="0" w:space="0" w:color="auto"/>
      </w:divBdr>
    </w:div>
    <w:div w:id="1526138397">
      <w:bodyDiv w:val="1"/>
      <w:marLeft w:val="0"/>
      <w:marRight w:val="0"/>
      <w:marTop w:val="0"/>
      <w:marBottom w:val="0"/>
      <w:divBdr>
        <w:top w:val="none" w:sz="0" w:space="0" w:color="auto"/>
        <w:left w:val="none" w:sz="0" w:space="0" w:color="auto"/>
        <w:bottom w:val="none" w:sz="0" w:space="0" w:color="auto"/>
        <w:right w:val="none" w:sz="0" w:space="0" w:color="auto"/>
      </w:divBdr>
      <w:divsChild>
        <w:div w:id="1030257421">
          <w:marLeft w:val="240"/>
          <w:marRight w:val="0"/>
          <w:marTop w:val="0"/>
          <w:marBottom w:val="0"/>
          <w:divBdr>
            <w:top w:val="none" w:sz="0" w:space="0" w:color="auto"/>
            <w:left w:val="none" w:sz="0" w:space="0" w:color="auto"/>
            <w:bottom w:val="none" w:sz="0" w:space="0" w:color="auto"/>
            <w:right w:val="none" w:sz="0" w:space="0" w:color="auto"/>
          </w:divBdr>
          <w:divsChild>
            <w:div w:id="3912773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611741928">
      <w:bodyDiv w:val="1"/>
      <w:marLeft w:val="0"/>
      <w:marRight w:val="0"/>
      <w:marTop w:val="0"/>
      <w:marBottom w:val="0"/>
      <w:divBdr>
        <w:top w:val="none" w:sz="0" w:space="0" w:color="auto"/>
        <w:left w:val="none" w:sz="0" w:space="0" w:color="auto"/>
        <w:bottom w:val="none" w:sz="0" w:space="0" w:color="auto"/>
        <w:right w:val="none" w:sz="0" w:space="0" w:color="auto"/>
      </w:divBdr>
    </w:div>
    <w:div w:id="1706516649">
      <w:bodyDiv w:val="1"/>
      <w:marLeft w:val="0"/>
      <w:marRight w:val="0"/>
      <w:marTop w:val="0"/>
      <w:marBottom w:val="0"/>
      <w:divBdr>
        <w:top w:val="none" w:sz="0" w:space="0" w:color="auto"/>
        <w:left w:val="none" w:sz="0" w:space="0" w:color="auto"/>
        <w:bottom w:val="none" w:sz="0" w:space="0" w:color="auto"/>
        <w:right w:val="none" w:sz="0" w:space="0" w:color="auto"/>
      </w:divBdr>
    </w:div>
    <w:div w:id="1799103649">
      <w:bodyDiv w:val="1"/>
      <w:marLeft w:val="0"/>
      <w:marRight w:val="0"/>
      <w:marTop w:val="0"/>
      <w:marBottom w:val="0"/>
      <w:divBdr>
        <w:top w:val="none" w:sz="0" w:space="0" w:color="auto"/>
        <w:left w:val="none" w:sz="0" w:space="0" w:color="auto"/>
        <w:bottom w:val="none" w:sz="0" w:space="0" w:color="auto"/>
        <w:right w:val="none" w:sz="0" w:space="0" w:color="auto"/>
      </w:divBdr>
    </w:div>
    <w:div w:id="180068502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20082824">
      <w:bodyDiv w:val="1"/>
      <w:marLeft w:val="0"/>
      <w:marRight w:val="0"/>
      <w:marTop w:val="0"/>
      <w:marBottom w:val="0"/>
      <w:divBdr>
        <w:top w:val="none" w:sz="0" w:space="0" w:color="auto"/>
        <w:left w:val="none" w:sz="0" w:space="0" w:color="auto"/>
        <w:bottom w:val="none" w:sz="0" w:space="0" w:color="auto"/>
        <w:right w:val="none" w:sz="0" w:space="0" w:color="auto"/>
      </w:divBdr>
    </w:div>
    <w:div w:id="20547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ausst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F1A79-F907-4AAC-9397-007EBB46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9547</Words>
  <Characters>56101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2022-10-20T05:03:00Z</dcterms:created>
  <dcterms:modified xsi:type="dcterms:W3CDTF">2022-10-20T05:03:00Z</dcterms:modified>
</cp:coreProperties>
</file>