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1545" w14:textId="3A3B3530" w:rsidR="008656C1" w:rsidRPr="008656C1" w:rsidRDefault="00E86368" w:rsidP="008656C1">
      <w:pPr>
        <w:pStyle w:val="1-MainHeading"/>
      </w:pPr>
      <w:r>
        <w:t>7.03</w:t>
      </w:r>
      <w:r w:rsidR="00163F66">
        <w:tab/>
      </w:r>
      <w:r>
        <w:t>ESKETAMINE</w:t>
      </w:r>
      <w:r w:rsidR="00163F66">
        <w:t>,</w:t>
      </w:r>
      <w:r w:rsidR="00163F66">
        <w:br/>
      </w:r>
      <w:r w:rsidRPr="00E86368">
        <w:t>Nasal spray solution</w:t>
      </w:r>
      <w:r w:rsidR="00A65564">
        <w:t xml:space="preserve"> 28</w:t>
      </w:r>
      <w:r w:rsidR="00933B4B">
        <w:t xml:space="preserve"> </w:t>
      </w:r>
      <w:r w:rsidR="00A65564">
        <w:t>mg</w:t>
      </w:r>
      <w:r w:rsidR="00933B4B">
        <w:t xml:space="preserve"> in 0.2 mL</w:t>
      </w:r>
      <w:r w:rsidR="00163F66">
        <w:t>,</w:t>
      </w:r>
      <w:r w:rsidR="00163F66">
        <w:br/>
      </w:r>
      <w:proofErr w:type="spellStart"/>
      <w:r w:rsidR="008A57E6" w:rsidRPr="008A57E6">
        <w:t>Spravato</w:t>
      </w:r>
      <w:proofErr w:type="spellEnd"/>
      <w:r w:rsidR="008A57E6" w:rsidRPr="008A57E6">
        <w:t>®</w:t>
      </w:r>
      <w:r w:rsidR="004A6040" w:rsidRPr="004A6040">
        <w:t>,</w:t>
      </w:r>
      <w:r w:rsidR="004A6040" w:rsidRPr="004A6040">
        <w:br/>
      </w:r>
      <w:r w:rsidR="008A57E6" w:rsidRPr="008A57E6">
        <w:t>Janssen-</w:t>
      </w:r>
      <w:proofErr w:type="spellStart"/>
      <w:r w:rsidR="008A57E6" w:rsidRPr="008A57E6">
        <w:t>Cilag</w:t>
      </w:r>
      <w:proofErr w:type="spellEnd"/>
      <w:r w:rsidR="008A57E6" w:rsidRPr="008A57E6">
        <w:t xml:space="preserve"> Pty Ltd</w:t>
      </w:r>
      <w:r w:rsidR="00B60939" w:rsidRPr="004A6040">
        <w:t>.</w:t>
      </w:r>
    </w:p>
    <w:p w14:paraId="11C00795" w14:textId="674C8111" w:rsidR="00B50DB8" w:rsidRPr="00CA368F" w:rsidRDefault="00B50DB8" w:rsidP="00F84F1D">
      <w:pPr>
        <w:pStyle w:val="2-SectionHeading"/>
      </w:pPr>
      <w:bookmarkStart w:id="0" w:name="_Toc103767181"/>
      <w:r w:rsidRPr="00CA368F">
        <w:t xml:space="preserve">Purpose of </w:t>
      </w:r>
      <w:r w:rsidR="00CD7193" w:rsidRPr="00CA368F">
        <w:t>s</w:t>
      </w:r>
      <w:r w:rsidR="00BB3A45" w:rsidRPr="00CA368F">
        <w:t>ubmission</w:t>
      </w:r>
      <w:bookmarkEnd w:id="0"/>
    </w:p>
    <w:p w14:paraId="19414AA1" w14:textId="1C5922FC" w:rsidR="002C2775" w:rsidRPr="008B1757" w:rsidRDefault="00CB5507" w:rsidP="004E18E9">
      <w:pPr>
        <w:pStyle w:val="ExecSumBodyText"/>
      </w:pPr>
      <w:r w:rsidRPr="00CB5507">
        <w:t xml:space="preserve">The </w:t>
      </w:r>
      <w:r w:rsidR="00385650">
        <w:t>s</w:t>
      </w:r>
      <w:r w:rsidRPr="00CB5507">
        <w:t>tandard re-entry resubmission requested a Section 100</w:t>
      </w:r>
      <w:r w:rsidR="00E8219A">
        <w:t xml:space="preserve"> (Highly Specialised Drugs)</w:t>
      </w:r>
      <w:r w:rsidR="007814AB">
        <w:t>, Authority Required (telephone)</w:t>
      </w:r>
      <w:r w:rsidRPr="00CB5507">
        <w:t xml:space="preserve"> listing of </w:t>
      </w:r>
      <w:proofErr w:type="spellStart"/>
      <w:r w:rsidRPr="00CB5507">
        <w:t>esketamine</w:t>
      </w:r>
      <w:proofErr w:type="spellEnd"/>
      <w:r w:rsidRPr="00CB5507">
        <w:t xml:space="preserve"> nasal spray for treatment resistant depression (TRD). </w:t>
      </w:r>
      <w:proofErr w:type="spellStart"/>
      <w:r w:rsidRPr="00CB5507">
        <w:t>Esketamine</w:t>
      </w:r>
      <w:proofErr w:type="spellEnd"/>
      <w:r w:rsidRPr="00CB5507">
        <w:t xml:space="preserve"> nasal spray is to be initiated in conjunction with a newly initiated oral antidepressant</w:t>
      </w:r>
      <w:r w:rsidR="00910DE6">
        <w:t xml:space="preserve"> (OAD)</w:t>
      </w:r>
      <w:r w:rsidRPr="00D60B48">
        <w:t>.</w:t>
      </w:r>
    </w:p>
    <w:p w14:paraId="4E9FBCB5" w14:textId="30800FF7" w:rsidR="00C2778B" w:rsidRDefault="005750C5" w:rsidP="004E18E9">
      <w:pPr>
        <w:pStyle w:val="ExecSumBodyText"/>
      </w:pPr>
      <w:r w:rsidRPr="005750C5">
        <w:t xml:space="preserve">Listing was requested </w:t>
      </w:r>
      <w:proofErr w:type="gramStart"/>
      <w:r w:rsidRPr="005750C5">
        <w:t>on the basis of</w:t>
      </w:r>
      <w:proofErr w:type="gramEnd"/>
      <w:r w:rsidRPr="005750C5">
        <w:t xml:space="preserve"> a </w:t>
      </w:r>
      <w:r>
        <w:t>cost-effectiveness</w:t>
      </w:r>
      <w:r w:rsidRPr="005750C5">
        <w:t xml:space="preserve"> </w:t>
      </w:r>
      <w:r w:rsidR="006103F5">
        <w:t>analysis</w:t>
      </w:r>
      <w:r w:rsidR="006103F5" w:rsidRPr="005750C5">
        <w:t xml:space="preserve"> </w:t>
      </w:r>
      <w:r w:rsidRPr="005750C5">
        <w:t>versus</w:t>
      </w:r>
      <w:r>
        <w:t xml:space="preserve"> </w:t>
      </w:r>
      <w:r w:rsidR="00DD4113">
        <w:t xml:space="preserve">a newly initiated </w:t>
      </w:r>
      <w:r w:rsidR="00CC7817">
        <w:t>OAD</w:t>
      </w:r>
      <w:r w:rsidR="00DD4113">
        <w:t xml:space="preserve"> alone</w:t>
      </w:r>
      <w:r>
        <w:t>.</w:t>
      </w:r>
      <w:r w:rsidRPr="005750C5">
        <w:t xml:space="preserve"> </w:t>
      </w:r>
    </w:p>
    <w:p w14:paraId="3718DE61" w14:textId="5E251389" w:rsidR="008B1757" w:rsidRPr="00D60B48" w:rsidRDefault="008B1757" w:rsidP="00397904">
      <w:pPr>
        <w:pStyle w:val="Caption"/>
      </w:pPr>
      <w:bookmarkStart w:id="1" w:name="_Ref111206633"/>
      <w:r w:rsidRPr="00D60B48">
        <w:t xml:space="preserve">Table </w:t>
      </w:r>
      <w:r w:rsidR="002030D0">
        <w:fldChar w:fldCharType="begin"/>
      </w:r>
      <w:r w:rsidR="002030D0">
        <w:instrText xml:space="preserve"> SEQ Table \* ARABIC </w:instrText>
      </w:r>
      <w:r w:rsidR="002030D0">
        <w:fldChar w:fldCharType="separate"/>
      </w:r>
      <w:r w:rsidR="008E3D7A">
        <w:rPr>
          <w:noProof/>
        </w:rPr>
        <w:t>1</w:t>
      </w:r>
      <w:r w:rsidR="002030D0">
        <w:rPr>
          <w:noProof/>
        </w:rPr>
        <w:fldChar w:fldCharType="end"/>
      </w:r>
      <w:bookmarkEnd w:id="1"/>
      <w:r w:rsidRPr="00D60B48">
        <w:t>:</w:t>
      </w:r>
      <w:r w:rsidR="00BC591F" w:rsidRPr="00D60B48">
        <w:t xml:space="preserve"> </w:t>
      </w:r>
      <w:r w:rsidRPr="00D60B48">
        <w:t xml:space="preserve">Key components of the clinical issue addressed </w:t>
      </w:r>
      <w:r w:rsidR="00EB20F4" w:rsidRPr="00D60B48">
        <w:t>in</w:t>
      </w:r>
      <w:r w:rsidRPr="00D60B48">
        <w:t xml:space="preserve"> the </w:t>
      </w:r>
      <w:r w:rsidR="008269E7" w:rsidRPr="00D60B48">
        <w:t>re</w:t>
      </w:r>
      <w:r w:rsidRPr="00D60B48">
        <w:t>submission</w:t>
      </w:r>
      <w:r w:rsidR="007170DA" w:rsidRPr="00D60B4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8269E7" w:rsidRPr="00A518F3" w14:paraId="450021D8" w14:textId="77777777" w:rsidTr="006B5849">
        <w:tc>
          <w:tcPr>
            <w:tcW w:w="911" w:type="pct"/>
            <w:vAlign w:val="center"/>
          </w:tcPr>
          <w:p w14:paraId="2EE4ED66" w14:textId="77777777" w:rsidR="008269E7" w:rsidRPr="00D60B48" w:rsidRDefault="008269E7" w:rsidP="00A65564">
            <w:pPr>
              <w:pStyle w:val="Tableheadingrow"/>
              <w:rPr>
                <w:lang w:val="en-AU"/>
              </w:rPr>
            </w:pPr>
            <w:r w:rsidRPr="00D60B48">
              <w:rPr>
                <w:lang w:val="en-AU"/>
              </w:rPr>
              <w:t>Component</w:t>
            </w:r>
          </w:p>
        </w:tc>
        <w:tc>
          <w:tcPr>
            <w:tcW w:w="4089" w:type="pct"/>
            <w:vAlign w:val="center"/>
          </w:tcPr>
          <w:p w14:paraId="1F742019" w14:textId="77777777" w:rsidR="008269E7" w:rsidRPr="00D60B48" w:rsidRDefault="008269E7" w:rsidP="00A65564">
            <w:pPr>
              <w:pStyle w:val="Tableheadingrow"/>
              <w:rPr>
                <w:lang w:val="en-AU"/>
              </w:rPr>
            </w:pPr>
            <w:r w:rsidRPr="00D60B48">
              <w:rPr>
                <w:lang w:val="en-AU"/>
              </w:rPr>
              <w:t>Description</w:t>
            </w:r>
          </w:p>
        </w:tc>
      </w:tr>
      <w:tr w:rsidR="008269E7" w14:paraId="5E5A39C2" w14:textId="77777777" w:rsidTr="006B5849">
        <w:tc>
          <w:tcPr>
            <w:tcW w:w="911" w:type="pct"/>
          </w:tcPr>
          <w:p w14:paraId="311F2F3D" w14:textId="77777777" w:rsidR="008269E7" w:rsidRPr="000F3CF2" w:rsidRDefault="008269E7" w:rsidP="00A65564">
            <w:pPr>
              <w:pStyle w:val="TableText"/>
              <w:rPr>
                <w:szCs w:val="20"/>
              </w:rPr>
            </w:pPr>
            <w:r w:rsidRPr="000F3CF2">
              <w:rPr>
                <w:rFonts w:cs="Arial"/>
                <w:b/>
                <w:szCs w:val="20"/>
              </w:rPr>
              <w:t>Population</w:t>
            </w:r>
          </w:p>
        </w:tc>
        <w:tc>
          <w:tcPr>
            <w:tcW w:w="4089" w:type="pct"/>
          </w:tcPr>
          <w:p w14:paraId="146413D9" w14:textId="77777777" w:rsidR="008269E7" w:rsidRPr="000B1015" w:rsidRDefault="008269E7" w:rsidP="00A65564">
            <w:pPr>
              <w:pStyle w:val="Tabletext0"/>
            </w:pPr>
            <w:r>
              <w:t>Adult patients with major depressive disorder,</w:t>
            </w:r>
            <w:r w:rsidRPr="00D1272E">
              <w:t xml:space="preserve"> who have not responded adequately to at least 2 separate courses of treatment with different antidepressants, each of adequate dose and duration, in the current moderate to severe depressive episode.</w:t>
            </w:r>
          </w:p>
        </w:tc>
      </w:tr>
      <w:tr w:rsidR="008269E7" w14:paraId="117D371E" w14:textId="77777777" w:rsidTr="006B5849">
        <w:tc>
          <w:tcPr>
            <w:tcW w:w="911" w:type="pct"/>
          </w:tcPr>
          <w:p w14:paraId="46669DB8" w14:textId="77777777" w:rsidR="008269E7" w:rsidRPr="000F3CF2" w:rsidRDefault="008269E7" w:rsidP="00A65564">
            <w:pPr>
              <w:pStyle w:val="TableText"/>
              <w:rPr>
                <w:szCs w:val="20"/>
              </w:rPr>
            </w:pPr>
            <w:r w:rsidRPr="000F3CF2">
              <w:rPr>
                <w:rFonts w:cs="Arial"/>
                <w:b/>
                <w:szCs w:val="20"/>
              </w:rPr>
              <w:t>Intervention</w:t>
            </w:r>
          </w:p>
        </w:tc>
        <w:tc>
          <w:tcPr>
            <w:tcW w:w="4089" w:type="pct"/>
          </w:tcPr>
          <w:p w14:paraId="69BD784E" w14:textId="6905BAA2" w:rsidR="008269E7" w:rsidRDefault="008269E7" w:rsidP="00A65564">
            <w:pPr>
              <w:pStyle w:val="Tabletext0"/>
            </w:pPr>
            <w:proofErr w:type="spellStart"/>
            <w:r w:rsidRPr="00D1272E">
              <w:t>Esketamine</w:t>
            </w:r>
            <w:proofErr w:type="spellEnd"/>
            <w:r w:rsidRPr="00D1272E">
              <w:t xml:space="preserve"> hydrochloride </w:t>
            </w:r>
            <w:r>
              <w:t xml:space="preserve">is to be </w:t>
            </w:r>
            <w:r w:rsidRPr="00D1272E">
              <w:t>administered in conjunction with a newly initiated OAD</w:t>
            </w:r>
            <w:r w:rsidRPr="00D60B48">
              <w:t>.</w:t>
            </w:r>
            <w:r w:rsidRPr="00D1272E">
              <w:t xml:space="preserve"> </w:t>
            </w:r>
          </w:p>
          <w:p w14:paraId="24BD27B9" w14:textId="77777777" w:rsidR="008269E7" w:rsidRDefault="008269E7" w:rsidP="00A65564">
            <w:pPr>
              <w:pStyle w:val="Tabletext0"/>
            </w:pPr>
            <w:r>
              <w:t xml:space="preserve">Induction phase (4 weeks): </w:t>
            </w:r>
            <w:proofErr w:type="spellStart"/>
            <w:r w:rsidRPr="002530A2">
              <w:t>Esketamine</w:t>
            </w:r>
            <w:proofErr w:type="spellEnd"/>
            <w:r w:rsidRPr="002530A2">
              <w:t xml:space="preserve"> is administered twice per week with the first dose of 56 mg and with subsequent doses of either 56 mg or 84 mg, depending on clinical response.</w:t>
            </w:r>
            <w:r>
              <w:t xml:space="preserve"> A dose of 28 mg can be used in older adults (≥ 65 years). </w:t>
            </w:r>
            <w:r w:rsidRPr="00D1272E">
              <w:t xml:space="preserve">Evidence of therapeutic benefit should be evaluated at the end of induction phase (4 weeks) to determine need for continued treatment. </w:t>
            </w:r>
          </w:p>
          <w:p w14:paraId="07A9A074" w14:textId="77777777" w:rsidR="008269E7" w:rsidRPr="004729EB" w:rsidRDefault="008269E7" w:rsidP="00A65564">
            <w:pPr>
              <w:pStyle w:val="Tabletext0"/>
              <w:rPr>
                <w:rFonts w:cs="Arial"/>
              </w:rPr>
            </w:pPr>
            <w:r>
              <w:t xml:space="preserve">Maintenance phase (week 5 onwards): </w:t>
            </w:r>
            <w:proofErr w:type="spellStart"/>
            <w:r>
              <w:t>Esketamine</w:t>
            </w:r>
            <w:proofErr w:type="spellEnd"/>
            <w:r>
              <w:t xml:space="preserve"> </w:t>
            </w:r>
            <w:r w:rsidRPr="001170E3">
              <w:t>56 mg or 84 mg administered once weekly</w:t>
            </w:r>
            <w:r>
              <w:t xml:space="preserve"> or fortnightly. A dose of 28 mg can be used in older adults (≥ 65 years). </w:t>
            </w:r>
            <w:r w:rsidRPr="00D1272E">
              <w:t xml:space="preserve">After depressive symptoms improve, treatment should continue for at least 6 months, with patients monitored to determine continuing response. </w:t>
            </w:r>
            <w:proofErr w:type="spellStart"/>
            <w:r w:rsidRPr="00D1272E">
              <w:t>Esketamine</w:t>
            </w:r>
            <w:proofErr w:type="spellEnd"/>
            <w:r w:rsidRPr="00D1272E">
              <w:t xml:space="preserve"> is discontinued on</w:t>
            </w:r>
            <w:r>
              <w:t>c</w:t>
            </w:r>
            <w:r w:rsidRPr="00D1272E">
              <w:t>e a patient relapses or when a patient recovers</w:t>
            </w:r>
            <w:r w:rsidRPr="00D1272E">
              <w:rPr>
                <w:rFonts w:cs="Arial"/>
              </w:rPr>
              <w:t>.</w:t>
            </w:r>
          </w:p>
        </w:tc>
      </w:tr>
      <w:tr w:rsidR="008269E7" w14:paraId="5AB2FBBD" w14:textId="77777777" w:rsidTr="006B5849">
        <w:tc>
          <w:tcPr>
            <w:tcW w:w="911" w:type="pct"/>
          </w:tcPr>
          <w:p w14:paraId="0BB83D7D" w14:textId="77777777" w:rsidR="008269E7" w:rsidRPr="004E1C7C" w:rsidRDefault="008269E7" w:rsidP="00A65564">
            <w:pPr>
              <w:pStyle w:val="TableText"/>
              <w:rPr>
                <w:szCs w:val="20"/>
              </w:rPr>
            </w:pPr>
            <w:r w:rsidRPr="004E1C7C">
              <w:rPr>
                <w:rFonts w:cs="Arial"/>
                <w:b/>
                <w:szCs w:val="20"/>
              </w:rPr>
              <w:t>Comparator</w:t>
            </w:r>
          </w:p>
        </w:tc>
        <w:tc>
          <w:tcPr>
            <w:tcW w:w="4089" w:type="pct"/>
          </w:tcPr>
          <w:p w14:paraId="361B91BE" w14:textId="30D5926C" w:rsidR="008269E7" w:rsidRDefault="008269E7" w:rsidP="00A65564">
            <w:pPr>
              <w:pStyle w:val="Tabletext0"/>
            </w:pPr>
            <w:r>
              <w:t>Initiation of a new</w:t>
            </w:r>
            <w:r w:rsidRPr="00D1272E">
              <w:t xml:space="preserve"> </w:t>
            </w:r>
            <w:r w:rsidR="00CC7817">
              <w:t>OAD</w:t>
            </w:r>
            <w:r w:rsidRPr="00D1272E">
              <w:t>.</w:t>
            </w:r>
          </w:p>
        </w:tc>
      </w:tr>
      <w:tr w:rsidR="008269E7" w14:paraId="7D52A7C3" w14:textId="77777777" w:rsidTr="006B5849">
        <w:tc>
          <w:tcPr>
            <w:tcW w:w="911" w:type="pct"/>
            <w:tcBorders>
              <w:bottom w:val="single" w:sz="4" w:space="0" w:color="auto"/>
            </w:tcBorders>
          </w:tcPr>
          <w:p w14:paraId="1F707A12" w14:textId="77777777" w:rsidR="008269E7" w:rsidRPr="00E93527" w:rsidRDefault="008269E7" w:rsidP="00A65564">
            <w:pPr>
              <w:pStyle w:val="TableText"/>
              <w:rPr>
                <w:szCs w:val="20"/>
              </w:rPr>
            </w:pPr>
            <w:r w:rsidRPr="00E93527">
              <w:rPr>
                <w:rFonts w:cs="Arial"/>
                <w:b/>
                <w:szCs w:val="20"/>
              </w:rPr>
              <w:t>Outcomes</w:t>
            </w:r>
          </w:p>
        </w:tc>
        <w:tc>
          <w:tcPr>
            <w:tcW w:w="4089" w:type="pct"/>
            <w:tcBorders>
              <w:bottom w:val="single" w:sz="4" w:space="0" w:color="auto"/>
            </w:tcBorders>
          </w:tcPr>
          <w:p w14:paraId="3907DA68" w14:textId="77777777" w:rsidR="008269E7" w:rsidRPr="00E93527" w:rsidRDefault="008269E7" w:rsidP="00A65564">
            <w:pPr>
              <w:pStyle w:val="Tabletext0"/>
              <w:rPr>
                <w:rFonts w:eastAsiaTheme="majorEastAsia"/>
                <w:bCs/>
                <w:szCs w:val="20"/>
              </w:rPr>
            </w:pPr>
            <w:r w:rsidRPr="00E93527">
              <w:rPr>
                <w:szCs w:val="20"/>
              </w:rPr>
              <w:t>Change in depression severity (using the Montgomery-</w:t>
            </w:r>
            <w:proofErr w:type="spellStart"/>
            <w:r w:rsidRPr="00E93527">
              <w:rPr>
                <w:szCs w:val="20"/>
              </w:rPr>
              <w:t>Asberg</w:t>
            </w:r>
            <w:proofErr w:type="spellEnd"/>
            <w:r w:rsidRPr="00E93527">
              <w:rPr>
                <w:szCs w:val="20"/>
              </w:rPr>
              <w:t xml:space="preserve"> Depression Rating Scale (MADRS) total score), incidence of clinical response and remission, </w:t>
            </w:r>
            <w:r w:rsidRPr="00E93527">
              <w:rPr>
                <w:rFonts w:eastAsiaTheme="majorEastAsia" w:cs="Arial"/>
                <w:bCs/>
                <w:szCs w:val="20"/>
              </w:rPr>
              <w:t>occupational, social and family functioning</w:t>
            </w:r>
            <w:r w:rsidRPr="00E93527">
              <w:rPr>
                <w:rFonts w:eastAsiaTheme="majorEastAsia"/>
                <w:bCs/>
                <w:szCs w:val="20"/>
              </w:rPr>
              <w:t xml:space="preserve">, </w:t>
            </w:r>
            <w:r w:rsidRPr="00E93527">
              <w:rPr>
                <w:szCs w:val="20"/>
              </w:rPr>
              <w:t>quality of life, incidence of adverse events</w:t>
            </w:r>
          </w:p>
        </w:tc>
      </w:tr>
      <w:tr w:rsidR="008269E7" w14:paraId="0F8D4C56" w14:textId="77777777" w:rsidTr="006B5849">
        <w:tc>
          <w:tcPr>
            <w:tcW w:w="911" w:type="pct"/>
            <w:tcBorders>
              <w:top w:val="single" w:sz="4" w:space="0" w:color="auto"/>
              <w:left w:val="single" w:sz="4" w:space="0" w:color="auto"/>
              <w:bottom w:val="single" w:sz="4" w:space="0" w:color="auto"/>
              <w:right w:val="single" w:sz="4" w:space="0" w:color="auto"/>
            </w:tcBorders>
          </w:tcPr>
          <w:p w14:paraId="66FAD7D4" w14:textId="77777777" w:rsidR="008269E7" w:rsidRPr="00E93527" w:rsidRDefault="008269E7" w:rsidP="00A65564">
            <w:pPr>
              <w:pStyle w:val="TableText"/>
              <w:rPr>
                <w:szCs w:val="20"/>
              </w:rPr>
            </w:pPr>
            <w:r w:rsidRPr="00E93527">
              <w:rPr>
                <w:rFonts w:cs="Arial"/>
                <w:b/>
                <w:szCs w:val="20"/>
              </w:rPr>
              <w:t>Clinical claim</w:t>
            </w:r>
          </w:p>
        </w:tc>
        <w:tc>
          <w:tcPr>
            <w:tcW w:w="4089" w:type="pct"/>
            <w:tcBorders>
              <w:top w:val="single" w:sz="4" w:space="0" w:color="auto"/>
              <w:left w:val="single" w:sz="4" w:space="0" w:color="auto"/>
              <w:bottom w:val="single" w:sz="4" w:space="0" w:color="auto"/>
              <w:right w:val="single" w:sz="4" w:space="0" w:color="auto"/>
            </w:tcBorders>
          </w:tcPr>
          <w:p w14:paraId="4036C0C0" w14:textId="6F848101" w:rsidR="008269E7" w:rsidRPr="00E93527" w:rsidRDefault="008269E7" w:rsidP="00A65564">
            <w:pPr>
              <w:pStyle w:val="Tabletext0"/>
              <w:rPr>
                <w:szCs w:val="20"/>
              </w:rPr>
            </w:pPr>
            <w:proofErr w:type="spellStart"/>
            <w:r w:rsidRPr="00E93527">
              <w:rPr>
                <w:szCs w:val="20"/>
              </w:rPr>
              <w:t>Esketamine</w:t>
            </w:r>
            <w:proofErr w:type="spellEnd"/>
            <w:r w:rsidRPr="00E93527">
              <w:rPr>
                <w:szCs w:val="20"/>
              </w:rPr>
              <w:t xml:space="preserve"> nasal spray in combination with a newly initiated </w:t>
            </w:r>
            <w:r w:rsidR="00E56546">
              <w:rPr>
                <w:szCs w:val="20"/>
              </w:rPr>
              <w:t>OAD</w:t>
            </w:r>
            <w:r w:rsidRPr="00E93527">
              <w:rPr>
                <w:szCs w:val="20"/>
              </w:rPr>
              <w:t xml:space="preserve"> i</w:t>
            </w:r>
            <w:r w:rsidRPr="00E93527">
              <w:rPr>
                <w:rFonts w:cs="Arial"/>
                <w:szCs w:val="20"/>
              </w:rPr>
              <w:t xml:space="preserve">s superior </w:t>
            </w:r>
            <w:r w:rsidRPr="00E93527">
              <w:rPr>
                <w:szCs w:val="20"/>
              </w:rPr>
              <w:t xml:space="preserve">in terms of </w:t>
            </w:r>
            <w:r w:rsidRPr="00E93527">
              <w:rPr>
                <w:rFonts w:cs="Arial"/>
                <w:szCs w:val="20"/>
              </w:rPr>
              <w:t xml:space="preserve">efficacy </w:t>
            </w:r>
            <w:r w:rsidRPr="00E93527">
              <w:rPr>
                <w:szCs w:val="20"/>
              </w:rPr>
              <w:t xml:space="preserve">and inferior in terms of safety </w:t>
            </w:r>
            <w:r w:rsidRPr="00E93527">
              <w:rPr>
                <w:rFonts w:cs="Arial"/>
                <w:szCs w:val="20"/>
              </w:rPr>
              <w:t xml:space="preserve">when compared to a newly initiated </w:t>
            </w:r>
            <w:r w:rsidR="00CC7817">
              <w:rPr>
                <w:rFonts w:cs="Arial"/>
                <w:szCs w:val="20"/>
              </w:rPr>
              <w:t>OAD</w:t>
            </w:r>
            <w:r w:rsidRPr="00E93527">
              <w:rPr>
                <w:szCs w:val="20"/>
              </w:rPr>
              <w:t xml:space="preserve"> alone</w:t>
            </w:r>
          </w:p>
        </w:tc>
      </w:tr>
    </w:tbl>
    <w:p w14:paraId="176F9647" w14:textId="731CE437" w:rsidR="008269E7" w:rsidRPr="008269E7" w:rsidRDefault="008269E7" w:rsidP="008269E7">
      <w:pPr>
        <w:pStyle w:val="TableFigureFooter"/>
      </w:pPr>
      <w:r>
        <w:t xml:space="preserve">Source: Table 1-1, p.20 </w:t>
      </w:r>
      <w:r w:rsidRPr="00D13A3E">
        <w:t xml:space="preserve">of the </w:t>
      </w:r>
      <w:r>
        <w:t>resubmission</w:t>
      </w:r>
    </w:p>
    <w:p w14:paraId="011642FB" w14:textId="02158E66" w:rsidR="00E56546" w:rsidRPr="00D60B48" w:rsidRDefault="00E56546" w:rsidP="008269E7">
      <w:pPr>
        <w:pStyle w:val="TableFigureFooter"/>
      </w:pPr>
      <w:r>
        <w:t>Abbreviations: OAD, oral antidepressant</w:t>
      </w:r>
    </w:p>
    <w:p w14:paraId="6B4AB6C2" w14:textId="7F01D731" w:rsidR="005C25FF" w:rsidRPr="00407F2D" w:rsidRDefault="005C25FF" w:rsidP="00F84F1D">
      <w:pPr>
        <w:pStyle w:val="2-SectionHeading"/>
      </w:pPr>
      <w:bookmarkStart w:id="2" w:name="_Toc103767182"/>
      <w:r w:rsidRPr="00407F2D">
        <w:t>Background</w:t>
      </w:r>
      <w:bookmarkEnd w:id="2"/>
    </w:p>
    <w:p w14:paraId="2C521D6D" w14:textId="78CF03EE" w:rsidR="005C25FF" w:rsidRPr="004151CF" w:rsidRDefault="005C25FF" w:rsidP="004A6040">
      <w:pPr>
        <w:pStyle w:val="3-SubsectionHeading"/>
      </w:pPr>
      <w:bookmarkStart w:id="3" w:name="_Toc22897638"/>
      <w:bookmarkStart w:id="4" w:name="_Toc103767183"/>
      <w:r w:rsidRPr="004151CF">
        <w:t>Registration status</w:t>
      </w:r>
      <w:bookmarkEnd w:id="3"/>
      <w:bookmarkEnd w:id="4"/>
    </w:p>
    <w:p w14:paraId="63B75BAE" w14:textId="659F0013" w:rsidR="002E1AF8" w:rsidRDefault="002E1AF8" w:rsidP="002E1AF8">
      <w:pPr>
        <w:pStyle w:val="ExecSumBodyText"/>
      </w:pPr>
      <w:proofErr w:type="spellStart"/>
      <w:r w:rsidRPr="00067309">
        <w:t>Esketamine</w:t>
      </w:r>
      <w:proofErr w:type="spellEnd"/>
      <w:r w:rsidRPr="00067309">
        <w:t xml:space="preserve"> nasal spray was registered on the </w:t>
      </w:r>
      <w:r w:rsidR="00435F66">
        <w:t xml:space="preserve">Australian Register of Therapeutic Goods </w:t>
      </w:r>
      <w:r w:rsidRPr="00067309">
        <w:t xml:space="preserve">on 9 March 2021 for treatment resistant depression (Major Depressive Disorder in adults who have not responded adequately to at least two different antidepressants of adequate dose and duration to treat the current moderate to </w:t>
      </w:r>
      <w:r w:rsidRPr="00067309">
        <w:lastRenderedPageBreak/>
        <w:t>severe depressive episode)</w:t>
      </w:r>
      <w:r w:rsidR="00001B56" w:rsidRPr="00067309">
        <w:t xml:space="preserve">, </w:t>
      </w:r>
      <w:r w:rsidRPr="00067309">
        <w:t>initiated in conjunction with a newly initiated oral antidepressant.</w:t>
      </w:r>
    </w:p>
    <w:p w14:paraId="3CF6619E" w14:textId="7A82548B" w:rsidR="00DD2871" w:rsidRPr="004151CF" w:rsidRDefault="00DD2871" w:rsidP="00DD2871">
      <w:pPr>
        <w:pStyle w:val="3-SubsectionHeading"/>
      </w:pPr>
      <w:bookmarkStart w:id="5" w:name="_Toc103767184"/>
      <w:r>
        <w:t>C</w:t>
      </w:r>
      <w:r w:rsidR="00AA4EFF">
        <w:t>linical c</w:t>
      </w:r>
      <w:r>
        <w:t>onsensus statement</w:t>
      </w:r>
      <w:bookmarkEnd w:id="5"/>
    </w:p>
    <w:p w14:paraId="76B18920" w14:textId="6B36E112" w:rsidR="00DD2871" w:rsidRDefault="00DD2871" w:rsidP="002E1AF8">
      <w:pPr>
        <w:pStyle w:val="ExecSumBodyText"/>
        <w:contextualSpacing/>
      </w:pPr>
      <w:r>
        <w:t xml:space="preserve">The </w:t>
      </w:r>
      <w:r w:rsidR="005D4EAF">
        <w:t xml:space="preserve">resubmission included a consensus statement regarding the appropriate use of </w:t>
      </w:r>
      <w:proofErr w:type="spellStart"/>
      <w:r w:rsidR="005D4EAF">
        <w:t>esketamine</w:t>
      </w:r>
      <w:proofErr w:type="spellEnd"/>
      <w:r w:rsidR="005D4EAF">
        <w:t xml:space="preserve"> nasal spray for the treatment of TRD in clinical practice. </w:t>
      </w:r>
      <w:r w:rsidR="00DD28E8">
        <w:t xml:space="preserve">The </w:t>
      </w:r>
      <w:r w:rsidR="0000178D">
        <w:t xml:space="preserve">consensus </w:t>
      </w:r>
      <w:r w:rsidR="00DD28E8">
        <w:t xml:space="preserve">group included </w:t>
      </w:r>
      <w:r w:rsidR="00AB37C2" w:rsidRPr="00AB37C2">
        <w:t>senior psychiatrists and health professionals with treatment expertise working in the field of the mood disorders</w:t>
      </w:r>
      <w:r w:rsidR="00AB37C2">
        <w:t>. The clinicians who were involved considered:</w:t>
      </w:r>
    </w:p>
    <w:p w14:paraId="409977D0" w14:textId="0C8907BD" w:rsidR="00AB37C2" w:rsidRDefault="00AB37C2" w:rsidP="004D6A5C">
      <w:pPr>
        <w:pStyle w:val="ExecSumBodyText"/>
        <w:numPr>
          <w:ilvl w:val="1"/>
          <w:numId w:val="17"/>
        </w:numPr>
        <w:ind w:left="1077" w:hanging="357"/>
        <w:contextualSpacing/>
      </w:pPr>
      <w:r>
        <w:t>T</w:t>
      </w:r>
      <w:r w:rsidRPr="00AB37C2">
        <w:t>he definition of a treatment resistant depression (TRD) patient as someone who has had an inadequate response to adequate trials of at least two prior anti-depressant medications in the current episode and the prior exposure ranging from 2-5 prior treatments in the current episode is a reasonable representation of TRD in Australia. It was considered important to acknowledge that, consistent with RANZCP guidelines, appropriate psychosocial and psychotherapeutic interventions would have been trialled in addition to antidepressant therapy by the time the patient has reached this definitional point of TRD.</w:t>
      </w:r>
    </w:p>
    <w:p w14:paraId="0FB93DB2" w14:textId="6C1705DD" w:rsidR="0033243F" w:rsidRPr="0033243F" w:rsidRDefault="0033243F" w:rsidP="004D6A5C">
      <w:pPr>
        <w:pStyle w:val="ExecSumBodyText"/>
        <w:numPr>
          <w:ilvl w:val="1"/>
          <w:numId w:val="17"/>
        </w:numPr>
        <w:ind w:left="1077" w:hanging="357"/>
        <w:contextualSpacing/>
      </w:pPr>
      <w:r w:rsidRPr="0033243F">
        <w:t>The importance of rigorous clinical assessment to determine</w:t>
      </w:r>
      <w:r w:rsidR="00A96CBE">
        <w:t xml:space="preserve"> </w:t>
      </w:r>
      <w:r w:rsidRPr="0033243F">
        <w:t xml:space="preserve">eligibility for treatment and that this process should include objective functional assessment (employment, education, social participation) by the clinician and subjective assessment by the patient and family, and that this assessment should be documented. </w:t>
      </w:r>
    </w:p>
    <w:p w14:paraId="251A0487" w14:textId="23E9F1EB" w:rsidR="00AB37C2" w:rsidRDefault="0032163F" w:rsidP="004D6A5C">
      <w:pPr>
        <w:pStyle w:val="ExecSumBodyText"/>
        <w:numPr>
          <w:ilvl w:val="1"/>
          <w:numId w:val="17"/>
        </w:numPr>
        <w:ind w:left="1077" w:hanging="357"/>
        <w:contextualSpacing/>
      </w:pPr>
      <w:r>
        <w:t>T</w:t>
      </w:r>
      <w:r w:rsidR="0033243F" w:rsidRPr="0033243F">
        <w:t xml:space="preserve">here are currently data to support 6 months of treatment </w:t>
      </w:r>
      <w:r w:rsidR="00563A8C">
        <w:t xml:space="preserve">with </w:t>
      </w:r>
      <w:proofErr w:type="spellStart"/>
      <w:r w:rsidR="00563A8C">
        <w:t>esketamine</w:t>
      </w:r>
      <w:proofErr w:type="spellEnd"/>
      <w:r w:rsidR="00563A8C">
        <w:t xml:space="preserve"> </w:t>
      </w:r>
      <w:r w:rsidR="0033243F" w:rsidRPr="0033243F">
        <w:t xml:space="preserve">but no long-term safety data beyond 12 months </w:t>
      </w:r>
      <w:proofErr w:type="gramStart"/>
      <w:r w:rsidR="0033243F" w:rsidRPr="0033243F">
        <w:t>at this point in time</w:t>
      </w:r>
      <w:proofErr w:type="gramEnd"/>
      <w:r w:rsidR="0033243F" w:rsidRPr="0033243F">
        <w:t>. The group noted that close monitoring and regular open enquiry in relation to adverse events including post cessation should form part of good clinical care.</w:t>
      </w:r>
    </w:p>
    <w:p w14:paraId="03538F60" w14:textId="6168D863" w:rsidR="0033243F" w:rsidRDefault="00A96CBE" w:rsidP="004D6A5C">
      <w:pPr>
        <w:pStyle w:val="ExecSumBodyText"/>
        <w:numPr>
          <w:ilvl w:val="1"/>
          <w:numId w:val="17"/>
        </w:numPr>
        <w:ind w:left="1077" w:hanging="357"/>
        <w:contextualSpacing/>
      </w:pPr>
      <w:r>
        <w:t>T</w:t>
      </w:r>
      <w:r w:rsidR="0033243F" w:rsidRPr="0033243F">
        <w:t>hat a patient should be treated for up to six months</w:t>
      </w:r>
      <w:r w:rsidR="00556F8A">
        <w:t>,</w:t>
      </w:r>
      <w:r w:rsidR="0033243F" w:rsidRPr="0033243F">
        <w:t xml:space="preserve"> when an assessment to determine continuing therapy should be conducted. </w:t>
      </w:r>
      <w:proofErr w:type="gramStart"/>
      <w:r w:rsidR="0033243F" w:rsidRPr="0033243F">
        <w:t>In regard to</w:t>
      </w:r>
      <w:proofErr w:type="gramEnd"/>
      <w:r w:rsidR="0033243F" w:rsidRPr="0033243F">
        <w:t xml:space="preserve"> assessing treatment response with </w:t>
      </w:r>
      <w:proofErr w:type="spellStart"/>
      <w:r w:rsidR="0033243F" w:rsidRPr="0033243F">
        <w:t>esketamine</w:t>
      </w:r>
      <w:proofErr w:type="spellEnd"/>
      <w:r w:rsidR="0033243F" w:rsidRPr="0033243F">
        <w:t>, the group agreed that it would be the same as for other currently used antidepressants and that this would be consistent with the RANZCP treatment guidelines i.e., if after 6-8 weeks of antidepressant therapy at optimal dose there is no significant shift in symptoms/function, consider a change in treatment strategy.</w:t>
      </w:r>
    </w:p>
    <w:p w14:paraId="5C2168F2" w14:textId="38C1270D" w:rsidR="0032163F" w:rsidRDefault="00A96CBE" w:rsidP="004D6A5C">
      <w:pPr>
        <w:pStyle w:val="ExecSumBodyText"/>
        <w:numPr>
          <w:ilvl w:val="1"/>
          <w:numId w:val="17"/>
        </w:numPr>
        <w:ind w:left="1077" w:hanging="357"/>
        <w:contextualSpacing/>
      </w:pPr>
      <w:r>
        <w:t>I</w:t>
      </w:r>
      <w:r w:rsidR="0032163F" w:rsidRPr="0032163F">
        <w:t xml:space="preserve">t may be challenging to switch to a new antidepressant at the same time as initiating </w:t>
      </w:r>
      <w:proofErr w:type="spellStart"/>
      <w:proofErr w:type="gramStart"/>
      <w:r w:rsidR="0032163F" w:rsidRPr="0032163F">
        <w:t>esketamine</w:t>
      </w:r>
      <w:proofErr w:type="spellEnd"/>
      <w:r w:rsidR="0032163F" w:rsidRPr="0032163F">
        <w:t xml:space="preserve">, </w:t>
      </w:r>
      <w:r w:rsidR="00C01863">
        <w:t>and</w:t>
      </w:r>
      <w:proofErr w:type="gramEnd"/>
      <w:r w:rsidR="00C01863">
        <w:t xml:space="preserve"> </w:t>
      </w:r>
      <w:r w:rsidR="0032163F" w:rsidRPr="0032163F">
        <w:t xml:space="preserve">agreed that mandating a switch to a new antidepressant will not always be in the best interest of the patient. </w:t>
      </w:r>
      <w:r w:rsidR="00C01863">
        <w:t>The group</w:t>
      </w:r>
      <w:r w:rsidR="0032163F" w:rsidRPr="0032163F">
        <w:t xml:space="preserve"> agreed, consistent with the RANZCP guidelines, </w:t>
      </w:r>
      <w:r w:rsidR="00510068">
        <w:t xml:space="preserve">that </w:t>
      </w:r>
      <w:r w:rsidR="0032163F" w:rsidRPr="0032163F">
        <w:t xml:space="preserve">when a patient has not responded adequately after 6-8 weeks at optimal dose, a change in treatment strategy should be considered. The group felt that the decision to keep a patient on the current antidepressant and commence </w:t>
      </w:r>
      <w:proofErr w:type="spellStart"/>
      <w:r w:rsidR="0032163F" w:rsidRPr="0032163F">
        <w:t>esketamine</w:t>
      </w:r>
      <w:proofErr w:type="spellEnd"/>
      <w:r w:rsidR="0032163F" w:rsidRPr="0032163F">
        <w:t xml:space="preserve"> would represent a change in treatment strategy and therefore advocate for the PBS listing to allow for this</w:t>
      </w:r>
      <w:r w:rsidR="00FD2996">
        <w:t>.</w:t>
      </w:r>
    </w:p>
    <w:p w14:paraId="3F79916F" w14:textId="53903137" w:rsidR="00893EDA" w:rsidRDefault="0032163F" w:rsidP="004D6A5C">
      <w:pPr>
        <w:pStyle w:val="ExecSumBodyText"/>
        <w:numPr>
          <w:ilvl w:val="1"/>
          <w:numId w:val="17"/>
        </w:numPr>
        <w:ind w:left="1077" w:hanging="357"/>
      </w:pPr>
      <w:r w:rsidRPr="0032163F">
        <w:t xml:space="preserve">The group considered the issues related to potential abuse or tolerance of </w:t>
      </w:r>
      <w:proofErr w:type="spellStart"/>
      <w:r w:rsidRPr="0032163F">
        <w:t>esketamine</w:t>
      </w:r>
      <w:proofErr w:type="spellEnd"/>
      <w:r w:rsidRPr="0032163F">
        <w:t xml:space="preserve">. The trials did not report development of abuse or recreational use, </w:t>
      </w:r>
      <w:r w:rsidRPr="0032163F">
        <w:lastRenderedPageBreak/>
        <w:t xml:space="preserve">however given the known profile of the agent, there was agreement that this would need to be monitored and should form part of the ongoing monitoring for patients being treated with </w:t>
      </w:r>
      <w:proofErr w:type="spellStart"/>
      <w:r w:rsidRPr="0032163F">
        <w:t>esketamine</w:t>
      </w:r>
      <w:proofErr w:type="spellEnd"/>
      <w:r w:rsidRPr="0032163F">
        <w:t xml:space="preserve">. </w:t>
      </w:r>
    </w:p>
    <w:p w14:paraId="4294328D" w14:textId="71FDCB65" w:rsidR="00A24EAD" w:rsidRPr="00621ADA" w:rsidRDefault="00A24EAD" w:rsidP="00D1626F">
      <w:pPr>
        <w:pStyle w:val="3-SubsectionHeading"/>
      </w:pPr>
      <w:bookmarkStart w:id="6" w:name="_Toc22897639"/>
      <w:bookmarkStart w:id="7" w:name="_Toc103767185"/>
      <w:r>
        <w:t xml:space="preserve">Department of Veterans Affairs experience with </w:t>
      </w:r>
      <w:proofErr w:type="spellStart"/>
      <w:r>
        <w:t>esketamine</w:t>
      </w:r>
      <w:proofErr w:type="spellEnd"/>
    </w:p>
    <w:p w14:paraId="368E6ABD" w14:textId="24FDB3C5" w:rsidR="00A24EAD" w:rsidRPr="00CB3BCE" w:rsidRDefault="00A24EAD" w:rsidP="00D1626F">
      <w:pPr>
        <w:pStyle w:val="ExecSumBodyText"/>
      </w:pPr>
      <w:bookmarkStart w:id="8" w:name="_Ref110326524"/>
      <w:r w:rsidRPr="00D1626F">
        <w:rPr>
          <w:snapToGrid/>
        </w:rPr>
        <w:t>To</w:t>
      </w:r>
      <w:r w:rsidR="00D1626F">
        <w:rPr>
          <w:snapToGrid/>
        </w:rPr>
        <w:t xml:space="preserve"> inform its</w:t>
      </w:r>
      <w:r w:rsidRPr="00D1626F">
        <w:rPr>
          <w:snapToGrid/>
        </w:rPr>
        <w:t xml:space="preserve"> consideration of </w:t>
      </w:r>
      <w:proofErr w:type="spellStart"/>
      <w:r w:rsidR="00D1626F">
        <w:rPr>
          <w:snapToGrid/>
        </w:rPr>
        <w:t>eske</w:t>
      </w:r>
      <w:r w:rsidRPr="00D1626F">
        <w:rPr>
          <w:snapToGrid/>
        </w:rPr>
        <w:t>tamine</w:t>
      </w:r>
      <w:proofErr w:type="spellEnd"/>
      <w:r w:rsidRPr="00D1626F">
        <w:rPr>
          <w:snapToGrid/>
        </w:rPr>
        <w:t xml:space="preserve"> the PBAC requested advice from the Department of Veterans’ Affairs (DVA). A representative from the DVA provided advice to the PBAC about how </w:t>
      </w:r>
      <w:proofErr w:type="spellStart"/>
      <w:r w:rsidRPr="00D1626F">
        <w:rPr>
          <w:snapToGrid/>
        </w:rPr>
        <w:t>esketamine</w:t>
      </w:r>
      <w:proofErr w:type="spellEnd"/>
      <w:r w:rsidRPr="00D1626F">
        <w:rPr>
          <w:snapToGrid/>
        </w:rPr>
        <w:t xml:space="preserve"> </w:t>
      </w:r>
      <w:r w:rsidR="00D1626F">
        <w:rPr>
          <w:snapToGrid/>
        </w:rPr>
        <w:t xml:space="preserve">and ketamine </w:t>
      </w:r>
      <w:r w:rsidRPr="00D1626F">
        <w:rPr>
          <w:snapToGrid/>
        </w:rPr>
        <w:t>services are provided on an individual basis through the prior approvals process</w:t>
      </w:r>
      <w:r w:rsidR="00D1626F">
        <w:rPr>
          <w:snapToGrid/>
        </w:rPr>
        <w:t xml:space="preserve"> for </w:t>
      </w:r>
      <w:proofErr w:type="gramStart"/>
      <w:r w:rsidR="00D1626F">
        <w:rPr>
          <w:snapToGrid/>
        </w:rPr>
        <w:t>a number of</w:t>
      </w:r>
      <w:proofErr w:type="gramEnd"/>
      <w:r w:rsidR="00D1626F">
        <w:rPr>
          <w:snapToGrid/>
        </w:rPr>
        <w:t xml:space="preserve"> conditions including TRD, post-traumatic stress disorder and anxiety</w:t>
      </w:r>
      <w:r w:rsidRPr="00D1626F">
        <w:rPr>
          <w:snapToGrid/>
        </w:rPr>
        <w:t xml:space="preserve">. The advice described that treatment selection via this approval pathway is led by clinicians, and the DVA’s primary roles are to confirm clinical criteria are satisfied and fund these services. </w:t>
      </w:r>
      <w:r w:rsidR="005E0EB4">
        <w:rPr>
          <w:snapToGrid/>
        </w:rPr>
        <w:t xml:space="preserve">While a specific instrument is not mandated, patients are monitored for clinical response. </w:t>
      </w:r>
      <w:r w:rsidRPr="00D1626F">
        <w:rPr>
          <w:snapToGrid/>
        </w:rPr>
        <w:t xml:space="preserve">The advice also outlined there was no maximum limit to </w:t>
      </w:r>
      <w:r w:rsidR="00965A37">
        <w:rPr>
          <w:snapToGrid/>
        </w:rPr>
        <w:t xml:space="preserve">the duration of </w:t>
      </w:r>
      <w:r w:rsidRPr="00D1626F">
        <w:rPr>
          <w:snapToGrid/>
        </w:rPr>
        <w:t xml:space="preserve">treatment </w:t>
      </w:r>
      <w:r w:rsidR="00965A37">
        <w:rPr>
          <w:snapToGrid/>
        </w:rPr>
        <w:t>approve</w:t>
      </w:r>
      <w:r w:rsidRPr="00D1626F">
        <w:rPr>
          <w:snapToGrid/>
        </w:rPr>
        <w:t xml:space="preserve">d under current processes, </w:t>
      </w:r>
      <w:r w:rsidR="00965A37">
        <w:rPr>
          <w:snapToGrid/>
        </w:rPr>
        <w:t>and</w:t>
      </w:r>
      <w:r w:rsidRPr="00D1626F">
        <w:rPr>
          <w:snapToGrid/>
        </w:rPr>
        <w:t xml:space="preserve"> noted that initial response is typically rapid, while the time interval</w:t>
      </w:r>
      <w:r w:rsidR="00965A37">
        <w:rPr>
          <w:snapToGrid/>
        </w:rPr>
        <w:t xml:space="preserve"> between</w:t>
      </w:r>
      <w:r w:rsidRPr="00E67AAD">
        <w:rPr>
          <w:snapToGrid/>
        </w:rPr>
        <w:t xml:space="preserve"> maintenance doses had tended to increase as patients continued treatment. </w:t>
      </w:r>
      <w:r w:rsidR="00B775FF">
        <w:rPr>
          <w:snapToGrid/>
        </w:rPr>
        <w:t xml:space="preserve">The representative noted experience with longer term use of </w:t>
      </w:r>
      <w:proofErr w:type="spellStart"/>
      <w:r w:rsidR="00B775FF">
        <w:rPr>
          <w:snapToGrid/>
        </w:rPr>
        <w:t>esketamine</w:t>
      </w:r>
      <w:proofErr w:type="spellEnd"/>
      <w:r w:rsidR="00B775FF">
        <w:rPr>
          <w:snapToGrid/>
        </w:rPr>
        <w:t xml:space="preserve"> is currently limited. </w:t>
      </w:r>
      <w:r w:rsidRPr="00E67AAD">
        <w:rPr>
          <w:snapToGrid/>
        </w:rPr>
        <w:t xml:space="preserve">In addition, it was noted that DVA provides and funds services for </w:t>
      </w:r>
      <w:r w:rsidR="00965A37">
        <w:rPr>
          <w:snapToGrid/>
        </w:rPr>
        <w:t>all aspects of the treatment</w:t>
      </w:r>
      <w:r w:rsidRPr="00D1626F">
        <w:rPr>
          <w:snapToGrid/>
        </w:rPr>
        <w:t>, including transportation and accommodation services for patients who need to travel and/or be accommodated while receiving treatment.</w:t>
      </w:r>
      <w:bookmarkEnd w:id="8"/>
      <w:r w:rsidRPr="00D1626F">
        <w:rPr>
          <w:snapToGrid/>
        </w:rPr>
        <w:t xml:space="preserve"> </w:t>
      </w:r>
    </w:p>
    <w:p w14:paraId="3E2A6EAB" w14:textId="3D17FAEB" w:rsidR="005C25FF" w:rsidRPr="00621ADA" w:rsidRDefault="005C25FF" w:rsidP="004E18E9">
      <w:pPr>
        <w:pStyle w:val="3-SubsectionHeading"/>
      </w:pPr>
      <w:r w:rsidRPr="00621ADA">
        <w:t>Previous PBAC consideration</w:t>
      </w:r>
      <w:bookmarkEnd w:id="6"/>
      <w:bookmarkEnd w:id="7"/>
    </w:p>
    <w:p w14:paraId="1EBF236C" w14:textId="02C46A0D" w:rsidR="002E4F02" w:rsidRPr="002E4F02" w:rsidRDefault="00D60B48" w:rsidP="002E4F02">
      <w:pPr>
        <w:pStyle w:val="ExecSumBodyText"/>
      </w:pPr>
      <w:r w:rsidRPr="00D60B48">
        <w:rPr>
          <w:snapToGrid/>
        </w:rPr>
        <w:t>The matters of concern from the July 2021 PBAC meeting are summarised in the table below.</w:t>
      </w:r>
    </w:p>
    <w:p w14:paraId="1C0DA5EA" w14:textId="0888D070" w:rsidR="005C25FF" w:rsidRPr="00D60B48" w:rsidRDefault="48E1CBC9" w:rsidP="00397904">
      <w:pPr>
        <w:pStyle w:val="Caption"/>
      </w:pPr>
      <w:r w:rsidRPr="00D60B48">
        <w:t xml:space="preserve">Table </w:t>
      </w:r>
      <w:r w:rsidR="002030D0">
        <w:fldChar w:fldCharType="begin"/>
      </w:r>
      <w:r w:rsidR="002030D0">
        <w:instrText xml:space="preserve"> SEQ Table \* ARABIC </w:instrText>
      </w:r>
      <w:r w:rsidR="002030D0">
        <w:fldChar w:fldCharType="separate"/>
      </w:r>
      <w:r w:rsidR="008E3D7A">
        <w:rPr>
          <w:noProof/>
        </w:rPr>
        <w:t>2</w:t>
      </w:r>
      <w:r w:rsidR="002030D0">
        <w:rPr>
          <w:noProof/>
        </w:rPr>
        <w:fldChar w:fldCharType="end"/>
      </w:r>
      <w:r w:rsidRPr="00D60B48">
        <w:t>: Summary of key matters of concern</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6"/>
        <w:gridCol w:w="3831"/>
        <w:gridCol w:w="3918"/>
      </w:tblGrid>
      <w:tr w:rsidR="48E1CBC9" w14:paraId="42400B17" w14:textId="77777777" w:rsidTr="00742593">
        <w:trPr>
          <w:cantSplit/>
          <w:tblHeader/>
        </w:trPr>
        <w:tc>
          <w:tcPr>
            <w:tcW w:w="1266" w:type="dxa"/>
            <w:vAlign w:val="center"/>
          </w:tcPr>
          <w:p w14:paraId="6D5280CB" w14:textId="7B7210AE" w:rsidR="48E1CBC9" w:rsidRDefault="48E1CBC9" w:rsidP="00D60B48">
            <w:pPr>
              <w:jc w:val="left"/>
            </w:pPr>
            <w:r w:rsidRPr="48E1CBC9">
              <w:rPr>
                <w:rFonts w:ascii="Arial Narrow" w:eastAsia="Arial Narrow" w:hAnsi="Arial Narrow" w:cs="Arial Narrow"/>
                <w:b/>
                <w:bCs/>
                <w:sz w:val="20"/>
                <w:szCs w:val="20"/>
              </w:rPr>
              <w:t>Component</w:t>
            </w:r>
          </w:p>
        </w:tc>
        <w:tc>
          <w:tcPr>
            <w:tcW w:w="3831" w:type="dxa"/>
            <w:vAlign w:val="center"/>
          </w:tcPr>
          <w:p w14:paraId="250F80C4" w14:textId="2F8A5148" w:rsidR="48E1CBC9" w:rsidRDefault="48E1CBC9" w:rsidP="48E1CBC9">
            <w:pPr>
              <w:jc w:val="center"/>
            </w:pPr>
            <w:r w:rsidRPr="48E1CBC9">
              <w:rPr>
                <w:rFonts w:ascii="Arial Narrow" w:eastAsia="Arial Narrow" w:hAnsi="Arial Narrow" w:cs="Arial Narrow"/>
                <w:b/>
                <w:bCs/>
                <w:sz w:val="20"/>
                <w:szCs w:val="20"/>
              </w:rPr>
              <w:t>Matter of concern</w:t>
            </w:r>
          </w:p>
        </w:tc>
        <w:tc>
          <w:tcPr>
            <w:tcW w:w="3918" w:type="dxa"/>
            <w:vAlign w:val="center"/>
          </w:tcPr>
          <w:p w14:paraId="4524F408" w14:textId="4D706A1F" w:rsidR="48E1CBC9" w:rsidRDefault="48E1CBC9" w:rsidP="48E1CBC9">
            <w:pPr>
              <w:jc w:val="center"/>
            </w:pPr>
            <w:r w:rsidRPr="48E1CBC9">
              <w:rPr>
                <w:rFonts w:ascii="Arial Narrow" w:eastAsia="Arial Narrow" w:hAnsi="Arial Narrow" w:cs="Arial Narrow"/>
                <w:b/>
                <w:bCs/>
                <w:sz w:val="20"/>
                <w:szCs w:val="20"/>
              </w:rPr>
              <w:t>How the resubmission addresses it</w:t>
            </w:r>
          </w:p>
        </w:tc>
      </w:tr>
      <w:tr w:rsidR="48E1CBC9" w14:paraId="660B6207" w14:textId="77777777" w:rsidTr="00742593">
        <w:trPr>
          <w:cantSplit/>
        </w:trPr>
        <w:tc>
          <w:tcPr>
            <w:tcW w:w="1266" w:type="dxa"/>
            <w:vAlign w:val="center"/>
          </w:tcPr>
          <w:p w14:paraId="57A4D45B" w14:textId="0BE2C38F" w:rsidR="48E1CBC9" w:rsidRDefault="48E1CBC9" w:rsidP="00D60B48">
            <w:pPr>
              <w:jc w:val="left"/>
            </w:pPr>
            <w:r w:rsidRPr="48E1CBC9">
              <w:rPr>
                <w:rFonts w:ascii="Arial Narrow" w:eastAsia="Arial Narrow" w:hAnsi="Arial Narrow" w:cs="Arial Narrow"/>
                <w:sz w:val="20"/>
                <w:szCs w:val="20"/>
              </w:rPr>
              <w:t xml:space="preserve"> </w:t>
            </w:r>
            <w:r w:rsidR="00D80F6F">
              <w:rPr>
                <w:rFonts w:ascii="Arial Narrow" w:eastAsia="Arial Narrow" w:hAnsi="Arial Narrow" w:cs="Arial Narrow"/>
                <w:sz w:val="20"/>
                <w:szCs w:val="20"/>
              </w:rPr>
              <w:t xml:space="preserve">Clinical positioning of </w:t>
            </w:r>
            <w:proofErr w:type="spellStart"/>
            <w:r w:rsidR="00D80F6F">
              <w:rPr>
                <w:rFonts w:ascii="Arial Narrow" w:eastAsia="Arial Narrow" w:hAnsi="Arial Narrow" w:cs="Arial Narrow"/>
                <w:sz w:val="20"/>
                <w:szCs w:val="20"/>
              </w:rPr>
              <w:t>esketamine</w:t>
            </w:r>
            <w:proofErr w:type="spellEnd"/>
          </w:p>
        </w:tc>
        <w:tc>
          <w:tcPr>
            <w:tcW w:w="3831" w:type="dxa"/>
          </w:tcPr>
          <w:p w14:paraId="06A60E9C" w14:textId="5B53A993" w:rsidR="48E1CBC9" w:rsidRDefault="00BC24AC" w:rsidP="00BC24AC">
            <w:pPr>
              <w:jc w:val="left"/>
            </w:pPr>
            <w:r>
              <w:rPr>
                <w:rFonts w:ascii="Arial Narrow" w:eastAsia="Arial Narrow" w:hAnsi="Arial Narrow" w:cs="Arial Narrow"/>
                <w:sz w:val="20"/>
                <w:szCs w:val="20"/>
              </w:rPr>
              <w:t>T</w:t>
            </w:r>
            <w:r w:rsidRPr="00BC24AC">
              <w:rPr>
                <w:rFonts w:ascii="Arial Narrow" w:eastAsia="Arial Narrow" w:hAnsi="Arial Narrow" w:cs="Arial Narrow"/>
                <w:sz w:val="20"/>
                <w:szCs w:val="20"/>
              </w:rPr>
              <w:t xml:space="preserve">he PBAC considered the proposed placement of </w:t>
            </w:r>
            <w:proofErr w:type="spellStart"/>
            <w:r w:rsidRPr="00BC24AC">
              <w:rPr>
                <w:rFonts w:ascii="Arial Narrow" w:eastAsia="Arial Narrow" w:hAnsi="Arial Narrow" w:cs="Arial Narrow"/>
                <w:sz w:val="20"/>
                <w:szCs w:val="20"/>
              </w:rPr>
              <w:t>esketamine</w:t>
            </w:r>
            <w:proofErr w:type="spellEnd"/>
            <w:r w:rsidRPr="00BC24AC">
              <w:rPr>
                <w:rFonts w:ascii="Arial Narrow" w:eastAsia="Arial Narrow" w:hAnsi="Arial Narrow" w:cs="Arial Narrow"/>
                <w:sz w:val="20"/>
                <w:szCs w:val="20"/>
              </w:rPr>
              <w:t xml:space="preserve"> after</w:t>
            </w:r>
            <w:r>
              <w:rPr>
                <w:rFonts w:ascii="Arial Narrow" w:eastAsia="Arial Narrow" w:hAnsi="Arial Narrow" w:cs="Arial Narrow"/>
                <w:sz w:val="20"/>
                <w:szCs w:val="20"/>
              </w:rPr>
              <w:t xml:space="preserve"> </w:t>
            </w:r>
            <w:r w:rsidRPr="00BC24AC">
              <w:rPr>
                <w:rFonts w:ascii="Arial Narrow" w:eastAsia="Arial Narrow" w:hAnsi="Arial Narrow" w:cs="Arial Narrow"/>
                <w:sz w:val="20"/>
                <w:szCs w:val="20"/>
              </w:rPr>
              <w:t>failure of two antidepressants was too early in the treatment algorithm, given the</w:t>
            </w:r>
            <w:r>
              <w:rPr>
                <w:rFonts w:ascii="Arial Narrow" w:eastAsia="Arial Narrow" w:hAnsi="Arial Narrow" w:cs="Arial Narrow"/>
                <w:sz w:val="20"/>
                <w:szCs w:val="20"/>
              </w:rPr>
              <w:t xml:space="preserve"> </w:t>
            </w:r>
            <w:r w:rsidRPr="00BC24AC">
              <w:rPr>
                <w:rFonts w:ascii="Arial Narrow" w:eastAsia="Arial Narrow" w:hAnsi="Arial Narrow" w:cs="Arial Narrow"/>
                <w:sz w:val="20"/>
                <w:szCs w:val="20"/>
              </w:rPr>
              <w:t>availability of established alternatives such as combination OAD therapy,</w:t>
            </w:r>
            <w:r>
              <w:rPr>
                <w:rFonts w:ascii="Arial Narrow" w:eastAsia="Arial Narrow" w:hAnsi="Arial Narrow" w:cs="Arial Narrow"/>
                <w:sz w:val="20"/>
                <w:szCs w:val="20"/>
              </w:rPr>
              <w:t xml:space="preserve"> </w:t>
            </w:r>
            <w:r w:rsidRPr="00BC24AC">
              <w:rPr>
                <w:rFonts w:ascii="Arial Narrow" w:eastAsia="Arial Narrow" w:hAnsi="Arial Narrow" w:cs="Arial Narrow"/>
                <w:sz w:val="20"/>
                <w:szCs w:val="20"/>
              </w:rPr>
              <w:t>augmentation therapy, psychotherapy, ECT and other physical interventions. The</w:t>
            </w:r>
            <w:r>
              <w:rPr>
                <w:rFonts w:ascii="Arial Narrow" w:eastAsia="Arial Narrow" w:hAnsi="Arial Narrow" w:cs="Arial Narrow"/>
                <w:sz w:val="20"/>
                <w:szCs w:val="20"/>
              </w:rPr>
              <w:t xml:space="preserve"> </w:t>
            </w:r>
            <w:r w:rsidRPr="00BC24AC">
              <w:rPr>
                <w:rFonts w:ascii="Arial Narrow" w:eastAsia="Arial Narrow" w:hAnsi="Arial Narrow" w:cs="Arial Narrow"/>
                <w:sz w:val="20"/>
                <w:szCs w:val="20"/>
              </w:rPr>
              <w:t>PBAC noted that the management of depressive disorders such as TRD are complex</w:t>
            </w:r>
            <w:r>
              <w:rPr>
                <w:rFonts w:ascii="Arial Narrow" w:eastAsia="Arial Narrow" w:hAnsi="Arial Narrow" w:cs="Arial Narrow"/>
                <w:sz w:val="20"/>
                <w:szCs w:val="20"/>
              </w:rPr>
              <w:t xml:space="preserve"> </w:t>
            </w:r>
            <w:r w:rsidRPr="00BC24AC">
              <w:rPr>
                <w:rFonts w:ascii="Arial Narrow" w:eastAsia="Arial Narrow" w:hAnsi="Arial Narrow" w:cs="Arial Narrow"/>
                <w:sz w:val="20"/>
                <w:szCs w:val="20"/>
              </w:rPr>
              <w:t xml:space="preserve">and considered that as the place in therapy of </w:t>
            </w:r>
            <w:proofErr w:type="spellStart"/>
            <w:r w:rsidRPr="00BC24AC">
              <w:rPr>
                <w:rFonts w:ascii="Arial Narrow" w:eastAsia="Arial Narrow" w:hAnsi="Arial Narrow" w:cs="Arial Narrow"/>
                <w:sz w:val="20"/>
                <w:szCs w:val="20"/>
              </w:rPr>
              <w:t>esketamine</w:t>
            </w:r>
            <w:proofErr w:type="spellEnd"/>
            <w:r w:rsidRPr="00BC24AC">
              <w:rPr>
                <w:rFonts w:ascii="Arial Narrow" w:eastAsia="Arial Narrow" w:hAnsi="Arial Narrow" w:cs="Arial Narrow"/>
                <w:sz w:val="20"/>
                <w:szCs w:val="20"/>
              </w:rPr>
              <w:t xml:space="preserve"> nasal spray is unclear and</w:t>
            </w:r>
            <w:r>
              <w:rPr>
                <w:rFonts w:ascii="Arial Narrow" w:eastAsia="Arial Narrow" w:hAnsi="Arial Narrow" w:cs="Arial Narrow"/>
                <w:sz w:val="20"/>
                <w:szCs w:val="20"/>
              </w:rPr>
              <w:t xml:space="preserve"> </w:t>
            </w:r>
            <w:r w:rsidRPr="00BC24AC">
              <w:rPr>
                <w:rFonts w:ascii="Arial Narrow" w:eastAsia="Arial Narrow" w:hAnsi="Arial Narrow" w:cs="Arial Narrow"/>
                <w:sz w:val="20"/>
                <w:szCs w:val="20"/>
              </w:rPr>
              <w:t xml:space="preserve">emerging, the integration of </w:t>
            </w:r>
            <w:proofErr w:type="spellStart"/>
            <w:r w:rsidRPr="00BC24AC">
              <w:rPr>
                <w:rFonts w:ascii="Arial Narrow" w:eastAsia="Arial Narrow" w:hAnsi="Arial Narrow" w:cs="Arial Narrow"/>
                <w:sz w:val="20"/>
                <w:szCs w:val="20"/>
              </w:rPr>
              <w:t>esketamine</w:t>
            </w:r>
            <w:proofErr w:type="spellEnd"/>
            <w:r w:rsidRPr="00BC24AC">
              <w:rPr>
                <w:rFonts w:ascii="Arial Narrow" w:eastAsia="Arial Narrow" w:hAnsi="Arial Narrow" w:cs="Arial Narrow"/>
                <w:sz w:val="20"/>
                <w:szCs w:val="20"/>
              </w:rPr>
              <w:t xml:space="preserve"> alongside non-pharmacological treatment</w:t>
            </w:r>
            <w:r w:rsidR="00527AC7">
              <w:rPr>
                <w:rFonts w:ascii="Arial Narrow" w:eastAsia="Arial Narrow" w:hAnsi="Arial Narrow" w:cs="Arial Narrow"/>
                <w:sz w:val="20"/>
                <w:szCs w:val="20"/>
              </w:rPr>
              <w:t xml:space="preserve"> </w:t>
            </w:r>
            <w:r w:rsidRPr="00BC24AC">
              <w:rPr>
                <w:rFonts w:ascii="Arial Narrow" w:eastAsia="Arial Narrow" w:hAnsi="Arial Narrow" w:cs="Arial Narrow"/>
                <w:sz w:val="20"/>
                <w:szCs w:val="20"/>
              </w:rPr>
              <w:t>options in practice, such as ECT, is unclear</w:t>
            </w:r>
            <w:r>
              <w:rPr>
                <w:rFonts w:ascii="Arial Narrow" w:eastAsia="Arial Narrow" w:hAnsi="Arial Narrow" w:cs="Arial Narrow"/>
                <w:sz w:val="20"/>
                <w:szCs w:val="20"/>
              </w:rPr>
              <w:t xml:space="preserve"> (para </w:t>
            </w:r>
            <w:r w:rsidR="006A3D78">
              <w:rPr>
                <w:rFonts w:ascii="Arial Narrow" w:eastAsia="Arial Narrow" w:hAnsi="Arial Narrow" w:cs="Arial Narrow"/>
                <w:sz w:val="20"/>
                <w:szCs w:val="20"/>
              </w:rPr>
              <w:t xml:space="preserve">7.2, </w:t>
            </w:r>
            <w:r w:rsidR="006A3D78" w:rsidRPr="48E1CBC9">
              <w:rPr>
                <w:rFonts w:ascii="Arial Narrow" w:eastAsia="Arial Narrow" w:hAnsi="Arial Narrow" w:cs="Arial Narrow"/>
                <w:sz w:val="20"/>
                <w:szCs w:val="20"/>
              </w:rPr>
              <w:t xml:space="preserve">7.11 </w:t>
            </w:r>
            <w:proofErr w:type="spellStart"/>
            <w:r w:rsidR="00D46C2D">
              <w:rPr>
                <w:rFonts w:ascii="Arial Narrow" w:eastAsia="Arial Narrow" w:hAnsi="Arial Narrow" w:cs="Arial Narrow"/>
                <w:sz w:val="20"/>
                <w:szCs w:val="20"/>
              </w:rPr>
              <w:t>esketamine</w:t>
            </w:r>
            <w:proofErr w:type="spellEnd"/>
            <w:r w:rsidR="00D46C2D">
              <w:rPr>
                <w:rFonts w:ascii="Arial Narrow" w:eastAsia="Arial Narrow" w:hAnsi="Arial Narrow" w:cs="Arial Narrow"/>
                <w:sz w:val="20"/>
                <w:szCs w:val="20"/>
              </w:rPr>
              <w:t xml:space="preserve"> P</w:t>
            </w:r>
            <w:r w:rsidR="006A3D78">
              <w:rPr>
                <w:rFonts w:ascii="Arial Narrow" w:eastAsia="Arial Narrow" w:hAnsi="Arial Narrow" w:cs="Arial Narrow"/>
                <w:sz w:val="20"/>
                <w:szCs w:val="20"/>
              </w:rPr>
              <w:t xml:space="preserve">ublic </w:t>
            </w:r>
            <w:r w:rsidR="006A3D78" w:rsidRPr="48E1CBC9">
              <w:rPr>
                <w:rFonts w:ascii="Arial Narrow" w:eastAsia="Arial Narrow" w:hAnsi="Arial Narrow" w:cs="Arial Narrow"/>
                <w:sz w:val="20"/>
                <w:szCs w:val="20"/>
              </w:rPr>
              <w:t>S</w:t>
            </w:r>
            <w:r w:rsidR="006A3D78">
              <w:rPr>
                <w:rFonts w:ascii="Arial Narrow" w:eastAsia="Arial Narrow" w:hAnsi="Arial Narrow" w:cs="Arial Narrow"/>
                <w:sz w:val="20"/>
                <w:szCs w:val="20"/>
              </w:rPr>
              <w:t xml:space="preserve">ummary </w:t>
            </w:r>
            <w:r w:rsidR="006A3D78" w:rsidRPr="48E1CBC9">
              <w:rPr>
                <w:rFonts w:ascii="Arial Narrow" w:eastAsia="Arial Narrow" w:hAnsi="Arial Narrow" w:cs="Arial Narrow"/>
                <w:sz w:val="20"/>
                <w:szCs w:val="20"/>
              </w:rPr>
              <w:t>D</w:t>
            </w:r>
            <w:r w:rsidR="006A3D78">
              <w:rPr>
                <w:rFonts w:ascii="Arial Narrow" w:eastAsia="Arial Narrow" w:hAnsi="Arial Narrow" w:cs="Arial Narrow"/>
                <w:sz w:val="20"/>
                <w:szCs w:val="20"/>
              </w:rPr>
              <w:t>ocument [PSD]</w:t>
            </w:r>
            <w:r w:rsidR="006A3D78" w:rsidRPr="48E1CBC9">
              <w:rPr>
                <w:rFonts w:ascii="Arial Narrow" w:eastAsia="Arial Narrow" w:hAnsi="Arial Narrow" w:cs="Arial Narrow"/>
                <w:sz w:val="20"/>
                <w:szCs w:val="20"/>
              </w:rPr>
              <w:t>, July 2021 PBAC meeting</w:t>
            </w:r>
            <w:r w:rsidRPr="00BC24AC">
              <w:rPr>
                <w:rFonts w:ascii="Arial Narrow" w:eastAsia="Arial Narrow" w:hAnsi="Arial Narrow" w:cs="Arial Narrow"/>
                <w:sz w:val="20"/>
                <w:szCs w:val="20"/>
              </w:rPr>
              <w:t>.</w:t>
            </w:r>
          </w:p>
        </w:tc>
        <w:tc>
          <w:tcPr>
            <w:tcW w:w="3918" w:type="dxa"/>
          </w:tcPr>
          <w:p w14:paraId="18213E17" w14:textId="7C74BC45" w:rsidR="48E1CBC9" w:rsidRDefault="006A3D78" w:rsidP="006A3D78">
            <w:pPr>
              <w:jc w:val="left"/>
            </w:pPr>
            <w:r>
              <w:rPr>
                <w:rFonts w:ascii="Arial Narrow" w:eastAsia="Arial Narrow" w:hAnsi="Arial Narrow" w:cs="Arial Narrow"/>
                <w:sz w:val="20"/>
                <w:szCs w:val="20"/>
              </w:rPr>
              <w:t>The resubmission argued that the place in therapy</w:t>
            </w:r>
            <w:r w:rsidR="009E5F1C">
              <w:rPr>
                <w:rFonts w:ascii="Arial Narrow" w:eastAsia="Arial Narrow" w:hAnsi="Arial Narrow" w:cs="Arial Narrow"/>
                <w:sz w:val="20"/>
                <w:szCs w:val="20"/>
              </w:rPr>
              <w:t xml:space="preserve"> as proposed in the original submission</w:t>
            </w:r>
            <w:r>
              <w:rPr>
                <w:rFonts w:ascii="Arial Narrow" w:eastAsia="Arial Narrow" w:hAnsi="Arial Narrow" w:cs="Arial Narrow"/>
                <w:sz w:val="20"/>
                <w:szCs w:val="20"/>
              </w:rPr>
              <w:t xml:space="preserve"> was appropriate. </w:t>
            </w:r>
            <w:r w:rsidR="00BB560A">
              <w:rPr>
                <w:rFonts w:ascii="Arial Narrow" w:eastAsia="Arial Narrow" w:hAnsi="Arial Narrow" w:cs="Arial Narrow"/>
                <w:sz w:val="20"/>
                <w:szCs w:val="20"/>
              </w:rPr>
              <w:t xml:space="preserve">The primary evidence in support of this was a </w:t>
            </w:r>
            <w:r w:rsidR="00BB560A" w:rsidRPr="00BB560A">
              <w:rPr>
                <w:rFonts w:ascii="Arial Narrow" w:eastAsia="Arial Narrow" w:hAnsi="Arial Narrow" w:cs="Arial Narrow"/>
                <w:sz w:val="20"/>
                <w:szCs w:val="20"/>
              </w:rPr>
              <w:t>consensus statement obtained by the sponsor from practicing Australian psychiatrists (</w:t>
            </w:r>
            <w:r w:rsidR="00510068">
              <w:rPr>
                <w:rFonts w:ascii="Arial Narrow" w:eastAsia="Arial Narrow" w:hAnsi="Arial Narrow" w:cs="Arial Narrow"/>
                <w:sz w:val="20"/>
                <w:szCs w:val="20"/>
              </w:rPr>
              <w:t>see C</w:t>
            </w:r>
            <w:r w:rsidR="0094144B">
              <w:rPr>
                <w:rFonts w:ascii="Arial Narrow" w:eastAsia="Arial Narrow" w:hAnsi="Arial Narrow" w:cs="Arial Narrow"/>
                <w:sz w:val="20"/>
                <w:szCs w:val="20"/>
              </w:rPr>
              <w:t>linical C</w:t>
            </w:r>
            <w:r w:rsidR="00510068">
              <w:rPr>
                <w:rFonts w:ascii="Arial Narrow" w:eastAsia="Arial Narrow" w:hAnsi="Arial Narrow" w:cs="Arial Narrow"/>
                <w:sz w:val="20"/>
                <w:szCs w:val="20"/>
              </w:rPr>
              <w:t>onsensus Statement section above</w:t>
            </w:r>
            <w:r w:rsidR="00BB560A" w:rsidRPr="00BB560A">
              <w:rPr>
                <w:rFonts w:ascii="Arial Narrow" w:eastAsia="Arial Narrow" w:hAnsi="Arial Narrow" w:cs="Arial Narrow"/>
                <w:sz w:val="20"/>
                <w:szCs w:val="20"/>
              </w:rPr>
              <w:t>).</w:t>
            </w:r>
            <w:r w:rsidR="003778CB">
              <w:t xml:space="preserve"> </w:t>
            </w:r>
          </w:p>
        </w:tc>
      </w:tr>
      <w:tr w:rsidR="003016CD" w14:paraId="3C369E18" w14:textId="77777777" w:rsidTr="00742593">
        <w:trPr>
          <w:cantSplit/>
        </w:trPr>
        <w:tc>
          <w:tcPr>
            <w:tcW w:w="1266" w:type="dxa"/>
            <w:vAlign w:val="center"/>
          </w:tcPr>
          <w:p w14:paraId="1BD5B888" w14:textId="369B3113" w:rsidR="003016CD" w:rsidRPr="48E1CBC9" w:rsidRDefault="0043653D" w:rsidP="00D60B48">
            <w:pPr>
              <w:jc w:val="left"/>
              <w:rPr>
                <w:rFonts w:ascii="Arial Narrow" w:eastAsia="Arial Narrow" w:hAnsi="Arial Narrow" w:cs="Arial Narrow"/>
                <w:sz w:val="20"/>
                <w:szCs w:val="20"/>
              </w:rPr>
            </w:pPr>
            <w:r>
              <w:rPr>
                <w:rFonts w:ascii="Arial Narrow" w:eastAsia="Arial Narrow" w:hAnsi="Arial Narrow" w:cs="Arial Narrow"/>
                <w:sz w:val="20"/>
                <w:szCs w:val="20"/>
              </w:rPr>
              <w:lastRenderedPageBreak/>
              <w:t>Appropriateness of initiating two antidepressant agents simultaneously</w:t>
            </w:r>
          </w:p>
        </w:tc>
        <w:tc>
          <w:tcPr>
            <w:tcW w:w="3831" w:type="dxa"/>
          </w:tcPr>
          <w:p w14:paraId="239BB141" w14:textId="61A65713" w:rsidR="00F70AE0" w:rsidRPr="00F70AE0" w:rsidRDefault="00F70AE0" w:rsidP="00F70AE0">
            <w:pPr>
              <w:jc w:val="left"/>
              <w:rPr>
                <w:rFonts w:ascii="Arial Narrow" w:eastAsia="Arial Narrow" w:hAnsi="Arial Narrow" w:cs="Arial Narrow"/>
                <w:sz w:val="20"/>
                <w:szCs w:val="20"/>
              </w:rPr>
            </w:pPr>
            <w:r w:rsidRPr="00F70AE0">
              <w:rPr>
                <w:rFonts w:ascii="Arial Narrow" w:eastAsia="Arial Narrow" w:hAnsi="Arial Narrow" w:cs="Arial Narrow"/>
                <w:sz w:val="20"/>
                <w:szCs w:val="20"/>
              </w:rPr>
              <w:t xml:space="preserve">The PBAC noted the use of </w:t>
            </w:r>
            <w:proofErr w:type="spellStart"/>
            <w:r w:rsidRPr="00F70AE0">
              <w:rPr>
                <w:rFonts w:ascii="Arial Narrow" w:eastAsia="Arial Narrow" w:hAnsi="Arial Narrow" w:cs="Arial Narrow"/>
                <w:sz w:val="20"/>
                <w:szCs w:val="20"/>
              </w:rPr>
              <w:t>esketamine</w:t>
            </w:r>
            <w:proofErr w:type="spellEnd"/>
            <w:r w:rsidRPr="00F70AE0">
              <w:rPr>
                <w:rFonts w:ascii="Arial Narrow" w:eastAsia="Arial Narrow" w:hAnsi="Arial Narrow" w:cs="Arial Narrow"/>
                <w:sz w:val="20"/>
                <w:szCs w:val="20"/>
              </w:rPr>
              <w:t xml:space="preserve"> in </w:t>
            </w:r>
            <w:r>
              <w:rPr>
                <w:rFonts w:ascii="Arial Narrow" w:eastAsia="Arial Narrow" w:hAnsi="Arial Narrow" w:cs="Arial Narrow"/>
                <w:sz w:val="20"/>
                <w:szCs w:val="20"/>
              </w:rPr>
              <w:t>c</w:t>
            </w:r>
            <w:r w:rsidRPr="00F70AE0">
              <w:rPr>
                <w:rFonts w:ascii="Arial Narrow" w:eastAsia="Arial Narrow" w:hAnsi="Arial Narrow" w:cs="Arial Narrow"/>
                <w:sz w:val="20"/>
                <w:szCs w:val="20"/>
              </w:rPr>
              <w:t>ombination with a newly initiated OAD was</w:t>
            </w:r>
          </w:p>
          <w:p w14:paraId="711507EE" w14:textId="5A331F31" w:rsidR="003016CD" w:rsidRPr="48E1CBC9" w:rsidRDefault="00F70AE0" w:rsidP="00B979ED">
            <w:pPr>
              <w:jc w:val="left"/>
              <w:rPr>
                <w:rFonts w:ascii="Arial Narrow" w:eastAsia="Arial Narrow" w:hAnsi="Arial Narrow" w:cs="Arial Narrow"/>
                <w:sz w:val="20"/>
                <w:szCs w:val="20"/>
              </w:rPr>
            </w:pPr>
            <w:r w:rsidRPr="00F70AE0">
              <w:rPr>
                <w:rFonts w:ascii="Arial Narrow" w:eastAsia="Arial Narrow" w:hAnsi="Arial Narrow" w:cs="Arial Narrow"/>
                <w:sz w:val="20"/>
                <w:szCs w:val="20"/>
              </w:rPr>
              <w:t>consistent with the clinical evidence and the TGA indication but considered the PBS</w:t>
            </w:r>
            <w:r w:rsidR="00B979ED">
              <w:rPr>
                <w:rFonts w:ascii="Arial Narrow" w:eastAsia="Arial Narrow" w:hAnsi="Arial Narrow" w:cs="Arial Narrow"/>
                <w:sz w:val="20"/>
                <w:szCs w:val="20"/>
              </w:rPr>
              <w:t xml:space="preserve"> </w:t>
            </w:r>
            <w:r w:rsidRPr="00F70AE0">
              <w:rPr>
                <w:rFonts w:ascii="Arial Narrow" w:eastAsia="Arial Narrow" w:hAnsi="Arial Narrow" w:cs="Arial Narrow"/>
                <w:sz w:val="20"/>
                <w:szCs w:val="20"/>
              </w:rPr>
              <w:t>restrictions should allow flexibility to enable the treatment needs of individual</w:t>
            </w:r>
            <w:r w:rsidR="00B979ED">
              <w:rPr>
                <w:rFonts w:ascii="Arial Narrow" w:eastAsia="Arial Narrow" w:hAnsi="Arial Narrow" w:cs="Arial Narrow"/>
                <w:sz w:val="20"/>
                <w:szCs w:val="20"/>
              </w:rPr>
              <w:t xml:space="preserve"> </w:t>
            </w:r>
            <w:r w:rsidRPr="00F70AE0">
              <w:rPr>
                <w:rFonts w:ascii="Arial Narrow" w:eastAsia="Arial Narrow" w:hAnsi="Arial Narrow" w:cs="Arial Narrow"/>
                <w:sz w:val="20"/>
                <w:szCs w:val="20"/>
              </w:rPr>
              <w:t>patients to be considered</w:t>
            </w:r>
            <w:r w:rsidR="005C0E77">
              <w:rPr>
                <w:rFonts w:ascii="Arial Narrow" w:eastAsia="Arial Narrow" w:hAnsi="Arial Narrow" w:cs="Arial Narrow"/>
                <w:sz w:val="20"/>
                <w:szCs w:val="20"/>
              </w:rPr>
              <w:t xml:space="preserve"> (para 7.5)</w:t>
            </w:r>
          </w:p>
        </w:tc>
        <w:tc>
          <w:tcPr>
            <w:tcW w:w="3918" w:type="dxa"/>
            <w:vAlign w:val="center"/>
          </w:tcPr>
          <w:p w14:paraId="4EDE2B79" w14:textId="207EE358" w:rsidR="003016CD" w:rsidRPr="48E1CBC9" w:rsidRDefault="001D5070" w:rsidP="001D5070">
            <w:pPr>
              <w:jc w:val="left"/>
              <w:rPr>
                <w:rFonts w:ascii="Arial Narrow" w:eastAsia="Arial Narrow" w:hAnsi="Arial Narrow" w:cs="Arial Narrow"/>
                <w:sz w:val="20"/>
                <w:szCs w:val="20"/>
              </w:rPr>
            </w:pPr>
            <w:r>
              <w:rPr>
                <w:rFonts w:ascii="Arial Narrow" w:eastAsia="Arial Narrow" w:hAnsi="Arial Narrow" w:cs="Arial Narrow"/>
                <w:sz w:val="20"/>
                <w:szCs w:val="20"/>
              </w:rPr>
              <w:t xml:space="preserve">The resubmission </w:t>
            </w:r>
            <w:r w:rsidR="00822BB1">
              <w:rPr>
                <w:rFonts w:ascii="Arial Narrow" w:eastAsia="Arial Narrow" w:hAnsi="Arial Narrow" w:cs="Arial Narrow"/>
                <w:sz w:val="20"/>
                <w:szCs w:val="20"/>
              </w:rPr>
              <w:t xml:space="preserve">noted that </w:t>
            </w:r>
            <w:r w:rsidR="00EA6E05">
              <w:rPr>
                <w:rFonts w:ascii="Arial Narrow" w:eastAsia="Arial Narrow" w:hAnsi="Arial Narrow" w:cs="Arial Narrow"/>
                <w:sz w:val="20"/>
                <w:szCs w:val="20"/>
              </w:rPr>
              <w:t>there was no definition supplied for ‘newly’ in the proposed restriction, which it argued was to provide a level of pragmatism for clinical practice.</w:t>
            </w:r>
          </w:p>
        </w:tc>
      </w:tr>
      <w:tr w:rsidR="006D536B" w14:paraId="48249CFE" w14:textId="77777777" w:rsidTr="00ED6A7A">
        <w:trPr>
          <w:cantSplit/>
        </w:trPr>
        <w:tc>
          <w:tcPr>
            <w:tcW w:w="1266" w:type="dxa"/>
            <w:vAlign w:val="center"/>
          </w:tcPr>
          <w:p w14:paraId="4F41BC82" w14:textId="27060A4D" w:rsidR="006D536B" w:rsidRDefault="006D536B" w:rsidP="006D536B">
            <w:pPr>
              <w:jc w:val="left"/>
              <w:rPr>
                <w:rFonts w:ascii="Arial Narrow" w:eastAsia="Arial Narrow" w:hAnsi="Arial Narrow" w:cs="Arial Narrow"/>
                <w:sz w:val="20"/>
                <w:szCs w:val="20"/>
              </w:rPr>
            </w:pPr>
            <w:r>
              <w:rPr>
                <w:rFonts w:ascii="Arial Narrow" w:eastAsia="Arial Narrow" w:hAnsi="Arial Narrow" w:cs="Arial Narrow"/>
                <w:sz w:val="20"/>
                <w:szCs w:val="20"/>
              </w:rPr>
              <w:t>Comparator</w:t>
            </w:r>
          </w:p>
        </w:tc>
        <w:tc>
          <w:tcPr>
            <w:tcW w:w="3831" w:type="dxa"/>
          </w:tcPr>
          <w:p w14:paraId="27E9AA22" w14:textId="522FBFDA" w:rsidR="006D536B" w:rsidRPr="00ED6A7A" w:rsidRDefault="006D536B" w:rsidP="00ED6A7A">
            <w:pPr>
              <w:jc w:val="left"/>
              <w:rPr>
                <w:rFonts w:ascii="Arial Narrow" w:eastAsia="Arial Narrow" w:hAnsi="Arial Narrow" w:cs="Arial Narrow"/>
                <w:sz w:val="20"/>
                <w:szCs w:val="20"/>
              </w:rPr>
            </w:pPr>
            <w:r w:rsidRPr="00ED6A7A">
              <w:rPr>
                <w:rFonts w:ascii="Arial Narrow" w:hAnsi="Arial Narrow"/>
                <w:bCs/>
                <w:sz w:val="20"/>
                <w:szCs w:val="20"/>
              </w:rPr>
              <w:t xml:space="preserve">The PBAC noted the nominated comparator was a newly initiated OAD and considered that, while this may be an appropriate comparator for </w:t>
            </w:r>
            <w:proofErr w:type="spellStart"/>
            <w:r w:rsidRPr="00ED6A7A">
              <w:rPr>
                <w:rFonts w:ascii="Arial Narrow" w:hAnsi="Arial Narrow"/>
                <w:bCs/>
                <w:sz w:val="20"/>
                <w:szCs w:val="20"/>
              </w:rPr>
              <w:t>esketamine</w:t>
            </w:r>
            <w:proofErr w:type="spellEnd"/>
            <w:r w:rsidRPr="00ED6A7A">
              <w:rPr>
                <w:rFonts w:ascii="Arial Narrow" w:hAnsi="Arial Narrow"/>
                <w:bCs/>
                <w:sz w:val="20"/>
                <w:szCs w:val="20"/>
              </w:rPr>
              <w:t xml:space="preserve"> in the proposed clinical positioning, it was too early in the treatment algorithm. The PBAC noted there are </w:t>
            </w:r>
            <w:proofErr w:type="gramStart"/>
            <w:r w:rsidRPr="00ED6A7A">
              <w:rPr>
                <w:rFonts w:ascii="Arial Narrow" w:hAnsi="Arial Narrow"/>
                <w:bCs/>
                <w:sz w:val="20"/>
                <w:szCs w:val="20"/>
              </w:rPr>
              <w:t>a number of</w:t>
            </w:r>
            <w:proofErr w:type="gramEnd"/>
            <w:r w:rsidRPr="00ED6A7A">
              <w:rPr>
                <w:rFonts w:ascii="Arial Narrow" w:hAnsi="Arial Narrow"/>
                <w:bCs/>
                <w:sz w:val="20"/>
                <w:szCs w:val="20"/>
              </w:rPr>
              <w:t xml:space="preserve"> PBS and non-PBS alternative treatment options that may be appropriate comparators if </w:t>
            </w:r>
            <w:proofErr w:type="spellStart"/>
            <w:r w:rsidRPr="00ED6A7A">
              <w:rPr>
                <w:rFonts w:ascii="Arial Narrow" w:hAnsi="Arial Narrow"/>
                <w:bCs/>
                <w:sz w:val="20"/>
                <w:szCs w:val="20"/>
              </w:rPr>
              <w:t>esketamine</w:t>
            </w:r>
            <w:proofErr w:type="spellEnd"/>
            <w:r w:rsidRPr="00ED6A7A">
              <w:rPr>
                <w:rFonts w:ascii="Arial Narrow" w:hAnsi="Arial Narrow"/>
                <w:bCs/>
                <w:sz w:val="20"/>
                <w:szCs w:val="20"/>
              </w:rPr>
              <w:t xml:space="preserve"> was positioned later in the treatment algorithm</w:t>
            </w:r>
            <w:r w:rsidR="00ED6A7A">
              <w:rPr>
                <w:rFonts w:ascii="Arial Narrow" w:hAnsi="Arial Narrow"/>
                <w:bCs/>
                <w:sz w:val="20"/>
                <w:szCs w:val="20"/>
              </w:rPr>
              <w:t xml:space="preserve"> (para 7.6)</w:t>
            </w:r>
            <w:r w:rsidRPr="00ED6A7A">
              <w:rPr>
                <w:rFonts w:ascii="Arial Narrow" w:hAnsi="Arial Narrow"/>
                <w:bCs/>
                <w:sz w:val="20"/>
                <w:szCs w:val="20"/>
              </w:rPr>
              <w:t>.</w:t>
            </w:r>
          </w:p>
        </w:tc>
        <w:tc>
          <w:tcPr>
            <w:tcW w:w="3918" w:type="dxa"/>
            <w:vAlign w:val="center"/>
          </w:tcPr>
          <w:p w14:paraId="4A30AB33" w14:textId="2A8CA61E" w:rsidR="006D536B" w:rsidRPr="008656C1" w:rsidRDefault="00ED6A7A" w:rsidP="00ED6A7A">
            <w:pPr>
              <w:jc w:val="left"/>
              <w:rPr>
                <w:rFonts w:ascii="Arial Narrow" w:eastAsia="Arial Narrow" w:hAnsi="Arial Narrow" w:cs="Arial Narrow"/>
                <w:sz w:val="20"/>
                <w:szCs w:val="20"/>
              </w:rPr>
            </w:pPr>
            <w:r w:rsidRPr="008656C1">
              <w:rPr>
                <w:rFonts w:ascii="Arial Narrow" w:eastAsia="Arial Narrow" w:hAnsi="Arial Narrow" w:cs="Arial Narrow"/>
                <w:sz w:val="20"/>
                <w:szCs w:val="20"/>
              </w:rPr>
              <w:t>The nominated comparator remained unchanged.</w:t>
            </w:r>
          </w:p>
        </w:tc>
      </w:tr>
      <w:tr w:rsidR="00A83DBB" w14:paraId="1CE18CC2" w14:textId="77777777" w:rsidTr="00A65564">
        <w:trPr>
          <w:cantSplit/>
          <w:trHeight w:val="918"/>
        </w:trPr>
        <w:tc>
          <w:tcPr>
            <w:tcW w:w="1266" w:type="dxa"/>
            <w:vAlign w:val="center"/>
          </w:tcPr>
          <w:p w14:paraId="4455C77B" w14:textId="779C2383" w:rsidR="00A83DBB" w:rsidRPr="48E1CBC9" w:rsidRDefault="00A83DBB" w:rsidP="006D536B">
            <w:pPr>
              <w:jc w:val="left"/>
              <w:rPr>
                <w:rFonts w:ascii="Arial Narrow" w:eastAsia="Arial Narrow" w:hAnsi="Arial Narrow" w:cs="Arial Narrow"/>
                <w:sz w:val="20"/>
                <w:szCs w:val="20"/>
              </w:rPr>
            </w:pPr>
            <w:r>
              <w:rPr>
                <w:rFonts w:ascii="Arial Narrow" w:eastAsia="Arial Narrow" w:hAnsi="Arial Narrow" w:cs="Arial Narrow"/>
                <w:sz w:val="20"/>
                <w:szCs w:val="20"/>
              </w:rPr>
              <w:t>Clinical evidence</w:t>
            </w:r>
          </w:p>
        </w:tc>
        <w:tc>
          <w:tcPr>
            <w:tcW w:w="3831" w:type="dxa"/>
          </w:tcPr>
          <w:p w14:paraId="29D293C0" w14:textId="17E0043D" w:rsidR="00A83DBB" w:rsidRPr="48E1CBC9" w:rsidRDefault="00A83DBB" w:rsidP="00A83DBB">
            <w:pPr>
              <w:jc w:val="left"/>
              <w:rPr>
                <w:rFonts w:ascii="Arial Narrow" w:eastAsia="Arial Narrow" w:hAnsi="Arial Narrow" w:cs="Arial Narrow"/>
                <w:sz w:val="20"/>
                <w:szCs w:val="20"/>
              </w:rPr>
            </w:pPr>
            <w:r>
              <w:rPr>
                <w:rFonts w:ascii="Arial Narrow" w:eastAsia="Arial Narrow" w:hAnsi="Arial Narrow" w:cs="Arial Narrow"/>
                <w:sz w:val="20"/>
                <w:szCs w:val="20"/>
              </w:rPr>
              <w:t>U</w:t>
            </w:r>
            <w:r w:rsidRPr="00582D41">
              <w:rPr>
                <w:rFonts w:ascii="Arial Narrow" w:eastAsia="Arial Narrow" w:hAnsi="Arial Narrow" w:cs="Arial Narrow"/>
                <w:sz w:val="20"/>
                <w:szCs w:val="20"/>
              </w:rPr>
              <w:t>ncertainty regarding the clinical significance of observed benefit in the clinical trials</w:t>
            </w:r>
            <w:r>
              <w:rPr>
                <w:rFonts w:ascii="Arial Narrow" w:eastAsia="Arial Narrow" w:hAnsi="Arial Narrow" w:cs="Arial Narrow"/>
                <w:sz w:val="20"/>
                <w:szCs w:val="20"/>
              </w:rPr>
              <w:t>; t</w:t>
            </w:r>
            <w:r w:rsidRPr="001E4762">
              <w:rPr>
                <w:rFonts w:ascii="Arial Narrow" w:eastAsia="Arial Narrow" w:hAnsi="Arial Narrow" w:cs="Arial Narrow"/>
                <w:sz w:val="20"/>
                <w:szCs w:val="20"/>
              </w:rPr>
              <w:t>he lack of long-term safety together with the potential for tolerance and</w:t>
            </w:r>
            <w:r>
              <w:rPr>
                <w:rFonts w:ascii="Arial Narrow" w:eastAsia="Arial Narrow" w:hAnsi="Arial Narrow" w:cs="Arial Narrow"/>
                <w:sz w:val="20"/>
                <w:szCs w:val="20"/>
              </w:rPr>
              <w:t xml:space="preserve"> </w:t>
            </w:r>
            <w:r w:rsidRPr="001E4762">
              <w:rPr>
                <w:rFonts w:ascii="Arial Narrow" w:eastAsia="Arial Narrow" w:hAnsi="Arial Narrow" w:cs="Arial Narrow"/>
                <w:sz w:val="20"/>
                <w:szCs w:val="20"/>
              </w:rPr>
              <w:t>dependence</w:t>
            </w:r>
            <w:r>
              <w:rPr>
                <w:rFonts w:ascii="Arial Narrow" w:eastAsia="Arial Narrow" w:hAnsi="Arial Narrow" w:cs="Arial Narrow"/>
                <w:sz w:val="20"/>
                <w:szCs w:val="20"/>
              </w:rPr>
              <w:t xml:space="preserve"> (para 7.1).</w:t>
            </w:r>
          </w:p>
        </w:tc>
        <w:tc>
          <w:tcPr>
            <w:tcW w:w="3918" w:type="dxa"/>
            <w:vAlign w:val="center"/>
          </w:tcPr>
          <w:p w14:paraId="0E7AECF8" w14:textId="383CDB14" w:rsidR="00A83DBB" w:rsidRPr="008656C1" w:rsidRDefault="00A83DBB" w:rsidP="006D536B">
            <w:pPr>
              <w:jc w:val="left"/>
              <w:rPr>
                <w:rFonts w:ascii="Arial Narrow" w:eastAsia="Arial Narrow" w:hAnsi="Arial Narrow" w:cs="Arial Narrow"/>
                <w:sz w:val="20"/>
                <w:szCs w:val="20"/>
              </w:rPr>
            </w:pPr>
            <w:r w:rsidRPr="008656C1">
              <w:rPr>
                <w:rFonts w:ascii="Arial Narrow" w:eastAsia="Arial Narrow" w:hAnsi="Arial Narrow" w:cs="Arial Narrow"/>
                <w:sz w:val="20"/>
                <w:szCs w:val="20"/>
              </w:rPr>
              <w:t>The clinical evidence is unchanged.</w:t>
            </w:r>
          </w:p>
        </w:tc>
      </w:tr>
      <w:tr w:rsidR="006D536B" w14:paraId="3961673A" w14:textId="77777777" w:rsidTr="006E21B2">
        <w:trPr>
          <w:cantSplit/>
        </w:trPr>
        <w:tc>
          <w:tcPr>
            <w:tcW w:w="1266" w:type="dxa"/>
            <w:vMerge w:val="restart"/>
          </w:tcPr>
          <w:p w14:paraId="7A244A9B" w14:textId="51DA1A0F" w:rsidR="006D536B" w:rsidRDefault="006D536B" w:rsidP="006D536B">
            <w:pPr>
              <w:jc w:val="left"/>
            </w:pPr>
            <w:r w:rsidRPr="48E1CBC9">
              <w:rPr>
                <w:rFonts w:ascii="Arial Narrow" w:eastAsia="Arial Narrow" w:hAnsi="Arial Narrow" w:cs="Arial Narrow"/>
                <w:sz w:val="20"/>
                <w:szCs w:val="20"/>
              </w:rPr>
              <w:t>Economic analysis</w:t>
            </w:r>
          </w:p>
        </w:tc>
        <w:tc>
          <w:tcPr>
            <w:tcW w:w="3831" w:type="dxa"/>
            <w:tcBorders>
              <w:bottom w:val="single" w:sz="4" w:space="0" w:color="auto"/>
            </w:tcBorders>
          </w:tcPr>
          <w:p w14:paraId="5810109E" w14:textId="00DF0E76" w:rsidR="006D536B" w:rsidRDefault="006D536B" w:rsidP="006D536B">
            <w:pPr>
              <w:jc w:val="left"/>
            </w:pPr>
            <w:r w:rsidRPr="48E1CBC9">
              <w:rPr>
                <w:rFonts w:ascii="Arial Narrow" w:eastAsia="Arial Narrow" w:hAnsi="Arial Narrow" w:cs="Arial Narrow"/>
                <w:sz w:val="20"/>
                <w:szCs w:val="20"/>
              </w:rPr>
              <w:t xml:space="preserve">The PBAC considered the proposed placement of </w:t>
            </w:r>
            <w:proofErr w:type="spellStart"/>
            <w:r w:rsidRPr="48E1CBC9">
              <w:rPr>
                <w:rFonts w:ascii="Arial Narrow" w:eastAsia="Arial Narrow" w:hAnsi="Arial Narrow" w:cs="Arial Narrow"/>
                <w:sz w:val="20"/>
                <w:szCs w:val="20"/>
              </w:rPr>
              <w:t>esketamine</w:t>
            </w:r>
            <w:proofErr w:type="spellEnd"/>
            <w:r w:rsidRPr="48E1CBC9">
              <w:rPr>
                <w:rFonts w:ascii="Arial Narrow" w:eastAsia="Arial Narrow" w:hAnsi="Arial Narrow" w:cs="Arial Narrow"/>
                <w:sz w:val="20"/>
                <w:szCs w:val="20"/>
              </w:rPr>
              <w:t xml:space="preserve"> in the July 2021 submission (after failure of two antidepressants) was too early in the treatment </w:t>
            </w:r>
            <w:proofErr w:type="gramStart"/>
            <w:r w:rsidRPr="48E1CBC9">
              <w:rPr>
                <w:rFonts w:ascii="Arial Narrow" w:eastAsia="Arial Narrow" w:hAnsi="Arial Narrow" w:cs="Arial Narrow"/>
                <w:sz w:val="20"/>
                <w:szCs w:val="20"/>
              </w:rPr>
              <w:t>algorithm, and</w:t>
            </w:r>
            <w:proofErr w:type="gramEnd"/>
            <w:r w:rsidRPr="48E1CBC9">
              <w:rPr>
                <w:rFonts w:ascii="Arial Narrow" w:eastAsia="Arial Narrow" w:hAnsi="Arial Narrow" w:cs="Arial Narrow"/>
                <w:sz w:val="20"/>
                <w:szCs w:val="20"/>
              </w:rPr>
              <w:t xml:space="preserve"> considered that the applicability of the model results if </w:t>
            </w:r>
            <w:proofErr w:type="spellStart"/>
            <w:r w:rsidRPr="48E1CBC9">
              <w:rPr>
                <w:rFonts w:ascii="Arial Narrow" w:eastAsia="Arial Narrow" w:hAnsi="Arial Narrow" w:cs="Arial Narrow"/>
                <w:sz w:val="20"/>
                <w:szCs w:val="20"/>
              </w:rPr>
              <w:t>esketamine</w:t>
            </w:r>
            <w:proofErr w:type="spellEnd"/>
            <w:r w:rsidRPr="48E1CBC9">
              <w:rPr>
                <w:rFonts w:ascii="Arial Narrow" w:eastAsia="Arial Narrow" w:hAnsi="Arial Narrow" w:cs="Arial Narrow"/>
                <w:sz w:val="20"/>
                <w:szCs w:val="20"/>
              </w:rPr>
              <w:t xml:space="preserve"> use was restricted to later in the treatment algorithm was unknown. </w:t>
            </w:r>
            <w:r w:rsidRPr="00D60B48">
              <w:rPr>
                <w:rFonts w:ascii="Arial Narrow" w:eastAsia="Arial Narrow" w:hAnsi="Arial Narrow" w:cs="Arial Narrow"/>
                <w:sz w:val="20"/>
                <w:szCs w:val="20"/>
              </w:rPr>
              <w:t>(para 7.2, 7.11).</w:t>
            </w:r>
          </w:p>
        </w:tc>
        <w:tc>
          <w:tcPr>
            <w:tcW w:w="3918" w:type="dxa"/>
            <w:tcBorders>
              <w:bottom w:val="single" w:sz="4" w:space="0" w:color="auto"/>
            </w:tcBorders>
          </w:tcPr>
          <w:p w14:paraId="12B4BDC6" w14:textId="05758C48" w:rsidR="006D536B" w:rsidRDefault="006D536B" w:rsidP="006D536B">
            <w:pPr>
              <w:jc w:val="left"/>
            </w:pPr>
            <w:r w:rsidRPr="48E1CBC9">
              <w:rPr>
                <w:rFonts w:ascii="Arial Narrow" w:eastAsia="Arial Narrow" w:hAnsi="Arial Narrow" w:cs="Arial Narrow"/>
                <w:sz w:val="20"/>
                <w:szCs w:val="20"/>
              </w:rPr>
              <w:t xml:space="preserve">The resubmission argued that the clinical positioning of </w:t>
            </w:r>
            <w:proofErr w:type="spellStart"/>
            <w:r w:rsidRPr="48E1CBC9">
              <w:rPr>
                <w:rFonts w:ascii="Arial Narrow" w:eastAsia="Arial Narrow" w:hAnsi="Arial Narrow" w:cs="Arial Narrow"/>
                <w:sz w:val="20"/>
                <w:szCs w:val="20"/>
              </w:rPr>
              <w:t>esketamine</w:t>
            </w:r>
            <w:proofErr w:type="spellEnd"/>
            <w:r w:rsidRPr="48E1CBC9">
              <w:rPr>
                <w:rFonts w:ascii="Arial Narrow" w:eastAsia="Arial Narrow" w:hAnsi="Arial Narrow" w:cs="Arial Narrow"/>
                <w:sz w:val="20"/>
                <w:szCs w:val="20"/>
              </w:rPr>
              <w:t xml:space="preserve"> is appropriate</w:t>
            </w:r>
            <w:r w:rsidR="00F22588">
              <w:rPr>
                <w:rFonts w:ascii="Arial Narrow" w:eastAsia="Arial Narrow" w:hAnsi="Arial Narrow" w:cs="Arial Narrow"/>
                <w:sz w:val="20"/>
                <w:szCs w:val="20"/>
              </w:rPr>
              <w:t xml:space="preserve"> </w:t>
            </w:r>
            <w:r w:rsidRPr="48E1CBC9">
              <w:rPr>
                <w:rFonts w:ascii="Arial Narrow" w:eastAsia="Arial Narrow" w:hAnsi="Arial Narrow" w:cs="Arial Narrow"/>
                <w:sz w:val="20"/>
                <w:szCs w:val="20"/>
              </w:rPr>
              <w:t xml:space="preserve">and that the economic model therefore is applicable to the proposed use of </w:t>
            </w:r>
            <w:proofErr w:type="spellStart"/>
            <w:r w:rsidRPr="48E1CBC9">
              <w:rPr>
                <w:rFonts w:ascii="Arial Narrow" w:eastAsia="Arial Narrow" w:hAnsi="Arial Narrow" w:cs="Arial Narrow"/>
                <w:sz w:val="20"/>
                <w:szCs w:val="20"/>
              </w:rPr>
              <w:t>esketamine</w:t>
            </w:r>
            <w:proofErr w:type="spellEnd"/>
            <w:r w:rsidRPr="48E1CBC9">
              <w:rPr>
                <w:rFonts w:ascii="Arial Narrow" w:eastAsia="Arial Narrow" w:hAnsi="Arial Narrow" w:cs="Arial Narrow"/>
                <w:sz w:val="20"/>
                <w:szCs w:val="20"/>
              </w:rPr>
              <w:t xml:space="preserve"> in Australian clinical practice.</w:t>
            </w:r>
          </w:p>
        </w:tc>
      </w:tr>
      <w:tr w:rsidR="006D536B" w14:paraId="4F372B21" w14:textId="77777777" w:rsidTr="006B5849">
        <w:trPr>
          <w:cantSplit/>
        </w:trPr>
        <w:tc>
          <w:tcPr>
            <w:tcW w:w="1266" w:type="dxa"/>
            <w:vMerge/>
            <w:vAlign w:val="center"/>
          </w:tcPr>
          <w:p w14:paraId="3DEBC8B9" w14:textId="77777777" w:rsidR="006D536B" w:rsidRDefault="006D536B" w:rsidP="006D536B">
            <w:pPr>
              <w:jc w:val="left"/>
            </w:pPr>
          </w:p>
        </w:tc>
        <w:tc>
          <w:tcPr>
            <w:tcW w:w="3831" w:type="dxa"/>
            <w:tcBorders>
              <w:bottom w:val="nil"/>
            </w:tcBorders>
          </w:tcPr>
          <w:p w14:paraId="201343AF" w14:textId="62A5774F" w:rsidR="006D536B" w:rsidRDefault="006D536B" w:rsidP="006D536B">
            <w:pPr>
              <w:jc w:val="left"/>
            </w:pPr>
            <w:r w:rsidRPr="48E1CBC9">
              <w:rPr>
                <w:rFonts w:ascii="Arial Narrow" w:eastAsia="Arial Narrow" w:hAnsi="Arial Narrow" w:cs="Arial Narrow"/>
                <w:sz w:val="20"/>
                <w:szCs w:val="20"/>
              </w:rPr>
              <w:t xml:space="preserve">The ESC advised a substantially revised economic model would be needed to assess the cost-effectiveness of </w:t>
            </w:r>
            <w:proofErr w:type="spellStart"/>
            <w:r w:rsidRPr="48E1CBC9">
              <w:rPr>
                <w:rFonts w:ascii="Arial Narrow" w:eastAsia="Arial Narrow" w:hAnsi="Arial Narrow" w:cs="Arial Narrow"/>
                <w:sz w:val="20"/>
                <w:szCs w:val="20"/>
              </w:rPr>
              <w:t>esketamine</w:t>
            </w:r>
            <w:proofErr w:type="spellEnd"/>
            <w:r w:rsidRPr="48E1CBC9">
              <w:rPr>
                <w:rFonts w:ascii="Arial Narrow" w:eastAsia="Arial Narrow" w:hAnsi="Arial Narrow" w:cs="Arial Narrow"/>
                <w:sz w:val="20"/>
                <w:szCs w:val="20"/>
              </w:rPr>
              <w:t>. The ESC considered the following issues need to be addressed (para 6.61</w:t>
            </w:r>
            <w:r>
              <w:rPr>
                <w:rFonts w:ascii="Arial Narrow" w:eastAsia="Arial Narrow" w:hAnsi="Arial Narrow" w:cs="Arial Narrow"/>
                <w:sz w:val="20"/>
                <w:szCs w:val="20"/>
              </w:rPr>
              <w:t>)</w:t>
            </w:r>
            <w:r w:rsidRPr="00D60B48">
              <w:rPr>
                <w:rFonts w:ascii="Arial Narrow" w:eastAsia="Arial Narrow" w:hAnsi="Arial Narrow" w:cs="Arial Narrow"/>
                <w:sz w:val="20"/>
                <w:szCs w:val="20"/>
              </w:rPr>
              <w:t>:</w:t>
            </w:r>
          </w:p>
        </w:tc>
        <w:tc>
          <w:tcPr>
            <w:tcW w:w="3918" w:type="dxa"/>
            <w:tcBorders>
              <w:bottom w:val="nil"/>
            </w:tcBorders>
          </w:tcPr>
          <w:p w14:paraId="06520C43" w14:textId="6713A8F0" w:rsidR="006D536B" w:rsidRDefault="006D536B" w:rsidP="006D536B">
            <w:pPr>
              <w:jc w:val="left"/>
            </w:pPr>
            <w:proofErr w:type="gramStart"/>
            <w:r w:rsidRPr="48E1CBC9">
              <w:rPr>
                <w:rFonts w:ascii="Arial Narrow" w:eastAsia="Arial Narrow" w:hAnsi="Arial Narrow" w:cs="Arial Narrow"/>
                <w:sz w:val="20"/>
                <w:szCs w:val="20"/>
              </w:rPr>
              <w:t>A number of</w:t>
            </w:r>
            <w:proofErr w:type="gramEnd"/>
            <w:r w:rsidRPr="48E1CBC9">
              <w:rPr>
                <w:rFonts w:ascii="Arial Narrow" w:eastAsia="Arial Narrow" w:hAnsi="Arial Narrow" w:cs="Arial Narrow"/>
                <w:sz w:val="20"/>
                <w:szCs w:val="20"/>
              </w:rPr>
              <w:t xml:space="preserve"> changes were made to the economic model.</w:t>
            </w:r>
          </w:p>
        </w:tc>
      </w:tr>
      <w:tr w:rsidR="006D536B" w14:paraId="4ECDE771" w14:textId="77777777" w:rsidTr="006B5849">
        <w:trPr>
          <w:cantSplit/>
        </w:trPr>
        <w:tc>
          <w:tcPr>
            <w:tcW w:w="1266" w:type="dxa"/>
            <w:vMerge/>
            <w:vAlign w:val="center"/>
          </w:tcPr>
          <w:p w14:paraId="35C0826F" w14:textId="77777777" w:rsidR="006D536B" w:rsidRDefault="006D536B" w:rsidP="006D536B">
            <w:pPr>
              <w:jc w:val="left"/>
            </w:pPr>
          </w:p>
        </w:tc>
        <w:tc>
          <w:tcPr>
            <w:tcW w:w="3831" w:type="dxa"/>
            <w:tcBorders>
              <w:top w:val="nil"/>
              <w:bottom w:val="single" w:sz="4" w:space="0" w:color="auto"/>
            </w:tcBorders>
          </w:tcPr>
          <w:p w14:paraId="46560813" w14:textId="21E559A7"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model structure needs to account for the subsequent therapies (para 6.43).</w:t>
            </w:r>
          </w:p>
        </w:tc>
        <w:tc>
          <w:tcPr>
            <w:tcW w:w="3918" w:type="dxa"/>
            <w:tcBorders>
              <w:top w:val="nil"/>
              <w:bottom w:val="single" w:sz="4" w:space="0" w:color="auto"/>
            </w:tcBorders>
          </w:tcPr>
          <w:p w14:paraId="1DBC17A2" w14:textId="6A44F350"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a ‘Recovery’ health state has been included for the subsequent treatment pathway.</w:t>
            </w:r>
          </w:p>
        </w:tc>
      </w:tr>
      <w:tr w:rsidR="006D536B" w14:paraId="3C4A204D" w14:textId="77777777" w:rsidTr="006B5849">
        <w:trPr>
          <w:cantSplit/>
        </w:trPr>
        <w:tc>
          <w:tcPr>
            <w:tcW w:w="1266" w:type="dxa"/>
            <w:vMerge/>
            <w:vAlign w:val="center"/>
          </w:tcPr>
          <w:p w14:paraId="2114DCE6" w14:textId="77777777" w:rsidR="006D536B" w:rsidRDefault="006D536B" w:rsidP="006D536B">
            <w:pPr>
              <w:jc w:val="left"/>
            </w:pPr>
          </w:p>
        </w:tc>
        <w:tc>
          <w:tcPr>
            <w:tcW w:w="3831" w:type="dxa"/>
            <w:tcBorders>
              <w:top w:val="single" w:sz="4" w:space="0" w:color="auto"/>
              <w:bottom w:val="nil"/>
            </w:tcBorders>
          </w:tcPr>
          <w:p w14:paraId="7672AF17" w14:textId="1949C85C"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 xml:space="preserve">inclusion of clinical data from only one clinical trial for </w:t>
            </w:r>
            <w:proofErr w:type="spellStart"/>
            <w:r w:rsidRPr="00D60B48">
              <w:rPr>
                <w:rFonts w:ascii="Arial Narrow" w:eastAsia="Arial Narrow" w:hAnsi="Arial Narrow" w:cs="Arial Narrow"/>
                <w:szCs w:val="20"/>
                <w:lang w:val="en-AU"/>
              </w:rPr>
              <w:t>esketamine</w:t>
            </w:r>
            <w:proofErr w:type="spellEnd"/>
            <w:r w:rsidRPr="00D60B48">
              <w:rPr>
                <w:rFonts w:ascii="Arial Narrow" w:eastAsia="Arial Narrow" w:hAnsi="Arial Narrow" w:cs="Arial Narrow"/>
                <w:szCs w:val="20"/>
                <w:lang w:val="en-AU"/>
              </w:rPr>
              <w:t xml:space="preserve"> in the economic model</w:t>
            </w:r>
          </w:p>
        </w:tc>
        <w:tc>
          <w:tcPr>
            <w:tcW w:w="3918" w:type="dxa"/>
            <w:tcBorders>
              <w:top w:val="single" w:sz="4" w:space="0" w:color="auto"/>
              <w:bottom w:val="nil"/>
            </w:tcBorders>
          </w:tcPr>
          <w:p w14:paraId="56EEFAA5" w14:textId="23B3C1FB"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induction treatment transition probabilities are based on the TRANSFORM-2 (patients 18-64 years) and TRANSFORM-3 (patients ≥65 years) trials.</w:t>
            </w:r>
          </w:p>
        </w:tc>
      </w:tr>
      <w:tr w:rsidR="006D536B" w14:paraId="4FBFE349" w14:textId="77777777" w:rsidTr="006E21B2">
        <w:trPr>
          <w:cantSplit/>
        </w:trPr>
        <w:tc>
          <w:tcPr>
            <w:tcW w:w="1266" w:type="dxa"/>
            <w:vMerge/>
            <w:vAlign w:val="center"/>
          </w:tcPr>
          <w:p w14:paraId="5920D42D" w14:textId="77777777" w:rsidR="006D536B" w:rsidRDefault="006D536B" w:rsidP="006D536B">
            <w:pPr>
              <w:jc w:val="left"/>
            </w:pPr>
          </w:p>
        </w:tc>
        <w:tc>
          <w:tcPr>
            <w:tcW w:w="3831" w:type="dxa"/>
            <w:tcBorders>
              <w:top w:val="nil"/>
              <w:bottom w:val="nil"/>
            </w:tcBorders>
          </w:tcPr>
          <w:p w14:paraId="661DCC0C" w14:textId="1214650A"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more conservative maintenance of treatment effect assumptions (para 6.43).</w:t>
            </w:r>
          </w:p>
        </w:tc>
        <w:tc>
          <w:tcPr>
            <w:tcW w:w="3918" w:type="dxa"/>
            <w:tcBorders>
              <w:top w:val="nil"/>
              <w:bottom w:val="nil"/>
            </w:tcBorders>
          </w:tcPr>
          <w:p w14:paraId="09B90ABD" w14:textId="5FD48811"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 xml:space="preserve">maintenance therapy transition probabilities for the placebo + OAD arm are derived from the STAR*D study, rather than SUSTAIN-1. </w:t>
            </w:r>
            <w:r w:rsidRPr="008656C1">
              <w:rPr>
                <w:rFonts w:ascii="Arial Narrow" w:eastAsia="Arial Narrow" w:hAnsi="Arial Narrow" w:cs="Arial Narrow"/>
                <w:iCs/>
                <w:szCs w:val="20"/>
                <w:lang w:val="en-AU"/>
              </w:rPr>
              <w:t xml:space="preserve">However, the model assumes maintenance of treatment effect over the duration of the model for </w:t>
            </w:r>
            <w:proofErr w:type="spellStart"/>
            <w:r w:rsidRPr="008656C1">
              <w:rPr>
                <w:rFonts w:ascii="Arial Narrow" w:eastAsia="Arial Narrow" w:hAnsi="Arial Narrow" w:cs="Arial Narrow"/>
                <w:iCs/>
                <w:szCs w:val="20"/>
                <w:lang w:val="en-AU"/>
              </w:rPr>
              <w:t>esketamine</w:t>
            </w:r>
            <w:proofErr w:type="spellEnd"/>
            <w:r w:rsidRPr="008656C1">
              <w:rPr>
                <w:rFonts w:ascii="Arial Narrow" w:eastAsia="Arial Narrow" w:hAnsi="Arial Narrow" w:cs="Arial Narrow"/>
                <w:iCs/>
                <w:szCs w:val="20"/>
                <w:lang w:val="en-AU"/>
              </w:rPr>
              <w:t xml:space="preserve"> + OAD, including those who discontinue </w:t>
            </w:r>
            <w:proofErr w:type="spellStart"/>
            <w:r w:rsidRPr="008656C1">
              <w:rPr>
                <w:rFonts w:ascii="Arial Narrow" w:eastAsia="Arial Narrow" w:hAnsi="Arial Narrow" w:cs="Arial Narrow"/>
                <w:iCs/>
                <w:szCs w:val="20"/>
                <w:lang w:val="en-AU"/>
              </w:rPr>
              <w:t>esketamine</w:t>
            </w:r>
            <w:proofErr w:type="spellEnd"/>
            <w:r w:rsidRPr="008656C1">
              <w:rPr>
                <w:rFonts w:ascii="Arial Narrow" w:eastAsia="Arial Narrow" w:hAnsi="Arial Narrow" w:cs="Arial Narrow"/>
                <w:iCs/>
                <w:szCs w:val="20"/>
                <w:lang w:val="en-AU"/>
              </w:rPr>
              <w:t xml:space="preserve"> (but </w:t>
            </w:r>
            <w:proofErr w:type="gramStart"/>
            <w:r w:rsidRPr="008656C1">
              <w:rPr>
                <w:rFonts w:ascii="Arial Narrow" w:eastAsia="Arial Narrow" w:hAnsi="Arial Narrow" w:cs="Arial Narrow"/>
                <w:iCs/>
                <w:szCs w:val="20"/>
                <w:lang w:val="en-AU"/>
              </w:rPr>
              <w:t>continue on</w:t>
            </w:r>
            <w:proofErr w:type="gramEnd"/>
            <w:r w:rsidRPr="008656C1">
              <w:rPr>
                <w:rFonts w:ascii="Arial Narrow" w:eastAsia="Arial Narrow" w:hAnsi="Arial Narrow" w:cs="Arial Narrow"/>
                <w:iCs/>
                <w:szCs w:val="20"/>
                <w:lang w:val="en-AU"/>
              </w:rPr>
              <w:t xml:space="preserve"> OAD).</w:t>
            </w:r>
          </w:p>
        </w:tc>
      </w:tr>
      <w:tr w:rsidR="006D536B" w14:paraId="48F14C76" w14:textId="77777777" w:rsidTr="006E21B2">
        <w:trPr>
          <w:cantSplit/>
        </w:trPr>
        <w:tc>
          <w:tcPr>
            <w:tcW w:w="1266" w:type="dxa"/>
            <w:vMerge/>
            <w:vAlign w:val="center"/>
          </w:tcPr>
          <w:p w14:paraId="4E690773" w14:textId="77777777" w:rsidR="006D536B" w:rsidRDefault="006D536B" w:rsidP="006D536B">
            <w:pPr>
              <w:jc w:val="left"/>
            </w:pPr>
          </w:p>
        </w:tc>
        <w:tc>
          <w:tcPr>
            <w:tcW w:w="3831" w:type="dxa"/>
            <w:tcBorders>
              <w:top w:val="nil"/>
              <w:bottom w:val="nil"/>
            </w:tcBorders>
          </w:tcPr>
          <w:p w14:paraId="28413D4E" w14:textId="411B4F8A"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duration of treatment, treatment discontinuations and dose likely to be used in clinical practice (para 6.58 and 6.59).</w:t>
            </w:r>
          </w:p>
        </w:tc>
        <w:tc>
          <w:tcPr>
            <w:tcW w:w="3918" w:type="dxa"/>
            <w:tcBorders>
              <w:top w:val="nil"/>
              <w:bottom w:val="nil"/>
            </w:tcBorders>
          </w:tcPr>
          <w:p w14:paraId="28EAA9D2" w14:textId="56A31C99"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unchanged. The resubmission argued it was appropriate to apply treatment discontinuations as a reduction in drug costs; but no reduction in outcomes.</w:t>
            </w:r>
          </w:p>
        </w:tc>
      </w:tr>
      <w:tr w:rsidR="006D536B" w14:paraId="63DF33C9" w14:textId="77777777" w:rsidTr="006E21B2">
        <w:trPr>
          <w:cantSplit/>
        </w:trPr>
        <w:tc>
          <w:tcPr>
            <w:tcW w:w="1266" w:type="dxa"/>
            <w:vMerge/>
            <w:vAlign w:val="center"/>
          </w:tcPr>
          <w:p w14:paraId="22C82C76" w14:textId="77777777" w:rsidR="006D536B" w:rsidRDefault="006D536B" w:rsidP="006D536B">
            <w:pPr>
              <w:jc w:val="left"/>
            </w:pPr>
          </w:p>
        </w:tc>
        <w:tc>
          <w:tcPr>
            <w:tcW w:w="3831" w:type="dxa"/>
            <w:tcBorders>
              <w:top w:val="nil"/>
              <w:bottom w:val="nil"/>
            </w:tcBorders>
          </w:tcPr>
          <w:p w14:paraId="6FAE1C92" w14:textId="68A14A47"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appropriate cost of administration (par</w:t>
            </w:r>
            <w:r>
              <w:rPr>
                <w:rFonts w:ascii="Arial Narrow" w:eastAsia="Arial Narrow" w:hAnsi="Arial Narrow" w:cs="Arial Narrow"/>
                <w:szCs w:val="20"/>
                <w:lang w:val="en-AU"/>
              </w:rPr>
              <w:t>a</w:t>
            </w:r>
            <w:r w:rsidRPr="00D60B48">
              <w:rPr>
                <w:rFonts w:ascii="Arial Narrow" w:eastAsia="Arial Narrow" w:hAnsi="Arial Narrow" w:cs="Arial Narrow"/>
                <w:szCs w:val="20"/>
                <w:lang w:val="en-AU"/>
              </w:rPr>
              <w:t xml:space="preserve"> 6.47).</w:t>
            </w:r>
          </w:p>
        </w:tc>
        <w:tc>
          <w:tcPr>
            <w:tcW w:w="3918" w:type="dxa"/>
            <w:tcBorders>
              <w:top w:val="nil"/>
              <w:bottom w:val="nil"/>
            </w:tcBorders>
          </w:tcPr>
          <w:p w14:paraId="199BE20C" w14:textId="1E66E963"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 xml:space="preserve">A higher cost of administration is used for </w:t>
            </w:r>
            <w:proofErr w:type="spellStart"/>
            <w:r w:rsidRPr="00D60B48">
              <w:rPr>
                <w:rFonts w:ascii="Arial Narrow" w:eastAsia="Arial Narrow" w:hAnsi="Arial Narrow" w:cs="Arial Narrow"/>
                <w:szCs w:val="20"/>
                <w:lang w:val="en-AU"/>
              </w:rPr>
              <w:t>esketamine</w:t>
            </w:r>
            <w:proofErr w:type="spellEnd"/>
            <w:r w:rsidRPr="00D60B48">
              <w:rPr>
                <w:rFonts w:ascii="Arial Narrow" w:eastAsia="Arial Narrow" w:hAnsi="Arial Narrow" w:cs="Arial Narrow"/>
                <w:szCs w:val="20"/>
                <w:lang w:val="en-AU"/>
              </w:rPr>
              <w:t xml:space="preserve"> (</w:t>
            </w:r>
            <w:r w:rsidR="007D45BF">
              <w:rPr>
                <w:rFonts w:ascii="Arial Narrow" w:eastAsia="Arial Narrow" w:hAnsi="Arial Narrow" w:cs="Arial Narrow"/>
                <w:szCs w:val="20"/>
                <w:lang w:val="en-AU"/>
              </w:rPr>
              <w:t xml:space="preserve">changed </w:t>
            </w:r>
            <w:r w:rsidRPr="00D60B48">
              <w:rPr>
                <w:rFonts w:ascii="Arial Narrow" w:eastAsia="Arial Narrow" w:hAnsi="Arial Narrow" w:cs="Arial Narrow"/>
                <w:szCs w:val="20"/>
                <w:lang w:val="en-AU"/>
              </w:rPr>
              <w:t>from MBS item 300 ≤</w:t>
            </w:r>
            <w:proofErr w:type="gramStart"/>
            <w:r w:rsidRPr="00D60B48">
              <w:rPr>
                <w:rFonts w:ascii="Arial Narrow" w:eastAsia="Arial Narrow" w:hAnsi="Arial Narrow" w:cs="Arial Narrow"/>
                <w:szCs w:val="20"/>
                <w:lang w:val="en-AU"/>
              </w:rPr>
              <w:t>15 minute</w:t>
            </w:r>
            <w:proofErr w:type="gramEnd"/>
            <w:r w:rsidRPr="00D60B48">
              <w:rPr>
                <w:rFonts w:ascii="Arial Narrow" w:eastAsia="Arial Narrow" w:hAnsi="Arial Narrow" w:cs="Arial Narrow"/>
                <w:szCs w:val="20"/>
                <w:lang w:val="en-AU"/>
              </w:rPr>
              <w:t xml:space="preserve"> psychiatrist consultation to MBS item 304 30-45 minute consultation</w:t>
            </w:r>
            <w:r w:rsidR="007D45BF">
              <w:rPr>
                <w:rFonts w:ascii="Arial Narrow" w:eastAsia="Arial Narrow" w:hAnsi="Arial Narrow" w:cs="Arial Narrow"/>
                <w:szCs w:val="20"/>
                <w:lang w:val="en-AU"/>
              </w:rPr>
              <w:t>)</w:t>
            </w:r>
            <w:r w:rsidRPr="00D60B48">
              <w:rPr>
                <w:rFonts w:ascii="Arial Narrow" w:eastAsia="Arial Narrow" w:hAnsi="Arial Narrow" w:cs="Arial Narrow"/>
                <w:szCs w:val="20"/>
                <w:lang w:val="en-AU"/>
              </w:rPr>
              <w:t xml:space="preserve">. </w:t>
            </w:r>
            <w:r w:rsidRPr="008656C1">
              <w:rPr>
                <w:rFonts w:ascii="Arial Narrow" w:eastAsia="Arial Narrow" w:hAnsi="Arial Narrow" w:cs="Arial Narrow"/>
                <w:iCs/>
                <w:szCs w:val="20"/>
                <w:lang w:val="en-AU"/>
              </w:rPr>
              <w:t>However, the resubmission maintains a cost of administration for placebo (MBS item 300).</w:t>
            </w:r>
          </w:p>
        </w:tc>
      </w:tr>
      <w:tr w:rsidR="006D536B" w14:paraId="7EEBA9AB" w14:textId="77777777" w:rsidTr="006E21B2">
        <w:trPr>
          <w:cantSplit/>
        </w:trPr>
        <w:tc>
          <w:tcPr>
            <w:tcW w:w="1266" w:type="dxa"/>
            <w:vMerge/>
            <w:vAlign w:val="center"/>
          </w:tcPr>
          <w:p w14:paraId="4673A1C2" w14:textId="77777777" w:rsidR="006D536B" w:rsidRDefault="006D536B" w:rsidP="006D536B">
            <w:pPr>
              <w:jc w:val="left"/>
            </w:pPr>
          </w:p>
        </w:tc>
        <w:tc>
          <w:tcPr>
            <w:tcW w:w="3831" w:type="dxa"/>
            <w:tcBorders>
              <w:top w:val="nil"/>
              <w:bottom w:val="nil"/>
            </w:tcBorders>
          </w:tcPr>
          <w:p w14:paraId="4069BC4F" w14:textId="6ECFC0C5"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the applicability of the disease management costs (par</w:t>
            </w:r>
            <w:r>
              <w:rPr>
                <w:rFonts w:ascii="Arial Narrow" w:eastAsia="Arial Narrow" w:hAnsi="Arial Narrow" w:cs="Arial Narrow"/>
                <w:szCs w:val="20"/>
                <w:lang w:val="en-AU"/>
              </w:rPr>
              <w:t>a</w:t>
            </w:r>
            <w:r w:rsidRPr="00D60B48">
              <w:rPr>
                <w:rFonts w:ascii="Arial Narrow" w:eastAsia="Arial Narrow" w:hAnsi="Arial Narrow" w:cs="Arial Narrow"/>
                <w:szCs w:val="20"/>
                <w:lang w:val="en-AU"/>
              </w:rPr>
              <w:t xml:space="preserve"> 6.46).</w:t>
            </w:r>
          </w:p>
        </w:tc>
        <w:tc>
          <w:tcPr>
            <w:tcW w:w="3918" w:type="dxa"/>
            <w:tcBorders>
              <w:top w:val="nil"/>
              <w:bottom w:val="nil"/>
            </w:tcBorders>
          </w:tcPr>
          <w:p w14:paraId="25D3584F" w14:textId="1533B15D"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unchanged. The resubmission argued that Denee 2021 is applicable to the Australian population and an alternative source could not be identified.</w:t>
            </w:r>
          </w:p>
        </w:tc>
      </w:tr>
      <w:tr w:rsidR="006D536B" w14:paraId="73E4A4DD" w14:textId="77777777" w:rsidTr="006E21B2">
        <w:trPr>
          <w:cantSplit/>
        </w:trPr>
        <w:tc>
          <w:tcPr>
            <w:tcW w:w="1266" w:type="dxa"/>
            <w:vMerge/>
            <w:vAlign w:val="center"/>
          </w:tcPr>
          <w:p w14:paraId="6146DE08" w14:textId="77777777" w:rsidR="006D536B" w:rsidRDefault="006D536B" w:rsidP="006D536B">
            <w:pPr>
              <w:jc w:val="left"/>
            </w:pPr>
          </w:p>
        </w:tc>
        <w:tc>
          <w:tcPr>
            <w:tcW w:w="3831" w:type="dxa"/>
            <w:tcBorders>
              <w:top w:val="nil"/>
            </w:tcBorders>
          </w:tcPr>
          <w:p w14:paraId="19A0281D" w14:textId="3E9F5958"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r w:rsidRPr="00D60B48">
              <w:rPr>
                <w:rFonts w:ascii="Arial Narrow" w:eastAsia="Arial Narrow" w:hAnsi="Arial Narrow" w:cs="Arial Narrow"/>
                <w:szCs w:val="20"/>
                <w:lang w:val="en-AU"/>
              </w:rPr>
              <w:t>account for safety concerns (para 6.60).</w:t>
            </w:r>
          </w:p>
        </w:tc>
        <w:tc>
          <w:tcPr>
            <w:tcW w:w="3918" w:type="dxa"/>
            <w:tcBorders>
              <w:top w:val="nil"/>
            </w:tcBorders>
          </w:tcPr>
          <w:p w14:paraId="06D8E020" w14:textId="34B4CC6B" w:rsidR="006D536B" w:rsidRPr="00D60B48" w:rsidRDefault="006D536B" w:rsidP="004D6A5C">
            <w:pPr>
              <w:pStyle w:val="ListParagraph"/>
              <w:numPr>
                <w:ilvl w:val="0"/>
                <w:numId w:val="9"/>
              </w:numPr>
              <w:spacing w:after="0" w:line="240" w:lineRule="auto"/>
              <w:ind w:left="142" w:hanging="142"/>
              <w:jc w:val="left"/>
              <w:rPr>
                <w:rFonts w:ascii="Arial Narrow" w:eastAsia="Arial Narrow" w:hAnsi="Arial Narrow" w:cs="Arial Narrow"/>
                <w:szCs w:val="20"/>
                <w:lang w:val="en-AU"/>
              </w:rPr>
            </w:pPr>
            <w:proofErr w:type="spellStart"/>
            <w:r w:rsidRPr="00D60B48">
              <w:rPr>
                <w:rFonts w:ascii="Arial Narrow" w:eastAsia="Arial Narrow" w:hAnsi="Arial Narrow" w:cs="Arial Narrow"/>
                <w:szCs w:val="20"/>
                <w:lang w:val="en-AU"/>
              </w:rPr>
              <w:t>Disutilities</w:t>
            </w:r>
            <w:proofErr w:type="spellEnd"/>
            <w:r w:rsidRPr="00D60B48">
              <w:rPr>
                <w:rFonts w:ascii="Arial Narrow" w:eastAsia="Arial Narrow" w:hAnsi="Arial Narrow" w:cs="Arial Narrow"/>
                <w:szCs w:val="20"/>
                <w:lang w:val="en-AU"/>
              </w:rPr>
              <w:t xml:space="preserve"> due to adverse events are applied to the maintenance treatment phase as well as induction in the resubmission. </w:t>
            </w:r>
            <w:r w:rsidRPr="008656C1">
              <w:rPr>
                <w:rFonts w:ascii="Arial Narrow" w:eastAsia="Arial Narrow" w:hAnsi="Arial Narrow" w:cs="Arial Narrow"/>
                <w:iCs/>
                <w:szCs w:val="20"/>
                <w:lang w:val="en-AU"/>
              </w:rPr>
              <w:t>However, the costs associated with adverse events have not been included.</w:t>
            </w:r>
          </w:p>
        </w:tc>
      </w:tr>
      <w:tr w:rsidR="006D536B" w14:paraId="4C543783" w14:textId="77777777" w:rsidTr="00742593">
        <w:trPr>
          <w:cantSplit/>
        </w:trPr>
        <w:tc>
          <w:tcPr>
            <w:tcW w:w="1266" w:type="dxa"/>
            <w:vAlign w:val="center"/>
          </w:tcPr>
          <w:p w14:paraId="31AA3A4F" w14:textId="69A0FA73" w:rsidR="006D536B" w:rsidRDefault="006D536B" w:rsidP="006D536B">
            <w:pPr>
              <w:jc w:val="left"/>
            </w:pPr>
            <w:r w:rsidRPr="48E1CBC9">
              <w:rPr>
                <w:rFonts w:ascii="Arial Narrow" w:eastAsia="Arial Narrow" w:hAnsi="Arial Narrow" w:cs="Arial Narrow"/>
                <w:sz w:val="20"/>
                <w:szCs w:val="20"/>
              </w:rPr>
              <w:t>Financial estimates</w:t>
            </w:r>
          </w:p>
        </w:tc>
        <w:tc>
          <w:tcPr>
            <w:tcW w:w="3831" w:type="dxa"/>
          </w:tcPr>
          <w:p w14:paraId="4AB459CB" w14:textId="65F825E2" w:rsidR="006D536B" w:rsidRPr="00C820DE" w:rsidRDefault="006D536B" w:rsidP="006D536B">
            <w:pPr>
              <w:jc w:val="left"/>
              <w:rPr>
                <w:rFonts w:ascii="Arial Narrow" w:eastAsia="Arial Narrow" w:hAnsi="Arial Narrow" w:cs="Arial Narrow"/>
                <w:sz w:val="20"/>
                <w:szCs w:val="20"/>
              </w:rPr>
            </w:pPr>
            <w:r w:rsidRPr="00C820DE">
              <w:rPr>
                <w:rFonts w:ascii="Arial Narrow" w:eastAsia="Arial Narrow" w:hAnsi="Arial Narrow" w:cs="Arial Narrow"/>
                <w:sz w:val="20"/>
                <w:szCs w:val="20"/>
              </w:rPr>
              <w:t>The PBAC considered the financial estimates provided in the submission are based on</w:t>
            </w:r>
          </w:p>
          <w:p w14:paraId="3EF0EA20" w14:textId="0F207DC9" w:rsidR="006D536B" w:rsidRDefault="006D536B" w:rsidP="006D536B">
            <w:pPr>
              <w:jc w:val="left"/>
            </w:pPr>
            <w:proofErr w:type="spellStart"/>
            <w:r w:rsidRPr="00C820DE">
              <w:rPr>
                <w:rFonts w:ascii="Arial Narrow" w:eastAsia="Arial Narrow" w:hAnsi="Arial Narrow" w:cs="Arial Narrow"/>
                <w:sz w:val="20"/>
                <w:szCs w:val="20"/>
              </w:rPr>
              <w:t>esketamine</w:t>
            </w:r>
            <w:proofErr w:type="spellEnd"/>
            <w:r w:rsidRPr="00C820DE">
              <w:rPr>
                <w:rFonts w:ascii="Arial Narrow" w:eastAsia="Arial Narrow" w:hAnsi="Arial Narrow" w:cs="Arial Narrow"/>
                <w:sz w:val="20"/>
                <w:szCs w:val="20"/>
              </w:rPr>
              <w:t xml:space="preserve"> being positioned too early in the treatment algorithm and any</w:t>
            </w:r>
            <w:r>
              <w:rPr>
                <w:rFonts w:ascii="Arial Narrow" w:eastAsia="Arial Narrow" w:hAnsi="Arial Narrow" w:cs="Arial Narrow"/>
                <w:sz w:val="20"/>
                <w:szCs w:val="20"/>
              </w:rPr>
              <w:t xml:space="preserve"> </w:t>
            </w:r>
            <w:r w:rsidRPr="00C820DE">
              <w:rPr>
                <w:rFonts w:ascii="Arial Narrow" w:eastAsia="Arial Narrow" w:hAnsi="Arial Narrow" w:cs="Arial Narrow"/>
                <w:sz w:val="20"/>
                <w:szCs w:val="20"/>
              </w:rPr>
              <w:t>resubmission would require substantial revision to reflect use later in the treatment</w:t>
            </w:r>
            <w:r>
              <w:rPr>
                <w:rFonts w:ascii="Arial Narrow" w:eastAsia="Arial Narrow" w:hAnsi="Arial Narrow" w:cs="Arial Narrow"/>
                <w:sz w:val="20"/>
                <w:szCs w:val="20"/>
              </w:rPr>
              <w:t xml:space="preserve"> </w:t>
            </w:r>
            <w:r w:rsidRPr="00C820DE">
              <w:rPr>
                <w:rFonts w:ascii="Arial Narrow" w:eastAsia="Arial Narrow" w:hAnsi="Arial Narrow" w:cs="Arial Narrow"/>
                <w:sz w:val="20"/>
                <w:szCs w:val="20"/>
              </w:rPr>
              <w:t>algorithm</w:t>
            </w:r>
            <w:r>
              <w:rPr>
                <w:rFonts w:ascii="Arial Narrow" w:eastAsia="Arial Narrow" w:hAnsi="Arial Narrow" w:cs="Arial Narrow"/>
                <w:sz w:val="20"/>
                <w:szCs w:val="20"/>
              </w:rPr>
              <w:t xml:space="preserve"> (para 7.12)</w:t>
            </w:r>
          </w:p>
        </w:tc>
        <w:tc>
          <w:tcPr>
            <w:tcW w:w="3918" w:type="dxa"/>
          </w:tcPr>
          <w:p w14:paraId="7330391A" w14:textId="3AAA0EFC" w:rsidR="006D536B" w:rsidRDefault="006D536B" w:rsidP="006D536B">
            <w:pPr>
              <w:jc w:val="left"/>
            </w:pPr>
            <w:r w:rsidRPr="48E1CBC9">
              <w:rPr>
                <w:rFonts w:ascii="Arial Narrow" w:eastAsia="Arial Narrow" w:hAnsi="Arial Narrow" w:cs="Arial Narrow"/>
                <w:sz w:val="20"/>
                <w:szCs w:val="20"/>
              </w:rPr>
              <w:t xml:space="preserve">The resubmission argued that the clinical positioning of </w:t>
            </w:r>
            <w:proofErr w:type="spellStart"/>
            <w:r w:rsidRPr="48E1CBC9">
              <w:rPr>
                <w:rFonts w:ascii="Arial Narrow" w:eastAsia="Arial Narrow" w:hAnsi="Arial Narrow" w:cs="Arial Narrow"/>
                <w:sz w:val="20"/>
                <w:szCs w:val="20"/>
              </w:rPr>
              <w:t>esketamine</w:t>
            </w:r>
            <w:proofErr w:type="spellEnd"/>
            <w:r w:rsidRPr="48E1CBC9">
              <w:rPr>
                <w:rFonts w:ascii="Arial Narrow" w:eastAsia="Arial Narrow" w:hAnsi="Arial Narrow" w:cs="Arial Narrow"/>
                <w:sz w:val="20"/>
                <w:szCs w:val="20"/>
              </w:rPr>
              <w:t xml:space="preserve"> is appropriate and that the </w:t>
            </w:r>
            <w:r>
              <w:rPr>
                <w:rFonts w:ascii="Arial Narrow" w:eastAsia="Arial Narrow" w:hAnsi="Arial Narrow" w:cs="Arial Narrow"/>
                <w:sz w:val="20"/>
                <w:szCs w:val="20"/>
              </w:rPr>
              <w:t>financial</w:t>
            </w:r>
            <w:r w:rsidRPr="00D60B48">
              <w:rPr>
                <w:rFonts w:ascii="Arial Narrow" w:eastAsia="Arial Narrow" w:hAnsi="Arial Narrow" w:cs="Arial Narrow"/>
                <w:sz w:val="20"/>
                <w:szCs w:val="20"/>
              </w:rPr>
              <w:t xml:space="preserve"> </w:t>
            </w:r>
            <w:r>
              <w:rPr>
                <w:rFonts w:ascii="Arial Narrow" w:eastAsia="Arial Narrow" w:hAnsi="Arial Narrow" w:cs="Arial Narrow"/>
                <w:sz w:val="20"/>
                <w:szCs w:val="20"/>
              </w:rPr>
              <w:t>estimates</w:t>
            </w:r>
            <w:r w:rsidRPr="48E1CBC9">
              <w:rPr>
                <w:rFonts w:ascii="Arial Narrow" w:eastAsia="Arial Narrow" w:hAnsi="Arial Narrow" w:cs="Arial Narrow"/>
                <w:sz w:val="20"/>
                <w:szCs w:val="20"/>
              </w:rPr>
              <w:t xml:space="preserve"> therefore </w:t>
            </w:r>
            <w:r>
              <w:rPr>
                <w:rFonts w:ascii="Arial Narrow" w:eastAsia="Arial Narrow" w:hAnsi="Arial Narrow" w:cs="Arial Narrow"/>
                <w:sz w:val="20"/>
                <w:szCs w:val="20"/>
              </w:rPr>
              <w:t>are</w:t>
            </w:r>
            <w:r w:rsidRPr="48E1CBC9">
              <w:rPr>
                <w:rFonts w:ascii="Arial Narrow" w:eastAsia="Arial Narrow" w:hAnsi="Arial Narrow" w:cs="Arial Narrow"/>
                <w:sz w:val="20"/>
                <w:szCs w:val="20"/>
              </w:rPr>
              <w:t xml:space="preserve"> applicable to the proposed use of </w:t>
            </w:r>
            <w:proofErr w:type="spellStart"/>
            <w:r w:rsidRPr="48E1CBC9">
              <w:rPr>
                <w:rFonts w:ascii="Arial Narrow" w:eastAsia="Arial Narrow" w:hAnsi="Arial Narrow" w:cs="Arial Narrow"/>
                <w:sz w:val="20"/>
                <w:szCs w:val="20"/>
              </w:rPr>
              <w:t>esketamine</w:t>
            </w:r>
            <w:proofErr w:type="spellEnd"/>
            <w:r w:rsidRPr="48E1CBC9">
              <w:rPr>
                <w:rFonts w:ascii="Arial Narrow" w:eastAsia="Arial Narrow" w:hAnsi="Arial Narrow" w:cs="Arial Narrow"/>
                <w:sz w:val="20"/>
                <w:szCs w:val="20"/>
              </w:rPr>
              <w:t xml:space="preserve"> in Australian clinical practice</w:t>
            </w:r>
            <w:r>
              <w:rPr>
                <w:rFonts w:ascii="Arial Narrow" w:eastAsia="Arial Narrow" w:hAnsi="Arial Narrow" w:cs="Arial Narrow"/>
                <w:sz w:val="20"/>
                <w:szCs w:val="20"/>
              </w:rPr>
              <w:t>.</w:t>
            </w:r>
          </w:p>
        </w:tc>
      </w:tr>
    </w:tbl>
    <w:p w14:paraId="169D92D3" w14:textId="60C3CD8F" w:rsidR="005C25FF" w:rsidRPr="002E4F02" w:rsidRDefault="000D2B2B" w:rsidP="000D2B2B">
      <w:pPr>
        <w:pStyle w:val="TableFigureFooter"/>
      </w:pPr>
      <w:r w:rsidRPr="006D1249">
        <w:t>Source</w:t>
      </w:r>
      <w:r w:rsidR="00C50DC8">
        <w:t>:</w:t>
      </w:r>
      <w:r w:rsidR="002C636A">
        <w:t xml:space="preserve"> </w:t>
      </w:r>
      <w:r w:rsidR="00696E0E">
        <w:t>Table 0-2, p.1</w:t>
      </w:r>
      <w:r w:rsidR="00CF411B">
        <w:t>6</w:t>
      </w:r>
      <w:r w:rsidR="00696E0E">
        <w:t xml:space="preserve"> of the resubmission; </w:t>
      </w:r>
      <w:r w:rsidR="00A83DBB">
        <w:t>c</w:t>
      </w:r>
      <w:r w:rsidR="002C636A">
        <w:t>onstructed during the evaluation</w:t>
      </w:r>
    </w:p>
    <w:p w14:paraId="293AFCD7" w14:textId="550C7581" w:rsidR="002C636A" w:rsidRPr="00D60B48" w:rsidRDefault="002C636A" w:rsidP="000D2B2B">
      <w:pPr>
        <w:pStyle w:val="TableFigureFooter"/>
      </w:pPr>
      <w:r>
        <w:t xml:space="preserve">Abbreviations: </w:t>
      </w:r>
      <w:r w:rsidR="00085AF0">
        <w:t xml:space="preserve">ECT, </w:t>
      </w:r>
      <w:r w:rsidR="006D1249">
        <w:t>electroconvulsive</w:t>
      </w:r>
      <w:r w:rsidR="00085AF0">
        <w:t xml:space="preserve"> therapy</w:t>
      </w:r>
      <w:r w:rsidR="006D1249">
        <w:t xml:space="preserve">; </w:t>
      </w:r>
      <w:r>
        <w:t>OAD, oral antidepressant</w:t>
      </w:r>
      <w:r w:rsidR="000B3D6F">
        <w:t>; MBS Medicare Benefits Sche</w:t>
      </w:r>
      <w:r w:rsidR="00120C7C">
        <w:t>d</w:t>
      </w:r>
      <w:r w:rsidR="000B3D6F">
        <w:t>ule</w:t>
      </w:r>
      <w:r w:rsidR="006D1249">
        <w:t>; TRD, treatment resistant depression.</w:t>
      </w:r>
    </w:p>
    <w:p w14:paraId="76E4EF3C" w14:textId="0DB9FEE0" w:rsidR="00B60939" w:rsidRDefault="00B50DB8" w:rsidP="00F84F1D">
      <w:pPr>
        <w:pStyle w:val="2-SectionHeading"/>
      </w:pPr>
      <w:bookmarkStart w:id="9" w:name="_Toc103767186"/>
      <w:r w:rsidRPr="00407F2D">
        <w:lastRenderedPageBreak/>
        <w:t>Requested listing</w:t>
      </w:r>
      <w:bookmarkEnd w:id="9"/>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68"/>
        <w:gridCol w:w="497"/>
        <w:gridCol w:w="512"/>
        <w:gridCol w:w="1022"/>
        <w:gridCol w:w="1022"/>
        <w:gridCol w:w="2928"/>
        <w:gridCol w:w="1278"/>
      </w:tblGrid>
      <w:tr w:rsidR="00874811" w:rsidRPr="002530A2" w14:paraId="2265C0C2" w14:textId="77777777" w:rsidTr="00A730C4">
        <w:trPr>
          <w:trHeight w:val="554"/>
        </w:trPr>
        <w:tc>
          <w:tcPr>
            <w:tcW w:w="1768" w:type="dxa"/>
          </w:tcPr>
          <w:p w14:paraId="60BA1E4B" w14:textId="77777777" w:rsidR="00874811" w:rsidRPr="002530A2" w:rsidRDefault="00874811" w:rsidP="006D1249">
            <w:pPr>
              <w:pStyle w:val="TableFigureCaption"/>
              <w:keepLines/>
            </w:pPr>
            <w:r w:rsidRPr="002530A2">
              <w:t>Name, restriction, manner of administration, form</w:t>
            </w:r>
          </w:p>
        </w:tc>
        <w:tc>
          <w:tcPr>
            <w:tcW w:w="1009" w:type="dxa"/>
            <w:gridSpan w:val="2"/>
          </w:tcPr>
          <w:p w14:paraId="5F290D45" w14:textId="77777777" w:rsidR="00874811" w:rsidRPr="002530A2" w:rsidRDefault="00874811" w:rsidP="006D1249">
            <w:pPr>
              <w:pStyle w:val="TableFigureCaption"/>
              <w:keepLines/>
              <w:jc w:val="center"/>
            </w:pPr>
            <w:r w:rsidRPr="002530A2">
              <w:t>Maximum quantity (packs)</w:t>
            </w:r>
          </w:p>
        </w:tc>
        <w:tc>
          <w:tcPr>
            <w:tcW w:w="1022" w:type="dxa"/>
          </w:tcPr>
          <w:p w14:paraId="44EEEABB" w14:textId="77777777" w:rsidR="00874811" w:rsidRPr="002530A2" w:rsidRDefault="00874811" w:rsidP="006D1249">
            <w:pPr>
              <w:pStyle w:val="TableFigureCaption"/>
              <w:keepLines/>
              <w:jc w:val="center"/>
            </w:pPr>
            <w:r w:rsidRPr="002530A2">
              <w:t>Maximum quantity (units)</w:t>
            </w:r>
          </w:p>
        </w:tc>
        <w:tc>
          <w:tcPr>
            <w:tcW w:w="1022" w:type="dxa"/>
          </w:tcPr>
          <w:p w14:paraId="1CAFD988" w14:textId="77777777" w:rsidR="00874811" w:rsidRPr="002530A2" w:rsidRDefault="00874811" w:rsidP="006D1249">
            <w:pPr>
              <w:pStyle w:val="TableFigureCaption"/>
              <w:keepLines/>
              <w:jc w:val="center"/>
            </w:pPr>
            <w:r w:rsidRPr="002530A2">
              <w:t>No. of repeats</w:t>
            </w:r>
          </w:p>
        </w:tc>
        <w:tc>
          <w:tcPr>
            <w:tcW w:w="2928" w:type="dxa"/>
          </w:tcPr>
          <w:p w14:paraId="213908D4" w14:textId="77777777" w:rsidR="00874811" w:rsidRPr="002530A2" w:rsidRDefault="00874811" w:rsidP="006D1249">
            <w:pPr>
              <w:pStyle w:val="TableFigureCaption"/>
              <w:keepLines/>
              <w:jc w:val="center"/>
            </w:pPr>
            <w:r w:rsidRPr="002530A2">
              <w:t>Published (effective) dispensed price for maximum quantity</w:t>
            </w:r>
          </w:p>
          <w:p w14:paraId="24147F5D" w14:textId="77777777" w:rsidR="00874811" w:rsidRPr="002530A2" w:rsidRDefault="00874811" w:rsidP="006D1249">
            <w:pPr>
              <w:pStyle w:val="TableFigureCaption"/>
              <w:keepLines/>
              <w:jc w:val="center"/>
            </w:pPr>
          </w:p>
        </w:tc>
        <w:tc>
          <w:tcPr>
            <w:tcW w:w="1278" w:type="dxa"/>
          </w:tcPr>
          <w:p w14:paraId="4166DE2A" w14:textId="77777777" w:rsidR="00874811" w:rsidRPr="002530A2" w:rsidRDefault="00874811" w:rsidP="006D1249">
            <w:pPr>
              <w:pStyle w:val="TableFigureCaption"/>
              <w:keepLines/>
              <w:jc w:val="center"/>
            </w:pPr>
            <w:r w:rsidRPr="002530A2">
              <w:t>Proprietary name and manufacturer</w:t>
            </w:r>
          </w:p>
        </w:tc>
      </w:tr>
      <w:tr w:rsidR="00874811" w:rsidRPr="002530A2" w14:paraId="11646398" w14:textId="77777777" w:rsidTr="00A730C4">
        <w:tc>
          <w:tcPr>
            <w:tcW w:w="9027" w:type="dxa"/>
            <w:gridSpan w:val="7"/>
            <w:vAlign w:val="center"/>
          </w:tcPr>
          <w:p w14:paraId="34A0A19A" w14:textId="77777777" w:rsidR="00874811" w:rsidRPr="00874811" w:rsidRDefault="00874811" w:rsidP="006D1249">
            <w:pPr>
              <w:pStyle w:val="TableText"/>
              <w:keepLines/>
              <w:rPr>
                <w:b/>
                <w:bCs w:val="0"/>
              </w:rPr>
            </w:pPr>
            <w:r w:rsidRPr="00874811">
              <w:rPr>
                <w:b/>
                <w:bCs w:val="0"/>
              </w:rPr>
              <w:t>Initial treatment/Induction (Treatment weeks 1-4)</w:t>
            </w:r>
          </w:p>
        </w:tc>
      </w:tr>
      <w:tr w:rsidR="00874811" w:rsidRPr="002530A2" w14:paraId="32EFDEB0" w14:textId="77777777" w:rsidTr="00A730C4">
        <w:trPr>
          <w:trHeight w:val="894"/>
        </w:trPr>
        <w:tc>
          <w:tcPr>
            <w:tcW w:w="1768" w:type="dxa"/>
            <w:vAlign w:val="center"/>
          </w:tcPr>
          <w:p w14:paraId="4895633C" w14:textId="77777777" w:rsidR="00874811" w:rsidRPr="002530A2" w:rsidRDefault="00874811" w:rsidP="006D1249">
            <w:pPr>
              <w:pStyle w:val="TableText"/>
              <w:keepLines/>
            </w:pPr>
            <w:proofErr w:type="spellStart"/>
            <w:r w:rsidRPr="002530A2">
              <w:rPr>
                <w:smallCaps/>
              </w:rPr>
              <w:t>Esketamine</w:t>
            </w:r>
            <w:proofErr w:type="spellEnd"/>
          </w:p>
          <w:p w14:paraId="5F12142F" w14:textId="260CDE99" w:rsidR="00874811" w:rsidRPr="002530A2" w:rsidRDefault="00874811" w:rsidP="006D1249">
            <w:pPr>
              <w:pStyle w:val="TableText"/>
              <w:keepLines/>
              <w:rPr>
                <w:b/>
              </w:rPr>
            </w:pPr>
            <w:r w:rsidRPr="002530A2">
              <w:t>Nasal spray device, 28 mg, 1</w:t>
            </w:r>
          </w:p>
        </w:tc>
        <w:tc>
          <w:tcPr>
            <w:tcW w:w="1009" w:type="dxa"/>
            <w:gridSpan w:val="2"/>
            <w:vAlign w:val="center"/>
          </w:tcPr>
          <w:p w14:paraId="539D460F" w14:textId="45A43C91" w:rsidR="00874811" w:rsidRPr="002530A2" w:rsidRDefault="00874811" w:rsidP="006D1249">
            <w:pPr>
              <w:pStyle w:val="TableText"/>
              <w:keepLines/>
              <w:jc w:val="center"/>
              <w:rPr>
                <w:rFonts w:ascii="Times" w:hAnsi="Times"/>
              </w:rPr>
            </w:pPr>
            <w:r w:rsidRPr="002530A2">
              <w:t>8</w:t>
            </w:r>
          </w:p>
        </w:tc>
        <w:tc>
          <w:tcPr>
            <w:tcW w:w="1022" w:type="dxa"/>
            <w:vAlign w:val="center"/>
          </w:tcPr>
          <w:p w14:paraId="5395985F" w14:textId="499FC85E" w:rsidR="00874811" w:rsidRPr="002530A2" w:rsidRDefault="00874811" w:rsidP="006D1249">
            <w:pPr>
              <w:pStyle w:val="TableText"/>
              <w:keepLines/>
              <w:jc w:val="center"/>
              <w:rPr>
                <w:rFonts w:ascii="Times" w:hAnsi="Times"/>
              </w:rPr>
            </w:pPr>
            <w:r w:rsidRPr="002530A2">
              <w:t>8</w:t>
            </w:r>
          </w:p>
        </w:tc>
        <w:tc>
          <w:tcPr>
            <w:tcW w:w="1022" w:type="dxa"/>
            <w:vAlign w:val="center"/>
          </w:tcPr>
          <w:p w14:paraId="2D035612" w14:textId="71EA870F" w:rsidR="00874811" w:rsidRPr="002530A2" w:rsidRDefault="00874811" w:rsidP="006D1249">
            <w:pPr>
              <w:pStyle w:val="TableText"/>
              <w:keepLines/>
              <w:jc w:val="center"/>
              <w:rPr>
                <w:rFonts w:ascii="Times" w:hAnsi="Times"/>
              </w:rPr>
            </w:pPr>
            <w:r w:rsidRPr="002530A2">
              <w:t>0</w:t>
            </w:r>
          </w:p>
        </w:tc>
        <w:tc>
          <w:tcPr>
            <w:tcW w:w="2928" w:type="dxa"/>
            <w:vAlign w:val="center"/>
          </w:tcPr>
          <w:p w14:paraId="036873F4" w14:textId="77777777" w:rsidR="00874811" w:rsidRPr="002530A2" w:rsidRDefault="00874811" w:rsidP="006D1249">
            <w:pPr>
              <w:pStyle w:val="TableText"/>
              <w:keepLines/>
              <w:jc w:val="center"/>
            </w:pPr>
            <w:r w:rsidRPr="002530A2">
              <w:t>Public Hospital:</w:t>
            </w:r>
          </w:p>
          <w:p w14:paraId="59350366" w14:textId="106AC99C" w:rsidR="00874811" w:rsidRPr="002530A2" w:rsidRDefault="00874811" w:rsidP="006D1249">
            <w:pPr>
              <w:pStyle w:val="TableText"/>
              <w:keepLines/>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p w14:paraId="61D03CE4" w14:textId="77777777" w:rsidR="00874811" w:rsidRPr="002530A2" w:rsidRDefault="00874811" w:rsidP="006D1249">
            <w:pPr>
              <w:pStyle w:val="TableText"/>
              <w:keepLines/>
              <w:jc w:val="center"/>
            </w:pPr>
            <w:r w:rsidRPr="002530A2">
              <w:t>Private Hospital/Community Access:</w:t>
            </w:r>
          </w:p>
          <w:p w14:paraId="4784232E" w14:textId="4D950248" w:rsidR="00874811" w:rsidRPr="002530A2" w:rsidRDefault="00874811" w:rsidP="006D1249">
            <w:pPr>
              <w:pStyle w:val="TableText"/>
              <w:keepLines/>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tc>
        <w:tc>
          <w:tcPr>
            <w:tcW w:w="1278" w:type="dxa"/>
            <w:vAlign w:val="center"/>
          </w:tcPr>
          <w:p w14:paraId="334681D7" w14:textId="6424CD2E" w:rsidR="00874811" w:rsidRPr="002530A2" w:rsidRDefault="00874811" w:rsidP="006D1249">
            <w:pPr>
              <w:pStyle w:val="TableText"/>
              <w:keepLines/>
              <w:rPr>
                <w:rFonts w:ascii="Times" w:hAnsi="Times"/>
              </w:rPr>
            </w:pPr>
            <w:proofErr w:type="spellStart"/>
            <w:r w:rsidRPr="002530A2">
              <w:t>Spravato</w:t>
            </w:r>
            <w:proofErr w:type="spellEnd"/>
            <w:r w:rsidRPr="002530A2">
              <w:rPr>
                <w:vertAlign w:val="superscript"/>
              </w:rPr>
              <w:t>®</w:t>
            </w:r>
            <w:r w:rsidRPr="002530A2">
              <w:t>, Janssen-</w:t>
            </w:r>
            <w:proofErr w:type="spellStart"/>
            <w:r w:rsidRPr="002530A2">
              <w:t>Cilag</w:t>
            </w:r>
            <w:proofErr w:type="spellEnd"/>
            <w:r w:rsidRPr="002530A2">
              <w:t xml:space="preserve"> Pty Ltd</w:t>
            </w:r>
          </w:p>
        </w:tc>
      </w:tr>
      <w:tr w:rsidR="00874811" w:rsidRPr="002530A2" w14:paraId="4F78B167" w14:textId="77777777" w:rsidTr="00A730C4">
        <w:tc>
          <w:tcPr>
            <w:tcW w:w="1768" w:type="dxa"/>
            <w:vAlign w:val="center"/>
          </w:tcPr>
          <w:p w14:paraId="24462E45" w14:textId="77777777" w:rsidR="00874811" w:rsidRPr="002530A2" w:rsidRDefault="00874811" w:rsidP="006D1249">
            <w:pPr>
              <w:pStyle w:val="TableText"/>
              <w:keepLines/>
            </w:pPr>
            <w:proofErr w:type="spellStart"/>
            <w:r w:rsidRPr="002530A2">
              <w:rPr>
                <w:smallCaps/>
              </w:rPr>
              <w:t>Esketamine</w:t>
            </w:r>
            <w:proofErr w:type="spellEnd"/>
          </w:p>
          <w:p w14:paraId="7E7E109B" w14:textId="3369C5F0" w:rsidR="00874811" w:rsidRPr="002530A2" w:rsidRDefault="00874811" w:rsidP="006D1249">
            <w:pPr>
              <w:pStyle w:val="TableText"/>
              <w:keepLines/>
              <w:rPr>
                <w:smallCaps/>
              </w:rPr>
            </w:pPr>
            <w:r w:rsidRPr="002530A2">
              <w:t>Nasal spray device, 28 mg, 2</w:t>
            </w:r>
          </w:p>
        </w:tc>
        <w:tc>
          <w:tcPr>
            <w:tcW w:w="1009" w:type="dxa"/>
            <w:gridSpan w:val="2"/>
            <w:vAlign w:val="center"/>
          </w:tcPr>
          <w:p w14:paraId="454FFA54" w14:textId="29862124" w:rsidR="00874811" w:rsidRPr="002530A2" w:rsidRDefault="00874811" w:rsidP="006D1249">
            <w:pPr>
              <w:pStyle w:val="TableText"/>
              <w:keepLines/>
              <w:jc w:val="center"/>
            </w:pPr>
            <w:r w:rsidRPr="002530A2">
              <w:t>8</w:t>
            </w:r>
          </w:p>
        </w:tc>
        <w:tc>
          <w:tcPr>
            <w:tcW w:w="1022" w:type="dxa"/>
            <w:vAlign w:val="center"/>
          </w:tcPr>
          <w:p w14:paraId="28433146" w14:textId="6241DF9D" w:rsidR="00874811" w:rsidRPr="002530A2" w:rsidRDefault="00874811" w:rsidP="006D1249">
            <w:pPr>
              <w:pStyle w:val="TableText"/>
              <w:keepLines/>
              <w:jc w:val="center"/>
            </w:pPr>
            <w:r w:rsidRPr="002530A2">
              <w:t>16</w:t>
            </w:r>
          </w:p>
        </w:tc>
        <w:tc>
          <w:tcPr>
            <w:tcW w:w="1022" w:type="dxa"/>
            <w:vAlign w:val="center"/>
          </w:tcPr>
          <w:p w14:paraId="34C60C38" w14:textId="0AF12126" w:rsidR="00874811" w:rsidRPr="002530A2" w:rsidRDefault="00874811" w:rsidP="006D1249">
            <w:pPr>
              <w:pStyle w:val="TableText"/>
              <w:keepLines/>
              <w:jc w:val="center"/>
            </w:pPr>
            <w:r w:rsidRPr="002530A2">
              <w:t>0</w:t>
            </w:r>
          </w:p>
        </w:tc>
        <w:tc>
          <w:tcPr>
            <w:tcW w:w="2928" w:type="dxa"/>
            <w:vAlign w:val="center"/>
          </w:tcPr>
          <w:p w14:paraId="65DC0831" w14:textId="77777777" w:rsidR="00874811" w:rsidRPr="002530A2" w:rsidRDefault="00874811" w:rsidP="006D1249">
            <w:pPr>
              <w:pStyle w:val="TableText"/>
              <w:keepLines/>
              <w:jc w:val="center"/>
            </w:pPr>
            <w:r w:rsidRPr="002530A2">
              <w:t>Public Hospital:</w:t>
            </w:r>
          </w:p>
          <w:p w14:paraId="453322EE" w14:textId="5A64E8BB" w:rsidR="00874811" w:rsidRPr="002530A2" w:rsidRDefault="00874811" w:rsidP="006D1249">
            <w:pPr>
              <w:pStyle w:val="TableText"/>
              <w:keepLines/>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p w14:paraId="55CFEA36" w14:textId="77777777" w:rsidR="00874811" w:rsidRPr="002530A2" w:rsidRDefault="00874811" w:rsidP="006D1249">
            <w:pPr>
              <w:pStyle w:val="TableText"/>
              <w:keepLines/>
              <w:jc w:val="center"/>
            </w:pPr>
            <w:r w:rsidRPr="002530A2">
              <w:t>Private Hospital/Community Access:</w:t>
            </w:r>
          </w:p>
          <w:p w14:paraId="4221A095" w14:textId="798E34B5" w:rsidR="00874811" w:rsidRPr="002530A2" w:rsidRDefault="00874811" w:rsidP="006D1249">
            <w:pPr>
              <w:pStyle w:val="TableText"/>
              <w:keepLines/>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tc>
        <w:tc>
          <w:tcPr>
            <w:tcW w:w="1278" w:type="dxa"/>
            <w:vAlign w:val="center"/>
          </w:tcPr>
          <w:p w14:paraId="1F1A4FEB" w14:textId="4AC58B58" w:rsidR="00874811" w:rsidRPr="002530A2" w:rsidRDefault="00874811" w:rsidP="006D1249">
            <w:pPr>
              <w:pStyle w:val="TableText"/>
              <w:keepLines/>
            </w:pPr>
            <w:proofErr w:type="spellStart"/>
            <w:r w:rsidRPr="002530A2">
              <w:t>Spravato</w:t>
            </w:r>
            <w:proofErr w:type="spellEnd"/>
            <w:r w:rsidRPr="002530A2">
              <w:rPr>
                <w:vertAlign w:val="superscript"/>
              </w:rPr>
              <w:t>®</w:t>
            </w:r>
            <w:r w:rsidRPr="002530A2">
              <w:t>, Janssen-</w:t>
            </w:r>
            <w:proofErr w:type="spellStart"/>
            <w:r w:rsidRPr="002530A2">
              <w:t>Cilag</w:t>
            </w:r>
            <w:proofErr w:type="spellEnd"/>
            <w:r w:rsidRPr="002530A2">
              <w:t xml:space="preserve"> Pty Ltd</w:t>
            </w:r>
          </w:p>
        </w:tc>
      </w:tr>
      <w:tr w:rsidR="00874811" w:rsidRPr="002530A2" w14:paraId="4A8A5685" w14:textId="77777777" w:rsidTr="00A730C4">
        <w:tc>
          <w:tcPr>
            <w:tcW w:w="1768" w:type="dxa"/>
            <w:vAlign w:val="center"/>
          </w:tcPr>
          <w:p w14:paraId="12E6DC6B" w14:textId="77777777" w:rsidR="00874811" w:rsidRPr="002530A2" w:rsidRDefault="00874811" w:rsidP="006D1249">
            <w:pPr>
              <w:pStyle w:val="TableText"/>
              <w:keepLines/>
            </w:pPr>
            <w:proofErr w:type="spellStart"/>
            <w:r w:rsidRPr="002530A2">
              <w:rPr>
                <w:smallCaps/>
              </w:rPr>
              <w:t>Esketamine</w:t>
            </w:r>
            <w:proofErr w:type="spellEnd"/>
          </w:p>
          <w:p w14:paraId="37C2A6B7" w14:textId="3DA2A653" w:rsidR="00874811" w:rsidRPr="002530A2" w:rsidRDefault="00874811" w:rsidP="006D1249">
            <w:pPr>
              <w:pStyle w:val="TableText"/>
              <w:keepLines/>
              <w:rPr>
                <w:smallCaps/>
              </w:rPr>
            </w:pPr>
            <w:r w:rsidRPr="002530A2">
              <w:t>Nasal spray device, 28 mg, 3</w:t>
            </w:r>
          </w:p>
        </w:tc>
        <w:tc>
          <w:tcPr>
            <w:tcW w:w="1009" w:type="dxa"/>
            <w:gridSpan w:val="2"/>
            <w:vAlign w:val="center"/>
          </w:tcPr>
          <w:p w14:paraId="41829DC3" w14:textId="06CE44B5" w:rsidR="00874811" w:rsidRPr="002530A2" w:rsidRDefault="00874811" w:rsidP="006D1249">
            <w:pPr>
              <w:pStyle w:val="TableText"/>
              <w:keepLines/>
              <w:jc w:val="center"/>
            </w:pPr>
            <w:r w:rsidRPr="002530A2">
              <w:t>8</w:t>
            </w:r>
          </w:p>
        </w:tc>
        <w:tc>
          <w:tcPr>
            <w:tcW w:w="1022" w:type="dxa"/>
            <w:vAlign w:val="center"/>
          </w:tcPr>
          <w:p w14:paraId="4AEB0F2A" w14:textId="4084D765" w:rsidR="00874811" w:rsidRPr="002530A2" w:rsidRDefault="00874811" w:rsidP="006D1249">
            <w:pPr>
              <w:pStyle w:val="TableText"/>
              <w:keepLines/>
              <w:jc w:val="center"/>
            </w:pPr>
            <w:r w:rsidRPr="002530A2">
              <w:t>24</w:t>
            </w:r>
          </w:p>
        </w:tc>
        <w:tc>
          <w:tcPr>
            <w:tcW w:w="1022" w:type="dxa"/>
            <w:vAlign w:val="center"/>
          </w:tcPr>
          <w:p w14:paraId="36B1A97B" w14:textId="408A84C4" w:rsidR="00874811" w:rsidRPr="002530A2" w:rsidRDefault="00874811" w:rsidP="006D1249">
            <w:pPr>
              <w:pStyle w:val="TableText"/>
              <w:keepLines/>
              <w:jc w:val="center"/>
            </w:pPr>
            <w:r w:rsidRPr="002530A2">
              <w:t>0</w:t>
            </w:r>
          </w:p>
        </w:tc>
        <w:tc>
          <w:tcPr>
            <w:tcW w:w="2928" w:type="dxa"/>
            <w:vAlign w:val="center"/>
          </w:tcPr>
          <w:p w14:paraId="2B867FDB" w14:textId="77777777" w:rsidR="00874811" w:rsidRPr="002530A2" w:rsidRDefault="00874811" w:rsidP="006D1249">
            <w:pPr>
              <w:pStyle w:val="TableText"/>
              <w:keepLines/>
              <w:jc w:val="center"/>
            </w:pPr>
            <w:r w:rsidRPr="002530A2">
              <w:t>Public Hospital:</w:t>
            </w:r>
          </w:p>
          <w:p w14:paraId="61E3CF4C" w14:textId="5550D928" w:rsidR="00874811" w:rsidRPr="002530A2" w:rsidRDefault="00874811" w:rsidP="006D1249">
            <w:pPr>
              <w:pStyle w:val="TableText"/>
              <w:keepLines/>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p w14:paraId="7B946F2C" w14:textId="77777777" w:rsidR="00874811" w:rsidRPr="002530A2" w:rsidRDefault="00874811" w:rsidP="006D1249">
            <w:pPr>
              <w:pStyle w:val="TableText"/>
              <w:keepLines/>
              <w:jc w:val="center"/>
            </w:pPr>
            <w:r w:rsidRPr="002530A2">
              <w:t>Private Hospital/Community Access:</w:t>
            </w:r>
          </w:p>
          <w:p w14:paraId="24E6B7B8" w14:textId="1A95E5E7" w:rsidR="00874811" w:rsidRPr="002530A2" w:rsidRDefault="00874811" w:rsidP="006D1249">
            <w:pPr>
              <w:pStyle w:val="TableText"/>
              <w:keepLines/>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tc>
        <w:tc>
          <w:tcPr>
            <w:tcW w:w="1278" w:type="dxa"/>
            <w:vAlign w:val="center"/>
          </w:tcPr>
          <w:p w14:paraId="4222C272" w14:textId="12A7D246" w:rsidR="00874811" w:rsidRPr="002530A2" w:rsidRDefault="00874811" w:rsidP="006D1249">
            <w:pPr>
              <w:pStyle w:val="TableText"/>
              <w:keepLines/>
            </w:pPr>
            <w:proofErr w:type="spellStart"/>
            <w:r w:rsidRPr="002530A2">
              <w:t>Spravato</w:t>
            </w:r>
            <w:proofErr w:type="spellEnd"/>
            <w:r w:rsidRPr="002530A2">
              <w:rPr>
                <w:vertAlign w:val="superscript"/>
              </w:rPr>
              <w:t>®</w:t>
            </w:r>
            <w:r w:rsidRPr="002530A2">
              <w:t>, Janssen-</w:t>
            </w:r>
            <w:proofErr w:type="spellStart"/>
            <w:r w:rsidRPr="002530A2">
              <w:t>Cilag</w:t>
            </w:r>
            <w:proofErr w:type="spellEnd"/>
            <w:r w:rsidRPr="002530A2">
              <w:t xml:space="preserve"> Pty Ltd</w:t>
            </w:r>
          </w:p>
        </w:tc>
      </w:tr>
      <w:tr w:rsidR="00874811" w:rsidRPr="002530A2" w14:paraId="27F1C53F" w14:textId="77777777" w:rsidTr="00A730C4">
        <w:tc>
          <w:tcPr>
            <w:tcW w:w="9027" w:type="dxa"/>
            <w:gridSpan w:val="7"/>
            <w:vAlign w:val="center"/>
          </w:tcPr>
          <w:p w14:paraId="3826149E" w14:textId="3A223A10" w:rsidR="00874811" w:rsidRPr="00874811" w:rsidRDefault="00874811" w:rsidP="006D1249">
            <w:pPr>
              <w:pStyle w:val="TableText"/>
              <w:keepLines/>
              <w:rPr>
                <w:b/>
                <w:bCs w:val="0"/>
              </w:rPr>
            </w:pPr>
            <w:r w:rsidRPr="00874811">
              <w:rPr>
                <w:b/>
                <w:bCs w:val="0"/>
              </w:rPr>
              <w:t>Continuing treatment/Maintenance period (Treatment weeks 5 and onwards)</w:t>
            </w:r>
          </w:p>
        </w:tc>
      </w:tr>
      <w:tr w:rsidR="00874811" w:rsidRPr="002530A2" w14:paraId="3A0CE7EE" w14:textId="77777777" w:rsidTr="00A730C4">
        <w:tc>
          <w:tcPr>
            <w:tcW w:w="1768" w:type="dxa"/>
            <w:vAlign w:val="center"/>
          </w:tcPr>
          <w:p w14:paraId="7ABB33E8" w14:textId="77777777" w:rsidR="00874811" w:rsidRPr="002530A2" w:rsidRDefault="00874811" w:rsidP="006D1249">
            <w:pPr>
              <w:pStyle w:val="TableText"/>
              <w:keepLines/>
            </w:pPr>
            <w:proofErr w:type="spellStart"/>
            <w:r w:rsidRPr="002530A2">
              <w:rPr>
                <w:smallCaps/>
              </w:rPr>
              <w:t>Esketamine</w:t>
            </w:r>
            <w:proofErr w:type="spellEnd"/>
          </w:p>
          <w:p w14:paraId="133B1185" w14:textId="7AC34363" w:rsidR="00874811" w:rsidRPr="002530A2" w:rsidRDefault="00874811" w:rsidP="006D1249">
            <w:pPr>
              <w:pStyle w:val="TableText"/>
              <w:keepLines/>
              <w:rPr>
                <w:smallCaps/>
              </w:rPr>
            </w:pPr>
            <w:r w:rsidRPr="002530A2">
              <w:t>Nasal spray device, 28 mg, 1</w:t>
            </w:r>
          </w:p>
        </w:tc>
        <w:tc>
          <w:tcPr>
            <w:tcW w:w="1009" w:type="dxa"/>
            <w:gridSpan w:val="2"/>
            <w:vAlign w:val="center"/>
          </w:tcPr>
          <w:p w14:paraId="5C1BCB92" w14:textId="1FB790FD" w:rsidR="00874811" w:rsidRPr="002530A2" w:rsidRDefault="00874811" w:rsidP="006D1249">
            <w:pPr>
              <w:pStyle w:val="TableText"/>
              <w:keepLines/>
              <w:jc w:val="center"/>
            </w:pPr>
            <w:r w:rsidRPr="002530A2">
              <w:t>4</w:t>
            </w:r>
          </w:p>
        </w:tc>
        <w:tc>
          <w:tcPr>
            <w:tcW w:w="1022" w:type="dxa"/>
            <w:vAlign w:val="center"/>
          </w:tcPr>
          <w:p w14:paraId="315D847B" w14:textId="605BB12C" w:rsidR="00874811" w:rsidRPr="002530A2" w:rsidRDefault="00874811" w:rsidP="006D1249">
            <w:pPr>
              <w:pStyle w:val="TableText"/>
              <w:keepLines/>
              <w:jc w:val="center"/>
            </w:pPr>
            <w:r w:rsidRPr="002530A2">
              <w:t>4</w:t>
            </w:r>
          </w:p>
        </w:tc>
        <w:tc>
          <w:tcPr>
            <w:tcW w:w="1022" w:type="dxa"/>
            <w:vAlign w:val="center"/>
          </w:tcPr>
          <w:p w14:paraId="6BB03C25" w14:textId="3FEC30F3" w:rsidR="00874811" w:rsidRPr="002530A2" w:rsidRDefault="00874811" w:rsidP="006D1249">
            <w:pPr>
              <w:pStyle w:val="TableText"/>
              <w:keepLines/>
              <w:jc w:val="center"/>
            </w:pPr>
            <w:r>
              <w:t>2</w:t>
            </w:r>
          </w:p>
        </w:tc>
        <w:tc>
          <w:tcPr>
            <w:tcW w:w="2928" w:type="dxa"/>
            <w:vAlign w:val="center"/>
          </w:tcPr>
          <w:p w14:paraId="2B9D5853" w14:textId="77777777" w:rsidR="00874811" w:rsidRPr="002530A2" w:rsidRDefault="00874811" w:rsidP="006D1249">
            <w:pPr>
              <w:pStyle w:val="TableText"/>
              <w:keepLines/>
              <w:jc w:val="center"/>
            </w:pPr>
            <w:r w:rsidRPr="002530A2">
              <w:t>Public Hospital:</w:t>
            </w:r>
          </w:p>
          <w:p w14:paraId="4E521F99" w14:textId="47171DB5" w:rsidR="00874811" w:rsidRPr="002530A2" w:rsidRDefault="00874811" w:rsidP="006D1249">
            <w:pPr>
              <w:pStyle w:val="TableText"/>
              <w:keepLines/>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p w14:paraId="3F931A4E" w14:textId="77777777" w:rsidR="00874811" w:rsidRPr="002530A2" w:rsidRDefault="00874811" w:rsidP="006D1249">
            <w:pPr>
              <w:pStyle w:val="TableText"/>
              <w:keepLines/>
              <w:jc w:val="center"/>
            </w:pPr>
            <w:r w:rsidRPr="002530A2">
              <w:t>Private Hospital/Community Access:</w:t>
            </w:r>
          </w:p>
          <w:p w14:paraId="2471D725" w14:textId="6294E7DF" w:rsidR="00874811" w:rsidRPr="002530A2" w:rsidRDefault="00874811" w:rsidP="006D1249">
            <w:pPr>
              <w:pStyle w:val="TableText"/>
              <w:keepLines/>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tc>
        <w:tc>
          <w:tcPr>
            <w:tcW w:w="1278" w:type="dxa"/>
            <w:vAlign w:val="center"/>
          </w:tcPr>
          <w:p w14:paraId="3E5766BB" w14:textId="56673AB2" w:rsidR="00874811" w:rsidRPr="002530A2" w:rsidRDefault="00874811" w:rsidP="006D1249">
            <w:pPr>
              <w:pStyle w:val="TableText"/>
              <w:keepLines/>
            </w:pPr>
            <w:proofErr w:type="spellStart"/>
            <w:r w:rsidRPr="002530A2">
              <w:t>Spravato</w:t>
            </w:r>
            <w:proofErr w:type="spellEnd"/>
            <w:r w:rsidRPr="002530A2">
              <w:rPr>
                <w:vertAlign w:val="superscript"/>
              </w:rPr>
              <w:t>®</w:t>
            </w:r>
            <w:r w:rsidRPr="002530A2">
              <w:t>, Janssen-</w:t>
            </w:r>
            <w:proofErr w:type="spellStart"/>
            <w:r w:rsidRPr="002530A2">
              <w:t>Cilag</w:t>
            </w:r>
            <w:proofErr w:type="spellEnd"/>
            <w:r w:rsidRPr="002530A2">
              <w:t xml:space="preserve"> Pty Ltd</w:t>
            </w:r>
          </w:p>
        </w:tc>
      </w:tr>
      <w:tr w:rsidR="00874811" w:rsidRPr="002530A2" w14:paraId="7CED1396" w14:textId="77777777" w:rsidTr="00A730C4">
        <w:tc>
          <w:tcPr>
            <w:tcW w:w="1768" w:type="dxa"/>
            <w:tcBorders>
              <w:bottom w:val="single" w:sz="4" w:space="0" w:color="auto"/>
            </w:tcBorders>
            <w:vAlign w:val="center"/>
          </w:tcPr>
          <w:p w14:paraId="2A3B5328" w14:textId="77777777" w:rsidR="00874811" w:rsidRPr="002530A2" w:rsidRDefault="00874811" w:rsidP="006D1249">
            <w:pPr>
              <w:pStyle w:val="TableText"/>
              <w:keepLines/>
            </w:pPr>
            <w:proofErr w:type="spellStart"/>
            <w:r w:rsidRPr="002530A2">
              <w:rPr>
                <w:smallCaps/>
              </w:rPr>
              <w:t>Esketamine</w:t>
            </w:r>
            <w:proofErr w:type="spellEnd"/>
          </w:p>
          <w:p w14:paraId="20CC27DE" w14:textId="40F1ED8A" w:rsidR="00874811" w:rsidRPr="002530A2" w:rsidRDefault="00874811" w:rsidP="006D1249">
            <w:pPr>
              <w:pStyle w:val="TableText"/>
              <w:keepLines/>
              <w:rPr>
                <w:smallCaps/>
              </w:rPr>
            </w:pPr>
            <w:r w:rsidRPr="002530A2">
              <w:t>Nasal spray device, 28 mg, 2</w:t>
            </w:r>
          </w:p>
        </w:tc>
        <w:tc>
          <w:tcPr>
            <w:tcW w:w="1009" w:type="dxa"/>
            <w:gridSpan w:val="2"/>
            <w:tcBorders>
              <w:bottom w:val="single" w:sz="4" w:space="0" w:color="auto"/>
            </w:tcBorders>
            <w:vAlign w:val="center"/>
          </w:tcPr>
          <w:p w14:paraId="532220A7" w14:textId="5AC9BF7C" w:rsidR="00874811" w:rsidRPr="002530A2" w:rsidRDefault="00874811" w:rsidP="006D1249">
            <w:pPr>
              <w:pStyle w:val="TableText"/>
              <w:keepLines/>
              <w:jc w:val="center"/>
            </w:pPr>
            <w:r w:rsidRPr="002530A2">
              <w:t>4</w:t>
            </w:r>
          </w:p>
        </w:tc>
        <w:tc>
          <w:tcPr>
            <w:tcW w:w="1022" w:type="dxa"/>
            <w:tcBorders>
              <w:bottom w:val="single" w:sz="4" w:space="0" w:color="auto"/>
            </w:tcBorders>
            <w:vAlign w:val="center"/>
          </w:tcPr>
          <w:p w14:paraId="5F4B7890" w14:textId="5D7CCA6F" w:rsidR="00874811" w:rsidRPr="002530A2" w:rsidRDefault="00874811" w:rsidP="006D1249">
            <w:pPr>
              <w:pStyle w:val="TableText"/>
              <w:keepLines/>
              <w:jc w:val="center"/>
            </w:pPr>
            <w:r w:rsidRPr="002530A2">
              <w:t>8</w:t>
            </w:r>
          </w:p>
        </w:tc>
        <w:tc>
          <w:tcPr>
            <w:tcW w:w="1022" w:type="dxa"/>
            <w:tcBorders>
              <w:bottom w:val="single" w:sz="4" w:space="0" w:color="auto"/>
            </w:tcBorders>
            <w:vAlign w:val="center"/>
          </w:tcPr>
          <w:p w14:paraId="6D5D1A9B" w14:textId="160283C4" w:rsidR="00874811" w:rsidRPr="002530A2" w:rsidRDefault="00874811" w:rsidP="006D1249">
            <w:pPr>
              <w:pStyle w:val="TableText"/>
              <w:keepLines/>
              <w:jc w:val="center"/>
            </w:pPr>
            <w:r>
              <w:t>2</w:t>
            </w:r>
          </w:p>
        </w:tc>
        <w:tc>
          <w:tcPr>
            <w:tcW w:w="2928" w:type="dxa"/>
            <w:tcBorders>
              <w:bottom w:val="single" w:sz="4" w:space="0" w:color="auto"/>
            </w:tcBorders>
            <w:vAlign w:val="center"/>
          </w:tcPr>
          <w:p w14:paraId="185DE34A" w14:textId="77777777" w:rsidR="00874811" w:rsidRPr="002530A2" w:rsidRDefault="00874811" w:rsidP="006D1249">
            <w:pPr>
              <w:pStyle w:val="TableText"/>
              <w:keepLines/>
              <w:jc w:val="center"/>
            </w:pPr>
            <w:r w:rsidRPr="002530A2">
              <w:t xml:space="preserve">Public Hospital: </w:t>
            </w:r>
          </w:p>
          <w:p w14:paraId="64E554FD" w14:textId="25AE5B82" w:rsidR="00874811" w:rsidRPr="002530A2" w:rsidRDefault="00874811" w:rsidP="006D1249">
            <w:pPr>
              <w:pStyle w:val="TableText"/>
              <w:keepLines/>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p w14:paraId="4CFA5636" w14:textId="77777777" w:rsidR="00874811" w:rsidRPr="002530A2" w:rsidRDefault="00874811" w:rsidP="006D1249">
            <w:pPr>
              <w:pStyle w:val="TableText"/>
              <w:keepLines/>
              <w:jc w:val="center"/>
            </w:pPr>
            <w:r w:rsidRPr="002530A2">
              <w:t>Private Hospital/Community Access:</w:t>
            </w:r>
          </w:p>
          <w:p w14:paraId="56EC1B2A" w14:textId="0B3C4C4C" w:rsidR="00874811" w:rsidRPr="002530A2" w:rsidRDefault="00874811" w:rsidP="006D1249">
            <w:pPr>
              <w:pStyle w:val="TableText"/>
              <w:keepLines/>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tc>
        <w:tc>
          <w:tcPr>
            <w:tcW w:w="1278" w:type="dxa"/>
            <w:tcBorders>
              <w:bottom w:val="single" w:sz="4" w:space="0" w:color="auto"/>
            </w:tcBorders>
            <w:vAlign w:val="center"/>
          </w:tcPr>
          <w:p w14:paraId="3ADAF4C6" w14:textId="7EE7197B" w:rsidR="00874811" w:rsidRPr="002530A2" w:rsidRDefault="00874811" w:rsidP="006D1249">
            <w:pPr>
              <w:pStyle w:val="TableText"/>
              <w:keepLines/>
            </w:pPr>
            <w:proofErr w:type="spellStart"/>
            <w:r w:rsidRPr="002530A2">
              <w:t>Spravato</w:t>
            </w:r>
            <w:proofErr w:type="spellEnd"/>
            <w:r w:rsidRPr="002530A2">
              <w:rPr>
                <w:vertAlign w:val="superscript"/>
              </w:rPr>
              <w:t>®</w:t>
            </w:r>
            <w:r w:rsidRPr="002530A2">
              <w:t>, Janssen-</w:t>
            </w:r>
            <w:proofErr w:type="spellStart"/>
            <w:r w:rsidRPr="002530A2">
              <w:t>Cilag</w:t>
            </w:r>
            <w:proofErr w:type="spellEnd"/>
            <w:r w:rsidRPr="002530A2">
              <w:t xml:space="preserve"> Pty Ltd</w:t>
            </w:r>
          </w:p>
        </w:tc>
      </w:tr>
      <w:tr w:rsidR="00874811" w:rsidRPr="002530A2" w14:paraId="3A9FC929" w14:textId="77777777" w:rsidTr="00A730C4">
        <w:tc>
          <w:tcPr>
            <w:tcW w:w="1768" w:type="dxa"/>
            <w:tcBorders>
              <w:bottom w:val="nil"/>
            </w:tcBorders>
            <w:vAlign w:val="center"/>
          </w:tcPr>
          <w:p w14:paraId="075CB2A6" w14:textId="77777777" w:rsidR="00874811" w:rsidRPr="002530A2" w:rsidRDefault="00874811" w:rsidP="006D1249">
            <w:pPr>
              <w:pStyle w:val="TableText"/>
              <w:keepNext w:val="0"/>
            </w:pPr>
            <w:proofErr w:type="spellStart"/>
            <w:r w:rsidRPr="002530A2">
              <w:rPr>
                <w:smallCaps/>
              </w:rPr>
              <w:t>Esketamine</w:t>
            </w:r>
            <w:proofErr w:type="spellEnd"/>
          </w:p>
          <w:p w14:paraId="05715A11" w14:textId="0A3E3193" w:rsidR="00874811" w:rsidRPr="002530A2" w:rsidRDefault="00874811" w:rsidP="006D1249">
            <w:pPr>
              <w:pStyle w:val="TableText"/>
              <w:keepNext w:val="0"/>
              <w:rPr>
                <w:smallCaps/>
              </w:rPr>
            </w:pPr>
            <w:r w:rsidRPr="002530A2">
              <w:t>Nasal spray device, 28 mg, 3</w:t>
            </w:r>
          </w:p>
        </w:tc>
        <w:tc>
          <w:tcPr>
            <w:tcW w:w="1009" w:type="dxa"/>
            <w:gridSpan w:val="2"/>
            <w:tcBorders>
              <w:bottom w:val="nil"/>
            </w:tcBorders>
            <w:vAlign w:val="center"/>
          </w:tcPr>
          <w:p w14:paraId="6898F82B" w14:textId="2124670B" w:rsidR="00874811" w:rsidRPr="002530A2" w:rsidRDefault="00874811" w:rsidP="006D1249">
            <w:pPr>
              <w:pStyle w:val="TableText"/>
              <w:keepNext w:val="0"/>
              <w:jc w:val="center"/>
            </w:pPr>
            <w:r w:rsidRPr="002530A2">
              <w:t>4</w:t>
            </w:r>
          </w:p>
        </w:tc>
        <w:tc>
          <w:tcPr>
            <w:tcW w:w="1022" w:type="dxa"/>
            <w:tcBorders>
              <w:bottom w:val="nil"/>
            </w:tcBorders>
            <w:vAlign w:val="center"/>
          </w:tcPr>
          <w:p w14:paraId="4F757A16" w14:textId="50B2160A" w:rsidR="00874811" w:rsidRPr="002530A2" w:rsidRDefault="00874811" w:rsidP="006D1249">
            <w:pPr>
              <w:pStyle w:val="TableText"/>
              <w:keepNext w:val="0"/>
              <w:jc w:val="center"/>
            </w:pPr>
            <w:r w:rsidRPr="002530A2">
              <w:t>12</w:t>
            </w:r>
          </w:p>
        </w:tc>
        <w:tc>
          <w:tcPr>
            <w:tcW w:w="1022" w:type="dxa"/>
            <w:tcBorders>
              <w:bottom w:val="nil"/>
            </w:tcBorders>
            <w:vAlign w:val="center"/>
          </w:tcPr>
          <w:p w14:paraId="68D9907B" w14:textId="52CA358A" w:rsidR="00874811" w:rsidRPr="002530A2" w:rsidRDefault="00874811" w:rsidP="006D1249">
            <w:pPr>
              <w:pStyle w:val="TableText"/>
              <w:keepNext w:val="0"/>
              <w:jc w:val="center"/>
            </w:pPr>
            <w:r>
              <w:t>2</w:t>
            </w:r>
          </w:p>
        </w:tc>
        <w:tc>
          <w:tcPr>
            <w:tcW w:w="2928" w:type="dxa"/>
            <w:tcBorders>
              <w:bottom w:val="nil"/>
            </w:tcBorders>
            <w:vAlign w:val="center"/>
          </w:tcPr>
          <w:p w14:paraId="4629404D" w14:textId="77777777" w:rsidR="00874811" w:rsidRPr="002530A2" w:rsidRDefault="00874811" w:rsidP="006D1249">
            <w:pPr>
              <w:pStyle w:val="TableText"/>
              <w:keepNext w:val="0"/>
              <w:jc w:val="center"/>
            </w:pPr>
            <w:r w:rsidRPr="002530A2">
              <w:t>Public Hospital:</w:t>
            </w:r>
          </w:p>
          <w:p w14:paraId="37949D12" w14:textId="2FBDCB2F" w:rsidR="00874811" w:rsidRPr="002530A2" w:rsidRDefault="00874811" w:rsidP="006D1249">
            <w:pPr>
              <w:pStyle w:val="TableText"/>
              <w:keepNext w:val="0"/>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rsidR="00B9195B" w:rsidRPr="00B9195B">
              <w:rPr>
                <w:color w:val="000000"/>
                <w:shd w:val="solid" w:color="000000" w:fill="000000"/>
                <w14:textFill>
                  <w14:solidFill>
                    <w14:srgbClr w14:val="000000">
                      <w14:alpha w14:val="100000"/>
                    </w14:srgbClr>
                  </w14:solidFill>
                </w14:textFill>
              </w:rPr>
              <w:t>|</w:t>
            </w:r>
            <w:r w:rsidRPr="002530A2">
              <w:t>)</w:t>
            </w:r>
          </w:p>
          <w:p w14:paraId="5B5A7FDF" w14:textId="77777777" w:rsidR="00874811" w:rsidRPr="002530A2" w:rsidRDefault="00874811" w:rsidP="006D1249">
            <w:pPr>
              <w:pStyle w:val="TableText"/>
              <w:keepNext w:val="0"/>
              <w:jc w:val="center"/>
            </w:pPr>
            <w:r w:rsidRPr="002530A2">
              <w:t>Private Hospital/Community Access:</w:t>
            </w:r>
          </w:p>
          <w:p w14:paraId="1AF05ED0" w14:textId="38796EAC" w:rsidR="00874811" w:rsidRPr="002530A2" w:rsidRDefault="00874811" w:rsidP="006D1249">
            <w:pPr>
              <w:pStyle w:val="TableText"/>
              <w:keepNext w:val="0"/>
              <w:jc w:val="center"/>
            </w:pPr>
            <w:r w:rsidRPr="002530A2">
              <w:t>$</w:t>
            </w:r>
            <w:r w:rsidR="00B9195B" w:rsidRPr="00B9195B">
              <w:rPr>
                <w:color w:val="000000"/>
                <w:shd w:val="solid" w:color="000000" w:fill="000000"/>
                <w14:textFill>
                  <w14:solidFill>
                    <w14:srgbClr w14:val="000000">
                      <w14:alpha w14:val="100000"/>
                    </w14:srgbClr>
                  </w14:solidFill>
                </w14:textFill>
              </w:rPr>
              <w:t>|</w:t>
            </w:r>
            <w:r w:rsidRPr="002530A2">
              <w:t xml:space="preserve"> </w:t>
            </w:r>
            <w:r>
              <w:t>(</w:t>
            </w:r>
            <w:r w:rsidRPr="00DC7604">
              <w:t>$</w:t>
            </w:r>
            <w:r w:rsidR="00B9195B" w:rsidRPr="00B9195B">
              <w:rPr>
                <w:color w:val="000000"/>
                <w:shd w:val="solid" w:color="000000" w:fill="000000"/>
                <w14:textFill>
                  <w14:solidFill>
                    <w14:srgbClr w14:val="000000">
                      <w14:alpha w14:val="100000"/>
                    </w14:srgbClr>
                  </w14:solidFill>
                </w14:textFill>
              </w:rPr>
              <w:t>|</w:t>
            </w:r>
            <w:r w:rsidRPr="002530A2">
              <w:t>)</w:t>
            </w:r>
          </w:p>
        </w:tc>
        <w:tc>
          <w:tcPr>
            <w:tcW w:w="1278" w:type="dxa"/>
            <w:tcBorders>
              <w:bottom w:val="nil"/>
            </w:tcBorders>
            <w:vAlign w:val="center"/>
          </w:tcPr>
          <w:p w14:paraId="12720112" w14:textId="5C0B044D" w:rsidR="00874811" w:rsidRPr="002530A2" w:rsidRDefault="00874811" w:rsidP="006D1249">
            <w:pPr>
              <w:pStyle w:val="TableText"/>
              <w:keepNext w:val="0"/>
            </w:pPr>
            <w:proofErr w:type="spellStart"/>
            <w:r w:rsidRPr="002530A2">
              <w:t>Spravato</w:t>
            </w:r>
            <w:proofErr w:type="spellEnd"/>
            <w:r w:rsidRPr="002530A2">
              <w:rPr>
                <w:vertAlign w:val="superscript"/>
              </w:rPr>
              <w:t>®</w:t>
            </w:r>
            <w:r w:rsidRPr="002530A2">
              <w:t>, Janssen-</w:t>
            </w:r>
            <w:proofErr w:type="spellStart"/>
            <w:r w:rsidRPr="002530A2">
              <w:t>Cilag</w:t>
            </w:r>
            <w:proofErr w:type="spellEnd"/>
            <w:r w:rsidRPr="002530A2">
              <w:t xml:space="preserve"> Pty Ltd</w:t>
            </w:r>
          </w:p>
        </w:tc>
      </w:tr>
      <w:tr w:rsidR="00345A31" w:rsidRPr="00A30A33" w14:paraId="714ABA0E"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hideMark/>
          </w:tcPr>
          <w:p w14:paraId="37D692F1" w14:textId="33BCEBEA" w:rsidR="00345A31" w:rsidRPr="00A30A33" w:rsidRDefault="00345A31" w:rsidP="00C50DC8">
            <w:pPr>
              <w:pStyle w:val="TableText"/>
              <w:keepNext w:val="0"/>
            </w:pPr>
            <w:r w:rsidRPr="002530A2">
              <w:rPr>
                <w:b/>
              </w:rPr>
              <w:t>Category / Program:</w:t>
            </w:r>
          </w:p>
        </w:tc>
        <w:tc>
          <w:tcPr>
            <w:tcW w:w="6762" w:type="dxa"/>
            <w:gridSpan w:val="5"/>
          </w:tcPr>
          <w:p w14:paraId="3DD00B35" w14:textId="06921698" w:rsidR="00345A31" w:rsidRPr="00A30A33" w:rsidRDefault="00345A31" w:rsidP="00C50DC8">
            <w:pPr>
              <w:pStyle w:val="TableText"/>
              <w:keepNext w:val="0"/>
            </w:pPr>
            <w:r w:rsidRPr="002530A2">
              <w:t xml:space="preserve">Section 100 – Highly Specialised Drugs Program </w:t>
            </w:r>
          </w:p>
        </w:tc>
      </w:tr>
      <w:tr w:rsidR="00345A31" w:rsidRPr="00A30A33" w14:paraId="6A82E2AD"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hideMark/>
          </w:tcPr>
          <w:p w14:paraId="5AD0A811" w14:textId="278E1C8C" w:rsidR="00345A31" w:rsidRPr="00A30A33" w:rsidRDefault="00345A31" w:rsidP="00C50DC8">
            <w:pPr>
              <w:pStyle w:val="TableText"/>
              <w:keepNext w:val="0"/>
            </w:pPr>
            <w:r w:rsidRPr="002530A2">
              <w:rPr>
                <w:b/>
              </w:rPr>
              <w:t>Prescriber type:</w:t>
            </w:r>
          </w:p>
        </w:tc>
        <w:tc>
          <w:tcPr>
            <w:tcW w:w="6762" w:type="dxa"/>
            <w:gridSpan w:val="5"/>
          </w:tcPr>
          <w:p w14:paraId="11CC6D1E" w14:textId="6D82FB88" w:rsidR="00345A31" w:rsidRPr="00A30A33" w:rsidRDefault="00345A31" w:rsidP="00C50DC8">
            <w:pPr>
              <w:pStyle w:val="TableText"/>
              <w:keepNext w:val="0"/>
            </w:pPr>
            <w:r w:rsidRPr="002530A2">
              <w:t xml:space="preserve">Medical Practitioners  </w:t>
            </w:r>
          </w:p>
        </w:tc>
      </w:tr>
      <w:tr w:rsidR="00345A31" w:rsidRPr="00A30A33" w14:paraId="3B73A389"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hideMark/>
          </w:tcPr>
          <w:p w14:paraId="3A3EEB54" w14:textId="5342DE49" w:rsidR="00345A31" w:rsidRPr="00A30A33" w:rsidRDefault="00345A31" w:rsidP="00C50DC8">
            <w:pPr>
              <w:pStyle w:val="TableText"/>
              <w:keepNext w:val="0"/>
            </w:pPr>
            <w:r w:rsidRPr="002530A2">
              <w:rPr>
                <w:b/>
              </w:rPr>
              <w:t>Severity:</w:t>
            </w:r>
          </w:p>
        </w:tc>
        <w:tc>
          <w:tcPr>
            <w:tcW w:w="6762" w:type="dxa"/>
            <w:gridSpan w:val="5"/>
          </w:tcPr>
          <w:p w14:paraId="1AD6BF3F" w14:textId="47566A37" w:rsidR="00345A31" w:rsidRPr="00A30A33" w:rsidRDefault="00345A31" w:rsidP="00C50DC8">
            <w:pPr>
              <w:pStyle w:val="TableText"/>
              <w:keepNext w:val="0"/>
            </w:pPr>
            <w:r w:rsidRPr="002530A2">
              <w:t>Moderate to severe</w:t>
            </w:r>
          </w:p>
        </w:tc>
      </w:tr>
      <w:tr w:rsidR="00345A31" w:rsidRPr="00A30A33" w14:paraId="06EC54A9"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hideMark/>
          </w:tcPr>
          <w:p w14:paraId="5E559BD4" w14:textId="79749249" w:rsidR="00345A31" w:rsidRPr="00A30A33" w:rsidRDefault="00345A31" w:rsidP="00C50DC8">
            <w:pPr>
              <w:pStyle w:val="TableText"/>
              <w:keepNext w:val="0"/>
            </w:pPr>
            <w:r w:rsidRPr="002530A2">
              <w:rPr>
                <w:b/>
              </w:rPr>
              <w:t>Condition:</w:t>
            </w:r>
          </w:p>
        </w:tc>
        <w:tc>
          <w:tcPr>
            <w:tcW w:w="6762" w:type="dxa"/>
            <w:gridSpan w:val="5"/>
          </w:tcPr>
          <w:p w14:paraId="154804C9" w14:textId="081CE60C" w:rsidR="00345A31" w:rsidRPr="00A30A33" w:rsidRDefault="00345A31" w:rsidP="00C50DC8">
            <w:pPr>
              <w:pStyle w:val="TableText"/>
              <w:keepNext w:val="0"/>
            </w:pPr>
            <w:r w:rsidRPr="002530A2">
              <w:t>Major depressive disorder</w:t>
            </w:r>
          </w:p>
        </w:tc>
      </w:tr>
      <w:tr w:rsidR="00345A31" w:rsidRPr="00A30A33" w14:paraId="0DE20A68"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Borders>
              <w:bottom w:val="double" w:sz="4" w:space="0" w:color="auto"/>
            </w:tcBorders>
            <w:hideMark/>
          </w:tcPr>
          <w:p w14:paraId="33788F5E" w14:textId="62CFB32C" w:rsidR="00345A31" w:rsidRPr="00A30A33" w:rsidRDefault="00345A31" w:rsidP="00C50DC8">
            <w:pPr>
              <w:pStyle w:val="TableText"/>
              <w:keepNext w:val="0"/>
            </w:pPr>
            <w:r w:rsidRPr="002530A2">
              <w:rPr>
                <w:b/>
              </w:rPr>
              <w:t>PBS Indication:</w:t>
            </w:r>
          </w:p>
        </w:tc>
        <w:tc>
          <w:tcPr>
            <w:tcW w:w="6762" w:type="dxa"/>
            <w:gridSpan w:val="5"/>
            <w:tcBorders>
              <w:bottom w:val="double" w:sz="4" w:space="0" w:color="auto"/>
            </w:tcBorders>
          </w:tcPr>
          <w:p w14:paraId="3320D6ED" w14:textId="55199B24" w:rsidR="00345A31" w:rsidRPr="00A30A33" w:rsidRDefault="00345A31" w:rsidP="00C50DC8">
            <w:pPr>
              <w:pStyle w:val="TableText"/>
              <w:keepNext w:val="0"/>
            </w:pPr>
            <w:r w:rsidRPr="002530A2">
              <w:t>Treatment resistant depression</w:t>
            </w:r>
          </w:p>
        </w:tc>
      </w:tr>
      <w:tr w:rsidR="00345A31" w:rsidRPr="00A30A33" w14:paraId="0479F7D8"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Borders>
              <w:top w:val="double" w:sz="4" w:space="0" w:color="auto"/>
            </w:tcBorders>
            <w:hideMark/>
          </w:tcPr>
          <w:p w14:paraId="33B5F61F" w14:textId="036EA378" w:rsidR="00345A31" w:rsidRPr="00A30A33" w:rsidRDefault="00345A31" w:rsidP="00C50DC8">
            <w:pPr>
              <w:pStyle w:val="TableText"/>
              <w:keepNext w:val="0"/>
            </w:pPr>
            <w:r w:rsidRPr="002530A2">
              <w:rPr>
                <w:b/>
              </w:rPr>
              <w:t>Treatment phase:</w:t>
            </w:r>
          </w:p>
        </w:tc>
        <w:tc>
          <w:tcPr>
            <w:tcW w:w="6762" w:type="dxa"/>
            <w:gridSpan w:val="5"/>
            <w:tcBorders>
              <w:top w:val="double" w:sz="4" w:space="0" w:color="auto"/>
            </w:tcBorders>
          </w:tcPr>
          <w:p w14:paraId="66AFE1E5" w14:textId="4681EC97" w:rsidR="00345A31" w:rsidRPr="00A30A33" w:rsidRDefault="00345A31" w:rsidP="00C50DC8">
            <w:pPr>
              <w:pStyle w:val="TableText"/>
              <w:keepNext w:val="0"/>
            </w:pPr>
            <w:r w:rsidRPr="002530A2">
              <w:t>Initial treatment/induction</w:t>
            </w:r>
          </w:p>
        </w:tc>
      </w:tr>
      <w:tr w:rsidR="00345A31" w:rsidRPr="00A30A33" w14:paraId="7CAE1652"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2BD1AE49" w14:textId="1409777F" w:rsidR="00345A31" w:rsidRPr="00A30A33" w:rsidRDefault="00345A31" w:rsidP="00C50DC8">
            <w:pPr>
              <w:pStyle w:val="TableText"/>
              <w:keepNext w:val="0"/>
            </w:pPr>
            <w:r w:rsidRPr="002530A2">
              <w:rPr>
                <w:b/>
              </w:rPr>
              <w:t>Restriction:</w:t>
            </w:r>
          </w:p>
        </w:tc>
        <w:tc>
          <w:tcPr>
            <w:tcW w:w="6762" w:type="dxa"/>
            <w:gridSpan w:val="5"/>
          </w:tcPr>
          <w:p w14:paraId="2617DE0B" w14:textId="39E22F4F" w:rsidR="00345A31" w:rsidRPr="00C50DC8" w:rsidRDefault="00345A31" w:rsidP="00C50DC8">
            <w:pPr>
              <w:pStyle w:val="TableText"/>
              <w:keepNext w:val="0"/>
            </w:pPr>
            <w:r w:rsidRPr="002530A2">
              <w:t>Authority Required – Telephon</w:t>
            </w:r>
            <w:r>
              <w:t>e</w:t>
            </w:r>
          </w:p>
        </w:tc>
      </w:tr>
      <w:tr w:rsidR="00345A31" w:rsidRPr="00A30A33" w14:paraId="00531E8B"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hideMark/>
          </w:tcPr>
          <w:p w14:paraId="5625D14A" w14:textId="097AB959" w:rsidR="00345A31" w:rsidRPr="00A30A33" w:rsidRDefault="00345A31" w:rsidP="00C50DC8">
            <w:pPr>
              <w:pStyle w:val="TableText"/>
              <w:keepNext w:val="0"/>
            </w:pPr>
            <w:r w:rsidRPr="002530A2">
              <w:rPr>
                <w:b/>
              </w:rPr>
              <w:t>Treatment criteria:</w:t>
            </w:r>
          </w:p>
        </w:tc>
        <w:tc>
          <w:tcPr>
            <w:tcW w:w="6762" w:type="dxa"/>
            <w:gridSpan w:val="5"/>
          </w:tcPr>
          <w:p w14:paraId="03DAEA17" w14:textId="44254B05" w:rsidR="00345A31" w:rsidRPr="00A30A33" w:rsidRDefault="00345A31" w:rsidP="00C50DC8">
            <w:pPr>
              <w:pStyle w:val="TableText"/>
              <w:keepNext w:val="0"/>
              <w:rPr>
                <w:color w:val="000000"/>
              </w:rPr>
            </w:pPr>
            <w:r w:rsidRPr="002530A2">
              <w:rPr>
                <w:rFonts w:cs="Arial"/>
              </w:rPr>
              <w:t>Psychiatrist or under the supervision of a psychiatrist</w:t>
            </w:r>
          </w:p>
        </w:tc>
      </w:tr>
      <w:tr w:rsidR="00345A31" w:rsidRPr="00A30A33" w14:paraId="56FE6141"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65BBE7CA" w14:textId="77777777" w:rsidR="00345A31" w:rsidRPr="002530A2" w:rsidRDefault="00345A31" w:rsidP="00C50DC8">
            <w:pPr>
              <w:pStyle w:val="TableText"/>
              <w:keepNext w:val="0"/>
              <w:rPr>
                <w:b/>
              </w:rPr>
            </w:pPr>
            <w:r w:rsidRPr="002530A2">
              <w:rPr>
                <w:b/>
              </w:rPr>
              <w:t>Clinical criteria:</w:t>
            </w:r>
          </w:p>
          <w:p w14:paraId="532167A5" w14:textId="77777777" w:rsidR="00345A31" w:rsidRDefault="00345A31" w:rsidP="00C50DC8">
            <w:pPr>
              <w:pStyle w:val="TableText"/>
              <w:keepNext w:val="0"/>
            </w:pPr>
          </w:p>
        </w:tc>
        <w:tc>
          <w:tcPr>
            <w:tcW w:w="6762" w:type="dxa"/>
            <w:gridSpan w:val="5"/>
          </w:tcPr>
          <w:p w14:paraId="562D3EB1" w14:textId="57C193DA" w:rsidR="00345A31" w:rsidRPr="002530A2" w:rsidRDefault="00345A31" w:rsidP="00C50DC8">
            <w:pPr>
              <w:pStyle w:val="TableText"/>
              <w:keepNext w:val="0"/>
              <w:rPr>
                <w:rFonts w:cs="Arial"/>
              </w:rPr>
            </w:pPr>
            <w:r w:rsidRPr="002530A2">
              <w:rPr>
                <w:rFonts w:cs="Arial"/>
              </w:rPr>
              <w:t>Patient must have received and not achieved an adequate response to at least two different antidepressant medications at adequate doses and duration to treat the current depressive episode.</w:t>
            </w:r>
          </w:p>
          <w:p w14:paraId="20CAFFEB" w14:textId="77777777" w:rsidR="00345A31" w:rsidRPr="002530A2" w:rsidRDefault="00345A31" w:rsidP="00C50DC8">
            <w:pPr>
              <w:pStyle w:val="TableText"/>
              <w:keepNext w:val="0"/>
              <w:rPr>
                <w:rFonts w:cs="Arial"/>
              </w:rPr>
            </w:pPr>
            <w:r w:rsidRPr="002530A2">
              <w:rPr>
                <w:rFonts w:cs="Arial"/>
              </w:rPr>
              <w:t>AND</w:t>
            </w:r>
          </w:p>
          <w:p w14:paraId="26C89844" w14:textId="77777777" w:rsidR="00345A31" w:rsidRPr="002530A2" w:rsidRDefault="00345A31" w:rsidP="00C50DC8">
            <w:pPr>
              <w:pStyle w:val="TableText"/>
              <w:keepNext w:val="0"/>
              <w:rPr>
                <w:rFonts w:cs="Arial"/>
              </w:rPr>
            </w:pPr>
            <w:r w:rsidRPr="002530A2">
              <w:rPr>
                <w:rFonts w:cs="Arial"/>
              </w:rPr>
              <w:t>Treatment must be used in combination with a newly initiated oral antidepressant</w:t>
            </w:r>
          </w:p>
          <w:p w14:paraId="78861D86" w14:textId="77777777" w:rsidR="00345A31" w:rsidRPr="002530A2" w:rsidRDefault="00345A31" w:rsidP="00C50DC8">
            <w:pPr>
              <w:pStyle w:val="TableText"/>
              <w:keepNext w:val="0"/>
              <w:rPr>
                <w:rFonts w:cs="Arial"/>
              </w:rPr>
            </w:pPr>
            <w:r w:rsidRPr="002530A2">
              <w:rPr>
                <w:rFonts w:cs="Arial"/>
              </w:rPr>
              <w:t>AND</w:t>
            </w:r>
          </w:p>
          <w:p w14:paraId="43921A0E" w14:textId="4C27A00E" w:rsidR="00345A31" w:rsidRPr="00A30A33" w:rsidRDefault="00345A31" w:rsidP="00C50DC8">
            <w:pPr>
              <w:pStyle w:val="TableText"/>
              <w:keepNext w:val="0"/>
              <w:rPr>
                <w:color w:val="000000"/>
              </w:rPr>
            </w:pPr>
            <w:r w:rsidRPr="002530A2">
              <w:rPr>
                <w:rFonts w:cs="Arial"/>
              </w:rPr>
              <w:t>Patient must not receive more than 4 weeks of treatment under this restriction</w:t>
            </w:r>
          </w:p>
        </w:tc>
      </w:tr>
      <w:tr w:rsidR="00345A31" w:rsidRPr="00A30A33" w14:paraId="2380A227"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Borders>
              <w:bottom w:val="double" w:sz="4" w:space="0" w:color="auto"/>
            </w:tcBorders>
          </w:tcPr>
          <w:p w14:paraId="71BA024A" w14:textId="76AF75B6" w:rsidR="00345A31" w:rsidRDefault="00345A31" w:rsidP="00C50DC8">
            <w:pPr>
              <w:pStyle w:val="TableText"/>
              <w:keepNext w:val="0"/>
            </w:pPr>
            <w:r w:rsidRPr="002530A2">
              <w:rPr>
                <w:b/>
              </w:rPr>
              <w:t>Population criteria:</w:t>
            </w:r>
          </w:p>
        </w:tc>
        <w:tc>
          <w:tcPr>
            <w:tcW w:w="6762" w:type="dxa"/>
            <w:gridSpan w:val="5"/>
            <w:tcBorders>
              <w:bottom w:val="double" w:sz="4" w:space="0" w:color="auto"/>
            </w:tcBorders>
          </w:tcPr>
          <w:p w14:paraId="07F6D61C" w14:textId="4443C7B2" w:rsidR="00345A31" w:rsidRPr="00A30A33" w:rsidRDefault="00345A31" w:rsidP="00C50DC8">
            <w:pPr>
              <w:pStyle w:val="TableText"/>
              <w:keepNext w:val="0"/>
              <w:rPr>
                <w:color w:val="000000"/>
              </w:rPr>
            </w:pPr>
            <w:r w:rsidRPr="002530A2">
              <w:t xml:space="preserve">Patients must be aged 18 years or </w:t>
            </w:r>
            <w:r>
              <w:t>older</w:t>
            </w:r>
          </w:p>
        </w:tc>
      </w:tr>
      <w:tr w:rsidR="00BE40B8" w:rsidRPr="00A30A33" w14:paraId="524DAD21"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31CDABF3" w14:textId="75A5E494" w:rsidR="00345A31" w:rsidRPr="00345A31" w:rsidRDefault="00345A31" w:rsidP="00C50DC8">
            <w:pPr>
              <w:pStyle w:val="TableText"/>
              <w:keepNext w:val="0"/>
              <w:rPr>
                <w:b/>
              </w:rPr>
            </w:pPr>
            <w:r w:rsidRPr="002530A2">
              <w:rPr>
                <w:b/>
              </w:rPr>
              <w:t>Treatment phase:</w:t>
            </w:r>
          </w:p>
        </w:tc>
        <w:tc>
          <w:tcPr>
            <w:tcW w:w="6762" w:type="dxa"/>
            <w:gridSpan w:val="5"/>
          </w:tcPr>
          <w:p w14:paraId="3A4A5FE5" w14:textId="245257CF" w:rsidR="00345A31" w:rsidRPr="00A30A33" w:rsidRDefault="00345A31" w:rsidP="00C50DC8">
            <w:pPr>
              <w:pStyle w:val="TableText"/>
              <w:keepNext w:val="0"/>
            </w:pPr>
            <w:r w:rsidRPr="002530A2">
              <w:t>Continuing treatment</w:t>
            </w:r>
          </w:p>
        </w:tc>
      </w:tr>
      <w:tr w:rsidR="00BE40B8" w:rsidRPr="00A30A33" w14:paraId="57FE852C"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08F7BC22" w14:textId="3105D0D4" w:rsidR="00345A31" w:rsidRPr="00345A31" w:rsidRDefault="00345A31" w:rsidP="00C50DC8">
            <w:pPr>
              <w:pStyle w:val="TableText"/>
              <w:keepNext w:val="0"/>
              <w:rPr>
                <w:b/>
              </w:rPr>
            </w:pPr>
            <w:r w:rsidRPr="002530A2">
              <w:rPr>
                <w:b/>
              </w:rPr>
              <w:t>Restriction:</w:t>
            </w:r>
          </w:p>
        </w:tc>
        <w:tc>
          <w:tcPr>
            <w:tcW w:w="6762" w:type="dxa"/>
            <w:gridSpan w:val="5"/>
          </w:tcPr>
          <w:p w14:paraId="07B8CF8A" w14:textId="4F521F54" w:rsidR="00345A31" w:rsidRPr="00345A31" w:rsidRDefault="00345A31" w:rsidP="00C50DC8">
            <w:pPr>
              <w:pStyle w:val="TableText"/>
              <w:keepNext w:val="0"/>
            </w:pPr>
            <w:r w:rsidRPr="002530A2">
              <w:t>Authority Required – Telephone</w:t>
            </w:r>
          </w:p>
        </w:tc>
      </w:tr>
      <w:tr w:rsidR="00BE40B8" w:rsidRPr="00A30A33" w14:paraId="176B78E1"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5A47D0FC" w14:textId="666FDBD2" w:rsidR="00345A31" w:rsidRPr="00345A31" w:rsidRDefault="00345A31" w:rsidP="00C50DC8">
            <w:pPr>
              <w:pStyle w:val="TableText"/>
              <w:keepNext w:val="0"/>
              <w:rPr>
                <w:b/>
              </w:rPr>
            </w:pPr>
            <w:r w:rsidRPr="002530A2">
              <w:rPr>
                <w:b/>
              </w:rPr>
              <w:t>Treatment criteria:</w:t>
            </w:r>
          </w:p>
        </w:tc>
        <w:tc>
          <w:tcPr>
            <w:tcW w:w="6762" w:type="dxa"/>
            <w:gridSpan w:val="5"/>
          </w:tcPr>
          <w:p w14:paraId="102931E3" w14:textId="7A2C2EDE" w:rsidR="00345A31" w:rsidRPr="00345A31" w:rsidRDefault="00345A31" w:rsidP="00C50DC8">
            <w:pPr>
              <w:pStyle w:val="TableText"/>
              <w:keepNext w:val="0"/>
            </w:pPr>
            <w:r w:rsidRPr="002530A2">
              <w:rPr>
                <w:rFonts w:cs="Arial"/>
              </w:rPr>
              <w:t>Psychiatrist or under the supervision of a psychiatrist</w:t>
            </w:r>
          </w:p>
        </w:tc>
      </w:tr>
      <w:tr w:rsidR="00345A31" w:rsidRPr="00A30A33" w14:paraId="7531328A"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24EC42B4" w14:textId="0C0EECC5" w:rsidR="00345A31" w:rsidRPr="00345A31" w:rsidRDefault="00345A31" w:rsidP="00C50DC8">
            <w:pPr>
              <w:pStyle w:val="TableText"/>
              <w:keepNext w:val="0"/>
              <w:rPr>
                <w:b/>
              </w:rPr>
            </w:pPr>
            <w:r w:rsidRPr="002530A2">
              <w:rPr>
                <w:b/>
              </w:rPr>
              <w:t>Clinical criteria:</w:t>
            </w:r>
          </w:p>
        </w:tc>
        <w:tc>
          <w:tcPr>
            <w:tcW w:w="6762" w:type="dxa"/>
            <w:gridSpan w:val="5"/>
          </w:tcPr>
          <w:p w14:paraId="4BBD9077" w14:textId="77777777" w:rsidR="00345A31" w:rsidRPr="002530A2" w:rsidRDefault="00345A31" w:rsidP="00C50DC8">
            <w:pPr>
              <w:pStyle w:val="TableText"/>
              <w:keepNext w:val="0"/>
              <w:rPr>
                <w:rFonts w:cs="Arial"/>
              </w:rPr>
            </w:pPr>
            <w:r w:rsidRPr="002530A2">
              <w:rPr>
                <w:rFonts w:cs="Arial"/>
              </w:rPr>
              <w:t>Patient must have previously received PBS-subsidised treatment with this drug for this condition</w:t>
            </w:r>
          </w:p>
          <w:p w14:paraId="425BF5A1" w14:textId="77777777" w:rsidR="00345A31" w:rsidRPr="002530A2" w:rsidRDefault="00345A31" w:rsidP="00C50DC8">
            <w:pPr>
              <w:pStyle w:val="TableText"/>
              <w:keepNext w:val="0"/>
              <w:rPr>
                <w:rFonts w:cs="Arial"/>
              </w:rPr>
            </w:pPr>
            <w:r w:rsidRPr="002530A2">
              <w:rPr>
                <w:rFonts w:cs="Arial"/>
              </w:rPr>
              <w:t>AND</w:t>
            </w:r>
          </w:p>
          <w:p w14:paraId="5CEAF781" w14:textId="77777777" w:rsidR="00345A31" w:rsidRPr="002530A2" w:rsidRDefault="00345A31" w:rsidP="00C50DC8">
            <w:pPr>
              <w:pStyle w:val="TableText"/>
              <w:keepNext w:val="0"/>
              <w:rPr>
                <w:rFonts w:cs="Arial"/>
              </w:rPr>
            </w:pPr>
            <w:r w:rsidRPr="002530A2">
              <w:rPr>
                <w:rFonts w:cs="Arial"/>
              </w:rPr>
              <w:lastRenderedPageBreak/>
              <w:t xml:space="preserve">Patient must have responded adequately </w:t>
            </w:r>
            <w:r>
              <w:rPr>
                <w:rFonts w:cs="Arial"/>
              </w:rPr>
              <w:t>during the initial treatment phase</w:t>
            </w:r>
          </w:p>
          <w:p w14:paraId="3D25FDC9" w14:textId="77777777" w:rsidR="00345A31" w:rsidRPr="002530A2" w:rsidRDefault="00345A31" w:rsidP="00C50DC8">
            <w:pPr>
              <w:pStyle w:val="TableText"/>
              <w:keepNext w:val="0"/>
              <w:rPr>
                <w:rFonts w:cs="Arial"/>
              </w:rPr>
            </w:pPr>
            <w:r w:rsidRPr="002530A2">
              <w:rPr>
                <w:rFonts w:cs="Arial"/>
              </w:rPr>
              <w:t>AND</w:t>
            </w:r>
          </w:p>
          <w:p w14:paraId="506CB38E" w14:textId="7585CD66" w:rsidR="00345A31" w:rsidRPr="00345A31" w:rsidRDefault="00345A31" w:rsidP="00C50DC8">
            <w:pPr>
              <w:pStyle w:val="TableText"/>
              <w:keepNext w:val="0"/>
            </w:pPr>
            <w:r w:rsidRPr="00117549">
              <w:rPr>
                <w:rFonts w:cs="Arial"/>
              </w:rPr>
              <w:t>Patient must not have relapsed while receiving treatment with this drug for this condition during subsequent treatment cycles</w:t>
            </w:r>
            <w:r w:rsidRPr="002530A2">
              <w:rPr>
                <w:rFonts w:cs="Arial"/>
              </w:rPr>
              <w:t>.</w:t>
            </w:r>
          </w:p>
        </w:tc>
      </w:tr>
      <w:tr w:rsidR="00BE40B8" w:rsidRPr="00A30A33" w14:paraId="32D0590D"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Borders>
              <w:bottom w:val="double" w:sz="4" w:space="0" w:color="auto"/>
            </w:tcBorders>
          </w:tcPr>
          <w:p w14:paraId="7B6CBDCF" w14:textId="29BF6289" w:rsidR="00345A31" w:rsidRPr="00345A31" w:rsidRDefault="00345A31" w:rsidP="00C50DC8">
            <w:pPr>
              <w:pStyle w:val="TableText"/>
              <w:keepNext w:val="0"/>
              <w:rPr>
                <w:b/>
              </w:rPr>
            </w:pPr>
            <w:r w:rsidRPr="002530A2">
              <w:rPr>
                <w:b/>
              </w:rPr>
              <w:lastRenderedPageBreak/>
              <w:t>Population criteria:</w:t>
            </w:r>
          </w:p>
        </w:tc>
        <w:tc>
          <w:tcPr>
            <w:tcW w:w="6762" w:type="dxa"/>
            <w:gridSpan w:val="5"/>
            <w:tcBorders>
              <w:bottom w:val="double" w:sz="4" w:space="0" w:color="auto"/>
            </w:tcBorders>
          </w:tcPr>
          <w:p w14:paraId="15BA9AC6" w14:textId="16C1F577" w:rsidR="00345A31" w:rsidRPr="00345A31" w:rsidRDefault="00345A31" w:rsidP="00C50DC8">
            <w:pPr>
              <w:pStyle w:val="TableText"/>
              <w:keepNext w:val="0"/>
            </w:pPr>
            <w:r w:rsidRPr="002530A2">
              <w:t>Patients must be aged 18 years or greater</w:t>
            </w:r>
          </w:p>
        </w:tc>
      </w:tr>
      <w:tr w:rsidR="00345A31" w:rsidRPr="00A30A33" w14:paraId="48F21437"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222AD15D" w14:textId="40F64C97" w:rsidR="00345A31" w:rsidRPr="00345A31" w:rsidRDefault="00345A31" w:rsidP="00C50DC8">
            <w:pPr>
              <w:pStyle w:val="TableText"/>
              <w:keepNext w:val="0"/>
              <w:rPr>
                <w:b/>
              </w:rPr>
            </w:pPr>
            <w:r w:rsidRPr="002530A2">
              <w:rPr>
                <w:b/>
              </w:rPr>
              <w:t>Treatment phase:</w:t>
            </w:r>
          </w:p>
        </w:tc>
        <w:tc>
          <w:tcPr>
            <w:tcW w:w="6762" w:type="dxa"/>
            <w:gridSpan w:val="5"/>
          </w:tcPr>
          <w:p w14:paraId="5FAE9E0C" w14:textId="71D9C76A" w:rsidR="00345A31" w:rsidRPr="00D60B48" w:rsidRDefault="00345A31" w:rsidP="00345A31">
            <w:pPr>
              <w:pStyle w:val="Tabletext0"/>
            </w:pPr>
            <w:r w:rsidRPr="002530A2">
              <w:t>Continuing treatment</w:t>
            </w:r>
            <w:r w:rsidR="00AD630F">
              <w:t xml:space="preserve"> (Grandfathered)</w:t>
            </w:r>
          </w:p>
        </w:tc>
      </w:tr>
      <w:tr w:rsidR="00345A31" w:rsidRPr="00345A31" w14:paraId="4FD163A5"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09FE645D" w14:textId="454D46C6" w:rsidR="00345A31" w:rsidRPr="00345A31" w:rsidRDefault="00345A31" w:rsidP="00C50DC8">
            <w:pPr>
              <w:pStyle w:val="TableText"/>
              <w:keepNext w:val="0"/>
              <w:rPr>
                <w:b/>
              </w:rPr>
            </w:pPr>
            <w:r w:rsidRPr="002530A2">
              <w:rPr>
                <w:b/>
              </w:rPr>
              <w:t>Restriction:</w:t>
            </w:r>
          </w:p>
        </w:tc>
        <w:tc>
          <w:tcPr>
            <w:tcW w:w="6762" w:type="dxa"/>
            <w:gridSpan w:val="5"/>
          </w:tcPr>
          <w:p w14:paraId="26D18B15" w14:textId="0565CD35" w:rsidR="00345A31" w:rsidRPr="00D60B48" w:rsidRDefault="00345A31" w:rsidP="00C50DC8">
            <w:pPr>
              <w:pStyle w:val="TableText"/>
              <w:keepNext w:val="0"/>
            </w:pPr>
            <w:r w:rsidRPr="00D60B48">
              <w:t>Authority Required</w:t>
            </w:r>
          </w:p>
        </w:tc>
      </w:tr>
      <w:tr w:rsidR="00345A31" w:rsidRPr="00345A31" w14:paraId="50424B5A"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2EE88191" w14:textId="0D10A160" w:rsidR="00345A31" w:rsidRPr="00345A31" w:rsidRDefault="00345A31" w:rsidP="00C50DC8">
            <w:pPr>
              <w:pStyle w:val="TableText"/>
              <w:keepNext w:val="0"/>
              <w:rPr>
                <w:b/>
              </w:rPr>
            </w:pPr>
            <w:r w:rsidRPr="002530A2">
              <w:rPr>
                <w:b/>
              </w:rPr>
              <w:t>Treatment criteria:</w:t>
            </w:r>
          </w:p>
        </w:tc>
        <w:tc>
          <w:tcPr>
            <w:tcW w:w="6762" w:type="dxa"/>
            <w:gridSpan w:val="5"/>
          </w:tcPr>
          <w:p w14:paraId="28BF5C3D" w14:textId="21C1B9A1" w:rsidR="00345A31" w:rsidRPr="00D60B48" w:rsidRDefault="00345A31" w:rsidP="00345A31">
            <w:pPr>
              <w:pStyle w:val="Tabletext0"/>
            </w:pPr>
            <w:r w:rsidRPr="002530A2">
              <w:rPr>
                <w:rFonts w:cs="Arial"/>
              </w:rPr>
              <w:t>Psychiatrist or under the supervision of a psychiatrist</w:t>
            </w:r>
          </w:p>
        </w:tc>
      </w:tr>
      <w:tr w:rsidR="00345A31" w:rsidRPr="00345A31" w14:paraId="020D99DC"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1A51A892" w14:textId="7E9C05FE" w:rsidR="00345A31" w:rsidRPr="00345A31" w:rsidRDefault="00345A31" w:rsidP="00C50DC8">
            <w:pPr>
              <w:pStyle w:val="TableText"/>
              <w:keepNext w:val="0"/>
              <w:rPr>
                <w:b/>
              </w:rPr>
            </w:pPr>
            <w:r w:rsidRPr="002530A2">
              <w:rPr>
                <w:b/>
              </w:rPr>
              <w:t>Clinical criteria:</w:t>
            </w:r>
          </w:p>
        </w:tc>
        <w:tc>
          <w:tcPr>
            <w:tcW w:w="6762" w:type="dxa"/>
            <w:gridSpan w:val="5"/>
          </w:tcPr>
          <w:p w14:paraId="619F1546" w14:textId="77777777" w:rsidR="00345A31" w:rsidRPr="00BC1B8F" w:rsidRDefault="00345A31" w:rsidP="00C50DC8">
            <w:pPr>
              <w:pStyle w:val="TableText"/>
              <w:keepNext w:val="0"/>
              <w:rPr>
                <w:rFonts w:cs="Arial"/>
              </w:rPr>
            </w:pPr>
            <w:r w:rsidRPr="00BC1B8F">
              <w:rPr>
                <w:rFonts w:cs="Arial"/>
              </w:rPr>
              <w:t xml:space="preserve">Patient must have received treatment with this drug for this condition prior to PBS listing </w:t>
            </w:r>
          </w:p>
          <w:p w14:paraId="2F0006E2" w14:textId="77777777" w:rsidR="00345A31" w:rsidRPr="00BC1B8F" w:rsidRDefault="00345A31" w:rsidP="00C50DC8">
            <w:pPr>
              <w:pStyle w:val="TableText"/>
              <w:keepNext w:val="0"/>
              <w:rPr>
                <w:rFonts w:cs="Arial"/>
              </w:rPr>
            </w:pPr>
            <w:r w:rsidRPr="00BC1B8F">
              <w:rPr>
                <w:rFonts w:cs="Arial"/>
              </w:rPr>
              <w:t>AND</w:t>
            </w:r>
          </w:p>
          <w:p w14:paraId="2F14C785" w14:textId="77777777" w:rsidR="00345A31" w:rsidRPr="00BC1B8F" w:rsidRDefault="00345A31" w:rsidP="00C50DC8">
            <w:pPr>
              <w:pStyle w:val="TableText"/>
              <w:keepNext w:val="0"/>
              <w:rPr>
                <w:rFonts w:cs="Arial"/>
              </w:rPr>
            </w:pPr>
            <w:r w:rsidRPr="00BC1B8F">
              <w:rPr>
                <w:rFonts w:cs="Arial"/>
              </w:rPr>
              <w:t>Patient must have responded adequately during the initial treatment phase</w:t>
            </w:r>
          </w:p>
          <w:p w14:paraId="4B3714BB" w14:textId="77777777" w:rsidR="00345A31" w:rsidRPr="00BC1B8F" w:rsidRDefault="00345A31" w:rsidP="00C50DC8">
            <w:pPr>
              <w:pStyle w:val="TableText"/>
              <w:keepNext w:val="0"/>
              <w:rPr>
                <w:rFonts w:cs="Arial"/>
              </w:rPr>
            </w:pPr>
            <w:r w:rsidRPr="00BC1B8F">
              <w:rPr>
                <w:rFonts w:cs="Arial"/>
              </w:rPr>
              <w:t>AND</w:t>
            </w:r>
          </w:p>
          <w:p w14:paraId="66486312" w14:textId="1B23147D" w:rsidR="00345A31" w:rsidRPr="00D60B48" w:rsidRDefault="00345A31" w:rsidP="00345A31">
            <w:pPr>
              <w:pStyle w:val="Tabletext0"/>
            </w:pPr>
            <w:r w:rsidRPr="00BC1B8F">
              <w:rPr>
                <w:rFonts w:cs="Arial"/>
              </w:rPr>
              <w:t>Patient must not have relapsed while receiving treatment with this drug for this condition during subsequent treatment cycles</w:t>
            </w:r>
          </w:p>
        </w:tc>
      </w:tr>
      <w:tr w:rsidR="00BE40B8" w:rsidRPr="00345A31" w14:paraId="2175A854"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Borders>
              <w:bottom w:val="double" w:sz="4" w:space="0" w:color="auto"/>
            </w:tcBorders>
          </w:tcPr>
          <w:p w14:paraId="5ED44B1C" w14:textId="44726FA4" w:rsidR="00345A31" w:rsidRPr="00345A31" w:rsidRDefault="00345A31" w:rsidP="00C50DC8">
            <w:pPr>
              <w:pStyle w:val="TableText"/>
              <w:keepNext w:val="0"/>
              <w:rPr>
                <w:b/>
              </w:rPr>
            </w:pPr>
            <w:r w:rsidRPr="002530A2">
              <w:rPr>
                <w:b/>
              </w:rPr>
              <w:t>Population criteria:</w:t>
            </w:r>
          </w:p>
        </w:tc>
        <w:tc>
          <w:tcPr>
            <w:tcW w:w="6762" w:type="dxa"/>
            <w:gridSpan w:val="5"/>
            <w:tcBorders>
              <w:bottom w:val="double" w:sz="4" w:space="0" w:color="auto"/>
            </w:tcBorders>
          </w:tcPr>
          <w:p w14:paraId="1152683D" w14:textId="0EFD8E13" w:rsidR="00345A31" w:rsidRPr="00D60B48" w:rsidRDefault="00345A31" w:rsidP="00345A31">
            <w:pPr>
              <w:pStyle w:val="Tabletext0"/>
            </w:pPr>
            <w:r w:rsidRPr="002530A2">
              <w:t>Patient must be aged 18 years or greater</w:t>
            </w:r>
          </w:p>
        </w:tc>
      </w:tr>
      <w:tr w:rsidR="00BE40B8" w:rsidRPr="00345A31" w14:paraId="5473EDDB"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Borders>
              <w:top w:val="double" w:sz="4" w:space="0" w:color="auto"/>
            </w:tcBorders>
          </w:tcPr>
          <w:p w14:paraId="39C772E3" w14:textId="28AA26F2" w:rsidR="00345A31" w:rsidRPr="00345A31" w:rsidRDefault="00345A31" w:rsidP="00C50DC8">
            <w:pPr>
              <w:pStyle w:val="TableText"/>
              <w:keepNext w:val="0"/>
              <w:rPr>
                <w:b/>
              </w:rPr>
            </w:pPr>
            <w:r w:rsidRPr="002530A2">
              <w:rPr>
                <w:b/>
              </w:rPr>
              <w:t>Prescriber Instructions:</w:t>
            </w:r>
          </w:p>
        </w:tc>
        <w:tc>
          <w:tcPr>
            <w:tcW w:w="6762" w:type="dxa"/>
            <w:gridSpan w:val="5"/>
            <w:tcBorders>
              <w:top w:val="double" w:sz="4" w:space="0" w:color="auto"/>
            </w:tcBorders>
          </w:tcPr>
          <w:p w14:paraId="286E8565" w14:textId="77777777" w:rsidR="00345A31" w:rsidRDefault="00345A31" w:rsidP="00C50DC8">
            <w:pPr>
              <w:pStyle w:val="TableText"/>
              <w:keepNext w:val="0"/>
            </w:pPr>
            <w:r>
              <w:t>Authority required (telephone and online) – General PBS administration Concept ID 25796.</w:t>
            </w:r>
          </w:p>
          <w:p w14:paraId="330042BE" w14:textId="77777777" w:rsidR="00345A31" w:rsidRDefault="00345A31" w:rsidP="00C50DC8">
            <w:pPr>
              <w:pStyle w:val="TableText"/>
              <w:keepNext w:val="0"/>
            </w:pPr>
            <w:r>
              <w:t>Applications for authorisation under this restriction may be made in real time using the Online PBS Authorities system (see www.servicesaustralia.gov.au/HPOS) or by telephone by contacting Services Australia on 1800 888 333.</w:t>
            </w:r>
          </w:p>
          <w:p w14:paraId="2C0D3EB4" w14:textId="77777777" w:rsidR="00345A31" w:rsidRDefault="00345A31" w:rsidP="00C50DC8">
            <w:pPr>
              <w:pStyle w:val="TableText"/>
              <w:keepNext w:val="0"/>
            </w:pPr>
            <w:r>
              <w:t>Dosing frequency and dosage should be individualised to the lowest frequency and dosage to maintain remission/response.</w:t>
            </w:r>
          </w:p>
          <w:p w14:paraId="132B4467" w14:textId="77777777" w:rsidR="00345A31" w:rsidRDefault="00345A31" w:rsidP="00C50DC8">
            <w:pPr>
              <w:pStyle w:val="TableText"/>
              <w:keepNext w:val="0"/>
            </w:pPr>
            <w:r>
              <w:t>The drug must be self-administered under the supervision of a healthcare professional.</w:t>
            </w:r>
          </w:p>
          <w:p w14:paraId="1B1A2115" w14:textId="7DEBE20E" w:rsidR="00345A31" w:rsidRPr="00D60B48" w:rsidRDefault="00345A31" w:rsidP="00345A31">
            <w:pPr>
              <w:pStyle w:val="Tabletext0"/>
            </w:pPr>
            <w:r>
              <w:t>Patient must be monitored by a healthcare profession following administration in a healthcare facility.</w:t>
            </w:r>
          </w:p>
        </w:tc>
      </w:tr>
      <w:tr w:rsidR="00345A31" w:rsidRPr="00345A31" w14:paraId="025F8D00" w14:textId="77777777" w:rsidTr="00A730C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65" w:type="dxa"/>
            <w:gridSpan w:val="2"/>
          </w:tcPr>
          <w:p w14:paraId="7E78D27B" w14:textId="4E7DF975" w:rsidR="00345A31" w:rsidRPr="00345A31" w:rsidRDefault="00345A31" w:rsidP="00C50DC8">
            <w:pPr>
              <w:pStyle w:val="TableText"/>
              <w:keepNext w:val="0"/>
              <w:rPr>
                <w:b/>
              </w:rPr>
            </w:pPr>
            <w:r w:rsidRPr="002530A2">
              <w:rPr>
                <w:b/>
              </w:rPr>
              <w:t>Administrative Advice:</w:t>
            </w:r>
          </w:p>
        </w:tc>
        <w:tc>
          <w:tcPr>
            <w:tcW w:w="6762" w:type="dxa"/>
            <w:gridSpan w:val="5"/>
          </w:tcPr>
          <w:p w14:paraId="6258A686" w14:textId="77777777" w:rsidR="00345A31" w:rsidRDefault="00345A31" w:rsidP="00C50DC8">
            <w:pPr>
              <w:pStyle w:val="TableText"/>
              <w:keepNext w:val="0"/>
            </w:pPr>
            <w:r>
              <w:t>Care must be taken to comply with the provisions of the state/territory law for prescribing this drug</w:t>
            </w:r>
          </w:p>
          <w:p w14:paraId="7DF95444" w14:textId="77777777" w:rsidR="00345A31" w:rsidRDefault="00345A31" w:rsidP="00C50DC8">
            <w:pPr>
              <w:pStyle w:val="TableText"/>
              <w:keepNext w:val="0"/>
            </w:pPr>
            <w:r>
              <w:t>Note: Special pricing arrangement applies</w:t>
            </w:r>
          </w:p>
          <w:p w14:paraId="3C1B6787" w14:textId="6122C2FE" w:rsidR="00345A31" w:rsidRPr="00D60B48" w:rsidRDefault="00345A31" w:rsidP="00345A31">
            <w:pPr>
              <w:pStyle w:val="Tabletext0"/>
            </w:pPr>
            <w:r>
              <w:t>Note: No increases in quantity or repeats will be authorised</w:t>
            </w:r>
          </w:p>
        </w:tc>
      </w:tr>
    </w:tbl>
    <w:p w14:paraId="0B102F45" w14:textId="77777777" w:rsidR="00345A31" w:rsidRPr="00C50DC8" w:rsidRDefault="00345A31" w:rsidP="004B1CB4">
      <w:pPr>
        <w:rPr>
          <w:sz w:val="14"/>
          <w:szCs w:val="14"/>
        </w:rPr>
      </w:pPr>
    </w:p>
    <w:p w14:paraId="78FD4C41" w14:textId="1A1E6FC8" w:rsidR="0064434C" w:rsidRPr="001C5BC7" w:rsidRDefault="005B147C" w:rsidP="00F9393E">
      <w:pPr>
        <w:pStyle w:val="ExecSumBodyText"/>
      </w:pPr>
      <w:r w:rsidRPr="001C5BC7">
        <w:t xml:space="preserve">The resubmission proposed an effective and published price for </w:t>
      </w:r>
      <w:proofErr w:type="spellStart"/>
      <w:r w:rsidRPr="001C5BC7">
        <w:t>esketamine</w:t>
      </w:r>
      <w:proofErr w:type="spellEnd"/>
      <w:r w:rsidRPr="001C5BC7">
        <w:t xml:space="preserve"> nasal spray with a special pricing arrangement. </w:t>
      </w:r>
      <w:r w:rsidR="00BC4541" w:rsidRPr="001C5BC7">
        <w:t xml:space="preserve">The </w:t>
      </w:r>
      <w:r w:rsidR="00CA3EDB" w:rsidRPr="001C5BC7">
        <w:t xml:space="preserve">proposed </w:t>
      </w:r>
      <w:r w:rsidR="00BC4541" w:rsidRPr="001C5BC7">
        <w:t xml:space="preserve">effective price </w:t>
      </w:r>
      <w:r w:rsidR="00CA3EDB" w:rsidRPr="001C5BC7">
        <w:t xml:space="preserve">in the </w:t>
      </w:r>
      <w:r w:rsidRPr="001C5BC7">
        <w:t xml:space="preserve">resubmission </w:t>
      </w:r>
      <w:r w:rsidR="00CA3EDB" w:rsidRPr="001C5BC7">
        <w:t xml:space="preserve">was </w:t>
      </w:r>
      <w:r w:rsidRPr="001C5BC7">
        <w:t xml:space="preserve">10.8% </w:t>
      </w:r>
      <w:r w:rsidR="00CA3EDB" w:rsidRPr="001C5BC7">
        <w:t>lower than that proposed in the July 2021 submission</w:t>
      </w:r>
      <w:r w:rsidRPr="001C5BC7">
        <w:t xml:space="preserve">. </w:t>
      </w:r>
    </w:p>
    <w:p w14:paraId="1B34FE95" w14:textId="488F5EF4" w:rsidR="001C5BC7" w:rsidRPr="001C5BC7" w:rsidRDefault="001C5BC7" w:rsidP="001C5BC7">
      <w:pPr>
        <w:pStyle w:val="ExecSumBodyText"/>
      </w:pPr>
      <w:r w:rsidRPr="001C5BC7">
        <w:t xml:space="preserve">The proposed restriction is consistent with the approved TGA indication of treatment for TRD (defined as prior failure of 2 antidepressants for that episode), initiated in combination with a new </w:t>
      </w:r>
      <w:r w:rsidR="00A222E2">
        <w:t>OAD</w:t>
      </w:r>
      <w:r w:rsidRPr="001C5BC7">
        <w:t xml:space="preserve">. </w:t>
      </w:r>
    </w:p>
    <w:p w14:paraId="6B79F81B" w14:textId="58C82DE3" w:rsidR="00463DE9" w:rsidRPr="00463DE9" w:rsidRDefault="001C5BC7" w:rsidP="00463DE9">
      <w:pPr>
        <w:pStyle w:val="ExecSumBodyText"/>
      </w:pPr>
      <w:bookmarkStart w:id="10" w:name="_Ref105675798"/>
      <w:r w:rsidRPr="001C5BC7">
        <w:t xml:space="preserve">The PBAC previously considered that substantial changes would be required to the proposed restriction for </w:t>
      </w:r>
      <w:proofErr w:type="spellStart"/>
      <w:r w:rsidRPr="001C5BC7">
        <w:t>esketamine</w:t>
      </w:r>
      <w:proofErr w:type="spellEnd"/>
      <w:r w:rsidRPr="001C5BC7">
        <w:t xml:space="preserve"> to reflect a more appropriate place in the treatment algorithm for TRD (paragraph 7.4, </w:t>
      </w:r>
      <w:proofErr w:type="spellStart"/>
      <w:r w:rsidR="00D46C2D">
        <w:t>esketamine</w:t>
      </w:r>
      <w:proofErr w:type="spellEnd"/>
      <w:r w:rsidR="00D46C2D">
        <w:t xml:space="preserve"> </w:t>
      </w:r>
      <w:r w:rsidR="00BB611C">
        <w:t>public summary document (</w:t>
      </w:r>
      <w:r w:rsidR="00D46C2D">
        <w:t>P</w:t>
      </w:r>
      <w:r w:rsidRPr="001C5BC7">
        <w:t>SD</w:t>
      </w:r>
      <w:r w:rsidR="00BB611C">
        <w:t>)</w:t>
      </w:r>
      <w:r w:rsidRPr="001C5BC7">
        <w:t>, July 2021 PBAC meeting). The ESC</w:t>
      </w:r>
      <w:r w:rsidR="00E80F62">
        <w:t xml:space="preserve"> also previously</w:t>
      </w:r>
      <w:r w:rsidRPr="001C5BC7">
        <w:t xml:space="preserve"> considered that </w:t>
      </w:r>
      <w:proofErr w:type="spellStart"/>
      <w:r w:rsidRPr="001C5BC7">
        <w:t>esketamine</w:t>
      </w:r>
      <w:proofErr w:type="spellEnd"/>
      <w:r w:rsidRPr="001C5BC7">
        <w:t xml:space="preserve"> was positioned inappropriately early in the treatment algorithm (paragraph 2.5, </w:t>
      </w:r>
      <w:proofErr w:type="spellStart"/>
      <w:r w:rsidR="00D46C2D">
        <w:t>esketamine</w:t>
      </w:r>
      <w:proofErr w:type="spellEnd"/>
      <w:r w:rsidR="00D46C2D">
        <w:t xml:space="preserve"> P</w:t>
      </w:r>
      <w:r w:rsidRPr="001C5BC7">
        <w:t xml:space="preserve">SD, July 2021 PBAC meeting). </w:t>
      </w:r>
      <w:r w:rsidRPr="008656C1">
        <w:t>The place in therapy, and consequently the proposed restriction, remain</w:t>
      </w:r>
      <w:r w:rsidR="00E80F62">
        <w:t>ed</w:t>
      </w:r>
      <w:r w:rsidRPr="008656C1">
        <w:t xml:space="preserve"> largely unchanged from the original submission.</w:t>
      </w:r>
      <w:r w:rsidR="005B4756">
        <w:t xml:space="preserve"> </w:t>
      </w:r>
      <w:r w:rsidR="00463DE9" w:rsidRPr="00D30B7F">
        <w:rPr>
          <w:snapToGrid/>
        </w:rPr>
        <w:t xml:space="preserve">The ESC noted the definition of a TRD patient in the consensus statement was ‘someone who has had an inadequate response to adequate trials of at least two prior anti-depressant medications in the current episode’. </w:t>
      </w:r>
      <w:r w:rsidR="00E80F62">
        <w:rPr>
          <w:snapToGrid/>
        </w:rPr>
        <w:t>Based on the additional information and clinical views expressed in the resubmission, the</w:t>
      </w:r>
      <w:r w:rsidR="00E80F62" w:rsidRPr="00D30B7F">
        <w:rPr>
          <w:snapToGrid/>
        </w:rPr>
        <w:t xml:space="preserve"> </w:t>
      </w:r>
      <w:r w:rsidR="00463DE9" w:rsidRPr="00D30B7F">
        <w:rPr>
          <w:snapToGrid/>
        </w:rPr>
        <w:t xml:space="preserve">ESC noted there may be some patients in whom </w:t>
      </w:r>
      <w:proofErr w:type="spellStart"/>
      <w:r w:rsidR="00463DE9" w:rsidRPr="00D30B7F">
        <w:rPr>
          <w:snapToGrid/>
        </w:rPr>
        <w:t>esketamine</w:t>
      </w:r>
      <w:proofErr w:type="spellEnd"/>
      <w:r w:rsidR="00463DE9" w:rsidRPr="00D30B7F">
        <w:rPr>
          <w:snapToGrid/>
        </w:rPr>
        <w:t xml:space="preserve"> may be an appropriate treatment option after only 2 anti-depressant mediations, for example patients with very poor initial response to oral antidepressants, however it was expected for most patients that additional </w:t>
      </w:r>
      <w:r w:rsidR="00463DE9" w:rsidRPr="00D30B7F">
        <w:rPr>
          <w:snapToGrid/>
        </w:rPr>
        <w:lastRenderedPageBreak/>
        <w:t xml:space="preserve">therapies should be trialled prior to </w:t>
      </w:r>
      <w:proofErr w:type="spellStart"/>
      <w:r w:rsidR="00463DE9" w:rsidRPr="00D30B7F">
        <w:rPr>
          <w:snapToGrid/>
        </w:rPr>
        <w:t>esketamine</w:t>
      </w:r>
      <w:proofErr w:type="spellEnd"/>
      <w:r w:rsidR="00463DE9" w:rsidRPr="00D30B7F">
        <w:rPr>
          <w:snapToGrid/>
        </w:rPr>
        <w:t xml:space="preserve">. </w:t>
      </w:r>
      <w:r w:rsidR="00463DE9" w:rsidRPr="00D30B7F">
        <w:t xml:space="preserve">The ESC considered the role and appropriate use of </w:t>
      </w:r>
      <w:proofErr w:type="spellStart"/>
      <w:r w:rsidR="00463DE9" w:rsidRPr="00D30B7F">
        <w:t>esketamine</w:t>
      </w:r>
      <w:proofErr w:type="spellEnd"/>
      <w:r w:rsidR="00463DE9" w:rsidRPr="00D30B7F">
        <w:t xml:space="preserve"> in the treatment of TRD was complex and variable depending on many </w:t>
      </w:r>
      <w:proofErr w:type="gramStart"/>
      <w:r w:rsidR="00463DE9" w:rsidRPr="00D30B7F">
        <w:t>patient</w:t>
      </w:r>
      <w:proofErr w:type="gramEnd"/>
      <w:r w:rsidR="00463DE9" w:rsidRPr="00D30B7F">
        <w:t xml:space="preserve"> and health system factors. The ESC acknowledged the clinical consensus statement, however considered the appropriate use of </w:t>
      </w:r>
      <w:proofErr w:type="spellStart"/>
      <w:r w:rsidR="00463DE9" w:rsidRPr="00D30B7F">
        <w:t>esketamine</w:t>
      </w:r>
      <w:proofErr w:type="spellEnd"/>
      <w:r w:rsidR="00463DE9" w:rsidRPr="00D30B7F">
        <w:t xml:space="preserve"> remained unclear.</w:t>
      </w:r>
      <w:r w:rsidR="00463DE9" w:rsidRPr="00463DE9">
        <w:t xml:space="preserve"> </w:t>
      </w:r>
      <w:r w:rsidR="00AC0438">
        <w:t>T</w:t>
      </w:r>
      <w:r w:rsidR="00B0721D">
        <w:t xml:space="preserve">he Pre-PBAC Response argued that in practice, the majority of patients accessing </w:t>
      </w:r>
      <w:proofErr w:type="spellStart"/>
      <w:r w:rsidR="00B0721D">
        <w:t>esketamine</w:t>
      </w:r>
      <w:proofErr w:type="spellEnd"/>
      <w:r w:rsidR="00B0721D">
        <w:t xml:space="preserve"> would have already trialled additional interventions beyond two prior </w:t>
      </w:r>
      <w:proofErr w:type="gramStart"/>
      <w:r w:rsidR="00B0721D">
        <w:t>OADs, and</w:t>
      </w:r>
      <w:proofErr w:type="gramEnd"/>
      <w:r w:rsidR="00B0721D">
        <w:t xml:space="preserve"> noted the results of a study of PBS data (</w:t>
      </w:r>
      <w:proofErr w:type="spellStart"/>
      <w:r w:rsidR="00B0721D">
        <w:t>Malhi</w:t>
      </w:r>
      <w:proofErr w:type="spellEnd"/>
      <w:r w:rsidR="00B0721D">
        <w:t xml:space="preserve"> et al 2022</w:t>
      </w:r>
      <w:r w:rsidR="00B0721D">
        <w:rPr>
          <w:rStyle w:val="FootnoteReference"/>
        </w:rPr>
        <w:footnoteReference w:id="2"/>
      </w:r>
      <w:r w:rsidR="00B0721D">
        <w:t>), which found that GPs prescribe the majority of OADs in the second line (69.4%) and third line (58.3%)</w:t>
      </w:r>
      <w:r w:rsidR="00AC0438">
        <w:t xml:space="preserve"> treatment setting</w:t>
      </w:r>
      <w:r w:rsidR="00B0721D">
        <w:t xml:space="preserve">, compared to psychiatrists prescribing only 7.7% </w:t>
      </w:r>
      <w:r w:rsidR="00AC0438">
        <w:t xml:space="preserve">as a </w:t>
      </w:r>
      <w:r w:rsidR="00B0721D">
        <w:t xml:space="preserve">second line </w:t>
      </w:r>
      <w:r w:rsidR="00AC0438">
        <w:t xml:space="preserve">treatment </w:t>
      </w:r>
      <w:r w:rsidR="00B0721D">
        <w:t xml:space="preserve">and 18.3% </w:t>
      </w:r>
      <w:r w:rsidR="00AC0438">
        <w:t xml:space="preserve">as a </w:t>
      </w:r>
      <w:r w:rsidR="00B0721D">
        <w:t xml:space="preserve">third line treatment. Therefore, the sponsor argued that in practice, given the request to restrict prescribing to psychiatrists (or in consultation with), most patients would have received additional lines of therapy beyond two prior OADs before accessing psychiatry services, </w:t>
      </w:r>
      <w:proofErr w:type="gramStart"/>
      <w:r w:rsidR="00B0721D">
        <w:t>and also</w:t>
      </w:r>
      <w:proofErr w:type="gramEnd"/>
      <w:r w:rsidR="00B0721D">
        <w:t xml:space="preserve"> argued the listing of </w:t>
      </w:r>
      <w:proofErr w:type="spellStart"/>
      <w:r w:rsidR="00B0721D">
        <w:t>esketamine</w:t>
      </w:r>
      <w:proofErr w:type="spellEnd"/>
      <w:r w:rsidR="00B0721D">
        <w:t xml:space="preserve"> would not substantially change clinical practice or how/when patients are referred to psychiatry services.</w:t>
      </w:r>
    </w:p>
    <w:bookmarkEnd w:id="10"/>
    <w:p w14:paraId="3BB9FEAD" w14:textId="76EEF6E5" w:rsidR="00813F9B" w:rsidRDefault="001C5BC7" w:rsidP="00575A27">
      <w:pPr>
        <w:pStyle w:val="ExecSumBodyText"/>
      </w:pPr>
      <w:r w:rsidRPr="001C5BC7">
        <w:t xml:space="preserve">The proposed restriction states that “the drug must be self-administered under the supervision of a healthcare professional”, and that the “patient must be monitored by a healthcare professional following administration in a healthcare facility”. The resubmission </w:t>
      </w:r>
      <w:r w:rsidR="00DA2512">
        <w:t xml:space="preserve">stated </w:t>
      </w:r>
      <w:r w:rsidRPr="001C5BC7">
        <w:t xml:space="preserve">access to </w:t>
      </w:r>
      <w:proofErr w:type="spellStart"/>
      <w:r w:rsidRPr="001C5BC7">
        <w:t>esketamine</w:t>
      </w:r>
      <w:proofErr w:type="spellEnd"/>
      <w:r w:rsidRPr="001C5BC7">
        <w:t xml:space="preserve"> nasal spray </w:t>
      </w:r>
      <w:r w:rsidR="00DA2512">
        <w:t xml:space="preserve">will be limited </w:t>
      </w:r>
      <w:r w:rsidRPr="001C5BC7">
        <w:t xml:space="preserve">to sponsor-accredited treatment sites, which include appropriate facilities for patient administration and monitoring, access to emergency care and pharmacy. </w:t>
      </w:r>
      <w:r w:rsidR="00861DAB" w:rsidRPr="00D30B7F">
        <w:t xml:space="preserve">The </w:t>
      </w:r>
      <w:r w:rsidR="00727CBE" w:rsidRPr="00D30B7F">
        <w:t>pre-subcommittee response (</w:t>
      </w:r>
      <w:r w:rsidR="00861DAB" w:rsidRPr="00D30B7F">
        <w:t>PSCR</w:t>
      </w:r>
      <w:r w:rsidR="00727CBE" w:rsidRPr="00D30B7F">
        <w:t>)</w:t>
      </w:r>
      <w:r w:rsidR="00861DAB" w:rsidRPr="00D30B7F">
        <w:t xml:space="preserve"> stated the accredited sites include metropolitan, regional and rural sites across all states and the number of sites </w:t>
      </w:r>
      <w:r w:rsidR="006103F5" w:rsidRPr="00D30B7F">
        <w:t xml:space="preserve">is </w:t>
      </w:r>
      <w:r w:rsidR="00861DAB" w:rsidRPr="00D30B7F">
        <w:t xml:space="preserve">expected to increase to </w:t>
      </w:r>
      <w:r w:rsidR="00B9195B" w:rsidRPr="002030D0">
        <w:rPr>
          <w:color w:val="000000"/>
          <w:w w:val="15"/>
          <w:shd w:val="solid" w:color="000000" w:fill="000000"/>
          <w:fitText w:val="-20" w:id="-1436331008"/>
          <w14:textFill>
            <w14:solidFill>
              <w14:srgbClr w14:val="000000">
                <w14:alpha w14:val="100000"/>
              </w14:srgbClr>
            </w14:solidFill>
          </w14:textFill>
        </w:rPr>
        <w:t xml:space="preserve">|  </w:t>
      </w:r>
      <w:r w:rsidR="00B9195B" w:rsidRPr="002030D0">
        <w:rPr>
          <w:color w:val="000000"/>
          <w:spacing w:val="-69"/>
          <w:w w:val="15"/>
          <w:shd w:val="solid" w:color="000000" w:fill="000000"/>
          <w:fitText w:val="-20" w:id="-1436331008"/>
          <w14:textFill>
            <w14:solidFill>
              <w14:srgbClr w14:val="000000">
                <w14:alpha w14:val="100000"/>
              </w14:srgbClr>
            </w14:solidFill>
          </w14:textFill>
        </w:rPr>
        <w:t>|</w:t>
      </w:r>
      <w:r w:rsidR="00861DAB" w:rsidRPr="00D30B7F">
        <w:t xml:space="preserve"> by the end of 2022. </w:t>
      </w:r>
      <w:r w:rsidR="007D4A66" w:rsidRPr="00D30B7F">
        <w:t>The PSCR proposed the addition of a prescriber instructions stating “</w:t>
      </w:r>
      <w:proofErr w:type="spellStart"/>
      <w:r w:rsidR="007D4A66" w:rsidRPr="00D30B7F">
        <w:t>Esketamine</w:t>
      </w:r>
      <w:proofErr w:type="spellEnd"/>
      <w:r w:rsidR="007D4A66" w:rsidRPr="00D30B7F">
        <w:t xml:space="preserve"> can only be administered in a Janssen accredited treatment facility, which has appropriate facilities for patient administration and monitor</w:t>
      </w:r>
      <w:r w:rsidR="00430D09" w:rsidRPr="00D30B7F">
        <w:t>ing</w:t>
      </w:r>
      <w:r w:rsidR="007D4A66" w:rsidRPr="00D30B7F">
        <w:t>, access to emergency care and pharmacy” to address this issue.</w:t>
      </w:r>
      <w:r w:rsidR="007D4A66">
        <w:t xml:space="preserve">  </w:t>
      </w:r>
    </w:p>
    <w:p w14:paraId="71438C68" w14:textId="3343AA02" w:rsidR="001C5BC7" w:rsidRPr="008656C1" w:rsidRDefault="001C5BC7" w:rsidP="00575A27">
      <w:pPr>
        <w:pStyle w:val="ExecSumBodyText"/>
      </w:pPr>
      <w:r w:rsidRPr="00575A27">
        <w:t xml:space="preserve">Treatment with </w:t>
      </w:r>
      <w:proofErr w:type="spellStart"/>
      <w:r w:rsidRPr="00575A27">
        <w:t>esketamine</w:t>
      </w:r>
      <w:proofErr w:type="spellEnd"/>
      <w:r w:rsidRPr="00575A27">
        <w:t xml:space="preserve"> nasal spray is to be initiated in conjunction with a new </w:t>
      </w:r>
      <w:r w:rsidR="00C50DC8">
        <w:t>OAD</w:t>
      </w:r>
      <w:r w:rsidRPr="00D60B48">
        <w:t>.</w:t>
      </w:r>
      <w:r w:rsidRPr="00575A27">
        <w:t xml:space="preserve"> The proposed restriction does not specify </w:t>
      </w:r>
      <w:r w:rsidR="00575A27" w:rsidRPr="00575A27">
        <w:t xml:space="preserve">which </w:t>
      </w:r>
      <w:r w:rsidRPr="00575A27">
        <w:t>oral agents</w:t>
      </w:r>
      <w:r w:rsidR="00575A27" w:rsidRPr="00575A27">
        <w:t xml:space="preserve"> should be initiated alongside </w:t>
      </w:r>
      <w:proofErr w:type="spellStart"/>
      <w:r w:rsidR="00575A27" w:rsidRPr="00575A27">
        <w:t>esketamine</w:t>
      </w:r>
      <w:proofErr w:type="spellEnd"/>
      <w:r w:rsidR="00575A27" w:rsidRPr="00575A27">
        <w:t xml:space="preserve"> nasal spray</w:t>
      </w:r>
      <w:r w:rsidRPr="00575A27">
        <w:t xml:space="preserve">. </w:t>
      </w:r>
      <w:r w:rsidRPr="008656C1">
        <w:t xml:space="preserve">Only four </w:t>
      </w:r>
      <w:r w:rsidR="00C50DC8" w:rsidRPr="008656C1">
        <w:t>OAD</w:t>
      </w:r>
      <w:r w:rsidRPr="008656C1">
        <w:t>s were allowed in the induction clinical trials, two of which were</w:t>
      </w:r>
      <w:r w:rsidR="007D45BF" w:rsidRPr="008656C1">
        <w:t xml:space="preserve"> selective serotonin reuptake inhibitors (</w:t>
      </w:r>
      <w:r w:rsidRPr="008656C1">
        <w:t>SSRIs</w:t>
      </w:r>
      <w:r w:rsidR="007D45BF" w:rsidRPr="008656C1">
        <w:t>)</w:t>
      </w:r>
      <w:r w:rsidRPr="008656C1">
        <w:t xml:space="preserve"> and two of which were </w:t>
      </w:r>
      <w:r w:rsidR="007D45BF" w:rsidRPr="008656C1">
        <w:t>serotonin noradrenaline reuptake inhibitors (</w:t>
      </w:r>
      <w:r w:rsidRPr="008656C1">
        <w:t>SNRIs</w:t>
      </w:r>
      <w:r w:rsidR="007D45BF" w:rsidRPr="008656C1">
        <w:t>)</w:t>
      </w:r>
      <w:r w:rsidRPr="008656C1">
        <w:t>.</w:t>
      </w:r>
      <w:r w:rsidR="001E2426">
        <w:t xml:space="preserve"> </w:t>
      </w:r>
      <w:r w:rsidR="00E67AAD">
        <w:t xml:space="preserve">The PBAC noted the TGA indication does not limit to specific </w:t>
      </w:r>
      <w:proofErr w:type="gramStart"/>
      <w:r w:rsidR="00E67AAD">
        <w:t>OADs</w:t>
      </w:r>
      <w:proofErr w:type="gramEnd"/>
      <w:r w:rsidR="00E67AAD">
        <w:t xml:space="preserve"> but the dose and method of administration section of the product information states that in the clinical program </w:t>
      </w:r>
      <w:r w:rsidR="00463783">
        <w:t>patients were assigned SNRI or SSR</w:t>
      </w:r>
      <w:r w:rsidR="005F7239">
        <w:t>I</w:t>
      </w:r>
      <w:r w:rsidR="00463783">
        <w:t xml:space="preserve"> as the new OAD.  </w:t>
      </w:r>
    </w:p>
    <w:p w14:paraId="70FB3A9B" w14:textId="15BF7B58" w:rsidR="001C5BC7" w:rsidRPr="00575A27" w:rsidRDefault="001C5BC7" w:rsidP="00575A27">
      <w:pPr>
        <w:pStyle w:val="ExecSumBodyText"/>
      </w:pPr>
      <w:bookmarkStart w:id="11" w:name="_Ref110853638"/>
      <w:r w:rsidRPr="00575A27">
        <w:t xml:space="preserve">The PBAC previously noted the use of </w:t>
      </w:r>
      <w:proofErr w:type="spellStart"/>
      <w:r w:rsidRPr="00575A27">
        <w:t>esketamine</w:t>
      </w:r>
      <w:proofErr w:type="spellEnd"/>
      <w:r w:rsidRPr="00575A27">
        <w:t xml:space="preserve"> in combination with a newly initiated OAD was consistent with the clinical evidence and the TGA indication but considered the PBS restrictions should allow flexibility to enable the treatment needs </w:t>
      </w:r>
      <w:r w:rsidRPr="00575A27">
        <w:lastRenderedPageBreak/>
        <w:t xml:space="preserve">of individual patients to be considered (para 7.5, </w:t>
      </w:r>
      <w:proofErr w:type="spellStart"/>
      <w:r w:rsidR="00D46C2D">
        <w:t>esketamine</w:t>
      </w:r>
      <w:proofErr w:type="spellEnd"/>
      <w:r w:rsidR="00D46C2D">
        <w:t xml:space="preserve"> P</w:t>
      </w:r>
      <w:r w:rsidRPr="00575A27">
        <w:t xml:space="preserve">SD, July 2021 PBAC meeting). </w:t>
      </w:r>
      <w:r w:rsidR="00284D06">
        <w:t>The resubmission</w:t>
      </w:r>
      <w:r w:rsidRPr="00575A27">
        <w:t xml:space="preserve"> stated the proposed restriction does not specify the exact timing of initiating a new OAD and that each could be initiated separately to assess tolerability while being unlikely to impact the efficacy of </w:t>
      </w:r>
      <w:proofErr w:type="spellStart"/>
      <w:r w:rsidRPr="00575A27">
        <w:t>esketamine</w:t>
      </w:r>
      <w:proofErr w:type="spellEnd"/>
      <w:r w:rsidRPr="00575A27">
        <w:t xml:space="preserve"> as observed in the clinical trials. </w:t>
      </w:r>
      <w:r w:rsidR="006A1EDB" w:rsidRPr="00D30B7F">
        <w:t xml:space="preserve">The ESC considered flexibility as to the timing of the initiation of the new OAD was reasonable and noted the </w:t>
      </w:r>
      <w:r w:rsidRPr="00D30B7F">
        <w:t>proposed restriction may require rewording to clarify the most appropriate approach to prescribing combination treatment for TRD.</w:t>
      </w:r>
      <w:r w:rsidR="00E437B6" w:rsidRPr="00D30B7F">
        <w:t xml:space="preserve"> The ESC noted the clinical consensus statement stated a change in treatment strategy should be considered after 6 to 8 weeks and this was consistent the RANZCP</w:t>
      </w:r>
      <w:r w:rsidRPr="00D30B7F">
        <w:t xml:space="preserve"> </w:t>
      </w:r>
      <w:r w:rsidR="00E437B6" w:rsidRPr="00D30B7F">
        <w:t xml:space="preserve">guidelines. </w:t>
      </w:r>
      <w:r w:rsidRPr="008656C1">
        <w:t xml:space="preserve">Further, the </w:t>
      </w:r>
      <w:r w:rsidR="006A1EDB" w:rsidRPr="008C6599">
        <w:t>ESC considered</w:t>
      </w:r>
      <w:r w:rsidR="006A1EDB" w:rsidRPr="00E87071">
        <w:t xml:space="preserve"> the</w:t>
      </w:r>
      <w:r w:rsidR="006A1EDB">
        <w:t xml:space="preserve"> </w:t>
      </w:r>
      <w:r w:rsidRPr="008656C1">
        <w:t xml:space="preserve">continuing and grandfather restrictions </w:t>
      </w:r>
      <w:r w:rsidR="006A1EDB">
        <w:t xml:space="preserve">should </w:t>
      </w:r>
      <w:r w:rsidRPr="008656C1">
        <w:t xml:space="preserve">specify that treatment must be in combination with an </w:t>
      </w:r>
      <w:r w:rsidR="00C50DC8" w:rsidRPr="008656C1">
        <w:t>OAD</w:t>
      </w:r>
      <w:r w:rsidRPr="008656C1">
        <w:t>.</w:t>
      </w:r>
      <w:bookmarkEnd w:id="11"/>
      <w:r w:rsidR="00680143">
        <w:t xml:space="preserve"> </w:t>
      </w:r>
    </w:p>
    <w:p w14:paraId="4951D971" w14:textId="47458605" w:rsidR="001C5BC7" w:rsidRPr="00575A27" w:rsidRDefault="001C5BC7" w:rsidP="00575A27">
      <w:pPr>
        <w:pStyle w:val="ExecSumBodyText"/>
      </w:pPr>
      <w:r w:rsidRPr="00575A27">
        <w:t xml:space="preserve">The restriction is based on a TRD definition of inadequate response to at least 2 antidepressants (inadequate response not defined). The definition of TRD </w:t>
      </w:r>
      <w:r w:rsidR="00FB7C53">
        <w:t xml:space="preserve">in clinical practice </w:t>
      </w:r>
      <w:r w:rsidRPr="00575A27">
        <w:t xml:space="preserve">may vary, and increasingly clinicians may be relying less upon pharmacological criteria to define TRD. The definition is also complicated by the lack of consensus in describing acute antidepressant responses, and what determines a treatment failure (i.e. inadequate dose or duration of pharmacotherapy, or nonadherence to treatment; para 3.7, </w:t>
      </w:r>
      <w:proofErr w:type="spellStart"/>
      <w:r w:rsidR="00D46C2D">
        <w:t>esketamine</w:t>
      </w:r>
      <w:proofErr w:type="spellEnd"/>
      <w:r w:rsidR="00D46C2D">
        <w:t xml:space="preserve"> P</w:t>
      </w:r>
      <w:r w:rsidRPr="00575A27">
        <w:t xml:space="preserve">SD, July 2021 PBAC meeting). </w:t>
      </w:r>
    </w:p>
    <w:p w14:paraId="47AFF3E9" w14:textId="74F3D62F" w:rsidR="001C5BC7" w:rsidRPr="00575A27" w:rsidRDefault="001C5BC7" w:rsidP="00575A27">
      <w:pPr>
        <w:pStyle w:val="ExecSumBodyText"/>
        <w:rPr>
          <w:i/>
          <w:iCs/>
        </w:rPr>
      </w:pPr>
      <w:r w:rsidRPr="00575A27">
        <w:t xml:space="preserve">The proposed restriction is generally consistent with the eligibility criteria of the key trials. However, the included trials excluded patients with comorbid conditions, particularly psychotic disorders, due to potential safety concerns. </w:t>
      </w:r>
      <w:r w:rsidR="007D4A66">
        <w:t>T</w:t>
      </w:r>
      <w:r w:rsidR="007D4A66" w:rsidRPr="00D30B7F">
        <w:t>he PSCR proposed the addition of a note stating “Caution should be used in treating patients with a presence or history of psychosis, patients with personality disorder, a history of alcohol and substance abuse and those with suicidal ideation” to address this issue.</w:t>
      </w:r>
      <w:r w:rsidR="007D4A66">
        <w:t xml:space="preserve">  </w:t>
      </w:r>
    </w:p>
    <w:p w14:paraId="114C0CA2" w14:textId="2F157634" w:rsidR="001C5BC7" w:rsidRPr="00575A27" w:rsidRDefault="001C5BC7" w:rsidP="00575A27">
      <w:pPr>
        <w:pStyle w:val="ExecSumBodyText"/>
      </w:pPr>
      <w:r w:rsidRPr="00575A27">
        <w:t xml:space="preserve">The proposed continuation rules are unchanged from the July 2021 submission. The PBAC previously considered that the proposed continuation rules were unclear, and interpretations may vary between clinicians (para 3.9, </w:t>
      </w:r>
      <w:proofErr w:type="spellStart"/>
      <w:r w:rsidR="00D46C2D">
        <w:t>esketamine</w:t>
      </w:r>
      <w:proofErr w:type="spellEnd"/>
      <w:r w:rsidR="00D46C2D">
        <w:t xml:space="preserve"> P</w:t>
      </w:r>
      <w:r w:rsidRPr="00575A27">
        <w:t xml:space="preserve">SD, July 2021 PBAC meeting). The product information states that evidence of therapeutic benefit should be evaluated at the end of the induction phase to determine the need for continued treatment, however the criteria for assessing therapeutic benefit </w:t>
      </w:r>
      <w:r w:rsidR="00083F90">
        <w:t>are</w:t>
      </w:r>
      <w:r w:rsidRPr="00575A27">
        <w:t xml:space="preserve"> </w:t>
      </w:r>
      <w:r w:rsidR="00463783">
        <w:t>not stated.</w:t>
      </w:r>
      <w:r w:rsidRPr="00575A27">
        <w:t xml:space="preserve"> The proposed restriction for continuing treatment specifies that the patient must have ‘responded adequately’. In practice, this may vary between some reduction in symptoms, and achieving complete remission of depressive symptoms and may typically be evaluated over a longer timeframe than four weeks. </w:t>
      </w:r>
      <w:r w:rsidR="00865F49">
        <w:t xml:space="preserve">In the </w:t>
      </w:r>
      <w:r w:rsidR="008D216A">
        <w:t xml:space="preserve">resubmission’s </w:t>
      </w:r>
      <w:r w:rsidR="00865F49">
        <w:t>consensus statement, it was</w:t>
      </w:r>
      <w:r w:rsidRPr="00575A27">
        <w:t xml:space="preserve"> noted that “quality of life and functional (social and economic) outcomes require assessment as well as symptomatic ones, including using instrumental assessment if indicated”. </w:t>
      </w:r>
    </w:p>
    <w:p w14:paraId="3C1CC885" w14:textId="14871CDF" w:rsidR="001C5BC7" w:rsidRPr="00575A27" w:rsidRDefault="001C5BC7" w:rsidP="00575A27">
      <w:pPr>
        <w:pStyle w:val="ExecSumBodyText"/>
        <w:rPr>
          <w:color w:val="0066FF"/>
        </w:rPr>
      </w:pPr>
      <w:r w:rsidRPr="00575A27">
        <w:t xml:space="preserve">The proposed restriction for continuing treatment specifies that the patient ‘must not relapse’. In practice, the definition of relapse may vary in terms of clinical symptoms and timeframes. The </w:t>
      </w:r>
      <w:r w:rsidR="00E04F57">
        <w:t xml:space="preserve">resubmission’s </w:t>
      </w:r>
      <w:r w:rsidRPr="00575A27">
        <w:t xml:space="preserve">consensus statement made no statement regarding relapse. </w:t>
      </w:r>
      <w:r w:rsidRPr="008656C1">
        <w:t>It is unclear whether the proposed restriction, and the definitions used in the clinical trials, align with the clinical definition of relapse.</w:t>
      </w:r>
      <w:r w:rsidRPr="00575A27">
        <w:t xml:space="preserve"> The current </w:t>
      </w:r>
      <w:r w:rsidRPr="00575A27">
        <w:lastRenderedPageBreak/>
        <w:t>Australian treatment guidelines suggest that symptoms of a depressive relapse include loss of interest,</w:t>
      </w:r>
      <w:r w:rsidR="00575A27" w:rsidRPr="00575A27">
        <w:t xml:space="preserve"> </w:t>
      </w:r>
      <w:r w:rsidRPr="00575A27">
        <w:t>anhedonia, loss of self-worth or cognitive changes (</w:t>
      </w:r>
      <w:proofErr w:type="spellStart"/>
      <w:r w:rsidRPr="00575A27">
        <w:t>Mahli</w:t>
      </w:r>
      <w:proofErr w:type="spellEnd"/>
      <w:r w:rsidRPr="00575A27">
        <w:t xml:space="preserve"> et al., 2021).</w:t>
      </w:r>
    </w:p>
    <w:p w14:paraId="5A745D46" w14:textId="6FD8C723" w:rsidR="00B224F0" w:rsidRPr="00B224F0" w:rsidRDefault="00B224F0" w:rsidP="00B224F0">
      <w:pPr>
        <w:pStyle w:val="ExecSumBodyText"/>
        <w:rPr>
          <w:i/>
          <w:iCs/>
        </w:rPr>
      </w:pPr>
      <w:bookmarkStart w:id="12" w:name="_Ref106395408"/>
      <w:r w:rsidRPr="00512B6F">
        <w:t xml:space="preserve">The ESC </w:t>
      </w:r>
      <w:r w:rsidR="00E437B6">
        <w:t xml:space="preserve">previously </w:t>
      </w:r>
      <w:r w:rsidRPr="00512B6F">
        <w:t xml:space="preserve">noted that intravenously delivered ketamine is currently available in private treatment settings for </w:t>
      </w:r>
      <w:proofErr w:type="gramStart"/>
      <w:r w:rsidRPr="00512B6F">
        <w:t>a number of</w:t>
      </w:r>
      <w:proofErr w:type="gramEnd"/>
      <w:r w:rsidRPr="00512B6F">
        <w:t xml:space="preserve"> (off-label) psychiatric conditions including depression, post-traumatic stress disorder, obsessive-compulsive disorder and acute suicidal ideation and considered there was a high risk of </w:t>
      </w:r>
      <w:r w:rsidR="00756FD6">
        <w:t xml:space="preserve">use of </w:t>
      </w:r>
      <w:proofErr w:type="spellStart"/>
      <w:r w:rsidR="00756FD6">
        <w:t>esketamine</w:t>
      </w:r>
      <w:proofErr w:type="spellEnd"/>
      <w:r w:rsidRPr="00512B6F">
        <w:t xml:space="preserve"> </w:t>
      </w:r>
      <w:r w:rsidR="00756FD6">
        <w:t>in</w:t>
      </w:r>
      <w:r w:rsidR="00756FD6" w:rsidRPr="00512B6F">
        <w:t xml:space="preserve"> </w:t>
      </w:r>
      <w:r w:rsidRPr="00512B6F">
        <w:t xml:space="preserve">these conditions (para 3.12, </w:t>
      </w:r>
      <w:proofErr w:type="spellStart"/>
      <w:r w:rsidRPr="00512B6F">
        <w:t>esketamine</w:t>
      </w:r>
      <w:proofErr w:type="spellEnd"/>
      <w:r w:rsidRPr="00512B6F">
        <w:t xml:space="preserve"> PSD, July 2021 PBAC meeting).</w:t>
      </w:r>
      <w:r w:rsidRPr="00B224F0">
        <w:rPr>
          <w:i/>
          <w:iCs/>
        </w:rPr>
        <w:t xml:space="preserve"> </w:t>
      </w:r>
      <w:r w:rsidRPr="00D30B7F">
        <w:t xml:space="preserve">The ESC noted there was </w:t>
      </w:r>
      <w:r w:rsidR="00C66DEB" w:rsidRPr="00D30B7F">
        <w:t xml:space="preserve">currently a randomised controlled trial </w:t>
      </w:r>
      <w:r w:rsidRPr="00D30B7F">
        <w:t>underway (</w:t>
      </w:r>
      <w:r w:rsidR="00C66DEB" w:rsidRPr="00D30B7F">
        <w:t xml:space="preserve">funded </w:t>
      </w:r>
      <w:r w:rsidRPr="00D30B7F">
        <w:t xml:space="preserve">by </w:t>
      </w:r>
      <w:r w:rsidR="00C66DEB" w:rsidRPr="00D30B7F">
        <w:t xml:space="preserve">the National Health and Medical Research Council) comparing </w:t>
      </w:r>
      <w:r w:rsidRPr="00D30B7F">
        <w:t xml:space="preserve">subcutaneous ketamine </w:t>
      </w:r>
      <w:r w:rsidR="00C66DEB" w:rsidRPr="00D30B7F">
        <w:t xml:space="preserve">and active treatment </w:t>
      </w:r>
      <w:r w:rsidRPr="00D30B7F">
        <w:t>in patients with</w:t>
      </w:r>
      <w:r w:rsidR="000D60D0" w:rsidRPr="00D30B7F">
        <w:t xml:space="preserve"> TRD</w:t>
      </w:r>
      <w:r w:rsidR="00C66DEB" w:rsidRPr="00D30B7F">
        <w:t xml:space="preserve"> </w:t>
      </w:r>
      <w:r w:rsidRPr="00D30B7F">
        <w:t>(ANZCTR number: ACTRN12616001096448</w:t>
      </w:r>
      <w:r w:rsidR="00C01529" w:rsidRPr="00D30B7F">
        <w:rPr>
          <w:rStyle w:val="FootnoteReference"/>
        </w:rPr>
        <w:footnoteReference w:id="3"/>
      </w:r>
      <w:r w:rsidRPr="00D30B7F">
        <w:t>).</w:t>
      </w:r>
      <w:bookmarkEnd w:id="12"/>
      <w:r w:rsidR="00C66DEB" w:rsidRPr="00D30B7F">
        <w:t xml:space="preserve"> </w:t>
      </w:r>
      <w:r w:rsidR="00C01529" w:rsidRPr="00D30B7F">
        <w:t xml:space="preserve">Patients </w:t>
      </w:r>
      <w:r w:rsidR="00463783">
        <w:t xml:space="preserve">(n=183) </w:t>
      </w:r>
      <w:r w:rsidR="00C01529" w:rsidRPr="00D30B7F">
        <w:t>were randomised to ketamine via subcut</w:t>
      </w:r>
      <w:r w:rsidR="00F22588">
        <w:t>a</w:t>
      </w:r>
      <w:r w:rsidR="00C01529" w:rsidRPr="00D30B7F">
        <w:t>n</w:t>
      </w:r>
      <w:r w:rsidR="00F22588">
        <w:t>e</w:t>
      </w:r>
      <w:r w:rsidR="00C01529" w:rsidRPr="00D30B7F">
        <w:t xml:space="preserve">ous injection twice weekly or an active control with remission (the primary endpoint) assessed at 4 weeks. Patients could enter a </w:t>
      </w:r>
      <w:proofErr w:type="gramStart"/>
      <w:r w:rsidR="00C01529" w:rsidRPr="00D30B7F">
        <w:t>4 week</w:t>
      </w:r>
      <w:proofErr w:type="gramEnd"/>
      <w:r w:rsidR="00C01529" w:rsidRPr="00D30B7F">
        <w:t xml:space="preserve"> open label extension after a one month break from treatment (i.e., at week 8). </w:t>
      </w:r>
      <w:r w:rsidR="00C66DEB" w:rsidRPr="00D30B7F">
        <w:t>Key inclusion criteria include</w:t>
      </w:r>
      <w:r w:rsidR="00C01529" w:rsidRPr="00D30B7F">
        <w:t>d</w:t>
      </w:r>
      <w:r w:rsidR="00C66DEB" w:rsidRPr="00D30B7F">
        <w:t xml:space="preserve"> MDD for at least 3 months, an inadequate response to at least 2 adequate antidepressants courses and a MADRS score of at least 20.</w:t>
      </w:r>
      <w:r w:rsidR="00C01529" w:rsidRPr="00D30B7F">
        <w:t xml:space="preserve"> </w:t>
      </w:r>
      <w:r w:rsidR="00C01529">
        <w:rPr>
          <w:i/>
          <w:iCs/>
        </w:rPr>
        <w:t xml:space="preserve">  </w:t>
      </w:r>
    </w:p>
    <w:p w14:paraId="6E77C00F" w14:textId="77777777" w:rsidR="00234039" w:rsidRDefault="008236C2" w:rsidP="00234039">
      <w:pPr>
        <w:pStyle w:val="ExecSumBodyText"/>
      </w:pPr>
      <w:r w:rsidRPr="00D30B7F">
        <w:t xml:space="preserve">The ESC considered psychological therapy should form an important part of the management of TRD and it may be reasonable to add a psychological therapy requirement to the restriction. </w:t>
      </w:r>
      <w:r w:rsidR="00861DAB" w:rsidRPr="00D30B7F">
        <w:t>The ESC considered it may be appropriate to limit initial prescribing to psychiatrists, rather than under the supervision of a psychiatrist</w:t>
      </w:r>
      <w:r w:rsidR="00E437B6" w:rsidRPr="00D30B7F">
        <w:t xml:space="preserve"> although it was noted access to psychiatrists </w:t>
      </w:r>
      <w:r w:rsidR="00DE7FAC" w:rsidRPr="00D30B7F">
        <w:t xml:space="preserve">may be </w:t>
      </w:r>
      <w:r w:rsidR="00E437B6" w:rsidRPr="00D30B7F">
        <w:t>limited</w:t>
      </w:r>
      <w:r w:rsidR="0045404F" w:rsidRPr="00D30B7F">
        <w:t>.</w:t>
      </w:r>
      <w:r w:rsidR="00E437B6" w:rsidRPr="00D30B7F">
        <w:t xml:space="preserve"> </w:t>
      </w:r>
      <w:r w:rsidR="00463783">
        <w:t xml:space="preserve"> </w:t>
      </w:r>
    </w:p>
    <w:p w14:paraId="65E5E084" w14:textId="58FC00B2" w:rsidR="00234039" w:rsidRDefault="00C02C4D" w:rsidP="00234039">
      <w:pPr>
        <w:pStyle w:val="ExecSumBodyText"/>
      </w:pPr>
      <w:r>
        <w:t>The PBAC noted the criteria for funding repetitive transcranial magnetic stimulation (</w:t>
      </w:r>
      <w:proofErr w:type="spellStart"/>
      <w:r>
        <w:t>rTMS</w:t>
      </w:r>
      <w:proofErr w:type="spellEnd"/>
      <w:r>
        <w:t xml:space="preserve">) on the Medicare Benefits Schedule </w:t>
      </w:r>
      <w:r w:rsidR="00234039">
        <w:t xml:space="preserve">and considered aspects of the criteria may be appropriate for </w:t>
      </w:r>
      <w:proofErr w:type="spellStart"/>
      <w:r w:rsidR="00234039">
        <w:t>esketamine</w:t>
      </w:r>
      <w:proofErr w:type="spellEnd"/>
      <w:r w:rsidR="00234039">
        <w:t xml:space="preserve">, </w:t>
      </w:r>
      <w:r w:rsidR="00270A73">
        <w:t xml:space="preserve">including </w:t>
      </w:r>
      <w:r w:rsidR="00234039">
        <w:t>assessment of response to initial treatment using a validated major depressive disorder too</w:t>
      </w:r>
      <w:r w:rsidR="00270A73">
        <w:t xml:space="preserve">l and </w:t>
      </w:r>
      <w:r w:rsidR="00234039">
        <w:t xml:space="preserve">the requirement to have undertaken psychological therapy (unless inappropriate).  </w:t>
      </w:r>
    </w:p>
    <w:p w14:paraId="22526A6B" w14:textId="33AA71E0" w:rsidR="00D30B7F" w:rsidRPr="00C33D30" w:rsidRDefault="00D30B7F" w:rsidP="00DA2512">
      <w:pPr>
        <w:pStyle w:val="ExecSumBodyText"/>
        <w:numPr>
          <w:ilvl w:val="0"/>
          <w:numId w:val="0"/>
        </w:numPr>
        <w:ind w:firstLine="709"/>
        <w:rPr>
          <w:i/>
        </w:rPr>
      </w:pPr>
      <w:bookmarkStart w:id="13" w:name="_Hlk76375324"/>
      <w:r w:rsidRPr="00C33D30">
        <w:rPr>
          <w:i/>
        </w:rPr>
        <w:t>For more detail on PBAC’s view, see section 7 PBAC outcome.</w:t>
      </w:r>
    </w:p>
    <w:p w14:paraId="7075B85C" w14:textId="1655A25A" w:rsidR="00B50DB8" w:rsidRPr="00407F2D" w:rsidRDefault="00203181" w:rsidP="00F84F1D">
      <w:pPr>
        <w:pStyle w:val="2-SectionHeading"/>
      </w:pPr>
      <w:bookmarkStart w:id="14" w:name="_Toc103767187"/>
      <w:bookmarkEnd w:id="13"/>
      <w:r>
        <w:t xml:space="preserve">Population and </w:t>
      </w:r>
      <w:r w:rsidR="008E0D3C">
        <w:t>d</w:t>
      </w:r>
      <w:r>
        <w:t>isease</w:t>
      </w:r>
      <w:bookmarkEnd w:id="14"/>
    </w:p>
    <w:p w14:paraId="23BEDBA7" w14:textId="44444E51" w:rsidR="002048AC" w:rsidRPr="003334B4" w:rsidRDefault="002048AC" w:rsidP="002048AC">
      <w:pPr>
        <w:pStyle w:val="ExecSumBodyText"/>
      </w:pPr>
      <w:r w:rsidRPr="003334B4">
        <w:t xml:space="preserve">Major depressive disorder (MDD) is a common, debilitating, and recurrent mental health disorder, characterised by persistent feelings of sadness and hopelessness, or loss of interest in activities once enjoyed, with additional psychophysiological changes including weight changes, fatigue, and decreased ability to concentrate, think, or make decisions. These core symptoms may vary from patient to </w:t>
      </w:r>
      <w:r w:rsidR="00EF2450" w:rsidRPr="003334B4">
        <w:t>patient;</w:t>
      </w:r>
      <w:r w:rsidRPr="003334B4">
        <w:t xml:space="preserve"> however, they are typically seen for much of the day, almost always every day for at least two weeks and are associated with relevant psychological distress and considerable impairment of psychosocial and work functioning.</w:t>
      </w:r>
    </w:p>
    <w:p w14:paraId="69815EA3" w14:textId="7E6D944A" w:rsidR="003334B4" w:rsidRPr="003334B4" w:rsidRDefault="003334B4" w:rsidP="002048AC">
      <w:pPr>
        <w:pStyle w:val="ExecSumBodyText"/>
      </w:pPr>
      <w:r w:rsidRPr="003334B4">
        <w:lastRenderedPageBreak/>
        <w:t>The resubmission highlight</w:t>
      </w:r>
      <w:r w:rsidR="005841FC">
        <w:t>ed</w:t>
      </w:r>
      <w:r w:rsidRPr="003334B4">
        <w:t xml:space="preserve"> the impact of TRD and treatment cycles on functioning, including flat affect, lack of motivation, and failing to achieve a response to several treatments. </w:t>
      </w:r>
      <w:r w:rsidR="005841FC">
        <w:t xml:space="preserve"> </w:t>
      </w:r>
    </w:p>
    <w:p w14:paraId="6BFD6251" w14:textId="6CDE474B" w:rsidR="002048AC" w:rsidRPr="00DC5AD6" w:rsidRDefault="00DC5AD6" w:rsidP="002048AC">
      <w:pPr>
        <w:pStyle w:val="ExecSumBodyText"/>
      </w:pPr>
      <w:r w:rsidRPr="00DC5AD6">
        <w:t xml:space="preserve">Although </w:t>
      </w:r>
      <w:proofErr w:type="gramStart"/>
      <w:r w:rsidRPr="00DC5AD6">
        <w:t>a number of</w:t>
      </w:r>
      <w:proofErr w:type="gramEnd"/>
      <w:r w:rsidRPr="00DC5AD6">
        <w:t xml:space="preserve"> pharmacological treatment options are currently available for MDD, up to one third of patients do not adequately respond to treatment, and up to 20% are considered non-responders, even if there is good compliance over a reasonable period of time with an adequate dosage</w:t>
      </w:r>
      <w:r w:rsidR="00183939">
        <w:t xml:space="preserve"> (para 4</w:t>
      </w:r>
      <w:r w:rsidR="00187733">
        <w:t xml:space="preserve">.2, </w:t>
      </w:r>
      <w:proofErr w:type="spellStart"/>
      <w:r w:rsidR="00510068">
        <w:t>e</w:t>
      </w:r>
      <w:r w:rsidR="00187733">
        <w:t>sketamine</w:t>
      </w:r>
      <w:proofErr w:type="spellEnd"/>
      <w:r w:rsidR="00187733">
        <w:t xml:space="preserve"> PSD, July 2021 PBAC meeting)</w:t>
      </w:r>
      <w:r w:rsidRPr="00DC5AD6">
        <w:t>. This subpopulation is described as having treatment-resistant depression (TRD) and is the population for which PBS listing is sought</w:t>
      </w:r>
      <w:r w:rsidR="0083004B">
        <w:t xml:space="preserve"> for </w:t>
      </w:r>
      <w:proofErr w:type="spellStart"/>
      <w:r w:rsidR="0083004B">
        <w:t>esketamine</w:t>
      </w:r>
      <w:proofErr w:type="spellEnd"/>
      <w:r w:rsidRPr="00DC5AD6">
        <w:t>.</w:t>
      </w:r>
      <w:r w:rsidR="002048AC" w:rsidRPr="00DC5AD6">
        <w:t xml:space="preserve"> </w:t>
      </w:r>
    </w:p>
    <w:p w14:paraId="72B1B6A8" w14:textId="77777777" w:rsidR="002048AC" w:rsidRPr="00DC5AD6" w:rsidRDefault="002048AC" w:rsidP="002048AC">
      <w:pPr>
        <w:pStyle w:val="ExecSumBodyText"/>
      </w:pPr>
      <w:r w:rsidRPr="00DC5AD6">
        <w:t>TRD most often refers to major depressive episodes that do not respond satisfactorily to at least two trials of antidepressant monotherapy, however the definition has not been standardised. The 2021 Australian guidelines for the treatment of mood disorders refer to the definition of TRD as the failure to achieve a suitable response to two or more adequate courses of pharmacotherapy as ‘a very modest and clinically meaningless threshold’ (</w:t>
      </w:r>
      <w:proofErr w:type="spellStart"/>
      <w:r w:rsidRPr="00DC5AD6">
        <w:t>Malhi</w:t>
      </w:r>
      <w:proofErr w:type="spellEnd"/>
      <w:r w:rsidRPr="00DC5AD6">
        <w:t xml:space="preserve"> et al., 2021). </w:t>
      </w:r>
    </w:p>
    <w:p w14:paraId="26B94757" w14:textId="77777777" w:rsidR="002048AC" w:rsidRPr="00AF6B86" w:rsidRDefault="002048AC" w:rsidP="002048AC">
      <w:pPr>
        <w:pStyle w:val="ExecSumBodyText"/>
      </w:pPr>
      <w:r w:rsidRPr="00AF6B86">
        <w:t xml:space="preserve">Symptoms of TRD follow those of MDD in general, for example depressed mood, loss of interest or pleasure, sleep disturbance, fatigue, neurocognitive dysfunction and changes in appetite and weight. Compared to patients with non-TRD MDD, patients with TRD are thought to be at greater risk of relapse. Further, the probability of remission appears to decrease with successive treatment failures (Rush et al 2003, STAR*D study). </w:t>
      </w:r>
    </w:p>
    <w:p w14:paraId="2CF29545" w14:textId="3E1DA06D" w:rsidR="002048AC" w:rsidRPr="00AF6B86" w:rsidRDefault="002048AC" w:rsidP="002048AC">
      <w:pPr>
        <w:pStyle w:val="ExecSumBodyText"/>
      </w:pPr>
      <w:r w:rsidRPr="00AF6B86">
        <w:t>Treatment options recommended in the 2020 RANZCP Guidelines for managing patients with TRD include optimising current antidepressant use (</w:t>
      </w:r>
      <w:r w:rsidR="00187733">
        <w:t xml:space="preserve">appropriate </w:t>
      </w:r>
      <w:r w:rsidRPr="00AF6B86">
        <w:t xml:space="preserve">dose </w:t>
      </w:r>
      <w:r w:rsidR="00187733">
        <w:t>for an appropriate period of time</w:t>
      </w:r>
      <w:r w:rsidRPr="00AF6B86">
        <w:t>), switching to a different antidepressant, combining two antidepressants, augmenting treatment by adding an antipsychotic or lithium to the existing antidepressant, and using non-pharmacologic physical therapies such as electroconvulsive therapy (ECT) and repetitive transcranial magnetic stimulation (</w:t>
      </w:r>
      <w:proofErr w:type="spellStart"/>
      <w:r w:rsidRPr="00AF6B86">
        <w:t>rTMS</w:t>
      </w:r>
      <w:proofErr w:type="spellEnd"/>
      <w:r w:rsidRPr="00AF6B86">
        <w:t>) (</w:t>
      </w:r>
      <w:proofErr w:type="spellStart"/>
      <w:r w:rsidRPr="00AF6B86">
        <w:t>Mahli</w:t>
      </w:r>
      <w:proofErr w:type="spellEnd"/>
      <w:r w:rsidRPr="00AF6B86">
        <w:t xml:space="preserve"> 2021). </w:t>
      </w:r>
      <w:r w:rsidRPr="008656C1">
        <w:t xml:space="preserve">The treatment algorithm for MDD, and </w:t>
      </w:r>
      <w:proofErr w:type="gramStart"/>
      <w:r w:rsidRPr="008656C1">
        <w:t>TRD in particular, is</w:t>
      </w:r>
      <w:proofErr w:type="gramEnd"/>
      <w:r w:rsidRPr="008656C1">
        <w:t xml:space="preserve"> complex and broadly involves a combination of initial pharmacotherapy together with psychotherapy, followed by non-pharmacotherapies or physical therapies, including ECT, </w:t>
      </w:r>
      <w:proofErr w:type="spellStart"/>
      <w:r w:rsidRPr="008656C1">
        <w:t>rTMS</w:t>
      </w:r>
      <w:proofErr w:type="spellEnd"/>
      <w:r w:rsidRPr="008656C1">
        <w:t xml:space="preserve"> or </w:t>
      </w:r>
      <w:proofErr w:type="spellStart"/>
      <w:r w:rsidRPr="008656C1">
        <w:t>vagus</w:t>
      </w:r>
      <w:proofErr w:type="spellEnd"/>
      <w:r w:rsidRPr="008656C1">
        <w:t xml:space="preserve"> nerve stimulation (VNS).</w:t>
      </w:r>
    </w:p>
    <w:p w14:paraId="71554889" w14:textId="77777777" w:rsidR="002048AC" w:rsidRPr="00AF6B86" w:rsidRDefault="002048AC" w:rsidP="002048AC">
      <w:pPr>
        <w:pStyle w:val="ExecSumBodyText"/>
      </w:pPr>
      <w:r w:rsidRPr="00AF6B86">
        <w:t xml:space="preserve">There are no clear lines of therapy for TRD. The choice between switching therapy, augmenting therapy, psychotherapy or a physical therapy may be impacted by </w:t>
      </w:r>
      <w:proofErr w:type="gramStart"/>
      <w:r w:rsidRPr="00AF6B86">
        <w:t>a number of</w:t>
      </w:r>
      <w:proofErr w:type="gramEnd"/>
      <w:r w:rsidRPr="00AF6B86">
        <w:t xml:space="preserve"> factors, including availability and patient preference, because there is no compelling evidence that one is superior to the others for acute outcomes. Many patients switch antidepressants because this option is readily accessible.</w:t>
      </w:r>
    </w:p>
    <w:p w14:paraId="0210D83C" w14:textId="3A899FE5" w:rsidR="00D30B7F" w:rsidRDefault="002048AC" w:rsidP="00D30B7F">
      <w:pPr>
        <w:pStyle w:val="ExecSumBodyText"/>
      </w:pPr>
      <w:proofErr w:type="spellStart"/>
      <w:r w:rsidRPr="00E07A01">
        <w:t>Esketamine</w:t>
      </w:r>
      <w:proofErr w:type="spellEnd"/>
      <w:r w:rsidRPr="00E07A01">
        <w:t xml:space="preserve">, the S-enantiomer of racemic ketamine, is an antidepressant with a novel mechanism of action. It is a non-selective, non-competitive, antagonist of the N-methyl-D-aspartate (NMDA) receptor, an ionotropic glutamate receptor. Ketamine, administered by either intramuscular or intravenous route, is approved as an </w:t>
      </w:r>
      <w:r w:rsidRPr="00E07A01">
        <w:lastRenderedPageBreak/>
        <w:t xml:space="preserve">anaesthetic drug by the TGA, but is not </w:t>
      </w:r>
      <w:r w:rsidR="00463783">
        <w:t xml:space="preserve">currently </w:t>
      </w:r>
      <w:r w:rsidRPr="00E07A01">
        <w:t>indicated for use in treating depression.</w:t>
      </w:r>
      <w:r w:rsidR="00083F90">
        <w:t xml:space="preserve"> Ketamine is not listed on the PBS for any indication</w:t>
      </w:r>
      <w:r w:rsidR="00D30B7F">
        <w:t>.</w:t>
      </w:r>
    </w:p>
    <w:p w14:paraId="0FECE993" w14:textId="77777777" w:rsidR="00D30B7F" w:rsidRPr="00C33D30" w:rsidRDefault="00D30B7F" w:rsidP="00D30B7F">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407F2D" w:rsidRDefault="00B50DB8" w:rsidP="00F84F1D">
      <w:pPr>
        <w:pStyle w:val="2-SectionHeading"/>
      </w:pPr>
      <w:bookmarkStart w:id="15" w:name="_Toc103767188"/>
      <w:r w:rsidRPr="00407F2D">
        <w:t>Comparator</w:t>
      </w:r>
      <w:bookmarkEnd w:id="15"/>
    </w:p>
    <w:p w14:paraId="0FA7E23A" w14:textId="2688E28B" w:rsidR="0074002D" w:rsidRPr="008656C1" w:rsidRDefault="0081325F" w:rsidP="00474BF0">
      <w:pPr>
        <w:pStyle w:val="ExecSumBodyText"/>
        <w:contextualSpacing/>
      </w:pPr>
      <w:r w:rsidRPr="00397F54">
        <w:t xml:space="preserve">The resubmission maintained that switching to a new antidepressant was the main comparator. The main arguments provided in support of this nomination were that switching to a new therapy is recommended in the RANZCP guidelines if a patient has not adequately responded to a therapy at optimal dose and duration, and that switching to a new OAD is the </w:t>
      </w:r>
      <w:proofErr w:type="gramStart"/>
      <w:r w:rsidRPr="00397F54">
        <w:t>most commonly used</w:t>
      </w:r>
      <w:proofErr w:type="gramEnd"/>
      <w:r w:rsidRPr="00397F54">
        <w:t xml:space="preserve"> treatment strategy in the requested PBS-eligible population according to utilisation data, therefore being the treatment most likely to be replaced by </w:t>
      </w:r>
      <w:proofErr w:type="spellStart"/>
      <w:r w:rsidRPr="00397F54">
        <w:t>esketamine</w:t>
      </w:r>
      <w:proofErr w:type="spellEnd"/>
      <w:r w:rsidRPr="00397F54">
        <w:t xml:space="preserve"> nasal spray in clinical practice. </w:t>
      </w:r>
      <w:r w:rsidRPr="008656C1">
        <w:t xml:space="preserve">Switching to a new </w:t>
      </w:r>
      <w:r w:rsidR="00C50DC8" w:rsidRPr="008656C1">
        <w:t>OAD</w:t>
      </w:r>
      <w:r w:rsidRPr="008656C1">
        <w:t xml:space="preserve"> is an appropriate comparator</w:t>
      </w:r>
      <w:r w:rsidR="006163E0" w:rsidRPr="008656C1">
        <w:t>, however there are many other therapies used in the treatment of TRD that may also be considered appropriate comparators</w:t>
      </w:r>
      <w:r w:rsidR="00636188" w:rsidRPr="008656C1">
        <w:t>:</w:t>
      </w:r>
    </w:p>
    <w:p w14:paraId="369E8571" w14:textId="2BE36A5B" w:rsidR="0074002D" w:rsidRPr="008656C1" w:rsidRDefault="0074002D" w:rsidP="004D6A5C">
      <w:pPr>
        <w:pStyle w:val="ExecSumBodyText"/>
        <w:numPr>
          <w:ilvl w:val="1"/>
          <w:numId w:val="12"/>
        </w:numPr>
        <w:spacing w:after="0"/>
        <w:ind w:left="1077" w:hanging="357"/>
      </w:pPr>
      <w:r w:rsidRPr="008656C1">
        <w:t>Adding on another antidepressant (combination therapy);</w:t>
      </w:r>
    </w:p>
    <w:p w14:paraId="7A7206A1" w14:textId="77777777" w:rsidR="0074002D" w:rsidRPr="008656C1" w:rsidRDefault="0074002D" w:rsidP="004D6A5C">
      <w:pPr>
        <w:pStyle w:val="ExecSumBodyText"/>
        <w:numPr>
          <w:ilvl w:val="1"/>
          <w:numId w:val="12"/>
        </w:numPr>
        <w:spacing w:after="0"/>
        <w:ind w:left="1077" w:hanging="357"/>
      </w:pPr>
      <w:r w:rsidRPr="008656C1">
        <w:t>Augmentation with lithium or an antipsychotic (e.g. olanzapine or aripiprazole);</w:t>
      </w:r>
    </w:p>
    <w:p w14:paraId="037552BE" w14:textId="77777777" w:rsidR="0074002D" w:rsidRPr="008656C1" w:rsidRDefault="0074002D" w:rsidP="004D6A5C">
      <w:pPr>
        <w:pStyle w:val="ExecSumBodyText"/>
        <w:numPr>
          <w:ilvl w:val="1"/>
          <w:numId w:val="12"/>
        </w:numPr>
        <w:spacing w:after="0"/>
        <w:ind w:left="1077" w:hanging="357"/>
      </w:pPr>
      <w:r w:rsidRPr="008656C1">
        <w:t xml:space="preserve">Physical treatments like ECT or </w:t>
      </w:r>
      <w:proofErr w:type="spellStart"/>
      <w:r w:rsidRPr="008656C1">
        <w:t>rTMS</w:t>
      </w:r>
      <w:proofErr w:type="spellEnd"/>
      <w:r w:rsidRPr="008656C1">
        <w:t>, which are less commonly used and typically reserved where pharmacological approaches have failed; and</w:t>
      </w:r>
    </w:p>
    <w:p w14:paraId="46F3E710" w14:textId="77777777" w:rsidR="0074002D" w:rsidRPr="008656C1" w:rsidRDefault="0074002D" w:rsidP="004D6A5C">
      <w:pPr>
        <w:pStyle w:val="ExecSumBodyText"/>
        <w:numPr>
          <w:ilvl w:val="1"/>
          <w:numId w:val="12"/>
        </w:numPr>
        <w:ind w:left="1077" w:hanging="357"/>
      </w:pPr>
      <w:r w:rsidRPr="008656C1">
        <w:t>Psychotherapy, such as cognitive-behavioural therapy.</w:t>
      </w:r>
    </w:p>
    <w:p w14:paraId="4B4C4506" w14:textId="5714F045" w:rsidR="00C9284B" w:rsidRPr="008656C1" w:rsidRDefault="00C9284B" w:rsidP="0019132F">
      <w:pPr>
        <w:pStyle w:val="ExecSumBodyText"/>
      </w:pPr>
      <w:r w:rsidRPr="00C9284B">
        <w:t xml:space="preserve">The resubmission stated that according to the 10% PBS sample analysis provided </w:t>
      </w:r>
      <w:r w:rsidR="00A57FB3">
        <w:t>with the resubmission</w:t>
      </w:r>
      <w:r w:rsidRPr="00C9284B">
        <w:t xml:space="preserve">, alternative treatment approaches such as antidepressant combination therapy or augmentation were used less </w:t>
      </w:r>
      <w:r w:rsidRPr="002A5B3B">
        <w:t xml:space="preserve">commonly </w:t>
      </w:r>
      <w:r w:rsidR="005B0CBB" w:rsidRPr="002A5B3B">
        <w:t xml:space="preserve">(35.3%) </w:t>
      </w:r>
      <w:r w:rsidRPr="002A5B3B">
        <w:t>than switching to a new antidepressant</w:t>
      </w:r>
      <w:r w:rsidR="005B0CBB" w:rsidRPr="002A5B3B">
        <w:t xml:space="preserve"> (64.7%)</w:t>
      </w:r>
      <w:r w:rsidR="00ED4332" w:rsidRPr="002A5B3B">
        <w:t xml:space="preserve"> in the psychiatry setting</w:t>
      </w:r>
      <w:r w:rsidRPr="002A5B3B">
        <w:t>. This data, which</w:t>
      </w:r>
      <w:r w:rsidRPr="008656C1">
        <w:t xml:space="preserve"> is based on PBS prescriptions, does not capture use of other potential comparators such as ECT, </w:t>
      </w:r>
      <w:proofErr w:type="spellStart"/>
      <w:r w:rsidRPr="008656C1">
        <w:t>rTMS</w:t>
      </w:r>
      <w:proofErr w:type="spellEnd"/>
      <w:r w:rsidRPr="008656C1">
        <w:t>, off-label, or psychological therapies.</w:t>
      </w:r>
      <w:r w:rsidRPr="00C9284B">
        <w:t xml:space="preserve"> In the </w:t>
      </w:r>
      <w:r w:rsidR="00E04F57">
        <w:t xml:space="preserve">resubmission’s </w:t>
      </w:r>
      <w:r w:rsidRPr="00C9284B">
        <w:t xml:space="preserve">consensus statement, it was noted that “it was considered important to acknowledge that, consistent with RANZCP guidelines, appropriate psychosocial and psychotherapeutic interventions would have been trialled in addition to antidepressant therapy by the time the patient has reached this definitional point (i.e. 2-5 pharmacological failures) of TRD”. </w:t>
      </w:r>
    </w:p>
    <w:p w14:paraId="714790B6" w14:textId="72836F97" w:rsidR="0019132F" w:rsidRPr="008656C1" w:rsidRDefault="00C9284B" w:rsidP="00C9284B">
      <w:pPr>
        <w:pStyle w:val="ExecSumBodyText"/>
        <w:rPr>
          <w:snapToGrid/>
        </w:rPr>
      </w:pPr>
      <w:r w:rsidRPr="0019132F">
        <w:t xml:space="preserve">The resubmission claimed that other HTA bodies, including CADTH, NICE, and ICER, examined indirect comparisons via a network analysis of </w:t>
      </w:r>
      <w:proofErr w:type="spellStart"/>
      <w:r w:rsidRPr="0019132F">
        <w:t>esketamine</w:t>
      </w:r>
      <w:proofErr w:type="spellEnd"/>
      <w:r w:rsidRPr="0019132F">
        <w:t xml:space="preserve"> to other pharmacological treatments and physical treatments (</w:t>
      </w:r>
      <w:proofErr w:type="spellStart"/>
      <w:r w:rsidRPr="0019132F">
        <w:t>eg</w:t>
      </w:r>
      <w:proofErr w:type="spellEnd"/>
      <w:r w:rsidRPr="0019132F">
        <w:t xml:space="preserve"> ECT) used in MDD. All the agencies considered that comparisons between agents outside of OADs were highly uncertain. Based on this, the resubmission argued that including other comparators would introduce highly uncertain comparisons, which would not be informative for decision making regarding cost-effectiveness. The resubmission stated that physical therapies, primarily ECT and </w:t>
      </w:r>
      <w:proofErr w:type="spellStart"/>
      <w:r w:rsidRPr="0019132F">
        <w:t>rTMS</w:t>
      </w:r>
      <w:proofErr w:type="spellEnd"/>
      <w:r w:rsidRPr="0019132F">
        <w:t xml:space="preserve">, cannot be considered a comparator because according to the Australian mood guidelines, published by RANZCP, the MIDAS cycle (medication (M), followed by an Increase in Dose (ID), its Augmentation (A) and finally </w:t>
      </w:r>
      <w:r w:rsidRPr="0019132F">
        <w:lastRenderedPageBreak/>
        <w:t>a Switch (S) to another antidepressant), used to treat for response in MDD patients, should be repeated for as many antidepressants as possible (and at least 3) before considering a physical intervention (</w:t>
      </w:r>
      <w:proofErr w:type="spellStart"/>
      <w:r w:rsidRPr="0019132F">
        <w:t>Malhi</w:t>
      </w:r>
      <w:proofErr w:type="spellEnd"/>
      <w:r w:rsidRPr="0019132F">
        <w:t xml:space="preserve"> et al 2020). </w:t>
      </w:r>
    </w:p>
    <w:p w14:paraId="747A75CC" w14:textId="3CE139C3" w:rsidR="0019132F" w:rsidRPr="00D30B7F" w:rsidRDefault="00E652C0" w:rsidP="0019132F">
      <w:pPr>
        <w:pStyle w:val="ExecSumBodyText"/>
        <w:rPr>
          <w:snapToGrid/>
        </w:rPr>
      </w:pPr>
      <w:r w:rsidRPr="00D30B7F">
        <w:t>T</w:t>
      </w:r>
      <w:r w:rsidR="00627E76" w:rsidRPr="00D30B7F">
        <w:t xml:space="preserve">he ESC noted </w:t>
      </w:r>
      <w:r w:rsidRPr="00D30B7F">
        <w:t xml:space="preserve">the use of ketamine in the private treatment setting and </w:t>
      </w:r>
      <w:r w:rsidR="00627E76" w:rsidRPr="00D30B7F">
        <w:t>the</w:t>
      </w:r>
      <w:r w:rsidR="00C01529" w:rsidRPr="00D30B7F">
        <w:t xml:space="preserve"> </w:t>
      </w:r>
      <w:r w:rsidR="00FC1F98" w:rsidRPr="00D30B7F">
        <w:t>research</w:t>
      </w:r>
      <w:r w:rsidR="002922AC" w:rsidRPr="00D30B7F">
        <w:t xml:space="preserve"> </w:t>
      </w:r>
      <w:r w:rsidR="00FC1F98" w:rsidRPr="00D30B7F">
        <w:t>i</w:t>
      </w:r>
      <w:r w:rsidR="00627E76" w:rsidRPr="00D30B7F">
        <w:t xml:space="preserve">nto </w:t>
      </w:r>
      <w:r w:rsidR="00FC1F98" w:rsidRPr="00D30B7F">
        <w:t xml:space="preserve">subcutaneous </w:t>
      </w:r>
      <w:r w:rsidR="00627E76" w:rsidRPr="00D30B7F">
        <w:t xml:space="preserve">ketamine in TRD </w:t>
      </w:r>
      <w:r w:rsidR="00B224F0" w:rsidRPr="00D30B7F">
        <w:t xml:space="preserve">(see paragraph </w:t>
      </w:r>
      <w:r w:rsidR="00B224F0" w:rsidRPr="00D30B7F">
        <w:fldChar w:fldCharType="begin"/>
      </w:r>
      <w:r w:rsidR="00B224F0" w:rsidRPr="00D30B7F">
        <w:instrText xml:space="preserve"> REF _Ref106395408 \r \h </w:instrText>
      </w:r>
      <w:r w:rsidR="00C01529" w:rsidRPr="00D30B7F">
        <w:instrText xml:space="preserve"> \* MERGEFORMAT </w:instrText>
      </w:r>
      <w:r w:rsidR="00B224F0" w:rsidRPr="00D30B7F">
        <w:fldChar w:fldCharType="separate"/>
      </w:r>
      <w:r w:rsidR="008E3D7A">
        <w:t>3.11</w:t>
      </w:r>
      <w:r w:rsidR="00B224F0" w:rsidRPr="00D30B7F">
        <w:fldChar w:fldCharType="end"/>
      </w:r>
      <w:r w:rsidR="00B224F0" w:rsidRPr="00D30B7F">
        <w:t xml:space="preserve">) </w:t>
      </w:r>
      <w:r w:rsidR="00627E76" w:rsidRPr="00D30B7F">
        <w:t xml:space="preserve">and considered it </w:t>
      </w:r>
      <w:r w:rsidRPr="00D30B7F">
        <w:t xml:space="preserve">may </w:t>
      </w:r>
      <w:r w:rsidR="00627E76" w:rsidRPr="00D30B7F">
        <w:t>be</w:t>
      </w:r>
      <w:r w:rsidR="00B224F0" w:rsidRPr="00D30B7F">
        <w:t xml:space="preserve"> informative</w:t>
      </w:r>
      <w:r w:rsidR="00627E76" w:rsidRPr="00D30B7F">
        <w:t xml:space="preserve"> to review any comparative evidence for ketamine and </w:t>
      </w:r>
      <w:proofErr w:type="spellStart"/>
      <w:r w:rsidR="00627E76" w:rsidRPr="00D30B7F">
        <w:t>esketamine</w:t>
      </w:r>
      <w:proofErr w:type="spellEnd"/>
      <w:r w:rsidR="00FC1F98" w:rsidRPr="00D30B7F">
        <w:t xml:space="preserve"> should it be available</w:t>
      </w:r>
      <w:r w:rsidR="00627E76" w:rsidRPr="00D30B7F">
        <w:t>.</w:t>
      </w:r>
    </w:p>
    <w:p w14:paraId="4B3CDD88" w14:textId="77777777" w:rsidR="00D30B7F" w:rsidRPr="00C33D30" w:rsidRDefault="00D30B7F" w:rsidP="00D30B7F">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F84F1D" w:rsidRDefault="00223D5A" w:rsidP="00F84F1D">
      <w:pPr>
        <w:pStyle w:val="2-SectionHeading"/>
      </w:pPr>
      <w:bookmarkStart w:id="16" w:name="_Toc103767189"/>
      <w:bookmarkStart w:id="17" w:name="_Toc22897640"/>
      <w:r w:rsidRPr="00F84F1D">
        <w:t>Consideration of the evidence</w:t>
      </w:r>
      <w:bookmarkEnd w:id="16"/>
    </w:p>
    <w:p w14:paraId="07913FD3" w14:textId="77777777" w:rsidR="00D30B7F" w:rsidRPr="006E1229" w:rsidRDefault="00D30B7F" w:rsidP="00D30B7F">
      <w:pPr>
        <w:pStyle w:val="3-SubsectionHeading"/>
      </w:pPr>
      <w:bookmarkStart w:id="18" w:name="_Hlk76375935"/>
      <w:bookmarkStart w:id="19" w:name="_Toc103767190"/>
      <w:r w:rsidRPr="006E1229">
        <w:t>Sponsor hearing</w:t>
      </w:r>
    </w:p>
    <w:p w14:paraId="6A4A2D7C" w14:textId="645DFFCD" w:rsidR="00D30B7F" w:rsidRPr="00463783" w:rsidRDefault="00B760FB" w:rsidP="00D30B7F">
      <w:pPr>
        <w:widowControl w:val="0"/>
        <w:numPr>
          <w:ilvl w:val="1"/>
          <w:numId w:val="1"/>
        </w:numPr>
        <w:spacing w:after="120"/>
        <w:rPr>
          <w:rFonts w:asciiTheme="minorHAnsi" w:hAnsiTheme="minorHAnsi"/>
          <w:bCs/>
          <w:snapToGrid w:val="0"/>
        </w:rPr>
      </w:pPr>
      <w:bookmarkStart w:id="20" w:name="_Hlk76382586"/>
      <w:r w:rsidRPr="00463783">
        <w:rPr>
          <w:rFonts w:asciiTheme="minorHAnsi" w:hAnsiTheme="minorHAnsi"/>
          <w:bCs/>
          <w:snapToGrid w:val="0"/>
        </w:rPr>
        <w:t xml:space="preserve">The sponsor requested a hearing for this item. </w:t>
      </w:r>
      <w:r w:rsidR="00FA4498" w:rsidRPr="00463783">
        <w:rPr>
          <w:rFonts w:asciiTheme="minorHAnsi" w:hAnsiTheme="minorHAnsi"/>
          <w:bCs/>
          <w:snapToGrid w:val="0"/>
        </w:rPr>
        <w:t>Two clinicians</w:t>
      </w:r>
      <w:r w:rsidRPr="00463783">
        <w:rPr>
          <w:rFonts w:asciiTheme="minorHAnsi" w:hAnsiTheme="minorHAnsi"/>
          <w:bCs/>
          <w:snapToGrid w:val="0"/>
        </w:rPr>
        <w:t xml:space="preserve"> presented on behalf of the </w:t>
      </w:r>
      <w:r w:rsidR="00FA4498" w:rsidRPr="00463783">
        <w:rPr>
          <w:rFonts w:asciiTheme="minorHAnsi" w:hAnsiTheme="minorHAnsi"/>
          <w:bCs/>
          <w:snapToGrid w:val="0"/>
        </w:rPr>
        <w:t>group</w:t>
      </w:r>
      <w:r w:rsidRPr="00463783">
        <w:rPr>
          <w:rFonts w:asciiTheme="minorHAnsi" w:hAnsiTheme="minorHAnsi"/>
          <w:bCs/>
          <w:snapToGrid w:val="0"/>
        </w:rPr>
        <w:t xml:space="preserve"> who prepared the clinical consensus statement</w:t>
      </w:r>
      <w:r w:rsidR="00FA4498" w:rsidRPr="00463783">
        <w:rPr>
          <w:rFonts w:asciiTheme="minorHAnsi" w:hAnsiTheme="minorHAnsi"/>
          <w:bCs/>
          <w:snapToGrid w:val="0"/>
        </w:rPr>
        <w:t xml:space="preserve"> provided </w:t>
      </w:r>
      <w:r w:rsidR="004033E9">
        <w:rPr>
          <w:rFonts w:asciiTheme="minorHAnsi" w:hAnsiTheme="minorHAnsi"/>
          <w:bCs/>
          <w:snapToGrid w:val="0"/>
        </w:rPr>
        <w:t>with</w:t>
      </w:r>
      <w:r w:rsidR="004033E9" w:rsidRPr="00463783">
        <w:rPr>
          <w:rFonts w:asciiTheme="minorHAnsi" w:hAnsiTheme="minorHAnsi"/>
          <w:bCs/>
          <w:snapToGrid w:val="0"/>
        </w:rPr>
        <w:t xml:space="preserve"> </w:t>
      </w:r>
      <w:r w:rsidR="00FA4498" w:rsidRPr="00463783">
        <w:rPr>
          <w:rFonts w:asciiTheme="minorHAnsi" w:hAnsiTheme="minorHAnsi"/>
          <w:bCs/>
          <w:snapToGrid w:val="0"/>
        </w:rPr>
        <w:t>the resubmission</w:t>
      </w:r>
      <w:r w:rsidR="004033E9">
        <w:rPr>
          <w:rFonts w:asciiTheme="minorHAnsi" w:hAnsiTheme="minorHAnsi"/>
          <w:bCs/>
          <w:snapToGrid w:val="0"/>
        </w:rPr>
        <w:t xml:space="preserve">. They </w:t>
      </w:r>
      <w:r w:rsidRPr="00463783">
        <w:rPr>
          <w:rFonts w:asciiTheme="minorHAnsi" w:hAnsiTheme="minorHAnsi"/>
          <w:bCs/>
          <w:snapToGrid w:val="0"/>
        </w:rPr>
        <w:t xml:space="preserve">reiterated that </w:t>
      </w:r>
      <w:r w:rsidR="00565095" w:rsidRPr="00463783">
        <w:rPr>
          <w:rFonts w:asciiTheme="minorHAnsi" w:hAnsiTheme="minorHAnsi"/>
          <w:bCs/>
          <w:snapToGrid w:val="0"/>
        </w:rPr>
        <w:t xml:space="preserve">the </w:t>
      </w:r>
      <w:r w:rsidRPr="00463783">
        <w:rPr>
          <w:rFonts w:asciiTheme="minorHAnsi" w:hAnsiTheme="minorHAnsi"/>
          <w:bCs/>
          <w:snapToGrid w:val="0"/>
        </w:rPr>
        <w:t xml:space="preserve">management of TRD is not </w:t>
      </w:r>
      <w:proofErr w:type="gramStart"/>
      <w:r w:rsidRPr="00463783">
        <w:rPr>
          <w:rFonts w:asciiTheme="minorHAnsi" w:hAnsiTheme="minorHAnsi"/>
          <w:bCs/>
          <w:snapToGrid w:val="0"/>
        </w:rPr>
        <w:t>straightforward</w:t>
      </w:r>
      <w:proofErr w:type="gramEnd"/>
      <w:r w:rsidRPr="00463783">
        <w:rPr>
          <w:rFonts w:asciiTheme="minorHAnsi" w:hAnsiTheme="minorHAnsi"/>
          <w:bCs/>
          <w:snapToGrid w:val="0"/>
        </w:rPr>
        <w:t xml:space="preserve"> and a single sequence of treatments cannot be specified</w:t>
      </w:r>
      <w:r w:rsidR="00463783">
        <w:rPr>
          <w:rFonts w:asciiTheme="minorHAnsi" w:hAnsiTheme="minorHAnsi"/>
          <w:bCs/>
          <w:snapToGrid w:val="0"/>
        </w:rPr>
        <w:t xml:space="preserve"> to cover all patients.</w:t>
      </w:r>
      <w:r w:rsidRPr="00463783">
        <w:rPr>
          <w:rFonts w:asciiTheme="minorHAnsi" w:hAnsiTheme="minorHAnsi"/>
          <w:bCs/>
          <w:snapToGrid w:val="0"/>
        </w:rPr>
        <w:t xml:space="preserve"> Further, the clinicians noted the most extensive available evidence for </w:t>
      </w:r>
      <w:proofErr w:type="spellStart"/>
      <w:r w:rsidRPr="00463783">
        <w:rPr>
          <w:rFonts w:asciiTheme="minorHAnsi" w:hAnsiTheme="minorHAnsi"/>
          <w:bCs/>
          <w:snapToGrid w:val="0"/>
        </w:rPr>
        <w:t>esketamine</w:t>
      </w:r>
      <w:proofErr w:type="spellEnd"/>
      <w:r w:rsidRPr="00463783">
        <w:rPr>
          <w:rFonts w:asciiTheme="minorHAnsi" w:hAnsiTheme="minorHAnsi"/>
          <w:bCs/>
          <w:snapToGrid w:val="0"/>
        </w:rPr>
        <w:t xml:space="preserve"> was in the proposed clinical place, i.e. after failure of at least 2 prior OADs </w:t>
      </w:r>
      <w:proofErr w:type="gramStart"/>
      <w:r w:rsidRPr="00463783">
        <w:rPr>
          <w:rFonts w:asciiTheme="minorHAnsi" w:hAnsiTheme="minorHAnsi"/>
          <w:bCs/>
          <w:snapToGrid w:val="0"/>
        </w:rPr>
        <w:t>and also</w:t>
      </w:r>
      <w:proofErr w:type="gramEnd"/>
      <w:r w:rsidRPr="00463783">
        <w:rPr>
          <w:rFonts w:asciiTheme="minorHAnsi" w:hAnsiTheme="minorHAnsi"/>
          <w:bCs/>
          <w:snapToGrid w:val="0"/>
        </w:rPr>
        <w:t xml:space="preserve"> noted current clinical guidelines indicate lifestyle interventions and psychotherapy should also have been offered by this point where feasible.</w:t>
      </w:r>
      <w:r w:rsidR="00F22588">
        <w:rPr>
          <w:rFonts w:asciiTheme="minorHAnsi" w:hAnsiTheme="minorHAnsi"/>
          <w:bCs/>
          <w:snapToGrid w:val="0"/>
        </w:rPr>
        <w:t xml:space="preserve"> </w:t>
      </w:r>
      <w:r w:rsidR="00D00B97" w:rsidRPr="00463783">
        <w:rPr>
          <w:rFonts w:asciiTheme="minorHAnsi" w:hAnsiTheme="minorHAnsi"/>
          <w:bCs/>
          <w:snapToGrid w:val="0"/>
        </w:rPr>
        <w:t>T</w:t>
      </w:r>
      <w:r w:rsidR="00E939F4" w:rsidRPr="00463783">
        <w:rPr>
          <w:rFonts w:asciiTheme="minorHAnsi" w:hAnsiTheme="minorHAnsi"/>
          <w:bCs/>
          <w:snapToGrid w:val="0"/>
        </w:rPr>
        <w:t xml:space="preserve">he clinicians considered that, in their view, the administration requirements of </w:t>
      </w:r>
      <w:proofErr w:type="spellStart"/>
      <w:r w:rsidR="00E939F4" w:rsidRPr="00463783">
        <w:rPr>
          <w:rFonts w:asciiTheme="minorHAnsi" w:hAnsiTheme="minorHAnsi"/>
          <w:bCs/>
          <w:snapToGrid w:val="0"/>
        </w:rPr>
        <w:t>esketamine</w:t>
      </w:r>
      <w:proofErr w:type="spellEnd"/>
      <w:r w:rsidR="00E939F4" w:rsidRPr="00463783">
        <w:rPr>
          <w:rFonts w:asciiTheme="minorHAnsi" w:hAnsiTheme="minorHAnsi"/>
          <w:bCs/>
          <w:snapToGrid w:val="0"/>
        </w:rPr>
        <w:t xml:space="preserve"> would make it unlikely it would enter the treatment algorithm as the </w:t>
      </w:r>
      <w:r w:rsidR="00FA4498" w:rsidRPr="00463783">
        <w:rPr>
          <w:rFonts w:asciiTheme="minorHAnsi" w:hAnsiTheme="minorHAnsi"/>
          <w:bCs/>
          <w:snapToGrid w:val="0"/>
        </w:rPr>
        <w:t>third</w:t>
      </w:r>
      <w:r w:rsidR="00E939F4" w:rsidRPr="00463783">
        <w:rPr>
          <w:rFonts w:asciiTheme="minorHAnsi" w:hAnsiTheme="minorHAnsi"/>
          <w:bCs/>
          <w:snapToGrid w:val="0"/>
        </w:rPr>
        <w:t xml:space="preserve"> pharmacological treatment on every </w:t>
      </w:r>
      <w:proofErr w:type="gramStart"/>
      <w:r w:rsidR="00E939F4" w:rsidRPr="00463783">
        <w:rPr>
          <w:rFonts w:asciiTheme="minorHAnsi" w:hAnsiTheme="minorHAnsi"/>
          <w:bCs/>
          <w:snapToGrid w:val="0"/>
        </w:rPr>
        <w:t>occasion, but</w:t>
      </w:r>
      <w:proofErr w:type="gramEnd"/>
      <w:r w:rsidR="00E939F4" w:rsidRPr="00463783">
        <w:rPr>
          <w:rFonts w:asciiTheme="minorHAnsi" w:hAnsiTheme="minorHAnsi"/>
          <w:bCs/>
          <w:snapToGrid w:val="0"/>
        </w:rPr>
        <w:t xml:space="preserve"> </w:t>
      </w:r>
      <w:r w:rsidR="00D00B97" w:rsidRPr="00463783">
        <w:rPr>
          <w:rFonts w:asciiTheme="minorHAnsi" w:hAnsiTheme="minorHAnsi"/>
          <w:bCs/>
          <w:snapToGrid w:val="0"/>
        </w:rPr>
        <w:t xml:space="preserve">considered </w:t>
      </w:r>
      <w:r w:rsidR="00E939F4" w:rsidRPr="00463783">
        <w:rPr>
          <w:rFonts w:asciiTheme="minorHAnsi" w:hAnsiTheme="minorHAnsi"/>
          <w:bCs/>
          <w:snapToGrid w:val="0"/>
        </w:rPr>
        <w:t xml:space="preserve">that precluding the use of </w:t>
      </w:r>
      <w:proofErr w:type="spellStart"/>
      <w:r w:rsidR="00E939F4" w:rsidRPr="00463783">
        <w:rPr>
          <w:rFonts w:asciiTheme="minorHAnsi" w:hAnsiTheme="minorHAnsi"/>
          <w:bCs/>
          <w:snapToGrid w:val="0"/>
        </w:rPr>
        <w:t>esketamine</w:t>
      </w:r>
      <w:proofErr w:type="spellEnd"/>
      <w:r w:rsidR="00E939F4" w:rsidRPr="00463783">
        <w:rPr>
          <w:rFonts w:asciiTheme="minorHAnsi" w:hAnsiTheme="minorHAnsi"/>
          <w:bCs/>
          <w:snapToGrid w:val="0"/>
        </w:rPr>
        <w:t xml:space="preserve"> in this line of therapy would be inconsistent with the available evidence.</w:t>
      </w:r>
    </w:p>
    <w:bookmarkEnd w:id="20"/>
    <w:p w14:paraId="68ED188F" w14:textId="77777777" w:rsidR="00D30B7F" w:rsidRPr="006E1229" w:rsidRDefault="00D30B7F" w:rsidP="00D30B7F">
      <w:pPr>
        <w:pStyle w:val="3-SubsectionHeading"/>
      </w:pPr>
      <w:r w:rsidRPr="006E1229">
        <w:t>Consumer comments</w:t>
      </w:r>
    </w:p>
    <w:p w14:paraId="222C72F5" w14:textId="621D0046" w:rsidR="00DE75B2" w:rsidRDefault="00D30B7F" w:rsidP="00D30B7F">
      <w:pPr>
        <w:widowControl w:val="0"/>
        <w:numPr>
          <w:ilvl w:val="1"/>
          <w:numId w:val="1"/>
        </w:numPr>
        <w:spacing w:after="120"/>
        <w:rPr>
          <w:rFonts w:asciiTheme="minorHAnsi" w:hAnsiTheme="minorHAnsi"/>
          <w:bCs/>
          <w:snapToGrid w:val="0"/>
        </w:rPr>
      </w:pPr>
      <w:bookmarkStart w:id="21" w:name="_Hlk76382618"/>
      <w:r w:rsidRPr="00836F75">
        <w:rPr>
          <w:rFonts w:asciiTheme="minorHAnsi" w:hAnsiTheme="minorHAnsi"/>
          <w:bCs/>
          <w:snapToGrid w:val="0"/>
        </w:rPr>
        <w:t>The PBAC noted and welcomed the input from individuals (</w:t>
      </w:r>
      <w:r w:rsidR="00DE75B2">
        <w:rPr>
          <w:rFonts w:asciiTheme="minorHAnsi" w:hAnsiTheme="minorHAnsi"/>
          <w:bCs/>
          <w:snapToGrid w:val="0"/>
        </w:rPr>
        <w:t>22</w:t>
      </w:r>
      <w:r w:rsidRPr="00836F75">
        <w:rPr>
          <w:rFonts w:asciiTheme="minorHAnsi" w:hAnsiTheme="minorHAnsi"/>
          <w:bCs/>
          <w:snapToGrid w:val="0"/>
        </w:rPr>
        <w:t>), health care professionals (</w:t>
      </w:r>
      <w:r w:rsidR="00DE75B2">
        <w:rPr>
          <w:rFonts w:asciiTheme="minorHAnsi" w:hAnsiTheme="minorHAnsi"/>
          <w:bCs/>
          <w:snapToGrid w:val="0"/>
        </w:rPr>
        <w:t>10</w:t>
      </w:r>
      <w:r w:rsidRPr="00836F75">
        <w:rPr>
          <w:rFonts w:asciiTheme="minorHAnsi" w:hAnsiTheme="minorHAnsi"/>
          <w:bCs/>
          <w:snapToGrid w:val="0"/>
        </w:rPr>
        <w:t>)</w:t>
      </w:r>
      <w:r w:rsidR="003A4E4D">
        <w:rPr>
          <w:rFonts w:asciiTheme="minorHAnsi" w:hAnsiTheme="minorHAnsi"/>
          <w:bCs/>
          <w:snapToGrid w:val="0"/>
        </w:rPr>
        <w:t xml:space="preserve">, health consumer </w:t>
      </w:r>
      <w:r w:rsidRPr="00836F75">
        <w:rPr>
          <w:rFonts w:asciiTheme="minorHAnsi" w:hAnsiTheme="minorHAnsi"/>
          <w:bCs/>
          <w:snapToGrid w:val="0"/>
        </w:rPr>
        <w:t>organisations (</w:t>
      </w:r>
      <w:r w:rsidR="003A4E4D">
        <w:rPr>
          <w:rFonts w:asciiTheme="minorHAnsi" w:hAnsiTheme="minorHAnsi"/>
          <w:bCs/>
          <w:snapToGrid w:val="0"/>
        </w:rPr>
        <w:t>2</w:t>
      </w:r>
      <w:r w:rsidRPr="00836F75">
        <w:rPr>
          <w:rFonts w:asciiTheme="minorHAnsi" w:hAnsiTheme="minorHAnsi"/>
          <w:bCs/>
          <w:snapToGrid w:val="0"/>
        </w:rPr>
        <w:t xml:space="preserve">) </w:t>
      </w:r>
      <w:r w:rsidR="001960A2">
        <w:rPr>
          <w:rFonts w:asciiTheme="minorHAnsi" w:hAnsiTheme="minorHAnsi"/>
          <w:bCs/>
          <w:snapToGrid w:val="0"/>
        </w:rPr>
        <w:t xml:space="preserve">and </w:t>
      </w:r>
      <w:r w:rsidR="003A4E4D">
        <w:rPr>
          <w:rFonts w:asciiTheme="minorHAnsi" w:hAnsiTheme="minorHAnsi"/>
          <w:bCs/>
          <w:snapToGrid w:val="0"/>
        </w:rPr>
        <w:t xml:space="preserve">a </w:t>
      </w:r>
      <w:r w:rsidR="001960A2">
        <w:rPr>
          <w:rFonts w:asciiTheme="minorHAnsi" w:hAnsiTheme="minorHAnsi"/>
          <w:bCs/>
          <w:snapToGrid w:val="0"/>
        </w:rPr>
        <w:t>medical provider organisation</w:t>
      </w:r>
      <w:r w:rsidR="003306FA">
        <w:rPr>
          <w:rFonts w:asciiTheme="minorHAnsi" w:hAnsiTheme="minorHAnsi"/>
          <w:bCs/>
          <w:snapToGrid w:val="0"/>
        </w:rPr>
        <w:t xml:space="preserve"> </w:t>
      </w:r>
      <w:r w:rsidRPr="00836F75">
        <w:rPr>
          <w:rFonts w:asciiTheme="minorHAnsi" w:hAnsiTheme="minorHAnsi"/>
          <w:bCs/>
          <w:snapToGrid w:val="0"/>
        </w:rPr>
        <w:t xml:space="preserve">via the Consumer Comments facility on the PBS website. </w:t>
      </w:r>
      <w:r w:rsidR="00DE75B2">
        <w:rPr>
          <w:rFonts w:asciiTheme="minorHAnsi" w:hAnsiTheme="minorHAnsi"/>
          <w:bCs/>
          <w:snapToGrid w:val="0"/>
        </w:rPr>
        <w:t>The comments from individuals</w:t>
      </w:r>
      <w:r w:rsidR="00463783">
        <w:rPr>
          <w:rFonts w:asciiTheme="minorHAnsi" w:hAnsiTheme="minorHAnsi"/>
          <w:bCs/>
          <w:snapToGrid w:val="0"/>
        </w:rPr>
        <w:t xml:space="preserve"> </w:t>
      </w:r>
      <w:r w:rsidR="00DE75B2">
        <w:rPr>
          <w:rFonts w:asciiTheme="minorHAnsi" w:hAnsiTheme="minorHAnsi"/>
          <w:bCs/>
          <w:snapToGrid w:val="0"/>
        </w:rPr>
        <w:t xml:space="preserve">described the </w:t>
      </w:r>
      <w:r w:rsidR="006B7FC0">
        <w:rPr>
          <w:rFonts w:asciiTheme="minorHAnsi" w:hAnsiTheme="minorHAnsi"/>
          <w:bCs/>
          <w:snapToGrid w:val="0"/>
        </w:rPr>
        <w:t>feelings of fear, anxiety and hopelessness associated with severe and treatment-resistant depression</w:t>
      </w:r>
      <w:r w:rsidR="00F54944">
        <w:rPr>
          <w:rFonts w:asciiTheme="minorHAnsi" w:hAnsiTheme="minorHAnsi"/>
          <w:bCs/>
          <w:snapToGrid w:val="0"/>
        </w:rPr>
        <w:t xml:space="preserve"> and its broader impact on families,</w:t>
      </w:r>
      <w:r w:rsidR="006B7FC0">
        <w:rPr>
          <w:rFonts w:asciiTheme="minorHAnsi" w:hAnsiTheme="minorHAnsi"/>
          <w:bCs/>
          <w:snapToGrid w:val="0"/>
        </w:rPr>
        <w:t xml:space="preserve"> a</w:t>
      </w:r>
      <w:r w:rsidR="00F54944">
        <w:rPr>
          <w:rFonts w:asciiTheme="minorHAnsi" w:hAnsiTheme="minorHAnsi"/>
          <w:bCs/>
          <w:snapToGrid w:val="0"/>
        </w:rPr>
        <w:t>s well as the</w:t>
      </w:r>
      <w:r w:rsidR="006B7FC0">
        <w:rPr>
          <w:rFonts w:asciiTheme="minorHAnsi" w:hAnsiTheme="minorHAnsi"/>
          <w:bCs/>
          <w:snapToGrid w:val="0"/>
        </w:rPr>
        <w:t xml:space="preserve"> challenges of living with other mental health conditions (such as bipolar disorder and post-traumatic stress disorder (PTSD)); and how access to </w:t>
      </w:r>
      <w:proofErr w:type="spellStart"/>
      <w:r w:rsidR="006B7FC0">
        <w:rPr>
          <w:rFonts w:asciiTheme="minorHAnsi" w:hAnsiTheme="minorHAnsi"/>
          <w:bCs/>
          <w:snapToGrid w:val="0"/>
        </w:rPr>
        <w:t>esketamine</w:t>
      </w:r>
      <w:proofErr w:type="spellEnd"/>
      <w:r w:rsidR="00A838FA">
        <w:rPr>
          <w:rFonts w:asciiTheme="minorHAnsi" w:hAnsiTheme="minorHAnsi"/>
          <w:bCs/>
          <w:snapToGrid w:val="0"/>
        </w:rPr>
        <w:t xml:space="preserve"> and ketamine</w:t>
      </w:r>
      <w:r w:rsidR="006B7FC0">
        <w:rPr>
          <w:rFonts w:asciiTheme="minorHAnsi" w:hAnsiTheme="minorHAnsi"/>
          <w:bCs/>
          <w:snapToGrid w:val="0"/>
        </w:rPr>
        <w:t xml:space="preserve"> treatment has been transformative by relievin</w:t>
      </w:r>
      <w:r w:rsidR="00B878C8">
        <w:rPr>
          <w:rFonts w:asciiTheme="minorHAnsi" w:hAnsiTheme="minorHAnsi"/>
          <w:bCs/>
          <w:snapToGrid w:val="0"/>
        </w:rPr>
        <w:t xml:space="preserve">g the otherwise constant </w:t>
      </w:r>
      <w:r w:rsidR="00F54944">
        <w:rPr>
          <w:rFonts w:asciiTheme="minorHAnsi" w:hAnsiTheme="minorHAnsi"/>
          <w:bCs/>
          <w:snapToGrid w:val="0"/>
        </w:rPr>
        <w:t>symptoms of depression</w:t>
      </w:r>
      <w:r w:rsidR="00B878C8">
        <w:rPr>
          <w:rFonts w:asciiTheme="minorHAnsi" w:hAnsiTheme="minorHAnsi"/>
          <w:bCs/>
          <w:snapToGrid w:val="0"/>
        </w:rPr>
        <w:t xml:space="preserve">. Patients described different ways in which </w:t>
      </w:r>
      <w:proofErr w:type="spellStart"/>
      <w:r w:rsidR="00B878C8">
        <w:rPr>
          <w:rFonts w:asciiTheme="minorHAnsi" w:hAnsiTheme="minorHAnsi"/>
          <w:bCs/>
          <w:snapToGrid w:val="0"/>
        </w:rPr>
        <w:t>esketamine</w:t>
      </w:r>
      <w:proofErr w:type="spellEnd"/>
      <w:r w:rsidR="00A838FA">
        <w:rPr>
          <w:rFonts w:asciiTheme="minorHAnsi" w:hAnsiTheme="minorHAnsi"/>
          <w:bCs/>
          <w:snapToGrid w:val="0"/>
        </w:rPr>
        <w:t xml:space="preserve"> and ketamine</w:t>
      </w:r>
      <w:r w:rsidR="00B878C8">
        <w:rPr>
          <w:rFonts w:asciiTheme="minorHAnsi" w:hAnsiTheme="minorHAnsi"/>
          <w:bCs/>
          <w:snapToGrid w:val="0"/>
        </w:rPr>
        <w:t xml:space="preserve"> treatment improved their symptoms – some described the dissociative effects immediately post-administration as being released from negative thoughts, followed by improved emotional and functional capacity in following days; others described the benefits of </w:t>
      </w:r>
      <w:proofErr w:type="spellStart"/>
      <w:r w:rsidR="00B878C8">
        <w:rPr>
          <w:rFonts w:asciiTheme="minorHAnsi" w:hAnsiTheme="minorHAnsi"/>
          <w:bCs/>
          <w:snapToGrid w:val="0"/>
        </w:rPr>
        <w:t>esketamine</w:t>
      </w:r>
      <w:proofErr w:type="spellEnd"/>
      <w:r w:rsidR="00A838FA">
        <w:rPr>
          <w:rFonts w:asciiTheme="minorHAnsi" w:hAnsiTheme="minorHAnsi"/>
          <w:bCs/>
          <w:snapToGrid w:val="0"/>
        </w:rPr>
        <w:t xml:space="preserve"> and ketamine</w:t>
      </w:r>
      <w:r w:rsidR="00B878C8">
        <w:rPr>
          <w:rFonts w:asciiTheme="minorHAnsi" w:hAnsiTheme="minorHAnsi"/>
          <w:bCs/>
          <w:snapToGrid w:val="0"/>
        </w:rPr>
        <w:t xml:space="preserve"> treatment as being realised the day after administration, when </w:t>
      </w:r>
      <w:r w:rsidR="00C77B91">
        <w:rPr>
          <w:rFonts w:asciiTheme="minorHAnsi" w:hAnsiTheme="minorHAnsi"/>
          <w:bCs/>
          <w:snapToGrid w:val="0"/>
        </w:rPr>
        <w:t>they experienced</w:t>
      </w:r>
      <w:r w:rsidR="00B878C8">
        <w:rPr>
          <w:rFonts w:asciiTheme="minorHAnsi" w:hAnsiTheme="minorHAnsi"/>
          <w:bCs/>
          <w:snapToGrid w:val="0"/>
        </w:rPr>
        <w:t xml:space="preserve"> </w:t>
      </w:r>
      <w:r w:rsidR="00C77B91">
        <w:rPr>
          <w:rFonts w:asciiTheme="minorHAnsi" w:hAnsiTheme="minorHAnsi"/>
          <w:bCs/>
          <w:snapToGrid w:val="0"/>
        </w:rPr>
        <w:t xml:space="preserve">a </w:t>
      </w:r>
      <w:r w:rsidR="00B878C8">
        <w:rPr>
          <w:rFonts w:asciiTheme="minorHAnsi" w:hAnsiTheme="minorHAnsi"/>
          <w:bCs/>
          <w:snapToGrid w:val="0"/>
        </w:rPr>
        <w:t xml:space="preserve">marked reduction in anxiety, uplift in thoughts and feelings and improved ability to function. </w:t>
      </w:r>
    </w:p>
    <w:p w14:paraId="6AD42626" w14:textId="44A36CE3" w:rsidR="00D30B7F" w:rsidRPr="00836F75" w:rsidRDefault="00D30B7F" w:rsidP="00D30B7F">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comments </w:t>
      </w:r>
      <w:r w:rsidR="00682C8B">
        <w:rPr>
          <w:rFonts w:asciiTheme="minorHAnsi" w:hAnsiTheme="minorHAnsi"/>
          <w:bCs/>
          <w:snapToGrid w:val="0"/>
        </w:rPr>
        <w:t>from clinicians</w:t>
      </w:r>
      <w:r w:rsidR="00742E50">
        <w:rPr>
          <w:rFonts w:asciiTheme="minorHAnsi" w:hAnsiTheme="minorHAnsi"/>
          <w:bCs/>
          <w:snapToGrid w:val="0"/>
        </w:rPr>
        <w:t xml:space="preserve"> involved in administering </w:t>
      </w:r>
      <w:proofErr w:type="spellStart"/>
      <w:r w:rsidR="00742E50">
        <w:rPr>
          <w:rFonts w:asciiTheme="minorHAnsi" w:hAnsiTheme="minorHAnsi"/>
          <w:bCs/>
          <w:snapToGrid w:val="0"/>
        </w:rPr>
        <w:t>esketamine</w:t>
      </w:r>
      <w:proofErr w:type="spellEnd"/>
      <w:r w:rsidR="00682C8B">
        <w:rPr>
          <w:rFonts w:asciiTheme="minorHAnsi" w:hAnsiTheme="minorHAnsi"/>
          <w:bCs/>
          <w:snapToGrid w:val="0"/>
        </w:rPr>
        <w:t xml:space="preserve"> </w:t>
      </w:r>
      <w:r w:rsidR="00A838FA">
        <w:rPr>
          <w:rFonts w:asciiTheme="minorHAnsi" w:hAnsiTheme="minorHAnsi"/>
          <w:bCs/>
          <w:snapToGrid w:val="0"/>
        </w:rPr>
        <w:t xml:space="preserve">and ketamine </w:t>
      </w:r>
      <w:r w:rsidR="00742E50">
        <w:rPr>
          <w:rFonts w:asciiTheme="minorHAnsi" w:hAnsiTheme="minorHAnsi"/>
          <w:bCs/>
          <w:snapToGrid w:val="0"/>
        </w:rPr>
        <w:lastRenderedPageBreak/>
        <w:t xml:space="preserve">described the improvements observed in treated patients, as well as the challenges in providing </w:t>
      </w:r>
      <w:r w:rsidR="000C3647">
        <w:rPr>
          <w:rFonts w:asciiTheme="minorHAnsi" w:hAnsiTheme="minorHAnsi"/>
          <w:bCs/>
          <w:snapToGrid w:val="0"/>
        </w:rPr>
        <w:t xml:space="preserve">physical interventions indicated in later-line use in TRD, such as </w:t>
      </w:r>
      <w:proofErr w:type="spellStart"/>
      <w:r w:rsidR="000C3647">
        <w:rPr>
          <w:rFonts w:asciiTheme="minorHAnsi" w:hAnsiTheme="minorHAnsi"/>
          <w:bCs/>
          <w:snapToGrid w:val="0"/>
        </w:rPr>
        <w:t>rTMS</w:t>
      </w:r>
      <w:proofErr w:type="spellEnd"/>
      <w:r w:rsidR="000C3647">
        <w:rPr>
          <w:rFonts w:asciiTheme="minorHAnsi" w:hAnsiTheme="minorHAnsi"/>
          <w:bCs/>
          <w:snapToGrid w:val="0"/>
        </w:rPr>
        <w:t xml:space="preserve">. The comments from clinicians also highlighted </w:t>
      </w:r>
      <w:r w:rsidR="00297909">
        <w:rPr>
          <w:rFonts w:asciiTheme="minorHAnsi" w:hAnsiTheme="minorHAnsi"/>
          <w:bCs/>
          <w:snapToGrid w:val="0"/>
        </w:rPr>
        <w:t xml:space="preserve">that </w:t>
      </w:r>
      <w:r w:rsidR="000C3647">
        <w:rPr>
          <w:rFonts w:asciiTheme="minorHAnsi" w:hAnsiTheme="minorHAnsi"/>
          <w:bCs/>
          <w:snapToGrid w:val="0"/>
        </w:rPr>
        <w:t xml:space="preserve">some patients experience unwanted effects which require </w:t>
      </w:r>
      <w:proofErr w:type="gramStart"/>
      <w:r w:rsidR="000C3647">
        <w:rPr>
          <w:rFonts w:asciiTheme="minorHAnsi" w:hAnsiTheme="minorHAnsi"/>
          <w:bCs/>
          <w:snapToGrid w:val="0"/>
        </w:rPr>
        <w:t>management, and</w:t>
      </w:r>
      <w:proofErr w:type="gramEnd"/>
      <w:r w:rsidR="002F458E">
        <w:rPr>
          <w:rFonts w:asciiTheme="minorHAnsi" w:hAnsiTheme="minorHAnsi"/>
          <w:bCs/>
          <w:snapToGrid w:val="0"/>
        </w:rPr>
        <w:t xml:space="preserve"> stressed </w:t>
      </w:r>
      <w:r w:rsidR="000C3647">
        <w:rPr>
          <w:rFonts w:asciiTheme="minorHAnsi" w:hAnsiTheme="minorHAnsi"/>
          <w:bCs/>
          <w:snapToGrid w:val="0"/>
        </w:rPr>
        <w:t xml:space="preserve">the need for effective controls on </w:t>
      </w:r>
      <w:proofErr w:type="spellStart"/>
      <w:r w:rsidR="000C3647">
        <w:rPr>
          <w:rFonts w:asciiTheme="minorHAnsi" w:hAnsiTheme="minorHAnsi"/>
          <w:bCs/>
          <w:snapToGrid w:val="0"/>
        </w:rPr>
        <w:t>esketamine</w:t>
      </w:r>
      <w:proofErr w:type="spellEnd"/>
      <w:r w:rsidR="000C3647">
        <w:rPr>
          <w:rFonts w:asciiTheme="minorHAnsi" w:hAnsiTheme="minorHAnsi"/>
          <w:bCs/>
          <w:snapToGrid w:val="0"/>
        </w:rPr>
        <w:t xml:space="preserve"> </w:t>
      </w:r>
      <w:r w:rsidR="00A838FA">
        <w:rPr>
          <w:rFonts w:asciiTheme="minorHAnsi" w:hAnsiTheme="minorHAnsi"/>
          <w:bCs/>
          <w:snapToGrid w:val="0"/>
        </w:rPr>
        <w:t xml:space="preserve">and ketamine </w:t>
      </w:r>
      <w:r w:rsidR="000C3647">
        <w:rPr>
          <w:rFonts w:asciiTheme="minorHAnsi" w:hAnsiTheme="minorHAnsi"/>
          <w:bCs/>
          <w:snapToGrid w:val="0"/>
        </w:rPr>
        <w:t xml:space="preserve">due to the risk of misuse and diversion. The clinician comments also highlighted the emerging evidence and ongoing clinical trials for racemic ketamine in </w:t>
      </w:r>
      <w:proofErr w:type="gramStart"/>
      <w:r w:rsidR="000C3647">
        <w:rPr>
          <w:rFonts w:asciiTheme="minorHAnsi" w:hAnsiTheme="minorHAnsi"/>
          <w:bCs/>
          <w:snapToGrid w:val="0"/>
        </w:rPr>
        <w:t>TRD, and</w:t>
      </w:r>
      <w:proofErr w:type="gramEnd"/>
      <w:r w:rsidR="000C3647">
        <w:rPr>
          <w:rFonts w:asciiTheme="minorHAnsi" w:hAnsiTheme="minorHAnsi"/>
          <w:bCs/>
          <w:snapToGrid w:val="0"/>
        </w:rPr>
        <w:t xml:space="preserve"> noted that racemic ketamine is likely to be substantially less costly than </w:t>
      </w:r>
      <w:proofErr w:type="spellStart"/>
      <w:r w:rsidR="000C3647">
        <w:rPr>
          <w:rFonts w:asciiTheme="minorHAnsi" w:hAnsiTheme="minorHAnsi"/>
          <w:bCs/>
          <w:snapToGrid w:val="0"/>
        </w:rPr>
        <w:t>esketamine</w:t>
      </w:r>
      <w:proofErr w:type="spellEnd"/>
      <w:r w:rsidR="000C3647">
        <w:rPr>
          <w:rFonts w:asciiTheme="minorHAnsi" w:hAnsiTheme="minorHAnsi"/>
          <w:bCs/>
          <w:snapToGrid w:val="0"/>
        </w:rPr>
        <w:t>.</w:t>
      </w:r>
    </w:p>
    <w:p w14:paraId="67C877D6" w14:textId="52E23D43" w:rsidR="00D30B7F" w:rsidRDefault="00260863" w:rsidP="00D30B7F">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comments from the Mental Illness Fellowship of Australia highlighted the rapid response observed with </w:t>
      </w:r>
      <w:proofErr w:type="spellStart"/>
      <w:r>
        <w:rPr>
          <w:rFonts w:asciiTheme="minorHAnsi" w:hAnsiTheme="minorHAnsi"/>
          <w:bCs/>
          <w:snapToGrid w:val="0"/>
        </w:rPr>
        <w:t>esketamine</w:t>
      </w:r>
      <w:proofErr w:type="spellEnd"/>
      <w:r>
        <w:rPr>
          <w:rFonts w:asciiTheme="minorHAnsi" w:hAnsiTheme="minorHAnsi"/>
          <w:bCs/>
          <w:snapToGrid w:val="0"/>
        </w:rPr>
        <w:t xml:space="preserve"> in clinical trials and described the administration requirements of </w:t>
      </w:r>
      <w:proofErr w:type="spellStart"/>
      <w:r>
        <w:rPr>
          <w:rFonts w:asciiTheme="minorHAnsi" w:hAnsiTheme="minorHAnsi"/>
          <w:bCs/>
          <w:snapToGrid w:val="0"/>
        </w:rPr>
        <w:t>esketamine</w:t>
      </w:r>
      <w:proofErr w:type="spellEnd"/>
      <w:r>
        <w:rPr>
          <w:rFonts w:asciiTheme="minorHAnsi" w:hAnsiTheme="minorHAnsi"/>
          <w:bCs/>
          <w:snapToGrid w:val="0"/>
        </w:rPr>
        <w:t xml:space="preserve">, being in the presence of a health care professional, as beneficial, compared to current treatment options where compliance to therapy may be problematic. </w:t>
      </w:r>
      <w:r w:rsidR="00041E3C">
        <w:rPr>
          <w:rFonts w:asciiTheme="minorHAnsi" w:hAnsiTheme="minorHAnsi"/>
          <w:bCs/>
          <w:snapToGrid w:val="0"/>
        </w:rPr>
        <w:t xml:space="preserve">The comments from Lived Experience Australia included two patient </w:t>
      </w:r>
      <w:proofErr w:type="gramStart"/>
      <w:r w:rsidR="00041E3C">
        <w:rPr>
          <w:rFonts w:asciiTheme="minorHAnsi" w:hAnsiTheme="minorHAnsi"/>
          <w:bCs/>
          <w:snapToGrid w:val="0"/>
        </w:rPr>
        <w:t>stories, and</w:t>
      </w:r>
      <w:proofErr w:type="gramEnd"/>
      <w:r w:rsidR="00041E3C">
        <w:rPr>
          <w:rFonts w:asciiTheme="minorHAnsi" w:hAnsiTheme="minorHAnsi"/>
          <w:bCs/>
          <w:snapToGrid w:val="0"/>
        </w:rPr>
        <w:t xml:space="preserve"> discu</w:t>
      </w:r>
      <w:r w:rsidR="00083EFB">
        <w:rPr>
          <w:rFonts w:asciiTheme="minorHAnsi" w:hAnsiTheme="minorHAnsi"/>
          <w:bCs/>
          <w:snapToGrid w:val="0"/>
        </w:rPr>
        <w:t xml:space="preserve">ssed many of the themes shared by patients with TRD, including despair and hopelessness, as well as highlighting the difficulties patients with TRD face in maintaining employment, study, social relationships and the stigma of their condition. The comments also outlined </w:t>
      </w:r>
      <w:proofErr w:type="gramStart"/>
      <w:r w:rsidR="00083EFB">
        <w:rPr>
          <w:rFonts w:asciiTheme="minorHAnsi" w:hAnsiTheme="minorHAnsi"/>
          <w:bCs/>
          <w:snapToGrid w:val="0"/>
        </w:rPr>
        <w:t>that behavioural treatments</w:t>
      </w:r>
      <w:proofErr w:type="gramEnd"/>
      <w:r w:rsidR="00083EFB">
        <w:rPr>
          <w:rFonts w:asciiTheme="minorHAnsi" w:hAnsiTheme="minorHAnsi"/>
          <w:bCs/>
          <w:snapToGrid w:val="0"/>
        </w:rPr>
        <w:t xml:space="preserve"> such as cognitive behavioural therapy are often suggested, however significant issues accessing and affording psychiatric services make psychotherapy interventions infeasible for many patients</w:t>
      </w:r>
      <w:r w:rsidR="001E18E2">
        <w:rPr>
          <w:rFonts w:asciiTheme="minorHAnsi" w:hAnsiTheme="minorHAnsi"/>
          <w:bCs/>
          <w:snapToGrid w:val="0"/>
        </w:rPr>
        <w:t xml:space="preserve">. It was </w:t>
      </w:r>
      <w:r w:rsidR="00083EFB">
        <w:rPr>
          <w:rFonts w:asciiTheme="minorHAnsi" w:hAnsiTheme="minorHAnsi"/>
          <w:bCs/>
          <w:snapToGrid w:val="0"/>
        </w:rPr>
        <w:t xml:space="preserve">stated that it was important to have options like </w:t>
      </w:r>
      <w:proofErr w:type="spellStart"/>
      <w:r w:rsidR="00083EFB">
        <w:rPr>
          <w:rFonts w:asciiTheme="minorHAnsi" w:hAnsiTheme="minorHAnsi"/>
          <w:bCs/>
          <w:snapToGrid w:val="0"/>
        </w:rPr>
        <w:t>esketamine</w:t>
      </w:r>
      <w:proofErr w:type="spellEnd"/>
      <w:r w:rsidR="00083EFB">
        <w:rPr>
          <w:rFonts w:asciiTheme="minorHAnsi" w:hAnsiTheme="minorHAnsi"/>
          <w:bCs/>
          <w:snapToGrid w:val="0"/>
        </w:rPr>
        <w:t xml:space="preserve"> available early in a person’s journey of seeking treatments to avoid prolonged treatment cycling and poor outcomes.</w:t>
      </w:r>
      <w:r w:rsidR="00013348" w:rsidRPr="00013348">
        <w:rPr>
          <w:rFonts w:asciiTheme="minorHAnsi" w:hAnsiTheme="minorHAnsi"/>
          <w:bCs/>
          <w:snapToGrid w:val="0"/>
        </w:rPr>
        <w:t xml:space="preserve"> </w:t>
      </w:r>
      <w:r w:rsidR="00013348">
        <w:rPr>
          <w:rFonts w:asciiTheme="minorHAnsi" w:hAnsiTheme="minorHAnsi"/>
          <w:bCs/>
          <w:snapToGrid w:val="0"/>
        </w:rPr>
        <w:t xml:space="preserve">The comments from the Solis Health and </w:t>
      </w:r>
      <w:proofErr w:type="spellStart"/>
      <w:r w:rsidR="00013348">
        <w:rPr>
          <w:rFonts w:asciiTheme="minorHAnsi" w:hAnsiTheme="minorHAnsi"/>
          <w:bCs/>
          <w:snapToGrid w:val="0"/>
        </w:rPr>
        <w:t>Samy</w:t>
      </w:r>
      <w:proofErr w:type="spellEnd"/>
      <w:r w:rsidR="00013348">
        <w:rPr>
          <w:rFonts w:asciiTheme="minorHAnsi" w:hAnsiTheme="minorHAnsi"/>
          <w:bCs/>
          <w:snapToGrid w:val="0"/>
        </w:rPr>
        <w:t xml:space="preserve"> Medical Group (a medical provider organisation) stated that restricting prescribing to psychiatrists would create issues due to accessibility and affordability.</w:t>
      </w:r>
    </w:p>
    <w:bookmarkEnd w:id="18"/>
    <w:bookmarkEnd w:id="21"/>
    <w:p w14:paraId="609C0765" w14:textId="7021200D" w:rsidR="00B60939" w:rsidRPr="00C9624D" w:rsidRDefault="00B60939" w:rsidP="002E4F02">
      <w:pPr>
        <w:pStyle w:val="3-SubsectionHeading"/>
      </w:pPr>
      <w:r w:rsidRPr="00C9624D">
        <w:t xml:space="preserve">Clinical </w:t>
      </w:r>
      <w:r w:rsidR="00D5243B">
        <w:t>studies</w:t>
      </w:r>
      <w:bookmarkEnd w:id="17"/>
      <w:bookmarkEnd w:id="19"/>
    </w:p>
    <w:p w14:paraId="17DE34DC" w14:textId="1CA6E05D" w:rsidR="007F1017" w:rsidRPr="00D60B48" w:rsidRDefault="00571D50" w:rsidP="00571D50">
      <w:pPr>
        <w:pStyle w:val="ExecSumBodyText"/>
        <w:rPr>
          <w:snapToGrid/>
        </w:rPr>
      </w:pPr>
      <w:r w:rsidRPr="00571D50">
        <w:rPr>
          <w:snapToGrid/>
        </w:rPr>
        <w:t xml:space="preserve">The </w:t>
      </w:r>
      <w:r w:rsidRPr="00D60B48">
        <w:rPr>
          <w:snapToGrid/>
        </w:rPr>
        <w:t>re</w:t>
      </w:r>
      <w:r w:rsidRPr="00571D50">
        <w:rPr>
          <w:snapToGrid/>
        </w:rPr>
        <w:t xml:space="preserve">submission was based on three short-term (induction), double blind, randomised controlled trials (RCTs) (TRANSFORM-1, TRANSFORM-2 and TRANSFORM-3) and three long-term studies (SUSTAIN-1, SUSTAIN-2 and SUSTAIN-3), comparing </w:t>
      </w:r>
      <w:proofErr w:type="spellStart"/>
      <w:r w:rsidRPr="00571D50">
        <w:rPr>
          <w:snapToGrid/>
        </w:rPr>
        <w:t>esketamine</w:t>
      </w:r>
      <w:proofErr w:type="spellEnd"/>
      <w:r w:rsidRPr="00571D50">
        <w:rPr>
          <w:snapToGrid/>
        </w:rPr>
        <w:t xml:space="preserve"> nasal spray with a newly initiated </w:t>
      </w:r>
      <w:r w:rsidR="00C50DC8">
        <w:rPr>
          <w:snapToGrid/>
        </w:rPr>
        <w:t>OAD</w:t>
      </w:r>
      <w:r w:rsidRPr="00571D50">
        <w:rPr>
          <w:snapToGrid/>
        </w:rPr>
        <w:t xml:space="preserve"> with intranasal placebo with a newly initiated </w:t>
      </w:r>
      <w:r w:rsidR="00C50DC8">
        <w:rPr>
          <w:snapToGrid/>
        </w:rPr>
        <w:t>OAD</w:t>
      </w:r>
      <w:r w:rsidRPr="00D60B48">
        <w:rPr>
          <w:snapToGrid/>
        </w:rPr>
        <w:t>.</w:t>
      </w:r>
      <w:r w:rsidRPr="00571D50">
        <w:rPr>
          <w:snapToGrid/>
        </w:rPr>
        <w:t xml:space="preserve"> </w:t>
      </w:r>
      <w:proofErr w:type="gramStart"/>
      <w:r w:rsidRPr="00D60B48">
        <w:rPr>
          <w:snapToGrid/>
        </w:rPr>
        <w:t>All of</w:t>
      </w:r>
      <w:proofErr w:type="gramEnd"/>
      <w:r w:rsidRPr="00D60B48">
        <w:rPr>
          <w:snapToGrid/>
        </w:rPr>
        <w:t xml:space="preserve"> these studies have previously been seen by the PBAC.</w:t>
      </w:r>
    </w:p>
    <w:p w14:paraId="2B59ABAC" w14:textId="4C80A908" w:rsidR="006A7F62" w:rsidRDefault="00A73134" w:rsidP="002E4F02">
      <w:pPr>
        <w:pStyle w:val="ExecSumBodyText"/>
        <w:rPr>
          <w:snapToGrid/>
        </w:rPr>
      </w:pPr>
      <w:r w:rsidRPr="00D60B48">
        <w:rPr>
          <w:snapToGrid/>
        </w:rPr>
        <w:t xml:space="preserve">Details of the </w:t>
      </w:r>
      <w:r w:rsidR="00C36B05" w:rsidRPr="00D60B48">
        <w:rPr>
          <w:snapToGrid/>
        </w:rPr>
        <w:t>studies</w:t>
      </w:r>
      <w:r w:rsidRPr="00D60B48">
        <w:rPr>
          <w:snapToGrid/>
        </w:rPr>
        <w:t xml:space="preserve"> presented in the </w:t>
      </w:r>
      <w:r w:rsidR="0058128D" w:rsidRPr="00D60B48">
        <w:rPr>
          <w:snapToGrid/>
        </w:rPr>
        <w:t>re</w:t>
      </w:r>
      <w:r w:rsidRPr="00D60B48">
        <w:rPr>
          <w:snapToGrid/>
        </w:rPr>
        <w:t>submission are provided in the table below.</w:t>
      </w:r>
    </w:p>
    <w:p w14:paraId="7EE176D6" w14:textId="77777777" w:rsidR="006A7F62" w:rsidRDefault="006A7F62">
      <w:pPr>
        <w:jc w:val="left"/>
        <w:rPr>
          <w:rFonts w:asciiTheme="minorHAnsi" w:hAnsiTheme="minorHAnsi"/>
        </w:rPr>
      </w:pPr>
      <w:r>
        <w:br w:type="page"/>
      </w:r>
    </w:p>
    <w:p w14:paraId="7DE3A286" w14:textId="64040C56" w:rsidR="008E0D3C" w:rsidRPr="00D60B48" w:rsidRDefault="008E0D3C" w:rsidP="00DB2E4E">
      <w:pPr>
        <w:pStyle w:val="Caption"/>
      </w:pPr>
      <w:r w:rsidRPr="00D60B48">
        <w:lastRenderedPageBreak/>
        <w:t xml:space="preserve">Table </w:t>
      </w:r>
      <w:r w:rsidR="002030D0">
        <w:fldChar w:fldCharType="begin"/>
      </w:r>
      <w:r w:rsidR="002030D0">
        <w:instrText xml:space="preserve"> SEQ Table \* ARABIC </w:instrText>
      </w:r>
      <w:r w:rsidR="002030D0">
        <w:fldChar w:fldCharType="separate"/>
      </w:r>
      <w:r w:rsidR="008E3D7A">
        <w:rPr>
          <w:noProof/>
        </w:rPr>
        <w:t>3</w:t>
      </w:r>
      <w:r w:rsidR="002030D0">
        <w:rPr>
          <w:noProof/>
        </w:rPr>
        <w:fldChar w:fldCharType="end"/>
      </w:r>
      <w:r w:rsidRPr="00D60B48">
        <w:t>:</w:t>
      </w:r>
      <w:r w:rsidR="00BC591F" w:rsidRPr="00D60B48">
        <w:t xml:space="preserve"> </w:t>
      </w:r>
      <w:r w:rsidR="0058128D" w:rsidRPr="00D60B48">
        <w:t>Studies</w:t>
      </w:r>
      <w:r w:rsidRPr="00D60B48">
        <w:t xml:space="preserve"> and associated reports presented in the </w:t>
      </w:r>
      <w:r w:rsidR="0058128D" w:rsidRPr="00D60B48">
        <w:t>re</w:t>
      </w:r>
      <w:r w:rsidRPr="00D60B48">
        <w:t>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571D50" w:rsidRPr="002530A2" w14:paraId="5DC4FD97" w14:textId="77777777" w:rsidTr="00A65564">
        <w:trPr>
          <w:tblHeader/>
        </w:trPr>
        <w:tc>
          <w:tcPr>
            <w:tcW w:w="796" w:type="pct"/>
            <w:vAlign w:val="center"/>
          </w:tcPr>
          <w:p w14:paraId="436FBA61" w14:textId="77777777" w:rsidR="00571D50" w:rsidRPr="002530A2" w:rsidRDefault="00571D50" w:rsidP="00A65564">
            <w:pPr>
              <w:pStyle w:val="Tableheadingrow"/>
              <w:rPr>
                <w:lang w:val="en-AU"/>
              </w:rPr>
            </w:pPr>
            <w:r w:rsidRPr="002530A2">
              <w:rPr>
                <w:lang w:val="en-AU"/>
              </w:rPr>
              <w:t>Trial ID</w:t>
            </w:r>
          </w:p>
        </w:tc>
        <w:tc>
          <w:tcPr>
            <w:tcW w:w="3027" w:type="pct"/>
            <w:vAlign w:val="center"/>
          </w:tcPr>
          <w:p w14:paraId="304DF0F5" w14:textId="77777777" w:rsidR="00571D50" w:rsidRPr="002530A2" w:rsidRDefault="00571D50" w:rsidP="00A65564">
            <w:pPr>
              <w:pStyle w:val="Tableheadingrow"/>
              <w:rPr>
                <w:lang w:val="en-AU"/>
              </w:rPr>
            </w:pPr>
            <w:r w:rsidRPr="002530A2">
              <w:rPr>
                <w:lang w:val="en-AU"/>
              </w:rPr>
              <w:t>Protocol title/ Publication title</w:t>
            </w:r>
          </w:p>
        </w:tc>
        <w:tc>
          <w:tcPr>
            <w:tcW w:w="1177" w:type="pct"/>
            <w:vAlign w:val="center"/>
          </w:tcPr>
          <w:p w14:paraId="3921B90D" w14:textId="77777777" w:rsidR="00571D50" w:rsidRPr="002530A2" w:rsidRDefault="00571D50" w:rsidP="00A65564">
            <w:pPr>
              <w:pStyle w:val="Tableheadingrow"/>
              <w:rPr>
                <w:lang w:val="en-AU"/>
              </w:rPr>
            </w:pPr>
            <w:r w:rsidRPr="002530A2">
              <w:rPr>
                <w:lang w:val="en-AU"/>
              </w:rPr>
              <w:t>Publication citation</w:t>
            </w:r>
          </w:p>
        </w:tc>
      </w:tr>
      <w:tr w:rsidR="00571D50" w:rsidRPr="002530A2" w14:paraId="0C7EEEB5" w14:textId="77777777" w:rsidTr="00A65564">
        <w:tc>
          <w:tcPr>
            <w:tcW w:w="796" w:type="pct"/>
            <w:vMerge w:val="restart"/>
            <w:vAlign w:val="center"/>
          </w:tcPr>
          <w:p w14:paraId="694169D6" w14:textId="77777777" w:rsidR="00571D50" w:rsidRPr="002530A2" w:rsidRDefault="00571D50" w:rsidP="00A65564">
            <w:pPr>
              <w:pStyle w:val="TableText"/>
            </w:pPr>
            <w:r w:rsidRPr="002530A2">
              <w:t>TRANSFORM-2 (</w:t>
            </w:r>
            <w:r w:rsidRPr="002530A2">
              <w:rPr>
                <w:szCs w:val="18"/>
              </w:rPr>
              <w:t>NCT02418585)</w:t>
            </w:r>
          </w:p>
        </w:tc>
        <w:tc>
          <w:tcPr>
            <w:tcW w:w="3027" w:type="pct"/>
            <w:tcBorders>
              <w:bottom w:val="single" w:sz="4" w:space="0" w:color="auto"/>
            </w:tcBorders>
            <w:vAlign w:val="center"/>
          </w:tcPr>
          <w:p w14:paraId="0D862ABC" w14:textId="79EB3A1E" w:rsidR="00571D50" w:rsidRPr="002530A2" w:rsidRDefault="00571D50" w:rsidP="00A65564">
            <w:pPr>
              <w:pStyle w:val="TableText"/>
              <w:rPr>
                <w:szCs w:val="18"/>
              </w:rPr>
            </w:pPr>
            <w:r w:rsidRPr="002530A2">
              <w:rPr>
                <w:szCs w:val="18"/>
              </w:rPr>
              <w:t xml:space="preserve">A Randomized, Double-blind, </w:t>
            </w:r>
            <w:proofErr w:type="spellStart"/>
            <w:r w:rsidRPr="002530A2">
              <w:rPr>
                <w:szCs w:val="18"/>
              </w:rPr>
              <w:t>Multicenter</w:t>
            </w:r>
            <w:proofErr w:type="spellEnd"/>
            <w:r w:rsidRPr="002530A2">
              <w:rPr>
                <w:szCs w:val="18"/>
              </w:rPr>
              <w:t xml:space="preserve">, Active-controlled Study to Evaluate the Efficacy, Safety, and Tolerability of Flexible Doses of Intranasal </w:t>
            </w:r>
            <w:proofErr w:type="spellStart"/>
            <w:r w:rsidR="00EA3799">
              <w:rPr>
                <w:szCs w:val="18"/>
              </w:rPr>
              <w:t>E</w:t>
            </w:r>
            <w:r w:rsidR="00D46C2D">
              <w:rPr>
                <w:szCs w:val="18"/>
              </w:rPr>
              <w:t>sketamine</w:t>
            </w:r>
            <w:proofErr w:type="spellEnd"/>
            <w:r w:rsidR="00D46C2D">
              <w:rPr>
                <w:szCs w:val="18"/>
              </w:rPr>
              <w:t xml:space="preserve"> P</w:t>
            </w:r>
            <w:r w:rsidRPr="002530A2">
              <w:rPr>
                <w:szCs w:val="18"/>
              </w:rPr>
              <w:t>lus an Oral Antidepressant in Adult Subjects with Treatment-resistant Depression (TRANSFORM-2)</w:t>
            </w:r>
          </w:p>
        </w:tc>
        <w:tc>
          <w:tcPr>
            <w:tcW w:w="1177" w:type="pct"/>
            <w:tcBorders>
              <w:bottom w:val="single" w:sz="4" w:space="0" w:color="auto"/>
            </w:tcBorders>
            <w:vAlign w:val="center"/>
          </w:tcPr>
          <w:p w14:paraId="6F2228AA" w14:textId="77777777" w:rsidR="00571D50" w:rsidRPr="002530A2" w:rsidRDefault="00571D50" w:rsidP="00A65564">
            <w:pPr>
              <w:pStyle w:val="TableText"/>
            </w:pPr>
            <w:r w:rsidRPr="002530A2">
              <w:t>Internal study report; 6 November 2017</w:t>
            </w:r>
          </w:p>
        </w:tc>
      </w:tr>
      <w:tr w:rsidR="00571D50" w:rsidRPr="002530A2" w14:paraId="16B50CED" w14:textId="77777777" w:rsidTr="00A65564">
        <w:tc>
          <w:tcPr>
            <w:tcW w:w="796" w:type="pct"/>
            <w:vMerge/>
            <w:vAlign w:val="center"/>
          </w:tcPr>
          <w:p w14:paraId="7C984D6C"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79DF26DC" w14:textId="77777777" w:rsidR="00571D50" w:rsidRPr="002530A2" w:rsidRDefault="00571D50" w:rsidP="00A65564">
            <w:pPr>
              <w:pStyle w:val="TableText"/>
              <w:rPr>
                <w:szCs w:val="18"/>
              </w:rPr>
            </w:pPr>
            <w:r w:rsidRPr="002530A2">
              <w:rPr>
                <w:szCs w:val="18"/>
              </w:rPr>
              <w:t xml:space="preserve">Popova V, Daly EJ, Trivedi M, Cooper K, Lane R, Lim P, et al. (2019). Efficacy and Safety of Flexibly Dosed </w:t>
            </w:r>
            <w:proofErr w:type="spellStart"/>
            <w:r w:rsidRPr="002530A2">
              <w:rPr>
                <w:szCs w:val="18"/>
              </w:rPr>
              <w:t>Esketamine</w:t>
            </w:r>
            <w:proofErr w:type="spellEnd"/>
            <w:r w:rsidRPr="002530A2">
              <w:rPr>
                <w:szCs w:val="18"/>
              </w:rPr>
              <w:t xml:space="preserve"> Nasal Spray Combined With a Newly Initiated Oral Antidepressant in Treatment-Resistant Depression: A Randomized Double-Blind Active-Controlled Study. </w:t>
            </w:r>
          </w:p>
        </w:tc>
        <w:tc>
          <w:tcPr>
            <w:tcW w:w="1177" w:type="pct"/>
            <w:tcBorders>
              <w:top w:val="single" w:sz="4" w:space="0" w:color="auto"/>
              <w:bottom w:val="single" w:sz="4" w:space="0" w:color="auto"/>
            </w:tcBorders>
            <w:vAlign w:val="center"/>
          </w:tcPr>
          <w:p w14:paraId="00E2C53B" w14:textId="77777777" w:rsidR="00571D50" w:rsidRPr="002530A2" w:rsidRDefault="00571D50" w:rsidP="00A65564">
            <w:pPr>
              <w:pStyle w:val="TableText"/>
              <w:rPr>
                <w:szCs w:val="18"/>
              </w:rPr>
            </w:pPr>
            <w:r w:rsidRPr="002530A2">
              <w:rPr>
                <w:szCs w:val="18"/>
              </w:rPr>
              <w:t>Am J Psychiatry; 176(6): 428-38.</w:t>
            </w:r>
          </w:p>
        </w:tc>
      </w:tr>
      <w:tr w:rsidR="00571D50" w:rsidRPr="002530A2" w14:paraId="439C8346" w14:textId="77777777" w:rsidTr="00A65564">
        <w:tc>
          <w:tcPr>
            <w:tcW w:w="796" w:type="pct"/>
            <w:vMerge/>
            <w:vAlign w:val="center"/>
          </w:tcPr>
          <w:p w14:paraId="3ABDA52F"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1876CD30" w14:textId="77777777" w:rsidR="00571D50" w:rsidRPr="002530A2" w:rsidRDefault="00571D50" w:rsidP="00A65564">
            <w:pPr>
              <w:pStyle w:val="TableText"/>
              <w:rPr>
                <w:szCs w:val="18"/>
              </w:rPr>
            </w:pPr>
            <w:r w:rsidRPr="002530A2">
              <w:rPr>
                <w:szCs w:val="18"/>
              </w:rPr>
              <w:t xml:space="preserve">Hudgens S, </w:t>
            </w:r>
            <w:proofErr w:type="spellStart"/>
            <w:r w:rsidRPr="002530A2">
              <w:rPr>
                <w:szCs w:val="18"/>
              </w:rPr>
              <w:t>Floden</w:t>
            </w:r>
            <w:proofErr w:type="spellEnd"/>
            <w:r w:rsidRPr="002530A2">
              <w:rPr>
                <w:szCs w:val="18"/>
              </w:rPr>
              <w:t xml:space="preserve"> L, </w:t>
            </w:r>
            <w:proofErr w:type="spellStart"/>
            <w:r w:rsidRPr="002530A2">
              <w:rPr>
                <w:szCs w:val="18"/>
              </w:rPr>
              <w:t>Blackowicz</w:t>
            </w:r>
            <w:proofErr w:type="spellEnd"/>
            <w:r w:rsidRPr="002530A2">
              <w:rPr>
                <w:szCs w:val="18"/>
              </w:rPr>
              <w:t xml:space="preserve"> M, Jamieson C, Popova V, </w:t>
            </w:r>
            <w:proofErr w:type="spellStart"/>
            <w:r w:rsidRPr="002530A2">
              <w:rPr>
                <w:szCs w:val="18"/>
              </w:rPr>
              <w:t>Fedgchin</w:t>
            </w:r>
            <w:proofErr w:type="spellEnd"/>
            <w:r w:rsidRPr="002530A2">
              <w:rPr>
                <w:szCs w:val="18"/>
              </w:rPr>
              <w:t xml:space="preserve"> M, et al. (2021). Meaningful Change in Depression Symptoms Assessed with the Patient Health Questionnaire (PHQ-9) and Montgomery-</w:t>
            </w:r>
            <w:proofErr w:type="spellStart"/>
            <w:r w:rsidRPr="002530A2">
              <w:rPr>
                <w:szCs w:val="18"/>
              </w:rPr>
              <w:t>Åsberg</w:t>
            </w:r>
            <w:proofErr w:type="spellEnd"/>
            <w:r w:rsidRPr="002530A2">
              <w:rPr>
                <w:szCs w:val="18"/>
              </w:rPr>
              <w:t xml:space="preserve"> Depression Rating Scale (MADRS) Among Patients with Treatment Resistant Depression in Two, Randomized, Double-blind, Active-controlled Trials of </w:t>
            </w:r>
            <w:proofErr w:type="spellStart"/>
            <w:r w:rsidRPr="002530A2">
              <w:rPr>
                <w:szCs w:val="18"/>
              </w:rPr>
              <w:t>Esketamine</w:t>
            </w:r>
            <w:proofErr w:type="spellEnd"/>
            <w:r w:rsidRPr="002530A2">
              <w:rPr>
                <w:szCs w:val="18"/>
              </w:rPr>
              <w:t xml:space="preserve"> Nasal Spray Combined With a New Oral Antidepressant.</w:t>
            </w:r>
          </w:p>
        </w:tc>
        <w:tc>
          <w:tcPr>
            <w:tcW w:w="1177" w:type="pct"/>
            <w:tcBorders>
              <w:top w:val="single" w:sz="4" w:space="0" w:color="auto"/>
              <w:bottom w:val="single" w:sz="4" w:space="0" w:color="auto"/>
            </w:tcBorders>
            <w:vAlign w:val="center"/>
          </w:tcPr>
          <w:p w14:paraId="20AA62C9" w14:textId="77777777" w:rsidR="00571D50" w:rsidRPr="002530A2" w:rsidRDefault="00571D50" w:rsidP="00A65564">
            <w:pPr>
              <w:pStyle w:val="TableText"/>
              <w:rPr>
                <w:szCs w:val="18"/>
              </w:rPr>
            </w:pPr>
            <w:r w:rsidRPr="002530A2">
              <w:rPr>
                <w:szCs w:val="18"/>
              </w:rPr>
              <w:t xml:space="preserve">J </w:t>
            </w:r>
            <w:proofErr w:type="spellStart"/>
            <w:r w:rsidRPr="002530A2">
              <w:rPr>
                <w:szCs w:val="18"/>
              </w:rPr>
              <w:t>Aff</w:t>
            </w:r>
            <w:proofErr w:type="spellEnd"/>
            <w:r w:rsidRPr="002530A2">
              <w:rPr>
                <w:szCs w:val="18"/>
              </w:rPr>
              <w:t xml:space="preserve"> Dis; 281: 767-775</w:t>
            </w:r>
          </w:p>
        </w:tc>
      </w:tr>
      <w:tr w:rsidR="00571D50" w:rsidRPr="002530A2" w14:paraId="590FBB8E" w14:textId="77777777" w:rsidTr="00A65564">
        <w:tc>
          <w:tcPr>
            <w:tcW w:w="796" w:type="pct"/>
            <w:vMerge/>
            <w:vAlign w:val="center"/>
          </w:tcPr>
          <w:p w14:paraId="6664EE7E"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491E3E5A" w14:textId="77777777" w:rsidR="00571D50" w:rsidRPr="002530A2" w:rsidRDefault="00571D50" w:rsidP="00A65564">
            <w:pPr>
              <w:pStyle w:val="TableText"/>
              <w:rPr>
                <w:szCs w:val="18"/>
              </w:rPr>
            </w:pPr>
            <w:r w:rsidRPr="00A25AB0">
              <w:rPr>
                <w:szCs w:val="18"/>
              </w:rPr>
              <w:t xml:space="preserve">Daly EJ, </w:t>
            </w:r>
            <w:proofErr w:type="spellStart"/>
            <w:r w:rsidRPr="00A25AB0">
              <w:rPr>
                <w:szCs w:val="18"/>
              </w:rPr>
              <w:t>Turkoz</w:t>
            </w:r>
            <w:proofErr w:type="spellEnd"/>
            <w:r w:rsidRPr="00A25AB0">
              <w:rPr>
                <w:szCs w:val="18"/>
              </w:rPr>
              <w:t xml:space="preserve"> I, </w:t>
            </w:r>
            <w:proofErr w:type="spellStart"/>
            <w:r w:rsidRPr="00A25AB0">
              <w:rPr>
                <w:szCs w:val="18"/>
              </w:rPr>
              <w:t>Salvadore</w:t>
            </w:r>
            <w:proofErr w:type="spellEnd"/>
            <w:r w:rsidRPr="00A25AB0">
              <w:rPr>
                <w:szCs w:val="18"/>
              </w:rPr>
              <w:t xml:space="preserve"> G, </w:t>
            </w:r>
            <w:proofErr w:type="spellStart"/>
            <w:r w:rsidRPr="00A25AB0">
              <w:rPr>
                <w:szCs w:val="18"/>
              </w:rPr>
              <w:t>Fedgchin</w:t>
            </w:r>
            <w:proofErr w:type="spellEnd"/>
            <w:r w:rsidRPr="00A25AB0">
              <w:rPr>
                <w:szCs w:val="18"/>
              </w:rPr>
              <w:t xml:space="preserve"> M, et al. </w:t>
            </w:r>
            <w:r>
              <w:rPr>
                <w:szCs w:val="18"/>
              </w:rPr>
              <w:t xml:space="preserve">(2021). </w:t>
            </w:r>
            <w:r w:rsidRPr="00A25AB0">
              <w:rPr>
                <w:szCs w:val="18"/>
              </w:rPr>
              <w:t xml:space="preserve">The effect of </w:t>
            </w:r>
            <w:proofErr w:type="spellStart"/>
            <w:r w:rsidRPr="00A25AB0">
              <w:rPr>
                <w:szCs w:val="18"/>
              </w:rPr>
              <w:t>esketamine</w:t>
            </w:r>
            <w:proofErr w:type="spellEnd"/>
            <w:r w:rsidRPr="00A25AB0">
              <w:rPr>
                <w:szCs w:val="18"/>
              </w:rPr>
              <w:t xml:space="preserve"> in patients with treatment-resistant depression with and without comorbid anxiety symptoms or disorder. </w:t>
            </w:r>
          </w:p>
        </w:tc>
        <w:tc>
          <w:tcPr>
            <w:tcW w:w="1177" w:type="pct"/>
            <w:tcBorders>
              <w:top w:val="single" w:sz="4" w:space="0" w:color="auto"/>
              <w:bottom w:val="single" w:sz="4" w:space="0" w:color="auto"/>
            </w:tcBorders>
            <w:vAlign w:val="center"/>
          </w:tcPr>
          <w:p w14:paraId="284ACFB9" w14:textId="77777777" w:rsidR="00571D50" w:rsidRPr="002530A2" w:rsidRDefault="00571D50" w:rsidP="00A65564">
            <w:pPr>
              <w:pStyle w:val="TableText"/>
              <w:rPr>
                <w:szCs w:val="18"/>
              </w:rPr>
            </w:pPr>
            <w:r w:rsidRPr="00A25AB0">
              <w:rPr>
                <w:szCs w:val="18"/>
              </w:rPr>
              <w:t>Dep</w:t>
            </w:r>
            <w:r>
              <w:rPr>
                <w:szCs w:val="18"/>
              </w:rPr>
              <w:t>ress</w:t>
            </w:r>
            <w:r w:rsidRPr="00A25AB0">
              <w:rPr>
                <w:szCs w:val="18"/>
              </w:rPr>
              <w:t xml:space="preserve"> Anx</w:t>
            </w:r>
            <w:r>
              <w:rPr>
                <w:szCs w:val="18"/>
              </w:rPr>
              <w:t>iety</w:t>
            </w:r>
            <w:r w:rsidRPr="00A25AB0">
              <w:rPr>
                <w:szCs w:val="18"/>
              </w:rPr>
              <w:t>; 38(11):1120-1130</w:t>
            </w:r>
          </w:p>
        </w:tc>
      </w:tr>
      <w:tr w:rsidR="00571D50" w:rsidRPr="002530A2" w14:paraId="766E0AD5" w14:textId="77777777" w:rsidTr="00A65564">
        <w:tc>
          <w:tcPr>
            <w:tcW w:w="796" w:type="pct"/>
            <w:vMerge/>
            <w:vAlign w:val="center"/>
          </w:tcPr>
          <w:p w14:paraId="4B9B1E23"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18DFFF9B" w14:textId="77777777" w:rsidR="00571D50" w:rsidRPr="002530A2" w:rsidRDefault="00571D50" w:rsidP="00A65564">
            <w:pPr>
              <w:pStyle w:val="TableText"/>
              <w:rPr>
                <w:szCs w:val="18"/>
              </w:rPr>
            </w:pPr>
            <w:r w:rsidRPr="002530A2">
              <w:rPr>
                <w:szCs w:val="18"/>
              </w:rPr>
              <w:t xml:space="preserve">Saad Z, </w:t>
            </w:r>
            <w:proofErr w:type="spellStart"/>
            <w:r w:rsidRPr="002530A2">
              <w:rPr>
                <w:szCs w:val="18"/>
              </w:rPr>
              <w:t>Hibar</w:t>
            </w:r>
            <w:proofErr w:type="spellEnd"/>
            <w:r w:rsidRPr="002530A2">
              <w:rPr>
                <w:szCs w:val="18"/>
              </w:rPr>
              <w:t xml:space="preserve"> D, </w:t>
            </w:r>
            <w:proofErr w:type="spellStart"/>
            <w:r w:rsidRPr="002530A2">
              <w:rPr>
                <w:szCs w:val="18"/>
              </w:rPr>
              <w:t>Fedgchin</w:t>
            </w:r>
            <w:proofErr w:type="spellEnd"/>
            <w:r w:rsidRPr="002530A2">
              <w:rPr>
                <w:szCs w:val="18"/>
              </w:rPr>
              <w:t xml:space="preserve"> M, Popova V, </w:t>
            </w:r>
            <w:proofErr w:type="spellStart"/>
            <w:r w:rsidRPr="002530A2">
              <w:rPr>
                <w:szCs w:val="18"/>
              </w:rPr>
              <w:t>Furey</w:t>
            </w:r>
            <w:proofErr w:type="spellEnd"/>
            <w:r w:rsidRPr="002530A2">
              <w:rPr>
                <w:szCs w:val="18"/>
              </w:rPr>
              <w:t xml:space="preserve"> ML, Singh JB, et al. (2020). Effects of Mu-Opiate Receptor Gene Polymorphism rs1799971 (A118G) on the Antidepressant and Dissociation Responses in </w:t>
            </w:r>
            <w:proofErr w:type="spellStart"/>
            <w:r w:rsidRPr="002530A2">
              <w:rPr>
                <w:szCs w:val="18"/>
              </w:rPr>
              <w:t>Esketamine</w:t>
            </w:r>
            <w:proofErr w:type="spellEnd"/>
            <w:r w:rsidRPr="002530A2">
              <w:rPr>
                <w:szCs w:val="18"/>
              </w:rPr>
              <w:t xml:space="preserve"> Nasal Spray Clinical Trials. </w:t>
            </w:r>
          </w:p>
        </w:tc>
        <w:tc>
          <w:tcPr>
            <w:tcW w:w="1177" w:type="pct"/>
            <w:tcBorders>
              <w:top w:val="single" w:sz="4" w:space="0" w:color="auto"/>
              <w:bottom w:val="single" w:sz="4" w:space="0" w:color="auto"/>
            </w:tcBorders>
            <w:vAlign w:val="center"/>
          </w:tcPr>
          <w:p w14:paraId="645D9D72" w14:textId="77777777" w:rsidR="00571D50" w:rsidRPr="002530A2" w:rsidRDefault="00571D50" w:rsidP="00A65564">
            <w:pPr>
              <w:pStyle w:val="TableText"/>
              <w:rPr>
                <w:szCs w:val="18"/>
              </w:rPr>
            </w:pPr>
            <w:r w:rsidRPr="002530A2">
              <w:rPr>
                <w:szCs w:val="18"/>
              </w:rPr>
              <w:t xml:space="preserve">Int J </w:t>
            </w:r>
            <w:proofErr w:type="spellStart"/>
            <w:r w:rsidRPr="002530A2">
              <w:rPr>
                <w:szCs w:val="18"/>
              </w:rPr>
              <w:t>Neuropsychopharmacol</w:t>
            </w:r>
            <w:proofErr w:type="spellEnd"/>
            <w:r w:rsidRPr="002530A2">
              <w:rPr>
                <w:szCs w:val="18"/>
              </w:rPr>
              <w:t>; 23: 549-558.</w:t>
            </w:r>
          </w:p>
        </w:tc>
      </w:tr>
      <w:tr w:rsidR="00571D50" w:rsidRPr="002530A2" w14:paraId="17FE79EE" w14:textId="77777777" w:rsidTr="00A65564">
        <w:tc>
          <w:tcPr>
            <w:tcW w:w="796" w:type="pct"/>
            <w:vMerge/>
            <w:tcBorders>
              <w:bottom w:val="single" w:sz="4" w:space="0" w:color="auto"/>
            </w:tcBorders>
            <w:vAlign w:val="center"/>
          </w:tcPr>
          <w:p w14:paraId="76A28736"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542A09F1" w14:textId="77777777" w:rsidR="00571D50" w:rsidRPr="002530A2" w:rsidRDefault="00571D50" w:rsidP="00A65564">
            <w:pPr>
              <w:pStyle w:val="TableText"/>
              <w:rPr>
                <w:szCs w:val="18"/>
              </w:rPr>
            </w:pPr>
            <w:proofErr w:type="spellStart"/>
            <w:r w:rsidRPr="002530A2">
              <w:rPr>
                <w:szCs w:val="18"/>
              </w:rPr>
              <w:t>Citrome</w:t>
            </w:r>
            <w:proofErr w:type="spellEnd"/>
            <w:r w:rsidRPr="002530A2">
              <w:rPr>
                <w:szCs w:val="18"/>
              </w:rPr>
              <w:t xml:space="preserve"> L, </w:t>
            </w:r>
            <w:proofErr w:type="spellStart"/>
            <w:r w:rsidRPr="002530A2">
              <w:rPr>
                <w:szCs w:val="18"/>
              </w:rPr>
              <w:t>DiBernardo</w:t>
            </w:r>
            <w:proofErr w:type="spellEnd"/>
            <w:r w:rsidRPr="002530A2">
              <w:rPr>
                <w:szCs w:val="18"/>
              </w:rPr>
              <w:t xml:space="preserve"> A, Singh J. (2020). Appraising </w:t>
            </w:r>
            <w:proofErr w:type="spellStart"/>
            <w:r w:rsidRPr="002530A2">
              <w:rPr>
                <w:szCs w:val="18"/>
              </w:rPr>
              <w:t>Esketamine</w:t>
            </w:r>
            <w:proofErr w:type="spellEnd"/>
            <w:r w:rsidRPr="002530A2">
              <w:rPr>
                <w:szCs w:val="18"/>
              </w:rPr>
              <w:t xml:space="preserve"> Nasal Spray for the Management of Treatment-Resistant Depression in Adults: number Needed to Treat, Number Needed to Harm, and Likelihood to be Helped/Harmed. </w:t>
            </w:r>
          </w:p>
        </w:tc>
        <w:tc>
          <w:tcPr>
            <w:tcW w:w="1177" w:type="pct"/>
            <w:tcBorders>
              <w:top w:val="single" w:sz="4" w:space="0" w:color="auto"/>
              <w:bottom w:val="single" w:sz="4" w:space="0" w:color="auto"/>
            </w:tcBorders>
            <w:vAlign w:val="center"/>
          </w:tcPr>
          <w:p w14:paraId="6BCC4EF8" w14:textId="77777777" w:rsidR="00571D50" w:rsidRPr="002530A2" w:rsidRDefault="00571D50" w:rsidP="00A65564">
            <w:pPr>
              <w:pStyle w:val="TableText"/>
              <w:rPr>
                <w:szCs w:val="18"/>
              </w:rPr>
            </w:pPr>
            <w:r w:rsidRPr="002530A2">
              <w:rPr>
                <w:szCs w:val="18"/>
              </w:rPr>
              <w:t xml:space="preserve">J </w:t>
            </w:r>
            <w:proofErr w:type="spellStart"/>
            <w:r w:rsidRPr="002530A2">
              <w:rPr>
                <w:szCs w:val="18"/>
              </w:rPr>
              <w:t>Aff</w:t>
            </w:r>
            <w:proofErr w:type="spellEnd"/>
            <w:r w:rsidRPr="002530A2">
              <w:rPr>
                <w:szCs w:val="18"/>
              </w:rPr>
              <w:t xml:space="preserve"> Dis; 271:228-238.</w:t>
            </w:r>
          </w:p>
        </w:tc>
      </w:tr>
      <w:tr w:rsidR="00571D50" w:rsidRPr="002530A2" w14:paraId="3F6ABEC9" w14:textId="77777777" w:rsidTr="00A65564">
        <w:tc>
          <w:tcPr>
            <w:tcW w:w="796" w:type="pct"/>
            <w:vMerge w:val="restart"/>
            <w:tcBorders>
              <w:top w:val="single" w:sz="4" w:space="0" w:color="auto"/>
            </w:tcBorders>
            <w:vAlign w:val="center"/>
          </w:tcPr>
          <w:p w14:paraId="1898606D" w14:textId="77777777" w:rsidR="00571D50" w:rsidRPr="002530A2" w:rsidRDefault="00571D50" w:rsidP="00A65564">
            <w:pPr>
              <w:pStyle w:val="TableText"/>
            </w:pPr>
            <w:r w:rsidRPr="002530A2">
              <w:t>TRANSFORM-1 (NCT02417064)</w:t>
            </w:r>
          </w:p>
        </w:tc>
        <w:tc>
          <w:tcPr>
            <w:tcW w:w="3027" w:type="pct"/>
            <w:tcBorders>
              <w:top w:val="single" w:sz="4" w:space="0" w:color="auto"/>
              <w:bottom w:val="single" w:sz="4" w:space="0" w:color="auto"/>
            </w:tcBorders>
            <w:vAlign w:val="center"/>
          </w:tcPr>
          <w:p w14:paraId="28B7FB95" w14:textId="77777777" w:rsidR="00571D50" w:rsidRPr="002530A2" w:rsidRDefault="00571D50" w:rsidP="00A65564">
            <w:pPr>
              <w:pStyle w:val="TableText"/>
              <w:rPr>
                <w:szCs w:val="18"/>
              </w:rPr>
            </w:pPr>
            <w:r w:rsidRPr="002530A2">
              <w:rPr>
                <w:szCs w:val="18"/>
              </w:rPr>
              <w:t xml:space="preserve">A Randomized, Double-blind, </w:t>
            </w:r>
            <w:proofErr w:type="spellStart"/>
            <w:r w:rsidRPr="002530A2">
              <w:rPr>
                <w:szCs w:val="18"/>
              </w:rPr>
              <w:t>Multicenter</w:t>
            </w:r>
            <w:proofErr w:type="spellEnd"/>
            <w:r w:rsidRPr="002530A2">
              <w:rPr>
                <w:szCs w:val="18"/>
              </w:rPr>
              <w:t xml:space="preserve">, Active-controlled Study to Evaluate the Efficacy, Safety, and Tolerability of Fixed Doses of Intranasal </w:t>
            </w:r>
            <w:proofErr w:type="spellStart"/>
            <w:r w:rsidRPr="002530A2">
              <w:rPr>
                <w:szCs w:val="18"/>
              </w:rPr>
              <w:t>Esketamine</w:t>
            </w:r>
            <w:proofErr w:type="spellEnd"/>
            <w:r w:rsidRPr="002530A2">
              <w:rPr>
                <w:szCs w:val="18"/>
              </w:rPr>
              <w:t xml:space="preserve"> Plus an Oral Antidepressant in Adult Subjects with Treatment-resistant Depression</w:t>
            </w:r>
          </w:p>
        </w:tc>
        <w:tc>
          <w:tcPr>
            <w:tcW w:w="1177" w:type="pct"/>
            <w:tcBorders>
              <w:top w:val="single" w:sz="4" w:space="0" w:color="auto"/>
              <w:bottom w:val="single" w:sz="4" w:space="0" w:color="auto"/>
            </w:tcBorders>
            <w:vAlign w:val="center"/>
          </w:tcPr>
          <w:p w14:paraId="353B4FA2" w14:textId="77777777" w:rsidR="00571D50" w:rsidRPr="002530A2" w:rsidRDefault="00571D50" w:rsidP="00A65564">
            <w:pPr>
              <w:pStyle w:val="TableText"/>
              <w:rPr>
                <w:szCs w:val="18"/>
              </w:rPr>
            </w:pPr>
            <w:r w:rsidRPr="002530A2">
              <w:rPr>
                <w:szCs w:val="18"/>
              </w:rPr>
              <w:t>Internal study report; 26 July 2018</w:t>
            </w:r>
          </w:p>
        </w:tc>
      </w:tr>
      <w:tr w:rsidR="00571D50" w:rsidRPr="002530A2" w14:paraId="0F1260FF" w14:textId="77777777" w:rsidTr="00A65564">
        <w:tc>
          <w:tcPr>
            <w:tcW w:w="796" w:type="pct"/>
            <w:vMerge/>
            <w:vAlign w:val="center"/>
          </w:tcPr>
          <w:p w14:paraId="7D26030D"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3650085A" w14:textId="77777777" w:rsidR="00571D50" w:rsidRPr="002530A2" w:rsidRDefault="00571D50" w:rsidP="00A65564">
            <w:pPr>
              <w:pStyle w:val="TableText"/>
              <w:rPr>
                <w:szCs w:val="18"/>
              </w:rPr>
            </w:pPr>
            <w:proofErr w:type="spellStart"/>
            <w:r w:rsidRPr="002530A2">
              <w:rPr>
                <w:szCs w:val="18"/>
              </w:rPr>
              <w:t>Fedgchin</w:t>
            </w:r>
            <w:proofErr w:type="spellEnd"/>
            <w:r w:rsidRPr="002530A2">
              <w:rPr>
                <w:szCs w:val="18"/>
              </w:rPr>
              <w:t xml:space="preserve"> M, Trivedi M, Daly EJ, Melkote R, Lane R, Lim P, et al. (2019). Efficacy and Safety of Fixed-Dose </w:t>
            </w:r>
            <w:proofErr w:type="spellStart"/>
            <w:r w:rsidRPr="002530A2">
              <w:rPr>
                <w:szCs w:val="18"/>
              </w:rPr>
              <w:t>Esketamine</w:t>
            </w:r>
            <w:proofErr w:type="spellEnd"/>
            <w:r w:rsidRPr="002530A2">
              <w:rPr>
                <w:szCs w:val="18"/>
              </w:rPr>
              <w:t xml:space="preserve"> Nasal Spray Combined With a New Oral Antidepressant in Treatment-Resistant Depression: Results of a Randomized, Double-Blind, Active-Controlled Study (TRANSFORM-1). </w:t>
            </w:r>
          </w:p>
        </w:tc>
        <w:tc>
          <w:tcPr>
            <w:tcW w:w="1177" w:type="pct"/>
            <w:tcBorders>
              <w:top w:val="single" w:sz="4" w:space="0" w:color="auto"/>
              <w:bottom w:val="single" w:sz="4" w:space="0" w:color="auto"/>
            </w:tcBorders>
            <w:vAlign w:val="center"/>
          </w:tcPr>
          <w:p w14:paraId="375D3DA3" w14:textId="77777777" w:rsidR="00571D50" w:rsidRPr="002530A2" w:rsidRDefault="00571D50" w:rsidP="00A65564">
            <w:pPr>
              <w:pStyle w:val="TableText"/>
              <w:rPr>
                <w:szCs w:val="18"/>
              </w:rPr>
            </w:pPr>
            <w:r w:rsidRPr="002530A2">
              <w:rPr>
                <w:szCs w:val="18"/>
              </w:rPr>
              <w:t xml:space="preserve">Int J </w:t>
            </w:r>
            <w:proofErr w:type="spellStart"/>
            <w:r w:rsidRPr="002530A2">
              <w:rPr>
                <w:szCs w:val="18"/>
              </w:rPr>
              <w:t>Neuropsychopharmacol</w:t>
            </w:r>
            <w:proofErr w:type="spellEnd"/>
            <w:r w:rsidRPr="002530A2">
              <w:rPr>
                <w:szCs w:val="18"/>
              </w:rPr>
              <w:t>; 22: 616-630</w:t>
            </w:r>
          </w:p>
        </w:tc>
      </w:tr>
      <w:tr w:rsidR="00571D50" w:rsidRPr="002530A2" w14:paraId="7DEE52F5" w14:textId="77777777" w:rsidTr="00A65564">
        <w:tc>
          <w:tcPr>
            <w:tcW w:w="796" w:type="pct"/>
            <w:vMerge/>
            <w:vAlign w:val="center"/>
          </w:tcPr>
          <w:p w14:paraId="4F1FD4C0"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1331B9D9" w14:textId="77777777" w:rsidR="00571D50" w:rsidRPr="002530A2" w:rsidRDefault="00571D50" w:rsidP="00A65564">
            <w:pPr>
              <w:pStyle w:val="TableText"/>
              <w:rPr>
                <w:szCs w:val="18"/>
              </w:rPr>
            </w:pPr>
            <w:proofErr w:type="spellStart"/>
            <w:r w:rsidRPr="00F611C5">
              <w:rPr>
                <w:szCs w:val="18"/>
              </w:rPr>
              <w:t>Citrome</w:t>
            </w:r>
            <w:proofErr w:type="spellEnd"/>
            <w:r w:rsidRPr="00F611C5">
              <w:rPr>
                <w:szCs w:val="18"/>
              </w:rPr>
              <w:t xml:space="preserve"> L, </w:t>
            </w:r>
            <w:proofErr w:type="spellStart"/>
            <w:r w:rsidRPr="00F611C5">
              <w:rPr>
                <w:szCs w:val="18"/>
              </w:rPr>
              <w:t>DiBernardo</w:t>
            </w:r>
            <w:proofErr w:type="spellEnd"/>
            <w:r w:rsidRPr="00F611C5">
              <w:rPr>
                <w:szCs w:val="18"/>
              </w:rPr>
              <w:t xml:space="preserve"> A, Singh J. </w:t>
            </w:r>
            <w:r>
              <w:rPr>
                <w:szCs w:val="18"/>
              </w:rPr>
              <w:t xml:space="preserve">(2020). </w:t>
            </w:r>
            <w:r w:rsidRPr="00F611C5">
              <w:rPr>
                <w:szCs w:val="18"/>
              </w:rPr>
              <w:t xml:space="preserve">Appraising </w:t>
            </w:r>
            <w:proofErr w:type="spellStart"/>
            <w:r w:rsidRPr="00F611C5">
              <w:rPr>
                <w:szCs w:val="18"/>
              </w:rPr>
              <w:t>esketamine</w:t>
            </w:r>
            <w:proofErr w:type="spellEnd"/>
            <w:r w:rsidRPr="00F611C5">
              <w:rPr>
                <w:szCs w:val="18"/>
              </w:rPr>
              <w:t xml:space="preserve"> nasal spray for the management of treatment-resistant depression in adults: Number needed to treat, number needed to harm, and likelihood to be helped or harmed. </w:t>
            </w:r>
          </w:p>
        </w:tc>
        <w:tc>
          <w:tcPr>
            <w:tcW w:w="1177" w:type="pct"/>
            <w:tcBorders>
              <w:top w:val="single" w:sz="4" w:space="0" w:color="auto"/>
              <w:bottom w:val="single" w:sz="4" w:space="0" w:color="auto"/>
            </w:tcBorders>
            <w:vAlign w:val="center"/>
          </w:tcPr>
          <w:p w14:paraId="75B3631D" w14:textId="77777777" w:rsidR="00571D50" w:rsidRPr="002530A2" w:rsidRDefault="00571D50" w:rsidP="00A65564">
            <w:pPr>
              <w:pStyle w:val="TableText"/>
              <w:rPr>
                <w:szCs w:val="18"/>
              </w:rPr>
            </w:pPr>
            <w:r w:rsidRPr="00F611C5">
              <w:rPr>
                <w:szCs w:val="18"/>
              </w:rPr>
              <w:t xml:space="preserve">J </w:t>
            </w:r>
            <w:proofErr w:type="spellStart"/>
            <w:r w:rsidRPr="00F611C5">
              <w:rPr>
                <w:szCs w:val="18"/>
              </w:rPr>
              <w:t>Aff</w:t>
            </w:r>
            <w:proofErr w:type="spellEnd"/>
            <w:r w:rsidRPr="00F611C5">
              <w:rPr>
                <w:szCs w:val="18"/>
              </w:rPr>
              <w:t xml:space="preserve"> Dis; 271 (228-238).</w:t>
            </w:r>
          </w:p>
        </w:tc>
      </w:tr>
      <w:tr w:rsidR="00571D50" w:rsidRPr="002530A2" w14:paraId="71FBAA29" w14:textId="77777777" w:rsidTr="00A65564">
        <w:tc>
          <w:tcPr>
            <w:tcW w:w="796" w:type="pct"/>
            <w:vMerge/>
            <w:tcBorders>
              <w:bottom w:val="single" w:sz="4" w:space="0" w:color="auto"/>
            </w:tcBorders>
            <w:vAlign w:val="center"/>
          </w:tcPr>
          <w:p w14:paraId="3AF171EC"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5BAC3A62" w14:textId="77777777" w:rsidR="00571D50" w:rsidRPr="002530A2" w:rsidRDefault="00571D50" w:rsidP="00A65564">
            <w:pPr>
              <w:pStyle w:val="TableText"/>
              <w:rPr>
                <w:szCs w:val="18"/>
              </w:rPr>
            </w:pPr>
            <w:r w:rsidRPr="002530A2">
              <w:rPr>
                <w:szCs w:val="18"/>
              </w:rPr>
              <w:t xml:space="preserve">Saad Z, </w:t>
            </w:r>
            <w:proofErr w:type="spellStart"/>
            <w:r w:rsidRPr="002530A2">
              <w:rPr>
                <w:szCs w:val="18"/>
              </w:rPr>
              <w:t>Hibar</w:t>
            </w:r>
            <w:proofErr w:type="spellEnd"/>
            <w:r w:rsidRPr="002530A2">
              <w:rPr>
                <w:szCs w:val="18"/>
              </w:rPr>
              <w:t xml:space="preserve"> D, </w:t>
            </w:r>
            <w:proofErr w:type="spellStart"/>
            <w:r w:rsidRPr="002530A2">
              <w:rPr>
                <w:szCs w:val="18"/>
              </w:rPr>
              <w:t>Fedgchin</w:t>
            </w:r>
            <w:proofErr w:type="spellEnd"/>
            <w:r w:rsidRPr="002530A2">
              <w:rPr>
                <w:szCs w:val="18"/>
              </w:rPr>
              <w:t xml:space="preserve"> M, Popova V, </w:t>
            </w:r>
            <w:proofErr w:type="spellStart"/>
            <w:r w:rsidRPr="002530A2">
              <w:rPr>
                <w:szCs w:val="18"/>
              </w:rPr>
              <w:t>Furey</w:t>
            </w:r>
            <w:proofErr w:type="spellEnd"/>
            <w:r w:rsidRPr="002530A2">
              <w:rPr>
                <w:szCs w:val="18"/>
              </w:rPr>
              <w:t xml:space="preserve"> ML, Singh JB, et al. (2020). Effects of Mu-Opiate Receptor Gene Polymorphism rs1799971 (A118G) on the Antidepressant and Dissociation Responses in </w:t>
            </w:r>
            <w:proofErr w:type="spellStart"/>
            <w:r w:rsidRPr="002530A2">
              <w:rPr>
                <w:szCs w:val="18"/>
              </w:rPr>
              <w:t>Esketamine</w:t>
            </w:r>
            <w:proofErr w:type="spellEnd"/>
            <w:r w:rsidRPr="002530A2">
              <w:rPr>
                <w:szCs w:val="18"/>
              </w:rPr>
              <w:t xml:space="preserve"> Nasal Spray Clinical Trials. </w:t>
            </w:r>
          </w:p>
        </w:tc>
        <w:tc>
          <w:tcPr>
            <w:tcW w:w="1177" w:type="pct"/>
            <w:tcBorders>
              <w:top w:val="single" w:sz="4" w:space="0" w:color="auto"/>
              <w:bottom w:val="single" w:sz="4" w:space="0" w:color="auto"/>
            </w:tcBorders>
            <w:vAlign w:val="center"/>
          </w:tcPr>
          <w:p w14:paraId="79489EA9" w14:textId="77777777" w:rsidR="00571D50" w:rsidRPr="002530A2" w:rsidRDefault="00571D50" w:rsidP="00A65564">
            <w:pPr>
              <w:pStyle w:val="TableText"/>
              <w:rPr>
                <w:i/>
                <w:szCs w:val="18"/>
              </w:rPr>
            </w:pPr>
            <w:r w:rsidRPr="002530A2">
              <w:rPr>
                <w:szCs w:val="18"/>
              </w:rPr>
              <w:t xml:space="preserve">Int J </w:t>
            </w:r>
            <w:proofErr w:type="spellStart"/>
            <w:r w:rsidRPr="002530A2">
              <w:rPr>
                <w:szCs w:val="18"/>
              </w:rPr>
              <w:t>Neuropsychopharmacol</w:t>
            </w:r>
            <w:proofErr w:type="spellEnd"/>
            <w:r w:rsidRPr="002530A2">
              <w:rPr>
                <w:szCs w:val="18"/>
              </w:rPr>
              <w:t>; 23: 549-558.</w:t>
            </w:r>
          </w:p>
        </w:tc>
      </w:tr>
      <w:tr w:rsidR="00571D50" w:rsidRPr="002530A2" w14:paraId="6A48CFB0" w14:textId="77777777" w:rsidTr="00A65564">
        <w:tc>
          <w:tcPr>
            <w:tcW w:w="796" w:type="pct"/>
            <w:vMerge w:val="restart"/>
            <w:vAlign w:val="center"/>
          </w:tcPr>
          <w:p w14:paraId="5EBBCEF8" w14:textId="77777777" w:rsidR="00571D50" w:rsidRPr="002530A2" w:rsidRDefault="00571D50" w:rsidP="00A65564">
            <w:pPr>
              <w:pStyle w:val="TableText"/>
            </w:pPr>
            <w:r w:rsidRPr="002530A2">
              <w:t>TRANSFORM-3 (NCT02422186)</w:t>
            </w:r>
          </w:p>
        </w:tc>
        <w:tc>
          <w:tcPr>
            <w:tcW w:w="3027" w:type="pct"/>
            <w:tcBorders>
              <w:bottom w:val="single" w:sz="4" w:space="0" w:color="auto"/>
            </w:tcBorders>
            <w:vAlign w:val="center"/>
          </w:tcPr>
          <w:p w14:paraId="65FFE578" w14:textId="77777777" w:rsidR="00571D50" w:rsidRPr="002530A2" w:rsidRDefault="00571D50" w:rsidP="00A65564">
            <w:pPr>
              <w:pStyle w:val="TableText"/>
            </w:pPr>
            <w:r w:rsidRPr="002530A2">
              <w:t xml:space="preserve">Randomized, Double-blind, </w:t>
            </w:r>
            <w:proofErr w:type="spellStart"/>
            <w:r w:rsidRPr="002530A2">
              <w:t>Multicenter</w:t>
            </w:r>
            <w:proofErr w:type="spellEnd"/>
            <w:r w:rsidRPr="002530A2">
              <w:t xml:space="preserve">, Active-controlled Study to Evaluate the Efficacy, Safety, and Tolerability of Intranasal </w:t>
            </w:r>
            <w:proofErr w:type="spellStart"/>
            <w:r w:rsidRPr="002530A2">
              <w:t>Esketamine</w:t>
            </w:r>
            <w:proofErr w:type="spellEnd"/>
            <w:r w:rsidRPr="002530A2">
              <w:t xml:space="preserve"> Plus an Oral Antidepressant in Elderly Subjects with Treatment-resistant Depression</w:t>
            </w:r>
          </w:p>
        </w:tc>
        <w:tc>
          <w:tcPr>
            <w:tcW w:w="1177" w:type="pct"/>
            <w:tcBorders>
              <w:bottom w:val="single" w:sz="4" w:space="0" w:color="auto"/>
            </w:tcBorders>
            <w:vAlign w:val="center"/>
          </w:tcPr>
          <w:p w14:paraId="25132395" w14:textId="77777777" w:rsidR="00571D50" w:rsidRPr="002530A2" w:rsidRDefault="00571D50" w:rsidP="00A65564">
            <w:pPr>
              <w:pStyle w:val="TableText"/>
            </w:pPr>
            <w:r w:rsidRPr="002530A2">
              <w:t>Internal study report; 12 July 2018</w:t>
            </w:r>
          </w:p>
        </w:tc>
      </w:tr>
      <w:tr w:rsidR="00571D50" w:rsidRPr="002530A2" w14:paraId="3A88185F" w14:textId="77777777" w:rsidTr="00A65564">
        <w:tc>
          <w:tcPr>
            <w:tcW w:w="796" w:type="pct"/>
            <w:vMerge/>
            <w:vAlign w:val="center"/>
          </w:tcPr>
          <w:p w14:paraId="0654747F" w14:textId="77777777" w:rsidR="00571D50" w:rsidRPr="002530A2" w:rsidRDefault="00571D50" w:rsidP="00A65564">
            <w:pPr>
              <w:pStyle w:val="TableText"/>
            </w:pPr>
          </w:p>
        </w:tc>
        <w:tc>
          <w:tcPr>
            <w:tcW w:w="3027" w:type="pct"/>
            <w:tcBorders>
              <w:bottom w:val="single" w:sz="4" w:space="0" w:color="auto"/>
            </w:tcBorders>
            <w:vAlign w:val="center"/>
          </w:tcPr>
          <w:p w14:paraId="7105F2A4" w14:textId="77777777" w:rsidR="00571D50" w:rsidRPr="002530A2" w:rsidRDefault="00571D50" w:rsidP="00A65564">
            <w:pPr>
              <w:pStyle w:val="TableText"/>
            </w:pPr>
            <w:proofErr w:type="spellStart"/>
            <w:r w:rsidRPr="00411FEA">
              <w:t>Citrome</w:t>
            </w:r>
            <w:proofErr w:type="spellEnd"/>
            <w:r w:rsidRPr="00411FEA">
              <w:t xml:space="preserve"> L, </w:t>
            </w:r>
            <w:proofErr w:type="spellStart"/>
            <w:r w:rsidRPr="00411FEA">
              <w:t>DiBernardo</w:t>
            </w:r>
            <w:proofErr w:type="spellEnd"/>
            <w:r w:rsidRPr="00411FEA">
              <w:t xml:space="preserve"> A, Singh J. </w:t>
            </w:r>
            <w:r>
              <w:t xml:space="preserve">(2020). </w:t>
            </w:r>
            <w:r w:rsidRPr="00411FEA">
              <w:t xml:space="preserve">Appraising </w:t>
            </w:r>
            <w:proofErr w:type="spellStart"/>
            <w:r w:rsidRPr="00411FEA">
              <w:t>esketamine</w:t>
            </w:r>
            <w:proofErr w:type="spellEnd"/>
            <w:r w:rsidRPr="00411FEA">
              <w:t xml:space="preserve"> nasal spray for the management of treatment-resistant depression in adults: Number needed to treat, number needed to harm, and likelihood to be helped or harmed. </w:t>
            </w:r>
          </w:p>
        </w:tc>
        <w:tc>
          <w:tcPr>
            <w:tcW w:w="1177" w:type="pct"/>
            <w:tcBorders>
              <w:bottom w:val="single" w:sz="4" w:space="0" w:color="auto"/>
            </w:tcBorders>
            <w:vAlign w:val="center"/>
          </w:tcPr>
          <w:p w14:paraId="0C3A7ADD" w14:textId="77777777" w:rsidR="00571D50" w:rsidRPr="002530A2" w:rsidRDefault="00571D50" w:rsidP="00A65564">
            <w:pPr>
              <w:pStyle w:val="TableText"/>
            </w:pPr>
            <w:r>
              <w:t>J</w:t>
            </w:r>
            <w:r w:rsidRPr="00411FEA">
              <w:t xml:space="preserve"> </w:t>
            </w:r>
            <w:proofErr w:type="spellStart"/>
            <w:r w:rsidRPr="00411FEA">
              <w:t>Aff</w:t>
            </w:r>
            <w:proofErr w:type="spellEnd"/>
            <w:r w:rsidRPr="00411FEA">
              <w:t xml:space="preserve"> Dis; 271 (228-238).</w:t>
            </w:r>
          </w:p>
        </w:tc>
      </w:tr>
      <w:tr w:rsidR="00571D50" w:rsidRPr="002530A2" w14:paraId="623D15CF" w14:textId="77777777" w:rsidTr="00A65564">
        <w:tc>
          <w:tcPr>
            <w:tcW w:w="796" w:type="pct"/>
            <w:vMerge/>
            <w:tcBorders>
              <w:bottom w:val="single" w:sz="4" w:space="0" w:color="auto"/>
            </w:tcBorders>
            <w:vAlign w:val="center"/>
          </w:tcPr>
          <w:p w14:paraId="121BD52C"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50CDB899" w14:textId="77777777" w:rsidR="00571D50" w:rsidRPr="002530A2" w:rsidRDefault="00571D50" w:rsidP="00A65564">
            <w:pPr>
              <w:pStyle w:val="TableText"/>
              <w:rPr>
                <w:szCs w:val="18"/>
              </w:rPr>
            </w:pPr>
            <w:r w:rsidRPr="002530A2">
              <w:rPr>
                <w:szCs w:val="18"/>
              </w:rPr>
              <w:t xml:space="preserve">Ochs-Ross R, Daly EJ, Zhang Y, Lane R, Lim P, Morrison RL, et al. (2020). Efficacy and Safety of </w:t>
            </w:r>
            <w:proofErr w:type="spellStart"/>
            <w:r w:rsidRPr="002530A2">
              <w:rPr>
                <w:szCs w:val="18"/>
              </w:rPr>
              <w:t>Esketamine</w:t>
            </w:r>
            <w:proofErr w:type="spellEnd"/>
            <w:r w:rsidRPr="002530A2">
              <w:rPr>
                <w:szCs w:val="18"/>
              </w:rPr>
              <w:t xml:space="preserve"> Nasal Spray Plus an Oral </w:t>
            </w:r>
            <w:r w:rsidRPr="002530A2">
              <w:rPr>
                <w:szCs w:val="18"/>
              </w:rPr>
              <w:lastRenderedPageBreak/>
              <w:t xml:space="preserve">Antidepressant in Elderly Patients with Treatment-Resistant Depression-TRANSFORM-3. </w:t>
            </w:r>
          </w:p>
        </w:tc>
        <w:tc>
          <w:tcPr>
            <w:tcW w:w="1177" w:type="pct"/>
            <w:tcBorders>
              <w:top w:val="single" w:sz="4" w:space="0" w:color="auto"/>
              <w:bottom w:val="single" w:sz="4" w:space="0" w:color="auto"/>
            </w:tcBorders>
            <w:vAlign w:val="center"/>
          </w:tcPr>
          <w:p w14:paraId="7F2FA796" w14:textId="77777777" w:rsidR="00571D50" w:rsidRPr="002530A2" w:rsidRDefault="00571D50" w:rsidP="00A65564">
            <w:pPr>
              <w:pStyle w:val="TableText"/>
              <w:rPr>
                <w:i/>
              </w:rPr>
            </w:pPr>
            <w:r w:rsidRPr="002530A2">
              <w:rPr>
                <w:szCs w:val="18"/>
              </w:rPr>
              <w:lastRenderedPageBreak/>
              <w:t xml:space="preserve">Am J </w:t>
            </w:r>
            <w:proofErr w:type="spellStart"/>
            <w:r w:rsidRPr="002530A2">
              <w:rPr>
                <w:szCs w:val="18"/>
              </w:rPr>
              <w:t>Geriatr</w:t>
            </w:r>
            <w:proofErr w:type="spellEnd"/>
            <w:r w:rsidRPr="002530A2">
              <w:rPr>
                <w:szCs w:val="18"/>
              </w:rPr>
              <w:t xml:space="preserve"> Psychiatry; 28(2):121-141.</w:t>
            </w:r>
          </w:p>
        </w:tc>
      </w:tr>
      <w:tr w:rsidR="00571D50" w:rsidRPr="002530A2" w14:paraId="33C4A8FF" w14:textId="77777777" w:rsidTr="00A65564">
        <w:tc>
          <w:tcPr>
            <w:tcW w:w="796" w:type="pct"/>
            <w:vMerge w:val="restart"/>
            <w:tcBorders>
              <w:top w:val="single" w:sz="4" w:space="0" w:color="auto"/>
            </w:tcBorders>
            <w:vAlign w:val="center"/>
          </w:tcPr>
          <w:p w14:paraId="5C7A8AD4" w14:textId="77777777" w:rsidR="00571D50" w:rsidRPr="002530A2" w:rsidRDefault="00571D50" w:rsidP="00A65564">
            <w:pPr>
              <w:pStyle w:val="TableText"/>
            </w:pPr>
            <w:r w:rsidRPr="002530A2">
              <w:t>SUSTAIN-1 (NCT02493868)</w:t>
            </w:r>
          </w:p>
        </w:tc>
        <w:tc>
          <w:tcPr>
            <w:tcW w:w="3027" w:type="pct"/>
            <w:tcBorders>
              <w:top w:val="single" w:sz="4" w:space="0" w:color="auto"/>
              <w:bottom w:val="single" w:sz="4" w:space="0" w:color="auto"/>
            </w:tcBorders>
            <w:vAlign w:val="center"/>
          </w:tcPr>
          <w:p w14:paraId="642CBEAE" w14:textId="77777777" w:rsidR="00571D50" w:rsidRPr="002530A2" w:rsidRDefault="00571D50" w:rsidP="00A65564">
            <w:pPr>
              <w:pStyle w:val="TableText"/>
              <w:rPr>
                <w:szCs w:val="18"/>
              </w:rPr>
            </w:pPr>
            <w:r w:rsidRPr="002530A2">
              <w:rPr>
                <w:szCs w:val="18"/>
              </w:rPr>
              <w:t xml:space="preserve">A Randomized, Double-blind, </w:t>
            </w:r>
            <w:proofErr w:type="spellStart"/>
            <w:r w:rsidRPr="002530A2">
              <w:rPr>
                <w:szCs w:val="18"/>
              </w:rPr>
              <w:t>Multicenter</w:t>
            </w:r>
            <w:proofErr w:type="spellEnd"/>
            <w:r w:rsidRPr="002530A2">
              <w:rPr>
                <w:szCs w:val="18"/>
              </w:rPr>
              <w:t xml:space="preserve">, Active-controlled Study of Intranasal </w:t>
            </w:r>
            <w:proofErr w:type="spellStart"/>
            <w:r w:rsidRPr="002530A2">
              <w:rPr>
                <w:szCs w:val="18"/>
              </w:rPr>
              <w:t>Esketamine</w:t>
            </w:r>
            <w:proofErr w:type="spellEnd"/>
            <w:r w:rsidRPr="002530A2">
              <w:rPr>
                <w:szCs w:val="18"/>
              </w:rPr>
              <w:t xml:space="preserve"> Plus an Oral Antidepressant for Relapse Prevention in Treatment-resistant Depression</w:t>
            </w:r>
          </w:p>
        </w:tc>
        <w:tc>
          <w:tcPr>
            <w:tcW w:w="1177" w:type="pct"/>
            <w:tcBorders>
              <w:top w:val="single" w:sz="4" w:space="0" w:color="auto"/>
              <w:bottom w:val="single" w:sz="4" w:space="0" w:color="auto"/>
            </w:tcBorders>
            <w:vAlign w:val="center"/>
          </w:tcPr>
          <w:p w14:paraId="239C06FC" w14:textId="77777777" w:rsidR="00571D50" w:rsidRPr="002530A2" w:rsidRDefault="00571D50" w:rsidP="00A65564">
            <w:pPr>
              <w:pStyle w:val="TableText"/>
            </w:pPr>
            <w:r w:rsidRPr="002530A2">
              <w:t>Internal study report; 15 August 2018</w:t>
            </w:r>
          </w:p>
        </w:tc>
      </w:tr>
      <w:tr w:rsidR="00571D50" w:rsidRPr="002530A2" w14:paraId="15510928" w14:textId="77777777" w:rsidTr="00A65564">
        <w:tc>
          <w:tcPr>
            <w:tcW w:w="796" w:type="pct"/>
            <w:vMerge/>
            <w:vAlign w:val="center"/>
          </w:tcPr>
          <w:p w14:paraId="1A940200" w14:textId="77777777" w:rsidR="00571D50" w:rsidRPr="002530A2" w:rsidRDefault="00571D50" w:rsidP="00A65564">
            <w:pPr>
              <w:pStyle w:val="TableText"/>
            </w:pPr>
          </w:p>
        </w:tc>
        <w:tc>
          <w:tcPr>
            <w:tcW w:w="3027" w:type="pct"/>
            <w:tcBorders>
              <w:bottom w:val="single" w:sz="4" w:space="0" w:color="auto"/>
            </w:tcBorders>
            <w:vAlign w:val="center"/>
          </w:tcPr>
          <w:p w14:paraId="3B1D78CA" w14:textId="77777777" w:rsidR="00571D50" w:rsidRPr="002530A2" w:rsidRDefault="00571D50" w:rsidP="00A65564">
            <w:pPr>
              <w:pStyle w:val="TableText"/>
            </w:pPr>
            <w:r w:rsidRPr="002530A2">
              <w:t xml:space="preserve">Daly EJ, Trivedi MH, </w:t>
            </w:r>
            <w:proofErr w:type="spellStart"/>
            <w:r w:rsidRPr="002530A2">
              <w:t>Janik</w:t>
            </w:r>
            <w:proofErr w:type="spellEnd"/>
            <w:r w:rsidRPr="002530A2">
              <w:t xml:space="preserve"> A, Li H, Zhang Y, Li X, et al. (2019). Efficacy of </w:t>
            </w:r>
            <w:proofErr w:type="spellStart"/>
            <w:r w:rsidRPr="002530A2">
              <w:t>Esketamine</w:t>
            </w:r>
            <w:proofErr w:type="spellEnd"/>
            <w:r w:rsidRPr="002530A2">
              <w:t xml:space="preserve"> Nasal Spray Plus Oral Antidepressant Treatment for Relapse Prevention in Patients With Treatment-Resistant Depression: A Randomized Clinical Trial. </w:t>
            </w:r>
          </w:p>
        </w:tc>
        <w:tc>
          <w:tcPr>
            <w:tcW w:w="1177" w:type="pct"/>
            <w:tcBorders>
              <w:bottom w:val="single" w:sz="4" w:space="0" w:color="auto"/>
            </w:tcBorders>
            <w:vAlign w:val="center"/>
          </w:tcPr>
          <w:p w14:paraId="74AFBF76" w14:textId="77777777" w:rsidR="00571D50" w:rsidRPr="002530A2" w:rsidRDefault="00571D50" w:rsidP="00A65564">
            <w:pPr>
              <w:pStyle w:val="TableText"/>
            </w:pPr>
            <w:r w:rsidRPr="002530A2">
              <w:t>JAMA Psychiatry;  76(9):893-903</w:t>
            </w:r>
          </w:p>
        </w:tc>
      </w:tr>
      <w:tr w:rsidR="00571D50" w:rsidRPr="002530A2" w14:paraId="0C453090" w14:textId="77777777" w:rsidTr="00A65564">
        <w:tc>
          <w:tcPr>
            <w:tcW w:w="796" w:type="pct"/>
            <w:vMerge/>
            <w:tcBorders>
              <w:bottom w:val="single" w:sz="4" w:space="0" w:color="auto"/>
            </w:tcBorders>
            <w:vAlign w:val="center"/>
          </w:tcPr>
          <w:p w14:paraId="60D8FD99"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7F85CE04" w14:textId="77777777" w:rsidR="00571D50" w:rsidRPr="002530A2" w:rsidRDefault="00571D50" w:rsidP="00A65564">
            <w:pPr>
              <w:pStyle w:val="TableText"/>
              <w:rPr>
                <w:szCs w:val="18"/>
              </w:rPr>
            </w:pPr>
            <w:proofErr w:type="spellStart"/>
            <w:r w:rsidRPr="002530A2">
              <w:t>Citrome</w:t>
            </w:r>
            <w:proofErr w:type="spellEnd"/>
            <w:r w:rsidRPr="002530A2">
              <w:t xml:space="preserve"> L, </w:t>
            </w:r>
            <w:proofErr w:type="spellStart"/>
            <w:r w:rsidRPr="002530A2">
              <w:t>DiBernardo</w:t>
            </w:r>
            <w:proofErr w:type="spellEnd"/>
            <w:r w:rsidRPr="002530A2">
              <w:t xml:space="preserve"> A, Singh J. (2020). Appraising </w:t>
            </w:r>
            <w:proofErr w:type="spellStart"/>
            <w:r w:rsidRPr="002530A2">
              <w:t>Esketamine</w:t>
            </w:r>
            <w:proofErr w:type="spellEnd"/>
            <w:r w:rsidRPr="002530A2">
              <w:t xml:space="preserve"> Nasal Spray for the Management of Treatment-Resistant Depression in Adults: number Needed to Treat, Number Needed to Harm, and Likelihood to be Helped/Harmed. </w:t>
            </w:r>
          </w:p>
        </w:tc>
        <w:tc>
          <w:tcPr>
            <w:tcW w:w="1177" w:type="pct"/>
            <w:tcBorders>
              <w:top w:val="single" w:sz="4" w:space="0" w:color="auto"/>
              <w:bottom w:val="single" w:sz="4" w:space="0" w:color="auto"/>
            </w:tcBorders>
            <w:vAlign w:val="center"/>
          </w:tcPr>
          <w:p w14:paraId="4B3D5DD2" w14:textId="77777777" w:rsidR="00571D50" w:rsidRPr="002530A2" w:rsidRDefault="00571D50" w:rsidP="00A65564">
            <w:pPr>
              <w:pStyle w:val="TableText"/>
            </w:pPr>
            <w:r w:rsidRPr="002530A2">
              <w:t xml:space="preserve">J </w:t>
            </w:r>
            <w:proofErr w:type="spellStart"/>
            <w:r w:rsidRPr="002530A2">
              <w:t>Aff</w:t>
            </w:r>
            <w:proofErr w:type="spellEnd"/>
            <w:r w:rsidRPr="002530A2">
              <w:t xml:space="preserve"> Dis; 271:228-238.</w:t>
            </w:r>
          </w:p>
        </w:tc>
      </w:tr>
      <w:tr w:rsidR="00571D50" w:rsidRPr="002530A2" w14:paraId="66FA572C" w14:textId="77777777" w:rsidTr="00A65564">
        <w:tc>
          <w:tcPr>
            <w:tcW w:w="796" w:type="pct"/>
            <w:vMerge w:val="restart"/>
            <w:tcBorders>
              <w:top w:val="single" w:sz="4" w:space="0" w:color="auto"/>
            </w:tcBorders>
            <w:vAlign w:val="center"/>
          </w:tcPr>
          <w:p w14:paraId="5564ADAC" w14:textId="77777777" w:rsidR="00571D50" w:rsidRPr="002530A2" w:rsidRDefault="00571D50" w:rsidP="00A65564">
            <w:pPr>
              <w:pStyle w:val="TableText"/>
            </w:pPr>
            <w:r w:rsidRPr="002530A2">
              <w:t>SUSTAIN-2 (NCT02497287)</w:t>
            </w:r>
          </w:p>
        </w:tc>
        <w:tc>
          <w:tcPr>
            <w:tcW w:w="3027" w:type="pct"/>
            <w:tcBorders>
              <w:top w:val="single" w:sz="4" w:space="0" w:color="auto"/>
              <w:bottom w:val="single" w:sz="4" w:space="0" w:color="auto"/>
            </w:tcBorders>
            <w:vAlign w:val="center"/>
          </w:tcPr>
          <w:p w14:paraId="12678384" w14:textId="77777777" w:rsidR="00571D50" w:rsidRPr="002530A2" w:rsidRDefault="00571D50" w:rsidP="00A65564">
            <w:pPr>
              <w:pStyle w:val="TableText"/>
              <w:rPr>
                <w:szCs w:val="18"/>
              </w:rPr>
            </w:pPr>
            <w:r w:rsidRPr="002530A2">
              <w:rPr>
                <w:szCs w:val="18"/>
              </w:rPr>
              <w:t xml:space="preserve">An Open-label, Long-term, Safety and Efficacy Study of Intranasal </w:t>
            </w:r>
            <w:proofErr w:type="spellStart"/>
            <w:r w:rsidRPr="002530A2">
              <w:rPr>
                <w:szCs w:val="18"/>
              </w:rPr>
              <w:t>Esketamine</w:t>
            </w:r>
            <w:proofErr w:type="spellEnd"/>
            <w:r w:rsidRPr="002530A2">
              <w:rPr>
                <w:szCs w:val="18"/>
              </w:rPr>
              <w:t xml:space="preserve"> in Treatment-resistant Depression</w:t>
            </w:r>
          </w:p>
        </w:tc>
        <w:tc>
          <w:tcPr>
            <w:tcW w:w="1177" w:type="pct"/>
            <w:tcBorders>
              <w:top w:val="single" w:sz="4" w:space="0" w:color="auto"/>
              <w:bottom w:val="single" w:sz="4" w:space="0" w:color="auto"/>
            </w:tcBorders>
            <w:vAlign w:val="center"/>
          </w:tcPr>
          <w:p w14:paraId="282D253D" w14:textId="77777777" w:rsidR="00571D50" w:rsidRPr="002530A2" w:rsidRDefault="00571D50" w:rsidP="00A65564">
            <w:pPr>
              <w:pStyle w:val="TableText"/>
            </w:pPr>
            <w:r w:rsidRPr="002530A2">
              <w:t>Internal study report; 14 August 2018</w:t>
            </w:r>
          </w:p>
        </w:tc>
      </w:tr>
      <w:tr w:rsidR="00571D50" w:rsidRPr="002530A2" w14:paraId="19A6665C" w14:textId="77777777" w:rsidTr="00A65564">
        <w:tc>
          <w:tcPr>
            <w:tcW w:w="796" w:type="pct"/>
            <w:vMerge/>
            <w:vAlign w:val="center"/>
          </w:tcPr>
          <w:p w14:paraId="2CEF0DCD"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69F12AA4" w14:textId="77777777" w:rsidR="00571D50" w:rsidRPr="002530A2" w:rsidRDefault="00571D50" w:rsidP="00A65564">
            <w:pPr>
              <w:pStyle w:val="TableText"/>
              <w:rPr>
                <w:szCs w:val="18"/>
              </w:rPr>
            </w:pPr>
            <w:proofErr w:type="spellStart"/>
            <w:r w:rsidRPr="00143CC4">
              <w:rPr>
                <w:szCs w:val="18"/>
              </w:rPr>
              <w:t>Wajs</w:t>
            </w:r>
            <w:proofErr w:type="spellEnd"/>
            <w:r w:rsidRPr="00143CC4">
              <w:rPr>
                <w:szCs w:val="18"/>
              </w:rPr>
              <w:t xml:space="preserve"> E, </w:t>
            </w:r>
            <w:proofErr w:type="spellStart"/>
            <w:r w:rsidRPr="00143CC4">
              <w:rPr>
                <w:szCs w:val="18"/>
              </w:rPr>
              <w:t>Aluisio</w:t>
            </w:r>
            <w:proofErr w:type="spellEnd"/>
            <w:r w:rsidRPr="00143CC4">
              <w:rPr>
                <w:szCs w:val="18"/>
              </w:rPr>
              <w:t xml:space="preserve"> L, Holder R, Daly EJ, et al.</w:t>
            </w:r>
            <w:r>
              <w:rPr>
                <w:szCs w:val="18"/>
              </w:rPr>
              <w:t xml:space="preserve"> (2020)</w:t>
            </w:r>
            <w:r w:rsidRPr="00143CC4">
              <w:rPr>
                <w:szCs w:val="18"/>
              </w:rPr>
              <w:t xml:space="preserve"> </w:t>
            </w:r>
            <w:proofErr w:type="spellStart"/>
            <w:r w:rsidRPr="00143CC4">
              <w:rPr>
                <w:szCs w:val="18"/>
              </w:rPr>
              <w:t>Esketamine</w:t>
            </w:r>
            <w:proofErr w:type="spellEnd"/>
            <w:r w:rsidRPr="00143CC4">
              <w:rPr>
                <w:szCs w:val="18"/>
              </w:rPr>
              <w:t xml:space="preserve"> nasal spray plus oral antidepressant in patients with treatment-resistant depression: Assessment of long-term safety in a phase 3, open-label study (sustain-2). </w:t>
            </w:r>
          </w:p>
        </w:tc>
        <w:tc>
          <w:tcPr>
            <w:tcW w:w="1177" w:type="pct"/>
            <w:tcBorders>
              <w:top w:val="single" w:sz="4" w:space="0" w:color="auto"/>
              <w:bottom w:val="single" w:sz="4" w:space="0" w:color="auto"/>
            </w:tcBorders>
            <w:vAlign w:val="center"/>
          </w:tcPr>
          <w:p w14:paraId="63FDC61E" w14:textId="77777777" w:rsidR="00571D50" w:rsidRPr="002530A2" w:rsidRDefault="00571D50" w:rsidP="00A65564">
            <w:pPr>
              <w:pStyle w:val="TableText"/>
            </w:pPr>
            <w:r w:rsidRPr="00143CC4">
              <w:rPr>
                <w:szCs w:val="18"/>
              </w:rPr>
              <w:t>J Cli</w:t>
            </w:r>
            <w:r>
              <w:rPr>
                <w:szCs w:val="18"/>
              </w:rPr>
              <w:t>n</w:t>
            </w:r>
            <w:r w:rsidRPr="00143CC4">
              <w:rPr>
                <w:szCs w:val="18"/>
              </w:rPr>
              <w:t xml:space="preserve"> Psychiatry; 81:3.</w:t>
            </w:r>
          </w:p>
        </w:tc>
      </w:tr>
      <w:tr w:rsidR="00571D50" w:rsidRPr="002530A2" w14:paraId="52CD1FDD" w14:textId="77777777" w:rsidTr="00A65564">
        <w:tc>
          <w:tcPr>
            <w:tcW w:w="796" w:type="pct"/>
            <w:vMerge/>
            <w:tcBorders>
              <w:bottom w:val="single" w:sz="4" w:space="0" w:color="auto"/>
            </w:tcBorders>
            <w:vAlign w:val="center"/>
          </w:tcPr>
          <w:p w14:paraId="1FB19BC2" w14:textId="77777777" w:rsidR="00571D50" w:rsidRPr="002530A2" w:rsidRDefault="00571D50" w:rsidP="00A65564">
            <w:pPr>
              <w:pStyle w:val="TableText"/>
            </w:pPr>
          </w:p>
        </w:tc>
        <w:tc>
          <w:tcPr>
            <w:tcW w:w="3027" w:type="pct"/>
            <w:tcBorders>
              <w:top w:val="single" w:sz="4" w:space="0" w:color="auto"/>
              <w:bottom w:val="single" w:sz="4" w:space="0" w:color="auto"/>
            </w:tcBorders>
            <w:vAlign w:val="center"/>
          </w:tcPr>
          <w:p w14:paraId="7BB12E20" w14:textId="77777777" w:rsidR="00571D50" w:rsidRPr="002530A2" w:rsidRDefault="00571D50" w:rsidP="00A65564">
            <w:pPr>
              <w:pStyle w:val="TableText"/>
              <w:rPr>
                <w:szCs w:val="18"/>
              </w:rPr>
            </w:pPr>
            <w:proofErr w:type="spellStart"/>
            <w:r w:rsidRPr="0096434C">
              <w:rPr>
                <w:szCs w:val="18"/>
              </w:rPr>
              <w:t>Nijs</w:t>
            </w:r>
            <w:proofErr w:type="spellEnd"/>
            <w:r w:rsidRPr="0096434C">
              <w:rPr>
                <w:szCs w:val="18"/>
              </w:rPr>
              <w:t xml:space="preserve"> M, </w:t>
            </w:r>
            <w:proofErr w:type="spellStart"/>
            <w:r w:rsidRPr="0096434C">
              <w:rPr>
                <w:szCs w:val="18"/>
              </w:rPr>
              <w:t>Wajs</w:t>
            </w:r>
            <w:proofErr w:type="spellEnd"/>
            <w:r w:rsidRPr="0096434C">
              <w:rPr>
                <w:szCs w:val="18"/>
              </w:rPr>
              <w:t xml:space="preserve"> E, </w:t>
            </w:r>
            <w:proofErr w:type="spellStart"/>
            <w:r w:rsidRPr="0096434C">
              <w:rPr>
                <w:szCs w:val="18"/>
              </w:rPr>
              <w:t>Aluisio</w:t>
            </w:r>
            <w:proofErr w:type="spellEnd"/>
            <w:r w:rsidRPr="0096434C">
              <w:rPr>
                <w:szCs w:val="18"/>
              </w:rPr>
              <w:t xml:space="preserve"> L, </w:t>
            </w:r>
            <w:proofErr w:type="spellStart"/>
            <w:r w:rsidRPr="0096434C">
              <w:rPr>
                <w:szCs w:val="18"/>
              </w:rPr>
              <w:t>Turkoz</w:t>
            </w:r>
            <w:proofErr w:type="spellEnd"/>
            <w:r w:rsidRPr="0096434C">
              <w:rPr>
                <w:szCs w:val="18"/>
              </w:rPr>
              <w:t xml:space="preserve"> I, et al.</w:t>
            </w:r>
            <w:r>
              <w:rPr>
                <w:szCs w:val="18"/>
              </w:rPr>
              <w:t xml:space="preserve"> (2020)</w:t>
            </w:r>
            <w:r w:rsidRPr="0096434C">
              <w:rPr>
                <w:szCs w:val="18"/>
              </w:rPr>
              <w:t xml:space="preserve"> Managing </w:t>
            </w:r>
            <w:proofErr w:type="spellStart"/>
            <w:r w:rsidRPr="0096434C">
              <w:rPr>
                <w:szCs w:val="18"/>
              </w:rPr>
              <w:t>esketamine</w:t>
            </w:r>
            <w:proofErr w:type="spellEnd"/>
            <w:r w:rsidRPr="0096434C">
              <w:rPr>
                <w:szCs w:val="18"/>
              </w:rPr>
              <w:t xml:space="preserve"> treatment frequency toward successful outcomes: Analysis of phase 3 data. </w:t>
            </w:r>
          </w:p>
        </w:tc>
        <w:tc>
          <w:tcPr>
            <w:tcW w:w="1177" w:type="pct"/>
            <w:tcBorders>
              <w:top w:val="single" w:sz="4" w:space="0" w:color="auto"/>
              <w:bottom w:val="single" w:sz="4" w:space="0" w:color="auto"/>
            </w:tcBorders>
            <w:vAlign w:val="center"/>
          </w:tcPr>
          <w:p w14:paraId="57437ADC" w14:textId="77777777" w:rsidR="00571D50" w:rsidRPr="002530A2" w:rsidRDefault="00571D50" w:rsidP="00A65564">
            <w:pPr>
              <w:pStyle w:val="TableText"/>
            </w:pPr>
            <w:r w:rsidRPr="0096434C">
              <w:rPr>
                <w:szCs w:val="18"/>
              </w:rPr>
              <w:t>In</w:t>
            </w:r>
            <w:r>
              <w:rPr>
                <w:szCs w:val="18"/>
              </w:rPr>
              <w:t>t</w:t>
            </w:r>
            <w:r w:rsidRPr="0096434C">
              <w:rPr>
                <w:szCs w:val="18"/>
              </w:rPr>
              <w:t xml:space="preserve"> J </w:t>
            </w:r>
            <w:proofErr w:type="spellStart"/>
            <w:r w:rsidRPr="0096434C">
              <w:rPr>
                <w:szCs w:val="18"/>
              </w:rPr>
              <w:t>Neuropsychopharmacol</w:t>
            </w:r>
            <w:proofErr w:type="spellEnd"/>
            <w:r w:rsidRPr="0096434C">
              <w:rPr>
                <w:szCs w:val="18"/>
              </w:rPr>
              <w:t>; 23:7 (426-433).</w:t>
            </w:r>
          </w:p>
        </w:tc>
      </w:tr>
      <w:tr w:rsidR="00571D50" w:rsidRPr="002530A2" w14:paraId="0C6636B6" w14:textId="77777777" w:rsidTr="00A65564">
        <w:tc>
          <w:tcPr>
            <w:tcW w:w="796" w:type="pct"/>
            <w:tcBorders>
              <w:top w:val="single" w:sz="4" w:space="0" w:color="auto"/>
              <w:bottom w:val="single" w:sz="4" w:space="0" w:color="auto"/>
            </w:tcBorders>
            <w:vAlign w:val="center"/>
          </w:tcPr>
          <w:p w14:paraId="224C483D" w14:textId="77777777" w:rsidR="00571D50" w:rsidRPr="002530A2" w:rsidRDefault="00571D50" w:rsidP="00A65564">
            <w:pPr>
              <w:pStyle w:val="TableText"/>
            </w:pPr>
            <w:r w:rsidRPr="002530A2">
              <w:t>SUSTAIN-3 (NCT02782104)</w:t>
            </w:r>
          </w:p>
        </w:tc>
        <w:tc>
          <w:tcPr>
            <w:tcW w:w="3027" w:type="pct"/>
            <w:tcBorders>
              <w:top w:val="single" w:sz="4" w:space="0" w:color="auto"/>
              <w:bottom w:val="single" w:sz="4" w:space="0" w:color="auto"/>
            </w:tcBorders>
            <w:vAlign w:val="center"/>
          </w:tcPr>
          <w:p w14:paraId="637C15AA" w14:textId="77777777" w:rsidR="00571D50" w:rsidRPr="002530A2" w:rsidRDefault="00571D50" w:rsidP="00A65564">
            <w:pPr>
              <w:pStyle w:val="TableText"/>
              <w:rPr>
                <w:szCs w:val="18"/>
              </w:rPr>
            </w:pPr>
            <w:r w:rsidRPr="002530A2">
              <w:rPr>
                <w:szCs w:val="18"/>
              </w:rPr>
              <w:t xml:space="preserve">An Open-label Long-term Extension Safety Study of </w:t>
            </w:r>
            <w:proofErr w:type="spellStart"/>
            <w:r w:rsidRPr="002530A2">
              <w:rPr>
                <w:szCs w:val="18"/>
              </w:rPr>
              <w:t>Esketamine</w:t>
            </w:r>
            <w:proofErr w:type="spellEnd"/>
            <w:r w:rsidRPr="002530A2">
              <w:rPr>
                <w:szCs w:val="18"/>
              </w:rPr>
              <w:t xml:space="preserve"> Nasal Spray in Treatment-resistant Depression</w:t>
            </w:r>
          </w:p>
        </w:tc>
        <w:tc>
          <w:tcPr>
            <w:tcW w:w="1177" w:type="pct"/>
            <w:tcBorders>
              <w:top w:val="single" w:sz="4" w:space="0" w:color="auto"/>
              <w:bottom w:val="single" w:sz="4" w:space="0" w:color="auto"/>
            </w:tcBorders>
            <w:vAlign w:val="center"/>
          </w:tcPr>
          <w:p w14:paraId="2A57FBDE" w14:textId="77777777" w:rsidR="00571D50" w:rsidRPr="002530A2" w:rsidRDefault="00571D50" w:rsidP="00A65564">
            <w:pPr>
              <w:pStyle w:val="TableText"/>
            </w:pPr>
            <w:r w:rsidRPr="002530A2">
              <w:t>Internal study report; 21 May 2019</w:t>
            </w:r>
          </w:p>
        </w:tc>
      </w:tr>
    </w:tbl>
    <w:p w14:paraId="484DAD66" w14:textId="77777777" w:rsidR="00571D50" w:rsidRPr="00A10E4B" w:rsidRDefault="00571D50" w:rsidP="00571D50">
      <w:pPr>
        <w:pStyle w:val="TableFigureFooter"/>
        <w:rPr>
          <w:sz w:val="20"/>
        </w:rPr>
      </w:pPr>
      <w:r w:rsidRPr="002530A2">
        <w:t>Source: Table 2-</w:t>
      </w:r>
      <w:r>
        <w:t>4</w:t>
      </w:r>
      <w:r w:rsidRPr="002530A2">
        <w:t>, p</w:t>
      </w:r>
      <w:r>
        <w:t>.69</w:t>
      </w:r>
      <w:r w:rsidRPr="002530A2">
        <w:t xml:space="preserve"> of the </w:t>
      </w:r>
      <w:r>
        <w:t>re</w:t>
      </w:r>
      <w:r w:rsidRPr="002530A2">
        <w:t>submission</w:t>
      </w:r>
    </w:p>
    <w:p w14:paraId="1DD06D7D" w14:textId="22CFFB7E" w:rsidR="007F1017" w:rsidRPr="00EC5836" w:rsidRDefault="008F120A" w:rsidP="00EC5836">
      <w:pPr>
        <w:pStyle w:val="ExecSumBodyText"/>
        <w:rPr>
          <w:color w:val="0066FF"/>
        </w:rPr>
      </w:pPr>
      <w:r w:rsidRPr="00B50DB8">
        <w:t xml:space="preserve">The key features of the </w:t>
      </w:r>
      <w:r w:rsidR="00A61D16">
        <w:t>included studies</w:t>
      </w:r>
      <w:r w:rsidRPr="00B50DB8">
        <w:t xml:space="preserve"> are summarised in the table below.</w:t>
      </w:r>
      <w:r w:rsidR="00BC591F">
        <w:t xml:space="preserve"> </w:t>
      </w:r>
    </w:p>
    <w:p w14:paraId="355E2F15" w14:textId="5C03B3C2" w:rsidR="007F1017" w:rsidRDefault="007F1017" w:rsidP="00C50DC8">
      <w:pPr>
        <w:pStyle w:val="Caption"/>
      </w:pPr>
      <w:r w:rsidRPr="00EC5836">
        <w:lastRenderedPageBreak/>
        <w:t xml:space="preserve">Table </w:t>
      </w:r>
      <w:r w:rsidR="002030D0">
        <w:fldChar w:fldCharType="begin"/>
      </w:r>
      <w:r w:rsidR="002030D0">
        <w:instrText xml:space="preserve"> SEQ Table \* ARABIC </w:instrText>
      </w:r>
      <w:r w:rsidR="002030D0">
        <w:fldChar w:fldCharType="separate"/>
      </w:r>
      <w:r w:rsidR="008E3D7A">
        <w:rPr>
          <w:noProof/>
        </w:rPr>
        <w:t>4</w:t>
      </w:r>
      <w:r w:rsidR="002030D0">
        <w:rPr>
          <w:noProof/>
        </w:rPr>
        <w:fldChar w:fldCharType="end"/>
      </w:r>
      <w:r w:rsidRPr="00D60B48">
        <w:t>:</w:t>
      </w:r>
      <w:r w:rsidRPr="00EC5836">
        <w:t xml:space="preserve">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425"/>
        <w:gridCol w:w="1738"/>
        <w:gridCol w:w="657"/>
        <w:gridCol w:w="2287"/>
        <w:gridCol w:w="1173"/>
        <w:gridCol w:w="1466"/>
      </w:tblGrid>
      <w:tr w:rsidR="00A61D16" w:rsidRPr="002530A2" w14:paraId="1447387F" w14:textId="77777777" w:rsidTr="00A65564">
        <w:trPr>
          <w:cantSplit/>
          <w:tblHeader/>
        </w:trPr>
        <w:tc>
          <w:tcPr>
            <w:tcW w:w="1271" w:type="dxa"/>
            <w:shd w:val="clear" w:color="auto" w:fill="auto"/>
            <w:vAlign w:val="center"/>
          </w:tcPr>
          <w:p w14:paraId="1ADAEB94" w14:textId="77777777" w:rsidR="00A61D16" w:rsidRPr="002530A2" w:rsidRDefault="00A61D16" w:rsidP="00C50DC8">
            <w:pPr>
              <w:pStyle w:val="Tableheadingrow"/>
              <w:rPr>
                <w:lang w:val="en-AU"/>
              </w:rPr>
            </w:pPr>
            <w:r w:rsidRPr="002530A2">
              <w:rPr>
                <w:lang w:val="en-AU"/>
              </w:rPr>
              <w:t>Trial</w:t>
            </w:r>
          </w:p>
        </w:tc>
        <w:tc>
          <w:tcPr>
            <w:tcW w:w="425" w:type="dxa"/>
            <w:shd w:val="clear" w:color="auto" w:fill="auto"/>
            <w:vAlign w:val="center"/>
          </w:tcPr>
          <w:p w14:paraId="5B8C452F" w14:textId="77777777" w:rsidR="00A61D16" w:rsidRPr="002530A2" w:rsidRDefault="00A61D16" w:rsidP="00C50DC8">
            <w:pPr>
              <w:pStyle w:val="Tableheadingrow"/>
              <w:jc w:val="center"/>
              <w:rPr>
                <w:lang w:val="en-AU"/>
              </w:rPr>
            </w:pPr>
            <w:r w:rsidRPr="002530A2">
              <w:rPr>
                <w:lang w:val="en-AU"/>
              </w:rPr>
              <w:t>N</w:t>
            </w:r>
          </w:p>
        </w:tc>
        <w:tc>
          <w:tcPr>
            <w:tcW w:w="1738" w:type="dxa"/>
            <w:shd w:val="clear" w:color="auto" w:fill="auto"/>
            <w:vAlign w:val="center"/>
          </w:tcPr>
          <w:p w14:paraId="2F4713A9" w14:textId="77777777" w:rsidR="00A61D16" w:rsidRPr="002530A2" w:rsidRDefault="00A61D16" w:rsidP="00C50DC8">
            <w:pPr>
              <w:pStyle w:val="Tableheadingrow"/>
              <w:jc w:val="center"/>
              <w:rPr>
                <w:lang w:val="en-AU"/>
              </w:rPr>
            </w:pPr>
            <w:r w:rsidRPr="002530A2">
              <w:rPr>
                <w:lang w:val="en-AU"/>
              </w:rPr>
              <w:t>Design/ duration</w:t>
            </w:r>
          </w:p>
        </w:tc>
        <w:tc>
          <w:tcPr>
            <w:tcW w:w="657" w:type="dxa"/>
            <w:shd w:val="clear" w:color="auto" w:fill="auto"/>
            <w:vAlign w:val="center"/>
          </w:tcPr>
          <w:p w14:paraId="54CA1056" w14:textId="77777777" w:rsidR="00A61D16" w:rsidRPr="002530A2" w:rsidRDefault="00A61D16" w:rsidP="00C50DC8">
            <w:pPr>
              <w:pStyle w:val="Tableheadingrow"/>
              <w:jc w:val="center"/>
              <w:rPr>
                <w:lang w:val="en-AU"/>
              </w:rPr>
            </w:pPr>
            <w:r w:rsidRPr="002530A2">
              <w:rPr>
                <w:lang w:val="en-AU"/>
              </w:rPr>
              <w:t>Risk of bias</w:t>
            </w:r>
          </w:p>
        </w:tc>
        <w:tc>
          <w:tcPr>
            <w:tcW w:w="2287" w:type="dxa"/>
            <w:shd w:val="clear" w:color="auto" w:fill="auto"/>
            <w:vAlign w:val="center"/>
          </w:tcPr>
          <w:p w14:paraId="66E19A31" w14:textId="77777777" w:rsidR="00A61D16" w:rsidRPr="002530A2" w:rsidRDefault="00A61D16" w:rsidP="00C50DC8">
            <w:pPr>
              <w:pStyle w:val="Tableheadingrow"/>
              <w:jc w:val="center"/>
              <w:rPr>
                <w:lang w:val="en-AU"/>
              </w:rPr>
            </w:pPr>
            <w:r w:rsidRPr="002530A2">
              <w:rPr>
                <w:lang w:val="en-AU"/>
              </w:rPr>
              <w:t>Patient population</w:t>
            </w:r>
          </w:p>
        </w:tc>
        <w:tc>
          <w:tcPr>
            <w:tcW w:w="1173" w:type="dxa"/>
            <w:shd w:val="clear" w:color="auto" w:fill="auto"/>
            <w:vAlign w:val="center"/>
          </w:tcPr>
          <w:p w14:paraId="77E539AA" w14:textId="77777777" w:rsidR="00A61D16" w:rsidRPr="002530A2" w:rsidRDefault="00A61D16" w:rsidP="00C50DC8">
            <w:pPr>
              <w:pStyle w:val="Tableheadingrow"/>
              <w:jc w:val="center"/>
              <w:rPr>
                <w:lang w:val="en-AU"/>
              </w:rPr>
            </w:pPr>
            <w:r w:rsidRPr="002530A2">
              <w:rPr>
                <w:lang w:val="en-AU"/>
              </w:rPr>
              <w:t>Outcomes</w:t>
            </w:r>
          </w:p>
        </w:tc>
        <w:tc>
          <w:tcPr>
            <w:tcW w:w="1466" w:type="dxa"/>
            <w:shd w:val="clear" w:color="auto" w:fill="auto"/>
            <w:vAlign w:val="center"/>
          </w:tcPr>
          <w:p w14:paraId="2FE2363B" w14:textId="77777777" w:rsidR="00A61D16" w:rsidRPr="002530A2" w:rsidRDefault="00A61D16" w:rsidP="00C50DC8">
            <w:pPr>
              <w:pStyle w:val="Tableheadingrow"/>
              <w:jc w:val="center"/>
              <w:rPr>
                <w:lang w:val="en-AU"/>
              </w:rPr>
            </w:pPr>
            <w:r w:rsidRPr="002530A2">
              <w:rPr>
                <w:lang w:val="en-AU"/>
              </w:rPr>
              <w:t>Use in modelled evaluation</w:t>
            </w:r>
          </w:p>
        </w:tc>
      </w:tr>
      <w:tr w:rsidR="00A61D16" w:rsidRPr="002530A2" w14:paraId="76F4BA12" w14:textId="77777777" w:rsidTr="00A65564">
        <w:trPr>
          <w:cantSplit/>
        </w:trPr>
        <w:tc>
          <w:tcPr>
            <w:tcW w:w="9017" w:type="dxa"/>
            <w:gridSpan w:val="7"/>
            <w:shd w:val="clear" w:color="auto" w:fill="auto"/>
            <w:vAlign w:val="center"/>
          </w:tcPr>
          <w:p w14:paraId="0B4F296C" w14:textId="5C0CCAA1" w:rsidR="00A61D16" w:rsidRPr="002530A2" w:rsidRDefault="00A61D16" w:rsidP="00C50DC8">
            <w:pPr>
              <w:pStyle w:val="Tableheadingrow"/>
              <w:rPr>
                <w:lang w:val="en-AU"/>
              </w:rPr>
            </w:pPr>
            <w:proofErr w:type="spellStart"/>
            <w:r w:rsidRPr="002530A2">
              <w:rPr>
                <w:lang w:val="en-AU"/>
              </w:rPr>
              <w:t>Esketamine</w:t>
            </w:r>
            <w:proofErr w:type="spellEnd"/>
            <w:r w:rsidRPr="002530A2">
              <w:rPr>
                <w:lang w:val="en-AU"/>
              </w:rPr>
              <w:t xml:space="preserve"> nasal spray + </w:t>
            </w:r>
            <w:r w:rsidR="00C50DC8">
              <w:rPr>
                <w:lang w:val="en-AU"/>
              </w:rPr>
              <w:t>OAD</w:t>
            </w:r>
            <w:r w:rsidRPr="002530A2">
              <w:rPr>
                <w:lang w:val="en-AU"/>
              </w:rPr>
              <w:t xml:space="preserve"> versus placebo + </w:t>
            </w:r>
            <w:r w:rsidR="00C50DC8">
              <w:rPr>
                <w:lang w:val="en-AU"/>
              </w:rPr>
              <w:t>OAD</w:t>
            </w:r>
          </w:p>
        </w:tc>
      </w:tr>
      <w:tr w:rsidR="00A61D16" w:rsidRPr="002530A2" w14:paraId="7F4C49C2" w14:textId="77777777" w:rsidTr="00A65564">
        <w:trPr>
          <w:cantSplit/>
        </w:trPr>
        <w:tc>
          <w:tcPr>
            <w:tcW w:w="1271" w:type="dxa"/>
            <w:shd w:val="clear" w:color="auto" w:fill="auto"/>
            <w:vAlign w:val="center"/>
          </w:tcPr>
          <w:p w14:paraId="25933A54" w14:textId="77777777" w:rsidR="00A61D16" w:rsidRPr="002530A2" w:rsidRDefault="00A61D16" w:rsidP="00C50DC8">
            <w:pPr>
              <w:pStyle w:val="TableText"/>
            </w:pPr>
            <w:r w:rsidRPr="002530A2">
              <w:t>TRANSFORM-2</w:t>
            </w:r>
          </w:p>
        </w:tc>
        <w:tc>
          <w:tcPr>
            <w:tcW w:w="425" w:type="dxa"/>
            <w:shd w:val="clear" w:color="auto" w:fill="auto"/>
            <w:vAlign w:val="center"/>
          </w:tcPr>
          <w:p w14:paraId="1C3170AD" w14:textId="77777777" w:rsidR="00A61D16" w:rsidRPr="002530A2" w:rsidRDefault="00A61D16" w:rsidP="00C50DC8">
            <w:pPr>
              <w:pStyle w:val="TableText"/>
              <w:jc w:val="center"/>
            </w:pPr>
            <w:r w:rsidRPr="002530A2">
              <w:t>227</w:t>
            </w:r>
          </w:p>
        </w:tc>
        <w:tc>
          <w:tcPr>
            <w:tcW w:w="1738" w:type="dxa"/>
            <w:vAlign w:val="center"/>
          </w:tcPr>
          <w:p w14:paraId="2FBC4D41" w14:textId="77777777" w:rsidR="00A61D16" w:rsidRPr="002530A2" w:rsidRDefault="00A61D16" w:rsidP="00C50DC8">
            <w:pPr>
              <w:pStyle w:val="TableText"/>
              <w:jc w:val="center"/>
            </w:pPr>
            <w:r w:rsidRPr="002530A2">
              <w:t xml:space="preserve">MC, DB, flexibly dosed (56 mg or 84 mg), active comparator RCT. Median duration of exposure was 25 days. </w:t>
            </w:r>
          </w:p>
        </w:tc>
        <w:tc>
          <w:tcPr>
            <w:tcW w:w="657" w:type="dxa"/>
            <w:vAlign w:val="center"/>
          </w:tcPr>
          <w:p w14:paraId="65EC7720" w14:textId="77777777" w:rsidR="00A61D16" w:rsidRPr="00B224F0" w:rsidRDefault="00A61D16" w:rsidP="00C50DC8">
            <w:pPr>
              <w:pStyle w:val="TableText"/>
              <w:jc w:val="center"/>
            </w:pPr>
            <w:r w:rsidRPr="00B224F0">
              <w:t>Low</w:t>
            </w:r>
          </w:p>
        </w:tc>
        <w:tc>
          <w:tcPr>
            <w:tcW w:w="2287" w:type="dxa"/>
            <w:shd w:val="clear" w:color="auto" w:fill="auto"/>
            <w:vAlign w:val="center"/>
          </w:tcPr>
          <w:p w14:paraId="3BA2EF86" w14:textId="77777777" w:rsidR="00A61D16" w:rsidRPr="002530A2" w:rsidRDefault="00A61D16" w:rsidP="00C50DC8">
            <w:pPr>
              <w:pStyle w:val="TableText"/>
              <w:jc w:val="center"/>
            </w:pPr>
            <w:r w:rsidRPr="002530A2">
              <w:t>Adults aged 18-64 years with single-episode or recurrent moderate to severe MDD, and non-response to prior treatment with 1-5 antidepressants in the current episode</w:t>
            </w:r>
          </w:p>
        </w:tc>
        <w:tc>
          <w:tcPr>
            <w:tcW w:w="1173" w:type="dxa"/>
            <w:shd w:val="clear" w:color="auto" w:fill="auto"/>
            <w:vAlign w:val="center"/>
          </w:tcPr>
          <w:p w14:paraId="74CBCCE8" w14:textId="77777777" w:rsidR="00A61D16" w:rsidRPr="002530A2" w:rsidRDefault="00A61D16" w:rsidP="00C50DC8">
            <w:pPr>
              <w:pStyle w:val="TableText"/>
              <w:jc w:val="center"/>
            </w:pPr>
            <w:r w:rsidRPr="002530A2">
              <w:t>Change from baseline in MADRS</w:t>
            </w:r>
          </w:p>
          <w:p w14:paraId="4980C955" w14:textId="77777777" w:rsidR="00A61D16" w:rsidRPr="002530A2" w:rsidRDefault="00A61D16" w:rsidP="00C50DC8">
            <w:pPr>
              <w:pStyle w:val="TableText"/>
              <w:jc w:val="center"/>
            </w:pPr>
            <w:r w:rsidRPr="002530A2">
              <w:t>Proportion achieving response/ remission</w:t>
            </w:r>
          </w:p>
        </w:tc>
        <w:tc>
          <w:tcPr>
            <w:tcW w:w="1466" w:type="dxa"/>
            <w:shd w:val="clear" w:color="auto" w:fill="auto"/>
            <w:vAlign w:val="center"/>
          </w:tcPr>
          <w:p w14:paraId="6CB88ED4" w14:textId="77777777" w:rsidR="00A61D16" w:rsidRPr="002530A2" w:rsidRDefault="00A61D16" w:rsidP="00C50DC8">
            <w:pPr>
              <w:pStyle w:val="TableText"/>
              <w:jc w:val="center"/>
            </w:pPr>
            <w:r w:rsidRPr="002530A2">
              <w:t>Proportion achieving response/ remission</w:t>
            </w:r>
          </w:p>
        </w:tc>
      </w:tr>
      <w:tr w:rsidR="001D770F" w:rsidRPr="002530A2" w14:paraId="6CAB9C66" w14:textId="77777777" w:rsidTr="00A65564">
        <w:trPr>
          <w:cantSplit/>
        </w:trPr>
        <w:tc>
          <w:tcPr>
            <w:tcW w:w="1271" w:type="dxa"/>
            <w:shd w:val="clear" w:color="auto" w:fill="auto"/>
            <w:vAlign w:val="center"/>
          </w:tcPr>
          <w:p w14:paraId="2114FB72" w14:textId="651A3CDD" w:rsidR="001D770F" w:rsidRPr="002530A2" w:rsidRDefault="001D770F" w:rsidP="00C50DC8">
            <w:pPr>
              <w:pStyle w:val="TableText"/>
            </w:pPr>
            <w:r w:rsidRPr="002530A2">
              <w:t>TRANSFORM-3</w:t>
            </w:r>
          </w:p>
        </w:tc>
        <w:tc>
          <w:tcPr>
            <w:tcW w:w="425" w:type="dxa"/>
            <w:shd w:val="clear" w:color="auto" w:fill="auto"/>
            <w:vAlign w:val="center"/>
          </w:tcPr>
          <w:p w14:paraId="3CFF1676" w14:textId="3A9DDBCD" w:rsidR="001D770F" w:rsidRPr="002530A2" w:rsidRDefault="001D770F" w:rsidP="00C50DC8">
            <w:pPr>
              <w:pStyle w:val="TableText"/>
              <w:jc w:val="center"/>
            </w:pPr>
            <w:r w:rsidRPr="002530A2">
              <w:t>138</w:t>
            </w:r>
          </w:p>
        </w:tc>
        <w:tc>
          <w:tcPr>
            <w:tcW w:w="1738" w:type="dxa"/>
          </w:tcPr>
          <w:p w14:paraId="210D82BD" w14:textId="5506286E" w:rsidR="001D770F" w:rsidRPr="002530A2" w:rsidRDefault="001D770F" w:rsidP="00C50DC8">
            <w:pPr>
              <w:pStyle w:val="TableText"/>
              <w:jc w:val="center"/>
            </w:pPr>
            <w:r w:rsidRPr="002530A2">
              <w:t xml:space="preserve">MC, DB, flexibly dosed (28 mg, 56 mg or 84 mg), active comparator RCT in older adults. Median duration of exposure was 25 days. </w:t>
            </w:r>
          </w:p>
        </w:tc>
        <w:tc>
          <w:tcPr>
            <w:tcW w:w="657" w:type="dxa"/>
            <w:vAlign w:val="center"/>
          </w:tcPr>
          <w:p w14:paraId="1E5D4648" w14:textId="6849DF72" w:rsidR="001D770F" w:rsidRPr="00B224F0" w:rsidRDefault="001D770F" w:rsidP="00C50DC8">
            <w:pPr>
              <w:pStyle w:val="TableText"/>
              <w:jc w:val="center"/>
            </w:pPr>
            <w:r w:rsidRPr="00B224F0">
              <w:t>Low</w:t>
            </w:r>
          </w:p>
        </w:tc>
        <w:tc>
          <w:tcPr>
            <w:tcW w:w="2287" w:type="dxa"/>
            <w:shd w:val="clear" w:color="auto" w:fill="auto"/>
            <w:vAlign w:val="center"/>
          </w:tcPr>
          <w:p w14:paraId="7B5E05C7" w14:textId="750E104C" w:rsidR="001D770F" w:rsidRPr="002530A2" w:rsidRDefault="001D770F" w:rsidP="00C50DC8">
            <w:pPr>
              <w:pStyle w:val="TableText"/>
              <w:jc w:val="center"/>
            </w:pPr>
            <w:r w:rsidRPr="002530A2">
              <w:t>Adults aged 65 years+ with single-episode or recurrent moderate to severe MDD, and non-response to prior treatment with 1-8 antidepressants in the current episode</w:t>
            </w:r>
          </w:p>
        </w:tc>
        <w:tc>
          <w:tcPr>
            <w:tcW w:w="1173" w:type="dxa"/>
            <w:shd w:val="clear" w:color="auto" w:fill="auto"/>
            <w:vAlign w:val="center"/>
          </w:tcPr>
          <w:p w14:paraId="3794256D" w14:textId="77777777" w:rsidR="001D770F" w:rsidRPr="002530A2" w:rsidRDefault="001D770F" w:rsidP="00C50DC8">
            <w:pPr>
              <w:pStyle w:val="TableText"/>
              <w:jc w:val="center"/>
            </w:pPr>
            <w:r w:rsidRPr="002530A2">
              <w:t>Change from baseline in MADRS</w:t>
            </w:r>
          </w:p>
          <w:p w14:paraId="6110AA63" w14:textId="496C9D24" w:rsidR="001D770F" w:rsidRPr="002530A2" w:rsidRDefault="001D770F" w:rsidP="00C50DC8">
            <w:pPr>
              <w:pStyle w:val="TableText"/>
              <w:jc w:val="center"/>
            </w:pPr>
            <w:r w:rsidRPr="002530A2">
              <w:t>Proportion achieving response/ remission</w:t>
            </w:r>
          </w:p>
        </w:tc>
        <w:tc>
          <w:tcPr>
            <w:tcW w:w="1466" w:type="dxa"/>
            <w:shd w:val="clear" w:color="auto" w:fill="auto"/>
            <w:vAlign w:val="center"/>
          </w:tcPr>
          <w:p w14:paraId="576584FC" w14:textId="3C95F3E7" w:rsidR="001D770F" w:rsidRPr="002530A2" w:rsidRDefault="001D770F" w:rsidP="00C50DC8">
            <w:pPr>
              <w:pStyle w:val="TableText"/>
              <w:jc w:val="center"/>
            </w:pPr>
            <w:r>
              <w:t xml:space="preserve">Proportion </w:t>
            </w:r>
            <w:r w:rsidR="006B4F4A">
              <w:t>achieving</w:t>
            </w:r>
            <w:r>
              <w:t xml:space="preserve"> response/</w:t>
            </w:r>
            <w:r w:rsidR="006B4F4A">
              <w:t xml:space="preserve"> </w:t>
            </w:r>
            <w:r>
              <w:t>remission</w:t>
            </w:r>
          </w:p>
        </w:tc>
      </w:tr>
      <w:tr w:rsidR="001D770F" w:rsidRPr="002530A2" w14:paraId="6A19A2FC" w14:textId="77777777" w:rsidTr="00A65564">
        <w:trPr>
          <w:cantSplit/>
        </w:trPr>
        <w:tc>
          <w:tcPr>
            <w:tcW w:w="1271" w:type="dxa"/>
            <w:shd w:val="clear" w:color="auto" w:fill="auto"/>
            <w:vAlign w:val="center"/>
          </w:tcPr>
          <w:p w14:paraId="2CB6834D" w14:textId="77777777" w:rsidR="001D770F" w:rsidRPr="002530A2" w:rsidRDefault="001D770F" w:rsidP="00C50DC8">
            <w:pPr>
              <w:pStyle w:val="TableText"/>
            </w:pPr>
            <w:r w:rsidRPr="002530A2">
              <w:t>TRANSFORM-1</w:t>
            </w:r>
          </w:p>
        </w:tc>
        <w:tc>
          <w:tcPr>
            <w:tcW w:w="425" w:type="dxa"/>
            <w:shd w:val="clear" w:color="auto" w:fill="auto"/>
            <w:vAlign w:val="center"/>
          </w:tcPr>
          <w:p w14:paraId="70D7E322" w14:textId="77777777" w:rsidR="001D770F" w:rsidRPr="002530A2" w:rsidRDefault="001D770F" w:rsidP="00C50DC8">
            <w:pPr>
              <w:pStyle w:val="TableText"/>
              <w:jc w:val="center"/>
            </w:pPr>
            <w:r w:rsidRPr="002530A2">
              <w:t>346</w:t>
            </w:r>
          </w:p>
        </w:tc>
        <w:tc>
          <w:tcPr>
            <w:tcW w:w="1738" w:type="dxa"/>
          </w:tcPr>
          <w:p w14:paraId="2531781A" w14:textId="40FAA6D4" w:rsidR="001D770F" w:rsidRPr="002530A2" w:rsidRDefault="001D770F" w:rsidP="00C50DC8">
            <w:pPr>
              <w:pStyle w:val="TableText"/>
              <w:jc w:val="center"/>
            </w:pPr>
            <w:r w:rsidRPr="002530A2">
              <w:t>MC, DB, fixed dose (56 mg or 84 mg), active comparator RCT. Median duration of exposure was 25 days.</w:t>
            </w:r>
          </w:p>
        </w:tc>
        <w:tc>
          <w:tcPr>
            <w:tcW w:w="657" w:type="dxa"/>
            <w:vAlign w:val="center"/>
          </w:tcPr>
          <w:p w14:paraId="75D954E2" w14:textId="77777777" w:rsidR="001D770F" w:rsidRPr="00B224F0" w:rsidRDefault="001D770F" w:rsidP="00C50DC8">
            <w:pPr>
              <w:pStyle w:val="TableText"/>
              <w:jc w:val="center"/>
            </w:pPr>
            <w:r w:rsidRPr="00B224F0">
              <w:t>Low</w:t>
            </w:r>
          </w:p>
        </w:tc>
        <w:tc>
          <w:tcPr>
            <w:tcW w:w="2287" w:type="dxa"/>
            <w:shd w:val="clear" w:color="auto" w:fill="auto"/>
            <w:vAlign w:val="center"/>
          </w:tcPr>
          <w:p w14:paraId="2D9A6155" w14:textId="77777777" w:rsidR="001D770F" w:rsidRPr="002530A2" w:rsidRDefault="001D770F" w:rsidP="00C50DC8">
            <w:pPr>
              <w:pStyle w:val="TableText"/>
              <w:jc w:val="center"/>
            </w:pPr>
            <w:r w:rsidRPr="002530A2">
              <w:t>Adults aged 18-64 years with single-episode or recurrent moderate to severe MDD, and non-response to prior treatment with 1-5 antidepressants in the current episode</w:t>
            </w:r>
          </w:p>
        </w:tc>
        <w:tc>
          <w:tcPr>
            <w:tcW w:w="1173" w:type="dxa"/>
            <w:shd w:val="clear" w:color="auto" w:fill="auto"/>
            <w:vAlign w:val="center"/>
          </w:tcPr>
          <w:p w14:paraId="1694BDD7" w14:textId="77777777" w:rsidR="001D770F" w:rsidRPr="002530A2" w:rsidRDefault="001D770F" w:rsidP="00C50DC8">
            <w:pPr>
              <w:pStyle w:val="TableText"/>
              <w:jc w:val="center"/>
            </w:pPr>
            <w:r w:rsidRPr="002530A2">
              <w:t>Change from baseline in MADRS</w:t>
            </w:r>
          </w:p>
          <w:p w14:paraId="6343B147" w14:textId="77777777" w:rsidR="001D770F" w:rsidRPr="002530A2" w:rsidRDefault="001D770F" w:rsidP="00C50DC8">
            <w:pPr>
              <w:pStyle w:val="TableText"/>
              <w:jc w:val="center"/>
            </w:pPr>
            <w:r w:rsidRPr="002530A2">
              <w:t>Proportion achieving response/ remission</w:t>
            </w:r>
          </w:p>
        </w:tc>
        <w:tc>
          <w:tcPr>
            <w:tcW w:w="1466" w:type="dxa"/>
            <w:shd w:val="clear" w:color="auto" w:fill="auto"/>
            <w:vAlign w:val="center"/>
          </w:tcPr>
          <w:p w14:paraId="36F4D845" w14:textId="77777777" w:rsidR="001D770F" w:rsidRPr="002530A2" w:rsidRDefault="001D770F" w:rsidP="00C50DC8">
            <w:pPr>
              <w:pStyle w:val="TableText"/>
              <w:jc w:val="center"/>
            </w:pPr>
            <w:r w:rsidRPr="002530A2">
              <w:t>Not used</w:t>
            </w:r>
          </w:p>
        </w:tc>
      </w:tr>
      <w:tr w:rsidR="001D770F" w:rsidRPr="002530A2" w14:paraId="603CE052" w14:textId="77777777" w:rsidTr="00A65564">
        <w:trPr>
          <w:cantSplit/>
        </w:trPr>
        <w:tc>
          <w:tcPr>
            <w:tcW w:w="1271" w:type="dxa"/>
            <w:shd w:val="clear" w:color="auto" w:fill="auto"/>
            <w:vAlign w:val="center"/>
          </w:tcPr>
          <w:p w14:paraId="5B8A6C18" w14:textId="77777777" w:rsidR="001D770F" w:rsidRPr="002530A2" w:rsidRDefault="001D770F" w:rsidP="00C50DC8">
            <w:pPr>
              <w:pStyle w:val="TableText"/>
            </w:pPr>
            <w:r w:rsidRPr="002530A2">
              <w:t>SUSTAIN-1</w:t>
            </w:r>
          </w:p>
        </w:tc>
        <w:tc>
          <w:tcPr>
            <w:tcW w:w="425" w:type="dxa"/>
            <w:shd w:val="clear" w:color="auto" w:fill="auto"/>
            <w:vAlign w:val="center"/>
          </w:tcPr>
          <w:p w14:paraId="6861BC31" w14:textId="77777777" w:rsidR="001D770F" w:rsidRPr="002530A2" w:rsidRDefault="001D770F" w:rsidP="00C50DC8">
            <w:pPr>
              <w:pStyle w:val="TableText"/>
              <w:jc w:val="center"/>
            </w:pPr>
            <w:r w:rsidRPr="002530A2">
              <w:t xml:space="preserve">452 </w:t>
            </w:r>
          </w:p>
        </w:tc>
        <w:tc>
          <w:tcPr>
            <w:tcW w:w="1738" w:type="dxa"/>
          </w:tcPr>
          <w:p w14:paraId="087D9E16" w14:textId="77777777" w:rsidR="001D770F" w:rsidRPr="002530A2" w:rsidRDefault="001D770F" w:rsidP="00C50DC8">
            <w:pPr>
              <w:pStyle w:val="TableText"/>
              <w:jc w:val="center"/>
            </w:pPr>
            <w:r w:rsidRPr="002530A2">
              <w:t>MC, DB, flexibly dosed (56 mg or 84 mg), active comparator RCT</w:t>
            </w:r>
            <w:r w:rsidRPr="002530A2">
              <w:rPr>
                <w:b/>
                <w:bCs w:val="0"/>
              </w:rPr>
              <w:t xml:space="preserve"> </w:t>
            </w:r>
            <w:r w:rsidRPr="002530A2">
              <w:t>relapse prevention study using a randomised withdrawal design.</w:t>
            </w:r>
            <w:r w:rsidRPr="002530A2">
              <w:rPr>
                <w:b/>
                <w:bCs w:val="0"/>
              </w:rPr>
              <w:t xml:space="preserve"> </w:t>
            </w:r>
          </w:p>
        </w:tc>
        <w:tc>
          <w:tcPr>
            <w:tcW w:w="657" w:type="dxa"/>
            <w:vAlign w:val="center"/>
          </w:tcPr>
          <w:p w14:paraId="56267640" w14:textId="77777777" w:rsidR="001D770F" w:rsidRPr="004F1290" w:rsidRDefault="001D770F" w:rsidP="00C50DC8">
            <w:pPr>
              <w:pStyle w:val="TableText"/>
              <w:jc w:val="center"/>
            </w:pPr>
            <w:r w:rsidRPr="00B224F0">
              <w:t>Unclear</w:t>
            </w:r>
          </w:p>
        </w:tc>
        <w:tc>
          <w:tcPr>
            <w:tcW w:w="2287" w:type="dxa"/>
            <w:shd w:val="clear" w:color="auto" w:fill="auto"/>
            <w:vAlign w:val="center"/>
          </w:tcPr>
          <w:p w14:paraId="1C93614D" w14:textId="77777777" w:rsidR="001D770F" w:rsidRPr="002530A2" w:rsidRDefault="001D770F" w:rsidP="00C50DC8">
            <w:pPr>
              <w:pStyle w:val="TableText"/>
              <w:jc w:val="center"/>
            </w:pPr>
            <w:r w:rsidRPr="002530A2">
              <w:t>Adults aged 18-64 years with single-episode or recurrent moderate to severe MDD, and non-response to prior treatment with 1-5 antidepressants in the current episode</w:t>
            </w:r>
          </w:p>
        </w:tc>
        <w:tc>
          <w:tcPr>
            <w:tcW w:w="1173" w:type="dxa"/>
            <w:shd w:val="clear" w:color="auto" w:fill="auto"/>
            <w:vAlign w:val="center"/>
          </w:tcPr>
          <w:p w14:paraId="5D08779A" w14:textId="77777777" w:rsidR="001D770F" w:rsidRPr="002530A2" w:rsidRDefault="001D770F" w:rsidP="00C50DC8">
            <w:pPr>
              <w:pStyle w:val="TableText"/>
              <w:jc w:val="center"/>
            </w:pPr>
            <w:r w:rsidRPr="002530A2">
              <w:t>Proportion of relapses in stable remitters/ responders</w:t>
            </w:r>
          </w:p>
        </w:tc>
        <w:tc>
          <w:tcPr>
            <w:tcW w:w="1466" w:type="dxa"/>
            <w:shd w:val="clear" w:color="auto" w:fill="auto"/>
            <w:vAlign w:val="center"/>
          </w:tcPr>
          <w:p w14:paraId="28E1245E" w14:textId="77777777" w:rsidR="001D770F" w:rsidRPr="002530A2" w:rsidRDefault="001D770F" w:rsidP="00C50DC8">
            <w:pPr>
              <w:pStyle w:val="TableText"/>
              <w:jc w:val="center"/>
            </w:pPr>
            <w:r w:rsidRPr="002530A2">
              <w:t>Proportion</w:t>
            </w:r>
            <w:r>
              <w:t>s</w:t>
            </w:r>
            <w:r w:rsidRPr="002530A2">
              <w:t xml:space="preserve"> of relapses in stable remitters/ responders</w:t>
            </w:r>
            <w:r>
              <w:t>, remission from response, recurrence from recovery</w:t>
            </w:r>
          </w:p>
        </w:tc>
      </w:tr>
      <w:tr w:rsidR="001D770F" w:rsidRPr="002530A2" w14:paraId="290176C6" w14:textId="77777777" w:rsidTr="00A65564">
        <w:trPr>
          <w:cantSplit/>
        </w:trPr>
        <w:tc>
          <w:tcPr>
            <w:tcW w:w="1271" w:type="dxa"/>
            <w:shd w:val="clear" w:color="auto" w:fill="auto"/>
            <w:vAlign w:val="center"/>
          </w:tcPr>
          <w:p w14:paraId="1A769025" w14:textId="77777777" w:rsidR="001D770F" w:rsidRPr="002530A2" w:rsidRDefault="001D770F" w:rsidP="00C50DC8">
            <w:pPr>
              <w:pStyle w:val="TableText"/>
            </w:pPr>
            <w:r w:rsidRPr="002530A2">
              <w:t>SUSTAIN-2</w:t>
            </w:r>
          </w:p>
        </w:tc>
        <w:tc>
          <w:tcPr>
            <w:tcW w:w="425" w:type="dxa"/>
            <w:shd w:val="clear" w:color="auto" w:fill="auto"/>
            <w:vAlign w:val="center"/>
          </w:tcPr>
          <w:p w14:paraId="51849390" w14:textId="77777777" w:rsidR="001D770F" w:rsidRPr="002530A2" w:rsidRDefault="001D770F" w:rsidP="00C50DC8">
            <w:pPr>
              <w:pStyle w:val="TableText"/>
              <w:jc w:val="center"/>
            </w:pPr>
            <w:r w:rsidRPr="002530A2">
              <w:t>802</w:t>
            </w:r>
          </w:p>
        </w:tc>
        <w:tc>
          <w:tcPr>
            <w:tcW w:w="1738" w:type="dxa"/>
          </w:tcPr>
          <w:p w14:paraId="661DD706" w14:textId="77777777" w:rsidR="001D770F" w:rsidRPr="002530A2" w:rsidRDefault="001D770F" w:rsidP="00C50DC8">
            <w:pPr>
              <w:pStyle w:val="TableText"/>
              <w:jc w:val="center"/>
            </w:pPr>
            <w:r w:rsidRPr="002530A2">
              <w:t>OL, MC, long-term safety study. The median duration of exposure was 22.9 weeks.</w:t>
            </w:r>
          </w:p>
        </w:tc>
        <w:tc>
          <w:tcPr>
            <w:tcW w:w="657" w:type="dxa"/>
            <w:vAlign w:val="center"/>
          </w:tcPr>
          <w:p w14:paraId="21CEE79C" w14:textId="77777777" w:rsidR="001D770F" w:rsidRPr="004F1290" w:rsidRDefault="001D770F" w:rsidP="00C50DC8">
            <w:pPr>
              <w:pStyle w:val="TableText"/>
              <w:jc w:val="center"/>
            </w:pPr>
            <w:r w:rsidRPr="00B224F0">
              <w:t>High</w:t>
            </w:r>
          </w:p>
        </w:tc>
        <w:tc>
          <w:tcPr>
            <w:tcW w:w="2287" w:type="dxa"/>
            <w:shd w:val="clear" w:color="auto" w:fill="auto"/>
            <w:vAlign w:val="center"/>
          </w:tcPr>
          <w:p w14:paraId="19980AC4" w14:textId="77777777" w:rsidR="001D770F" w:rsidRPr="002530A2" w:rsidRDefault="001D770F" w:rsidP="00C50DC8">
            <w:pPr>
              <w:pStyle w:val="TableText"/>
              <w:jc w:val="center"/>
            </w:pPr>
            <w:r w:rsidRPr="002530A2">
              <w:t>Adults aged 18 years+ with single-episode or recurrent moderate to severe MDD, and non-response to prior treatment with ≥2 antidepressants in the current episode</w:t>
            </w:r>
          </w:p>
        </w:tc>
        <w:tc>
          <w:tcPr>
            <w:tcW w:w="1173" w:type="dxa"/>
            <w:shd w:val="clear" w:color="auto" w:fill="auto"/>
            <w:vAlign w:val="center"/>
          </w:tcPr>
          <w:p w14:paraId="78E1B26E" w14:textId="77777777" w:rsidR="001D770F" w:rsidRPr="002530A2" w:rsidRDefault="001D770F" w:rsidP="00C50DC8">
            <w:pPr>
              <w:pStyle w:val="TableText"/>
              <w:jc w:val="center"/>
            </w:pPr>
            <w:r w:rsidRPr="002530A2">
              <w:t>Adverse events</w:t>
            </w:r>
          </w:p>
        </w:tc>
        <w:tc>
          <w:tcPr>
            <w:tcW w:w="1466" w:type="dxa"/>
            <w:shd w:val="clear" w:color="auto" w:fill="auto"/>
            <w:vAlign w:val="center"/>
          </w:tcPr>
          <w:p w14:paraId="05870CC4" w14:textId="77777777" w:rsidR="001D770F" w:rsidRPr="002530A2" w:rsidRDefault="001D770F" w:rsidP="00C50DC8">
            <w:pPr>
              <w:pStyle w:val="TableText"/>
              <w:jc w:val="center"/>
            </w:pPr>
            <w:r w:rsidRPr="002530A2">
              <w:t>Not used</w:t>
            </w:r>
          </w:p>
        </w:tc>
      </w:tr>
      <w:tr w:rsidR="001D770F" w:rsidRPr="002530A2" w14:paraId="1D8FF5F4" w14:textId="77777777" w:rsidTr="00A65564">
        <w:trPr>
          <w:cantSplit/>
        </w:trPr>
        <w:tc>
          <w:tcPr>
            <w:tcW w:w="1271" w:type="dxa"/>
            <w:shd w:val="clear" w:color="auto" w:fill="auto"/>
            <w:vAlign w:val="center"/>
          </w:tcPr>
          <w:p w14:paraId="38364CEB" w14:textId="77777777" w:rsidR="001D770F" w:rsidRPr="002530A2" w:rsidRDefault="001D770F" w:rsidP="00C50DC8">
            <w:pPr>
              <w:pStyle w:val="TableText"/>
            </w:pPr>
            <w:r w:rsidRPr="002530A2">
              <w:t>SUSTAIN-3</w:t>
            </w:r>
          </w:p>
        </w:tc>
        <w:tc>
          <w:tcPr>
            <w:tcW w:w="425" w:type="dxa"/>
            <w:shd w:val="clear" w:color="auto" w:fill="auto"/>
            <w:vAlign w:val="center"/>
          </w:tcPr>
          <w:p w14:paraId="163195AF" w14:textId="77777777" w:rsidR="001D770F" w:rsidRPr="002530A2" w:rsidRDefault="001D770F" w:rsidP="00C50DC8">
            <w:pPr>
              <w:pStyle w:val="TableText"/>
              <w:jc w:val="center"/>
            </w:pPr>
            <w:r w:rsidRPr="002530A2">
              <w:t>1140</w:t>
            </w:r>
          </w:p>
        </w:tc>
        <w:tc>
          <w:tcPr>
            <w:tcW w:w="1738" w:type="dxa"/>
          </w:tcPr>
          <w:p w14:paraId="07482AE7" w14:textId="77777777" w:rsidR="001D770F" w:rsidRPr="002530A2" w:rsidRDefault="001D770F" w:rsidP="00C50DC8">
            <w:pPr>
              <w:pStyle w:val="TableText"/>
              <w:jc w:val="center"/>
            </w:pPr>
            <w:r w:rsidRPr="002530A2">
              <w:t>OL, MC, long-term safety study (ongoing). The median duration of exposure was 15.2 months.</w:t>
            </w:r>
          </w:p>
        </w:tc>
        <w:tc>
          <w:tcPr>
            <w:tcW w:w="657" w:type="dxa"/>
            <w:vAlign w:val="center"/>
          </w:tcPr>
          <w:p w14:paraId="76A2889A" w14:textId="77777777" w:rsidR="001D770F" w:rsidRPr="004F1290" w:rsidRDefault="001D770F" w:rsidP="00C50DC8">
            <w:pPr>
              <w:pStyle w:val="TableText"/>
              <w:jc w:val="center"/>
            </w:pPr>
            <w:r w:rsidRPr="00B224F0">
              <w:t>High</w:t>
            </w:r>
          </w:p>
        </w:tc>
        <w:tc>
          <w:tcPr>
            <w:tcW w:w="2287" w:type="dxa"/>
            <w:shd w:val="clear" w:color="auto" w:fill="auto"/>
            <w:vAlign w:val="center"/>
          </w:tcPr>
          <w:p w14:paraId="545F6DFC" w14:textId="77777777" w:rsidR="001D770F" w:rsidRPr="002530A2" w:rsidRDefault="001D770F" w:rsidP="00C50DC8">
            <w:pPr>
              <w:pStyle w:val="TableText"/>
              <w:jc w:val="center"/>
            </w:pPr>
            <w:r w:rsidRPr="002530A2">
              <w:t>Adult and elderly people with TRD, who previously participated in TRANSFORM-1, TRANSFORM-2, SUSTAIN-1, SUSTAIN-2, TRANSFORM-3 or TRD3006</w:t>
            </w:r>
          </w:p>
        </w:tc>
        <w:tc>
          <w:tcPr>
            <w:tcW w:w="1173" w:type="dxa"/>
            <w:shd w:val="clear" w:color="auto" w:fill="auto"/>
            <w:vAlign w:val="center"/>
          </w:tcPr>
          <w:p w14:paraId="6C0B4811" w14:textId="77777777" w:rsidR="001D770F" w:rsidRPr="002530A2" w:rsidRDefault="001D770F" w:rsidP="00C50DC8">
            <w:pPr>
              <w:pStyle w:val="TableText"/>
              <w:jc w:val="center"/>
            </w:pPr>
            <w:r w:rsidRPr="002530A2">
              <w:t>Adverse events</w:t>
            </w:r>
          </w:p>
        </w:tc>
        <w:tc>
          <w:tcPr>
            <w:tcW w:w="1466" w:type="dxa"/>
            <w:shd w:val="clear" w:color="auto" w:fill="auto"/>
            <w:vAlign w:val="center"/>
          </w:tcPr>
          <w:p w14:paraId="07D8A71F" w14:textId="77777777" w:rsidR="001D770F" w:rsidRPr="002530A2" w:rsidRDefault="001D770F" w:rsidP="00C50DC8">
            <w:pPr>
              <w:pStyle w:val="TableText"/>
              <w:jc w:val="center"/>
            </w:pPr>
            <w:r w:rsidRPr="002530A2">
              <w:t>Not used</w:t>
            </w:r>
          </w:p>
        </w:tc>
      </w:tr>
    </w:tbl>
    <w:p w14:paraId="36DB5321" w14:textId="071867D6" w:rsidR="00A61D16" w:rsidRPr="002530A2" w:rsidRDefault="00A61D16" w:rsidP="00A61D16">
      <w:pPr>
        <w:pStyle w:val="TableFigureFooter"/>
      </w:pPr>
      <w:r w:rsidRPr="002530A2">
        <w:t>Source</w:t>
      </w:r>
      <w:r w:rsidRPr="006D5EA8">
        <w:t>: Table 2</w:t>
      </w:r>
      <w:r w:rsidR="005D2FC4" w:rsidRPr="006D5EA8">
        <w:t>-5</w:t>
      </w:r>
      <w:r w:rsidRPr="006D5EA8">
        <w:t>, p.</w:t>
      </w:r>
      <w:r w:rsidR="005D2FC4" w:rsidRPr="006D5EA8">
        <w:t>78</w:t>
      </w:r>
      <w:r w:rsidRPr="006D5EA8">
        <w:t>; Table 2</w:t>
      </w:r>
      <w:r w:rsidR="00B7464C" w:rsidRPr="006D5EA8">
        <w:t>-6</w:t>
      </w:r>
      <w:r w:rsidRPr="006D5EA8">
        <w:t>, p.</w:t>
      </w:r>
      <w:r w:rsidR="00B7464C" w:rsidRPr="006D5EA8">
        <w:t>79</w:t>
      </w:r>
      <w:r w:rsidRPr="006D5EA8">
        <w:t>; Table 2</w:t>
      </w:r>
      <w:r w:rsidR="00647F71" w:rsidRPr="006D5EA8">
        <w:t>-7</w:t>
      </w:r>
      <w:r w:rsidRPr="006D5EA8">
        <w:t>, p.8</w:t>
      </w:r>
      <w:r w:rsidR="00647F71" w:rsidRPr="006D5EA8">
        <w:t>5</w:t>
      </w:r>
      <w:r w:rsidRPr="006D5EA8">
        <w:t>; Table 2</w:t>
      </w:r>
      <w:r w:rsidR="00DB465D" w:rsidRPr="006D5EA8">
        <w:t>-8</w:t>
      </w:r>
      <w:r w:rsidRPr="006D5EA8">
        <w:t>, p.8</w:t>
      </w:r>
      <w:r w:rsidR="00DB465D" w:rsidRPr="006D5EA8">
        <w:t>6</w:t>
      </w:r>
      <w:r w:rsidRPr="006D5EA8">
        <w:t xml:space="preserve"> of the </w:t>
      </w:r>
      <w:r w:rsidR="00DB465D" w:rsidRPr="006D5EA8">
        <w:t>re</w:t>
      </w:r>
      <w:r w:rsidRPr="006D5EA8">
        <w:t xml:space="preserve">submission; Table 2.1, p.1; Table 2.2, p.3; Table 2.3, p.5, Attachment </w:t>
      </w:r>
      <w:r w:rsidR="006D5EA8" w:rsidRPr="006D5EA8">
        <w:t>2.5</w:t>
      </w:r>
      <w:r w:rsidRPr="006D5EA8">
        <w:t xml:space="preserve"> of the </w:t>
      </w:r>
      <w:r w:rsidR="006D5EA8" w:rsidRPr="006D5EA8">
        <w:t>re</w:t>
      </w:r>
      <w:r w:rsidRPr="006D5EA8">
        <w:t>submission</w:t>
      </w:r>
    </w:p>
    <w:p w14:paraId="1710E964" w14:textId="4B396AD8" w:rsidR="00A61D16" w:rsidRPr="002530A2" w:rsidRDefault="00A61D16" w:rsidP="00A61D16">
      <w:pPr>
        <w:pStyle w:val="TableFigureFooter"/>
        <w:rPr>
          <w:sz w:val="20"/>
        </w:rPr>
      </w:pPr>
      <w:r w:rsidRPr="002530A2">
        <w:t>Abbreviations: DB, double blind; MADRS, Montgomery-</w:t>
      </w:r>
      <w:proofErr w:type="spellStart"/>
      <w:r w:rsidRPr="002530A2">
        <w:t>Asberg</w:t>
      </w:r>
      <w:proofErr w:type="spellEnd"/>
      <w:r w:rsidRPr="002530A2">
        <w:t xml:space="preserve"> Depression Rating Scale; MC, multi-centre; MDD, major depressive disorder; </w:t>
      </w:r>
      <w:r w:rsidR="00C50DC8">
        <w:t xml:space="preserve">OAD, oral antidepressant; </w:t>
      </w:r>
      <w:r w:rsidRPr="002530A2">
        <w:t>OL, open label; RCT, randomised controlled trial; TRD, treatment-resistant depression</w:t>
      </w:r>
    </w:p>
    <w:p w14:paraId="662B2064" w14:textId="23B41159" w:rsidR="001D770F" w:rsidRDefault="001D770F" w:rsidP="001D770F">
      <w:pPr>
        <w:pStyle w:val="ExecSumBodyText"/>
      </w:pPr>
      <w:r w:rsidRPr="006B4F4A">
        <w:t xml:space="preserve">The resubmission used the results from the TRANSFORM-2 </w:t>
      </w:r>
      <w:r w:rsidR="006B4F4A" w:rsidRPr="006B4F4A">
        <w:t xml:space="preserve">and TRANSFORM-3 </w:t>
      </w:r>
      <w:r w:rsidRPr="006B4F4A">
        <w:t>trial</w:t>
      </w:r>
      <w:r w:rsidR="006B4F4A" w:rsidRPr="006B4F4A">
        <w:t>s</w:t>
      </w:r>
      <w:r w:rsidRPr="006B4F4A">
        <w:t xml:space="preserve"> as the pivotal evidence of short-term response during treatment induction</w:t>
      </w:r>
      <w:r w:rsidR="006B4F4A" w:rsidRPr="006B4F4A">
        <w:t>. These trials</w:t>
      </w:r>
      <w:r w:rsidRPr="006B4F4A">
        <w:t xml:space="preserve"> enrolled adult patients (age 18-64</w:t>
      </w:r>
      <w:r w:rsidR="006B4F4A" w:rsidRPr="006B4F4A">
        <w:t>, and 65 years and over in TRANSFORM-2 and TRANSFORM-3 respectively</w:t>
      </w:r>
      <w:r w:rsidRPr="006B4F4A">
        <w:t>)</w:t>
      </w:r>
      <w:r w:rsidR="006B4F4A" w:rsidRPr="006B4F4A">
        <w:t>,</w:t>
      </w:r>
      <w:r w:rsidRPr="006B4F4A">
        <w:t xml:space="preserve"> and evaluated </w:t>
      </w:r>
      <w:proofErr w:type="gramStart"/>
      <w:r w:rsidRPr="006B4F4A">
        <w:t>flexibly-dosed</w:t>
      </w:r>
      <w:proofErr w:type="gramEnd"/>
      <w:r w:rsidRPr="006B4F4A">
        <w:t xml:space="preserve"> </w:t>
      </w:r>
      <w:proofErr w:type="spellStart"/>
      <w:r w:rsidRPr="006B4F4A">
        <w:t>esketamine</w:t>
      </w:r>
      <w:proofErr w:type="spellEnd"/>
      <w:r w:rsidRPr="006B4F4A">
        <w:t xml:space="preserve">, consistent </w:t>
      </w:r>
      <w:r w:rsidRPr="006B4F4A">
        <w:lastRenderedPageBreak/>
        <w:t xml:space="preserve">with the product information. Results of TRANSFORM-1 (adult patients 18-64 years; fixed </w:t>
      </w:r>
      <w:proofErr w:type="spellStart"/>
      <w:r w:rsidRPr="006B4F4A">
        <w:t>esketamine</w:t>
      </w:r>
      <w:proofErr w:type="spellEnd"/>
      <w:r w:rsidRPr="006B4F4A">
        <w:t xml:space="preserve"> dose regimens) were used as supportive evidence.</w:t>
      </w:r>
    </w:p>
    <w:p w14:paraId="5124B7F4" w14:textId="5E31F865" w:rsidR="00CB503F" w:rsidRPr="002530A2" w:rsidRDefault="00CB503F" w:rsidP="00CB503F">
      <w:pPr>
        <w:pStyle w:val="ExecSumBodyText"/>
      </w:pPr>
      <w:bookmarkStart w:id="22" w:name="_Ref110342772"/>
      <w:r w:rsidRPr="002530A2">
        <w:t xml:space="preserve">SUSTAIN-1 was conducted in response to an FDA request for a maintenance of effect study using a randomised withdrawal design, to assess whether intranasal </w:t>
      </w:r>
      <w:proofErr w:type="spellStart"/>
      <w:r w:rsidRPr="002530A2">
        <w:t>esketamine</w:t>
      </w:r>
      <w:proofErr w:type="spellEnd"/>
      <w:r w:rsidRPr="002530A2">
        <w:t xml:space="preserve"> delays relapse of depressive symptoms over time versus placebo, in subjects who had previously </w:t>
      </w:r>
      <w:r>
        <w:t>achieved</w:t>
      </w:r>
      <w:r w:rsidRPr="002530A2">
        <w:t xml:space="preserve"> stable remission or response on </w:t>
      </w:r>
      <w:proofErr w:type="spellStart"/>
      <w:r w:rsidRPr="002530A2">
        <w:t>esketamine</w:t>
      </w:r>
      <w:proofErr w:type="spellEnd"/>
      <w:r w:rsidRPr="002530A2">
        <w:t xml:space="preserve"> treatment. </w:t>
      </w:r>
      <w:r>
        <w:t xml:space="preserve">Only patients who achieved stable response or remission using </w:t>
      </w:r>
      <w:proofErr w:type="spellStart"/>
      <w:r>
        <w:t>esketamine</w:t>
      </w:r>
      <w:proofErr w:type="spellEnd"/>
      <w:r>
        <w:t xml:space="preserve"> nasal spray in combination with a newly initiated </w:t>
      </w:r>
      <w:r w:rsidR="00C50DC8">
        <w:t>OAD</w:t>
      </w:r>
      <w:r>
        <w:t xml:space="preserve"> during initiation and optimisation were eligible to be randomised in the double-blind maintenance phase to either continue with </w:t>
      </w:r>
      <w:proofErr w:type="spellStart"/>
      <w:r>
        <w:t>esketamine</w:t>
      </w:r>
      <w:proofErr w:type="spellEnd"/>
      <w:r>
        <w:t xml:space="preserve"> with an </w:t>
      </w:r>
      <w:proofErr w:type="gramStart"/>
      <w:r w:rsidR="00C50DC8">
        <w:t>OAD</w:t>
      </w:r>
      <w:r>
        <w:t>, or</w:t>
      </w:r>
      <w:proofErr w:type="gramEnd"/>
      <w:r>
        <w:t xml:space="preserve"> discontinue </w:t>
      </w:r>
      <w:proofErr w:type="spellStart"/>
      <w:r>
        <w:t>esketamine</w:t>
      </w:r>
      <w:proofErr w:type="spellEnd"/>
      <w:r>
        <w:t xml:space="preserve"> and continue the </w:t>
      </w:r>
      <w:r w:rsidR="00C50DC8">
        <w:t>OAD</w:t>
      </w:r>
      <w:r w:rsidRPr="00D60B48">
        <w:t xml:space="preserve"> only.</w:t>
      </w:r>
      <w:r>
        <w:t xml:space="preserve"> </w:t>
      </w:r>
      <w:r w:rsidR="00974966" w:rsidRPr="008656C1">
        <w:t>The PBAC previously noted that th</w:t>
      </w:r>
      <w:r w:rsidRPr="008656C1">
        <w:t>is type of design is at risk of overstating the efficacy of maintenance treatment, as the comparison group is at high risk of relapse, due to abruptly stopping treatment soon after improvement (</w:t>
      </w:r>
      <w:r w:rsidR="00974966" w:rsidRPr="008656C1">
        <w:t xml:space="preserve">para 6.8, </w:t>
      </w:r>
      <w:proofErr w:type="spellStart"/>
      <w:r w:rsidR="00D46C2D" w:rsidRPr="008656C1">
        <w:t>esketamine</w:t>
      </w:r>
      <w:proofErr w:type="spellEnd"/>
      <w:r w:rsidR="00D46C2D" w:rsidRPr="008656C1">
        <w:t xml:space="preserve"> P</w:t>
      </w:r>
      <w:r w:rsidR="00974966" w:rsidRPr="008656C1">
        <w:t xml:space="preserve">SD, </w:t>
      </w:r>
      <w:r w:rsidR="0005564F" w:rsidRPr="008656C1">
        <w:t>July 2021 PBAC meeting</w:t>
      </w:r>
      <w:r w:rsidRPr="008656C1">
        <w:t xml:space="preserve">). The trial is also at risk of functional unblinding, with patients assigned to placebo realising that they are no longer on </w:t>
      </w:r>
      <w:proofErr w:type="spellStart"/>
      <w:r w:rsidRPr="008656C1">
        <w:t>esketamine</w:t>
      </w:r>
      <w:proofErr w:type="spellEnd"/>
      <w:r w:rsidRPr="008656C1">
        <w:t xml:space="preserve"> after switching, given the immediate side effects associated with </w:t>
      </w:r>
      <w:proofErr w:type="spellStart"/>
      <w:r w:rsidRPr="008656C1">
        <w:t>esketamine</w:t>
      </w:r>
      <w:proofErr w:type="spellEnd"/>
      <w:r w:rsidRPr="008656C1">
        <w:t xml:space="preserve"> use. Such a withdrawal approach is also unlikely reflective of how </w:t>
      </w:r>
      <w:proofErr w:type="spellStart"/>
      <w:r w:rsidRPr="008656C1">
        <w:t>esketamine</w:t>
      </w:r>
      <w:proofErr w:type="spellEnd"/>
      <w:r w:rsidRPr="008656C1">
        <w:t xml:space="preserve"> cessation would be undertaken in practice.</w:t>
      </w:r>
      <w:r w:rsidR="009E30C1">
        <w:t xml:space="preserve"> </w:t>
      </w:r>
      <w:r w:rsidR="00631DC7" w:rsidRPr="00D30B7F">
        <w:t xml:space="preserve">The PSCR maintained that the relapses observed in the placebo arm of SUSTAIN-1 are not attributable to the trial design or functional unblinding due to withdrawal or adverse effects. The PSCR stated the study design of the </w:t>
      </w:r>
      <w:proofErr w:type="spellStart"/>
      <w:r w:rsidR="00631DC7" w:rsidRPr="00D30B7F">
        <w:t>esketamine</w:t>
      </w:r>
      <w:proofErr w:type="spellEnd"/>
      <w:r w:rsidR="00631DC7" w:rsidRPr="00D30B7F">
        <w:t xml:space="preserve"> trials (including SUSTAIN-1) was agreed upon with both the FDA and CHMP (i.e., European regulator), and the trial results were accepted by both regulatory authorities as well as the TGA.</w:t>
      </w:r>
      <w:bookmarkEnd w:id="22"/>
    </w:p>
    <w:p w14:paraId="08B1DBD1" w14:textId="77777777" w:rsidR="00CB503F" w:rsidRPr="008656C1" w:rsidRDefault="00CB503F" w:rsidP="00CB503F">
      <w:pPr>
        <w:pStyle w:val="ExecSumBodyText"/>
      </w:pPr>
      <w:r w:rsidRPr="008656C1">
        <w:t xml:space="preserve">Maintaining blinding was a potential issue in all randomised </w:t>
      </w:r>
      <w:proofErr w:type="spellStart"/>
      <w:r w:rsidRPr="008656C1">
        <w:t>esketamine</w:t>
      </w:r>
      <w:proofErr w:type="spellEnd"/>
      <w:r w:rsidRPr="008656C1">
        <w:t xml:space="preserve"> nasal spray trials, as </w:t>
      </w:r>
      <w:proofErr w:type="spellStart"/>
      <w:r w:rsidRPr="008656C1">
        <w:t>esketamine</w:t>
      </w:r>
      <w:proofErr w:type="spellEnd"/>
      <w:r w:rsidRPr="008656C1">
        <w:t xml:space="preserve"> is known to cause transient dissociative effects in some individuals. This may also influence patient responses to outcome measurements.</w:t>
      </w:r>
    </w:p>
    <w:p w14:paraId="4033C5B0" w14:textId="069EB633" w:rsidR="00620C25" w:rsidRPr="00CB503F" w:rsidRDefault="00CB503F" w:rsidP="00EC5836">
      <w:pPr>
        <w:pStyle w:val="ExecSumBodyText"/>
      </w:pPr>
      <w:r w:rsidRPr="002530A2">
        <w:t xml:space="preserve">Across all studies, patients were excluded who had: a current or prior DSM-5 diagnosis of a psychotic disorder; a history of suicidal behaviour in the past year; intent or suicidal ideation within 6 months before screening as clinically assessed by the investigator or based on the C-SSRS scale; a history of moderate or severe substance or alcohol use disorder according to DSM-5 criteria. </w:t>
      </w:r>
      <w:r w:rsidRPr="008656C1">
        <w:t xml:space="preserve">Collectively, these features may limit generalisability to other populations. </w:t>
      </w:r>
      <w:proofErr w:type="gramStart"/>
      <w:r w:rsidRPr="008656C1">
        <w:t>In particular, although</w:t>
      </w:r>
      <w:proofErr w:type="gramEnd"/>
      <w:r w:rsidRPr="008656C1">
        <w:t xml:space="preserve"> patients with MDD with psychotic features would be eligible for treatment under the proposed restriction, due to their exclusion from the trials</w:t>
      </w:r>
      <w:r w:rsidR="00337E81" w:rsidRPr="008656C1">
        <w:t>,</w:t>
      </w:r>
      <w:r w:rsidRPr="008656C1">
        <w:t xml:space="preserve"> the safety</w:t>
      </w:r>
      <w:r w:rsidR="009733EA" w:rsidRPr="008656C1">
        <w:t xml:space="preserve"> and effectiveness</w:t>
      </w:r>
      <w:r w:rsidRPr="008656C1">
        <w:t xml:space="preserve"> of treatment with </w:t>
      </w:r>
      <w:proofErr w:type="spellStart"/>
      <w:r w:rsidRPr="008656C1">
        <w:t>esketamine</w:t>
      </w:r>
      <w:proofErr w:type="spellEnd"/>
      <w:r w:rsidRPr="008656C1">
        <w:t xml:space="preserve"> nasal spray in this population is unknown.</w:t>
      </w:r>
    </w:p>
    <w:p w14:paraId="4A4FE085" w14:textId="1C5613CC" w:rsidR="00B60939" w:rsidRPr="00C9624D" w:rsidRDefault="00B60939" w:rsidP="00EC5836">
      <w:pPr>
        <w:pStyle w:val="3-SubsectionHeading"/>
      </w:pPr>
      <w:bookmarkStart w:id="23" w:name="_Toc22897641"/>
      <w:bookmarkStart w:id="24" w:name="_Toc103767191"/>
      <w:r w:rsidRPr="00C9624D">
        <w:t>Comparative effectiveness</w:t>
      </w:r>
      <w:bookmarkEnd w:id="23"/>
      <w:bookmarkEnd w:id="24"/>
    </w:p>
    <w:p w14:paraId="75F4F6B8" w14:textId="282846DE" w:rsidR="00947360" w:rsidRPr="00947360" w:rsidRDefault="00CB503F" w:rsidP="00947360">
      <w:pPr>
        <w:pStyle w:val="ExecSumBodyText"/>
        <w:rPr>
          <w:snapToGrid/>
        </w:rPr>
      </w:pPr>
      <w:r w:rsidRPr="00947360">
        <w:rPr>
          <w:snapToGrid/>
        </w:rPr>
        <w:t xml:space="preserve">Results </w:t>
      </w:r>
      <w:r w:rsidR="002A230F" w:rsidRPr="00947360">
        <w:rPr>
          <w:snapToGrid/>
        </w:rPr>
        <w:t>we</w:t>
      </w:r>
      <w:r w:rsidRPr="00947360">
        <w:rPr>
          <w:snapToGrid/>
        </w:rPr>
        <w:t xml:space="preserve">re unchanged from the previous submission. </w:t>
      </w:r>
      <w:r w:rsidR="00947360" w:rsidRPr="00947360">
        <w:rPr>
          <w:snapToGrid/>
        </w:rPr>
        <w:t xml:space="preserve">The results of the primary efficacy endpoint for the TRANSFORM trials (change in MADRS total score from baseline to the end of the 4-week double-blind induction phase), are summarised in </w:t>
      </w:r>
      <w:r w:rsidR="00C50DC8">
        <w:rPr>
          <w:snapToGrid/>
        </w:rPr>
        <w:t>the table below</w:t>
      </w:r>
      <w:r w:rsidR="00947360" w:rsidRPr="00947360">
        <w:rPr>
          <w:snapToGrid/>
        </w:rPr>
        <w:t xml:space="preserve">. </w:t>
      </w:r>
    </w:p>
    <w:p w14:paraId="2D7B094F" w14:textId="3363ACAE" w:rsidR="00947360" w:rsidRPr="00D60B48" w:rsidRDefault="00947360" w:rsidP="00C50DC8">
      <w:pPr>
        <w:pStyle w:val="Caption"/>
      </w:pPr>
      <w:r w:rsidRPr="00D60B48">
        <w:lastRenderedPageBreak/>
        <w:t xml:space="preserve">Table </w:t>
      </w:r>
      <w:r w:rsidR="002030D0">
        <w:fldChar w:fldCharType="begin"/>
      </w:r>
      <w:r w:rsidR="002030D0">
        <w:instrText xml:space="preserve"> SEQ Table \* ARABIC </w:instrText>
      </w:r>
      <w:r w:rsidR="002030D0">
        <w:fldChar w:fldCharType="separate"/>
      </w:r>
      <w:r w:rsidR="008E3D7A">
        <w:rPr>
          <w:noProof/>
        </w:rPr>
        <w:t>5</w:t>
      </w:r>
      <w:r w:rsidR="002030D0">
        <w:rPr>
          <w:noProof/>
        </w:rPr>
        <w:fldChar w:fldCharType="end"/>
      </w:r>
      <w:r w:rsidRPr="00D60B48">
        <w:t>: Montgomery-</w:t>
      </w:r>
      <w:proofErr w:type="spellStart"/>
      <w:r w:rsidRPr="00D60B48">
        <w:t>Asberg</w:t>
      </w:r>
      <w:proofErr w:type="spellEnd"/>
      <w:r w:rsidRPr="00D60B48">
        <w:t xml:space="preserve"> Depression Rating Scale (MADRS) total score: change from baseline to Day 28 by MMRM or to Endpoint (DB) by ANCOVA LOCF; double-blind induction studies (Full analysis set)</w:t>
      </w:r>
    </w:p>
    <w:tbl>
      <w:tblPr>
        <w:tblStyle w:val="TableGrid"/>
        <w:tblW w:w="0" w:type="auto"/>
        <w:tblLayout w:type="fixed"/>
        <w:tblCellMar>
          <w:left w:w="57" w:type="dxa"/>
          <w:right w:w="57" w:type="dxa"/>
        </w:tblCellMar>
        <w:tblLook w:val="04A0" w:firstRow="1" w:lastRow="0" w:firstColumn="1" w:lastColumn="0" w:noHBand="0" w:noVBand="1"/>
      </w:tblPr>
      <w:tblGrid>
        <w:gridCol w:w="2263"/>
        <w:gridCol w:w="567"/>
        <w:gridCol w:w="1684"/>
        <w:gridCol w:w="443"/>
        <w:gridCol w:w="1808"/>
        <w:gridCol w:w="601"/>
        <w:gridCol w:w="1650"/>
      </w:tblGrid>
      <w:tr w:rsidR="00947360" w:rsidRPr="002530A2" w14:paraId="74D58FA7" w14:textId="77777777" w:rsidTr="00A65564">
        <w:tc>
          <w:tcPr>
            <w:tcW w:w="2263" w:type="dxa"/>
            <w:vMerge w:val="restart"/>
          </w:tcPr>
          <w:p w14:paraId="6420F9A8" w14:textId="77777777" w:rsidR="00947360" w:rsidRPr="002530A2" w:rsidRDefault="00947360" w:rsidP="00C50DC8">
            <w:pPr>
              <w:keepNext/>
              <w:rPr>
                <w:rFonts w:ascii="Arial Narrow" w:hAnsi="Arial Narrow"/>
                <w:sz w:val="20"/>
                <w:szCs w:val="20"/>
              </w:rPr>
            </w:pPr>
          </w:p>
        </w:tc>
        <w:tc>
          <w:tcPr>
            <w:tcW w:w="2251" w:type="dxa"/>
            <w:gridSpan w:val="2"/>
            <w:vAlign w:val="center"/>
          </w:tcPr>
          <w:p w14:paraId="601699B1" w14:textId="77777777" w:rsidR="00947360" w:rsidRPr="002530A2" w:rsidRDefault="00947360" w:rsidP="00C50DC8">
            <w:pPr>
              <w:keepNext/>
              <w:jc w:val="center"/>
              <w:rPr>
                <w:rFonts w:ascii="Arial Narrow" w:hAnsi="Arial Narrow"/>
                <w:b/>
                <w:bCs/>
                <w:sz w:val="20"/>
                <w:szCs w:val="20"/>
              </w:rPr>
            </w:pPr>
            <w:r w:rsidRPr="002530A2">
              <w:rPr>
                <w:rFonts w:ascii="Arial Narrow" w:hAnsi="Arial Narrow"/>
                <w:b/>
                <w:bCs/>
                <w:sz w:val="20"/>
                <w:szCs w:val="20"/>
              </w:rPr>
              <w:t>Baseline</w:t>
            </w:r>
          </w:p>
        </w:tc>
        <w:tc>
          <w:tcPr>
            <w:tcW w:w="2251" w:type="dxa"/>
            <w:gridSpan w:val="2"/>
          </w:tcPr>
          <w:p w14:paraId="5E12F836" w14:textId="77777777" w:rsidR="00947360" w:rsidRPr="002530A2" w:rsidRDefault="00947360" w:rsidP="00C50DC8">
            <w:pPr>
              <w:keepNext/>
              <w:jc w:val="center"/>
              <w:rPr>
                <w:rFonts w:ascii="Arial Narrow" w:hAnsi="Arial Narrow"/>
                <w:b/>
                <w:bCs/>
                <w:sz w:val="20"/>
                <w:szCs w:val="20"/>
              </w:rPr>
            </w:pPr>
            <w:r w:rsidRPr="002530A2">
              <w:rPr>
                <w:rFonts w:ascii="Arial Narrow" w:hAnsi="Arial Narrow"/>
                <w:b/>
                <w:bCs/>
                <w:sz w:val="20"/>
                <w:szCs w:val="20"/>
              </w:rPr>
              <w:t>MMRM change from baseline to Day 28</w:t>
            </w:r>
          </w:p>
        </w:tc>
        <w:tc>
          <w:tcPr>
            <w:tcW w:w="2251" w:type="dxa"/>
            <w:gridSpan w:val="2"/>
          </w:tcPr>
          <w:p w14:paraId="18C91273" w14:textId="77777777" w:rsidR="00947360" w:rsidRPr="002530A2" w:rsidRDefault="00947360" w:rsidP="00C50DC8">
            <w:pPr>
              <w:keepNext/>
              <w:jc w:val="center"/>
              <w:rPr>
                <w:rFonts w:ascii="Arial Narrow" w:hAnsi="Arial Narrow"/>
                <w:b/>
                <w:bCs/>
                <w:sz w:val="20"/>
                <w:szCs w:val="20"/>
              </w:rPr>
            </w:pPr>
            <w:r w:rsidRPr="002530A2">
              <w:rPr>
                <w:rFonts w:ascii="Arial Narrow" w:hAnsi="Arial Narrow"/>
                <w:b/>
                <w:bCs/>
                <w:sz w:val="20"/>
                <w:szCs w:val="20"/>
              </w:rPr>
              <w:t>ANCOVA change from baseline to Day 28</w:t>
            </w:r>
          </w:p>
        </w:tc>
      </w:tr>
      <w:tr w:rsidR="00947360" w:rsidRPr="002530A2" w14:paraId="5955D7CA" w14:textId="77777777" w:rsidTr="00A65564">
        <w:tc>
          <w:tcPr>
            <w:tcW w:w="2263" w:type="dxa"/>
            <w:vMerge/>
          </w:tcPr>
          <w:p w14:paraId="3FF4FD9E" w14:textId="77777777" w:rsidR="00947360" w:rsidRPr="002530A2" w:rsidRDefault="00947360" w:rsidP="00C50DC8">
            <w:pPr>
              <w:keepNext/>
              <w:rPr>
                <w:rFonts w:ascii="Arial Narrow" w:hAnsi="Arial Narrow"/>
                <w:sz w:val="20"/>
                <w:szCs w:val="20"/>
              </w:rPr>
            </w:pPr>
          </w:p>
        </w:tc>
        <w:tc>
          <w:tcPr>
            <w:tcW w:w="567" w:type="dxa"/>
          </w:tcPr>
          <w:p w14:paraId="34B26B4B" w14:textId="77777777" w:rsidR="00947360" w:rsidRPr="002530A2" w:rsidRDefault="00947360" w:rsidP="00C50DC8">
            <w:pPr>
              <w:keepNext/>
              <w:jc w:val="center"/>
              <w:rPr>
                <w:rFonts w:ascii="Arial Narrow" w:hAnsi="Arial Narrow"/>
                <w:b/>
                <w:bCs/>
                <w:sz w:val="20"/>
                <w:szCs w:val="20"/>
              </w:rPr>
            </w:pPr>
            <w:r w:rsidRPr="002530A2">
              <w:rPr>
                <w:rFonts w:ascii="Arial Narrow" w:hAnsi="Arial Narrow"/>
                <w:b/>
                <w:bCs/>
                <w:sz w:val="20"/>
                <w:szCs w:val="20"/>
              </w:rPr>
              <w:t>N</w:t>
            </w:r>
          </w:p>
        </w:tc>
        <w:tc>
          <w:tcPr>
            <w:tcW w:w="1684" w:type="dxa"/>
          </w:tcPr>
          <w:p w14:paraId="3BCAEE5E" w14:textId="77777777" w:rsidR="00947360" w:rsidRPr="002530A2" w:rsidRDefault="00947360" w:rsidP="00C50DC8">
            <w:pPr>
              <w:keepNext/>
              <w:jc w:val="center"/>
              <w:rPr>
                <w:rFonts w:ascii="Arial Narrow" w:hAnsi="Arial Narrow"/>
                <w:b/>
                <w:bCs/>
                <w:sz w:val="20"/>
                <w:szCs w:val="20"/>
              </w:rPr>
            </w:pPr>
            <w:r w:rsidRPr="002530A2">
              <w:rPr>
                <w:rFonts w:ascii="Arial Narrow" w:hAnsi="Arial Narrow"/>
                <w:b/>
                <w:bCs/>
                <w:sz w:val="20"/>
                <w:szCs w:val="20"/>
              </w:rPr>
              <w:t>Mean (SD)</w:t>
            </w:r>
          </w:p>
        </w:tc>
        <w:tc>
          <w:tcPr>
            <w:tcW w:w="443" w:type="dxa"/>
          </w:tcPr>
          <w:p w14:paraId="732768FB" w14:textId="77777777" w:rsidR="00947360" w:rsidRPr="002530A2" w:rsidRDefault="00947360" w:rsidP="00C50DC8">
            <w:pPr>
              <w:keepNext/>
              <w:jc w:val="center"/>
              <w:rPr>
                <w:rFonts w:ascii="Arial Narrow" w:hAnsi="Arial Narrow"/>
                <w:b/>
                <w:bCs/>
                <w:sz w:val="20"/>
                <w:szCs w:val="20"/>
              </w:rPr>
            </w:pPr>
            <w:r w:rsidRPr="002530A2">
              <w:rPr>
                <w:rFonts w:ascii="Arial Narrow" w:hAnsi="Arial Narrow"/>
                <w:b/>
                <w:bCs/>
                <w:sz w:val="20"/>
                <w:szCs w:val="20"/>
              </w:rPr>
              <w:t>N</w:t>
            </w:r>
          </w:p>
        </w:tc>
        <w:tc>
          <w:tcPr>
            <w:tcW w:w="1808" w:type="dxa"/>
          </w:tcPr>
          <w:p w14:paraId="49F36769" w14:textId="77777777" w:rsidR="00947360" w:rsidRPr="002530A2" w:rsidRDefault="00947360" w:rsidP="00C50DC8">
            <w:pPr>
              <w:keepNext/>
              <w:jc w:val="center"/>
              <w:rPr>
                <w:rFonts w:ascii="Arial Narrow" w:hAnsi="Arial Narrow"/>
                <w:b/>
                <w:bCs/>
                <w:sz w:val="20"/>
                <w:szCs w:val="20"/>
              </w:rPr>
            </w:pPr>
            <w:r w:rsidRPr="002530A2">
              <w:rPr>
                <w:rFonts w:ascii="Arial Narrow" w:hAnsi="Arial Narrow"/>
                <w:b/>
                <w:bCs/>
                <w:sz w:val="20"/>
                <w:szCs w:val="20"/>
              </w:rPr>
              <w:t>Mean (SD)</w:t>
            </w:r>
          </w:p>
        </w:tc>
        <w:tc>
          <w:tcPr>
            <w:tcW w:w="601" w:type="dxa"/>
          </w:tcPr>
          <w:p w14:paraId="19D2F54C" w14:textId="77777777" w:rsidR="00947360" w:rsidRPr="002530A2" w:rsidRDefault="00947360" w:rsidP="00C50DC8">
            <w:pPr>
              <w:keepNext/>
              <w:jc w:val="center"/>
              <w:rPr>
                <w:rFonts w:ascii="Arial Narrow" w:hAnsi="Arial Narrow"/>
                <w:b/>
                <w:bCs/>
                <w:sz w:val="20"/>
                <w:szCs w:val="20"/>
              </w:rPr>
            </w:pPr>
            <w:r w:rsidRPr="002530A2">
              <w:rPr>
                <w:rFonts w:ascii="Arial Narrow" w:hAnsi="Arial Narrow"/>
                <w:b/>
                <w:bCs/>
                <w:sz w:val="20"/>
                <w:szCs w:val="20"/>
              </w:rPr>
              <w:t>N</w:t>
            </w:r>
          </w:p>
        </w:tc>
        <w:tc>
          <w:tcPr>
            <w:tcW w:w="1650" w:type="dxa"/>
          </w:tcPr>
          <w:p w14:paraId="4D192965" w14:textId="77777777" w:rsidR="00947360" w:rsidRPr="002530A2" w:rsidRDefault="00947360" w:rsidP="00C50DC8">
            <w:pPr>
              <w:keepNext/>
              <w:jc w:val="center"/>
              <w:rPr>
                <w:rFonts w:ascii="Arial Narrow" w:hAnsi="Arial Narrow"/>
                <w:b/>
                <w:bCs/>
                <w:sz w:val="20"/>
                <w:szCs w:val="20"/>
              </w:rPr>
            </w:pPr>
            <w:r w:rsidRPr="002530A2">
              <w:rPr>
                <w:rFonts w:ascii="Arial Narrow" w:hAnsi="Arial Narrow"/>
                <w:b/>
                <w:bCs/>
                <w:sz w:val="20"/>
                <w:szCs w:val="20"/>
              </w:rPr>
              <w:t>Mean (SD)</w:t>
            </w:r>
          </w:p>
        </w:tc>
      </w:tr>
      <w:tr w:rsidR="00947360" w:rsidRPr="002530A2" w14:paraId="4E7A42DE" w14:textId="77777777" w:rsidTr="00A65564">
        <w:tc>
          <w:tcPr>
            <w:tcW w:w="9016" w:type="dxa"/>
            <w:gridSpan w:val="7"/>
          </w:tcPr>
          <w:p w14:paraId="4D4440E4" w14:textId="77777777" w:rsidR="00947360" w:rsidRPr="002530A2" w:rsidRDefault="00947360" w:rsidP="00C50DC8">
            <w:pPr>
              <w:keepNext/>
              <w:jc w:val="left"/>
              <w:rPr>
                <w:rFonts w:ascii="Arial Narrow" w:hAnsi="Arial Narrow"/>
                <w:sz w:val="20"/>
                <w:szCs w:val="20"/>
              </w:rPr>
            </w:pPr>
            <w:r w:rsidRPr="002530A2">
              <w:rPr>
                <w:rFonts w:ascii="Arial Narrow" w:hAnsi="Arial Narrow"/>
                <w:b/>
                <w:bCs/>
                <w:sz w:val="20"/>
                <w:szCs w:val="20"/>
              </w:rPr>
              <w:t>TRANSFORM-2</w:t>
            </w:r>
            <w:r>
              <w:rPr>
                <w:rFonts w:ascii="Arial Narrow" w:hAnsi="Arial Narrow"/>
                <w:b/>
                <w:bCs/>
                <w:sz w:val="20"/>
                <w:szCs w:val="20"/>
              </w:rPr>
              <w:t xml:space="preserve"> (flexible dosing, a</w:t>
            </w:r>
            <w:r w:rsidRPr="009F2CFF">
              <w:rPr>
                <w:rFonts w:ascii="Arial Narrow" w:hAnsi="Arial Narrow"/>
                <w:b/>
                <w:bCs/>
                <w:sz w:val="20"/>
                <w:szCs w:val="20"/>
              </w:rPr>
              <w:t>dult patients 18-64 years of age with TRD)</w:t>
            </w:r>
          </w:p>
        </w:tc>
      </w:tr>
      <w:tr w:rsidR="00947360" w:rsidRPr="002530A2" w14:paraId="3E9DB0D2" w14:textId="77777777" w:rsidTr="00A65564">
        <w:tc>
          <w:tcPr>
            <w:tcW w:w="2263" w:type="dxa"/>
            <w:vAlign w:val="center"/>
          </w:tcPr>
          <w:p w14:paraId="436428E6" w14:textId="77777777" w:rsidR="00947360" w:rsidRPr="002530A2" w:rsidRDefault="00947360" w:rsidP="00C50DC8">
            <w:pPr>
              <w:keepNext/>
              <w:jc w:val="left"/>
              <w:rPr>
                <w:rFonts w:ascii="Arial Narrow" w:hAnsi="Arial Narrow"/>
                <w:sz w:val="20"/>
                <w:szCs w:val="20"/>
              </w:rPr>
            </w:pPr>
            <w:proofErr w:type="spellStart"/>
            <w:r w:rsidRPr="002530A2">
              <w:rPr>
                <w:rFonts w:ascii="Arial Narrow" w:hAnsi="Arial Narrow"/>
                <w:bCs/>
                <w:sz w:val="20"/>
                <w:szCs w:val="20"/>
              </w:rPr>
              <w:t>Esketamine+OAD</w:t>
            </w:r>
            <w:proofErr w:type="spellEnd"/>
          </w:p>
        </w:tc>
        <w:tc>
          <w:tcPr>
            <w:tcW w:w="567" w:type="dxa"/>
          </w:tcPr>
          <w:p w14:paraId="7481C8C2"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114</w:t>
            </w:r>
          </w:p>
        </w:tc>
        <w:tc>
          <w:tcPr>
            <w:tcW w:w="1684" w:type="dxa"/>
            <w:vAlign w:val="center"/>
          </w:tcPr>
          <w:p w14:paraId="31FFA613"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37.0 (5.69)</w:t>
            </w:r>
          </w:p>
        </w:tc>
        <w:tc>
          <w:tcPr>
            <w:tcW w:w="443" w:type="dxa"/>
          </w:tcPr>
          <w:p w14:paraId="3792FA73"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101</w:t>
            </w:r>
          </w:p>
        </w:tc>
        <w:tc>
          <w:tcPr>
            <w:tcW w:w="1808" w:type="dxa"/>
            <w:vAlign w:val="center"/>
          </w:tcPr>
          <w:p w14:paraId="1C9ED590"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-21.4 (12.32)</w:t>
            </w:r>
          </w:p>
        </w:tc>
        <w:tc>
          <w:tcPr>
            <w:tcW w:w="601" w:type="dxa"/>
          </w:tcPr>
          <w:p w14:paraId="1473A93E"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112</w:t>
            </w:r>
          </w:p>
        </w:tc>
        <w:tc>
          <w:tcPr>
            <w:tcW w:w="1650" w:type="dxa"/>
            <w:vAlign w:val="center"/>
          </w:tcPr>
          <w:p w14:paraId="34305E48"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-19.6 (13.58)</w:t>
            </w:r>
          </w:p>
        </w:tc>
      </w:tr>
      <w:tr w:rsidR="00947360" w:rsidRPr="002530A2" w14:paraId="15BBA9EE" w14:textId="77777777" w:rsidTr="00A65564">
        <w:tc>
          <w:tcPr>
            <w:tcW w:w="2263" w:type="dxa"/>
            <w:vAlign w:val="center"/>
          </w:tcPr>
          <w:p w14:paraId="429538C3" w14:textId="77777777" w:rsidR="00947360" w:rsidRPr="002530A2" w:rsidRDefault="00947360" w:rsidP="00C50DC8">
            <w:pPr>
              <w:keepNext/>
              <w:jc w:val="left"/>
              <w:rPr>
                <w:rFonts w:ascii="Arial Narrow" w:hAnsi="Arial Narrow"/>
                <w:sz w:val="20"/>
                <w:szCs w:val="20"/>
              </w:rPr>
            </w:pPr>
            <w:proofErr w:type="spellStart"/>
            <w:r w:rsidRPr="002530A2">
              <w:rPr>
                <w:rFonts w:ascii="Arial Narrow" w:hAnsi="Arial Narrow"/>
                <w:bCs/>
                <w:sz w:val="20"/>
                <w:szCs w:val="20"/>
              </w:rPr>
              <w:t>Placebo+OAD</w:t>
            </w:r>
            <w:proofErr w:type="spellEnd"/>
          </w:p>
        </w:tc>
        <w:tc>
          <w:tcPr>
            <w:tcW w:w="567" w:type="dxa"/>
          </w:tcPr>
          <w:p w14:paraId="71AF6DD3"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109</w:t>
            </w:r>
          </w:p>
        </w:tc>
        <w:tc>
          <w:tcPr>
            <w:tcW w:w="1684" w:type="dxa"/>
            <w:vAlign w:val="center"/>
          </w:tcPr>
          <w:p w14:paraId="72152173"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37.3 (5.66)</w:t>
            </w:r>
          </w:p>
        </w:tc>
        <w:tc>
          <w:tcPr>
            <w:tcW w:w="443" w:type="dxa"/>
          </w:tcPr>
          <w:p w14:paraId="2FB124E6"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100</w:t>
            </w:r>
          </w:p>
        </w:tc>
        <w:tc>
          <w:tcPr>
            <w:tcW w:w="1808" w:type="dxa"/>
            <w:vAlign w:val="center"/>
          </w:tcPr>
          <w:p w14:paraId="39E16997"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-17.0 (13.88)</w:t>
            </w:r>
          </w:p>
        </w:tc>
        <w:tc>
          <w:tcPr>
            <w:tcW w:w="601" w:type="dxa"/>
          </w:tcPr>
          <w:p w14:paraId="179C9E20"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109</w:t>
            </w:r>
          </w:p>
        </w:tc>
        <w:tc>
          <w:tcPr>
            <w:tcW w:w="1650" w:type="dxa"/>
            <w:vAlign w:val="center"/>
          </w:tcPr>
          <w:p w14:paraId="6E6AE40D"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-16.3 (14.24)</w:t>
            </w:r>
          </w:p>
        </w:tc>
      </w:tr>
      <w:tr w:rsidR="00947360" w:rsidRPr="002530A2" w14:paraId="018C89B2" w14:textId="77777777" w:rsidTr="00A65564">
        <w:tc>
          <w:tcPr>
            <w:tcW w:w="4514" w:type="dxa"/>
            <w:gridSpan w:val="3"/>
            <w:vAlign w:val="center"/>
          </w:tcPr>
          <w:p w14:paraId="5B72D5D1" w14:textId="77777777" w:rsidR="00947360" w:rsidRPr="002530A2" w:rsidRDefault="00947360" w:rsidP="00C50DC8">
            <w:pPr>
              <w:keepNext/>
              <w:jc w:val="left"/>
              <w:rPr>
                <w:rFonts w:ascii="Arial Narrow" w:hAnsi="Arial Narrow"/>
                <w:sz w:val="20"/>
                <w:szCs w:val="20"/>
              </w:rPr>
            </w:pPr>
            <w:r w:rsidRPr="002530A2">
              <w:rPr>
                <w:rFonts w:ascii="Arial Narrow" w:hAnsi="Arial Narrow"/>
                <w:bCs/>
                <w:sz w:val="20"/>
                <w:szCs w:val="20"/>
              </w:rPr>
              <w:t>Mean difference (95% CI)</w:t>
            </w:r>
          </w:p>
        </w:tc>
        <w:tc>
          <w:tcPr>
            <w:tcW w:w="443" w:type="dxa"/>
          </w:tcPr>
          <w:p w14:paraId="5F81A245"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w:t>
            </w:r>
          </w:p>
        </w:tc>
        <w:tc>
          <w:tcPr>
            <w:tcW w:w="1808" w:type="dxa"/>
            <w:vAlign w:val="center"/>
          </w:tcPr>
          <w:p w14:paraId="0B3B07C3" w14:textId="77777777" w:rsidR="00947360" w:rsidRPr="002530A2" w:rsidRDefault="00947360" w:rsidP="00C50DC8">
            <w:pPr>
              <w:keepNext/>
              <w:jc w:val="center"/>
              <w:rPr>
                <w:rFonts w:ascii="Arial Narrow" w:hAnsi="Arial Narrow"/>
                <w:sz w:val="20"/>
                <w:szCs w:val="20"/>
              </w:rPr>
            </w:pPr>
            <w:r w:rsidRPr="002530A2">
              <w:rPr>
                <w:rFonts w:ascii="Arial Narrow" w:hAnsi="Arial Narrow"/>
                <w:b/>
                <w:bCs/>
                <w:sz w:val="20"/>
                <w:szCs w:val="20"/>
              </w:rPr>
              <w:t>-4.0 (-7.3, -0.6)</w:t>
            </w:r>
          </w:p>
        </w:tc>
        <w:tc>
          <w:tcPr>
            <w:tcW w:w="601" w:type="dxa"/>
          </w:tcPr>
          <w:p w14:paraId="72A57D62"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w:t>
            </w:r>
          </w:p>
        </w:tc>
        <w:tc>
          <w:tcPr>
            <w:tcW w:w="1650" w:type="dxa"/>
            <w:vAlign w:val="center"/>
          </w:tcPr>
          <w:p w14:paraId="51C8059F" w14:textId="77777777" w:rsidR="00947360" w:rsidRPr="002530A2" w:rsidRDefault="00947360" w:rsidP="00C50DC8">
            <w:pPr>
              <w:keepNext/>
              <w:jc w:val="center"/>
              <w:rPr>
                <w:rFonts w:ascii="Arial Narrow" w:hAnsi="Arial Narrow"/>
                <w:sz w:val="20"/>
                <w:szCs w:val="20"/>
              </w:rPr>
            </w:pPr>
            <w:r w:rsidRPr="002530A2">
              <w:rPr>
                <w:rFonts w:ascii="Arial Narrow" w:hAnsi="Arial Narrow"/>
                <w:b/>
                <w:bCs/>
                <w:sz w:val="20"/>
                <w:szCs w:val="20"/>
              </w:rPr>
              <w:t>-3.5 (-6.7, -0.3)</w:t>
            </w:r>
          </w:p>
        </w:tc>
      </w:tr>
      <w:tr w:rsidR="00947360" w:rsidRPr="002530A2" w14:paraId="7E36DD9B" w14:textId="77777777" w:rsidTr="00A65564">
        <w:tc>
          <w:tcPr>
            <w:tcW w:w="9016" w:type="dxa"/>
            <w:gridSpan w:val="7"/>
          </w:tcPr>
          <w:p w14:paraId="078B187B" w14:textId="77777777" w:rsidR="00947360" w:rsidRPr="002530A2" w:rsidRDefault="00947360" w:rsidP="00C50DC8">
            <w:pPr>
              <w:keepNext/>
              <w:jc w:val="left"/>
              <w:rPr>
                <w:rFonts w:ascii="Arial Narrow" w:hAnsi="Arial Narrow"/>
                <w:sz w:val="20"/>
                <w:szCs w:val="20"/>
              </w:rPr>
            </w:pPr>
            <w:r w:rsidRPr="002530A2">
              <w:rPr>
                <w:rFonts w:ascii="Arial Narrow" w:hAnsi="Arial Narrow"/>
                <w:b/>
                <w:sz w:val="20"/>
                <w:szCs w:val="20"/>
              </w:rPr>
              <w:t>TRANSFORM-3</w:t>
            </w:r>
            <w:r>
              <w:rPr>
                <w:rFonts w:ascii="Arial Narrow" w:hAnsi="Arial Narrow"/>
                <w:b/>
                <w:sz w:val="20"/>
                <w:szCs w:val="20"/>
              </w:rPr>
              <w:t xml:space="preserve"> (flexible dosing, older </w:t>
            </w:r>
            <w:r w:rsidRPr="00796FB5">
              <w:rPr>
                <w:rFonts w:ascii="Arial Narrow" w:hAnsi="Arial Narrow"/>
                <w:b/>
                <w:sz w:val="20"/>
                <w:szCs w:val="20"/>
              </w:rPr>
              <w:t xml:space="preserve">patients </w:t>
            </w:r>
            <w:r>
              <w:rPr>
                <w:rFonts w:ascii="Arial Narrow" w:hAnsi="Arial Narrow"/>
                <w:b/>
                <w:sz w:val="20"/>
                <w:szCs w:val="20"/>
              </w:rPr>
              <w:t>≥</w:t>
            </w:r>
            <w:r w:rsidRPr="00796FB5">
              <w:rPr>
                <w:rFonts w:ascii="Arial Narrow" w:hAnsi="Arial Narrow"/>
                <w:b/>
                <w:sz w:val="20"/>
                <w:szCs w:val="20"/>
              </w:rPr>
              <w:t xml:space="preserve"> 65 years of age with TRD)</w:t>
            </w:r>
          </w:p>
        </w:tc>
      </w:tr>
      <w:tr w:rsidR="00947360" w:rsidRPr="002530A2" w14:paraId="46024A8E" w14:textId="77777777" w:rsidTr="00A65564">
        <w:tc>
          <w:tcPr>
            <w:tcW w:w="2263" w:type="dxa"/>
            <w:vAlign w:val="center"/>
          </w:tcPr>
          <w:p w14:paraId="19E06E1F" w14:textId="77777777" w:rsidR="00947360" w:rsidRPr="002530A2" w:rsidRDefault="00947360" w:rsidP="00C50DC8">
            <w:pPr>
              <w:keepNext/>
              <w:jc w:val="left"/>
              <w:rPr>
                <w:rFonts w:ascii="Arial Narrow" w:hAnsi="Arial Narrow"/>
                <w:sz w:val="20"/>
                <w:szCs w:val="20"/>
              </w:rPr>
            </w:pPr>
            <w:proofErr w:type="spellStart"/>
            <w:r w:rsidRPr="002530A2">
              <w:rPr>
                <w:rFonts w:ascii="Arial Narrow" w:hAnsi="Arial Narrow"/>
                <w:bCs/>
                <w:sz w:val="20"/>
                <w:szCs w:val="20"/>
              </w:rPr>
              <w:t>Esketamine+OAD</w:t>
            </w:r>
            <w:proofErr w:type="spellEnd"/>
          </w:p>
        </w:tc>
        <w:tc>
          <w:tcPr>
            <w:tcW w:w="567" w:type="dxa"/>
          </w:tcPr>
          <w:p w14:paraId="51ED5F39"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72</w:t>
            </w:r>
          </w:p>
        </w:tc>
        <w:tc>
          <w:tcPr>
            <w:tcW w:w="1684" w:type="dxa"/>
            <w:vAlign w:val="center"/>
          </w:tcPr>
          <w:p w14:paraId="1A6ADDE2"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35.5 (5.91)</w:t>
            </w:r>
          </w:p>
        </w:tc>
        <w:tc>
          <w:tcPr>
            <w:tcW w:w="443" w:type="dxa"/>
          </w:tcPr>
          <w:p w14:paraId="10CEE838"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63</w:t>
            </w:r>
          </w:p>
        </w:tc>
        <w:tc>
          <w:tcPr>
            <w:tcW w:w="1808" w:type="dxa"/>
            <w:vAlign w:val="center"/>
          </w:tcPr>
          <w:p w14:paraId="6CAF59E6"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-10.0 (12.74)</w:t>
            </w:r>
          </w:p>
        </w:tc>
        <w:tc>
          <w:tcPr>
            <w:tcW w:w="601" w:type="dxa"/>
          </w:tcPr>
          <w:p w14:paraId="1E18B72E"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71</w:t>
            </w:r>
          </w:p>
        </w:tc>
        <w:tc>
          <w:tcPr>
            <w:tcW w:w="1650" w:type="dxa"/>
            <w:vAlign w:val="center"/>
          </w:tcPr>
          <w:p w14:paraId="35382578"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-9.3 (12.28)</w:t>
            </w:r>
          </w:p>
        </w:tc>
      </w:tr>
      <w:tr w:rsidR="00947360" w:rsidRPr="002530A2" w14:paraId="11117743" w14:textId="77777777" w:rsidTr="00A65564">
        <w:tc>
          <w:tcPr>
            <w:tcW w:w="2263" w:type="dxa"/>
            <w:vAlign w:val="center"/>
          </w:tcPr>
          <w:p w14:paraId="60F2FAE2" w14:textId="77777777" w:rsidR="00947360" w:rsidRPr="002530A2" w:rsidRDefault="00947360" w:rsidP="00C50DC8">
            <w:pPr>
              <w:keepNext/>
              <w:jc w:val="left"/>
              <w:rPr>
                <w:rFonts w:ascii="Arial Narrow" w:hAnsi="Arial Narrow"/>
                <w:sz w:val="20"/>
                <w:szCs w:val="20"/>
              </w:rPr>
            </w:pPr>
            <w:proofErr w:type="spellStart"/>
            <w:r w:rsidRPr="002530A2">
              <w:rPr>
                <w:rFonts w:ascii="Arial Narrow" w:hAnsi="Arial Narrow"/>
                <w:bCs/>
                <w:sz w:val="20"/>
                <w:szCs w:val="20"/>
              </w:rPr>
              <w:t>Placebo+OAD</w:t>
            </w:r>
            <w:proofErr w:type="spellEnd"/>
          </w:p>
        </w:tc>
        <w:tc>
          <w:tcPr>
            <w:tcW w:w="567" w:type="dxa"/>
          </w:tcPr>
          <w:p w14:paraId="648F8D03"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65</w:t>
            </w:r>
          </w:p>
        </w:tc>
        <w:tc>
          <w:tcPr>
            <w:tcW w:w="1684" w:type="dxa"/>
            <w:vAlign w:val="center"/>
          </w:tcPr>
          <w:p w14:paraId="72218EEB"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34.8 (6.44)</w:t>
            </w:r>
          </w:p>
        </w:tc>
        <w:tc>
          <w:tcPr>
            <w:tcW w:w="443" w:type="dxa"/>
          </w:tcPr>
          <w:p w14:paraId="0C74BD9E"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60</w:t>
            </w:r>
          </w:p>
        </w:tc>
        <w:tc>
          <w:tcPr>
            <w:tcW w:w="1808" w:type="dxa"/>
            <w:vAlign w:val="center"/>
          </w:tcPr>
          <w:p w14:paraId="759B0DC4"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-6.3 (8.86)</w:t>
            </w:r>
          </w:p>
        </w:tc>
        <w:tc>
          <w:tcPr>
            <w:tcW w:w="601" w:type="dxa"/>
          </w:tcPr>
          <w:p w14:paraId="586C2152"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64</w:t>
            </w:r>
          </w:p>
        </w:tc>
        <w:tc>
          <w:tcPr>
            <w:tcW w:w="1650" w:type="dxa"/>
            <w:vAlign w:val="center"/>
          </w:tcPr>
          <w:p w14:paraId="47473037"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-5.6 (9.11)</w:t>
            </w:r>
          </w:p>
        </w:tc>
      </w:tr>
      <w:tr w:rsidR="00947360" w:rsidRPr="002530A2" w14:paraId="3C1409B2" w14:textId="77777777" w:rsidTr="00A65564">
        <w:tc>
          <w:tcPr>
            <w:tcW w:w="4514" w:type="dxa"/>
            <w:gridSpan w:val="3"/>
            <w:vAlign w:val="center"/>
          </w:tcPr>
          <w:p w14:paraId="6619118A" w14:textId="77777777" w:rsidR="00947360" w:rsidRPr="002530A2" w:rsidRDefault="00947360" w:rsidP="00C50DC8">
            <w:pPr>
              <w:keepNext/>
              <w:jc w:val="left"/>
              <w:rPr>
                <w:rFonts w:ascii="Arial Narrow" w:hAnsi="Arial Narrow"/>
                <w:sz w:val="20"/>
                <w:szCs w:val="20"/>
              </w:rPr>
            </w:pPr>
            <w:r w:rsidRPr="002530A2">
              <w:rPr>
                <w:rFonts w:ascii="Arial Narrow" w:hAnsi="Arial Narrow"/>
                <w:bCs/>
                <w:sz w:val="20"/>
                <w:szCs w:val="20"/>
              </w:rPr>
              <w:t>Mean difference (95% CI)</w:t>
            </w:r>
          </w:p>
        </w:tc>
        <w:tc>
          <w:tcPr>
            <w:tcW w:w="443" w:type="dxa"/>
          </w:tcPr>
          <w:p w14:paraId="6AC2D0EB"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w:t>
            </w:r>
          </w:p>
        </w:tc>
        <w:tc>
          <w:tcPr>
            <w:tcW w:w="1808" w:type="dxa"/>
            <w:vAlign w:val="center"/>
          </w:tcPr>
          <w:p w14:paraId="4ED5B5E4"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-3.6 (-7.2, 0.1)</w:t>
            </w:r>
          </w:p>
        </w:tc>
        <w:tc>
          <w:tcPr>
            <w:tcW w:w="601" w:type="dxa"/>
          </w:tcPr>
          <w:p w14:paraId="77AFC298"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w:t>
            </w:r>
          </w:p>
        </w:tc>
        <w:tc>
          <w:tcPr>
            <w:tcW w:w="1650" w:type="dxa"/>
            <w:vAlign w:val="center"/>
          </w:tcPr>
          <w:p w14:paraId="2CC92819"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-3.6 (-7.2, 0.0)</w:t>
            </w:r>
          </w:p>
        </w:tc>
      </w:tr>
      <w:tr w:rsidR="00947360" w:rsidRPr="002530A2" w14:paraId="00C06812" w14:textId="77777777" w:rsidTr="00A65564">
        <w:tc>
          <w:tcPr>
            <w:tcW w:w="9016" w:type="dxa"/>
            <w:gridSpan w:val="7"/>
          </w:tcPr>
          <w:p w14:paraId="67C4B77F" w14:textId="77777777" w:rsidR="00947360" w:rsidRPr="002530A2" w:rsidRDefault="00947360" w:rsidP="00C50DC8">
            <w:pPr>
              <w:keepNext/>
              <w:jc w:val="left"/>
              <w:rPr>
                <w:rFonts w:ascii="Arial Narrow" w:hAnsi="Arial Narrow"/>
                <w:sz w:val="20"/>
                <w:szCs w:val="20"/>
              </w:rPr>
            </w:pPr>
            <w:r w:rsidRPr="002530A2">
              <w:rPr>
                <w:rFonts w:ascii="Arial Narrow" w:hAnsi="Arial Narrow"/>
                <w:b/>
                <w:sz w:val="20"/>
                <w:szCs w:val="20"/>
              </w:rPr>
              <w:t>TRANSFORM-1</w:t>
            </w:r>
            <w:r>
              <w:rPr>
                <w:rFonts w:ascii="Arial Narrow" w:hAnsi="Arial Narrow"/>
                <w:b/>
                <w:sz w:val="20"/>
                <w:szCs w:val="20"/>
              </w:rPr>
              <w:t xml:space="preserve"> </w:t>
            </w:r>
            <w:r>
              <w:rPr>
                <w:rFonts w:ascii="Arial Narrow" w:hAnsi="Arial Narrow"/>
                <w:b/>
                <w:bCs/>
                <w:sz w:val="20"/>
                <w:szCs w:val="20"/>
              </w:rPr>
              <w:t>(fixed dosing, a</w:t>
            </w:r>
            <w:r w:rsidRPr="009F2CFF">
              <w:rPr>
                <w:rFonts w:ascii="Arial Narrow" w:hAnsi="Arial Narrow"/>
                <w:b/>
                <w:bCs/>
                <w:sz w:val="20"/>
                <w:szCs w:val="20"/>
              </w:rPr>
              <w:t>dult patients 18-64 years of age with TRD)</w:t>
            </w:r>
          </w:p>
        </w:tc>
      </w:tr>
      <w:tr w:rsidR="00947360" w:rsidRPr="002530A2" w14:paraId="40A26199" w14:textId="77777777" w:rsidTr="00A65564">
        <w:tc>
          <w:tcPr>
            <w:tcW w:w="2263" w:type="dxa"/>
            <w:vAlign w:val="center"/>
          </w:tcPr>
          <w:p w14:paraId="70652159" w14:textId="77777777" w:rsidR="00947360" w:rsidRPr="002530A2" w:rsidRDefault="00947360" w:rsidP="00C50DC8">
            <w:pPr>
              <w:keepNext/>
              <w:jc w:val="left"/>
              <w:rPr>
                <w:rFonts w:ascii="Arial Narrow" w:hAnsi="Arial Narrow"/>
                <w:bCs/>
                <w:sz w:val="20"/>
                <w:szCs w:val="20"/>
              </w:rPr>
            </w:pPr>
            <w:proofErr w:type="spellStart"/>
            <w:r w:rsidRPr="002530A2">
              <w:rPr>
                <w:rFonts w:ascii="Arial Narrow" w:hAnsi="Arial Narrow"/>
                <w:bCs/>
                <w:sz w:val="20"/>
                <w:szCs w:val="20"/>
              </w:rPr>
              <w:t>Esketamine</w:t>
            </w:r>
            <w:proofErr w:type="spellEnd"/>
            <w:r w:rsidRPr="002530A2">
              <w:rPr>
                <w:rFonts w:ascii="Arial Narrow" w:hAnsi="Arial Narrow"/>
                <w:bCs/>
                <w:sz w:val="20"/>
                <w:szCs w:val="20"/>
              </w:rPr>
              <w:t xml:space="preserve"> 56 mg + OAD</w:t>
            </w:r>
          </w:p>
        </w:tc>
        <w:tc>
          <w:tcPr>
            <w:tcW w:w="567" w:type="dxa"/>
          </w:tcPr>
          <w:p w14:paraId="72BD56FB"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115</w:t>
            </w:r>
          </w:p>
        </w:tc>
        <w:tc>
          <w:tcPr>
            <w:tcW w:w="1684" w:type="dxa"/>
            <w:vAlign w:val="center"/>
          </w:tcPr>
          <w:p w14:paraId="64BEC61B"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37.4 (4.76)</w:t>
            </w:r>
          </w:p>
        </w:tc>
        <w:tc>
          <w:tcPr>
            <w:tcW w:w="443" w:type="dxa"/>
          </w:tcPr>
          <w:p w14:paraId="05C2DB72"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111</w:t>
            </w:r>
          </w:p>
        </w:tc>
        <w:tc>
          <w:tcPr>
            <w:tcW w:w="1808" w:type="dxa"/>
            <w:vAlign w:val="center"/>
          </w:tcPr>
          <w:p w14:paraId="1F694B87"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-19.0 (13.86)</w:t>
            </w:r>
          </w:p>
        </w:tc>
        <w:tc>
          <w:tcPr>
            <w:tcW w:w="601" w:type="dxa"/>
          </w:tcPr>
          <w:p w14:paraId="25834CD7"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115</w:t>
            </w:r>
          </w:p>
        </w:tc>
        <w:tc>
          <w:tcPr>
            <w:tcW w:w="1650" w:type="dxa"/>
            <w:vAlign w:val="center"/>
          </w:tcPr>
          <w:p w14:paraId="3927A2EE"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-18.3 (14.21)</w:t>
            </w:r>
          </w:p>
        </w:tc>
      </w:tr>
      <w:tr w:rsidR="00947360" w:rsidRPr="002530A2" w14:paraId="5F7589F4" w14:textId="77777777" w:rsidTr="00A65564">
        <w:tc>
          <w:tcPr>
            <w:tcW w:w="2263" w:type="dxa"/>
            <w:vAlign w:val="center"/>
          </w:tcPr>
          <w:p w14:paraId="3086FBF5" w14:textId="77777777" w:rsidR="00947360" w:rsidRPr="002530A2" w:rsidRDefault="00947360" w:rsidP="00C50DC8">
            <w:pPr>
              <w:keepNext/>
              <w:jc w:val="left"/>
              <w:rPr>
                <w:rFonts w:ascii="Arial Narrow" w:hAnsi="Arial Narrow"/>
                <w:bCs/>
                <w:sz w:val="20"/>
                <w:szCs w:val="20"/>
              </w:rPr>
            </w:pPr>
            <w:proofErr w:type="spellStart"/>
            <w:r w:rsidRPr="002530A2">
              <w:rPr>
                <w:rFonts w:ascii="Arial Narrow" w:hAnsi="Arial Narrow"/>
                <w:bCs/>
                <w:sz w:val="20"/>
                <w:szCs w:val="20"/>
              </w:rPr>
              <w:t>Esketamine</w:t>
            </w:r>
            <w:proofErr w:type="spellEnd"/>
            <w:r w:rsidRPr="002530A2">
              <w:rPr>
                <w:rFonts w:ascii="Arial Narrow" w:hAnsi="Arial Narrow"/>
                <w:bCs/>
                <w:sz w:val="20"/>
                <w:szCs w:val="20"/>
              </w:rPr>
              <w:t xml:space="preserve"> 84 mg + OAD</w:t>
            </w:r>
          </w:p>
        </w:tc>
        <w:tc>
          <w:tcPr>
            <w:tcW w:w="567" w:type="dxa"/>
          </w:tcPr>
          <w:p w14:paraId="457CA385"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114</w:t>
            </w:r>
          </w:p>
        </w:tc>
        <w:tc>
          <w:tcPr>
            <w:tcW w:w="1684" w:type="dxa"/>
            <w:vAlign w:val="center"/>
          </w:tcPr>
          <w:p w14:paraId="599A0406"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37.8 (5.58)</w:t>
            </w:r>
          </w:p>
        </w:tc>
        <w:tc>
          <w:tcPr>
            <w:tcW w:w="443" w:type="dxa"/>
          </w:tcPr>
          <w:p w14:paraId="04994ACD"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98</w:t>
            </w:r>
          </w:p>
        </w:tc>
        <w:tc>
          <w:tcPr>
            <w:tcW w:w="1808" w:type="dxa"/>
            <w:vAlign w:val="center"/>
          </w:tcPr>
          <w:p w14:paraId="07D74E2D"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-18.8 (14.12)</w:t>
            </w:r>
          </w:p>
        </w:tc>
        <w:tc>
          <w:tcPr>
            <w:tcW w:w="601" w:type="dxa"/>
          </w:tcPr>
          <w:p w14:paraId="69DED48F"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113</w:t>
            </w:r>
          </w:p>
        </w:tc>
        <w:tc>
          <w:tcPr>
            <w:tcW w:w="1650" w:type="dxa"/>
            <w:vAlign w:val="center"/>
          </w:tcPr>
          <w:p w14:paraId="248D6557"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-17.4 (14.25)</w:t>
            </w:r>
          </w:p>
        </w:tc>
      </w:tr>
      <w:tr w:rsidR="00947360" w:rsidRPr="002530A2" w14:paraId="465DF4A0" w14:textId="77777777" w:rsidTr="00A65564">
        <w:tc>
          <w:tcPr>
            <w:tcW w:w="2263" w:type="dxa"/>
            <w:vAlign w:val="center"/>
          </w:tcPr>
          <w:p w14:paraId="3B3A3D31" w14:textId="77777777" w:rsidR="00947360" w:rsidRPr="002530A2" w:rsidRDefault="00947360" w:rsidP="00C50DC8">
            <w:pPr>
              <w:keepNext/>
              <w:jc w:val="left"/>
              <w:rPr>
                <w:rFonts w:ascii="Arial Narrow" w:hAnsi="Arial Narrow"/>
                <w:bCs/>
                <w:sz w:val="20"/>
                <w:szCs w:val="20"/>
              </w:rPr>
            </w:pPr>
            <w:r w:rsidRPr="002530A2">
              <w:rPr>
                <w:rFonts w:ascii="Arial Narrow" w:hAnsi="Arial Narrow"/>
                <w:bCs/>
                <w:sz w:val="20"/>
                <w:szCs w:val="20"/>
              </w:rPr>
              <w:t>Placebo + OAD</w:t>
            </w:r>
          </w:p>
        </w:tc>
        <w:tc>
          <w:tcPr>
            <w:tcW w:w="567" w:type="dxa"/>
          </w:tcPr>
          <w:p w14:paraId="444A5BB0"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113</w:t>
            </w:r>
          </w:p>
        </w:tc>
        <w:tc>
          <w:tcPr>
            <w:tcW w:w="1684" w:type="dxa"/>
            <w:vAlign w:val="center"/>
          </w:tcPr>
          <w:p w14:paraId="73AC5570"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37.5 (6.16)</w:t>
            </w:r>
          </w:p>
        </w:tc>
        <w:tc>
          <w:tcPr>
            <w:tcW w:w="443" w:type="dxa"/>
          </w:tcPr>
          <w:p w14:paraId="3556961C"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108</w:t>
            </w:r>
          </w:p>
        </w:tc>
        <w:tc>
          <w:tcPr>
            <w:tcW w:w="1808" w:type="dxa"/>
            <w:vAlign w:val="center"/>
          </w:tcPr>
          <w:p w14:paraId="55C983B7"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-14.8 (15.07)</w:t>
            </w:r>
          </w:p>
        </w:tc>
        <w:tc>
          <w:tcPr>
            <w:tcW w:w="601" w:type="dxa"/>
          </w:tcPr>
          <w:p w14:paraId="2ECEF1A0"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113</w:t>
            </w:r>
          </w:p>
        </w:tc>
        <w:tc>
          <w:tcPr>
            <w:tcW w:w="1650" w:type="dxa"/>
            <w:vAlign w:val="center"/>
          </w:tcPr>
          <w:p w14:paraId="5418616A"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-14.3 (15.00)</w:t>
            </w:r>
          </w:p>
        </w:tc>
      </w:tr>
      <w:tr w:rsidR="00947360" w:rsidRPr="002530A2" w14:paraId="12BA73D3" w14:textId="77777777" w:rsidTr="00A65564">
        <w:tc>
          <w:tcPr>
            <w:tcW w:w="4514" w:type="dxa"/>
            <w:gridSpan w:val="3"/>
            <w:vAlign w:val="center"/>
          </w:tcPr>
          <w:p w14:paraId="1D7E8527" w14:textId="77777777" w:rsidR="00947360" w:rsidRPr="002530A2" w:rsidRDefault="00947360" w:rsidP="00C50DC8">
            <w:pPr>
              <w:keepNext/>
              <w:jc w:val="left"/>
              <w:rPr>
                <w:rFonts w:ascii="Arial Narrow" w:hAnsi="Arial Narrow"/>
                <w:sz w:val="20"/>
                <w:szCs w:val="20"/>
              </w:rPr>
            </w:pPr>
            <w:r w:rsidRPr="002530A2">
              <w:rPr>
                <w:rFonts w:ascii="Arial Narrow" w:hAnsi="Arial Narrow"/>
                <w:bCs/>
                <w:sz w:val="20"/>
                <w:szCs w:val="20"/>
              </w:rPr>
              <w:t>Mean difference, ESK 56 mg vs placebo (95% CI)</w:t>
            </w:r>
          </w:p>
        </w:tc>
        <w:tc>
          <w:tcPr>
            <w:tcW w:w="443" w:type="dxa"/>
          </w:tcPr>
          <w:p w14:paraId="19C6F9A5"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w:t>
            </w:r>
          </w:p>
        </w:tc>
        <w:tc>
          <w:tcPr>
            <w:tcW w:w="1808" w:type="dxa"/>
            <w:vAlign w:val="center"/>
          </w:tcPr>
          <w:p w14:paraId="0163E591"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-4.1 (-7.7, -0.5)</w:t>
            </w:r>
          </w:p>
        </w:tc>
        <w:tc>
          <w:tcPr>
            <w:tcW w:w="601" w:type="dxa"/>
          </w:tcPr>
          <w:p w14:paraId="706AAF1C"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w:t>
            </w:r>
          </w:p>
        </w:tc>
        <w:tc>
          <w:tcPr>
            <w:tcW w:w="1650" w:type="dxa"/>
            <w:vAlign w:val="center"/>
          </w:tcPr>
          <w:p w14:paraId="47CCB14B"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-4.1 (-7.5, -0.6)</w:t>
            </w:r>
          </w:p>
        </w:tc>
      </w:tr>
      <w:tr w:rsidR="00947360" w:rsidRPr="002530A2" w14:paraId="6FCC4ED4" w14:textId="77777777" w:rsidTr="00A65564">
        <w:tc>
          <w:tcPr>
            <w:tcW w:w="4514" w:type="dxa"/>
            <w:gridSpan w:val="3"/>
            <w:vAlign w:val="center"/>
          </w:tcPr>
          <w:p w14:paraId="15FA1682" w14:textId="77777777" w:rsidR="00947360" w:rsidRPr="002530A2" w:rsidRDefault="00947360" w:rsidP="00C50DC8">
            <w:pPr>
              <w:keepNext/>
              <w:jc w:val="left"/>
              <w:rPr>
                <w:rFonts w:ascii="Arial Narrow" w:hAnsi="Arial Narrow"/>
                <w:sz w:val="20"/>
                <w:szCs w:val="20"/>
              </w:rPr>
            </w:pPr>
            <w:r w:rsidRPr="002530A2">
              <w:rPr>
                <w:rFonts w:ascii="Arial Narrow" w:hAnsi="Arial Narrow"/>
                <w:bCs/>
                <w:sz w:val="20"/>
                <w:szCs w:val="20"/>
              </w:rPr>
              <w:t>Mean difference, ESK 84 mg vs placebo (95% CI)</w:t>
            </w:r>
          </w:p>
        </w:tc>
        <w:tc>
          <w:tcPr>
            <w:tcW w:w="443" w:type="dxa"/>
          </w:tcPr>
          <w:p w14:paraId="363E3D30"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w:t>
            </w:r>
          </w:p>
        </w:tc>
        <w:tc>
          <w:tcPr>
            <w:tcW w:w="1808" w:type="dxa"/>
            <w:vAlign w:val="center"/>
          </w:tcPr>
          <w:p w14:paraId="0CBE2A9D"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-3.2 (-6.9, 0.5)</w:t>
            </w:r>
          </w:p>
        </w:tc>
        <w:tc>
          <w:tcPr>
            <w:tcW w:w="601" w:type="dxa"/>
          </w:tcPr>
          <w:p w14:paraId="76758A25" w14:textId="77777777" w:rsidR="00947360" w:rsidRPr="002530A2" w:rsidRDefault="00947360" w:rsidP="00C50DC8">
            <w:pPr>
              <w:keepNext/>
              <w:jc w:val="center"/>
              <w:rPr>
                <w:rFonts w:ascii="Arial Narrow" w:hAnsi="Arial Narrow"/>
                <w:sz w:val="20"/>
                <w:szCs w:val="20"/>
              </w:rPr>
            </w:pPr>
            <w:r w:rsidRPr="002530A2">
              <w:rPr>
                <w:rFonts w:ascii="Arial Narrow" w:hAnsi="Arial Narrow"/>
                <w:sz w:val="20"/>
                <w:szCs w:val="20"/>
              </w:rPr>
              <w:t>-</w:t>
            </w:r>
          </w:p>
        </w:tc>
        <w:tc>
          <w:tcPr>
            <w:tcW w:w="1650" w:type="dxa"/>
            <w:vAlign w:val="center"/>
          </w:tcPr>
          <w:p w14:paraId="1641A7BA" w14:textId="77777777" w:rsidR="00947360" w:rsidRPr="002530A2" w:rsidRDefault="00947360" w:rsidP="00C50DC8">
            <w:pPr>
              <w:keepNext/>
              <w:jc w:val="center"/>
              <w:rPr>
                <w:rFonts w:ascii="Arial Narrow" w:hAnsi="Arial Narrow"/>
                <w:sz w:val="20"/>
                <w:szCs w:val="20"/>
              </w:rPr>
            </w:pPr>
            <w:r w:rsidRPr="002530A2">
              <w:rPr>
                <w:rFonts w:ascii="Arial Narrow" w:hAnsi="Arial Narrow"/>
                <w:bCs/>
                <w:sz w:val="20"/>
                <w:szCs w:val="20"/>
              </w:rPr>
              <w:t>-2.0 (-5.5, 1.4)</w:t>
            </w:r>
          </w:p>
        </w:tc>
      </w:tr>
    </w:tbl>
    <w:p w14:paraId="0BF90711" w14:textId="77777777" w:rsidR="00947360" w:rsidRPr="002530A2" w:rsidRDefault="00947360" w:rsidP="00527701">
      <w:pPr>
        <w:pStyle w:val="TableFigureFooter"/>
      </w:pPr>
      <w:r w:rsidRPr="002530A2">
        <w:t>Source: Table 2</w:t>
      </w:r>
      <w:r>
        <w:t>-13</w:t>
      </w:r>
      <w:r w:rsidRPr="002530A2">
        <w:t>, p.1</w:t>
      </w:r>
      <w:r>
        <w:t>14</w:t>
      </w:r>
      <w:r w:rsidRPr="002530A2">
        <w:t xml:space="preserve"> of the </w:t>
      </w:r>
      <w:r>
        <w:t>re</w:t>
      </w:r>
      <w:r w:rsidRPr="002530A2">
        <w:t>submission</w:t>
      </w:r>
      <w:r>
        <w:t>; Table 2.50, Attachment 2.6 of the resubmission</w:t>
      </w:r>
    </w:p>
    <w:p w14:paraId="6B90C7F4" w14:textId="77777777" w:rsidR="00947360" w:rsidRPr="002530A2" w:rsidRDefault="00947360" w:rsidP="00527701">
      <w:pPr>
        <w:pStyle w:val="TableFigureFooter"/>
      </w:pPr>
      <w:r w:rsidRPr="002530A2">
        <w:t xml:space="preserve">Abbreviations: ANCOVA, analysis of covariance; CI, confidence interval; DB = double-blind; ESK, </w:t>
      </w:r>
      <w:proofErr w:type="spellStart"/>
      <w:r w:rsidRPr="002530A2">
        <w:t>esketamine</w:t>
      </w:r>
      <w:proofErr w:type="spellEnd"/>
      <w:r w:rsidRPr="002530A2">
        <w:t>; MMRM, Mixed-Effect Model for Repeated Measures; OAD, oral antidepressant; SD, standard deviation</w:t>
      </w:r>
      <w:r>
        <w:t>; TRD, treatment-resistant depression</w:t>
      </w:r>
    </w:p>
    <w:p w14:paraId="2C53BEFF" w14:textId="52F713B0" w:rsidR="00947360" w:rsidRPr="002530A2" w:rsidRDefault="00947360" w:rsidP="00527701">
      <w:pPr>
        <w:pStyle w:val="TableFigureFooter"/>
      </w:pPr>
      <w:r w:rsidRPr="002530A2">
        <w:t xml:space="preserve">Notes: Tests for treatment effects based on mixed model for repeated measures (MMRM) with change from baseline as the response variable applied the fixed effect model terms for treatment (intranasal </w:t>
      </w:r>
      <w:proofErr w:type="spellStart"/>
      <w:r w:rsidRPr="00D60B48">
        <w:t>esk</w:t>
      </w:r>
      <w:r w:rsidR="00B07F55">
        <w:t>etamine</w:t>
      </w:r>
      <w:proofErr w:type="spellEnd"/>
      <w:r w:rsidRPr="00D60B48">
        <w:t xml:space="preserve"> + </w:t>
      </w:r>
      <w:r w:rsidR="00B07F55">
        <w:t>O</w:t>
      </w:r>
      <w:r w:rsidRPr="00D60B48">
        <w:t xml:space="preserve">AD, </w:t>
      </w:r>
      <w:r w:rsidR="00B07F55">
        <w:t>O</w:t>
      </w:r>
      <w:r w:rsidRPr="00D60B48">
        <w:t>AD</w:t>
      </w:r>
      <w:r w:rsidRPr="002530A2">
        <w:t xml:space="preserve"> + intranasal placebo), day, country, class of </w:t>
      </w:r>
      <w:r w:rsidR="00C50DC8">
        <w:t>OAD</w:t>
      </w:r>
      <w:r w:rsidRPr="002530A2">
        <w:t xml:space="preserve"> (SNRI or SSRI), and treatment-by-day, and baseline value as a covariate. A negative difference favours </w:t>
      </w:r>
      <w:proofErr w:type="spellStart"/>
      <w:r w:rsidRPr="002530A2">
        <w:t>esketamine</w:t>
      </w:r>
      <w:proofErr w:type="spellEnd"/>
      <w:r w:rsidRPr="002530A2">
        <w:t xml:space="preserve"> </w:t>
      </w:r>
    </w:p>
    <w:p w14:paraId="23D31115" w14:textId="536A871F" w:rsidR="00947360" w:rsidRPr="002530A2" w:rsidRDefault="00947360" w:rsidP="00527701">
      <w:pPr>
        <w:pStyle w:val="TableFigureFooter"/>
      </w:pPr>
      <w:r w:rsidRPr="002530A2">
        <w:t xml:space="preserve">Tests for treatment effect based on analysis of covariance (ANCOVA) model with change from baseline as the response variable applied factors for treatment (intranasal </w:t>
      </w:r>
      <w:proofErr w:type="spellStart"/>
      <w:r w:rsidRPr="00D60B48">
        <w:t>esk</w:t>
      </w:r>
      <w:r w:rsidR="00B07F55">
        <w:t>etamine</w:t>
      </w:r>
      <w:proofErr w:type="spellEnd"/>
      <w:r w:rsidRPr="00D60B48">
        <w:t xml:space="preserve"> + </w:t>
      </w:r>
      <w:r w:rsidR="00B07F55">
        <w:t>O</w:t>
      </w:r>
      <w:r w:rsidRPr="00D60B48">
        <w:t xml:space="preserve">AD, </w:t>
      </w:r>
      <w:r w:rsidR="00B07F55">
        <w:t>O</w:t>
      </w:r>
      <w:r w:rsidRPr="00D60B48">
        <w:t>AD</w:t>
      </w:r>
      <w:r w:rsidRPr="002530A2">
        <w:t xml:space="preserve"> + intranasal placebo), country, and class of </w:t>
      </w:r>
      <w:r w:rsidR="00C50DC8">
        <w:t>OAD</w:t>
      </w:r>
      <w:r w:rsidRPr="002530A2">
        <w:t xml:space="preserve"> (SNRI or SSRI), and baseline value as a covariate. A negative difference favours </w:t>
      </w:r>
      <w:proofErr w:type="spellStart"/>
      <w:r w:rsidRPr="002530A2">
        <w:t>esketamine</w:t>
      </w:r>
      <w:proofErr w:type="spellEnd"/>
    </w:p>
    <w:p w14:paraId="7343214D" w14:textId="48A5F7A9" w:rsidR="00947360" w:rsidRPr="002530A2" w:rsidRDefault="00947360" w:rsidP="00527701">
      <w:pPr>
        <w:pStyle w:val="TableFigureFooter"/>
      </w:pPr>
      <w:r w:rsidRPr="002530A2">
        <w:rPr>
          <w:rFonts w:cstheme="minorHAnsi"/>
        </w:rPr>
        <w:t xml:space="preserve">For TRANSFORM-2, the difference from placebo is the least-squares mean difference between </w:t>
      </w:r>
      <w:proofErr w:type="spellStart"/>
      <w:r w:rsidR="00B07F55">
        <w:rPr>
          <w:rFonts w:cstheme="minorHAnsi"/>
        </w:rPr>
        <w:t>e</w:t>
      </w:r>
      <w:r w:rsidRPr="00D60B48">
        <w:rPr>
          <w:rFonts w:cstheme="minorHAnsi"/>
        </w:rPr>
        <w:t>sk</w:t>
      </w:r>
      <w:r w:rsidR="00B07F55">
        <w:rPr>
          <w:rFonts w:cstheme="minorHAnsi"/>
        </w:rPr>
        <w:t>etamine</w:t>
      </w:r>
      <w:proofErr w:type="spellEnd"/>
      <w:r w:rsidRPr="00D60B48">
        <w:rPr>
          <w:rFonts w:cstheme="minorHAnsi"/>
        </w:rPr>
        <w:t xml:space="preserve"> + </w:t>
      </w:r>
      <w:r w:rsidR="00B07F55">
        <w:rPr>
          <w:rFonts w:cstheme="minorHAnsi"/>
        </w:rPr>
        <w:t>O</w:t>
      </w:r>
      <w:r w:rsidRPr="00D60B48">
        <w:rPr>
          <w:rFonts w:cstheme="minorHAnsi"/>
        </w:rPr>
        <w:t>AD</w:t>
      </w:r>
      <w:r w:rsidRPr="002530A2">
        <w:rPr>
          <w:rFonts w:cstheme="minorHAnsi"/>
        </w:rPr>
        <w:t xml:space="preserve"> and </w:t>
      </w:r>
      <w:r w:rsidR="00B07F55">
        <w:rPr>
          <w:rFonts w:cstheme="minorHAnsi"/>
        </w:rPr>
        <w:t>O</w:t>
      </w:r>
      <w:r w:rsidRPr="00D60B48">
        <w:rPr>
          <w:rFonts w:cstheme="minorHAnsi"/>
        </w:rPr>
        <w:t>AD</w:t>
      </w:r>
      <w:r w:rsidRPr="002530A2">
        <w:rPr>
          <w:rFonts w:cstheme="minorHAnsi"/>
        </w:rPr>
        <w:t xml:space="preserve"> + placebo</w:t>
      </w:r>
    </w:p>
    <w:p w14:paraId="71617C88" w14:textId="77777777" w:rsidR="00947360" w:rsidRPr="002530A2" w:rsidRDefault="00947360" w:rsidP="00527701">
      <w:pPr>
        <w:pStyle w:val="TableFigureFooter"/>
      </w:pPr>
      <w:r w:rsidRPr="002530A2">
        <w:t>For TRANSFORM-3, difference from placebo is the median unbiased estimate, which is a weighted combination of the least squares means of the difference from placebo</w:t>
      </w:r>
    </w:p>
    <w:p w14:paraId="43F36D75" w14:textId="77777777" w:rsidR="00947360" w:rsidRPr="002530A2" w:rsidRDefault="00947360" w:rsidP="00527701">
      <w:pPr>
        <w:pStyle w:val="TableFigureFooter"/>
      </w:pPr>
      <w:r w:rsidRPr="002530A2">
        <w:t>For both TRANSFORM-1 and TRANSFORM-3 95% CI value is the 2-sided flexible CI for the difference from placebo</w:t>
      </w:r>
    </w:p>
    <w:p w14:paraId="6CBB0BAD" w14:textId="77777777" w:rsidR="00947360" w:rsidRPr="002530A2" w:rsidRDefault="00947360" w:rsidP="00527701">
      <w:pPr>
        <w:pStyle w:val="TableFigureFooter"/>
      </w:pPr>
      <w:r w:rsidRPr="002530A2">
        <w:t>For both TRANSFORM-1 and TRANSFORM-3, the p-values are based on the weighted combination test statistic</w:t>
      </w:r>
    </w:p>
    <w:p w14:paraId="5EBBD472" w14:textId="77777777" w:rsidR="00947360" w:rsidRPr="002530A2" w:rsidRDefault="00947360" w:rsidP="00527701">
      <w:pPr>
        <w:pStyle w:val="TableFigureFooter"/>
      </w:pPr>
      <w:r w:rsidRPr="002530A2">
        <w:t>In TRANSFORM-1, the comparison for 56 mg was considered statistically significant only if the analysis was significant for 84 mg. As tests showed that the 84 mg dose treatment arm was not statistically significantly different from placebo, 56 mg was not formally evaluated</w:t>
      </w:r>
    </w:p>
    <w:p w14:paraId="66D20921" w14:textId="77777777" w:rsidR="00947360" w:rsidRPr="002530A2" w:rsidRDefault="00947360" w:rsidP="00527701">
      <w:pPr>
        <w:pStyle w:val="TableFigureFooter"/>
      </w:pPr>
      <w:r w:rsidRPr="002530A2">
        <w:t>MADRS Total score ranges from 0 to 60; a higher score indicates a more severe condition and negative change in score indicates improvement</w:t>
      </w:r>
    </w:p>
    <w:p w14:paraId="1F558728" w14:textId="496635A8" w:rsidR="009104D3" w:rsidRPr="009610E6" w:rsidRDefault="009104D3" w:rsidP="009104D3">
      <w:pPr>
        <w:pStyle w:val="ExecSumBodyText"/>
        <w:rPr>
          <w:snapToGrid/>
        </w:rPr>
      </w:pPr>
      <w:r w:rsidRPr="009610E6">
        <w:rPr>
          <w:snapToGrid/>
        </w:rPr>
        <w:t xml:space="preserve">Of the three short-term induction trials, only TRANSFORM-2 showed a statistically significant treatment effect with </w:t>
      </w:r>
      <w:proofErr w:type="spellStart"/>
      <w:r w:rsidRPr="009610E6">
        <w:rPr>
          <w:snapToGrid/>
        </w:rPr>
        <w:t>esketamine</w:t>
      </w:r>
      <w:proofErr w:type="spellEnd"/>
      <w:r w:rsidRPr="009610E6">
        <w:rPr>
          <w:snapToGrid/>
        </w:rPr>
        <w:t xml:space="preserve"> nasal spray compared with placebo</w:t>
      </w:r>
      <w:r w:rsidR="0005564F">
        <w:rPr>
          <w:snapToGrid/>
        </w:rPr>
        <w:t xml:space="preserve">. </w:t>
      </w:r>
      <w:r w:rsidRPr="009610E6">
        <w:rPr>
          <w:snapToGrid/>
        </w:rPr>
        <w:t xml:space="preserve">The PBAC previously considered the observed difference in the </w:t>
      </w:r>
      <w:proofErr w:type="spellStart"/>
      <w:r w:rsidRPr="009610E6">
        <w:rPr>
          <w:snapToGrid/>
        </w:rPr>
        <w:t>esketamine</w:t>
      </w:r>
      <w:proofErr w:type="spellEnd"/>
      <w:r w:rsidRPr="009610E6">
        <w:rPr>
          <w:snapToGrid/>
        </w:rPr>
        <w:t xml:space="preserve"> + OAD arm compared to a new OAD alone of 4 points on the MADRS scale was of uncertain clinical significance (para </w:t>
      </w:r>
      <w:r w:rsidR="0002228F">
        <w:rPr>
          <w:snapToGrid/>
        </w:rPr>
        <w:t>7.8</w:t>
      </w:r>
      <w:r w:rsidRPr="009610E6">
        <w:rPr>
          <w:snapToGrid/>
        </w:rPr>
        <w:t xml:space="preserve">, </w:t>
      </w:r>
      <w:proofErr w:type="spellStart"/>
      <w:r w:rsidR="00D46C2D">
        <w:rPr>
          <w:snapToGrid/>
        </w:rPr>
        <w:t>esketamine</w:t>
      </w:r>
      <w:proofErr w:type="spellEnd"/>
      <w:r w:rsidR="00D46C2D">
        <w:rPr>
          <w:snapToGrid/>
        </w:rPr>
        <w:t xml:space="preserve"> P</w:t>
      </w:r>
      <w:r w:rsidRPr="009610E6">
        <w:rPr>
          <w:snapToGrid/>
        </w:rPr>
        <w:t xml:space="preserve">SD, July 2021 PBAC meeting). </w:t>
      </w:r>
      <w:r w:rsidRPr="008656C1">
        <w:rPr>
          <w:iCs/>
          <w:snapToGrid/>
        </w:rPr>
        <w:t>The confidence intervals are wide, and the lower bound falls below the nominated</w:t>
      </w:r>
      <w:r w:rsidR="00337E81" w:rsidRPr="008656C1">
        <w:rPr>
          <w:iCs/>
          <w:snapToGrid/>
        </w:rPr>
        <w:t xml:space="preserve"> minimum clinically important difference</w:t>
      </w:r>
      <w:r w:rsidRPr="008656C1">
        <w:rPr>
          <w:iCs/>
          <w:snapToGrid/>
        </w:rPr>
        <w:t xml:space="preserve"> </w:t>
      </w:r>
      <w:r w:rsidR="00337E81" w:rsidRPr="008656C1">
        <w:rPr>
          <w:iCs/>
          <w:snapToGrid/>
        </w:rPr>
        <w:t>(</w:t>
      </w:r>
      <w:r w:rsidRPr="008656C1">
        <w:rPr>
          <w:iCs/>
          <w:snapToGrid/>
        </w:rPr>
        <w:t>MCID</w:t>
      </w:r>
      <w:r w:rsidR="00337E81" w:rsidRPr="008656C1">
        <w:rPr>
          <w:iCs/>
          <w:snapToGrid/>
        </w:rPr>
        <w:t>)</w:t>
      </w:r>
      <w:r w:rsidRPr="008656C1">
        <w:rPr>
          <w:iCs/>
          <w:snapToGrid/>
        </w:rPr>
        <w:t xml:space="preserve">, suggesting that treatment effects are variable, and the between-group difference falls below published MCIDs. This suggests that a significant proportion of patients do not derive any additional benefit from treatment with </w:t>
      </w:r>
      <w:proofErr w:type="spellStart"/>
      <w:r w:rsidRPr="008656C1">
        <w:rPr>
          <w:iCs/>
          <w:snapToGrid/>
        </w:rPr>
        <w:t>esketamine</w:t>
      </w:r>
      <w:proofErr w:type="spellEnd"/>
      <w:r w:rsidRPr="008656C1">
        <w:rPr>
          <w:iCs/>
          <w:snapToGrid/>
        </w:rPr>
        <w:t xml:space="preserve">. Although the absolute mean change from baseline in MADRS score seen with </w:t>
      </w:r>
      <w:proofErr w:type="spellStart"/>
      <w:r w:rsidRPr="008656C1">
        <w:rPr>
          <w:iCs/>
          <w:snapToGrid/>
        </w:rPr>
        <w:t>esketamine</w:t>
      </w:r>
      <w:proofErr w:type="spellEnd"/>
      <w:r w:rsidRPr="008656C1">
        <w:rPr>
          <w:iCs/>
          <w:snapToGrid/>
        </w:rPr>
        <w:t xml:space="preserve"> in TRANSFORM-2 is -21.4 points</w:t>
      </w:r>
      <w:r w:rsidR="00337E81" w:rsidRPr="008656C1">
        <w:rPr>
          <w:iCs/>
          <w:snapToGrid/>
        </w:rPr>
        <w:t>,</w:t>
      </w:r>
      <w:r w:rsidRPr="008656C1">
        <w:rPr>
          <w:iCs/>
          <w:snapToGrid/>
        </w:rPr>
        <w:t xml:space="preserve"> which is substantially above the MCID indicated by </w:t>
      </w:r>
      <w:proofErr w:type="spellStart"/>
      <w:r w:rsidRPr="008656C1">
        <w:rPr>
          <w:iCs/>
          <w:snapToGrid/>
        </w:rPr>
        <w:t>Leucht</w:t>
      </w:r>
      <w:proofErr w:type="spellEnd"/>
      <w:r w:rsidRPr="008656C1">
        <w:rPr>
          <w:iCs/>
          <w:snapToGrid/>
        </w:rPr>
        <w:t xml:space="preserve"> 2017</w:t>
      </w:r>
      <w:r w:rsidR="00B9344C" w:rsidRPr="008656C1">
        <w:rPr>
          <w:iCs/>
          <w:snapToGrid/>
        </w:rPr>
        <w:t xml:space="preserve"> (</w:t>
      </w:r>
      <w:proofErr w:type="gramStart"/>
      <w:r w:rsidR="00B9344C" w:rsidRPr="008656C1">
        <w:rPr>
          <w:iCs/>
          <w:snapToGrid/>
        </w:rPr>
        <w:t>7-9 point</w:t>
      </w:r>
      <w:proofErr w:type="gramEnd"/>
      <w:r w:rsidR="00B9344C" w:rsidRPr="008656C1">
        <w:rPr>
          <w:iCs/>
          <w:snapToGrid/>
        </w:rPr>
        <w:t xml:space="preserve"> change)</w:t>
      </w:r>
      <w:r w:rsidRPr="008656C1">
        <w:rPr>
          <w:iCs/>
          <w:snapToGrid/>
        </w:rPr>
        <w:t xml:space="preserve"> and therefore is highly clinically meaningful for patients, around 80% of this change (-19.6) was achieved in the placebo arm, suggesting most of this change was due to the switch to a novel antidepressant plus additional contact with health professionals due to trial </w:t>
      </w:r>
      <w:r w:rsidRPr="008656C1">
        <w:rPr>
          <w:iCs/>
          <w:snapToGrid/>
        </w:rPr>
        <w:lastRenderedPageBreak/>
        <w:t>enrolment. The</w:t>
      </w:r>
      <w:r w:rsidR="00027841">
        <w:rPr>
          <w:iCs/>
          <w:snapToGrid/>
        </w:rPr>
        <w:t xml:space="preserve"> </w:t>
      </w:r>
      <w:r w:rsidR="00027841" w:rsidRPr="00D30B7F">
        <w:rPr>
          <w:iCs/>
          <w:snapToGrid/>
        </w:rPr>
        <w:t>evaluation stated the</w:t>
      </w:r>
      <w:r w:rsidRPr="008656C1">
        <w:rPr>
          <w:iCs/>
          <w:snapToGrid/>
        </w:rPr>
        <w:t xml:space="preserve"> mean difference between treatment arms is small and unlikely to be noticeable by patients on average. </w:t>
      </w:r>
    </w:p>
    <w:p w14:paraId="12F65AA4" w14:textId="30DD4888" w:rsidR="00310486" w:rsidRDefault="00310486" w:rsidP="00310486">
      <w:pPr>
        <w:pStyle w:val="ExecSumBodyText"/>
      </w:pPr>
      <w:r>
        <w:t xml:space="preserve">The proportion of responders and remitters at day 28 of the TRANSFORM-2 </w:t>
      </w:r>
      <w:r w:rsidR="00F85231">
        <w:t>and TRANSFORM-3</w:t>
      </w:r>
      <w:r w:rsidRPr="00D60B48">
        <w:t xml:space="preserve"> trial</w:t>
      </w:r>
      <w:r w:rsidR="00F85231">
        <w:t>s</w:t>
      </w:r>
      <w:r>
        <w:t xml:space="preserve"> are summarised in </w:t>
      </w:r>
      <w:r w:rsidR="00C50DC8">
        <w:t>the table below</w:t>
      </w:r>
      <w:r w:rsidRPr="00D60B48">
        <w:t>.</w:t>
      </w:r>
      <w:r>
        <w:t xml:space="preserve"> A subject was defined as a responder at a given time point if the percent improvement (decrease) in MADRS total score from baseline was ≥50%. Subjects who had a MADRS total score of ≤</w:t>
      </w:r>
      <w:r w:rsidRPr="00D60B48">
        <w:t xml:space="preserve">12 were considered remitters. </w:t>
      </w:r>
      <w:r w:rsidR="00612D15" w:rsidRPr="008656C1">
        <w:t>This was not a standard definition of remission; other trials have used a more stringent cut-off of &lt;10 or &lt;7 to define remission, however the potential impact of this on the trial results is unclear.</w:t>
      </w:r>
      <w:r>
        <w:rPr>
          <w:i/>
        </w:rPr>
        <w:t xml:space="preserve"> </w:t>
      </w:r>
      <w:r>
        <w:t>These outcomes were used to inform the transition probabilities in the economic model.</w:t>
      </w:r>
    </w:p>
    <w:p w14:paraId="33DB9F9B" w14:textId="04E523E7" w:rsidR="00122B64" w:rsidRPr="002530A2" w:rsidRDefault="00122B64" w:rsidP="00C50DC8">
      <w:pPr>
        <w:pStyle w:val="Caption"/>
      </w:pPr>
      <w:r w:rsidRPr="00D1316A">
        <w:t xml:space="preserve">Table </w:t>
      </w:r>
      <w:r w:rsidR="002030D0">
        <w:fldChar w:fldCharType="begin"/>
      </w:r>
      <w:r w:rsidR="002030D0">
        <w:instrText xml:space="preserve"> SEQ Table \* ARABIC </w:instrText>
      </w:r>
      <w:r w:rsidR="002030D0">
        <w:fldChar w:fldCharType="separate"/>
      </w:r>
      <w:r w:rsidR="008E3D7A">
        <w:rPr>
          <w:noProof/>
        </w:rPr>
        <w:t>6</w:t>
      </w:r>
      <w:r w:rsidR="002030D0">
        <w:rPr>
          <w:noProof/>
        </w:rPr>
        <w:fldChar w:fldCharType="end"/>
      </w:r>
      <w:r w:rsidRPr="00D60B48">
        <w:t>:</w:t>
      </w:r>
      <w:r w:rsidRPr="00D1316A">
        <w:t xml:space="preserve"> Proportion of responders and remitters at day 28 based on MADRS total score, TRANSFORM-2 and TRANSFORM</w:t>
      </w:r>
      <w:r>
        <w:t>-3</w:t>
      </w:r>
      <w:r w:rsidRPr="002530A2">
        <w:t xml:space="preserve"> (full analysis set)</w:t>
      </w:r>
    </w:p>
    <w:tbl>
      <w:tblPr>
        <w:tblStyle w:val="TableGrid"/>
        <w:tblW w:w="0" w:type="auto"/>
        <w:tblLook w:val="04A0" w:firstRow="1" w:lastRow="0" w:firstColumn="1" w:lastColumn="0" w:noHBand="0" w:noVBand="1"/>
      </w:tblPr>
      <w:tblGrid>
        <w:gridCol w:w="3005"/>
        <w:gridCol w:w="3006"/>
        <w:gridCol w:w="3006"/>
      </w:tblGrid>
      <w:tr w:rsidR="00122B64" w:rsidRPr="002530A2" w14:paraId="1B78896D" w14:textId="77777777" w:rsidTr="00A65564">
        <w:tc>
          <w:tcPr>
            <w:tcW w:w="3005" w:type="dxa"/>
          </w:tcPr>
          <w:p w14:paraId="0B86C924" w14:textId="77777777" w:rsidR="00122B64" w:rsidRPr="002530A2" w:rsidRDefault="00122B64" w:rsidP="00A65564">
            <w:pPr>
              <w:pStyle w:val="Tabletext0"/>
            </w:pPr>
          </w:p>
        </w:tc>
        <w:tc>
          <w:tcPr>
            <w:tcW w:w="3006" w:type="dxa"/>
          </w:tcPr>
          <w:p w14:paraId="4CDF16A9" w14:textId="77777777" w:rsidR="00122B64" w:rsidRPr="002530A2" w:rsidRDefault="00122B64" w:rsidP="00A65564">
            <w:pPr>
              <w:pStyle w:val="Tabletext0"/>
              <w:jc w:val="center"/>
              <w:rPr>
                <w:b/>
                <w:bCs/>
              </w:rPr>
            </w:pPr>
            <w:proofErr w:type="spellStart"/>
            <w:r w:rsidRPr="002530A2">
              <w:rPr>
                <w:b/>
                <w:bCs/>
              </w:rPr>
              <w:t>Esketamine</w:t>
            </w:r>
            <w:proofErr w:type="spellEnd"/>
            <w:r w:rsidRPr="002530A2">
              <w:rPr>
                <w:b/>
                <w:bCs/>
              </w:rPr>
              <w:t xml:space="preserve"> + OAD</w:t>
            </w:r>
          </w:p>
        </w:tc>
        <w:tc>
          <w:tcPr>
            <w:tcW w:w="3006" w:type="dxa"/>
          </w:tcPr>
          <w:p w14:paraId="25752E28" w14:textId="77777777" w:rsidR="00122B64" w:rsidRPr="002530A2" w:rsidRDefault="00122B64" w:rsidP="00A65564">
            <w:pPr>
              <w:pStyle w:val="Tabletext0"/>
              <w:jc w:val="center"/>
              <w:rPr>
                <w:b/>
                <w:bCs/>
              </w:rPr>
            </w:pPr>
            <w:r w:rsidRPr="002530A2">
              <w:rPr>
                <w:b/>
                <w:bCs/>
              </w:rPr>
              <w:t>Placebo + OAD</w:t>
            </w:r>
          </w:p>
        </w:tc>
      </w:tr>
      <w:tr w:rsidR="00122B64" w:rsidRPr="002530A2" w14:paraId="0E522BAF" w14:textId="77777777" w:rsidTr="00A65564">
        <w:tc>
          <w:tcPr>
            <w:tcW w:w="9017" w:type="dxa"/>
            <w:gridSpan w:val="3"/>
          </w:tcPr>
          <w:p w14:paraId="7A3CECB7" w14:textId="77777777" w:rsidR="00122B64" w:rsidRPr="002530A2" w:rsidRDefault="00122B64" w:rsidP="00A65564">
            <w:pPr>
              <w:pStyle w:val="Tabletext0"/>
              <w:rPr>
                <w:b/>
                <w:bCs/>
              </w:rPr>
            </w:pPr>
            <w:r w:rsidRPr="002530A2">
              <w:rPr>
                <w:b/>
                <w:bCs/>
              </w:rPr>
              <w:t>Response (</w:t>
            </w:r>
            <w:r w:rsidRPr="002530A2">
              <w:rPr>
                <w:rFonts w:cs="Calibri"/>
                <w:b/>
                <w:bCs/>
              </w:rPr>
              <w:t>≥</w:t>
            </w:r>
            <w:r w:rsidRPr="002530A2">
              <w:rPr>
                <w:b/>
                <w:bCs/>
              </w:rPr>
              <w:t>50% improvement MADRS score)</w:t>
            </w:r>
          </w:p>
        </w:tc>
      </w:tr>
      <w:tr w:rsidR="00122B64" w:rsidRPr="002530A2" w14:paraId="3CF41CC6" w14:textId="77777777" w:rsidTr="00A65564">
        <w:tc>
          <w:tcPr>
            <w:tcW w:w="9017" w:type="dxa"/>
            <w:gridSpan w:val="3"/>
          </w:tcPr>
          <w:p w14:paraId="01628E27" w14:textId="77777777" w:rsidR="00122B64" w:rsidRPr="00911A71" w:rsidRDefault="00122B64" w:rsidP="00A65564">
            <w:pPr>
              <w:pStyle w:val="Tabletext0"/>
              <w:rPr>
                <w:b/>
                <w:bCs/>
              </w:rPr>
            </w:pPr>
            <w:r w:rsidRPr="00911A71">
              <w:rPr>
                <w:b/>
                <w:bCs/>
              </w:rPr>
              <w:t>TRANSFORM-2</w:t>
            </w:r>
          </w:p>
        </w:tc>
      </w:tr>
      <w:tr w:rsidR="00122B64" w:rsidRPr="002530A2" w14:paraId="558EA390" w14:textId="77777777" w:rsidTr="00A65564">
        <w:tc>
          <w:tcPr>
            <w:tcW w:w="3005" w:type="dxa"/>
          </w:tcPr>
          <w:p w14:paraId="7C00B104" w14:textId="77777777" w:rsidR="00122B64" w:rsidRPr="002530A2" w:rsidRDefault="00122B64" w:rsidP="00A65564">
            <w:pPr>
              <w:pStyle w:val="Tabletext0"/>
            </w:pPr>
            <w:r w:rsidRPr="002530A2">
              <w:t>Observed cases, n/N (%)</w:t>
            </w:r>
          </w:p>
        </w:tc>
        <w:tc>
          <w:tcPr>
            <w:tcW w:w="3006" w:type="dxa"/>
            <w:vAlign w:val="center"/>
          </w:tcPr>
          <w:p w14:paraId="4193F0FF" w14:textId="77777777" w:rsidR="00122B64" w:rsidRPr="002530A2" w:rsidRDefault="00122B64" w:rsidP="00A65564">
            <w:pPr>
              <w:pStyle w:val="Tabletext0"/>
              <w:jc w:val="center"/>
            </w:pPr>
            <w:r w:rsidRPr="002530A2">
              <w:t>70/101 (69.3)</w:t>
            </w:r>
          </w:p>
        </w:tc>
        <w:tc>
          <w:tcPr>
            <w:tcW w:w="3006" w:type="dxa"/>
            <w:vAlign w:val="center"/>
          </w:tcPr>
          <w:p w14:paraId="63913AEE" w14:textId="54890AD5" w:rsidR="00122B64" w:rsidRPr="002530A2" w:rsidRDefault="00122B64" w:rsidP="00A65564">
            <w:pPr>
              <w:pStyle w:val="Tabletext0"/>
              <w:jc w:val="center"/>
            </w:pPr>
            <w:r w:rsidRPr="002530A2">
              <w:t>52/100 (52</w:t>
            </w:r>
            <w:r w:rsidR="00F72009">
              <w:t>.0</w:t>
            </w:r>
            <w:r w:rsidRPr="002530A2">
              <w:t>)</w:t>
            </w:r>
          </w:p>
        </w:tc>
      </w:tr>
      <w:tr w:rsidR="00122B64" w:rsidRPr="002530A2" w14:paraId="158AE6E0" w14:textId="77777777" w:rsidTr="00A65564">
        <w:tc>
          <w:tcPr>
            <w:tcW w:w="3005" w:type="dxa"/>
          </w:tcPr>
          <w:p w14:paraId="5C25A2C1" w14:textId="77777777" w:rsidR="00122B64" w:rsidRPr="002530A2" w:rsidRDefault="00122B64" w:rsidP="00A65564">
            <w:pPr>
              <w:pStyle w:val="Tabletext0"/>
            </w:pPr>
            <w:r w:rsidRPr="002530A2">
              <w:t>LOCF, n/N (%)</w:t>
            </w:r>
          </w:p>
        </w:tc>
        <w:tc>
          <w:tcPr>
            <w:tcW w:w="3006" w:type="dxa"/>
            <w:vAlign w:val="center"/>
          </w:tcPr>
          <w:p w14:paraId="2AE19EFB" w14:textId="77777777" w:rsidR="00122B64" w:rsidRPr="002530A2" w:rsidRDefault="00122B64" w:rsidP="00A65564">
            <w:pPr>
              <w:pStyle w:val="Tabletext0"/>
              <w:jc w:val="center"/>
            </w:pPr>
            <w:r w:rsidRPr="002530A2">
              <w:t>71/112 (63.4)</w:t>
            </w:r>
          </w:p>
        </w:tc>
        <w:tc>
          <w:tcPr>
            <w:tcW w:w="3006" w:type="dxa"/>
            <w:vAlign w:val="center"/>
          </w:tcPr>
          <w:p w14:paraId="2C9CC6FF" w14:textId="77777777" w:rsidR="00122B64" w:rsidRPr="002530A2" w:rsidRDefault="00122B64" w:rsidP="00A65564">
            <w:pPr>
              <w:pStyle w:val="Tabletext0"/>
              <w:jc w:val="center"/>
            </w:pPr>
            <w:r w:rsidRPr="002530A2">
              <w:t>54/109 (49.5)</w:t>
            </w:r>
          </w:p>
        </w:tc>
      </w:tr>
      <w:tr w:rsidR="00122B64" w:rsidRPr="002530A2" w14:paraId="6C38211A" w14:textId="77777777" w:rsidTr="00A65564">
        <w:tc>
          <w:tcPr>
            <w:tcW w:w="9017" w:type="dxa"/>
            <w:gridSpan w:val="3"/>
          </w:tcPr>
          <w:p w14:paraId="0CC7E8BC" w14:textId="77777777" w:rsidR="00122B64" w:rsidRPr="00911A71" w:rsidRDefault="00122B64" w:rsidP="00A65564">
            <w:pPr>
              <w:pStyle w:val="Tabletext0"/>
              <w:rPr>
                <w:b/>
                <w:bCs/>
              </w:rPr>
            </w:pPr>
            <w:r w:rsidRPr="00911A71">
              <w:rPr>
                <w:b/>
                <w:bCs/>
              </w:rPr>
              <w:t>TRANSFORM-3</w:t>
            </w:r>
          </w:p>
        </w:tc>
      </w:tr>
      <w:tr w:rsidR="00122B64" w:rsidRPr="002530A2" w14:paraId="1E48FB66" w14:textId="77777777" w:rsidTr="00A65564">
        <w:tc>
          <w:tcPr>
            <w:tcW w:w="3005" w:type="dxa"/>
          </w:tcPr>
          <w:p w14:paraId="405AD41D" w14:textId="77777777" w:rsidR="00122B64" w:rsidRPr="002530A2" w:rsidRDefault="00122B64" w:rsidP="00A65564">
            <w:pPr>
              <w:pStyle w:val="Tabletext0"/>
            </w:pPr>
            <w:r w:rsidRPr="002530A2">
              <w:t>Observed cases, n/N (%)</w:t>
            </w:r>
          </w:p>
        </w:tc>
        <w:tc>
          <w:tcPr>
            <w:tcW w:w="3006" w:type="dxa"/>
            <w:vAlign w:val="center"/>
          </w:tcPr>
          <w:p w14:paraId="77882523" w14:textId="21160694" w:rsidR="00122B64" w:rsidRPr="002530A2" w:rsidRDefault="00122B64" w:rsidP="00A65564">
            <w:pPr>
              <w:pStyle w:val="Tabletext0"/>
              <w:jc w:val="center"/>
            </w:pPr>
            <w:r>
              <w:t>17/63 (27</w:t>
            </w:r>
            <w:r w:rsidR="00F72009">
              <w:t>.0</w:t>
            </w:r>
            <w:r>
              <w:t>)</w:t>
            </w:r>
          </w:p>
        </w:tc>
        <w:tc>
          <w:tcPr>
            <w:tcW w:w="3006" w:type="dxa"/>
            <w:vAlign w:val="center"/>
          </w:tcPr>
          <w:p w14:paraId="3D05B04B" w14:textId="77777777" w:rsidR="00122B64" w:rsidRPr="002530A2" w:rsidRDefault="00122B64" w:rsidP="00A65564">
            <w:pPr>
              <w:pStyle w:val="Tabletext0"/>
              <w:jc w:val="center"/>
            </w:pPr>
            <w:r>
              <w:t>8/60 (13.3)</w:t>
            </w:r>
          </w:p>
        </w:tc>
      </w:tr>
      <w:tr w:rsidR="00122B64" w:rsidRPr="002530A2" w14:paraId="2F8C93F8" w14:textId="77777777" w:rsidTr="00A65564">
        <w:tc>
          <w:tcPr>
            <w:tcW w:w="3005" w:type="dxa"/>
          </w:tcPr>
          <w:p w14:paraId="70E13CD6" w14:textId="77777777" w:rsidR="00122B64" w:rsidRPr="002530A2" w:rsidRDefault="00122B64" w:rsidP="00A65564">
            <w:pPr>
              <w:pStyle w:val="Tabletext0"/>
            </w:pPr>
            <w:proofErr w:type="gramStart"/>
            <w:r>
              <w:t>End point</w:t>
            </w:r>
            <w:proofErr w:type="gramEnd"/>
            <w:r>
              <w:t xml:space="preserve"> (DB)</w:t>
            </w:r>
            <w:r w:rsidRPr="002530A2">
              <w:t>, n/N (%)</w:t>
            </w:r>
          </w:p>
        </w:tc>
        <w:tc>
          <w:tcPr>
            <w:tcW w:w="3006" w:type="dxa"/>
            <w:vAlign w:val="center"/>
          </w:tcPr>
          <w:p w14:paraId="0BE7D435" w14:textId="77777777" w:rsidR="00122B64" w:rsidRPr="002530A2" w:rsidRDefault="00122B64" w:rsidP="00A65564">
            <w:pPr>
              <w:pStyle w:val="Tabletext0"/>
              <w:jc w:val="center"/>
            </w:pPr>
            <w:r>
              <w:t>17/71 (23.9)</w:t>
            </w:r>
          </w:p>
        </w:tc>
        <w:tc>
          <w:tcPr>
            <w:tcW w:w="3006" w:type="dxa"/>
            <w:vAlign w:val="center"/>
          </w:tcPr>
          <w:p w14:paraId="57C4AF79" w14:textId="77777777" w:rsidR="00122B64" w:rsidRPr="002530A2" w:rsidRDefault="00122B64" w:rsidP="00A65564">
            <w:pPr>
              <w:pStyle w:val="Tabletext0"/>
              <w:jc w:val="center"/>
            </w:pPr>
            <w:r>
              <w:t>8/64 (12.5)</w:t>
            </w:r>
          </w:p>
        </w:tc>
      </w:tr>
      <w:tr w:rsidR="00122B64" w:rsidRPr="002530A2" w14:paraId="2FCBD181" w14:textId="77777777" w:rsidTr="00A65564">
        <w:tc>
          <w:tcPr>
            <w:tcW w:w="9017" w:type="dxa"/>
            <w:gridSpan w:val="3"/>
          </w:tcPr>
          <w:p w14:paraId="3F1550DC" w14:textId="77777777" w:rsidR="00122B64" w:rsidRPr="002530A2" w:rsidRDefault="00122B64" w:rsidP="00A65564">
            <w:pPr>
              <w:pStyle w:val="Tabletext0"/>
              <w:rPr>
                <w:b/>
                <w:bCs/>
              </w:rPr>
            </w:pPr>
            <w:r w:rsidRPr="002530A2">
              <w:rPr>
                <w:b/>
                <w:bCs/>
              </w:rPr>
              <w:t xml:space="preserve">Remission (MADRS total score </w:t>
            </w:r>
            <w:r w:rsidRPr="002530A2">
              <w:rPr>
                <w:rFonts w:cs="Calibri"/>
                <w:b/>
                <w:bCs/>
              </w:rPr>
              <w:t>≤</w:t>
            </w:r>
            <w:r w:rsidRPr="002530A2">
              <w:rPr>
                <w:b/>
                <w:bCs/>
              </w:rPr>
              <w:t>12)</w:t>
            </w:r>
          </w:p>
        </w:tc>
      </w:tr>
      <w:tr w:rsidR="00122B64" w:rsidRPr="002530A2" w14:paraId="286303B5" w14:textId="77777777" w:rsidTr="00A65564">
        <w:tc>
          <w:tcPr>
            <w:tcW w:w="9017" w:type="dxa"/>
            <w:gridSpan w:val="3"/>
          </w:tcPr>
          <w:p w14:paraId="39310393" w14:textId="77777777" w:rsidR="00122B64" w:rsidRPr="00911A71" w:rsidRDefault="00122B64" w:rsidP="00A65564">
            <w:pPr>
              <w:pStyle w:val="Tabletext0"/>
              <w:rPr>
                <w:b/>
                <w:bCs/>
              </w:rPr>
            </w:pPr>
            <w:r w:rsidRPr="00911A71">
              <w:rPr>
                <w:b/>
                <w:bCs/>
              </w:rPr>
              <w:t>TRANSFORM-2</w:t>
            </w:r>
          </w:p>
        </w:tc>
      </w:tr>
      <w:tr w:rsidR="00122B64" w:rsidRPr="002530A2" w14:paraId="57E86296" w14:textId="77777777" w:rsidTr="00A65564">
        <w:tc>
          <w:tcPr>
            <w:tcW w:w="3005" w:type="dxa"/>
          </w:tcPr>
          <w:p w14:paraId="79920068" w14:textId="77777777" w:rsidR="00122B64" w:rsidRPr="002530A2" w:rsidRDefault="00122B64" w:rsidP="00A65564">
            <w:pPr>
              <w:pStyle w:val="Tabletext0"/>
            </w:pPr>
            <w:r w:rsidRPr="002530A2">
              <w:t>Observed cases, n/N (%)</w:t>
            </w:r>
          </w:p>
        </w:tc>
        <w:tc>
          <w:tcPr>
            <w:tcW w:w="3006" w:type="dxa"/>
            <w:vAlign w:val="center"/>
          </w:tcPr>
          <w:p w14:paraId="712684D3" w14:textId="77777777" w:rsidR="00122B64" w:rsidRPr="002530A2" w:rsidRDefault="00122B64" w:rsidP="00A65564">
            <w:pPr>
              <w:pStyle w:val="Tabletext0"/>
              <w:jc w:val="center"/>
            </w:pPr>
            <w:r w:rsidRPr="002530A2">
              <w:t>53/101 (52.5)</w:t>
            </w:r>
          </w:p>
        </w:tc>
        <w:tc>
          <w:tcPr>
            <w:tcW w:w="3006" w:type="dxa"/>
            <w:vAlign w:val="center"/>
          </w:tcPr>
          <w:p w14:paraId="6DC273FB" w14:textId="233CD3BE" w:rsidR="00122B64" w:rsidRPr="002530A2" w:rsidRDefault="00122B64" w:rsidP="00A65564">
            <w:pPr>
              <w:pStyle w:val="Tabletext0"/>
              <w:jc w:val="center"/>
            </w:pPr>
            <w:r w:rsidRPr="002530A2">
              <w:t>31/100 (31</w:t>
            </w:r>
            <w:r w:rsidR="006C1E2A">
              <w:t>.0</w:t>
            </w:r>
            <w:r w:rsidRPr="002530A2">
              <w:t>)</w:t>
            </w:r>
          </w:p>
        </w:tc>
      </w:tr>
      <w:tr w:rsidR="00122B64" w:rsidRPr="002530A2" w14:paraId="4F8A37F1" w14:textId="77777777" w:rsidTr="00A65564">
        <w:tc>
          <w:tcPr>
            <w:tcW w:w="3005" w:type="dxa"/>
          </w:tcPr>
          <w:p w14:paraId="091AFED2" w14:textId="77777777" w:rsidR="00122B64" w:rsidRPr="002530A2" w:rsidRDefault="00122B64" w:rsidP="00A65564">
            <w:pPr>
              <w:pStyle w:val="Tabletext0"/>
            </w:pPr>
            <w:r w:rsidRPr="002530A2">
              <w:t>LOCF, n/N (%)</w:t>
            </w:r>
          </w:p>
        </w:tc>
        <w:tc>
          <w:tcPr>
            <w:tcW w:w="3006" w:type="dxa"/>
            <w:vAlign w:val="center"/>
          </w:tcPr>
          <w:p w14:paraId="6BAE6819" w14:textId="77777777" w:rsidR="00122B64" w:rsidRPr="002530A2" w:rsidRDefault="00122B64" w:rsidP="00A65564">
            <w:pPr>
              <w:pStyle w:val="Tabletext0"/>
              <w:jc w:val="center"/>
            </w:pPr>
            <w:r w:rsidRPr="002530A2">
              <w:t>54/112 (48.2)</w:t>
            </w:r>
          </w:p>
        </w:tc>
        <w:tc>
          <w:tcPr>
            <w:tcW w:w="3006" w:type="dxa"/>
            <w:vAlign w:val="center"/>
          </w:tcPr>
          <w:p w14:paraId="1CDC6E8F" w14:textId="77777777" w:rsidR="00122B64" w:rsidRPr="002530A2" w:rsidRDefault="00122B64" w:rsidP="00A65564">
            <w:pPr>
              <w:pStyle w:val="Tabletext0"/>
              <w:jc w:val="center"/>
            </w:pPr>
            <w:r w:rsidRPr="002530A2">
              <w:t>33/109 (30.3)</w:t>
            </w:r>
          </w:p>
        </w:tc>
      </w:tr>
      <w:tr w:rsidR="00122B64" w:rsidRPr="002530A2" w14:paraId="4B3EEF01" w14:textId="77777777" w:rsidTr="00A65564">
        <w:tc>
          <w:tcPr>
            <w:tcW w:w="9017" w:type="dxa"/>
            <w:gridSpan w:val="3"/>
          </w:tcPr>
          <w:p w14:paraId="04910A25" w14:textId="77777777" w:rsidR="00122B64" w:rsidRPr="00911A71" w:rsidRDefault="00122B64" w:rsidP="00A65564">
            <w:pPr>
              <w:pStyle w:val="Tabletext0"/>
              <w:rPr>
                <w:b/>
                <w:bCs/>
              </w:rPr>
            </w:pPr>
            <w:r w:rsidRPr="00911A71">
              <w:rPr>
                <w:b/>
                <w:bCs/>
              </w:rPr>
              <w:t>TRANSFORM-3</w:t>
            </w:r>
          </w:p>
        </w:tc>
      </w:tr>
      <w:tr w:rsidR="00122B64" w:rsidRPr="002530A2" w14:paraId="5426A4EC" w14:textId="77777777" w:rsidTr="00A65564">
        <w:tc>
          <w:tcPr>
            <w:tcW w:w="3005" w:type="dxa"/>
          </w:tcPr>
          <w:p w14:paraId="4863D0BB" w14:textId="77777777" w:rsidR="00122B64" w:rsidRPr="002530A2" w:rsidRDefault="00122B64" w:rsidP="00A65564">
            <w:pPr>
              <w:pStyle w:val="Tabletext0"/>
            </w:pPr>
            <w:r w:rsidRPr="002530A2">
              <w:t>Observed cases, n/N (%)</w:t>
            </w:r>
          </w:p>
        </w:tc>
        <w:tc>
          <w:tcPr>
            <w:tcW w:w="3006" w:type="dxa"/>
            <w:vAlign w:val="center"/>
          </w:tcPr>
          <w:p w14:paraId="384B67D5" w14:textId="77777777" w:rsidR="00122B64" w:rsidRPr="002530A2" w:rsidRDefault="00122B64" w:rsidP="00A65564">
            <w:pPr>
              <w:pStyle w:val="Tabletext0"/>
              <w:jc w:val="center"/>
            </w:pPr>
            <w:r>
              <w:t>11/63 (17.5)</w:t>
            </w:r>
          </w:p>
        </w:tc>
        <w:tc>
          <w:tcPr>
            <w:tcW w:w="3006" w:type="dxa"/>
            <w:vAlign w:val="center"/>
          </w:tcPr>
          <w:p w14:paraId="3FDB1E4F" w14:textId="77777777" w:rsidR="00122B64" w:rsidRPr="002530A2" w:rsidRDefault="00122B64" w:rsidP="00A65564">
            <w:pPr>
              <w:pStyle w:val="Tabletext0"/>
              <w:jc w:val="center"/>
            </w:pPr>
            <w:r>
              <w:t>4/60 (6.7)</w:t>
            </w:r>
          </w:p>
        </w:tc>
      </w:tr>
      <w:tr w:rsidR="00122B64" w:rsidRPr="002530A2" w14:paraId="59484235" w14:textId="77777777" w:rsidTr="00A65564">
        <w:tc>
          <w:tcPr>
            <w:tcW w:w="3005" w:type="dxa"/>
          </w:tcPr>
          <w:p w14:paraId="6991E4F9" w14:textId="77777777" w:rsidR="00122B64" w:rsidRPr="002530A2" w:rsidRDefault="00122B64" w:rsidP="00A65564">
            <w:pPr>
              <w:pStyle w:val="Tabletext0"/>
            </w:pPr>
            <w:proofErr w:type="gramStart"/>
            <w:r>
              <w:t>End point</w:t>
            </w:r>
            <w:proofErr w:type="gramEnd"/>
            <w:r>
              <w:t xml:space="preserve"> (DB)</w:t>
            </w:r>
            <w:r w:rsidRPr="002530A2">
              <w:t>, n/N (%)</w:t>
            </w:r>
          </w:p>
        </w:tc>
        <w:tc>
          <w:tcPr>
            <w:tcW w:w="3006" w:type="dxa"/>
            <w:vAlign w:val="center"/>
          </w:tcPr>
          <w:p w14:paraId="1D0A0C3C" w14:textId="77777777" w:rsidR="00122B64" w:rsidRPr="002530A2" w:rsidRDefault="00122B64" w:rsidP="00A65564">
            <w:pPr>
              <w:pStyle w:val="Tabletext0"/>
              <w:jc w:val="center"/>
            </w:pPr>
            <w:r>
              <w:t>11/71 (15.5)</w:t>
            </w:r>
          </w:p>
        </w:tc>
        <w:tc>
          <w:tcPr>
            <w:tcW w:w="3006" w:type="dxa"/>
            <w:vAlign w:val="center"/>
          </w:tcPr>
          <w:p w14:paraId="2584233B" w14:textId="77777777" w:rsidR="00122B64" w:rsidRPr="002530A2" w:rsidRDefault="00122B64" w:rsidP="00A65564">
            <w:pPr>
              <w:pStyle w:val="Tabletext0"/>
              <w:jc w:val="center"/>
            </w:pPr>
            <w:r>
              <w:t>4/64 (6.3)</w:t>
            </w:r>
          </w:p>
        </w:tc>
      </w:tr>
    </w:tbl>
    <w:p w14:paraId="3D94A2E3" w14:textId="75B0E694" w:rsidR="00310486" w:rsidRPr="009610E6" w:rsidRDefault="00122B64" w:rsidP="00034701">
      <w:pPr>
        <w:pStyle w:val="TableFigureFooter"/>
      </w:pPr>
      <w:r w:rsidRPr="002530A2">
        <w:t xml:space="preserve">Source: </w:t>
      </w:r>
      <w:r>
        <w:t xml:space="preserve">Table 2-17, p.123; </w:t>
      </w:r>
      <w:r w:rsidRPr="002530A2">
        <w:t>Table 2</w:t>
      </w:r>
      <w:r>
        <w:t>-18</w:t>
      </w:r>
      <w:r w:rsidRPr="002530A2">
        <w:t xml:space="preserve">, </w:t>
      </w:r>
      <w:r w:rsidRPr="006D1D62">
        <w:t>p.125; Table 2-19, p.126</w:t>
      </w:r>
      <w:r>
        <w:t>; Table 2-20, p.127</w:t>
      </w:r>
      <w:r w:rsidRPr="006D1D62">
        <w:t xml:space="preserve"> of</w:t>
      </w:r>
      <w:r w:rsidRPr="002530A2">
        <w:t xml:space="preserve"> the</w:t>
      </w:r>
      <w:r w:rsidR="00034701">
        <w:t xml:space="preserve"> </w:t>
      </w:r>
      <w:r>
        <w:t>re</w:t>
      </w:r>
      <w:r w:rsidRPr="002530A2">
        <w:t>submission</w:t>
      </w:r>
    </w:p>
    <w:p w14:paraId="7398950E" w14:textId="77777777" w:rsidR="002F458E" w:rsidRDefault="0075263F">
      <w:pPr>
        <w:pStyle w:val="ExecSumBodyText"/>
      </w:pPr>
      <w:r>
        <w:t>I</w:t>
      </w:r>
      <w:r w:rsidR="00F541AD" w:rsidRPr="00D60B48">
        <w:t xml:space="preserve">n </w:t>
      </w:r>
      <w:r w:rsidR="00F541AD" w:rsidRPr="00F541AD">
        <w:t xml:space="preserve">TRANSFORM-2 </w:t>
      </w:r>
      <w:r>
        <w:t>t</w:t>
      </w:r>
      <w:r w:rsidR="00F541AD" w:rsidRPr="00D60B48">
        <w:t>he</w:t>
      </w:r>
      <w:r w:rsidR="00F541AD" w:rsidRPr="00F541AD">
        <w:t xml:space="preserve"> number needed to treat for response at day </w:t>
      </w:r>
      <w:r w:rsidR="00C01540">
        <w:t>2</w:t>
      </w:r>
      <w:r w:rsidR="00F541AD" w:rsidRPr="00D60B48">
        <w:t>8</w:t>
      </w:r>
      <w:r w:rsidR="00F541AD" w:rsidRPr="00F541AD">
        <w:t xml:space="preserve"> based on MADRS total score was 5.8, and for remission was 4.7. </w:t>
      </w:r>
      <w:r w:rsidR="008B361B" w:rsidRPr="00D60B48">
        <w:t xml:space="preserve">In TRANSFORM-3 </w:t>
      </w:r>
      <w:r w:rsidR="008B361B">
        <w:t>t</w:t>
      </w:r>
      <w:r w:rsidR="008B361B" w:rsidRPr="00D60B48">
        <w:t xml:space="preserve">he number needed to treat for response at day 28 was 7.3, and for remission was 9.3. </w:t>
      </w:r>
      <w:r w:rsidR="008B361B" w:rsidRPr="008656C1">
        <w:t xml:space="preserve">Overall, the population aged 65 years and over enrolled in TRANSFORM-3 achieved lower remission and response rates on average in both </w:t>
      </w:r>
      <w:proofErr w:type="spellStart"/>
      <w:r w:rsidR="008B361B" w:rsidRPr="008656C1">
        <w:t>esketamine</w:t>
      </w:r>
      <w:proofErr w:type="spellEnd"/>
      <w:r w:rsidR="008B361B" w:rsidRPr="008656C1">
        <w:t xml:space="preserve"> treatment and placebo arms, compared with the population enrolled in TRANSFORM-2. </w:t>
      </w:r>
      <w:bookmarkStart w:id="25" w:name="_Ref105677796"/>
      <w:bookmarkStart w:id="26" w:name="_Ref109631855"/>
    </w:p>
    <w:p w14:paraId="2A69BBF5" w14:textId="35DBAD91" w:rsidR="004F7402" w:rsidRPr="00D30B7F" w:rsidRDefault="004F7402" w:rsidP="00786BC0">
      <w:pPr>
        <w:pStyle w:val="ExecSumBodyText"/>
      </w:pPr>
      <w:r w:rsidRPr="00D30B7F">
        <w:t>The PSCR</w:t>
      </w:r>
      <w:r w:rsidR="00727CBE" w:rsidRPr="00D30B7F">
        <w:t xml:space="preserve"> </w:t>
      </w:r>
      <w:r w:rsidRPr="00D30B7F">
        <w:t xml:space="preserve">argued that given the difficulties in treating patients with TRD that a holistic consideration of the evidence was required, beyond just the results in terms of MADRS outcomes. The PSCR argued the Clinical Global Impression of Severity (CGI-S) scale, which </w:t>
      </w:r>
      <w:proofErr w:type="gramStart"/>
      <w:r w:rsidRPr="00D30B7F">
        <w:t>takes into account</w:t>
      </w:r>
      <w:proofErr w:type="gramEnd"/>
      <w:r w:rsidRPr="00D30B7F">
        <w:t xml:space="preserve"> all available information including patient history, psychosocial circumstances, symptoms, behaviour and the impact of symptoms on ability to function was frequently used in the clinical setting to assess disease severity, on a scale of 0 to 7. The PSCR noted the median CGI-S scores of </w:t>
      </w:r>
      <w:proofErr w:type="spellStart"/>
      <w:r w:rsidRPr="00D30B7F">
        <w:t>esketamine</w:t>
      </w:r>
      <w:proofErr w:type="spellEnd"/>
      <w:r w:rsidRPr="00D30B7F">
        <w:t xml:space="preserve"> and placebo groups at baseline was 5.0, indicating markedly ill</w:t>
      </w:r>
      <w:r w:rsidR="004F1290" w:rsidRPr="00D30B7F">
        <w:t xml:space="preserve"> patients</w:t>
      </w:r>
      <w:r w:rsidRPr="00D30B7F">
        <w:t>, with a median improvement from baseline to endpoint of the double-blind induction phase of -2.0</w:t>
      </w:r>
      <w:r w:rsidR="00946DF8" w:rsidRPr="00D30B7F">
        <w:t xml:space="preserve"> in the </w:t>
      </w:r>
      <w:proofErr w:type="spellStart"/>
      <w:r w:rsidR="00946DF8" w:rsidRPr="00D30B7F">
        <w:t>esketamine</w:t>
      </w:r>
      <w:proofErr w:type="spellEnd"/>
      <w:r w:rsidR="00946DF8" w:rsidRPr="00D30B7F">
        <w:t xml:space="preserve"> arm</w:t>
      </w:r>
      <w:r w:rsidRPr="00D30B7F">
        <w:t>, which the sponsor argued was indicative that patient</w:t>
      </w:r>
      <w:r w:rsidR="00FC1F98" w:rsidRPr="00D30B7F">
        <w:t>s</w:t>
      </w:r>
      <w:r w:rsidRPr="00D30B7F">
        <w:t xml:space="preserve"> went from being markedly ill to mildly ill.</w:t>
      </w:r>
      <w:r w:rsidR="002922AC" w:rsidRPr="00D30B7F">
        <w:t xml:space="preserve"> </w:t>
      </w:r>
      <w:r w:rsidRPr="00D30B7F">
        <w:t xml:space="preserve">Additionally, the PSCR noted </w:t>
      </w:r>
      <w:proofErr w:type="spellStart"/>
      <w:r w:rsidRPr="00D30B7F">
        <w:t>esketatmine</w:t>
      </w:r>
      <w:proofErr w:type="spellEnd"/>
      <w:r w:rsidRPr="00D30B7F">
        <w:t xml:space="preserve"> also resulted </w:t>
      </w:r>
      <w:r w:rsidRPr="00D30B7F">
        <w:lastRenderedPageBreak/>
        <w:t xml:space="preserve">in improvements in both the patient health questionnaire 9 (PHQ-9) and Sheehan Stability Scale (SDS) total score, which indicated </w:t>
      </w:r>
      <w:proofErr w:type="spellStart"/>
      <w:r w:rsidRPr="00D30B7F">
        <w:t>esketamine</w:t>
      </w:r>
      <w:proofErr w:type="spellEnd"/>
      <w:r w:rsidRPr="00D30B7F">
        <w:t xml:space="preserve"> was more effective</w:t>
      </w:r>
      <w:r w:rsidR="00593820" w:rsidRPr="00D30B7F">
        <w:t xml:space="preserve"> than placebo</w:t>
      </w:r>
      <w:r w:rsidRPr="00D30B7F">
        <w:t xml:space="preserve"> in reducing</w:t>
      </w:r>
      <w:r w:rsidR="00027841" w:rsidRPr="00D30B7F">
        <w:t xml:space="preserve"> depressive</w:t>
      </w:r>
      <w:r w:rsidRPr="00D30B7F">
        <w:t xml:space="preserve"> symptoms, reducing functional impairment and disruption of work/school, social and family/home responsibilities. The ESC noted the results of the secondary outcomes </w:t>
      </w:r>
      <w:r w:rsidR="00786BC0">
        <w:t xml:space="preserve">reported in the PSCR </w:t>
      </w:r>
      <w:r w:rsidRPr="00D30B7F">
        <w:t xml:space="preserve">were favourable to </w:t>
      </w:r>
      <w:proofErr w:type="spellStart"/>
      <w:r w:rsidRPr="00D30B7F">
        <w:t>esketamine</w:t>
      </w:r>
      <w:proofErr w:type="spellEnd"/>
      <w:r w:rsidRPr="00D30B7F">
        <w:t xml:space="preserve"> and considered the evidence presently likely support</w:t>
      </w:r>
      <w:r w:rsidR="00027841" w:rsidRPr="00D30B7F">
        <w:t>ed</w:t>
      </w:r>
      <w:r w:rsidRPr="00D30B7F">
        <w:t xml:space="preserve"> that </w:t>
      </w:r>
      <w:proofErr w:type="spellStart"/>
      <w:r w:rsidRPr="00D30B7F">
        <w:t>esketamine</w:t>
      </w:r>
      <w:proofErr w:type="spellEnd"/>
      <w:r w:rsidRPr="00D30B7F">
        <w:t xml:space="preserve"> is effective (at least, for some patients) for the treatment of TRD in the short-term induction phase.</w:t>
      </w:r>
      <w:bookmarkEnd w:id="25"/>
      <w:r w:rsidR="00413515">
        <w:t xml:space="preserve"> </w:t>
      </w:r>
      <w:bookmarkEnd w:id="26"/>
    </w:p>
    <w:p w14:paraId="5E2D240C" w14:textId="5261D3CB" w:rsidR="00A5365F" w:rsidRPr="00F541AD" w:rsidRDefault="00536009" w:rsidP="00536009">
      <w:pPr>
        <w:pStyle w:val="ExecSumBodyText"/>
      </w:pPr>
      <w:r w:rsidRPr="00536009">
        <w:t>The results for the EQ-5D-5L health status index in the TRANSFORM trial</w:t>
      </w:r>
      <w:r>
        <w:t>s</w:t>
      </w:r>
      <w:r w:rsidRPr="00536009">
        <w:t xml:space="preserve"> are summarised in </w:t>
      </w:r>
      <w:r w:rsidR="00C50DC8">
        <w:t>the table below</w:t>
      </w:r>
      <w:r w:rsidRPr="00536009">
        <w:t>.</w:t>
      </w:r>
    </w:p>
    <w:p w14:paraId="04E389E4" w14:textId="44071E91" w:rsidR="00A5365F" w:rsidRPr="002530A2" w:rsidRDefault="00A5365F" w:rsidP="00594728">
      <w:pPr>
        <w:pStyle w:val="Caption"/>
        <w:keepLines/>
      </w:pPr>
      <w:r w:rsidRPr="001155CF">
        <w:t xml:space="preserve">Table </w:t>
      </w:r>
      <w:r w:rsidR="002030D0">
        <w:fldChar w:fldCharType="begin"/>
      </w:r>
      <w:r w:rsidR="002030D0">
        <w:instrText xml:space="preserve"> SEQ Table \* ARABIC </w:instrText>
      </w:r>
      <w:r w:rsidR="002030D0">
        <w:fldChar w:fldCharType="separate"/>
      </w:r>
      <w:r w:rsidR="008E3D7A">
        <w:rPr>
          <w:noProof/>
        </w:rPr>
        <w:t>7</w:t>
      </w:r>
      <w:r w:rsidR="002030D0">
        <w:rPr>
          <w:noProof/>
        </w:rPr>
        <w:fldChar w:fldCharType="end"/>
      </w:r>
      <w:r w:rsidRPr="00D60B48">
        <w:t>:</w:t>
      </w:r>
      <w:r w:rsidRPr="001155CF">
        <w:t xml:space="preserve"> EQ-5D</w:t>
      </w:r>
      <w:r w:rsidRPr="002530A2">
        <w:t xml:space="preserve"> </w:t>
      </w:r>
      <w:r>
        <w:t>health status index</w:t>
      </w:r>
      <w:r w:rsidRPr="002530A2">
        <w:t xml:space="preserve"> </w:t>
      </w:r>
      <w:r>
        <w:t xml:space="preserve">in the </w:t>
      </w:r>
      <w:r w:rsidRPr="002530A2">
        <w:t>TRANSFORM trial</w:t>
      </w:r>
      <w:r>
        <w:t>s</w:t>
      </w:r>
    </w:p>
    <w:tbl>
      <w:tblPr>
        <w:tblStyle w:val="TableGrid"/>
        <w:tblW w:w="0" w:type="auto"/>
        <w:tblLook w:val="04A0" w:firstRow="1" w:lastRow="0" w:firstColumn="1" w:lastColumn="0" w:noHBand="0" w:noVBand="1"/>
      </w:tblPr>
      <w:tblGrid>
        <w:gridCol w:w="1812"/>
        <w:gridCol w:w="1799"/>
        <w:gridCol w:w="1803"/>
        <w:gridCol w:w="1800"/>
        <w:gridCol w:w="1803"/>
      </w:tblGrid>
      <w:tr w:rsidR="00A5365F" w:rsidRPr="002530A2" w14:paraId="44B9A854" w14:textId="77777777" w:rsidTr="00A65564">
        <w:tc>
          <w:tcPr>
            <w:tcW w:w="1812" w:type="dxa"/>
            <w:vMerge w:val="restart"/>
          </w:tcPr>
          <w:p w14:paraId="282D9BF6" w14:textId="77777777" w:rsidR="00A5365F" w:rsidRPr="002530A2" w:rsidRDefault="00A5365F" w:rsidP="00594728">
            <w:pPr>
              <w:pStyle w:val="Tabletext0"/>
              <w:keepNext/>
              <w:keepLines/>
            </w:pPr>
          </w:p>
        </w:tc>
        <w:tc>
          <w:tcPr>
            <w:tcW w:w="3602" w:type="dxa"/>
            <w:gridSpan w:val="2"/>
            <w:vAlign w:val="center"/>
          </w:tcPr>
          <w:p w14:paraId="78C505AE" w14:textId="0D2BE322" w:rsidR="00A5365F" w:rsidRPr="002530A2" w:rsidRDefault="00A5365F" w:rsidP="00594728">
            <w:pPr>
              <w:pStyle w:val="Tabletext0"/>
              <w:keepNext/>
              <w:keepLines/>
              <w:jc w:val="center"/>
              <w:rPr>
                <w:b/>
              </w:rPr>
            </w:pPr>
            <w:proofErr w:type="spellStart"/>
            <w:r w:rsidRPr="002530A2">
              <w:rPr>
                <w:b/>
              </w:rPr>
              <w:t>Esketamine</w:t>
            </w:r>
            <w:proofErr w:type="spellEnd"/>
            <w:r w:rsidRPr="002530A2">
              <w:rPr>
                <w:b/>
              </w:rPr>
              <w:t xml:space="preserve"> + </w:t>
            </w:r>
            <w:r w:rsidR="00F17DCB">
              <w:rPr>
                <w:b/>
              </w:rPr>
              <w:t>O</w:t>
            </w:r>
            <w:r w:rsidRPr="00D60B48">
              <w:rPr>
                <w:b/>
              </w:rPr>
              <w:t>AD</w:t>
            </w:r>
          </w:p>
        </w:tc>
        <w:tc>
          <w:tcPr>
            <w:tcW w:w="3603" w:type="dxa"/>
            <w:gridSpan w:val="2"/>
            <w:vAlign w:val="center"/>
          </w:tcPr>
          <w:p w14:paraId="3977D1D5" w14:textId="2EC35CD8" w:rsidR="00A5365F" w:rsidRPr="002530A2" w:rsidRDefault="00A5365F" w:rsidP="00594728">
            <w:pPr>
              <w:pStyle w:val="Tabletext0"/>
              <w:keepNext/>
              <w:keepLines/>
              <w:jc w:val="center"/>
              <w:rPr>
                <w:b/>
              </w:rPr>
            </w:pPr>
            <w:r w:rsidRPr="002530A2">
              <w:rPr>
                <w:b/>
              </w:rPr>
              <w:t xml:space="preserve">Placebo + </w:t>
            </w:r>
            <w:r w:rsidR="00F17DCB">
              <w:rPr>
                <w:b/>
              </w:rPr>
              <w:t>O</w:t>
            </w:r>
            <w:r w:rsidRPr="00D60B48">
              <w:rPr>
                <w:b/>
              </w:rPr>
              <w:t>AD</w:t>
            </w:r>
          </w:p>
        </w:tc>
      </w:tr>
      <w:tr w:rsidR="00A5365F" w:rsidRPr="002530A2" w14:paraId="0327DB54" w14:textId="77777777" w:rsidTr="00A65564">
        <w:tc>
          <w:tcPr>
            <w:tcW w:w="1812" w:type="dxa"/>
            <w:vMerge/>
          </w:tcPr>
          <w:p w14:paraId="217B7117" w14:textId="77777777" w:rsidR="00A5365F" w:rsidRPr="002530A2" w:rsidRDefault="00A5365F" w:rsidP="00594728">
            <w:pPr>
              <w:pStyle w:val="Tabletext0"/>
              <w:keepNext/>
              <w:keepLines/>
            </w:pPr>
          </w:p>
        </w:tc>
        <w:tc>
          <w:tcPr>
            <w:tcW w:w="1799" w:type="dxa"/>
            <w:vAlign w:val="center"/>
          </w:tcPr>
          <w:p w14:paraId="17AE3947" w14:textId="77777777" w:rsidR="00A5365F" w:rsidRPr="002530A2" w:rsidRDefault="00A5365F" w:rsidP="00594728">
            <w:pPr>
              <w:pStyle w:val="Tabletext0"/>
              <w:keepNext/>
              <w:keepLines/>
              <w:jc w:val="center"/>
              <w:rPr>
                <w:b/>
              </w:rPr>
            </w:pPr>
            <w:r w:rsidRPr="002530A2">
              <w:rPr>
                <w:b/>
              </w:rPr>
              <w:t>N</w:t>
            </w:r>
          </w:p>
        </w:tc>
        <w:tc>
          <w:tcPr>
            <w:tcW w:w="1803" w:type="dxa"/>
            <w:vAlign w:val="center"/>
          </w:tcPr>
          <w:p w14:paraId="11D81BEF" w14:textId="77777777" w:rsidR="00A5365F" w:rsidRPr="002530A2" w:rsidRDefault="00A5365F" w:rsidP="00594728">
            <w:pPr>
              <w:pStyle w:val="Tabletext0"/>
              <w:keepNext/>
              <w:keepLines/>
              <w:jc w:val="center"/>
              <w:rPr>
                <w:b/>
              </w:rPr>
            </w:pPr>
            <w:r w:rsidRPr="002530A2">
              <w:rPr>
                <w:b/>
              </w:rPr>
              <w:t>Mean (SD)</w:t>
            </w:r>
          </w:p>
        </w:tc>
        <w:tc>
          <w:tcPr>
            <w:tcW w:w="1800" w:type="dxa"/>
            <w:vAlign w:val="center"/>
          </w:tcPr>
          <w:p w14:paraId="2AB449B6" w14:textId="77777777" w:rsidR="00A5365F" w:rsidRPr="002530A2" w:rsidRDefault="00A5365F" w:rsidP="00594728">
            <w:pPr>
              <w:pStyle w:val="Tabletext0"/>
              <w:keepNext/>
              <w:keepLines/>
              <w:jc w:val="center"/>
              <w:rPr>
                <w:b/>
              </w:rPr>
            </w:pPr>
            <w:r w:rsidRPr="002530A2">
              <w:rPr>
                <w:b/>
              </w:rPr>
              <w:t>N</w:t>
            </w:r>
          </w:p>
        </w:tc>
        <w:tc>
          <w:tcPr>
            <w:tcW w:w="1803" w:type="dxa"/>
            <w:vAlign w:val="center"/>
          </w:tcPr>
          <w:p w14:paraId="617C9332" w14:textId="77777777" w:rsidR="00A5365F" w:rsidRPr="002530A2" w:rsidRDefault="00A5365F" w:rsidP="00594728">
            <w:pPr>
              <w:pStyle w:val="Tabletext0"/>
              <w:keepNext/>
              <w:keepLines/>
              <w:jc w:val="center"/>
              <w:rPr>
                <w:b/>
              </w:rPr>
            </w:pPr>
            <w:r w:rsidRPr="002530A2">
              <w:rPr>
                <w:b/>
              </w:rPr>
              <w:t>Mean (SD)</w:t>
            </w:r>
          </w:p>
        </w:tc>
      </w:tr>
      <w:tr w:rsidR="00A5365F" w:rsidRPr="002530A2" w14:paraId="02C49C56" w14:textId="77777777" w:rsidTr="00A65564">
        <w:tc>
          <w:tcPr>
            <w:tcW w:w="9017" w:type="dxa"/>
            <w:gridSpan w:val="5"/>
            <w:vAlign w:val="center"/>
          </w:tcPr>
          <w:p w14:paraId="2B15EA27" w14:textId="77777777" w:rsidR="00A5365F" w:rsidRPr="00D55BE3" w:rsidRDefault="00A5365F" w:rsidP="00594728">
            <w:pPr>
              <w:pStyle w:val="Tabletext0"/>
              <w:keepNext/>
              <w:keepLines/>
              <w:rPr>
                <w:b/>
                <w:bCs/>
              </w:rPr>
            </w:pPr>
            <w:r>
              <w:rPr>
                <w:b/>
                <w:bCs/>
              </w:rPr>
              <w:t>TRANSFORM-2</w:t>
            </w:r>
          </w:p>
        </w:tc>
      </w:tr>
      <w:tr w:rsidR="00A5365F" w:rsidRPr="002530A2" w14:paraId="166A49F2" w14:textId="77777777" w:rsidTr="00A65564">
        <w:tc>
          <w:tcPr>
            <w:tcW w:w="1812" w:type="dxa"/>
          </w:tcPr>
          <w:p w14:paraId="4BAE4245" w14:textId="77777777" w:rsidR="00A5365F" w:rsidRPr="002530A2" w:rsidRDefault="00A5365F" w:rsidP="00594728">
            <w:pPr>
              <w:pStyle w:val="Tabletext0"/>
              <w:keepNext/>
              <w:keepLines/>
              <w:rPr>
                <w:bCs/>
              </w:rPr>
            </w:pPr>
            <w:r w:rsidRPr="002530A2">
              <w:rPr>
                <w:bCs/>
              </w:rPr>
              <w:t>Baseline</w:t>
            </w:r>
          </w:p>
        </w:tc>
        <w:tc>
          <w:tcPr>
            <w:tcW w:w="1799" w:type="dxa"/>
            <w:vAlign w:val="center"/>
          </w:tcPr>
          <w:p w14:paraId="77311F4A" w14:textId="77777777" w:rsidR="00A5365F" w:rsidRPr="002530A2" w:rsidRDefault="00A5365F" w:rsidP="00594728">
            <w:pPr>
              <w:pStyle w:val="Tabletext0"/>
              <w:keepNext/>
              <w:keepLines/>
              <w:jc w:val="center"/>
            </w:pPr>
            <w:r>
              <w:t>114</w:t>
            </w:r>
          </w:p>
        </w:tc>
        <w:tc>
          <w:tcPr>
            <w:tcW w:w="1803" w:type="dxa"/>
            <w:vAlign w:val="center"/>
          </w:tcPr>
          <w:p w14:paraId="328A6301" w14:textId="77777777" w:rsidR="00A5365F" w:rsidRPr="002530A2" w:rsidRDefault="00A5365F" w:rsidP="00594728">
            <w:pPr>
              <w:pStyle w:val="Tabletext0"/>
              <w:keepNext/>
              <w:keepLines/>
              <w:jc w:val="center"/>
            </w:pPr>
            <w:r>
              <w:t>0.530 (0.208)</w:t>
            </w:r>
          </w:p>
        </w:tc>
        <w:tc>
          <w:tcPr>
            <w:tcW w:w="1800" w:type="dxa"/>
            <w:vAlign w:val="center"/>
          </w:tcPr>
          <w:p w14:paraId="0204E06E" w14:textId="77777777" w:rsidR="00A5365F" w:rsidRPr="002530A2" w:rsidRDefault="00A5365F" w:rsidP="00594728">
            <w:pPr>
              <w:pStyle w:val="Tabletext0"/>
              <w:keepNext/>
              <w:keepLines/>
              <w:jc w:val="center"/>
            </w:pPr>
            <w:r>
              <w:t>109</w:t>
            </w:r>
          </w:p>
        </w:tc>
        <w:tc>
          <w:tcPr>
            <w:tcW w:w="1803" w:type="dxa"/>
            <w:vAlign w:val="center"/>
          </w:tcPr>
          <w:p w14:paraId="10227EE1" w14:textId="77777777" w:rsidR="00A5365F" w:rsidRPr="002530A2" w:rsidRDefault="00A5365F" w:rsidP="00594728">
            <w:pPr>
              <w:pStyle w:val="Tabletext0"/>
              <w:keepNext/>
              <w:keepLines/>
              <w:jc w:val="center"/>
            </w:pPr>
            <w:r>
              <w:t>0.501 (0.214)</w:t>
            </w:r>
          </w:p>
        </w:tc>
      </w:tr>
      <w:tr w:rsidR="00A5365F" w:rsidRPr="002530A2" w14:paraId="052375DE" w14:textId="77777777" w:rsidTr="00A65564">
        <w:tc>
          <w:tcPr>
            <w:tcW w:w="1812" w:type="dxa"/>
          </w:tcPr>
          <w:p w14:paraId="06A388FB" w14:textId="77777777" w:rsidR="00A5365F" w:rsidRPr="002530A2" w:rsidRDefault="00A5365F" w:rsidP="00594728">
            <w:pPr>
              <w:pStyle w:val="Tabletext0"/>
              <w:keepNext/>
              <w:keepLines/>
              <w:rPr>
                <w:bCs/>
              </w:rPr>
            </w:pPr>
            <w:proofErr w:type="gramStart"/>
            <w:r w:rsidRPr="002530A2">
              <w:rPr>
                <w:bCs/>
              </w:rPr>
              <w:t>End point</w:t>
            </w:r>
            <w:proofErr w:type="gramEnd"/>
            <w:r w:rsidRPr="002530A2">
              <w:rPr>
                <w:bCs/>
              </w:rPr>
              <w:t xml:space="preserve"> (day 28)</w:t>
            </w:r>
          </w:p>
        </w:tc>
        <w:tc>
          <w:tcPr>
            <w:tcW w:w="1799" w:type="dxa"/>
            <w:vAlign w:val="center"/>
          </w:tcPr>
          <w:p w14:paraId="4ACAC446" w14:textId="77777777" w:rsidR="00A5365F" w:rsidRPr="002530A2" w:rsidRDefault="00A5365F" w:rsidP="00594728">
            <w:pPr>
              <w:pStyle w:val="Tabletext0"/>
              <w:keepNext/>
              <w:keepLines/>
              <w:jc w:val="center"/>
            </w:pPr>
            <w:r>
              <w:t>111</w:t>
            </w:r>
          </w:p>
        </w:tc>
        <w:tc>
          <w:tcPr>
            <w:tcW w:w="1803" w:type="dxa"/>
            <w:vAlign w:val="center"/>
          </w:tcPr>
          <w:p w14:paraId="5FD88905" w14:textId="77777777" w:rsidR="00A5365F" w:rsidRPr="002530A2" w:rsidRDefault="00A5365F" w:rsidP="00594728">
            <w:pPr>
              <w:pStyle w:val="Tabletext0"/>
              <w:keepNext/>
              <w:keepLines/>
              <w:jc w:val="center"/>
            </w:pPr>
            <w:r>
              <w:t>0.815 (0.177)</w:t>
            </w:r>
          </w:p>
        </w:tc>
        <w:tc>
          <w:tcPr>
            <w:tcW w:w="1800" w:type="dxa"/>
            <w:vAlign w:val="center"/>
          </w:tcPr>
          <w:p w14:paraId="110D6B9F" w14:textId="77777777" w:rsidR="00A5365F" w:rsidRPr="002530A2" w:rsidRDefault="00A5365F" w:rsidP="00594728">
            <w:pPr>
              <w:pStyle w:val="Tabletext0"/>
              <w:keepNext/>
              <w:keepLines/>
              <w:jc w:val="center"/>
            </w:pPr>
            <w:r>
              <w:t>105</w:t>
            </w:r>
          </w:p>
        </w:tc>
        <w:tc>
          <w:tcPr>
            <w:tcW w:w="1803" w:type="dxa"/>
            <w:vAlign w:val="center"/>
          </w:tcPr>
          <w:p w14:paraId="4AE66E54" w14:textId="77777777" w:rsidR="00A5365F" w:rsidRPr="002530A2" w:rsidRDefault="00A5365F" w:rsidP="00594728">
            <w:pPr>
              <w:pStyle w:val="Tabletext0"/>
              <w:keepNext/>
              <w:keepLines/>
              <w:jc w:val="center"/>
            </w:pPr>
            <w:r>
              <w:t>0.737 (0.230)</w:t>
            </w:r>
          </w:p>
        </w:tc>
      </w:tr>
      <w:tr w:rsidR="00A5365F" w:rsidRPr="002530A2" w14:paraId="5105B8B1" w14:textId="77777777" w:rsidTr="00A65564">
        <w:tc>
          <w:tcPr>
            <w:tcW w:w="9017" w:type="dxa"/>
            <w:gridSpan w:val="5"/>
            <w:vAlign w:val="center"/>
          </w:tcPr>
          <w:p w14:paraId="3C6D87F6" w14:textId="77777777" w:rsidR="00A5365F" w:rsidRPr="002530A2" w:rsidRDefault="00A5365F" w:rsidP="00594728">
            <w:pPr>
              <w:pStyle w:val="Tabletext0"/>
              <w:keepNext/>
              <w:keepLines/>
              <w:rPr>
                <w:b/>
                <w:bCs/>
              </w:rPr>
            </w:pPr>
            <w:r>
              <w:rPr>
                <w:b/>
                <w:bCs/>
              </w:rPr>
              <w:t>TRANSFORM-3</w:t>
            </w:r>
          </w:p>
        </w:tc>
      </w:tr>
      <w:tr w:rsidR="00A5365F" w:rsidRPr="002530A2" w14:paraId="43B225B2" w14:textId="77777777" w:rsidTr="00A65564">
        <w:tc>
          <w:tcPr>
            <w:tcW w:w="1812" w:type="dxa"/>
          </w:tcPr>
          <w:p w14:paraId="638B2D59" w14:textId="77777777" w:rsidR="00A5365F" w:rsidRPr="002530A2" w:rsidRDefault="00A5365F" w:rsidP="00594728">
            <w:pPr>
              <w:pStyle w:val="Tabletext0"/>
              <w:keepNext/>
              <w:keepLines/>
              <w:rPr>
                <w:b/>
              </w:rPr>
            </w:pPr>
            <w:r w:rsidRPr="002530A2">
              <w:rPr>
                <w:bCs/>
              </w:rPr>
              <w:t>Baseline</w:t>
            </w:r>
          </w:p>
        </w:tc>
        <w:tc>
          <w:tcPr>
            <w:tcW w:w="1799" w:type="dxa"/>
            <w:vAlign w:val="center"/>
          </w:tcPr>
          <w:p w14:paraId="6D57A15F" w14:textId="77777777" w:rsidR="00A5365F" w:rsidRPr="002530A2" w:rsidRDefault="00A5365F" w:rsidP="00594728">
            <w:pPr>
              <w:pStyle w:val="Tabletext0"/>
              <w:keepNext/>
              <w:keepLines/>
              <w:jc w:val="center"/>
            </w:pPr>
            <w:r>
              <w:t>72</w:t>
            </w:r>
          </w:p>
        </w:tc>
        <w:tc>
          <w:tcPr>
            <w:tcW w:w="1803" w:type="dxa"/>
            <w:vAlign w:val="center"/>
          </w:tcPr>
          <w:p w14:paraId="55D6A4E2" w14:textId="77777777" w:rsidR="00A5365F" w:rsidRPr="002530A2" w:rsidRDefault="00A5365F" w:rsidP="00594728">
            <w:pPr>
              <w:pStyle w:val="Tabletext0"/>
              <w:keepNext/>
              <w:keepLines/>
              <w:jc w:val="center"/>
            </w:pPr>
            <w:r>
              <w:t>0.581 (0.226)</w:t>
            </w:r>
          </w:p>
        </w:tc>
        <w:tc>
          <w:tcPr>
            <w:tcW w:w="1800" w:type="dxa"/>
            <w:vAlign w:val="center"/>
          </w:tcPr>
          <w:p w14:paraId="2680572F" w14:textId="77777777" w:rsidR="00A5365F" w:rsidRPr="002530A2" w:rsidRDefault="00A5365F" w:rsidP="00594728">
            <w:pPr>
              <w:pStyle w:val="Tabletext0"/>
              <w:keepNext/>
              <w:keepLines/>
              <w:jc w:val="center"/>
            </w:pPr>
            <w:r>
              <w:t>65</w:t>
            </w:r>
          </w:p>
        </w:tc>
        <w:tc>
          <w:tcPr>
            <w:tcW w:w="1803" w:type="dxa"/>
            <w:vAlign w:val="center"/>
          </w:tcPr>
          <w:p w14:paraId="249D5AD3" w14:textId="77777777" w:rsidR="00A5365F" w:rsidRPr="002530A2" w:rsidRDefault="00A5365F" w:rsidP="00594728">
            <w:pPr>
              <w:pStyle w:val="Tabletext0"/>
              <w:keepNext/>
              <w:keepLines/>
              <w:jc w:val="center"/>
            </w:pPr>
            <w:r>
              <w:t>0.635 (0.228)</w:t>
            </w:r>
          </w:p>
        </w:tc>
      </w:tr>
      <w:tr w:rsidR="00A5365F" w:rsidRPr="002530A2" w14:paraId="41086489" w14:textId="77777777" w:rsidTr="00A65564">
        <w:tc>
          <w:tcPr>
            <w:tcW w:w="1812" w:type="dxa"/>
          </w:tcPr>
          <w:p w14:paraId="245CFDB9" w14:textId="77777777" w:rsidR="00A5365F" w:rsidRPr="002530A2" w:rsidRDefault="00A5365F" w:rsidP="00594728">
            <w:pPr>
              <w:pStyle w:val="Tabletext0"/>
              <w:keepNext/>
              <w:keepLines/>
              <w:rPr>
                <w:b/>
              </w:rPr>
            </w:pPr>
            <w:proofErr w:type="gramStart"/>
            <w:r w:rsidRPr="002530A2">
              <w:rPr>
                <w:bCs/>
              </w:rPr>
              <w:t>End point</w:t>
            </w:r>
            <w:proofErr w:type="gramEnd"/>
            <w:r w:rsidRPr="002530A2">
              <w:rPr>
                <w:bCs/>
              </w:rPr>
              <w:t xml:space="preserve"> (day 28)</w:t>
            </w:r>
          </w:p>
        </w:tc>
        <w:tc>
          <w:tcPr>
            <w:tcW w:w="1799" w:type="dxa"/>
            <w:vAlign w:val="center"/>
          </w:tcPr>
          <w:p w14:paraId="1E7E76CE" w14:textId="77777777" w:rsidR="00A5365F" w:rsidRPr="002530A2" w:rsidRDefault="00A5365F" w:rsidP="00594728">
            <w:pPr>
              <w:pStyle w:val="Tabletext0"/>
              <w:keepNext/>
              <w:keepLines/>
              <w:jc w:val="center"/>
            </w:pPr>
            <w:r>
              <w:t>70</w:t>
            </w:r>
          </w:p>
        </w:tc>
        <w:tc>
          <w:tcPr>
            <w:tcW w:w="1803" w:type="dxa"/>
            <w:vAlign w:val="center"/>
          </w:tcPr>
          <w:p w14:paraId="74A07315" w14:textId="77777777" w:rsidR="00A5365F" w:rsidRPr="002530A2" w:rsidRDefault="00A5365F" w:rsidP="00594728">
            <w:pPr>
              <w:pStyle w:val="Tabletext0"/>
              <w:keepNext/>
              <w:keepLines/>
              <w:jc w:val="center"/>
            </w:pPr>
            <w:r>
              <w:t>0.653 (0.255)</w:t>
            </w:r>
          </w:p>
        </w:tc>
        <w:tc>
          <w:tcPr>
            <w:tcW w:w="1800" w:type="dxa"/>
            <w:vAlign w:val="center"/>
          </w:tcPr>
          <w:p w14:paraId="4A6BD9F3" w14:textId="77777777" w:rsidR="00A5365F" w:rsidRPr="002530A2" w:rsidRDefault="00A5365F" w:rsidP="00594728">
            <w:pPr>
              <w:pStyle w:val="Tabletext0"/>
              <w:keepNext/>
              <w:keepLines/>
              <w:jc w:val="center"/>
            </w:pPr>
            <w:r>
              <w:t>64</w:t>
            </w:r>
          </w:p>
        </w:tc>
        <w:tc>
          <w:tcPr>
            <w:tcW w:w="1803" w:type="dxa"/>
            <w:vAlign w:val="center"/>
          </w:tcPr>
          <w:p w14:paraId="269519B8" w14:textId="77777777" w:rsidR="00A5365F" w:rsidRPr="002530A2" w:rsidRDefault="00A5365F" w:rsidP="00594728">
            <w:pPr>
              <w:pStyle w:val="Tabletext0"/>
              <w:keepNext/>
              <w:keepLines/>
              <w:jc w:val="center"/>
            </w:pPr>
            <w:r>
              <w:t>0.657 (0.211)</w:t>
            </w:r>
          </w:p>
        </w:tc>
      </w:tr>
      <w:tr w:rsidR="00A5365F" w:rsidRPr="002530A2" w14:paraId="48D2AACF" w14:textId="77777777" w:rsidTr="00A65564">
        <w:tc>
          <w:tcPr>
            <w:tcW w:w="9017" w:type="dxa"/>
            <w:gridSpan w:val="5"/>
          </w:tcPr>
          <w:p w14:paraId="7A05BA8D" w14:textId="77777777" w:rsidR="00A5365F" w:rsidRPr="00DF1F0A" w:rsidRDefault="00A5365F" w:rsidP="00594728">
            <w:pPr>
              <w:pStyle w:val="Tabletext0"/>
              <w:keepNext/>
              <w:keepLines/>
              <w:rPr>
                <w:b/>
                <w:bCs/>
              </w:rPr>
            </w:pPr>
            <w:r>
              <w:rPr>
                <w:b/>
                <w:bCs/>
              </w:rPr>
              <w:t>TRANSFORM-1</w:t>
            </w:r>
          </w:p>
        </w:tc>
      </w:tr>
      <w:tr w:rsidR="00A5365F" w:rsidRPr="002530A2" w14:paraId="437DCC21" w14:textId="77777777" w:rsidTr="00A65564">
        <w:tc>
          <w:tcPr>
            <w:tcW w:w="1812" w:type="dxa"/>
          </w:tcPr>
          <w:p w14:paraId="54EF9D24" w14:textId="77777777" w:rsidR="00A5365F" w:rsidRPr="002530A2" w:rsidRDefault="00A5365F" w:rsidP="00594728">
            <w:pPr>
              <w:pStyle w:val="Tabletext0"/>
              <w:keepNext/>
              <w:keepLines/>
              <w:rPr>
                <w:bCs/>
              </w:rPr>
            </w:pPr>
            <w:r>
              <w:rPr>
                <w:bCs/>
              </w:rPr>
              <w:t>Baseline (56 mg)</w:t>
            </w:r>
          </w:p>
        </w:tc>
        <w:tc>
          <w:tcPr>
            <w:tcW w:w="1799" w:type="dxa"/>
            <w:vAlign w:val="center"/>
          </w:tcPr>
          <w:p w14:paraId="076C5509" w14:textId="77777777" w:rsidR="00A5365F" w:rsidRDefault="00A5365F" w:rsidP="00594728">
            <w:pPr>
              <w:pStyle w:val="Tabletext0"/>
              <w:keepNext/>
              <w:keepLines/>
              <w:jc w:val="center"/>
            </w:pPr>
            <w:r>
              <w:t>115</w:t>
            </w:r>
          </w:p>
        </w:tc>
        <w:tc>
          <w:tcPr>
            <w:tcW w:w="1803" w:type="dxa"/>
            <w:vAlign w:val="center"/>
          </w:tcPr>
          <w:p w14:paraId="6206DD69" w14:textId="77777777" w:rsidR="00A5365F" w:rsidRDefault="00A5365F" w:rsidP="00594728">
            <w:pPr>
              <w:pStyle w:val="Tabletext0"/>
              <w:keepNext/>
              <w:keepLines/>
              <w:jc w:val="center"/>
            </w:pPr>
            <w:r>
              <w:t>0.531 (0.220)</w:t>
            </w:r>
          </w:p>
        </w:tc>
        <w:tc>
          <w:tcPr>
            <w:tcW w:w="1800" w:type="dxa"/>
            <w:vMerge w:val="restart"/>
            <w:vAlign w:val="center"/>
          </w:tcPr>
          <w:p w14:paraId="3C68E641" w14:textId="77777777" w:rsidR="00A5365F" w:rsidRDefault="00A5365F" w:rsidP="00594728">
            <w:pPr>
              <w:pStyle w:val="Tabletext0"/>
              <w:keepNext/>
              <w:keepLines/>
              <w:jc w:val="center"/>
            </w:pPr>
            <w:r>
              <w:t>113</w:t>
            </w:r>
          </w:p>
        </w:tc>
        <w:tc>
          <w:tcPr>
            <w:tcW w:w="1803" w:type="dxa"/>
            <w:vMerge w:val="restart"/>
            <w:vAlign w:val="center"/>
          </w:tcPr>
          <w:p w14:paraId="1F560EAD" w14:textId="77777777" w:rsidR="00A5365F" w:rsidRDefault="00A5365F" w:rsidP="00594728">
            <w:pPr>
              <w:pStyle w:val="Tabletext0"/>
              <w:keepNext/>
              <w:keepLines/>
              <w:jc w:val="center"/>
            </w:pPr>
            <w:r>
              <w:t>0.521 (0.216)</w:t>
            </w:r>
          </w:p>
        </w:tc>
      </w:tr>
      <w:tr w:rsidR="00A5365F" w:rsidRPr="002530A2" w14:paraId="2CF2B34D" w14:textId="77777777" w:rsidTr="00A65564">
        <w:tc>
          <w:tcPr>
            <w:tcW w:w="1812" w:type="dxa"/>
          </w:tcPr>
          <w:p w14:paraId="4C0CDA31" w14:textId="77777777" w:rsidR="00A5365F" w:rsidRPr="002530A2" w:rsidRDefault="00A5365F" w:rsidP="00594728">
            <w:pPr>
              <w:pStyle w:val="Tabletext0"/>
              <w:keepNext/>
              <w:keepLines/>
              <w:rPr>
                <w:bCs/>
              </w:rPr>
            </w:pPr>
            <w:r w:rsidRPr="002530A2">
              <w:rPr>
                <w:bCs/>
              </w:rPr>
              <w:t>Baseline</w:t>
            </w:r>
            <w:r>
              <w:rPr>
                <w:bCs/>
              </w:rPr>
              <w:t xml:space="preserve"> (84 mg)</w:t>
            </w:r>
          </w:p>
        </w:tc>
        <w:tc>
          <w:tcPr>
            <w:tcW w:w="1799" w:type="dxa"/>
            <w:vAlign w:val="center"/>
          </w:tcPr>
          <w:p w14:paraId="241B593A" w14:textId="77777777" w:rsidR="00A5365F" w:rsidRDefault="00A5365F" w:rsidP="00594728">
            <w:pPr>
              <w:pStyle w:val="Tabletext0"/>
              <w:keepNext/>
              <w:keepLines/>
              <w:jc w:val="center"/>
            </w:pPr>
            <w:r>
              <w:t>114</w:t>
            </w:r>
          </w:p>
        </w:tc>
        <w:tc>
          <w:tcPr>
            <w:tcW w:w="1803" w:type="dxa"/>
            <w:vAlign w:val="center"/>
          </w:tcPr>
          <w:p w14:paraId="483ACE3A" w14:textId="77777777" w:rsidR="00A5365F" w:rsidRDefault="00A5365F" w:rsidP="00594728">
            <w:pPr>
              <w:pStyle w:val="Tabletext0"/>
              <w:keepNext/>
              <w:keepLines/>
              <w:jc w:val="center"/>
            </w:pPr>
            <w:r>
              <w:t>0.502 (0.208)</w:t>
            </w:r>
          </w:p>
        </w:tc>
        <w:tc>
          <w:tcPr>
            <w:tcW w:w="1800" w:type="dxa"/>
            <w:vMerge/>
            <w:vAlign w:val="center"/>
          </w:tcPr>
          <w:p w14:paraId="13065DD7" w14:textId="77777777" w:rsidR="00A5365F" w:rsidRDefault="00A5365F" w:rsidP="00594728">
            <w:pPr>
              <w:pStyle w:val="Tabletext0"/>
              <w:keepNext/>
              <w:keepLines/>
              <w:jc w:val="center"/>
            </w:pPr>
          </w:p>
        </w:tc>
        <w:tc>
          <w:tcPr>
            <w:tcW w:w="1803" w:type="dxa"/>
            <w:vMerge/>
            <w:vAlign w:val="center"/>
          </w:tcPr>
          <w:p w14:paraId="764AC19E" w14:textId="77777777" w:rsidR="00A5365F" w:rsidRDefault="00A5365F" w:rsidP="00594728">
            <w:pPr>
              <w:pStyle w:val="Tabletext0"/>
              <w:keepNext/>
              <w:keepLines/>
              <w:jc w:val="center"/>
            </w:pPr>
          </w:p>
        </w:tc>
      </w:tr>
      <w:tr w:rsidR="00A5365F" w:rsidRPr="002530A2" w14:paraId="4E8B21A7" w14:textId="77777777" w:rsidTr="00A65564">
        <w:tc>
          <w:tcPr>
            <w:tcW w:w="1812" w:type="dxa"/>
          </w:tcPr>
          <w:p w14:paraId="75D54FD6" w14:textId="77777777" w:rsidR="00A5365F" w:rsidRPr="002530A2" w:rsidRDefault="00A5365F" w:rsidP="00594728">
            <w:pPr>
              <w:pStyle w:val="Tabletext0"/>
              <w:keepNext/>
              <w:keepLines/>
              <w:rPr>
                <w:bCs/>
              </w:rPr>
            </w:pPr>
            <w:proofErr w:type="gramStart"/>
            <w:r w:rsidRPr="002530A2">
              <w:rPr>
                <w:bCs/>
              </w:rPr>
              <w:t>End point</w:t>
            </w:r>
            <w:proofErr w:type="gramEnd"/>
            <w:r w:rsidRPr="002530A2">
              <w:rPr>
                <w:bCs/>
              </w:rPr>
              <w:t xml:space="preserve"> (</w:t>
            </w:r>
            <w:r>
              <w:rPr>
                <w:bCs/>
              </w:rPr>
              <w:t>56 mg</w:t>
            </w:r>
            <w:r w:rsidRPr="002530A2">
              <w:rPr>
                <w:bCs/>
              </w:rPr>
              <w:t>)</w:t>
            </w:r>
          </w:p>
        </w:tc>
        <w:tc>
          <w:tcPr>
            <w:tcW w:w="1799" w:type="dxa"/>
            <w:vAlign w:val="center"/>
          </w:tcPr>
          <w:p w14:paraId="1364ADCB" w14:textId="77777777" w:rsidR="00A5365F" w:rsidRDefault="00A5365F" w:rsidP="00594728">
            <w:pPr>
              <w:pStyle w:val="Tabletext0"/>
              <w:keepNext/>
              <w:keepLines/>
              <w:jc w:val="center"/>
            </w:pPr>
            <w:r>
              <w:t>113</w:t>
            </w:r>
          </w:p>
        </w:tc>
        <w:tc>
          <w:tcPr>
            <w:tcW w:w="1803" w:type="dxa"/>
            <w:vAlign w:val="center"/>
          </w:tcPr>
          <w:p w14:paraId="186C11B3" w14:textId="77777777" w:rsidR="00A5365F" w:rsidRDefault="00A5365F" w:rsidP="00594728">
            <w:pPr>
              <w:pStyle w:val="Tabletext0"/>
              <w:keepNext/>
              <w:keepLines/>
              <w:jc w:val="center"/>
            </w:pPr>
            <w:r>
              <w:t>0.755 (0.216)</w:t>
            </w:r>
          </w:p>
        </w:tc>
        <w:tc>
          <w:tcPr>
            <w:tcW w:w="1800" w:type="dxa"/>
            <w:vMerge w:val="restart"/>
            <w:vAlign w:val="center"/>
          </w:tcPr>
          <w:p w14:paraId="04EFC869" w14:textId="77777777" w:rsidR="00A5365F" w:rsidRDefault="00A5365F" w:rsidP="00594728">
            <w:pPr>
              <w:pStyle w:val="Tabletext0"/>
              <w:keepNext/>
              <w:keepLines/>
              <w:jc w:val="center"/>
            </w:pPr>
            <w:r>
              <w:t>113</w:t>
            </w:r>
          </w:p>
        </w:tc>
        <w:tc>
          <w:tcPr>
            <w:tcW w:w="1803" w:type="dxa"/>
            <w:vMerge w:val="restart"/>
            <w:vAlign w:val="center"/>
          </w:tcPr>
          <w:p w14:paraId="7DE82973" w14:textId="77777777" w:rsidR="00A5365F" w:rsidRDefault="00A5365F" w:rsidP="00594728">
            <w:pPr>
              <w:pStyle w:val="Tabletext0"/>
              <w:keepNext/>
              <w:keepLines/>
              <w:jc w:val="center"/>
            </w:pPr>
            <w:r>
              <w:t>0.703 (0.217)</w:t>
            </w:r>
          </w:p>
        </w:tc>
      </w:tr>
      <w:tr w:rsidR="00A5365F" w:rsidRPr="002530A2" w14:paraId="5C56F225" w14:textId="77777777" w:rsidTr="00A65564">
        <w:tc>
          <w:tcPr>
            <w:tcW w:w="1812" w:type="dxa"/>
          </w:tcPr>
          <w:p w14:paraId="4A96EDB1" w14:textId="77777777" w:rsidR="00A5365F" w:rsidRPr="002530A2" w:rsidRDefault="00A5365F" w:rsidP="00A65564">
            <w:pPr>
              <w:pStyle w:val="Tabletext0"/>
              <w:rPr>
                <w:bCs/>
              </w:rPr>
            </w:pPr>
            <w:proofErr w:type="gramStart"/>
            <w:r w:rsidRPr="002530A2">
              <w:rPr>
                <w:bCs/>
              </w:rPr>
              <w:t>End point</w:t>
            </w:r>
            <w:proofErr w:type="gramEnd"/>
            <w:r w:rsidRPr="002530A2">
              <w:rPr>
                <w:bCs/>
              </w:rPr>
              <w:t xml:space="preserve"> (</w:t>
            </w:r>
            <w:r>
              <w:rPr>
                <w:bCs/>
              </w:rPr>
              <w:t>84 mg</w:t>
            </w:r>
            <w:r w:rsidRPr="002530A2">
              <w:rPr>
                <w:bCs/>
              </w:rPr>
              <w:t>)</w:t>
            </w:r>
          </w:p>
        </w:tc>
        <w:tc>
          <w:tcPr>
            <w:tcW w:w="1799" w:type="dxa"/>
            <w:vAlign w:val="center"/>
          </w:tcPr>
          <w:p w14:paraId="1B2979F7" w14:textId="77777777" w:rsidR="00A5365F" w:rsidRDefault="00A5365F" w:rsidP="00A65564">
            <w:pPr>
              <w:pStyle w:val="Tabletext0"/>
              <w:jc w:val="center"/>
            </w:pPr>
            <w:r>
              <w:t>112</w:t>
            </w:r>
          </w:p>
        </w:tc>
        <w:tc>
          <w:tcPr>
            <w:tcW w:w="1803" w:type="dxa"/>
            <w:vAlign w:val="center"/>
          </w:tcPr>
          <w:p w14:paraId="2138CA54" w14:textId="77777777" w:rsidR="00A5365F" w:rsidRDefault="00A5365F" w:rsidP="00A65564">
            <w:pPr>
              <w:pStyle w:val="Tabletext0"/>
              <w:jc w:val="center"/>
            </w:pPr>
            <w:r>
              <w:t>0.741 (0.203)</w:t>
            </w:r>
          </w:p>
        </w:tc>
        <w:tc>
          <w:tcPr>
            <w:tcW w:w="1800" w:type="dxa"/>
            <w:vMerge/>
            <w:vAlign w:val="center"/>
          </w:tcPr>
          <w:p w14:paraId="1AB6CAF0" w14:textId="77777777" w:rsidR="00A5365F" w:rsidRDefault="00A5365F" w:rsidP="00A65564">
            <w:pPr>
              <w:pStyle w:val="Tabletext0"/>
              <w:jc w:val="center"/>
            </w:pPr>
          </w:p>
        </w:tc>
        <w:tc>
          <w:tcPr>
            <w:tcW w:w="1803" w:type="dxa"/>
            <w:vMerge/>
            <w:vAlign w:val="center"/>
          </w:tcPr>
          <w:p w14:paraId="71942B88" w14:textId="77777777" w:rsidR="00A5365F" w:rsidRDefault="00A5365F" w:rsidP="00A65564">
            <w:pPr>
              <w:pStyle w:val="Tabletext0"/>
              <w:jc w:val="center"/>
            </w:pPr>
          </w:p>
        </w:tc>
      </w:tr>
    </w:tbl>
    <w:p w14:paraId="0E946B75" w14:textId="77777777" w:rsidR="00A5365F" w:rsidRPr="002530A2" w:rsidRDefault="00A5365F" w:rsidP="00527701">
      <w:pPr>
        <w:pStyle w:val="TableFigureFooter"/>
      </w:pPr>
      <w:r w:rsidRPr="002530A2">
        <w:t xml:space="preserve">Source: </w:t>
      </w:r>
      <w:r w:rsidRPr="006E55AF">
        <w:t>TEFEQ5D01A</w:t>
      </w:r>
      <w:r>
        <w:t xml:space="preserve">, p.4465 TRANSFORM-1 CSR; </w:t>
      </w:r>
      <w:r w:rsidRPr="002530A2">
        <w:t xml:space="preserve">TEFEQ5D01A, p.2853 TRANSFORM-2 </w:t>
      </w:r>
      <w:r>
        <w:t xml:space="preserve">CSR; </w:t>
      </w:r>
      <w:r w:rsidRPr="00E02282">
        <w:t>TEFEQ5D01A</w:t>
      </w:r>
      <w:r>
        <w:t>, p.1930 TRANSFORM-3 CSR</w:t>
      </w:r>
    </w:p>
    <w:p w14:paraId="6EEB1E33" w14:textId="19AC9607" w:rsidR="00A5365F" w:rsidRPr="002530A2" w:rsidRDefault="00A5365F" w:rsidP="00527701">
      <w:pPr>
        <w:pStyle w:val="TableFigureFooter"/>
      </w:pPr>
      <w:r w:rsidRPr="002530A2">
        <w:t xml:space="preserve">Abbreviations: </w:t>
      </w:r>
      <w:r w:rsidR="00F17DCB">
        <w:t>O</w:t>
      </w:r>
      <w:r w:rsidRPr="00D60B48">
        <w:t xml:space="preserve">AD, </w:t>
      </w:r>
      <w:r w:rsidR="00F17DCB">
        <w:t>oral</w:t>
      </w:r>
      <w:r w:rsidRPr="002530A2">
        <w:t xml:space="preserve"> antidepressant; SD, standard deviation</w:t>
      </w:r>
    </w:p>
    <w:p w14:paraId="4CF27B4B" w14:textId="77777777" w:rsidR="00A5365F" w:rsidRDefault="00A5365F" w:rsidP="00527701">
      <w:pPr>
        <w:pStyle w:val="TableFigureFooter"/>
      </w:pPr>
      <w:r w:rsidRPr="002530A2">
        <w:t xml:space="preserve">Note: </w:t>
      </w:r>
      <w:r w:rsidRPr="004165B3">
        <w:t>Health Status Index ranges from -0.148 to 0.949 and is anchored at 0 (health state valued equal to dead) and 1 (full health)</w:t>
      </w:r>
    </w:p>
    <w:p w14:paraId="78C0B62F" w14:textId="00A0B38E" w:rsidR="00D21CE9" w:rsidRPr="00BD680F" w:rsidRDefault="00D21CE9" w:rsidP="00EC5836">
      <w:pPr>
        <w:pStyle w:val="ExecSumBodyText"/>
      </w:pPr>
      <w:r w:rsidRPr="00D21CE9">
        <w:t xml:space="preserve">Participants in the placebo and </w:t>
      </w:r>
      <w:proofErr w:type="spellStart"/>
      <w:r w:rsidRPr="00D21CE9">
        <w:t>esketamine</w:t>
      </w:r>
      <w:proofErr w:type="spellEnd"/>
      <w:r w:rsidRPr="00D21CE9">
        <w:t xml:space="preserve"> treatment arms of the TRANSFORM trials experienced improvements in quality of life as measured by the EQ-5D-5L health status index between baseline and end of study, with a trend favouring treatment with intranasal </w:t>
      </w:r>
      <w:proofErr w:type="spellStart"/>
      <w:r w:rsidRPr="00D21CE9">
        <w:t>esketamine</w:t>
      </w:r>
      <w:proofErr w:type="spellEnd"/>
      <w:r w:rsidRPr="00D21CE9">
        <w:t xml:space="preserve">. </w:t>
      </w:r>
      <w:r w:rsidRPr="008656C1">
        <w:rPr>
          <w:iCs/>
        </w:rPr>
        <w:t>There were some differences in mean scores at baseline between treatment groups, particularly in TRANSFORM-3.</w:t>
      </w:r>
    </w:p>
    <w:p w14:paraId="094C1B81" w14:textId="6CD5A578" w:rsidR="0012404A" w:rsidRPr="002530A2" w:rsidRDefault="0012404A" w:rsidP="0012404A">
      <w:pPr>
        <w:pStyle w:val="ExecSumBodyText"/>
      </w:pPr>
      <w:r w:rsidRPr="002530A2">
        <w:t xml:space="preserve">In the SUSTAIN-1 trial, the primary efficacy endpoint was the time from randomisation (in the maintenance phase) to the first relapse in </w:t>
      </w:r>
      <w:r>
        <w:t>patien</w:t>
      </w:r>
      <w:r w:rsidRPr="002530A2">
        <w:t xml:space="preserve">ts who </w:t>
      </w:r>
      <w:r>
        <w:t xml:space="preserve">previously </w:t>
      </w:r>
      <w:r w:rsidRPr="002530A2">
        <w:t xml:space="preserve">achieved stable remission </w:t>
      </w:r>
      <w:r>
        <w:t xml:space="preserve">with </w:t>
      </w:r>
      <w:proofErr w:type="spellStart"/>
      <w:r>
        <w:t>esketamine</w:t>
      </w:r>
      <w:proofErr w:type="spellEnd"/>
      <w:r>
        <w:t xml:space="preserve"> nasal spray by</w:t>
      </w:r>
      <w:r w:rsidRPr="002530A2">
        <w:t xml:space="preserve"> the end of the optimisation phase. Time to relapse in the stable remitters </w:t>
      </w:r>
      <w:r>
        <w:t xml:space="preserve">and stable </w:t>
      </w:r>
      <w:proofErr w:type="gramStart"/>
      <w:r>
        <w:t>responders</w:t>
      </w:r>
      <w:proofErr w:type="gramEnd"/>
      <w:r>
        <w:t xml:space="preserve"> </w:t>
      </w:r>
      <w:r w:rsidRPr="002530A2">
        <w:t>set</w:t>
      </w:r>
      <w:r>
        <w:t>s</w:t>
      </w:r>
      <w:r w:rsidRPr="002530A2">
        <w:t xml:space="preserve"> </w:t>
      </w:r>
      <w:r>
        <w:t>are</w:t>
      </w:r>
      <w:r w:rsidRPr="002530A2">
        <w:t xml:space="preserve"> summarised in </w:t>
      </w:r>
      <w:r w:rsidR="00C50DC8">
        <w:t>the table below.</w:t>
      </w:r>
    </w:p>
    <w:p w14:paraId="47C7C7E7" w14:textId="708B0C61" w:rsidR="0012404A" w:rsidRPr="002530A2" w:rsidRDefault="0012404A" w:rsidP="00C50DC8">
      <w:pPr>
        <w:pStyle w:val="Caption"/>
      </w:pPr>
      <w:r w:rsidRPr="002530A2">
        <w:lastRenderedPageBreak/>
        <w:t xml:space="preserve">Table </w:t>
      </w:r>
      <w:r w:rsidR="002030D0">
        <w:fldChar w:fldCharType="begin"/>
      </w:r>
      <w:r w:rsidR="002030D0">
        <w:instrText xml:space="preserve"> SEQ Table \* ARABIC </w:instrText>
      </w:r>
      <w:r w:rsidR="002030D0">
        <w:fldChar w:fldCharType="separate"/>
      </w:r>
      <w:r w:rsidR="008E3D7A">
        <w:rPr>
          <w:noProof/>
        </w:rPr>
        <w:t>8</w:t>
      </w:r>
      <w:r w:rsidR="002030D0">
        <w:rPr>
          <w:noProof/>
        </w:rPr>
        <w:fldChar w:fldCharType="end"/>
      </w:r>
      <w:r w:rsidRPr="00D60B48">
        <w:t>:</w:t>
      </w:r>
      <w:r w:rsidRPr="002530A2">
        <w:t xml:space="preserve"> </w:t>
      </w:r>
      <w:r w:rsidR="009B6186">
        <w:t>T</w:t>
      </w:r>
      <w:r w:rsidRPr="00D60B48">
        <w:t>ime</w:t>
      </w:r>
      <w:r w:rsidRPr="002530A2">
        <w:t xml:space="preserve"> to </w:t>
      </w:r>
      <w:proofErr w:type="spellStart"/>
      <w:r w:rsidRPr="00D60B48">
        <w:t>relapse</w:t>
      </w:r>
      <w:r w:rsidRPr="00D60B48">
        <w:rPr>
          <w:vertAlign w:val="superscript"/>
        </w:rPr>
        <w:t>a</w:t>
      </w:r>
      <w:proofErr w:type="spellEnd"/>
      <w:r w:rsidRPr="002530A2">
        <w:t xml:space="preserve"> in the SUSTAIN-1 trial (stable remitters</w:t>
      </w:r>
      <w:r>
        <w:t xml:space="preserve"> and responders</w:t>
      </w:r>
      <w:r w:rsidRPr="002530A2">
        <w:t>)</w:t>
      </w:r>
    </w:p>
    <w:tbl>
      <w:tblPr>
        <w:tblStyle w:val="TableGrid"/>
        <w:tblW w:w="0" w:type="auto"/>
        <w:tblCellMar>
          <w:left w:w="28" w:type="dxa"/>
          <w:right w:w="28" w:type="dxa"/>
        </w:tblCellMar>
        <w:tblLook w:val="04A0" w:firstRow="1" w:lastRow="0" w:firstColumn="1" w:lastColumn="0" w:noHBand="0" w:noVBand="1"/>
      </w:tblPr>
      <w:tblGrid>
        <w:gridCol w:w="2972"/>
        <w:gridCol w:w="1559"/>
        <w:gridCol w:w="1418"/>
        <w:gridCol w:w="1559"/>
        <w:gridCol w:w="1509"/>
      </w:tblGrid>
      <w:tr w:rsidR="0012404A" w:rsidRPr="002530A2" w14:paraId="1CAB8A63" w14:textId="77777777" w:rsidTr="00A65564">
        <w:tc>
          <w:tcPr>
            <w:tcW w:w="2972" w:type="dxa"/>
          </w:tcPr>
          <w:p w14:paraId="564CD0EB" w14:textId="77777777" w:rsidR="0012404A" w:rsidRPr="002530A2" w:rsidRDefault="0012404A" w:rsidP="00A65564">
            <w:pPr>
              <w:keepNext/>
              <w:keepLines/>
            </w:pPr>
          </w:p>
        </w:tc>
        <w:tc>
          <w:tcPr>
            <w:tcW w:w="1559" w:type="dxa"/>
            <w:vAlign w:val="center"/>
          </w:tcPr>
          <w:p w14:paraId="5BF7A5B4" w14:textId="12B93420" w:rsidR="0012404A" w:rsidRPr="002530A2" w:rsidRDefault="0012404A" w:rsidP="00A65564">
            <w:pPr>
              <w:pStyle w:val="TableText"/>
              <w:keepLines/>
              <w:jc w:val="center"/>
              <w:rPr>
                <w:b/>
              </w:rPr>
            </w:pPr>
            <w:proofErr w:type="spellStart"/>
            <w:r w:rsidRPr="002530A2">
              <w:rPr>
                <w:b/>
              </w:rPr>
              <w:t>Esketamine</w:t>
            </w:r>
            <w:proofErr w:type="spellEnd"/>
            <w:r w:rsidRPr="002530A2">
              <w:rPr>
                <w:b/>
              </w:rPr>
              <w:t xml:space="preserve"> + </w:t>
            </w:r>
            <w:r w:rsidR="009B6186">
              <w:rPr>
                <w:b/>
              </w:rPr>
              <w:t>O</w:t>
            </w:r>
            <w:r w:rsidRPr="00D60B48">
              <w:rPr>
                <w:b/>
              </w:rPr>
              <w:t>AD</w:t>
            </w:r>
          </w:p>
        </w:tc>
        <w:tc>
          <w:tcPr>
            <w:tcW w:w="1418" w:type="dxa"/>
            <w:vAlign w:val="center"/>
          </w:tcPr>
          <w:p w14:paraId="469CDE88" w14:textId="661165B9" w:rsidR="0012404A" w:rsidRPr="002530A2" w:rsidRDefault="0012404A" w:rsidP="00A65564">
            <w:pPr>
              <w:pStyle w:val="TableText"/>
              <w:keepLines/>
              <w:jc w:val="center"/>
              <w:rPr>
                <w:b/>
              </w:rPr>
            </w:pPr>
            <w:r w:rsidRPr="002530A2">
              <w:rPr>
                <w:b/>
              </w:rPr>
              <w:t xml:space="preserve">Placebo + </w:t>
            </w:r>
            <w:r w:rsidR="009B6186">
              <w:rPr>
                <w:b/>
              </w:rPr>
              <w:t>O</w:t>
            </w:r>
            <w:r w:rsidRPr="00D60B48">
              <w:rPr>
                <w:b/>
              </w:rPr>
              <w:t>AD</w:t>
            </w:r>
          </w:p>
        </w:tc>
        <w:tc>
          <w:tcPr>
            <w:tcW w:w="1559" w:type="dxa"/>
            <w:vAlign w:val="center"/>
          </w:tcPr>
          <w:p w14:paraId="0B11CFB7" w14:textId="77777777" w:rsidR="0012404A" w:rsidRPr="002530A2" w:rsidRDefault="0012404A" w:rsidP="00A65564">
            <w:pPr>
              <w:pStyle w:val="TableText"/>
              <w:keepLines/>
              <w:jc w:val="center"/>
              <w:rPr>
                <w:b/>
              </w:rPr>
            </w:pPr>
            <w:r w:rsidRPr="002530A2">
              <w:rPr>
                <w:b/>
              </w:rPr>
              <w:t>Mean difference</w:t>
            </w:r>
          </w:p>
        </w:tc>
        <w:tc>
          <w:tcPr>
            <w:tcW w:w="1509" w:type="dxa"/>
            <w:vAlign w:val="center"/>
          </w:tcPr>
          <w:p w14:paraId="455A5DD2" w14:textId="77777777" w:rsidR="0012404A" w:rsidRDefault="0012404A" w:rsidP="00A65564">
            <w:pPr>
              <w:pStyle w:val="TableText"/>
              <w:keepLines/>
              <w:jc w:val="center"/>
              <w:rPr>
                <w:b/>
              </w:rPr>
            </w:pPr>
            <w:r w:rsidRPr="002530A2">
              <w:rPr>
                <w:b/>
              </w:rPr>
              <w:t>Hazard ratio</w:t>
            </w:r>
          </w:p>
          <w:p w14:paraId="36CE1FED" w14:textId="77777777" w:rsidR="0012404A" w:rsidRPr="002530A2" w:rsidRDefault="0012404A" w:rsidP="00A65564">
            <w:pPr>
              <w:pStyle w:val="TableText"/>
              <w:keepLines/>
              <w:jc w:val="center"/>
              <w:rPr>
                <w:b/>
                <w:vertAlign w:val="superscript"/>
              </w:rPr>
            </w:pPr>
            <w:r w:rsidRPr="002530A2">
              <w:rPr>
                <w:b/>
              </w:rPr>
              <w:t>(95% CI)</w:t>
            </w:r>
            <w:r w:rsidRPr="002530A2">
              <w:rPr>
                <w:b/>
                <w:vertAlign w:val="superscript"/>
              </w:rPr>
              <w:t>b</w:t>
            </w:r>
          </w:p>
        </w:tc>
      </w:tr>
      <w:tr w:rsidR="0012404A" w:rsidRPr="002530A2" w14:paraId="10A2DF95" w14:textId="77777777" w:rsidTr="00A65564">
        <w:tc>
          <w:tcPr>
            <w:tcW w:w="2972" w:type="dxa"/>
          </w:tcPr>
          <w:p w14:paraId="7BE8AFC8" w14:textId="77777777" w:rsidR="0012404A" w:rsidRPr="009C549A" w:rsidRDefault="0012404A" w:rsidP="00A65564">
            <w:pPr>
              <w:keepNext/>
              <w:keepLines/>
              <w:rPr>
                <w:b/>
              </w:rPr>
            </w:pPr>
            <w:r w:rsidRPr="009C549A">
              <w:rPr>
                <w:rFonts w:ascii="Arial Narrow" w:eastAsiaTheme="majorEastAsia" w:hAnsi="Arial Narrow" w:cstheme="majorBidi"/>
                <w:b/>
                <w:sz w:val="20"/>
              </w:rPr>
              <w:t>Stable Remitters</w:t>
            </w:r>
          </w:p>
        </w:tc>
        <w:tc>
          <w:tcPr>
            <w:tcW w:w="1559" w:type="dxa"/>
            <w:vAlign w:val="center"/>
          </w:tcPr>
          <w:p w14:paraId="28AC9839" w14:textId="77777777" w:rsidR="0012404A" w:rsidRPr="002530A2" w:rsidRDefault="0012404A" w:rsidP="00A65564">
            <w:pPr>
              <w:pStyle w:val="TableText"/>
              <w:keepLines/>
              <w:jc w:val="center"/>
              <w:rPr>
                <w:b/>
              </w:rPr>
            </w:pPr>
            <w:r>
              <w:rPr>
                <w:b/>
              </w:rPr>
              <w:t>N=90</w:t>
            </w:r>
          </w:p>
        </w:tc>
        <w:tc>
          <w:tcPr>
            <w:tcW w:w="1418" w:type="dxa"/>
            <w:vAlign w:val="center"/>
          </w:tcPr>
          <w:p w14:paraId="00589342" w14:textId="77777777" w:rsidR="0012404A" w:rsidRPr="002530A2" w:rsidRDefault="0012404A" w:rsidP="00A65564">
            <w:pPr>
              <w:pStyle w:val="TableText"/>
              <w:keepLines/>
              <w:jc w:val="center"/>
              <w:rPr>
                <w:b/>
              </w:rPr>
            </w:pPr>
            <w:r>
              <w:rPr>
                <w:b/>
              </w:rPr>
              <w:t>N=86</w:t>
            </w:r>
          </w:p>
        </w:tc>
        <w:tc>
          <w:tcPr>
            <w:tcW w:w="1559" w:type="dxa"/>
            <w:vAlign w:val="center"/>
          </w:tcPr>
          <w:p w14:paraId="61160891" w14:textId="77777777" w:rsidR="0012404A" w:rsidRPr="002530A2" w:rsidRDefault="0012404A" w:rsidP="00A65564">
            <w:pPr>
              <w:pStyle w:val="TableText"/>
              <w:keepLines/>
              <w:jc w:val="center"/>
              <w:rPr>
                <w:b/>
              </w:rPr>
            </w:pPr>
            <w:r>
              <w:rPr>
                <w:b/>
              </w:rPr>
              <w:t>-</w:t>
            </w:r>
          </w:p>
        </w:tc>
        <w:tc>
          <w:tcPr>
            <w:tcW w:w="1509" w:type="dxa"/>
            <w:vAlign w:val="center"/>
          </w:tcPr>
          <w:p w14:paraId="2553885B" w14:textId="77777777" w:rsidR="0012404A" w:rsidRPr="002530A2" w:rsidRDefault="0012404A" w:rsidP="00A65564">
            <w:pPr>
              <w:pStyle w:val="TableText"/>
              <w:keepLines/>
              <w:jc w:val="center"/>
              <w:rPr>
                <w:b/>
              </w:rPr>
            </w:pPr>
            <w:r>
              <w:rPr>
                <w:b/>
              </w:rPr>
              <w:t>-</w:t>
            </w:r>
          </w:p>
        </w:tc>
      </w:tr>
      <w:tr w:rsidR="0012404A" w:rsidRPr="002530A2" w14:paraId="3672F7BE" w14:textId="77777777" w:rsidTr="00A65564">
        <w:tc>
          <w:tcPr>
            <w:tcW w:w="2972" w:type="dxa"/>
          </w:tcPr>
          <w:p w14:paraId="53680668" w14:textId="77777777" w:rsidR="0012404A" w:rsidRPr="002530A2" w:rsidRDefault="0012404A" w:rsidP="00A65564">
            <w:pPr>
              <w:pStyle w:val="TableText"/>
            </w:pPr>
            <w:r w:rsidRPr="002530A2">
              <w:t>Number of relapses, n (%)</w:t>
            </w:r>
          </w:p>
        </w:tc>
        <w:tc>
          <w:tcPr>
            <w:tcW w:w="1559" w:type="dxa"/>
            <w:tcBorders>
              <w:top w:val="single" w:sz="4" w:space="0" w:color="auto"/>
              <w:left w:val="single" w:sz="4" w:space="0" w:color="auto"/>
              <w:bottom w:val="single" w:sz="4" w:space="0" w:color="auto"/>
              <w:right w:val="single" w:sz="4" w:space="0" w:color="auto"/>
            </w:tcBorders>
            <w:vAlign w:val="center"/>
          </w:tcPr>
          <w:p w14:paraId="58CAB539" w14:textId="77777777" w:rsidR="0012404A" w:rsidRPr="002530A2" w:rsidRDefault="0012404A" w:rsidP="00A65564">
            <w:pPr>
              <w:pStyle w:val="TableText"/>
              <w:jc w:val="center"/>
            </w:pPr>
            <w:r w:rsidRPr="002530A2">
              <w:t>24 (26.7)</w:t>
            </w:r>
          </w:p>
        </w:tc>
        <w:tc>
          <w:tcPr>
            <w:tcW w:w="1418" w:type="dxa"/>
            <w:vAlign w:val="center"/>
          </w:tcPr>
          <w:p w14:paraId="739725B1" w14:textId="77777777" w:rsidR="0012404A" w:rsidRPr="002530A2" w:rsidRDefault="0012404A" w:rsidP="00A65564">
            <w:pPr>
              <w:pStyle w:val="TableText"/>
              <w:jc w:val="center"/>
            </w:pPr>
            <w:r w:rsidRPr="002530A2">
              <w:t>39 (45.3)</w:t>
            </w:r>
          </w:p>
        </w:tc>
        <w:tc>
          <w:tcPr>
            <w:tcW w:w="1559" w:type="dxa"/>
            <w:vAlign w:val="center"/>
          </w:tcPr>
          <w:p w14:paraId="088DFD47" w14:textId="77777777" w:rsidR="0012404A" w:rsidRPr="002530A2" w:rsidRDefault="0012404A" w:rsidP="00A65564">
            <w:pPr>
              <w:pStyle w:val="TableText"/>
              <w:jc w:val="center"/>
            </w:pPr>
            <w:r w:rsidRPr="002530A2">
              <w:t>18.6</w:t>
            </w:r>
          </w:p>
        </w:tc>
        <w:tc>
          <w:tcPr>
            <w:tcW w:w="1509" w:type="dxa"/>
            <w:vMerge w:val="restart"/>
            <w:tcBorders>
              <w:top w:val="single" w:sz="4" w:space="0" w:color="auto"/>
              <w:left w:val="single" w:sz="4" w:space="0" w:color="auto"/>
              <w:right w:val="single" w:sz="4" w:space="0" w:color="auto"/>
            </w:tcBorders>
            <w:vAlign w:val="center"/>
          </w:tcPr>
          <w:p w14:paraId="4A3A3794" w14:textId="77777777" w:rsidR="0012404A" w:rsidRPr="002530A2" w:rsidRDefault="0012404A" w:rsidP="00A65564">
            <w:pPr>
              <w:pStyle w:val="TableText"/>
              <w:jc w:val="center"/>
              <w:rPr>
                <w:b/>
              </w:rPr>
            </w:pPr>
            <w:r w:rsidRPr="002530A2">
              <w:rPr>
                <w:b/>
              </w:rPr>
              <w:t>0.49 (0.29, 0.84)</w:t>
            </w:r>
          </w:p>
        </w:tc>
      </w:tr>
      <w:tr w:rsidR="0012404A" w:rsidRPr="002530A2" w14:paraId="1A64DB49" w14:textId="77777777" w:rsidTr="00A65564">
        <w:tc>
          <w:tcPr>
            <w:tcW w:w="2972" w:type="dxa"/>
          </w:tcPr>
          <w:p w14:paraId="7396F8BB" w14:textId="77777777" w:rsidR="0012404A" w:rsidRPr="002530A2" w:rsidRDefault="0012404A" w:rsidP="00A65564">
            <w:pPr>
              <w:pStyle w:val="TableText"/>
            </w:pPr>
            <w:r w:rsidRPr="002530A2">
              <w:t>Median time to relapse, days (95% CI)</w:t>
            </w:r>
          </w:p>
        </w:tc>
        <w:tc>
          <w:tcPr>
            <w:tcW w:w="1559" w:type="dxa"/>
            <w:tcBorders>
              <w:top w:val="single" w:sz="4" w:space="0" w:color="auto"/>
              <w:left w:val="single" w:sz="4" w:space="0" w:color="auto"/>
              <w:bottom w:val="single" w:sz="4" w:space="0" w:color="auto"/>
              <w:right w:val="single" w:sz="4" w:space="0" w:color="auto"/>
            </w:tcBorders>
            <w:vAlign w:val="center"/>
          </w:tcPr>
          <w:p w14:paraId="01D10D6E" w14:textId="77777777" w:rsidR="0012404A" w:rsidRPr="002530A2" w:rsidRDefault="0012404A" w:rsidP="00A65564">
            <w:pPr>
              <w:pStyle w:val="TableText"/>
              <w:jc w:val="center"/>
            </w:pPr>
            <w:r w:rsidRPr="002530A2">
              <w:t>NE</w:t>
            </w:r>
          </w:p>
        </w:tc>
        <w:tc>
          <w:tcPr>
            <w:tcW w:w="1418" w:type="dxa"/>
            <w:vAlign w:val="center"/>
          </w:tcPr>
          <w:p w14:paraId="4BFCF33A" w14:textId="77777777" w:rsidR="0012404A" w:rsidRPr="002530A2" w:rsidRDefault="0012404A" w:rsidP="00A65564">
            <w:pPr>
              <w:pStyle w:val="TableText"/>
              <w:jc w:val="center"/>
            </w:pPr>
            <w:r w:rsidRPr="002530A2">
              <w:t>273.0 (97.0, NE)</w:t>
            </w:r>
          </w:p>
        </w:tc>
        <w:tc>
          <w:tcPr>
            <w:tcW w:w="1559" w:type="dxa"/>
            <w:vAlign w:val="center"/>
          </w:tcPr>
          <w:p w14:paraId="420BCFBD" w14:textId="77777777" w:rsidR="0012404A" w:rsidRPr="002530A2" w:rsidRDefault="0012404A" w:rsidP="00A65564">
            <w:pPr>
              <w:pStyle w:val="TableText"/>
              <w:jc w:val="center"/>
            </w:pPr>
            <w:r w:rsidRPr="002530A2">
              <w:t>NE</w:t>
            </w:r>
          </w:p>
        </w:tc>
        <w:tc>
          <w:tcPr>
            <w:tcW w:w="1509" w:type="dxa"/>
            <w:vMerge/>
            <w:tcBorders>
              <w:left w:val="single" w:sz="4" w:space="0" w:color="auto"/>
              <w:bottom w:val="single" w:sz="4" w:space="0" w:color="auto"/>
              <w:right w:val="single" w:sz="4" w:space="0" w:color="auto"/>
            </w:tcBorders>
            <w:vAlign w:val="center"/>
          </w:tcPr>
          <w:p w14:paraId="5A2D6412" w14:textId="77777777" w:rsidR="0012404A" w:rsidRPr="002530A2" w:rsidRDefault="0012404A" w:rsidP="00A65564">
            <w:pPr>
              <w:pStyle w:val="TableText"/>
              <w:jc w:val="center"/>
            </w:pPr>
          </w:p>
        </w:tc>
      </w:tr>
      <w:tr w:rsidR="0012404A" w:rsidRPr="002530A2" w14:paraId="62DDB737" w14:textId="77777777" w:rsidTr="00A65564">
        <w:tc>
          <w:tcPr>
            <w:tcW w:w="2972" w:type="dxa"/>
          </w:tcPr>
          <w:p w14:paraId="2A3D43B5" w14:textId="77777777" w:rsidR="0012404A" w:rsidRPr="009C549A" w:rsidRDefault="0012404A" w:rsidP="00A65564">
            <w:pPr>
              <w:keepNext/>
              <w:keepLines/>
              <w:rPr>
                <w:b/>
              </w:rPr>
            </w:pPr>
            <w:r w:rsidRPr="009C549A">
              <w:rPr>
                <w:rFonts w:ascii="Arial Narrow" w:eastAsiaTheme="majorEastAsia" w:hAnsi="Arial Narrow" w:cstheme="majorBidi"/>
                <w:b/>
                <w:sz w:val="20"/>
              </w:rPr>
              <w:t>Stable Re</w:t>
            </w:r>
            <w:r>
              <w:rPr>
                <w:rFonts w:ascii="Arial Narrow" w:eastAsiaTheme="majorEastAsia" w:hAnsi="Arial Narrow" w:cstheme="majorBidi"/>
                <w:b/>
                <w:sz w:val="20"/>
              </w:rPr>
              <w:t>sponders</w:t>
            </w:r>
          </w:p>
        </w:tc>
        <w:tc>
          <w:tcPr>
            <w:tcW w:w="1559" w:type="dxa"/>
          </w:tcPr>
          <w:p w14:paraId="0B5B3579" w14:textId="77777777" w:rsidR="0012404A" w:rsidRPr="002530A2" w:rsidRDefault="0012404A" w:rsidP="00A65564">
            <w:pPr>
              <w:pStyle w:val="TableText"/>
              <w:keepLines/>
              <w:jc w:val="center"/>
              <w:rPr>
                <w:b/>
              </w:rPr>
            </w:pPr>
            <w:r>
              <w:rPr>
                <w:b/>
              </w:rPr>
              <w:t>N=62</w:t>
            </w:r>
          </w:p>
        </w:tc>
        <w:tc>
          <w:tcPr>
            <w:tcW w:w="1418" w:type="dxa"/>
          </w:tcPr>
          <w:p w14:paraId="451F17B5" w14:textId="77777777" w:rsidR="0012404A" w:rsidRPr="002530A2" w:rsidRDefault="0012404A" w:rsidP="00A65564">
            <w:pPr>
              <w:pStyle w:val="TableText"/>
              <w:keepLines/>
              <w:jc w:val="center"/>
              <w:rPr>
                <w:b/>
              </w:rPr>
            </w:pPr>
            <w:r>
              <w:rPr>
                <w:b/>
              </w:rPr>
              <w:t>N=59</w:t>
            </w:r>
          </w:p>
        </w:tc>
        <w:tc>
          <w:tcPr>
            <w:tcW w:w="1559" w:type="dxa"/>
          </w:tcPr>
          <w:p w14:paraId="54DD4FCC" w14:textId="77777777" w:rsidR="0012404A" w:rsidRPr="002530A2" w:rsidRDefault="0012404A" w:rsidP="00A65564">
            <w:pPr>
              <w:pStyle w:val="TableText"/>
              <w:keepLines/>
              <w:jc w:val="center"/>
              <w:rPr>
                <w:b/>
              </w:rPr>
            </w:pPr>
            <w:r>
              <w:rPr>
                <w:b/>
              </w:rPr>
              <w:t>-</w:t>
            </w:r>
          </w:p>
        </w:tc>
        <w:tc>
          <w:tcPr>
            <w:tcW w:w="1509" w:type="dxa"/>
          </w:tcPr>
          <w:p w14:paraId="494B252B" w14:textId="77777777" w:rsidR="0012404A" w:rsidRPr="002530A2" w:rsidRDefault="0012404A" w:rsidP="00A65564">
            <w:pPr>
              <w:pStyle w:val="TableText"/>
              <w:keepLines/>
              <w:jc w:val="center"/>
              <w:rPr>
                <w:b/>
              </w:rPr>
            </w:pPr>
            <w:r>
              <w:rPr>
                <w:b/>
              </w:rPr>
              <w:t>-</w:t>
            </w:r>
          </w:p>
        </w:tc>
      </w:tr>
      <w:tr w:rsidR="0012404A" w:rsidRPr="002530A2" w14:paraId="37D15EEC" w14:textId="77777777" w:rsidTr="00A65564">
        <w:tc>
          <w:tcPr>
            <w:tcW w:w="2972" w:type="dxa"/>
          </w:tcPr>
          <w:p w14:paraId="6ECA9597" w14:textId="77777777" w:rsidR="0012404A" w:rsidRPr="002530A2" w:rsidRDefault="0012404A" w:rsidP="00A65564">
            <w:pPr>
              <w:pStyle w:val="TableText"/>
            </w:pPr>
            <w:r w:rsidRPr="002530A2">
              <w:t>Number of relapses, n (%)</w:t>
            </w:r>
          </w:p>
        </w:tc>
        <w:tc>
          <w:tcPr>
            <w:tcW w:w="1559" w:type="dxa"/>
            <w:vAlign w:val="center"/>
          </w:tcPr>
          <w:p w14:paraId="6CD9AF2C" w14:textId="77777777" w:rsidR="0012404A" w:rsidRPr="002530A2" w:rsidRDefault="0012404A" w:rsidP="00A65564">
            <w:pPr>
              <w:pStyle w:val="TableText"/>
              <w:jc w:val="center"/>
            </w:pPr>
            <w:r w:rsidRPr="002530A2">
              <w:t>16 (25.8)</w:t>
            </w:r>
          </w:p>
        </w:tc>
        <w:tc>
          <w:tcPr>
            <w:tcW w:w="1418" w:type="dxa"/>
            <w:vAlign w:val="center"/>
          </w:tcPr>
          <w:p w14:paraId="76222BC8" w14:textId="77777777" w:rsidR="0012404A" w:rsidRPr="002530A2" w:rsidRDefault="0012404A" w:rsidP="00A65564">
            <w:pPr>
              <w:pStyle w:val="TableText"/>
              <w:jc w:val="center"/>
            </w:pPr>
            <w:r w:rsidRPr="002530A2">
              <w:t>34 (57.6)</w:t>
            </w:r>
          </w:p>
        </w:tc>
        <w:tc>
          <w:tcPr>
            <w:tcW w:w="1559" w:type="dxa"/>
            <w:vAlign w:val="center"/>
          </w:tcPr>
          <w:p w14:paraId="17F6A127" w14:textId="77777777" w:rsidR="0012404A" w:rsidRPr="002530A2" w:rsidRDefault="0012404A" w:rsidP="00A65564">
            <w:pPr>
              <w:pStyle w:val="TableText"/>
              <w:jc w:val="center"/>
            </w:pPr>
            <w:r w:rsidRPr="002530A2">
              <w:t>31.8</w:t>
            </w:r>
          </w:p>
        </w:tc>
        <w:tc>
          <w:tcPr>
            <w:tcW w:w="1509" w:type="dxa"/>
            <w:vMerge w:val="restart"/>
            <w:vAlign w:val="center"/>
          </w:tcPr>
          <w:p w14:paraId="6B9114A1" w14:textId="77777777" w:rsidR="0012404A" w:rsidRPr="002530A2" w:rsidRDefault="0012404A" w:rsidP="00A65564">
            <w:pPr>
              <w:pStyle w:val="TableText"/>
              <w:jc w:val="center"/>
              <w:rPr>
                <w:b/>
              </w:rPr>
            </w:pPr>
            <w:r w:rsidRPr="002530A2">
              <w:rPr>
                <w:b/>
              </w:rPr>
              <w:t>0.30 (0.16, 0.55)</w:t>
            </w:r>
          </w:p>
        </w:tc>
      </w:tr>
      <w:tr w:rsidR="0012404A" w:rsidRPr="002530A2" w14:paraId="2F3207DC" w14:textId="77777777" w:rsidTr="00A65564">
        <w:tc>
          <w:tcPr>
            <w:tcW w:w="2972" w:type="dxa"/>
          </w:tcPr>
          <w:p w14:paraId="76335614" w14:textId="77777777" w:rsidR="0012404A" w:rsidRPr="002530A2" w:rsidRDefault="0012404A" w:rsidP="00A65564">
            <w:pPr>
              <w:pStyle w:val="TableText"/>
            </w:pPr>
            <w:r w:rsidRPr="002530A2">
              <w:t>Median time to relapse, days (95% CI)</w:t>
            </w:r>
          </w:p>
        </w:tc>
        <w:tc>
          <w:tcPr>
            <w:tcW w:w="1559" w:type="dxa"/>
            <w:vAlign w:val="center"/>
          </w:tcPr>
          <w:p w14:paraId="2A7A2F02" w14:textId="77777777" w:rsidR="0012404A" w:rsidRPr="002530A2" w:rsidRDefault="0012404A" w:rsidP="00A65564">
            <w:pPr>
              <w:pStyle w:val="TableText"/>
              <w:jc w:val="center"/>
            </w:pPr>
            <w:r w:rsidRPr="002530A2">
              <w:t>635.0 (264.0, 635.0)</w:t>
            </w:r>
          </w:p>
        </w:tc>
        <w:tc>
          <w:tcPr>
            <w:tcW w:w="1418" w:type="dxa"/>
            <w:vAlign w:val="center"/>
          </w:tcPr>
          <w:p w14:paraId="2C6A2F60" w14:textId="77777777" w:rsidR="0012404A" w:rsidRPr="002530A2" w:rsidRDefault="0012404A" w:rsidP="00A65564">
            <w:pPr>
              <w:pStyle w:val="TableText"/>
              <w:jc w:val="center"/>
            </w:pPr>
            <w:r w:rsidRPr="002530A2">
              <w:t>88.0 (46.0, 196.0)</w:t>
            </w:r>
          </w:p>
        </w:tc>
        <w:tc>
          <w:tcPr>
            <w:tcW w:w="1559" w:type="dxa"/>
            <w:vAlign w:val="center"/>
          </w:tcPr>
          <w:p w14:paraId="00A852F1" w14:textId="77777777" w:rsidR="0012404A" w:rsidRPr="002530A2" w:rsidRDefault="0012404A" w:rsidP="00A65564">
            <w:pPr>
              <w:pStyle w:val="TableText"/>
              <w:jc w:val="center"/>
            </w:pPr>
            <w:r w:rsidRPr="002530A2">
              <w:t>547</w:t>
            </w:r>
          </w:p>
        </w:tc>
        <w:tc>
          <w:tcPr>
            <w:tcW w:w="1509" w:type="dxa"/>
            <w:vMerge/>
          </w:tcPr>
          <w:p w14:paraId="54828B97" w14:textId="77777777" w:rsidR="0012404A" w:rsidRPr="002530A2" w:rsidRDefault="0012404A" w:rsidP="00A65564">
            <w:pPr>
              <w:pStyle w:val="TableText"/>
              <w:jc w:val="center"/>
            </w:pPr>
          </w:p>
        </w:tc>
      </w:tr>
    </w:tbl>
    <w:p w14:paraId="1C6E2128" w14:textId="4D9FE1F4" w:rsidR="00D0110B" w:rsidRDefault="0012404A" w:rsidP="00527701">
      <w:pPr>
        <w:pStyle w:val="TableFigureFooter"/>
      </w:pPr>
      <w:r w:rsidRPr="002530A2">
        <w:t xml:space="preserve">Source: </w:t>
      </w:r>
      <w:r w:rsidR="00D0110B">
        <w:t>Table 2-25, p.136</w:t>
      </w:r>
      <w:r w:rsidR="009C46A2">
        <w:t xml:space="preserve">; </w:t>
      </w:r>
      <w:r w:rsidR="009C46A2" w:rsidRPr="002530A2">
        <w:t>Table 2</w:t>
      </w:r>
      <w:r w:rsidR="009C46A2">
        <w:t>-26</w:t>
      </w:r>
      <w:r w:rsidR="009C46A2" w:rsidRPr="002530A2">
        <w:t>, p.1</w:t>
      </w:r>
      <w:r w:rsidR="009C46A2">
        <w:t>39</w:t>
      </w:r>
      <w:r w:rsidR="00D0110B">
        <w:t xml:space="preserve"> of the resubmission</w:t>
      </w:r>
    </w:p>
    <w:p w14:paraId="7AEBFD2D" w14:textId="3B5AFA0F" w:rsidR="0012404A" w:rsidRPr="006A03B8" w:rsidRDefault="0012404A" w:rsidP="00527701">
      <w:pPr>
        <w:pStyle w:val="TableFigureFooter"/>
        <w:rPr>
          <w:bCs/>
        </w:rPr>
      </w:pPr>
      <w:r w:rsidRPr="002530A2">
        <w:rPr>
          <w:bCs/>
        </w:rPr>
        <w:t xml:space="preserve">Abbreviations: </w:t>
      </w:r>
      <w:r w:rsidRPr="006A03B8">
        <w:rPr>
          <w:bCs/>
        </w:rPr>
        <w:t>CI</w:t>
      </w:r>
      <w:r w:rsidRPr="002530A2">
        <w:rPr>
          <w:bCs/>
        </w:rPr>
        <w:t>,</w:t>
      </w:r>
      <w:r w:rsidRPr="006A03B8">
        <w:rPr>
          <w:bCs/>
        </w:rPr>
        <w:t xml:space="preserve"> confidence interval; NE</w:t>
      </w:r>
      <w:r w:rsidRPr="002530A2">
        <w:rPr>
          <w:bCs/>
        </w:rPr>
        <w:t>,</w:t>
      </w:r>
      <w:r w:rsidRPr="006A03B8">
        <w:rPr>
          <w:bCs/>
        </w:rPr>
        <w:t xml:space="preserve"> not estimable</w:t>
      </w:r>
      <w:r w:rsidR="00D96FDB">
        <w:rPr>
          <w:bCs/>
        </w:rPr>
        <w:t>; O</w:t>
      </w:r>
      <w:r w:rsidR="00D96FDB" w:rsidRPr="00D60B48">
        <w:rPr>
          <w:bCs/>
        </w:rPr>
        <w:t xml:space="preserve">AD, </w:t>
      </w:r>
      <w:r w:rsidR="00D96FDB">
        <w:rPr>
          <w:bCs/>
        </w:rPr>
        <w:t xml:space="preserve">oral </w:t>
      </w:r>
      <w:r w:rsidR="00D96FDB" w:rsidRPr="00D60B48">
        <w:rPr>
          <w:bCs/>
        </w:rPr>
        <w:t>antidepressant</w:t>
      </w:r>
    </w:p>
    <w:p w14:paraId="4A5CABAC" w14:textId="77777777" w:rsidR="0012404A" w:rsidRPr="006A03B8" w:rsidRDefault="0012404A" w:rsidP="00527701">
      <w:pPr>
        <w:pStyle w:val="TableFigureFooter"/>
        <w:rPr>
          <w:bCs/>
        </w:rPr>
      </w:pPr>
      <w:r w:rsidRPr="006A03B8">
        <w:rPr>
          <w:bCs/>
          <w:vertAlign w:val="superscript"/>
        </w:rPr>
        <w:t xml:space="preserve">a </w:t>
      </w:r>
      <w:proofErr w:type="gramStart"/>
      <w:r w:rsidRPr="006A03B8">
        <w:rPr>
          <w:bCs/>
        </w:rPr>
        <w:t>Based on</w:t>
      </w:r>
      <w:proofErr w:type="gramEnd"/>
      <w:r w:rsidRPr="006A03B8">
        <w:rPr>
          <w:bCs/>
        </w:rPr>
        <w:t xml:space="preserve"> Kaplan-Meier product limit estimates</w:t>
      </w:r>
    </w:p>
    <w:p w14:paraId="6032B6EE" w14:textId="77777777" w:rsidR="0012404A" w:rsidRPr="002530A2" w:rsidRDefault="0012404A" w:rsidP="00527701">
      <w:pPr>
        <w:pStyle w:val="TableFigureFooter"/>
        <w:rPr>
          <w:bCs/>
        </w:rPr>
      </w:pPr>
      <w:r w:rsidRPr="006A03B8">
        <w:rPr>
          <w:bCs/>
          <w:vertAlign w:val="superscript"/>
        </w:rPr>
        <w:t xml:space="preserve">b </w:t>
      </w:r>
      <w:r w:rsidRPr="006A03B8">
        <w:rPr>
          <w:bCs/>
        </w:rPr>
        <w:t xml:space="preserve">Hazard ratio and CI are weighted estimates based on </w:t>
      </w:r>
      <w:proofErr w:type="spellStart"/>
      <w:r w:rsidRPr="006A03B8">
        <w:rPr>
          <w:bCs/>
        </w:rPr>
        <w:t>Wassmer</w:t>
      </w:r>
      <w:proofErr w:type="spellEnd"/>
      <w:r w:rsidRPr="006A03B8">
        <w:rPr>
          <w:bCs/>
        </w:rPr>
        <w:t xml:space="preserve"> (2006) and calculated using R</w:t>
      </w:r>
    </w:p>
    <w:p w14:paraId="740BB849" w14:textId="77777777" w:rsidR="0012404A" w:rsidRDefault="0012404A" w:rsidP="0012404A">
      <w:pPr>
        <w:pStyle w:val="ExecSumBodyText"/>
      </w:pPr>
      <w:r w:rsidRPr="002530A2">
        <w:t xml:space="preserve">Treatment with </w:t>
      </w:r>
      <w:proofErr w:type="spellStart"/>
      <w:r w:rsidRPr="002530A2">
        <w:t>esketamine</w:t>
      </w:r>
      <w:proofErr w:type="spellEnd"/>
      <w:r w:rsidRPr="002530A2">
        <w:t xml:space="preserve"> nasal spray significantly delayed relapse in stable remitters</w:t>
      </w:r>
      <w:r>
        <w:t xml:space="preserve"> and stable responders</w:t>
      </w:r>
      <w:r w:rsidRPr="002530A2">
        <w:t xml:space="preserve"> compared with intranasal placebo. </w:t>
      </w:r>
    </w:p>
    <w:p w14:paraId="00A9B984" w14:textId="39C8DA80" w:rsidR="0012404A" w:rsidRPr="008656C1" w:rsidRDefault="0012404A" w:rsidP="0012404A">
      <w:pPr>
        <w:pStyle w:val="ExecSumBodyText"/>
      </w:pPr>
      <w:r w:rsidRPr="008656C1">
        <w:t xml:space="preserve">The FDA review committee noted that there was a faster rate of relapse observed in SUSTAIN-1 compared to other maintenance of effect studies of MDD (FDA, 2019). This could reflect functional unblinding, with patients randomised to placebo realising that they are no longer on </w:t>
      </w:r>
      <w:proofErr w:type="spellStart"/>
      <w:r w:rsidRPr="008656C1">
        <w:t>esketamine</w:t>
      </w:r>
      <w:proofErr w:type="spellEnd"/>
      <w:r w:rsidRPr="008656C1">
        <w:t xml:space="preserve"> after switching, given the immediate side effects associated with </w:t>
      </w:r>
      <w:proofErr w:type="spellStart"/>
      <w:r w:rsidRPr="008656C1">
        <w:t>esketamine</w:t>
      </w:r>
      <w:proofErr w:type="spellEnd"/>
      <w:r w:rsidRPr="008656C1">
        <w:t xml:space="preserve"> use. The abrupt withdrawal of </w:t>
      </w:r>
      <w:proofErr w:type="spellStart"/>
      <w:r w:rsidRPr="008656C1">
        <w:t>esketamine</w:t>
      </w:r>
      <w:proofErr w:type="spellEnd"/>
      <w:r w:rsidRPr="008656C1">
        <w:t xml:space="preserve"> nasal spray so soon after achieving remission may not reflect use in clinical practice, and there is a risk that this overstates the relapse rate in the placebo treatment arm. The product information states that after depressive symptoms improve, treatment should continue for at least 6 months. Clinical guidelines recommend that for all antidepressant therapy, “it is generally recommended that patients should stop their antidepressant medication after they have been in remission for around 9 months to a year (</w:t>
      </w:r>
      <w:proofErr w:type="spellStart"/>
      <w:r w:rsidRPr="008656C1">
        <w:t>Malhi</w:t>
      </w:r>
      <w:proofErr w:type="spellEnd"/>
      <w:r w:rsidRPr="008656C1">
        <w:t xml:space="preserve"> et al., 2015). </w:t>
      </w:r>
      <w:r w:rsidR="006A7CD3" w:rsidRPr="008656C1">
        <w:t>After</w:t>
      </w:r>
      <w:r w:rsidRPr="008656C1">
        <w:t xml:space="preserve"> ceasing medication, many patients will remain depression-free, but some may have a depressive relapse and up to 40% may experience discontinuation or withdrawal symptoms. Because of this, it has been recommended that antidepressants should be withdrawn gradually, with doses tapered down over an extended </w:t>
      </w:r>
      <w:proofErr w:type="gramStart"/>
      <w:r w:rsidRPr="008656C1">
        <w:t>period of time</w:t>
      </w:r>
      <w:proofErr w:type="gramEnd"/>
      <w:r w:rsidRPr="008656C1">
        <w:t xml:space="preserve">”. The clinical trials did not provide information on how and when to cease treatment with </w:t>
      </w:r>
      <w:proofErr w:type="spellStart"/>
      <w:r w:rsidRPr="008656C1">
        <w:t>esketamine</w:t>
      </w:r>
      <w:proofErr w:type="spellEnd"/>
      <w:r w:rsidRPr="008656C1">
        <w:t xml:space="preserve"> nasal spray to avoid relapse.</w:t>
      </w:r>
    </w:p>
    <w:p w14:paraId="0A3EAD23" w14:textId="1B7E3405" w:rsidR="0012404A" w:rsidRPr="002530A2" w:rsidRDefault="0012404A" w:rsidP="0012404A">
      <w:pPr>
        <w:pStyle w:val="ExecSumBodyText"/>
      </w:pPr>
      <w:r w:rsidRPr="002530A2">
        <w:t xml:space="preserve">Remission and response from baseline (maintenance) to endpoint in the SUSTAIN-1 trial is summarised in </w:t>
      </w:r>
      <w:r w:rsidR="00C50DC8">
        <w:t>the table below</w:t>
      </w:r>
      <w:r w:rsidRPr="002530A2">
        <w:t>.</w:t>
      </w:r>
    </w:p>
    <w:p w14:paraId="2184C354" w14:textId="3704A15D" w:rsidR="0012404A" w:rsidRPr="002530A2" w:rsidRDefault="0012404A" w:rsidP="00C50DC8">
      <w:pPr>
        <w:pStyle w:val="Caption"/>
      </w:pPr>
      <w:r w:rsidRPr="002530A2">
        <w:lastRenderedPageBreak/>
        <w:t xml:space="preserve">Table </w:t>
      </w:r>
      <w:r w:rsidR="002030D0">
        <w:fldChar w:fldCharType="begin"/>
      </w:r>
      <w:r w:rsidR="002030D0">
        <w:instrText xml:space="preserve"> SEQ Table \* ARABIC </w:instrText>
      </w:r>
      <w:r w:rsidR="002030D0">
        <w:fldChar w:fldCharType="separate"/>
      </w:r>
      <w:r w:rsidR="008E3D7A">
        <w:rPr>
          <w:noProof/>
        </w:rPr>
        <w:t>9</w:t>
      </w:r>
      <w:r w:rsidR="002030D0">
        <w:rPr>
          <w:noProof/>
        </w:rPr>
        <w:fldChar w:fldCharType="end"/>
      </w:r>
      <w:r w:rsidRPr="00D60B48">
        <w:t>:</w:t>
      </w:r>
      <w:r w:rsidRPr="002530A2">
        <w:t xml:space="preserve"> Remission and response based on Montgomery-</w:t>
      </w:r>
      <w:proofErr w:type="spellStart"/>
      <w:r w:rsidRPr="002530A2">
        <w:t>Asberg</w:t>
      </w:r>
      <w:proofErr w:type="spellEnd"/>
      <w:r w:rsidRPr="002530A2">
        <w:t xml:space="preserve"> Depression Rating Scale (MADRS) total score over time; Maintenance phase (Study SUSTAIN-1: Full (Stable Remitters and Responders) Analysis Set)</w:t>
      </w:r>
    </w:p>
    <w:tbl>
      <w:tblPr>
        <w:tblStyle w:val="TableGrid"/>
        <w:tblW w:w="0" w:type="auto"/>
        <w:tblLook w:val="04A0" w:firstRow="1" w:lastRow="0" w:firstColumn="1" w:lastColumn="0" w:noHBand="0" w:noVBand="1"/>
      </w:tblPr>
      <w:tblGrid>
        <w:gridCol w:w="1803"/>
        <w:gridCol w:w="1803"/>
        <w:gridCol w:w="1803"/>
        <w:gridCol w:w="1804"/>
        <w:gridCol w:w="1804"/>
      </w:tblGrid>
      <w:tr w:rsidR="0012404A" w:rsidRPr="002530A2" w14:paraId="046A1A05" w14:textId="77777777" w:rsidTr="00A65564">
        <w:tc>
          <w:tcPr>
            <w:tcW w:w="1803" w:type="dxa"/>
            <w:vMerge w:val="restart"/>
            <w:vAlign w:val="center"/>
          </w:tcPr>
          <w:p w14:paraId="7D46218D" w14:textId="77777777" w:rsidR="0012404A" w:rsidRPr="002530A2" w:rsidRDefault="0012404A" w:rsidP="00C50DC8">
            <w:pPr>
              <w:pStyle w:val="Tabletext0"/>
              <w:keepNext/>
              <w:keepLines/>
              <w:widowControl w:val="0"/>
              <w:rPr>
                <w:b/>
                <w:bCs/>
              </w:rPr>
            </w:pPr>
            <w:r w:rsidRPr="002530A2">
              <w:rPr>
                <w:b/>
                <w:bCs/>
              </w:rPr>
              <w:t>MADRS total score</w:t>
            </w:r>
          </w:p>
        </w:tc>
        <w:tc>
          <w:tcPr>
            <w:tcW w:w="3606" w:type="dxa"/>
            <w:gridSpan w:val="2"/>
            <w:vAlign w:val="center"/>
          </w:tcPr>
          <w:p w14:paraId="068210FB" w14:textId="77777777" w:rsidR="0012404A" w:rsidRPr="002530A2" w:rsidRDefault="0012404A" w:rsidP="00C50DC8">
            <w:pPr>
              <w:pStyle w:val="Tabletext0"/>
              <w:keepNext/>
              <w:keepLines/>
              <w:widowControl w:val="0"/>
              <w:jc w:val="center"/>
              <w:rPr>
                <w:b/>
                <w:bCs/>
              </w:rPr>
            </w:pPr>
            <w:r w:rsidRPr="002530A2">
              <w:rPr>
                <w:b/>
                <w:bCs/>
              </w:rPr>
              <w:t>Stable remitters</w:t>
            </w:r>
          </w:p>
        </w:tc>
        <w:tc>
          <w:tcPr>
            <w:tcW w:w="3608" w:type="dxa"/>
            <w:gridSpan w:val="2"/>
            <w:vAlign w:val="center"/>
          </w:tcPr>
          <w:p w14:paraId="46D21485" w14:textId="77777777" w:rsidR="0012404A" w:rsidRPr="002530A2" w:rsidRDefault="0012404A" w:rsidP="00C50DC8">
            <w:pPr>
              <w:pStyle w:val="Tabletext0"/>
              <w:keepNext/>
              <w:keepLines/>
              <w:widowControl w:val="0"/>
              <w:jc w:val="center"/>
              <w:rPr>
                <w:b/>
                <w:bCs/>
              </w:rPr>
            </w:pPr>
            <w:r w:rsidRPr="002530A2">
              <w:rPr>
                <w:b/>
                <w:bCs/>
              </w:rPr>
              <w:t>Stable responders</w:t>
            </w:r>
          </w:p>
        </w:tc>
      </w:tr>
      <w:tr w:rsidR="0012404A" w:rsidRPr="002530A2" w14:paraId="7DED5543" w14:textId="77777777" w:rsidTr="00A65564">
        <w:tc>
          <w:tcPr>
            <w:tcW w:w="1803" w:type="dxa"/>
            <w:vMerge/>
          </w:tcPr>
          <w:p w14:paraId="7574F446" w14:textId="77777777" w:rsidR="0012404A" w:rsidRPr="002530A2" w:rsidRDefault="0012404A" w:rsidP="00C50DC8">
            <w:pPr>
              <w:pStyle w:val="Tabletext0"/>
              <w:keepNext/>
              <w:keepLines/>
              <w:widowControl w:val="0"/>
              <w:rPr>
                <w:b/>
                <w:bCs/>
              </w:rPr>
            </w:pPr>
          </w:p>
        </w:tc>
        <w:tc>
          <w:tcPr>
            <w:tcW w:w="1803" w:type="dxa"/>
            <w:vAlign w:val="center"/>
          </w:tcPr>
          <w:p w14:paraId="22CC260E" w14:textId="77777777" w:rsidR="0012404A" w:rsidRPr="002530A2" w:rsidRDefault="0012404A" w:rsidP="00C50DC8">
            <w:pPr>
              <w:pStyle w:val="Tabletext0"/>
              <w:keepNext/>
              <w:keepLines/>
              <w:widowControl w:val="0"/>
              <w:jc w:val="center"/>
              <w:rPr>
                <w:b/>
                <w:bCs/>
              </w:rPr>
            </w:pPr>
            <w:proofErr w:type="spellStart"/>
            <w:r w:rsidRPr="002530A2">
              <w:rPr>
                <w:b/>
                <w:bCs/>
              </w:rPr>
              <w:t>Esk</w:t>
            </w:r>
            <w:proofErr w:type="spellEnd"/>
            <w:r w:rsidRPr="002530A2">
              <w:rPr>
                <w:b/>
                <w:bCs/>
              </w:rPr>
              <w:t xml:space="preserve"> + OAD</w:t>
            </w:r>
          </w:p>
          <w:p w14:paraId="0CDCAE0C" w14:textId="77777777" w:rsidR="0012404A" w:rsidRPr="002530A2" w:rsidRDefault="0012404A" w:rsidP="00C50DC8">
            <w:pPr>
              <w:pStyle w:val="Tabletext0"/>
              <w:keepNext/>
              <w:keepLines/>
              <w:widowControl w:val="0"/>
              <w:jc w:val="center"/>
              <w:rPr>
                <w:b/>
                <w:bCs/>
              </w:rPr>
            </w:pPr>
            <w:r w:rsidRPr="002530A2">
              <w:rPr>
                <w:b/>
                <w:bCs/>
              </w:rPr>
              <w:t>(N = 90)</w:t>
            </w:r>
          </w:p>
        </w:tc>
        <w:tc>
          <w:tcPr>
            <w:tcW w:w="1803" w:type="dxa"/>
            <w:vAlign w:val="center"/>
          </w:tcPr>
          <w:p w14:paraId="090DB65D" w14:textId="77777777" w:rsidR="0012404A" w:rsidRPr="002530A2" w:rsidRDefault="0012404A" w:rsidP="00C50DC8">
            <w:pPr>
              <w:pStyle w:val="Tabletext0"/>
              <w:keepNext/>
              <w:keepLines/>
              <w:widowControl w:val="0"/>
              <w:jc w:val="center"/>
              <w:rPr>
                <w:b/>
                <w:bCs/>
              </w:rPr>
            </w:pPr>
            <w:proofErr w:type="spellStart"/>
            <w:r w:rsidRPr="002530A2">
              <w:rPr>
                <w:b/>
                <w:bCs/>
              </w:rPr>
              <w:t>Pbo</w:t>
            </w:r>
            <w:proofErr w:type="spellEnd"/>
            <w:r w:rsidRPr="002530A2">
              <w:rPr>
                <w:b/>
                <w:bCs/>
              </w:rPr>
              <w:t xml:space="preserve"> + OAD</w:t>
            </w:r>
          </w:p>
          <w:p w14:paraId="6E19C382" w14:textId="77777777" w:rsidR="0012404A" w:rsidRPr="002530A2" w:rsidRDefault="0012404A" w:rsidP="00C50DC8">
            <w:pPr>
              <w:pStyle w:val="Tabletext0"/>
              <w:keepNext/>
              <w:keepLines/>
              <w:widowControl w:val="0"/>
              <w:jc w:val="center"/>
              <w:rPr>
                <w:b/>
                <w:bCs/>
              </w:rPr>
            </w:pPr>
            <w:r w:rsidRPr="002530A2">
              <w:rPr>
                <w:b/>
                <w:bCs/>
              </w:rPr>
              <w:t>(N = 86)</w:t>
            </w:r>
          </w:p>
        </w:tc>
        <w:tc>
          <w:tcPr>
            <w:tcW w:w="1804" w:type="dxa"/>
            <w:vAlign w:val="center"/>
          </w:tcPr>
          <w:p w14:paraId="6D6E3521" w14:textId="77777777" w:rsidR="0012404A" w:rsidRPr="002530A2" w:rsidRDefault="0012404A" w:rsidP="00C50DC8">
            <w:pPr>
              <w:pStyle w:val="Tabletext0"/>
              <w:keepNext/>
              <w:keepLines/>
              <w:widowControl w:val="0"/>
              <w:jc w:val="center"/>
              <w:rPr>
                <w:b/>
                <w:bCs/>
              </w:rPr>
            </w:pPr>
            <w:proofErr w:type="spellStart"/>
            <w:r w:rsidRPr="002530A2">
              <w:rPr>
                <w:b/>
                <w:bCs/>
              </w:rPr>
              <w:t>Esk</w:t>
            </w:r>
            <w:proofErr w:type="spellEnd"/>
            <w:r w:rsidRPr="002530A2">
              <w:rPr>
                <w:b/>
                <w:bCs/>
              </w:rPr>
              <w:t xml:space="preserve"> + OAD</w:t>
            </w:r>
          </w:p>
          <w:p w14:paraId="37F92A33" w14:textId="77777777" w:rsidR="0012404A" w:rsidRPr="002530A2" w:rsidRDefault="0012404A" w:rsidP="00C50DC8">
            <w:pPr>
              <w:pStyle w:val="Tabletext0"/>
              <w:keepNext/>
              <w:keepLines/>
              <w:widowControl w:val="0"/>
              <w:jc w:val="center"/>
              <w:rPr>
                <w:b/>
                <w:bCs/>
              </w:rPr>
            </w:pPr>
            <w:r w:rsidRPr="002530A2">
              <w:rPr>
                <w:b/>
                <w:bCs/>
              </w:rPr>
              <w:t>(N = 62)</w:t>
            </w:r>
          </w:p>
        </w:tc>
        <w:tc>
          <w:tcPr>
            <w:tcW w:w="1804" w:type="dxa"/>
            <w:vAlign w:val="center"/>
          </w:tcPr>
          <w:p w14:paraId="6CD4C010" w14:textId="77777777" w:rsidR="0012404A" w:rsidRPr="002530A2" w:rsidRDefault="0012404A" w:rsidP="00C50DC8">
            <w:pPr>
              <w:pStyle w:val="Tabletext0"/>
              <w:keepNext/>
              <w:keepLines/>
              <w:widowControl w:val="0"/>
              <w:jc w:val="center"/>
              <w:rPr>
                <w:b/>
                <w:bCs/>
              </w:rPr>
            </w:pPr>
            <w:proofErr w:type="spellStart"/>
            <w:r w:rsidRPr="002530A2">
              <w:rPr>
                <w:b/>
                <w:bCs/>
              </w:rPr>
              <w:t>Pbo</w:t>
            </w:r>
            <w:proofErr w:type="spellEnd"/>
            <w:r w:rsidRPr="002530A2">
              <w:rPr>
                <w:b/>
                <w:bCs/>
              </w:rPr>
              <w:t xml:space="preserve"> + OAD</w:t>
            </w:r>
          </w:p>
          <w:p w14:paraId="38D92857" w14:textId="77777777" w:rsidR="0012404A" w:rsidRPr="002530A2" w:rsidRDefault="0012404A" w:rsidP="00C50DC8">
            <w:pPr>
              <w:pStyle w:val="Tabletext0"/>
              <w:keepNext/>
              <w:keepLines/>
              <w:widowControl w:val="0"/>
              <w:jc w:val="center"/>
              <w:rPr>
                <w:b/>
                <w:bCs/>
              </w:rPr>
            </w:pPr>
            <w:r w:rsidRPr="002530A2">
              <w:rPr>
                <w:b/>
                <w:bCs/>
              </w:rPr>
              <w:t>(N = 59)</w:t>
            </w:r>
          </w:p>
        </w:tc>
      </w:tr>
      <w:tr w:rsidR="0012404A" w:rsidRPr="002530A2" w14:paraId="6034A3E5" w14:textId="77777777" w:rsidTr="00A65564">
        <w:tc>
          <w:tcPr>
            <w:tcW w:w="9017" w:type="dxa"/>
            <w:gridSpan w:val="5"/>
          </w:tcPr>
          <w:p w14:paraId="14ECEC5F" w14:textId="77777777" w:rsidR="0012404A" w:rsidRPr="002530A2" w:rsidRDefault="0012404A" w:rsidP="00C50DC8">
            <w:pPr>
              <w:pStyle w:val="Tabletext0"/>
              <w:keepNext/>
              <w:keepLines/>
              <w:widowControl w:val="0"/>
              <w:rPr>
                <w:b/>
                <w:bCs/>
              </w:rPr>
            </w:pPr>
            <w:r w:rsidRPr="002530A2">
              <w:rPr>
                <w:b/>
                <w:bCs/>
              </w:rPr>
              <w:t>Remission</w:t>
            </w:r>
          </w:p>
        </w:tc>
      </w:tr>
      <w:tr w:rsidR="0012404A" w:rsidRPr="002530A2" w14:paraId="078A8607" w14:textId="77777777" w:rsidTr="00A65564">
        <w:tc>
          <w:tcPr>
            <w:tcW w:w="1803" w:type="dxa"/>
          </w:tcPr>
          <w:p w14:paraId="5E80688C" w14:textId="77777777" w:rsidR="0012404A" w:rsidRPr="002530A2" w:rsidRDefault="0012404A" w:rsidP="00C50DC8">
            <w:pPr>
              <w:pStyle w:val="Tabletext0"/>
              <w:keepNext/>
              <w:keepLines/>
              <w:widowControl w:val="0"/>
            </w:pPr>
            <w:r w:rsidRPr="002530A2">
              <w:t>Baseline</w:t>
            </w:r>
          </w:p>
          <w:p w14:paraId="7F37B353" w14:textId="77777777" w:rsidR="0012404A" w:rsidRPr="002530A2" w:rsidRDefault="0012404A" w:rsidP="00C50DC8">
            <w:pPr>
              <w:pStyle w:val="Tabletext0"/>
              <w:keepNext/>
              <w:keepLines/>
              <w:widowControl w:val="0"/>
            </w:pPr>
            <w:r w:rsidRPr="002530A2">
              <w:rPr>
                <w:rFonts w:cs="Calibri"/>
              </w:rPr>
              <w:t>≤</w:t>
            </w:r>
            <w:r w:rsidRPr="002530A2">
              <w:t>12</w:t>
            </w:r>
          </w:p>
          <w:p w14:paraId="16E769A5" w14:textId="77777777" w:rsidR="0012404A" w:rsidRPr="002530A2" w:rsidRDefault="0012404A" w:rsidP="00C50DC8">
            <w:pPr>
              <w:pStyle w:val="Tabletext0"/>
              <w:keepNext/>
              <w:keepLines/>
              <w:widowControl w:val="0"/>
            </w:pPr>
            <w:r w:rsidRPr="002530A2">
              <w:t>&gt;12</w:t>
            </w:r>
          </w:p>
        </w:tc>
        <w:tc>
          <w:tcPr>
            <w:tcW w:w="1803" w:type="dxa"/>
            <w:vAlign w:val="bottom"/>
          </w:tcPr>
          <w:p w14:paraId="46CCA766" w14:textId="77777777" w:rsidR="0012404A" w:rsidRPr="002530A2" w:rsidRDefault="0012404A" w:rsidP="00C50DC8">
            <w:pPr>
              <w:pStyle w:val="Tabletext0"/>
              <w:keepNext/>
              <w:keepLines/>
              <w:widowControl w:val="0"/>
              <w:jc w:val="center"/>
            </w:pPr>
          </w:p>
          <w:p w14:paraId="343EC055" w14:textId="77777777" w:rsidR="0012404A" w:rsidRPr="002530A2" w:rsidRDefault="0012404A" w:rsidP="00C50DC8">
            <w:pPr>
              <w:pStyle w:val="Tabletext0"/>
              <w:keepNext/>
              <w:keepLines/>
              <w:widowControl w:val="0"/>
              <w:jc w:val="center"/>
            </w:pPr>
            <w:r w:rsidRPr="002530A2">
              <w:t>90 (100.0)</w:t>
            </w:r>
          </w:p>
          <w:p w14:paraId="66655345" w14:textId="77777777" w:rsidR="0012404A" w:rsidRPr="002530A2" w:rsidRDefault="0012404A" w:rsidP="00C50DC8">
            <w:pPr>
              <w:pStyle w:val="Tabletext0"/>
              <w:keepNext/>
              <w:keepLines/>
              <w:widowControl w:val="0"/>
              <w:jc w:val="center"/>
            </w:pPr>
            <w:r w:rsidRPr="002530A2">
              <w:t>0</w:t>
            </w:r>
          </w:p>
        </w:tc>
        <w:tc>
          <w:tcPr>
            <w:tcW w:w="1803" w:type="dxa"/>
            <w:vAlign w:val="bottom"/>
          </w:tcPr>
          <w:p w14:paraId="58386877" w14:textId="77777777" w:rsidR="0012404A" w:rsidRPr="002530A2" w:rsidRDefault="0012404A" w:rsidP="00C50DC8">
            <w:pPr>
              <w:pStyle w:val="Tabletext0"/>
              <w:keepNext/>
              <w:keepLines/>
              <w:widowControl w:val="0"/>
              <w:jc w:val="center"/>
            </w:pPr>
          </w:p>
          <w:p w14:paraId="070C7460" w14:textId="77777777" w:rsidR="0012404A" w:rsidRPr="002530A2" w:rsidRDefault="0012404A" w:rsidP="00C50DC8">
            <w:pPr>
              <w:pStyle w:val="Tabletext0"/>
              <w:keepNext/>
              <w:keepLines/>
              <w:widowControl w:val="0"/>
              <w:jc w:val="center"/>
            </w:pPr>
            <w:r w:rsidRPr="002530A2">
              <w:t>85 (98.8)</w:t>
            </w:r>
          </w:p>
          <w:p w14:paraId="03D943DF" w14:textId="77777777" w:rsidR="0012404A" w:rsidRPr="002530A2" w:rsidRDefault="0012404A" w:rsidP="00C50DC8">
            <w:pPr>
              <w:pStyle w:val="Tabletext0"/>
              <w:keepNext/>
              <w:keepLines/>
              <w:widowControl w:val="0"/>
              <w:jc w:val="center"/>
            </w:pPr>
            <w:r w:rsidRPr="002530A2">
              <w:t>1 (1.2)</w:t>
            </w:r>
          </w:p>
        </w:tc>
        <w:tc>
          <w:tcPr>
            <w:tcW w:w="1804" w:type="dxa"/>
            <w:vAlign w:val="bottom"/>
          </w:tcPr>
          <w:p w14:paraId="410D6FF1" w14:textId="77777777" w:rsidR="0012404A" w:rsidRPr="002530A2" w:rsidRDefault="0012404A" w:rsidP="00C50DC8">
            <w:pPr>
              <w:pStyle w:val="Tabletext0"/>
              <w:keepNext/>
              <w:keepLines/>
              <w:widowControl w:val="0"/>
              <w:jc w:val="center"/>
            </w:pPr>
          </w:p>
          <w:p w14:paraId="3B8C57A7" w14:textId="77777777" w:rsidR="0012404A" w:rsidRPr="002530A2" w:rsidRDefault="0012404A" w:rsidP="00C50DC8">
            <w:pPr>
              <w:pStyle w:val="Tabletext0"/>
              <w:keepNext/>
              <w:keepLines/>
              <w:widowControl w:val="0"/>
              <w:jc w:val="center"/>
            </w:pPr>
            <w:r w:rsidRPr="002530A2">
              <w:t>37 (59.7)</w:t>
            </w:r>
          </w:p>
          <w:p w14:paraId="120B791D" w14:textId="77777777" w:rsidR="0012404A" w:rsidRPr="002530A2" w:rsidRDefault="0012404A" w:rsidP="00C50DC8">
            <w:pPr>
              <w:pStyle w:val="Tabletext0"/>
              <w:keepNext/>
              <w:keepLines/>
              <w:widowControl w:val="0"/>
              <w:jc w:val="center"/>
            </w:pPr>
            <w:r w:rsidRPr="002530A2">
              <w:t>25 (40.3)</w:t>
            </w:r>
          </w:p>
        </w:tc>
        <w:tc>
          <w:tcPr>
            <w:tcW w:w="1804" w:type="dxa"/>
            <w:vAlign w:val="bottom"/>
          </w:tcPr>
          <w:p w14:paraId="5D320009" w14:textId="77777777" w:rsidR="0012404A" w:rsidRPr="002530A2" w:rsidRDefault="0012404A" w:rsidP="00C50DC8">
            <w:pPr>
              <w:pStyle w:val="Tabletext0"/>
              <w:keepNext/>
              <w:keepLines/>
              <w:widowControl w:val="0"/>
              <w:jc w:val="center"/>
            </w:pPr>
          </w:p>
          <w:p w14:paraId="62384371" w14:textId="77777777" w:rsidR="0012404A" w:rsidRPr="002530A2" w:rsidRDefault="0012404A" w:rsidP="00C50DC8">
            <w:pPr>
              <w:pStyle w:val="Tabletext0"/>
              <w:keepNext/>
              <w:keepLines/>
              <w:widowControl w:val="0"/>
              <w:jc w:val="center"/>
            </w:pPr>
            <w:r w:rsidRPr="002530A2">
              <w:t>38 (64.4)</w:t>
            </w:r>
          </w:p>
          <w:p w14:paraId="23802EA7" w14:textId="77777777" w:rsidR="0012404A" w:rsidRPr="002530A2" w:rsidRDefault="0012404A" w:rsidP="00C50DC8">
            <w:pPr>
              <w:pStyle w:val="Tabletext0"/>
              <w:keepNext/>
              <w:keepLines/>
              <w:widowControl w:val="0"/>
              <w:jc w:val="center"/>
            </w:pPr>
            <w:r w:rsidRPr="002530A2">
              <w:t>21 (35.6)</w:t>
            </w:r>
          </w:p>
        </w:tc>
      </w:tr>
      <w:tr w:rsidR="0012404A" w:rsidRPr="002530A2" w14:paraId="6C18EE18" w14:textId="77777777" w:rsidTr="00A65564">
        <w:tc>
          <w:tcPr>
            <w:tcW w:w="1803" w:type="dxa"/>
          </w:tcPr>
          <w:p w14:paraId="68446759" w14:textId="77777777" w:rsidR="0012404A" w:rsidRPr="002530A2" w:rsidRDefault="0012404A" w:rsidP="00C50DC8">
            <w:pPr>
              <w:pStyle w:val="Tabletext0"/>
              <w:keepNext/>
              <w:keepLines/>
              <w:widowControl w:val="0"/>
            </w:pPr>
            <w:r w:rsidRPr="002530A2">
              <w:t>Endpoint</w:t>
            </w:r>
          </w:p>
          <w:p w14:paraId="233DB300" w14:textId="77777777" w:rsidR="0012404A" w:rsidRPr="002530A2" w:rsidRDefault="0012404A" w:rsidP="00C50DC8">
            <w:pPr>
              <w:pStyle w:val="Tabletext0"/>
              <w:keepNext/>
              <w:keepLines/>
              <w:widowControl w:val="0"/>
            </w:pPr>
            <w:r w:rsidRPr="002530A2">
              <w:rPr>
                <w:rFonts w:cs="Calibri"/>
              </w:rPr>
              <w:t>≤</w:t>
            </w:r>
            <w:r w:rsidRPr="002530A2">
              <w:t>12</w:t>
            </w:r>
          </w:p>
          <w:p w14:paraId="1108CF89" w14:textId="77777777" w:rsidR="0012404A" w:rsidRPr="002530A2" w:rsidRDefault="0012404A" w:rsidP="00C50DC8">
            <w:pPr>
              <w:pStyle w:val="Tabletext0"/>
              <w:keepNext/>
              <w:keepLines/>
              <w:widowControl w:val="0"/>
            </w:pPr>
            <w:r w:rsidRPr="002530A2">
              <w:t>&gt;12</w:t>
            </w:r>
          </w:p>
        </w:tc>
        <w:tc>
          <w:tcPr>
            <w:tcW w:w="1803" w:type="dxa"/>
            <w:vAlign w:val="bottom"/>
          </w:tcPr>
          <w:p w14:paraId="1A0E67A7" w14:textId="77777777" w:rsidR="0012404A" w:rsidRPr="002530A2" w:rsidRDefault="0012404A" w:rsidP="00C50DC8">
            <w:pPr>
              <w:pStyle w:val="Tabletext0"/>
              <w:keepNext/>
              <w:keepLines/>
              <w:widowControl w:val="0"/>
              <w:jc w:val="center"/>
            </w:pPr>
          </w:p>
          <w:p w14:paraId="35AB43F1" w14:textId="77777777" w:rsidR="0012404A" w:rsidRPr="002530A2" w:rsidRDefault="0012404A" w:rsidP="00C50DC8">
            <w:pPr>
              <w:pStyle w:val="Tabletext0"/>
              <w:keepNext/>
              <w:keepLines/>
              <w:widowControl w:val="0"/>
              <w:jc w:val="center"/>
            </w:pPr>
            <w:r w:rsidRPr="002530A2">
              <w:t>58 (65.2)</w:t>
            </w:r>
          </w:p>
          <w:p w14:paraId="065A38F7" w14:textId="77777777" w:rsidR="0012404A" w:rsidRPr="002530A2" w:rsidRDefault="0012404A" w:rsidP="00C50DC8">
            <w:pPr>
              <w:pStyle w:val="Tabletext0"/>
              <w:keepNext/>
              <w:keepLines/>
              <w:widowControl w:val="0"/>
              <w:jc w:val="center"/>
            </w:pPr>
            <w:r w:rsidRPr="002530A2">
              <w:t>31 (34.8)</w:t>
            </w:r>
          </w:p>
        </w:tc>
        <w:tc>
          <w:tcPr>
            <w:tcW w:w="1803" w:type="dxa"/>
            <w:vAlign w:val="bottom"/>
          </w:tcPr>
          <w:p w14:paraId="4E4808FD" w14:textId="77777777" w:rsidR="0012404A" w:rsidRPr="002530A2" w:rsidRDefault="0012404A" w:rsidP="00C50DC8">
            <w:pPr>
              <w:pStyle w:val="Tabletext0"/>
              <w:keepNext/>
              <w:keepLines/>
              <w:widowControl w:val="0"/>
              <w:jc w:val="center"/>
            </w:pPr>
          </w:p>
          <w:p w14:paraId="3C8DA0A9" w14:textId="77777777" w:rsidR="0012404A" w:rsidRPr="002530A2" w:rsidRDefault="0012404A" w:rsidP="00C50DC8">
            <w:pPr>
              <w:pStyle w:val="Tabletext0"/>
              <w:keepNext/>
              <w:keepLines/>
              <w:widowControl w:val="0"/>
              <w:jc w:val="center"/>
            </w:pPr>
            <w:r w:rsidRPr="002530A2">
              <w:t>36 (41.9)</w:t>
            </w:r>
          </w:p>
          <w:p w14:paraId="20594990" w14:textId="77777777" w:rsidR="0012404A" w:rsidRPr="002530A2" w:rsidRDefault="0012404A" w:rsidP="00C50DC8">
            <w:pPr>
              <w:pStyle w:val="Tabletext0"/>
              <w:keepNext/>
              <w:keepLines/>
              <w:widowControl w:val="0"/>
              <w:jc w:val="center"/>
            </w:pPr>
            <w:r w:rsidRPr="002530A2">
              <w:t>50 (58.1)</w:t>
            </w:r>
          </w:p>
        </w:tc>
        <w:tc>
          <w:tcPr>
            <w:tcW w:w="1804" w:type="dxa"/>
            <w:vAlign w:val="bottom"/>
          </w:tcPr>
          <w:p w14:paraId="1C67EECF" w14:textId="77777777" w:rsidR="0012404A" w:rsidRPr="002530A2" w:rsidRDefault="0012404A" w:rsidP="00C50DC8">
            <w:pPr>
              <w:pStyle w:val="Tabletext0"/>
              <w:keepNext/>
              <w:keepLines/>
              <w:widowControl w:val="0"/>
              <w:jc w:val="center"/>
            </w:pPr>
          </w:p>
          <w:p w14:paraId="5A413857" w14:textId="77777777" w:rsidR="0012404A" w:rsidRPr="002530A2" w:rsidRDefault="0012404A" w:rsidP="00C50DC8">
            <w:pPr>
              <w:pStyle w:val="Tabletext0"/>
              <w:keepNext/>
              <w:keepLines/>
              <w:widowControl w:val="0"/>
              <w:jc w:val="center"/>
            </w:pPr>
            <w:r w:rsidRPr="002530A2">
              <w:t>29 (46.8)</w:t>
            </w:r>
          </w:p>
          <w:p w14:paraId="131B43D7" w14:textId="77777777" w:rsidR="0012404A" w:rsidRPr="002530A2" w:rsidRDefault="0012404A" w:rsidP="00C50DC8">
            <w:pPr>
              <w:pStyle w:val="Tabletext0"/>
              <w:keepNext/>
              <w:keepLines/>
              <w:widowControl w:val="0"/>
              <w:jc w:val="center"/>
            </w:pPr>
            <w:r w:rsidRPr="002530A2">
              <w:t>33 (53.2)</w:t>
            </w:r>
          </w:p>
        </w:tc>
        <w:tc>
          <w:tcPr>
            <w:tcW w:w="1804" w:type="dxa"/>
            <w:vAlign w:val="bottom"/>
          </w:tcPr>
          <w:p w14:paraId="1806479B" w14:textId="77777777" w:rsidR="0012404A" w:rsidRPr="002530A2" w:rsidRDefault="0012404A" w:rsidP="00C50DC8">
            <w:pPr>
              <w:pStyle w:val="Tabletext0"/>
              <w:keepNext/>
              <w:keepLines/>
              <w:widowControl w:val="0"/>
              <w:jc w:val="center"/>
            </w:pPr>
          </w:p>
          <w:p w14:paraId="43F5B723" w14:textId="77777777" w:rsidR="0012404A" w:rsidRPr="002530A2" w:rsidRDefault="0012404A" w:rsidP="00C50DC8">
            <w:pPr>
              <w:pStyle w:val="Tabletext0"/>
              <w:keepNext/>
              <w:keepLines/>
              <w:widowControl w:val="0"/>
              <w:jc w:val="center"/>
            </w:pPr>
            <w:r w:rsidRPr="002530A2">
              <w:t>15 (25.4)</w:t>
            </w:r>
          </w:p>
          <w:p w14:paraId="447F8B89" w14:textId="77777777" w:rsidR="0012404A" w:rsidRPr="002530A2" w:rsidRDefault="0012404A" w:rsidP="00C50DC8">
            <w:pPr>
              <w:pStyle w:val="Tabletext0"/>
              <w:keepNext/>
              <w:keepLines/>
              <w:widowControl w:val="0"/>
              <w:jc w:val="center"/>
            </w:pPr>
            <w:r w:rsidRPr="002530A2">
              <w:t>44 (74.6)</w:t>
            </w:r>
          </w:p>
        </w:tc>
      </w:tr>
      <w:tr w:rsidR="0012404A" w:rsidRPr="002530A2" w14:paraId="3D1687D4" w14:textId="77777777" w:rsidTr="00A65564">
        <w:tc>
          <w:tcPr>
            <w:tcW w:w="9017" w:type="dxa"/>
            <w:gridSpan w:val="5"/>
          </w:tcPr>
          <w:p w14:paraId="1372FB11" w14:textId="77777777" w:rsidR="0012404A" w:rsidRPr="002530A2" w:rsidRDefault="0012404A" w:rsidP="00C50DC8">
            <w:pPr>
              <w:pStyle w:val="Tabletext0"/>
              <w:keepNext/>
              <w:keepLines/>
              <w:widowControl w:val="0"/>
              <w:rPr>
                <w:b/>
                <w:bCs/>
              </w:rPr>
            </w:pPr>
            <w:r w:rsidRPr="002530A2">
              <w:rPr>
                <w:b/>
                <w:bCs/>
              </w:rPr>
              <w:t>Response</w:t>
            </w:r>
          </w:p>
        </w:tc>
      </w:tr>
      <w:tr w:rsidR="0012404A" w:rsidRPr="002530A2" w14:paraId="6EFBDF81" w14:textId="77777777" w:rsidTr="00A65564">
        <w:tc>
          <w:tcPr>
            <w:tcW w:w="1803" w:type="dxa"/>
            <w:vAlign w:val="center"/>
          </w:tcPr>
          <w:p w14:paraId="2465A2E3" w14:textId="77777777" w:rsidR="0012404A" w:rsidRPr="002530A2" w:rsidRDefault="0012404A" w:rsidP="00C50DC8">
            <w:pPr>
              <w:pStyle w:val="Tabletext0"/>
              <w:keepNext/>
              <w:keepLines/>
              <w:widowControl w:val="0"/>
            </w:pPr>
            <w:r w:rsidRPr="002530A2">
              <w:t xml:space="preserve">Baseline </w:t>
            </w:r>
          </w:p>
          <w:p w14:paraId="6A26B441" w14:textId="77777777" w:rsidR="0012404A" w:rsidRPr="002530A2" w:rsidRDefault="0012404A" w:rsidP="00C50DC8">
            <w:pPr>
              <w:pStyle w:val="Tabletext0"/>
              <w:keepNext/>
              <w:keepLines/>
              <w:widowControl w:val="0"/>
            </w:pPr>
            <w:r w:rsidRPr="002530A2">
              <w:sym w:font="Symbol" w:char="F0B3"/>
            </w:r>
            <w:r w:rsidRPr="002530A2">
              <w:t xml:space="preserve"> 50% improvement</w:t>
            </w:r>
          </w:p>
          <w:p w14:paraId="69DE20FD" w14:textId="77777777" w:rsidR="0012404A" w:rsidRPr="002530A2" w:rsidRDefault="0012404A" w:rsidP="00C50DC8">
            <w:pPr>
              <w:pStyle w:val="Tabletext0"/>
              <w:keepNext/>
              <w:keepLines/>
              <w:widowControl w:val="0"/>
            </w:pPr>
            <w:r w:rsidRPr="002530A2">
              <w:t>&lt; 50% improvement</w:t>
            </w:r>
          </w:p>
        </w:tc>
        <w:tc>
          <w:tcPr>
            <w:tcW w:w="1803" w:type="dxa"/>
            <w:vAlign w:val="bottom"/>
          </w:tcPr>
          <w:p w14:paraId="09A48206" w14:textId="77777777" w:rsidR="0012404A" w:rsidRPr="002530A2" w:rsidRDefault="0012404A" w:rsidP="00C50DC8">
            <w:pPr>
              <w:pStyle w:val="Tabletext0"/>
              <w:keepNext/>
              <w:keepLines/>
              <w:widowControl w:val="0"/>
              <w:jc w:val="center"/>
            </w:pPr>
          </w:p>
          <w:p w14:paraId="071CDA2E" w14:textId="77777777" w:rsidR="0012404A" w:rsidRPr="002530A2" w:rsidRDefault="0012404A" w:rsidP="00C50DC8">
            <w:pPr>
              <w:pStyle w:val="Tabletext0"/>
              <w:keepNext/>
              <w:keepLines/>
              <w:widowControl w:val="0"/>
              <w:jc w:val="center"/>
            </w:pPr>
            <w:r w:rsidRPr="002530A2">
              <w:t>90 (100.0)</w:t>
            </w:r>
          </w:p>
          <w:p w14:paraId="78EABA73" w14:textId="77777777" w:rsidR="0012404A" w:rsidRPr="002530A2" w:rsidRDefault="0012404A" w:rsidP="00C50DC8">
            <w:pPr>
              <w:pStyle w:val="Tabletext0"/>
              <w:keepNext/>
              <w:keepLines/>
              <w:widowControl w:val="0"/>
              <w:jc w:val="center"/>
            </w:pPr>
            <w:r w:rsidRPr="002530A2">
              <w:t>0</w:t>
            </w:r>
          </w:p>
        </w:tc>
        <w:tc>
          <w:tcPr>
            <w:tcW w:w="1803" w:type="dxa"/>
            <w:vAlign w:val="bottom"/>
          </w:tcPr>
          <w:p w14:paraId="5FFFC044" w14:textId="77777777" w:rsidR="0012404A" w:rsidRPr="002530A2" w:rsidRDefault="0012404A" w:rsidP="00C50DC8">
            <w:pPr>
              <w:pStyle w:val="Tabletext0"/>
              <w:keepNext/>
              <w:keepLines/>
              <w:widowControl w:val="0"/>
              <w:jc w:val="center"/>
            </w:pPr>
          </w:p>
          <w:p w14:paraId="717FDF85" w14:textId="77777777" w:rsidR="0012404A" w:rsidRPr="002530A2" w:rsidRDefault="0012404A" w:rsidP="00C50DC8">
            <w:pPr>
              <w:pStyle w:val="Tabletext0"/>
              <w:keepNext/>
              <w:keepLines/>
              <w:widowControl w:val="0"/>
              <w:jc w:val="center"/>
            </w:pPr>
            <w:r w:rsidRPr="002530A2">
              <w:t>86 (100.0)</w:t>
            </w:r>
          </w:p>
          <w:p w14:paraId="51AEE3F5" w14:textId="77777777" w:rsidR="0012404A" w:rsidRPr="002530A2" w:rsidRDefault="0012404A" w:rsidP="00C50DC8">
            <w:pPr>
              <w:pStyle w:val="Tabletext0"/>
              <w:keepNext/>
              <w:keepLines/>
              <w:widowControl w:val="0"/>
              <w:jc w:val="center"/>
            </w:pPr>
            <w:r w:rsidRPr="002530A2">
              <w:t>0</w:t>
            </w:r>
          </w:p>
        </w:tc>
        <w:tc>
          <w:tcPr>
            <w:tcW w:w="1804" w:type="dxa"/>
            <w:vAlign w:val="bottom"/>
          </w:tcPr>
          <w:p w14:paraId="3D6C048C" w14:textId="77777777" w:rsidR="0012404A" w:rsidRPr="002530A2" w:rsidRDefault="0012404A" w:rsidP="00C50DC8">
            <w:pPr>
              <w:pStyle w:val="Tabletext0"/>
              <w:keepNext/>
              <w:keepLines/>
              <w:widowControl w:val="0"/>
              <w:jc w:val="center"/>
            </w:pPr>
          </w:p>
          <w:p w14:paraId="73F740D4" w14:textId="77777777" w:rsidR="0012404A" w:rsidRPr="002530A2" w:rsidRDefault="0012404A" w:rsidP="00C50DC8">
            <w:pPr>
              <w:pStyle w:val="Tabletext0"/>
              <w:keepNext/>
              <w:keepLines/>
              <w:widowControl w:val="0"/>
              <w:jc w:val="center"/>
            </w:pPr>
            <w:r w:rsidRPr="002530A2">
              <w:t>62 (100.0)</w:t>
            </w:r>
          </w:p>
          <w:p w14:paraId="6F7EFA47" w14:textId="77777777" w:rsidR="0012404A" w:rsidRPr="002530A2" w:rsidRDefault="0012404A" w:rsidP="00C50DC8">
            <w:pPr>
              <w:pStyle w:val="Tabletext0"/>
              <w:keepNext/>
              <w:keepLines/>
              <w:widowControl w:val="0"/>
              <w:jc w:val="center"/>
            </w:pPr>
            <w:r w:rsidRPr="002530A2">
              <w:t>0</w:t>
            </w:r>
          </w:p>
        </w:tc>
        <w:tc>
          <w:tcPr>
            <w:tcW w:w="1804" w:type="dxa"/>
            <w:vAlign w:val="bottom"/>
          </w:tcPr>
          <w:p w14:paraId="755459F8" w14:textId="77777777" w:rsidR="0012404A" w:rsidRPr="002530A2" w:rsidRDefault="0012404A" w:rsidP="00C50DC8">
            <w:pPr>
              <w:pStyle w:val="Tabletext0"/>
              <w:keepNext/>
              <w:keepLines/>
              <w:widowControl w:val="0"/>
              <w:jc w:val="center"/>
            </w:pPr>
          </w:p>
          <w:p w14:paraId="400C79C0" w14:textId="77777777" w:rsidR="0012404A" w:rsidRPr="002530A2" w:rsidRDefault="0012404A" w:rsidP="00C50DC8">
            <w:pPr>
              <w:pStyle w:val="Tabletext0"/>
              <w:keepNext/>
              <w:keepLines/>
              <w:widowControl w:val="0"/>
              <w:jc w:val="center"/>
            </w:pPr>
            <w:r w:rsidRPr="002530A2">
              <w:t>59 (100.0)</w:t>
            </w:r>
          </w:p>
          <w:p w14:paraId="39A7A1ED" w14:textId="77777777" w:rsidR="0012404A" w:rsidRPr="002530A2" w:rsidRDefault="0012404A" w:rsidP="00C50DC8">
            <w:pPr>
              <w:pStyle w:val="Tabletext0"/>
              <w:keepNext/>
              <w:keepLines/>
              <w:widowControl w:val="0"/>
              <w:jc w:val="center"/>
            </w:pPr>
            <w:r w:rsidRPr="002530A2">
              <w:t>0</w:t>
            </w:r>
          </w:p>
        </w:tc>
      </w:tr>
      <w:tr w:rsidR="0012404A" w:rsidRPr="002530A2" w14:paraId="1A9BB047" w14:textId="77777777" w:rsidTr="00A65564">
        <w:tc>
          <w:tcPr>
            <w:tcW w:w="1803" w:type="dxa"/>
            <w:vAlign w:val="center"/>
          </w:tcPr>
          <w:p w14:paraId="4FBA52F8" w14:textId="77777777" w:rsidR="0012404A" w:rsidRPr="002530A2" w:rsidRDefault="0012404A" w:rsidP="00C50DC8">
            <w:pPr>
              <w:pStyle w:val="Tabletext0"/>
              <w:keepNext/>
              <w:keepLines/>
              <w:widowControl w:val="0"/>
            </w:pPr>
            <w:r w:rsidRPr="002530A2">
              <w:t xml:space="preserve">Endpoint </w:t>
            </w:r>
          </w:p>
          <w:p w14:paraId="3A0DDEB8" w14:textId="77777777" w:rsidR="0012404A" w:rsidRPr="002530A2" w:rsidRDefault="0012404A" w:rsidP="00C50DC8">
            <w:pPr>
              <w:pStyle w:val="Tabletext0"/>
              <w:keepNext/>
              <w:keepLines/>
              <w:widowControl w:val="0"/>
            </w:pPr>
            <w:r w:rsidRPr="002530A2">
              <w:sym w:font="Symbol" w:char="F0B3"/>
            </w:r>
            <w:r w:rsidRPr="002530A2">
              <w:t xml:space="preserve"> 50% improvement</w:t>
            </w:r>
          </w:p>
          <w:p w14:paraId="4125FE87" w14:textId="77777777" w:rsidR="0012404A" w:rsidRPr="002530A2" w:rsidRDefault="0012404A" w:rsidP="00C50DC8">
            <w:pPr>
              <w:pStyle w:val="Tabletext0"/>
              <w:keepNext/>
              <w:keepLines/>
              <w:widowControl w:val="0"/>
            </w:pPr>
            <w:r w:rsidRPr="002530A2">
              <w:t>&lt; 50% improvement</w:t>
            </w:r>
          </w:p>
        </w:tc>
        <w:tc>
          <w:tcPr>
            <w:tcW w:w="1803" w:type="dxa"/>
            <w:vAlign w:val="bottom"/>
          </w:tcPr>
          <w:p w14:paraId="69A25808" w14:textId="77777777" w:rsidR="0012404A" w:rsidRPr="002530A2" w:rsidRDefault="0012404A" w:rsidP="00C50DC8">
            <w:pPr>
              <w:pStyle w:val="Tabletext0"/>
              <w:keepNext/>
              <w:keepLines/>
              <w:widowControl w:val="0"/>
              <w:jc w:val="center"/>
            </w:pPr>
          </w:p>
          <w:p w14:paraId="141826B1" w14:textId="77777777" w:rsidR="0012404A" w:rsidRPr="002530A2" w:rsidRDefault="0012404A" w:rsidP="00C50DC8">
            <w:pPr>
              <w:pStyle w:val="Tabletext0"/>
              <w:keepNext/>
              <w:keepLines/>
              <w:widowControl w:val="0"/>
              <w:jc w:val="center"/>
            </w:pPr>
            <w:r w:rsidRPr="002530A2">
              <w:t>67 (75.3)</w:t>
            </w:r>
          </w:p>
          <w:p w14:paraId="7D910A78" w14:textId="77777777" w:rsidR="0012404A" w:rsidRPr="002530A2" w:rsidRDefault="0012404A" w:rsidP="00C50DC8">
            <w:pPr>
              <w:pStyle w:val="Tabletext0"/>
              <w:keepNext/>
              <w:keepLines/>
              <w:widowControl w:val="0"/>
              <w:jc w:val="center"/>
            </w:pPr>
            <w:r w:rsidRPr="002530A2">
              <w:t>22 (24.7)</w:t>
            </w:r>
          </w:p>
        </w:tc>
        <w:tc>
          <w:tcPr>
            <w:tcW w:w="1803" w:type="dxa"/>
            <w:vAlign w:val="bottom"/>
          </w:tcPr>
          <w:p w14:paraId="404BAA4F" w14:textId="77777777" w:rsidR="0012404A" w:rsidRPr="002530A2" w:rsidRDefault="0012404A" w:rsidP="00C50DC8">
            <w:pPr>
              <w:pStyle w:val="Tabletext0"/>
              <w:keepNext/>
              <w:keepLines/>
              <w:widowControl w:val="0"/>
              <w:jc w:val="center"/>
            </w:pPr>
          </w:p>
          <w:p w14:paraId="31D17756" w14:textId="77777777" w:rsidR="0012404A" w:rsidRPr="002530A2" w:rsidRDefault="0012404A" w:rsidP="00C50DC8">
            <w:pPr>
              <w:pStyle w:val="Tabletext0"/>
              <w:keepNext/>
              <w:keepLines/>
              <w:widowControl w:val="0"/>
              <w:jc w:val="center"/>
            </w:pPr>
            <w:r w:rsidRPr="002530A2">
              <w:t>48 (55.8)</w:t>
            </w:r>
          </w:p>
          <w:p w14:paraId="4BDBE187" w14:textId="77777777" w:rsidR="0012404A" w:rsidRPr="002530A2" w:rsidRDefault="0012404A" w:rsidP="00C50DC8">
            <w:pPr>
              <w:pStyle w:val="Tabletext0"/>
              <w:keepNext/>
              <w:keepLines/>
              <w:widowControl w:val="0"/>
              <w:jc w:val="center"/>
            </w:pPr>
            <w:r w:rsidRPr="002530A2">
              <w:t>38 (44.2)</w:t>
            </w:r>
          </w:p>
        </w:tc>
        <w:tc>
          <w:tcPr>
            <w:tcW w:w="1804" w:type="dxa"/>
            <w:vAlign w:val="bottom"/>
          </w:tcPr>
          <w:p w14:paraId="4D67D63A" w14:textId="77777777" w:rsidR="0012404A" w:rsidRPr="002530A2" w:rsidRDefault="0012404A" w:rsidP="00C50DC8">
            <w:pPr>
              <w:pStyle w:val="Tabletext0"/>
              <w:keepNext/>
              <w:keepLines/>
              <w:widowControl w:val="0"/>
              <w:jc w:val="center"/>
            </w:pPr>
          </w:p>
          <w:p w14:paraId="23925546" w14:textId="77777777" w:rsidR="0012404A" w:rsidRPr="002530A2" w:rsidRDefault="0012404A" w:rsidP="00C50DC8">
            <w:pPr>
              <w:pStyle w:val="Tabletext0"/>
              <w:keepNext/>
              <w:keepLines/>
              <w:widowControl w:val="0"/>
              <w:jc w:val="center"/>
            </w:pPr>
            <w:r w:rsidRPr="002530A2">
              <w:t>41 (66.1)</w:t>
            </w:r>
          </w:p>
          <w:p w14:paraId="3FDE2EFA" w14:textId="77777777" w:rsidR="0012404A" w:rsidRPr="002530A2" w:rsidRDefault="0012404A" w:rsidP="00C50DC8">
            <w:pPr>
              <w:pStyle w:val="Tabletext0"/>
              <w:keepNext/>
              <w:keepLines/>
              <w:widowControl w:val="0"/>
              <w:jc w:val="center"/>
            </w:pPr>
            <w:r w:rsidRPr="002530A2">
              <w:t>21 (33.9)</w:t>
            </w:r>
          </w:p>
        </w:tc>
        <w:tc>
          <w:tcPr>
            <w:tcW w:w="1804" w:type="dxa"/>
            <w:vAlign w:val="bottom"/>
          </w:tcPr>
          <w:p w14:paraId="49BD10C6" w14:textId="77777777" w:rsidR="0012404A" w:rsidRPr="002530A2" w:rsidRDefault="0012404A" w:rsidP="00C50DC8">
            <w:pPr>
              <w:pStyle w:val="Tabletext0"/>
              <w:keepNext/>
              <w:keepLines/>
              <w:widowControl w:val="0"/>
              <w:jc w:val="center"/>
            </w:pPr>
          </w:p>
          <w:p w14:paraId="7539619B" w14:textId="77777777" w:rsidR="0012404A" w:rsidRPr="002530A2" w:rsidRDefault="0012404A" w:rsidP="00C50DC8">
            <w:pPr>
              <w:pStyle w:val="Tabletext0"/>
              <w:keepNext/>
              <w:keepLines/>
              <w:widowControl w:val="0"/>
              <w:jc w:val="center"/>
            </w:pPr>
            <w:r w:rsidRPr="002530A2">
              <w:t>20 (33.9)</w:t>
            </w:r>
          </w:p>
          <w:p w14:paraId="356263CE" w14:textId="77777777" w:rsidR="0012404A" w:rsidRPr="002530A2" w:rsidRDefault="0012404A" w:rsidP="00C50DC8">
            <w:pPr>
              <w:pStyle w:val="Tabletext0"/>
              <w:keepNext/>
              <w:keepLines/>
              <w:widowControl w:val="0"/>
              <w:jc w:val="center"/>
            </w:pPr>
            <w:r w:rsidRPr="002530A2">
              <w:t>39 (66.1)</w:t>
            </w:r>
          </w:p>
        </w:tc>
      </w:tr>
    </w:tbl>
    <w:p w14:paraId="61C6507C" w14:textId="01EB883D" w:rsidR="0012404A" w:rsidRPr="002530A2" w:rsidRDefault="0012404A" w:rsidP="00674738">
      <w:pPr>
        <w:pStyle w:val="TableFigureFooter"/>
      </w:pPr>
      <w:r w:rsidRPr="002530A2">
        <w:t>Source:</w:t>
      </w:r>
      <w:r w:rsidR="00FB5E87">
        <w:t xml:space="preserve"> </w:t>
      </w:r>
      <w:r w:rsidR="00FB5E87" w:rsidRPr="00FB5E87">
        <w:t xml:space="preserve">Table 2-28, p.143; Table 2-29, p.144 </w:t>
      </w:r>
      <w:r w:rsidRPr="002530A2">
        <w:t xml:space="preserve">of the </w:t>
      </w:r>
      <w:r w:rsidR="0002228F">
        <w:t>re</w:t>
      </w:r>
      <w:r w:rsidRPr="002530A2">
        <w:t>submission</w:t>
      </w:r>
    </w:p>
    <w:p w14:paraId="100A83D6" w14:textId="2FA24D7F" w:rsidR="0012404A" w:rsidRPr="002530A2" w:rsidRDefault="0012404A" w:rsidP="00674738">
      <w:pPr>
        <w:pStyle w:val="TableFigureFooter"/>
      </w:pPr>
      <w:r w:rsidRPr="002530A2">
        <w:t xml:space="preserve">Abbreviations: </w:t>
      </w:r>
      <w:proofErr w:type="spellStart"/>
      <w:r w:rsidR="00734078">
        <w:t>Esk</w:t>
      </w:r>
      <w:proofErr w:type="spellEnd"/>
      <w:r w:rsidR="00734078">
        <w:t xml:space="preserve">, </w:t>
      </w:r>
      <w:proofErr w:type="spellStart"/>
      <w:r w:rsidR="00734078">
        <w:t>esketamine</w:t>
      </w:r>
      <w:proofErr w:type="spellEnd"/>
      <w:r w:rsidR="00734078">
        <w:t>;</w:t>
      </w:r>
      <w:r w:rsidRPr="00D60B48">
        <w:t xml:space="preserve"> </w:t>
      </w:r>
      <w:r w:rsidRPr="002530A2">
        <w:t>MADRS, Montgomery-</w:t>
      </w:r>
      <w:proofErr w:type="spellStart"/>
      <w:r w:rsidRPr="002530A2">
        <w:t>Asberg</w:t>
      </w:r>
      <w:proofErr w:type="spellEnd"/>
      <w:r w:rsidRPr="002530A2">
        <w:t xml:space="preserve"> Depression Rating Scale; OAD, oral antidepressant</w:t>
      </w:r>
      <w:r w:rsidR="00734078">
        <w:t xml:space="preserve">; </w:t>
      </w:r>
      <w:proofErr w:type="spellStart"/>
      <w:r w:rsidR="00734078">
        <w:t>Pbo</w:t>
      </w:r>
      <w:proofErr w:type="spellEnd"/>
      <w:r w:rsidR="00734078">
        <w:t>, placebo</w:t>
      </w:r>
    </w:p>
    <w:p w14:paraId="364410E4" w14:textId="04477E48" w:rsidR="0012404A" w:rsidRDefault="0012404A" w:rsidP="0012404A">
      <w:pPr>
        <w:pStyle w:val="ExecSumBodyText"/>
      </w:pPr>
      <w:r>
        <w:t xml:space="preserve">Remission was achieved or maintained by a higher percentage of subjects in the </w:t>
      </w:r>
      <w:proofErr w:type="spellStart"/>
      <w:r>
        <w:t>esketamine</w:t>
      </w:r>
      <w:proofErr w:type="spellEnd"/>
      <w:r>
        <w:t xml:space="preserve"> nasal spray treatment groups. Remission during the maintenance phase among stable remitters decreased less over time in the </w:t>
      </w:r>
      <w:proofErr w:type="spellStart"/>
      <w:r>
        <w:t>esketamine</w:t>
      </w:r>
      <w:proofErr w:type="spellEnd"/>
      <w:r>
        <w:t xml:space="preserve"> nasal spray group compared with the intranasal placebo group (33.6% </w:t>
      </w:r>
      <w:r w:rsidRPr="00D60B48">
        <w:t>v</w:t>
      </w:r>
      <w:r w:rsidR="00734078">
        <w:t>ersu</w:t>
      </w:r>
      <w:r w:rsidRPr="00D60B48">
        <w:t>s</w:t>
      </w:r>
      <w:r>
        <w:t xml:space="preserve"> 57.9%), which indicates fewer patients lose remission over the trial period. Similarly, in stable responders, remission was achieved or maintained by a higher percentage of subjects in the </w:t>
      </w:r>
      <w:proofErr w:type="spellStart"/>
      <w:r>
        <w:t>esketamine</w:t>
      </w:r>
      <w:proofErr w:type="spellEnd"/>
      <w:r>
        <w:t xml:space="preserve"> nasal spray treatment groups compared with patients in the intranasal placebo treatment groups. The reduction over time was smaller in the </w:t>
      </w:r>
      <w:proofErr w:type="spellStart"/>
      <w:r>
        <w:t>esketamine</w:t>
      </w:r>
      <w:proofErr w:type="spellEnd"/>
      <w:r>
        <w:t xml:space="preserve"> nasal spray group, indicating fewer patients lost remission over the trial </w:t>
      </w:r>
      <w:proofErr w:type="gramStart"/>
      <w:r>
        <w:t>time period</w:t>
      </w:r>
      <w:proofErr w:type="gramEnd"/>
      <w:r>
        <w:t xml:space="preserve"> when treated with </w:t>
      </w:r>
      <w:proofErr w:type="spellStart"/>
      <w:r>
        <w:t>esketamine</w:t>
      </w:r>
      <w:proofErr w:type="spellEnd"/>
      <w:r>
        <w:t xml:space="preserve"> nasal spray and an OAD versus continuing on an OAD alone.</w:t>
      </w:r>
    </w:p>
    <w:p w14:paraId="6C48BB7D" w14:textId="77777777" w:rsidR="0012404A" w:rsidRPr="002530A2" w:rsidRDefault="0012404A" w:rsidP="0012404A">
      <w:pPr>
        <w:pStyle w:val="ExecSumBodyText"/>
      </w:pPr>
      <w:r>
        <w:t xml:space="preserve">Response was also maintained or lost at a slower rate by a higher percentage of subjects in the </w:t>
      </w:r>
      <w:proofErr w:type="spellStart"/>
      <w:r>
        <w:t>esketamine</w:t>
      </w:r>
      <w:proofErr w:type="spellEnd"/>
      <w:r>
        <w:t xml:space="preserve"> nasal spray treatment groups. Response during the maintenance phase among stable remitters decreased from 100% of patients in both the </w:t>
      </w:r>
      <w:proofErr w:type="spellStart"/>
      <w:r>
        <w:t>esketamine</w:t>
      </w:r>
      <w:proofErr w:type="spellEnd"/>
      <w:r>
        <w:t xml:space="preserve"> nasal spray treatment group and intranasal placebo group at baseline to 75.3% and 55.8%, respectively, at endpoint. </w:t>
      </w:r>
      <w:r w:rsidRPr="00374307">
        <w:t xml:space="preserve">This suggests that fewer patients lost response over the trial period with </w:t>
      </w:r>
      <w:proofErr w:type="spellStart"/>
      <w:r w:rsidRPr="00374307">
        <w:t>esketamine</w:t>
      </w:r>
      <w:proofErr w:type="spellEnd"/>
      <w:r w:rsidRPr="00374307">
        <w:t xml:space="preserve"> nasal spray.</w:t>
      </w:r>
      <w:r>
        <w:t xml:space="preserve"> Similarly, subjects with response in stable responders decreased from 100% in the </w:t>
      </w:r>
      <w:proofErr w:type="spellStart"/>
      <w:r>
        <w:t>esketamine</w:t>
      </w:r>
      <w:proofErr w:type="spellEnd"/>
      <w:r>
        <w:t xml:space="preserve"> nasal spray treatment group and 100% in the intranasal placebo group at baseline to 66.1% and 33.9% of subjects, respectively, at endpoint. Fewer patients lost response over the trial </w:t>
      </w:r>
      <w:proofErr w:type="gramStart"/>
      <w:r>
        <w:t>time period</w:t>
      </w:r>
      <w:proofErr w:type="gramEnd"/>
      <w:r>
        <w:t xml:space="preserve"> when treated with </w:t>
      </w:r>
      <w:proofErr w:type="spellStart"/>
      <w:r>
        <w:t>esketamine</w:t>
      </w:r>
      <w:proofErr w:type="spellEnd"/>
      <w:r>
        <w:t xml:space="preserve"> nasal spray.</w:t>
      </w:r>
    </w:p>
    <w:p w14:paraId="61E0C602" w14:textId="188ECE7C" w:rsidR="00247925" w:rsidRPr="00AE6773" w:rsidRDefault="00A82579" w:rsidP="00A82579">
      <w:pPr>
        <w:pStyle w:val="ExecSumBodyText"/>
      </w:pPr>
      <w:proofErr w:type="spellStart"/>
      <w:r w:rsidRPr="00AE6773">
        <w:t>Esketamine</w:t>
      </w:r>
      <w:proofErr w:type="spellEnd"/>
      <w:r w:rsidRPr="00AE6773">
        <w:t xml:space="preserve"> nasal spray can have dissociative and sedative effects that are difficult to mimic with placebo. To examine the possibility that subjects who were randomised to intranasal placebo and experienced a relapse event were aware of the change in study drug, a post-hoc evaluation of Clinician Administered Dissociative States Scale (CADSS) </w:t>
      </w:r>
      <w:r w:rsidRPr="00AE6773">
        <w:lastRenderedPageBreak/>
        <w:t>and Modified Observer's Assessment of Alertness/Sedation Scale (MOAA/S) total scores over time was</w:t>
      </w:r>
      <w:r w:rsidR="00AE6773">
        <w:t xml:space="preserve"> included in the resubmission</w:t>
      </w:r>
      <w:r w:rsidRPr="00AE6773">
        <w:t xml:space="preserve">. Results for the CADSS during the maintenance phase of SUSTAIN-1 </w:t>
      </w:r>
      <w:r w:rsidR="00AE6773" w:rsidRPr="00AE6773">
        <w:t>suggested</w:t>
      </w:r>
      <w:r w:rsidRPr="00AE6773">
        <w:t xml:space="preserve"> some effect in the </w:t>
      </w:r>
      <w:proofErr w:type="spellStart"/>
      <w:r w:rsidRPr="00AE6773">
        <w:t>esketamine</w:t>
      </w:r>
      <w:proofErr w:type="spellEnd"/>
      <w:r w:rsidRPr="00AE6773">
        <w:t xml:space="preserve"> treatment arm at around 40 minutes post dose, which did not remit over time</w:t>
      </w:r>
      <w:r w:rsidR="00E925CD">
        <w:t xml:space="preserve">. </w:t>
      </w:r>
      <w:r w:rsidR="00E925CD" w:rsidRPr="008656C1">
        <w:t>T</w:t>
      </w:r>
      <w:r w:rsidRPr="008656C1">
        <w:t>his suggests that if this was a noticeable effect patients may have been aware of treatment assignment.</w:t>
      </w:r>
      <w:r w:rsidRPr="00AE6773">
        <w:t xml:space="preserve"> The MOAA/S was used to measure treatment-emergent sedation. In the intranasal </w:t>
      </w:r>
      <w:proofErr w:type="spellStart"/>
      <w:r w:rsidRPr="00AE6773">
        <w:t>esketamine</w:t>
      </w:r>
      <w:proofErr w:type="spellEnd"/>
      <w:r w:rsidRPr="00AE6773">
        <w:t xml:space="preserve"> </w:t>
      </w:r>
      <w:r w:rsidR="00C50DC8">
        <w:t>plus</w:t>
      </w:r>
      <w:r w:rsidRPr="00D60B48">
        <w:t xml:space="preserve"> </w:t>
      </w:r>
      <w:r w:rsidR="00C50DC8">
        <w:t>OAD</w:t>
      </w:r>
      <w:r w:rsidRPr="00AE6773">
        <w:t xml:space="preserve"> group, moderate or greater sedation as assessed using the MOAA/S (score ≤3) was observed in a small percentage of subjects during the open-label induction phase (45 [10.3%] of patients), the optimisation phase (16 [3.5%] of patients) and the maintenance phase (8 [5.3%] of patients), with none of the subjects in the </w:t>
      </w:r>
      <w:r w:rsidR="00C50DC8">
        <w:t>OAD</w:t>
      </w:r>
      <w:r w:rsidRPr="00D60B48">
        <w:t xml:space="preserve"> </w:t>
      </w:r>
      <w:r w:rsidR="00C50DC8">
        <w:t>plus</w:t>
      </w:r>
      <w:r w:rsidRPr="00AE6773">
        <w:t xml:space="preserve"> intranasal placebo group showing moderate or greater sedation. </w:t>
      </w:r>
      <w:r w:rsidRPr="008656C1">
        <w:t xml:space="preserve">Collectively, these results suggest that there may have been noticeable differences between treatment arms in the SUSTAIN-1 trial; </w:t>
      </w:r>
      <w:r w:rsidR="00207B98" w:rsidRPr="008656C1">
        <w:t>the risk of bias of these differences</w:t>
      </w:r>
      <w:r w:rsidRPr="008656C1">
        <w:t xml:space="preserve"> is unclear. </w:t>
      </w:r>
    </w:p>
    <w:p w14:paraId="1452C351" w14:textId="0D19F1B0" w:rsidR="00B60939" w:rsidRPr="00C9624D" w:rsidRDefault="00B60939" w:rsidP="00D86231">
      <w:pPr>
        <w:pStyle w:val="3-SubsectionHeading"/>
      </w:pPr>
      <w:bookmarkStart w:id="27" w:name="_Toc22897642"/>
      <w:bookmarkStart w:id="28" w:name="_Toc103767192"/>
      <w:r w:rsidRPr="00C9624D">
        <w:t>Comparative harms</w:t>
      </w:r>
      <w:bookmarkEnd w:id="27"/>
      <w:bookmarkEnd w:id="28"/>
    </w:p>
    <w:p w14:paraId="5854964A" w14:textId="57668DF8" w:rsidR="0064647E" w:rsidRPr="003F757B" w:rsidRDefault="0064647E" w:rsidP="0064647E">
      <w:pPr>
        <w:pStyle w:val="ExecSumBodyText"/>
      </w:pPr>
      <w:bookmarkStart w:id="29" w:name="_Hlk71561421"/>
      <w:bookmarkStart w:id="30" w:name="_Toc22897643"/>
      <w:r w:rsidRPr="003F757B">
        <w:t xml:space="preserve">A summary of treatment-emergent adverse events from the TRANSFORM trials is presented in </w:t>
      </w:r>
      <w:r w:rsidR="00C50DC8">
        <w:t>the table</w:t>
      </w:r>
      <w:r w:rsidRPr="003F757B">
        <w:t xml:space="preserve"> below.</w:t>
      </w:r>
    </w:p>
    <w:bookmarkEnd w:id="29"/>
    <w:p w14:paraId="40167EC2" w14:textId="3B7E82C6" w:rsidR="0064647E" w:rsidRPr="00D60B48" w:rsidRDefault="0064647E" w:rsidP="00C01E09">
      <w:pPr>
        <w:pStyle w:val="Caption"/>
        <w:keepLines/>
      </w:pPr>
      <w:r w:rsidRPr="00D60B48">
        <w:t xml:space="preserve">Table </w:t>
      </w:r>
      <w:r w:rsidR="002030D0">
        <w:fldChar w:fldCharType="begin"/>
      </w:r>
      <w:r w:rsidR="002030D0">
        <w:instrText xml:space="preserve"> SEQ Table \* ARABIC </w:instrText>
      </w:r>
      <w:r w:rsidR="002030D0">
        <w:fldChar w:fldCharType="separate"/>
      </w:r>
      <w:r w:rsidR="008E3D7A">
        <w:rPr>
          <w:noProof/>
        </w:rPr>
        <w:t>10</w:t>
      </w:r>
      <w:r w:rsidR="002030D0">
        <w:rPr>
          <w:noProof/>
        </w:rPr>
        <w:fldChar w:fldCharType="end"/>
      </w:r>
      <w:r w:rsidRPr="00D60B48">
        <w:t>: Incidence of adverse events in the double-blind induction phase of the TRANSFORM trials (safety analysis set)</w:t>
      </w:r>
    </w:p>
    <w:tbl>
      <w:tblPr>
        <w:tblStyle w:val="LashStyleTable1"/>
        <w:tblW w:w="5000" w:type="pct"/>
        <w:tblLayout w:type="fixed"/>
        <w:tblCellMar>
          <w:left w:w="28" w:type="dxa"/>
          <w:right w:w="28" w:type="dxa"/>
        </w:tblCellMar>
        <w:tblLook w:val="04A0" w:firstRow="1" w:lastRow="0" w:firstColumn="1" w:lastColumn="0" w:noHBand="0" w:noVBand="1"/>
      </w:tblPr>
      <w:tblGrid>
        <w:gridCol w:w="2122"/>
        <w:gridCol w:w="985"/>
        <w:gridCol w:w="985"/>
        <w:gridCol w:w="985"/>
        <w:gridCol w:w="985"/>
        <w:gridCol w:w="985"/>
        <w:gridCol w:w="985"/>
        <w:gridCol w:w="985"/>
      </w:tblGrid>
      <w:tr w:rsidR="0064647E" w:rsidRPr="009C7905" w14:paraId="6BAA4040" w14:textId="77777777" w:rsidTr="00A65564">
        <w:tc>
          <w:tcPr>
            <w:tcW w:w="2122" w:type="dxa"/>
            <w:vMerge w:val="restart"/>
          </w:tcPr>
          <w:p w14:paraId="3A09A534" w14:textId="77777777" w:rsidR="0064647E" w:rsidRPr="009C7905" w:rsidRDefault="0064647E" w:rsidP="00C01E09">
            <w:pPr>
              <w:keepNext/>
              <w:keepLines/>
              <w:jc w:val="left"/>
              <w:rPr>
                <w:rFonts w:ascii="Arial Narrow" w:hAnsi="Arial Narrow" w:cs="Times New Roman"/>
                <w:sz w:val="20"/>
                <w:szCs w:val="22"/>
                <w:lang w:eastAsia="en-US"/>
              </w:rPr>
            </w:pPr>
          </w:p>
        </w:tc>
        <w:tc>
          <w:tcPr>
            <w:tcW w:w="1970" w:type="dxa"/>
            <w:gridSpan w:val="2"/>
            <w:vAlign w:val="center"/>
          </w:tcPr>
          <w:p w14:paraId="1F1395BB" w14:textId="2C5D835E" w:rsidR="0064647E" w:rsidRPr="009C7905" w:rsidRDefault="0064647E" w:rsidP="00C01E09">
            <w:pPr>
              <w:keepNext/>
              <w:keepLines/>
              <w:jc w:val="center"/>
              <w:rPr>
                <w:rFonts w:ascii="Arial Narrow" w:hAnsi="Arial Narrow" w:cs="Times New Roman"/>
                <w:b/>
                <w:bCs/>
                <w:sz w:val="20"/>
                <w:szCs w:val="22"/>
                <w:lang w:eastAsia="en-US"/>
              </w:rPr>
            </w:pPr>
            <w:r w:rsidRPr="009C7905">
              <w:rPr>
                <w:rFonts w:ascii="Arial Narrow" w:hAnsi="Arial Narrow" w:cs="Times New Roman"/>
                <w:b/>
                <w:bCs/>
                <w:sz w:val="20"/>
                <w:szCs w:val="22"/>
                <w:lang w:eastAsia="en-US"/>
              </w:rPr>
              <w:t>TRANSFORM-2</w:t>
            </w:r>
          </w:p>
        </w:tc>
        <w:tc>
          <w:tcPr>
            <w:tcW w:w="1970" w:type="dxa"/>
            <w:gridSpan w:val="2"/>
            <w:vAlign w:val="center"/>
          </w:tcPr>
          <w:p w14:paraId="005E7C91" w14:textId="1FD8B3DA" w:rsidR="006B54CC" w:rsidRPr="00D60B48" w:rsidRDefault="006B54CC" w:rsidP="00C01E09">
            <w:pPr>
              <w:keepNext/>
              <w:keepLines/>
              <w:jc w:val="center"/>
              <w:rPr>
                <w:rFonts w:ascii="Arial Narrow" w:hAnsi="Arial Narrow" w:cs="Times New Roman"/>
                <w:b/>
                <w:bCs/>
                <w:sz w:val="20"/>
                <w:szCs w:val="22"/>
                <w:lang w:eastAsia="en-US"/>
              </w:rPr>
            </w:pPr>
            <w:r w:rsidRPr="00D60B48">
              <w:rPr>
                <w:rFonts w:ascii="Arial Narrow" w:hAnsi="Arial Narrow" w:cs="Times New Roman"/>
                <w:b/>
                <w:bCs/>
                <w:sz w:val="20"/>
                <w:szCs w:val="22"/>
                <w:lang w:eastAsia="en-US"/>
              </w:rPr>
              <w:t>TRANSFORM-3</w:t>
            </w:r>
          </w:p>
        </w:tc>
        <w:tc>
          <w:tcPr>
            <w:tcW w:w="2955" w:type="dxa"/>
            <w:gridSpan w:val="3"/>
            <w:vAlign w:val="center"/>
          </w:tcPr>
          <w:p w14:paraId="4D63F89B" w14:textId="66B2255A" w:rsidR="0064647E" w:rsidRPr="009C7905" w:rsidRDefault="0064647E" w:rsidP="00C01E09">
            <w:pPr>
              <w:keepNext/>
              <w:keepLines/>
              <w:jc w:val="center"/>
              <w:rPr>
                <w:rFonts w:ascii="Arial Narrow" w:hAnsi="Arial Narrow" w:cs="Times New Roman"/>
                <w:b/>
                <w:bCs/>
                <w:sz w:val="20"/>
                <w:szCs w:val="22"/>
                <w:lang w:eastAsia="en-US"/>
              </w:rPr>
            </w:pPr>
            <w:r w:rsidRPr="009C7905">
              <w:rPr>
                <w:rFonts w:ascii="Arial Narrow" w:hAnsi="Arial Narrow" w:cs="Times New Roman"/>
                <w:b/>
                <w:bCs/>
                <w:sz w:val="20"/>
                <w:szCs w:val="22"/>
                <w:lang w:eastAsia="en-US"/>
              </w:rPr>
              <w:t>TRANSFORM-1</w:t>
            </w:r>
          </w:p>
        </w:tc>
      </w:tr>
      <w:tr w:rsidR="0064647E" w:rsidRPr="009C7905" w14:paraId="4E097CD0" w14:textId="77777777" w:rsidTr="006B54CC">
        <w:tc>
          <w:tcPr>
            <w:tcW w:w="2122" w:type="dxa"/>
            <w:vMerge/>
          </w:tcPr>
          <w:p w14:paraId="7D6FC95D" w14:textId="77777777" w:rsidR="0064647E" w:rsidRPr="009C7905" w:rsidRDefault="0064647E" w:rsidP="00C01E09">
            <w:pPr>
              <w:keepNext/>
              <w:keepLines/>
              <w:jc w:val="left"/>
              <w:rPr>
                <w:rFonts w:ascii="Arial Narrow" w:hAnsi="Arial Narrow" w:cs="Times New Roman"/>
                <w:sz w:val="20"/>
                <w:szCs w:val="22"/>
                <w:lang w:eastAsia="en-US"/>
              </w:rPr>
            </w:pPr>
          </w:p>
        </w:tc>
        <w:tc>
          <w:tcPr>
            <w:tcW w:w="985" w:type="dxa"/>
            <w:shd w:val="clear" w:color="auto" w:fill="auto"/>
            <w:vAlign w:val="center"/>
          </w:tcPr>
          <w:p w14:paraId="448CE733" w14:textId="77777777" w:rsidR="0064647E" w:rsidRPr="009C7905" w:rsidRDefault="0064647E" w:rsidP="00C01E09">
            <w:pPr>
              <w:keepNext/>
              <w:keepLines/>
              <w:jc w:val="center"/>
              <w:rPr>
                <w:rFonts w:ascii="Arial Narrow" w:hAnsi="Arial Narrow" w:cs="Times New Roman"/>
                <w:b/>
                <w:bCs/>
                <w:color w:val="2F5496"/>
                <w:sz w:val="20"/>
                <w:szCs w:val="22"/>
                <w:lang w:eastAsia="en-US"/>
              </w:rPr>
            </w:pPr>
            <w:r w:rsidRPr="009C7905">
              <w:rPr>
                <w:rFonts w:ascii="Arial Narrow" w:hAnsi="Arial Narrow" w:cs="Times New Roman"/>
                <w:b/>
                <w:bCs/>
                <w:sz w:val="20"/>
                <w:szCs w:val="22"/>
                <w:lang w:eastAsia="en-US"/>
              </w:rPr>
              <w:t>E</w:t>
            </w:r>
            <w:r w:rsidRPr="009C7905">
              <w:rPr>
                <w:rFonts w:ascii="Arial Narrow" w:hAnsi="Arial Narrow" w:cs="Times New Roman"/>
                <w:b/>
                <w:sz w:val="20"/>
                <w:szCs w:val="22"/>
                <w:lang w:eastAsia="en-US"/>
              </w:rPr>
              <w:t>SK</w:t>
            </w:r>
            <w:r w:rsidRPr="009C7905">
              <w:rPr>
                <w:rFonts w:ascii="Arial Narrow" w:hAnsi="Arial Narrow" w:cs="Times New Roman"/>
                <w:b/>
                <w:bCs/>
                <w:sz w:val="20"/>
                <w:szCs w:val="22"/>
                <w:lang w:eastAsia="en-US"/>
              </w:rPr>
              <w:t xml:space="preserve"> + </w:t>
            </w:r>
            <w:r w:rsidRPr="009C7905">
              <w:rPr>
                <w:rFonts w:ascii="Arial Narrow" w:hAnsi="Arial Narrow" w:cs="Times New Roman"/>
                <w:b/>
                <w:sz w:val="20"/>
                <w:szCs w:val="22"/>
                <w:lang w:eastAsia="en-US"/>
              </w:rPr>
              <w:t>O</w:t>
            </w:r>
            <w:r w:rsidRPr="009C7905">
              <w:rPr>
                <w:rFonts w:ascii="Arial Narrow" w:hAnsi="Arial Narrow" w:cs="Times New Roman"/>
                <w:b/>
                <w:bCs/>
                <w:sz w:val="20"/>
                <w:szCs w:val="22"/>
                <w:lang w:eastAsia="en-US"/>
              </w:rPr>
              <w:t>AD</w:t>
            </w:r>
          </w:p>
          <w:p w14:paraId="6C8E7773"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b/>
                <w:bCs/>
                <w:sz w:val="20"/>
                <w:szCs w:val="22"/>
                <w:lang w:eastAsia="en-US"/>
              </w:rPr>
              <w:t>N = 115</w:t>
            </w:r>
          </w:p>
        </w:tc>
        <w:tc>
          <w:tcPr>
            <w:tcW w:w="985" w:type="dxa"/>
            <w:shd w:val="clear" w:color="auto" w:fill="auto"/>
            <w:vAlign w:val="center"/>
          </w:tcPr>
          <w:p w14:paraId="30897482" w14:textId="77777777" w:rsidR="0064647E" w:rsidRPr="009C7905" w:rsidRDefault="0064647E" w:rsidP="00C01E09">
            <w:pPr>
              <w:keepNext/>
              <w:keepLines/>
              <w:jc w:val="center"/>
              <w:rPr>
                <w:rFonts w:ascii="Arial Narrow" w:hAnsi="Arial Narrow" w:cs="Times New Roman"/>
                <w:b/>
                <w:bCs/>
                <w:color w:val="2F5496"/>
                <w:sz w:val="20"/>
                <w:szCs w:val="22"/>
                <w:lang w:eastAsia="en-US"/>
              </w:rPr>
            </w:pPr>
            <w:r w:rsidRPr="009C7905">
              <w:rPr>
                <w:rFonts w:ascii="Arial Narrow" w:hAnsi="Arial Narrow" w:cs="Times New Roman"/>
                <w:b/>
                <w:sz w:val="20"/>
                <w:szCs w:val="22"/>
                <w:lang w:eastAsia="en-US"/>
              </w:rPr>
              <w:t>PBO</w:t>
            </w:r>
            <w:r w:rsidRPr="009C7905">
              <w:rPr>
                <w:rFonts w:ascii="Arial Narrow" w:hAnsi="Arial Narrow" w:cs="Times New Roman"/>
                <w:b/>
                <w:bCs/>
                <w:sz w:val="20"/>
                <w:szCs w:val="22"/>
                <w:lang w:eastAsia="en-US"/>
              </w:rPr>
              <w:t xml:space="preserve"> + OAD</w:t>
            </w:r>
          </w:p>
          <w:p w14:paraId="24477146"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b/>
                <w:bCs/>
                <w:sz w:val="20"/>
                <w:szCs w:val="22"/>
                <w:lang w:eastAsia="en-US"/>
              </w:rPr>
              <w:t>N = 109</w:t>
            </w:r>
          </w:p>
        </w:tc>
        <w:tc>
          <w:tcPr>
            <w:tcW w:w="985" w:type="dxa"/>
            <w:shd w:val="clear" w:color="auto" w:fill="auto"/>
            <w:vAlign w:val="center"/>
          </w:tcPr>
          <w:p w14:paraId="45DE9418" w14:textId="77777777" w:rsidR="005F2571" w:rsidRPr="00D60B48" w:rsidRDefault="005F2571" w:rsidP="00C01E09">
            <w:pPr>
              <w:keepNext/>
              <w:keepLines/>
              <w:jc w:val="center"/>
              <w:rPr>
                <w:rFonts w:ascii="Arial Narrow" w:hAnsi="Arial Narrow" w:cs="Times New Roman"/>
                <w:b/>
                <w:bCs/>
                <w:color w:val="2F5496"/>
                <w:sz w:val="20"/>
                <w:szCs w:val="22"/>
                <w:lang w:eastAsia="en-US"/>
              </w:rPr>
            </w:pPr>
            <w:r w:rsidRPr="00D60B48">
              <w:rPr>
                <w:rFonts w:ascii="Arial Narrow" w:hAnsi="Arial Narrow" w:cs="Times New Roman"/>
                <w:b/>
                <w:bCs/>
                <w:sz w:val="20"/>
                <w:szCs w:val="22"/>
                <w:lang w:eastAsia="en-US"/>
              </w:rPr>
              <w:t>E</w:t>
            </w:r>
            <w:r w:rsidRPr="00D60B48">
              <w:rPr>
                <w:rFonts w:ascii="Arial Narrow" w:hAnsi="Arial Narrow" w:cs="Times New Roman"/>
                <w:b/>
                <w:sz w:val="20"/>
                <w:szCs w:val="22"/>
                <w:lang w:eastAsia="en-US"/>
              </w:rPr>
              <w:t>SK</w:t>
            </w:r>
            <w:r w:rsidRPr="00D60B48">
              <w:rPr>
                <w:rFonts w:ascii="Arial Narrow" w:hAnsi="Arial Narrow" w:cs="Times New Roman"/>
                <w:b/>
                <w:bCs/>
                <w:sz w:val="20"/>
                <w:szCs w:val="22"/>
                <w:lang w:eastAsia="en-US"/>
              </w:rPr>
              <w:t xml:space="preserve"> + </w:t>
            </w:r>
            <w:r w:rsidRPr="00D60B48">
              <w:rPr>
                <w:rFonts w:ascii="Arial Narrow" w:hAnsi="Arial Narrow" w:cs="Times New Roman"/>
                <w:b/>
                <w:sz w:val="20"/>
                <w:szCs w:val="22"/>
                <w:lang w:eastAsia="en-US"/>
              </w:rPr>
              <w:t>O</w:t>
            </w:r>
            <w:r w:rsidRPr="00D60B48">
              <w:rPr>
                <w:rFonts w:ascii="Arial Narrow" w:hAnsi="Arial Narrow" w:cs="Times New Roman"/>
                <w:b/>
                <w:bCs/>
                <w:sz w:val="20"/>
                <w:szCs w:val="22"/>
                <w:lang w:eastAsia="en-US"/>
              </w:rPr>
              <w:t>AD</w:t>
            </w:r>
          </w:p>
          <w:p w14:paraId="3E557D92" w14:textId="06E4252E" w:rsidR="005F2571" w:rsidRPr="00D60B48" w:rsidRDefault="005F2571" w:rsidP="00C01E09">
            <w:pPr>
              <w:keepNext/>
              <w:keepLines/>
              <w:jc w:val="center"/>
              <w:rPr>
                <w:rFonts w:ascii="Arial Narrow" w:hAnsi="Arial Narrow" w:cs="Times New Roman"/>
                <w:b/>
                <w:bCs/>
                <w:sz w:val="20"/>
                <w:szCs w:val="22"/>
                <w:lang w:eastAsia="en-US"/>
              </w:rPr>
            </w:pPr>
            <w:r w:rsidRPr="00D60B48">
              <w:rPr>
                <w:rFonts w:ascii="Arial Narrow" w:hAnsi="Arial Narrow" w:cs="Times New Roman"/>
                <w:b/>
                <w:bCs/>
                <w:sz w:val="20"/>
                <w:szCs w:val="22"/>
                <w:lang w:eastAsia="en-US"/>
              </w:rPr>
              <w:t>N = 72</w:t>
            </w:r>
          </w:p>
        </w:tc>
        <w:tc>
          <w:tcPr>
            <w:tcW w:w="985" w:type="dxa"/>
            <w:shd w:val="clear" w:color="auto" w:fill="auto"/>
            <w:vAlign w:val="center"/>
          </w:tcPr>
          <w:p w14:paraId="7972FB9F" w14:textId="77777777" w:rsidR="005F2571" w:rsidRPr="00D60B48" w:rsidRDefault="005F2571" w:rsidP="00C01E09">
            <w:pPr>
              <w:keepNext/>
              <w:keepLines/>
              <w:jc w:val="center"/>
              <w:rPr>
                <w:rFonts w:ascii="Arial Narrow" w:hAnsi="Arial Narrow" w:cs="Times New Roman"/>
                <w:b/>
                <w:bCs/>
                <w:color w:val="2F5496"/>
                <w:sz w:val="20"/>
                <w:szCs w:val="22"/>
                <w:lang w:eastAsia="en-US"/>
              </w:rPr>
            </w:pPr>
            <w:r w:rsidRPr="00D60B48">
              <w:rPr>
                <w:rFonts w:ascii="Arial Narrow" w:hAnsi="Arial Narrow" w:cs="Times New Roman"/>
                <w:b/>
                <w:sz w:val="20"/>
                <w:szCs w:val="22"/>
                <w:lang w:eastAsia="en-US"/>
              </w:rPr>
              <w:t>PBO</w:t>
            </w:r>
            <w:r w:rsidRPr="00D60B48">
              <w:rPr>
                <w:rFonts w:ascii="Arial Narrow" w:hAnsi="Arial Narrow" w:cs="Times New Roman"/>
                <w:b/>
                <w:bCs/>
                <w:sz w:val="20"/>
                <w:szCs w:val="22"/>
                <w:lang w:eastAsia="en-US"/>
              </w:rPr>
              <w:t xml:space="preserve"> + OAD</w:t>
            </w:r>
          </w:p>
          <w:p w14:paraId="70BF10D8" w14:textId="4B2BFF84" w:rsidR="005F2571" w:rsidRPr="00D60B48" w:rsidRDefault="005F2571" w:rsidP="00C01E09">
            <w:pPr>
              <w:keepNext/>
              <w:keepLines/>
              <w:jc w:val="center"/>
              <w:rPr>
                <w:rFonts w:ascii="Arial Narrow" w:hAnsi="Arial Narrow" w:cs="Times New Roman"/>
                <w:b/>
                <w:sz w:val="20"/>
                <w:szCs w:val="22"/>
                <w:lang w:eastAsia="en-US"/>
              </w:rPr>
            </w:pPr>
            <w:r w:rsidRPr="00D60B48">
              <w:rPr>
                <w:rFonts w:ascii="Arial Narrow" w:hAnsi="Arial Narrow" w:cs="Times New Roman"/>
                <w:b/>
                <w:bCs/>
                <w:sz w:val="20"/>
                <w:szCs w:val="22"/>
                <w:lang w:eastAsia="en-US"/>
              </w:rPr>
              <w:t>N = 65</w:t>
            </w:r>
          </w:p>
        </w:tc>
        <w:tc>
          <w:tcPr>
            <w:tcW w:w="985" w:type="dxa"/>
            <w:shd w:val="clear" w:color="auto" w:fill="auto"/>
            <w:vAlign w:val="center"/>
          </w:tcPr>
          <w:p w14:paraId="63D1604C" w14:textId="1776A99C" w:rsidR="0064647E" w:rsidRPr="009C7905" w:rsidRDefault="0064647E" w:rsidP="00C01E09">
            <w:pPr>
              <w:keepNext/>
              <w:keepLines/>
              <w:jc w:val="center"/>
              <w:rPr>
                <w:rFonts w:ascii="Arial Narrow" w:hAnsi="Arial Narrow" w:cs="Times New Roman"/>
                <w:b/>
                <w:bCs/>
                <w:color w:val="2F5496"/>
                <w:sz w:val="20"/>
                <w:szCs w:val="22"/>
                <w:lang w:eastAsia="en-US"/>
              </w:rPr>
            </w:pPr>
            <w:r w:rsidRPr="009C7905">
              <w:rPr>
                <w:rFonts w:ascii="Arial Narrow" w:hAnsi="Arial Narrow" w:cs="Times New Roman"/>
                <w:b/>
                <w:bCs/>
                <w:sz w:val="20"/>
                <w:szCs w:val="22"/>
                <w:lang w:eastAsia="en-US"/>
              </w:rPr>
              <w:t>E</w:t>
            </w:r>
            <w:r w:rsidRPr="009C7905">
              <w:rPr>
                <w:rFonts w:ascii="Arial Narrow" w:hAnsi="Arial Narrow" w:cs="Times New Roman"/>
                <w:b/>
                <w:sz w:val="20"/>
                <w:szCs w:val="22"/>
                <w:lang w:eastAsia="en-US"/>
              </w:rPr>
              <w:t>SK</w:t>
            </w:r>
            <w:r w:rsidRPr="009C7905">
              <w:rPr>
                <w:rFonts w:ascii="Arial Narrow" w:hAnsi="Arial Narrow" w:cs="Times New Roman"/>
                <w:b/>
                <w:bCs/>
                <w:sz w:val="20"/>
                <w:szCs w:val="22"/>
                <w:lang w:eastAsia="en-US"/>
              </w:rPr>
              <w:t xml:space="preserve"> 56 mg + OAD</w:t>
            </w:r>
          </w:p>
          <w:p w14:paraId="72682397"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b/>
                <w:bCs/>
                <w:sz w:val="20"/>
                <w:szCs w:val="22"/>
                <w:lang w:eastAsia="en-US"/>
              </w:rPr>
              <w:t>N = 115</w:t>
            </w:r>
          </w:p>
        </w:tc>
        <w:tc>
          <w:tcPr>
            <w:tcW w:w="985" w:type="dxa"/>
            <w:shd w:val="clear" w:color="auto" w:fill="auto"/>
            <w:vAlign w:val="center"/>
          </w:tcPr>
          <w:p w14:paraId="202A4BD9" w14:textId="77777777" w:rsidR="0064647E" w:rsidRPr="009C7905" w:rsidRDefault="0064647E" w:rsidP="00C01E09">
            <w:pPr>
              <w:keepNext/>
              <w:keepLines/>
              <w:jc w:val="center"/>
              <w:rPr>
                <w:rFonts w:ascii="Arial Narrow" w:hAnsi="Arial Narrow" w:cs="Times New Roman"/>
                <w:b/>
                <w:bCs/>
                <w:color w:val="2F5496"/>
                <w:sz w:val="20"/>
                <w:szCs w:val="22"/>
                <w:lang w:eastAsia="en-US"/>
              </w:rPr>
            </w:pPr>
            <w:r w:rsidRPr="009C7905">
              <w:rPr>
                <w:rFonts w:ascii="Arial Narrow" w:hAnsi="Arial Narrow" w:cs="Times New Roman"/>
                <w:b/>
                <w:bCs/>
                <w:sz w:val="20"/>
                <w:szCs w:val="22"/>
                <w:lang w:eastAsia="en-US"/>
              </w:rPr>
              <w:t>E</w:t>
            </w:r>
            <w:r w:rsidRPr="009C7905">
              <w:rPr>
                <w:rFonts w:ascii="Arial Narrow" w:hAnsi="Arial Narrow" w:cs="Times New Roman"/>
                <w:b/>
                <w:sz w:val="20"/>
                <w:szCs w:val="22"/>
                <w:lang w:eastAsia="en-US"/>
              </w:rPr>
              <w:t>SK</w:t>
            </w:r>
            <w:r w:rsidRPr="009C7905">
              <w:rPr>
                <w:rFonts w:ascii="Arial Narrow" w:hAnsi="Arial Narrow" w:cs="Times New Roman"/>
                <w:b/>
                <w:bCs/>
                <w:sz w:val="20"/>
                <w:szCs w:val="22"/>
                <w:lang w:eastAsia="en-US"/>
              </w:rPr>
              <w:t xml:space="preserve"> 84 mg + OAD</w:t>
            </w:r>
          </w:p>
          <w:p w14:paraId="11AC7E34"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b/>
                <w:bCs/>
                <w:sz w:val="20"/>
                <w:szCs w:val="22"/>
                <w:lang w:eastAsia="en-US"/>
              </w:rPr>
              <w:t>N = 116</w:t>
            </w:r>
          </w:p>
        </w:tc>
        <w:tc>
          <w:tcPr>
            <w:tcW w:w="985" w:type="dxa"/>
            <w:shd w:val="clear" w:color="auto" w:fill="auto"/>
            <w:vAlign w:val="center"/>
          </w:tcPr>
          <w:p w14:paraId="2172577A" w14:textId="77777777" w:rsidR="0064647E" w:rsidRPr="009C7905" w:rsidRDefault="0064647E" w:rsidP="00C01E09">
            <w:pPr>
              <w:keepNext/>
              <w:keepLines/>
              <w:jc w:val="center"/>
              <w:rPr>
                <w:rFonts w:ascii="Arial Narrow" w:hAnsi="Arial Narrow" w:cs="Times New Roman"/>
                <w:b/>
                <w:bCs/>
                <w:color w:val="2F5496"/>
                <w:sz w:val="20"/>
                <w:szCs w:val="22"/>
                <w:lang w:eastAsia="en-US"/>
              </w:rPr>
            </w:pPr>
            <w:r w:rsidRPr="009C7905">
              <w:rPr>
                <w:rFonts w:ascii="Arial Narrow" w:hAnsi="Arial Narrow" w:cs="Times New Roman"/>
                <w:b/>
                <w:bCs/>
                <w:sz w:val="20"/>
                <w:szCs w:val="22"/>
                <w:lang w:eastAsia="en-US"/>
              </w:rPr>
              <w:t>P</w:t>
            </w:r>
            <w:r w:rsidRPr="009C7905">
              <w:rPr>
                <w:rFonts w:ascii="Arial Narrow" w:hAnsi="Arial Narrow" w:cs="Times New Roman"/>
                <w:b/>
                <w:sz w:val="20"/>
                <w:szCs w:val="22"/>
                <w:lang w:eastAsia="en-US"/>
              </w:rPr>
              <w:t>BO</w:t>
            </w:r>
            <w:r w:rsidRPr="009C7905">
              <w:rPr>
                <w:rFonts w:ascii="Arial Narrow" w:hAnsi="Arial Narrow" w:cs="Times New Roman"/>
                <w:b/>
                <w:bCs/>
                <w:sz w:val="20"/>
                <w:szCs w:val="22"/>
                <w:lang w:eastAsia="en-US"/>
              </w:rPr>
              <w:t xml:space="preserve"> + OAD</w:t>
            </w:r>
          </w:p>
          <w:p w14:paraId="3A929AD8"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b/>
                <w:bCs/>
                <w:sz w:val="20"/>
                <w:szCs w:val="22"/>
                <w:lang w:eastAsia="en-US"/>
              </w:rPr>
              <w:t>N = 113</w:t>
            </w:r>
          </w:p>
        </w:tc>
      </w:tr>
      <w:tr w:rsidR="0064647E" w:rsidRPr="009C7905" w14:paraId="51F708CD" w14:textId="77777777" w:rsidTr="006B54CC">
        <w:tc>
          <w:tcPr>
            <w:tcW w:w="2122" w:type="dxa"/>
            <w:vAlign w:val="center"/>
          </w:tcPr>
          <w:p w14:paraId="5D060A82" w14:textId="77777777" w:rsidR="0064647E" w:rsidRPr="009C7905" w:rsidRDefault="0064647E" w:rsidP="00C01E09">
            <w:pPr>
              <w:keepNext/>
              <w:keepLines/>
              <w:jc w:val="left"/>
              <w:rPr>
                <w:rFonts w:ascii="Arial Narrow" w:hAnsi="Arial Narrow" w:cs="Times New Roman"/>
                <w:sz w:val="20"/>
                <w:szCs w:val="22"/>
                <w:lang w:eastAsia="en-US"/>
              </w:rPr>
            </w:pPr>
            <w:r w:rsidRPr="009C7905">
              <w:rPr>
                <w:rFonts w:ascii="Arial Narrow" w:hAnsi="Arial Narrow" w:cs="Times New Roman"/>
                <w:sz w:val="20"/>
                <w:szCs w:val="22"/>
                <w:lang w:eastAsia="en-US"/>
              </w:rPr>
              <w:t>TEAE</w:t>
            </w:r>
          </w:p>
        </w:tc>
        <w:tc>
          <w:tcPr>
            <w:tcW w:w="985" w:type="dxa"/>
            <w:vAlign w:val="center"/>
          </w:tcPr>
          <w:p w14:paraId="4BCDF9FD"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98 (85.2)</w:t>
            </w:r>
          </w:p>
        </w:tc>
        <w:tc>
          <w:tcPr>
            <w:tcW w:w="985" w:type="dxa"/>
            <w:vAlign w:val="center"/>
          </w:tcPr>
          <w:p w14:paraId="37FC33CE"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90 (78.3)</w:t>
            </w:r>
          </w:p>
        </w:tc>
        <w:tc>
          <w:tcPr>
            <w:tcW w:w="985" w:type="dxa"/>
            <w:vAlign w:val="center"/>
          </w:tcPr>
          <w:p w14:paraId="04DD508A" w14:textId="71F6556C"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51 (70.8)</w:t>
            </w:r>
          </w:p>
        </w:tc>
        <w:tc>
          <w:tcPr>
            <w:tcW w:w="985" w:type="dxa"/>
            <w:vAlign w:val="center"/>
          </w:tcPr>
          <w:p w14:paraId="39676FF6" w14:textId="123814B6"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39 (60.0)</w:t>
            </w:r>
          </w:p>
        </w:tc>
        <w:tc>
          <w:tcPr>
            <w:tcW w:w="985" w:type="dxa"/>
            <w:vAlign w:val="center"/>
          </w:tcPr>
          <w:p w14:paraId="615C37F5" w14:textId="36AC2391"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100 (87.0)</w:t>
            </w:r>
          </w:p>
        </w:tc>
        <w:tc>
          <w:tcPr>
            <w:tcW w:w="985" w:type="dxa"/>
            <w:vAlign w:val="center"/>
          </w:tcPr>
          <w:p w14:paraId="29DB8ED7"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103 (88.8)</w:t>
            </w:r>
          </w:p>
        </w:tc>
        <w:tc>
          <w:tcPr>
            <w:tcW w:w="985" w:type="dxa"/>
            <w:vAlign w:val="center"/>
          </w:tcPr>
          <w:p w14:paraId="6703A9F7"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77 (68.1)</w:t>
            </w:r>
          </w:p>
        </w:tc>
      </w:tr>
      <w:tr w:rsidR="0064647E" w:rsidRPr="009C7905" w14:paraId="64BF1AD7" w14:textId="77777777" w:rsidTr="006B54CC">
        <w:tc>
          <w:tcPr>
            <w:tcW w:w="2122" w:type="dxa"/>
            <w:vAlign w:val="center"/>
          </w:tcPr>
          <w:p w14:paraId="0D19803C" w14:textId="77777777" w:rsidR="0064647E" w:rsidRPr="009C7905" w:rsidRDefault="0064647E" w:rsidP="00C01E09">
            <w:pPr>
              <w:keepNext/>
              <w:keepLines/>
              <w:jc w:val="left"/>
              <w:rPr>
                <w:rFonts w:ascii="Arial Narrow" w:hAnsi="Arial Narrow" w:cs="Times New Roman"/>
                <w:sz w:val="20"/>
                <w:szCs w:val="22"/>
                <w:lang w:eastAsia="en-US"/>
              </w:rPr>
            </w:pPr>
            <w:r w:rsidRPr="009C7905">
              <w:rPr>
                <w:rFonts w:ascii="Arial Narrow" w:hAnsi="Arial Narrow" w:cs="Times New Roman"/>
                <w:sz w:val="20"/>
                <w:szCs w:val="22"/>
                <w:lang w:eastAsia="en-US"/>
              </w:rPr>
              <w:t xml:space="preserve">TEAE possibly related to intranasal drug </w:t>
            </w:r>
            <w:r w:rsidRPr="009C7905">
              <w:rPr>
                <w:rFonts w:ascii="Arial Narrow" w:hAnsi="Arial Narrow" w:cs="Times New Roman"/>
                <w:sz w:val="20"/>
                <w:szCs w:val="22"/>
                <w:vertAlign w:val="superscript"/>
                <w:lang w:eastAsia="en-US"/>
              </w:rPr>
              <w:t>a</w:t>
            </w:r>
          </w:p>
        </w:tc>
        <w:tc>
          <w:tcPr>
            <w:tcW w:w="985" w:type="dxa"/>
            <w:vAlign w:val="center"/>
          </w:tcPr>
          <w:p w14:paraId="26593685"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90 (78.3)</w:t>
            </w:r>
          </w:p>
        </w:tc>
        <w:tc>
          <w:tcPr>
            <w:tcW w:w="985" w:type="dxa"/>
            <w:vAlign w:val="center"/>
          </w:tcPr>
          <w:p w14:paraId="478D530C"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39 (35.8)</w:t>
            </w:r>
          </w:p>
        </w:tc>
        <w:tc>
          <w:tcPr>
            <w:tcW w:w="985" w:type="dxa"/>
            <w:vAlign w:val="center"/>
          </w:tcPr>
          <w:p w14:paraId="2C2B50F1" w14:textId="0C7F42FE"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42 (58.3)</w:t>
            </w:r>
          </w:p>
        </w:tc>
        <w:tc>
          <w:tcPr>
            <w:tcW w:w="985" w:type="dxa"/>
            <w:vAlign w:val="center"/>
          </w:tcPr>
          <w:p w14:paraId="14CCF290" w14:textId="0939B895"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22 (33.8)</w:t>
            </w:r>
          </w:p>
        </w:tc>
        <w:tc>
          <w:tcPr>
            <w:tcW w:w="985" w:type="dxa"/>
            <w:vAlign w:val="center"/>
          </w:tcPr>
          <w:p w14:paraId="13B7DF2F" w14:textId="70F96F2F"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89 (77.4)</w:t>
            </w:r>
          </w:p>
        </w:tc>
        <w:tc>
          <w:tcPr>
            <w:tcW w:w="985" w:type="dxa"/>
            <w:vAlign w:val="center"/>
          </w:tcPr>
          <w:p w14:paraId="0FF9D02A"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92 (79.3)</w:t>
            </w:r>
          </w:p>
        </w:tc>
        <w:tc>
          <w:tcPr>
            <w:tcW w:w="985" w:type="dxa"/>
            <w:vAlign w:val="center"/>
          </w:tcPr>
          <w:p w14:paraId="7DB396AC"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54 (47.8)</w:t>
            </w:r>
          </w:p>
        </w:tc>
      </w:tr>
      <w:tr w:rsidR="0064647E" w:rsidRPr="009C7905" w14:paraId="0E606EBB" w14:textId="77777777" w:rsidTr="006B54CC">
        <w:tc>
          <w:tcPr>
            <w:tcW w:w="2122" w:type="dxa"/>
            <w:vAlign w:val="center"/>
          </w:tcPr>
          <w:p w14:paraId="1275873F" w14:textId="1CAA8B0D" w:rsidR="0064647E" w:rsidRPr="009C7905" w:rsidRDefault="0064647E" w:rsidP="00C01E09">
            <w:pPr>
              <w:keepNext/>
              <w:keepLines/>
              <w:jc w:val="left"/>
              <w:rPr>
                <w:rFonts w:ascii="Arial Narrow" w:hAnsi="Arial Narrow" w:cs="Times New Roman"/>
                <w:sz w:val="20"/>
                <w:szCs w:val="22"/>
                <w:lang w:eastAsia="en-US"/>
              </w:rPr>
            </w:pPr>
            <w:r w:rsidRPr="009C7905">
              <w:rPr>
                <w:rFonts w:ascii="Arial Narrow" w:hAnsi="Arial Narrow" w:cs="Times New Roman"/>
                <w:sz w:val="20"/>
                <w:szCs w:val="22"/>
                <w:lang w:eastAsia="en-US"/>
              </w:rPr>
              <w:t xml:space="preserve">TEAE possibly related to </w:t>
            </w:r>
            <w:r w:rsidR="00C50DC8">
              <w:rPr>
                <w:rFonts w:ascii="Arial Narrow" w:hAnsi="Arial Narrow" w:cs="Times New Roman"/>
                <w:sz w:val="20"/>
                <w:szCs w:val="22"/>
                <w:lang w:eastAsia="en-US"/>
              </w:rPr>
              <w:t>OAD</w:t>
            </w:r>
            <w:r w:rsidRPr="009C7905">
              <w:rPr>
                <w:rFonts w:ascii="Arial Narrow" w:hAnsi="Arial Narrow" w:cs="Times New Roman"/>
                <w:sz w:val="20"/>
                <w:szCs w:val="22"/>
                <w:lang w:eastAsia="en-US"/>
              </w:rPr>
              <w:t xml:space="preserve"> </w:t>
            </w:r>
            <w:r w:rsidRPr="009C7905">
              <w:rPr>
                <w:rFonts w:ascii="Arial Narrow" w:hAnsi="Arial Narrow" w:cs="Times New Roman"/>
                <w:sz w:val="20"/>
                <w:szCs w:val="22"/>
                <w:vertAlign w:val="superscript"/>
                <w:lang w:eastAsia="en-US"/>
              </w:rPr>
              <w:t>a</w:t>
            </w:r>
          </w:p>
        </w:tc>
        <w:tc>
          <w:tcPr>
            <w:tcW w:w="985" w:type="dxa"/>
            <w:vAlign w:val="center"/>
          </w:tcPr>
          <w:p w14:paraId="41D226E5"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39 (33.9)</w:t>
            </w:r>
          </w:p>
        </w:tc>
        <w:tc>
          <w:tcPr>
            <w:tcW w:w="985" w:type="dxa"/>
            <w:vAlign w:val="center"/>
          </w:tcPr>
          <w:p w14:paraId="362B0312"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26 (23.9)</w:t>
            </w:r>
          </w:p>
        </w:tc>
        <w:tc>
          <w:tcPr>
            <w:tcW w:w="985" w:type="dxa"/>
            <w:vAlign w:val="center"/>
          </w:tcPr>
          <w:p w14:paraId="6586B2C1" w14:textId="066AE959"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13 (18.1)</w:t>
            </w:r>
          </w:p>
        </w:tc>
        <w:tc>
          <w:tcPr>
            <w:tcW w:w="985" w:type="dxa"/>
            <w:vAlign w:val="center"/>
          </w:tcPr>
          <w:p w14:paraId="7B849497" w14:textId="4E86BE2B"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11 (16.9)</w:t>
            </w:r>
          </w:p>
        </w:tc>
        <w:tc>
          <w:tcPr>
            <w:tcW w:w="985" w:type="dxa"/>
            <w:vAlign w:val="center"/>
          </w:tcPr>
          <w:p w14:paraId="2B21A840" w14:textId="1E816830"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44 (38.3)</w:t>
            </w:r>
          </w:p>
        </w:tc>
        <w:tc>
          <w:tcPr>
            <w:tcW w:w="985" w:type="dxa"/>
            <w:vAlign w:val="center"/>
          </w:tcPr>
          <w:p w14:paraId="45406981"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43 (37.1)</w:t>
            </w:r>
          </w:p>
        </w:tc>
        <w:tc>
          <w:tcPr>
            <w:tcW w:w="985" w:type="dxa"/>
            <w:vAlign w:val="center"/>
          </w:tcPr>
          <w:p w14:paraId="531C53ED"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34 (30.1)</w:t>
            </w:r>
          </w:p>
        </w:tc>
      </w:tr>
      <w:tr w:rsidR="0064647E" w:rsidRPr="009C7905" w14:paraId="4F6D013E" w14:textId="77777777" w:rsidTr="006B54CC">
        <w:tc>
          <w:tcPr>
            <w:tcW w:w="2122" w:type="dxa"/>
            <w:vAlign w:val="center"/>
          </w:tcPr>
          <w:p w14:paraId="2484A239" w14:textId="77777777" w:rsidR="0064647E" w:rsidRPr="009C7905" w:rsidRDefault="0064647E" w:rsidP="00C01E09">
            <w:pPr>
              <w:keepNext/>
              <w:keepLines/>
              <w:jc w:val="left"/>
              <w:rPr>
                <w:rFonts w:ascii="Arial Narrow" w:hAnsi="Arial Narrow" w:cs="Times New Roman"/>
                <w:sz w:val="20"/>
                <w:szCs w:val="22"/>
                <w:lang w:eastAsia="en-US"/>
              </w:rPr>
            </w:pPr>
            <w:r w:rsidRPr="009C7905">
              <w:rPr>
                <w:rFonts w:ascii="Arial Narrow" w:hAnsi="Arial Narrow" w:cs="Times New Roman"/>
                <w:sz w:val="20"/>
                <w:szCs w:val="22"/>
                <w:lang w:eastAsia="en-US"/>
              </w:rPr>
              <w:t>TEAE leading to death</w:t>
            </w:r>
          </w:p>
        </w:tc>
        <w:tc>
          <w:tcPr>
            <w:tcW w:w="985" w:type="dxa"/>
            <w:vAlign w:val="center"/>
          </w:tcPr>
          <w:p w14:paraId="0F503795"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1 (0.9)</w:t>
            </w:r>
          </w:p>
        </w:tc>
        <w:tc>
          <w:tcPr>
            <w:tcW w:w="985" w:type="dxa"/>
            <w:vAlign w:val="center"/>
          </w:tcPr>
          <w:p w14:paraId="1370FE90"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0</w:t>
            </w:r>
          </w:p>
        </w:tc>
        <w:tc>
          <w:tcPr>
            <w:tcW w:w="985" w:type="dxa"/>
            <w:vAlign w:val="center"/>
          </w:tcPr>
          <w:p w14:paraId="3080AE3B" w14:textId="223A525D"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0</w:t>
            </w:r>
          </w:p>
        </w:tc>
        <w:tc>
          <w:tcPr>
            <w:tcW w:w="985" w:type="dxa"/>
            <w:vAlign w:val="center"/>
          </w:tcPr>
          <w:p w14:paraId="53A8E759" w14:textId="32766BFD"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0</w:t>
            </w:r>
          </w:p>
        </w:tc>
        <w:tc>
          <w:tcPr>
            <w:tcW w:w="985" w:type="dxa"/>
            <w:vAlign w:val="center"/>
          </w:tcPr>
          <w:p w14:paraId="70E28CF6" w14:textId="3A1E1E64"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0</w:t>
            </w:r>
          </w:p>
        </w:tc>
        <w:tc>
          <w:tcPr>
            <w:tcW w:w="985" w:type="dxa"/>
            <w:vAlign w:val="center"/>
          </w:tcPr>
          <w:p w14:paraId="3E46B17A"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0</w:t>
            </w:r>
          </w:p>
        </w:tc>
        <w:tc>
          <w:tcPr>
            <w:tcW w:w="985" w:type="dxa"/>
            <w:vAlign w:val="center"/>
          </w:tcPr>
          <w:p w14:paraId="391375C1"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0</w:t>
            </w:r>
          </w:p>
        </w:tc>
      </w:tr>
      <w:tr w:rsidR="0064647E" w:rsidRPr="009C7905" w14:paraId="6327D6B3" w14:textId="77777777" w:rsidTr="006B54CC">
        <w:tc>
          <w:tcPr>
            <w:tcW w:w="2122" w:type="dxa"/>
            <w:vAlign w:val="center"/>
          </w:tcPr>
          <w:p w14:paraId="23D596A5" w14:textId="77777777" w:rsidR="0064647E" w:rsidRPr="009C7905" w:rsidRDefault="0064647E" w:rsidP="00C01E09">
            <w:pPr>
              <w:keepNext/>
              <w:keepLines/>
              <w:jc w:val="left"/>
              <w:rPr>
                <w:rFonts w:ascii="Arial Narrow" w:hAnsi="Arial Narrow" w:cs="Times New Roman"/>
                <w:sz w:val="20"/>
                <w:szCs w:val="22"/>
                <w:lang w:eastAsia="en-US"/>
              </w:rPr>
            </w:pPr>
            <w:r w:rsidRPr="009C7905">
              <w:rPr>
                <w:rFonts w:ascii="Arial Narrow" w:hAnsi="Arial Narrow" w:cs="Times New Roman"/>
                <w:sz w:val="20"/>
                <w:szCs w:val="22"/>
                <w:lang w:eastAsia="en-US"/>
              </w:rPr>
              <w:t>1 or more serious TEAE</w:t>
            </w:r>
          </w:p>
        </w:tc>
        <w:tc>
          <w:tcPr>
            <w:tcW w:w="985" w:type="dxa"/>
            <w:vAlign w:val="center"/>
          </w:tcPr>
          <w:p w14:paraId="5400F9BA"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1 (0.9)</w:t>
            </w:r>
          </w:p>
        </w:tc>
        <w:tc>
          <w:tcPr>
            <w:tcW w:w="985" w:type="dxa"/>
            <w:vAlign w:val="center"/>
          </w:tcPr>
          <w:p w14:paraId="447940D7"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1 (0.9)</w:t>
            </w:r>
          </w:p>
        </w:tc>
        <w:tc>
          <w:tcPr>
            <w:tcW w:w="985" w:type="dxa"/>
            <w:vAlign w:val="center"/>
          </w:tcPr>
          <w:p w14:paraId="04A72038" w14:textId="04199737"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3 (4.2)</w:t>
            </w:r>
          </w:p>
        </w:tc>
        <w:tc>
          <w:tcPr>
            <w:tcW w:w="985" w:type="dxa"/>
            <w:vAlign w:val="center"/>
          </w:tcPr>
          <w:p w14:paraId="1A8BBBB8" w14:textId="64CAC556"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2 (3.1)</w:t>
            </w:r>
          </w:p>
        </w:tc>
        <w:tc>
          <w:tcPr>
            <w:tcW w:w="985" w:type="dxa"/>
            <w:vAlign w:val="center"/>
          </w:tcPr>
          <w:p w14:paraId="7AB96400" w14:textId="5726C02B"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2 (1.7)</w:t>
            </w:r>
          </w:p>
        </w:tc>
        <w:tc>
          <w:tcPr>
            <w:tcW w:w="985" w:type="dxa"/>
            <w:vAlign w:val="center"/>
          </w:tcPr>
          <w:p w14:paraId="353E436B"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0</w:t>
            </w:r>
          </w:p>
        </w:tc>
        <w:tc>
          <w:tcPr>
            <w:tcW w:w="985" w:type="dxa"/>
            <w:vAlign w:val="center"/>
          </w:tcPr>
          <w:p w14:paraId="30AD3D9C"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0</w:t>
            </w:r>
          </w:p>
        </w:tc>
      </w:tr>
      <w:tr w:rsidR="0064647E" w:rsidRPr="009C7905" w14:paraId="084FC556" w14:textId="77777777" w:rsidTr="006B54CC">
        <w:tc>
          <w:tcPr>
            <w:tcW w:w="2122" w:type="dxa"/>
            <w:vAlign w:val="center"/>
          </w:tcPr>
          <w:p w14:paraId="0A647104" w14:textId="77777777" w:rsidR="0064647E" w:rsidRPr="009C7905" w:rsidRDefault="0064647E" w:rsidP="00C01E09">
            <w:pPr>
              <w:keepNext/>
              <w:keepLines/>
              <w:jc w:val="left"/>
              <w:rPr>
                <w:rFonts w:ascii="Arial Narrow" w:hAnsi="Arial Narrow" w:cs="Times New Roman"/>
                <w:sz w:val="20"/>
                <w:szCs w:val="22"/>
                <w:lang w:eastAsia="en-US"/>
              </w:rPr>
            </w:pPr>
            <w:r w:rsidRPr="009C7905">
              <w:rPr>
                <w:rFonts w:ascii="Arial Narrow" w:hAnsi="Arial Narrow" w:cs="Times New Roman"/>
                <w:sz w:val="20"/>
                <w:szCs w:val="22"/>
                <w:lang w:eastAsia="en-US"/>
              </w:rPr>
              <w:t xml:space="preserve">TEAE possibly related to intranasal drug withdrawn </w:t>
            </w:r>
            <w:r w:rsidRPr="009C7905">
              <w:rPr>
                <w:rFonts w:ascii="Arial Narrow" w:hAnsi="Arial Narrow" w:cs="Times New Roman"/>
                <w:sz w:val="20"/>
                <w:szCs w:val="22"/>
                <w:vertAlign w:val="superscript"/>
                <w:lang w:eastAsia="en-US"/>
              </w:rPr>
              <w:t xml:space="preserve">b </w:t>
            </w:r>
          </w:p>
        </w:tc>
        <w:tc>
          <w:tcPr>
            <w:tcW w:w="985" w:type="dxa"/>
            <w:vAlign w:val="center"/>
          </w:tcPr>
          <w:p w14:paraId="4A504DB7"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8 (7.0)</w:t>
            </w:r>
          </w:p>
        </w:tc>
        <w:tc>
          <w:tcPr>
            <w:tcW w:w="985" w:type="dxa"/>
            <w:vAlign w:val="center"/>
          </w:tcPr>
          <w:p w14:paraId="05C24637"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1 (0.9)</w:t>
            </w:r>
          </w:p>
        </w:tc>
        <w:tc>
          <w:tcPr>
            <w:tcW w:w="985" w:type="dxa"/>
            <w:vAlign w:val="center"/>
          </w:tcPr>
          <w:p w14:paraId="6F497E46" w14:textId="52016276"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4 (5.6)</w:t>
            </w:r>
          </w:p>
        </w:tc>
        <w:tc>
          <w:tcPr>
            <w:tcW w:w="985" w:type="dxa"/>
            <w:vAlign w:val="center"/>
          </w:tcPr>
          <w:p w14:paraId="717E3B50" w14:textId="1A2B2A20"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2 (3.1)</w:t>
            </w:r>
          </w:p>
        </w:tc>
        <w:tc>
          <w:tcPr>
            <w:tcW w:w="985" w:type="dxa"/>
            <w:vAlign w:val="center"/>
          </w:tcPr>
          <w:p w14:paraId="090C7291" w14:textId="081A2D53"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1 (0.9)</w:t>
            </w:r>
          </w:p>
        </w:tc>
        <w:tc>
          <w:tcPr>
            <w:tcW w:w="985" w:type="dxa"/>
            <w:vAlign w:val="center"/>
          </w:tcPr>
          <w:p w14:paraId="3D93DC33"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7 (6.0)</w:t>
            </w:r>
          </w:p>
        </w:tc>
        <w:tc>
          <w:tcPr>
            <w:tcW w:w="985" w:type="dxa"/>
            <w:vAlign w:val="center"/>
          </w:tcPr>
          <w:p w14:paraId="6C735ADB"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2 (1.8)</w:t>
            </w:r>
          </w:p>
        </w:tc>
      </w:tr>
      <w:tr w:rsidR="0064647E" w:rsidRPr="009C7905" w14:paraId="132B5C8F" w14:textId="77777777" w:rsidTr="006B54CC">
        <w:tc>
          <w:tcPr>
            <w:tcW w:w="2122" w:type="dxa"/>
            <w:tcBorders>
              <w:bottom w:val="single" w:sz="4" w:space="0" w:color="auto"/>
            </w:tcBorders>
            <w:vAlign w:val="center"/>
          </w:tcPr>
          <w:p w14:paraId="77523BF2" w14:textId="3E2EA911" w:rsidR="0064647E" w:rsidRPr="009C7905" w:rsidRDefault="0064647E" w:rsidP="00C01E09">
            <w:pPr>
              <w:keepNext/>
              <w:keepLines/>
              <w:jc w:val="left"/>
              <w:rPr>
                <w:rFonts w:ascii="Arial Narrow" w:hAnsi="Arial Narrow" w:cs="Times New Roman"/>
                <w:sz w:val="20"/>
                <w:szCs w:val="22"/>
                <w:lang w:eastAsia="en-US"/>
              </w:rPr>
            </w:pPr>
            <w:r w:rsidRPr="009C7905">
              <w:rPr>
                <w:rFonts w:ascii="Arial Narrow" w:hAnsi="Arial Narrow" w:cs="Times New Roman"/>
                <w:sz w:val="20"/>
                <w:szCs w:val="22"/>
                <w:lang w:eastAsia="en-US"/>
              </w:rPr>
              <w:t xml:space="preserve">TEAE possibly related to </w:t>
            </w:r>
            <w:r w:rsidR="00C50DC8">
              <w:rPr>
                <w:rFonts w:ascii="Arial Narrow" w:hAnsi="Arial Narrow" w:cs="Times New Roman"/>
                <w:sz w:val="20"/>
                <w:szCs w:val="22"/>
                <w:lang w:eastAsia="en-US"/>
              </w:rPr>
              <w:t>OAD</w:t>
            </w:r>
            <w:r w:rsidRPr="009C7905">
              <w:rPr>
                <w:rFonts w:ascii="Arial Narrow" w:hAnsi="Arial Narrow" w:cs="Times New Roman"/>
                <w:sz w:val="20"/>
                <w:szCs w:val="22"/>
                <w:lang w:eastAsia="en-US"/>
              </w:rPr>
              <w:t xml:space="preserve"> withdrawn </w:t>
            </w:r>
            <w:r w:rsidRPr="009C7905">
              <w:rPr>
                <w:rFonts w:ascii="Arial Narrow" w:hAnsi="Arial Narrow" w:cs="Times New Roman"/>
                <w:sz w:val="20"/>
                <w:szCs w:val="22"/>
                <w:vertAlign w:val="superscript"/>
                <w:lang w:eastAsia="en-US"/>
              </w:rPr>
              <w:t>b</w:t>
            </w:r>
          </w:p>
        </w:tc>
        <w:tc>
          <w:tcPr>
            <w:tcW w:w="985" w:type="dxa"/>
            <w:tcBorders>
              <w:bottom w:val="single" w:sz="4" w:space="0" w:color="auto"/>
            </w:tcBorders>
            <w:vAlign w:val="center"/>
          </w:tcPr>
          <w:p w14:paraId="28D2AC99"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4 (3.5)</w:t>
            </w:r>
          </w:p>
        </w:tc>
        <w:tc>
          <w:tcPr>
            <w:tcW w:w="985" w:type="dxa"/>
            <w:tcBorders>
              <w:bottom w:val="single" w:sz="4" w:space="0" w:color="auto"/>
            </w:tcBorders>
            <w:vAlign w:val="center"/>
          </w:tcPr>
          <w:p w14:paraId="353442D3"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0</w:t>
            </w:r>
          </w:p>
        </w:tc>
        <w:tc>
          <w:tcPr>
            <w:tcW w:w="985" w:type="dxa"/>
            <w:tcBorders>
              <w:bottom w:val="single" w:sz="4" w:space="0" w:color="auto"/>
            </w:tcBorders>
            <w:vAlign w:val="center"/>
          </w:tcPr>
          <w:p w14:paraId="1968BC0A" w14:textId="04FBDEA0"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1 (1.4)</w:t>
            </w:r>
          </w:p>
        </w:tc>
        <w:tc>
          <w:tcPr>
            <w:tcW w:w="985" w:type="dxa"/>
            <w:tcBorders>
              <w:bottom w:val="single" w:sz="4" w:space="0" w:color="auto"/>
            </w:tcBorders>
            <w:vAlign w:val="center"/>
          </w:tcPr>
          <w:p w14:paraId="6202974F" w14:textId="4D98612A" w:rsidR="005F2571" w:rsidRPr="00D60B48" w:rsidRDefault="005F2571" w:rsidP="00C01E09">
            <w:pPr>
              <w:keepNext/>
              <w:keepLines/>
              <w:jc w:val="center"/>
              <w:rPr>
                <w:rFonts w:ascii="Arial Narrow" w:hAnsi="Arial Narrow" w:cs="Times New Roman"/>
                <w:sz w:val="20"/>
                <w:szCs w:val="22"/>
                <w:lang w:eastAsia="en-US"/>
              </w:rPr>
            </w:pPr>
            <w:r w:rsidRPr="00D60B48">
              <w:rPr>
                <w:rFonts w:ascii="Arial Narrow" w:hAnsi="Arial Narrow" w:cs="Times New Roman"/>
                <w:sz w:val="20"/>
                <w:szCs w:val="22"/>
                <w:lang w:eastAsia="en-US"/>
              </w:rPr>
              <w:t>1 (1.5)</w:t>
            </w:r>
          </w:p>
        </w:tc>
        <w:tc>
          <w:tcPr>
            <w:tcW w:w="985" w:type="dxa"/>
            <w:tcBorders>
              <w:bottom w:val="single" w:sz="4" w:space="0" w:color="auto"/>
            </w:tcBorders>
            <w:vAlign w:val="center"/>
          </w:tcPr>
          <w:p w14:paraId="30F458F1" w14:textId="1AED3721"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0</w:t>
            </w:r>
          </w:p>
        </w:tc>
        <w:tc>
          <w:tcPr>
            <w:tcW w:w="985" w:type="dxa"/>
            <w:tcBorders>
              <w:bottom w:val="single" w:sz="4" w:space="0" w:color="auto"/>
            </w:tcBorders>
            <w:vAlign w:val="center"/>
          </w:tcPr>
          <w:p w14:paraId="2904E98C"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1 (0.9)</w:t>
            </w:r>
          </w:p>
        </w:tc>
        <w:tc>
          <w:tcPr>
            <w:tcW w:w="985" w:type="dxa"/>
            <w:tcBorders>
              <w:bottom w:val="single" w:sz="4" w:space="0" w:color="auto"/>
            </w:tcBorders>
            <w:vAlign w:val="center"/>
          </w:tcPr>
          <w:p w14:paraId="3C806B17" w14:textId="77777777" w:rsidR="0064647E" w:rsidRPr="009C7905" w:rsidRDefault="0064647E" w:rsidP="00C01E09">
            <w:pPr>
              <w:keepNext/>
              <w:keepLines/>
              <w:jc w:val="center"/>
              <w:rPr>
                <w:rFonts w:ascii="Arial Narrow" w:hAnsi="Arial Narrow" w:cs="Times New Roman"/>
                <w:sz w:val="20"/>
                <w:szCs w:val="22"/>
                <w:lang w:eastAsia="en-US"/>
              </w:rPr>
            </w:pPr>
            <w:r w:rsidRPr="009C7905">
              <w:rPr>
                <w:rFonts w:ascii="Arial Narrow" w:hAnsi="Arial Narrow" w:cs="Times New Roman"/>
                <w:sz w:val="20"/>
                <w:szCs w:val="22"/>
                <w:lang w:eastAsia="en-US"/>
              </w:rPr>
              <w:t>2 (1.8)</w:t>
            </w:r>
          </w:p>
        </w:tc>
      </w:tr>
    </w:tbl>
    <w:p w14:paraId="5866C89D" w14:textId="0CBF99E2" w:rsidR="0064647E" w:rsidRPr="009C7905" w:rsidRDefault="0064647E" w:rsidP="0064647E">
      <w:pPr>
        <w:spacing w:after="120"/>
        <w:contextualSpacing/>
        <w:rPr>
          <w:rFonts w:ascii="Arial Narrow" w:hAnsi="Arial Narrow"/>
          <w:snapToGrid w:val="0"/>
          <w:sz w:val="18"/>
          <w:szCs w:val="22"/>
        </w:rPr>
      </w:pPr>
      <w:r w:rsidRPr="009C7905">
        <w:rPr>
          <w:rFonts w:ascii="Arial Narrow" w:hAnsi="Arial Narrow"/>
          <w:snapToGrid w:val="0"/>
          <w:sz w:val="18"/>
          <w:szCs w:val="22"/>
        </w:rPr>
        <w:t xml:space="preserve">Source: Table 2.5-18, p.167 and Table 2.5-19, p168 of the </w:t>
      </w:r>
      <w:r w:rsidR="002B0BDD">
        <w:rPr>
          <w:rFonts w:ascii="Arial Narrow" w:hAnsi="Arial Narrow"/>
          <w:snapToGrid w:val="0"/>
          <w:sz w:val="18"/>
          <w:szCs w:val="22"/>
        </w:rPr>
        <w:t xml:space="preserve">July 2021 </w:t>
      </w:r>
      <w:r w:rsidRPr="009C7905">
        <w:rPr>
          <w:rFonts w:ascii="Arial Narrow" w:hAnsi="Arial Narrow"/>
          <w:snapToGrid w:val="0"/>
          <w:sz w:val="18"/>
          <w:szCs w:val="22"/>
        </w:rPr>
        <w:t>submission</w:t>
      </w:r>
    </w:p>
    <w:p w14:paraId="7A2B11B6" w14:textId="77777777" w:rsidR="0064647E" w:rsidRPr="009C7905" w:rsidRDefault="0064647E" w:rsidP="0064647E">
      <w:pPr>
        <w:spacing w:after="120"/>
        <w:contextualSpacing/>
        <w:rPr>
          <w:rFonts w:ascii="Arial Narrow" w:hAnsi="Arial Narrow"/>
          <w:snapToGrid w:val="0"/>
          <w:sz w:val="18"/>
          <w:szCs w:val="22"/>
        </w:rPr>
      </w:pPr>
      <w:r w:rsidRPr="009C7905">
        <w:rPr>
          <w:rFonts w:ascii="Arial Narrow" w:hAnsi="Arial Narrow"/>
          <w:snapToGrid w:val="0"/>
          <w:sz w:val="18"/>
          <w:szCs w:val="22"/>
        </w:rPr>
        <w:t xml:space="preserve">Abbreviations: ESK, </w:t>
      </w:r>
      <w:proofErr w:type="spellStart"/>
      <w:r w:rsidRPr="009C7905">
        <w:rPr>
          <w:rFonts w:ascii="Arial Narrow" w:hAnsi="Arial Narrow"/>
          <w:snapToGrid w:val="0"/>
          <w:sz w:val="18"/>
          <w:szCs w:val="22"/>
        </w:rPr>
        <w:t>esketamine</w:t>
      </w:r>
      <w:proofErr w:type="spellEnd"/>
      <w:r w:rsidRPr="009C7905">
        <w:rPr>
          <w:rFonts w:ascii="Arial Narrow" w:hAnsi="Arial Narrow"/>
          <w:snapToGrid w:val="0"/>
          <w:sz w:val="18"/>
          <w:szCs w:val="22"/>
        </w:rPr>
        <w:t xml:space="preserve"> nasal spray; OAD, oral antidepressant; PBO, placebo nasal spray; TEAE, treatment-emergent adverse event</w:t>
      </w:r>
    </w:p>
    <w:p w14:paraId="61537BC9" w14:textId="77777777" w:rsidR="0064647E" w:rsidRPr="009C7905" w:rsidRDefault="0064647E" w:rsidP="0064647E">
      <w:pPr>
        <w:spacing w:after="120"/>
        <w:contextualSpacing/>
        <w:rPr>
          <w:rFonts w:ascii="Arial Narrow" w:hAnsi="Arial Narrow"/>
          <w:snapToGrid w:val="0"/>
          <w:sz w:val="18"/>
          <w:szCs w:val="22"/>
        </w:rPr>
      </w:pPr>
      <w:r w:rsidRPr="009C7905">
        <w:rPr>
          <w:rFonts w:ascii="Arial Narrow" w:hAnsi="Arial Narrow"/>
          <w:snapToGrid w:val="0"/>
          <w:sz w:val="18"/>
          <w:szCs w:val="22"/>
          <w:vertAlign w:val="superscript"/>
        </w:rPr>
        <w:t>a</w:t>
      </w:r>
      <w:r w:rsidRPr="009C7905">
        <w:rPr>
          <w:rFonts w:ascii="Arial Narrow" w:hAnsi="Arial Narrow"/>
          <w:snapToGrid w:val="0"/>
          <w:sz w:val="18"/>
          <w:szCs w:val="22"/>
        </w:rPr>
        <w:t xml:space="preserve"> Study drug relationship of possible, probable, and very likely are included in this category</w:t>
      </w:r>
    </w:p>
    <w:p w14:paraId="5AC0B3D9" w14:textId="77777777" w:rsidR="0064647E" w:rsidRPr="009C7905" w:rsidRDefault="0064647E" w:rsidP="0064647E">
      <w:pPr>
        <w:spacing w:after="120"/>
        <w:contextualSpacing/>
        <w:rPr>
          <w:rFonts w:ascii="Arial Narrow" w:hAnsi="Arial Narrow"/>
          <w:snapToGrid w:val="0"/>
          <w:sz w:val="18"/>
          <w:szCs w:val="22"/>
        </w:rPr>
      </w:pPr>
      <w:r w:rsidRPr="009C7905">
        <w:rPr>
          <w:rFonts w:ascii="Arial Narrow" w:hAnsi="Arial Narrow"/>
          <w:snapToGrid w:val="0"/>
          <w:sz w:val="18"/>
          <w:szCs w:val="22"/>
          <w:vertAlign w:val="superscript"/>
        </w:rPr>
        <w:t>b</w:t>
      </w:r>
      <w:r w:rsidRPr="009C7905">
        <w:rPr>
          <w:rFonts w:ascii="Arial Narrow" w:hAnsi="Arial Narrow"/>
          <w:snapToGrid w:val="0"/>
          <w:sz w:val="18"/>
          <w:szCs w:val="22"/>
        </w:rPr>
        <w:t xml:space="preserve"> An adverse event that started in the double-blind induction phase and resulted in discontinuation in the follow-up phase is counted as treatment-emergent in the double-blind induction phase</w:t>
      </w:r>
    </w:p>
    <w:p w14:paraId="482BF31D" w14:textId="77777777" w:rsidR="0064647E" w:rsidRDefault="0064647E" w:rsidP="0064647E">
      <w:pPr>
        <w:pStyle w:val="ExecSumBodyText"/>
      </w:pPr>
      <w:r w:rsidRPr="00523BE0">
        <w:t xml:space="preserve">The overall incidence of adverse events was higher in the </w:t>
      </w:r>
      <w:proofErr w:type="spellStart"/>
      <w:r w:rsidRPr="00523BE0">
        <w:t>esketamine</w:t>
      </w:r>
      <w:proofErr w:type="spellEnd"/>
      <w:r w:rsidRPr="00523BE0">
        <w:t xml:space="preserve"> treatment arms compared with the placebo treatment arms across all three trials. There was also a higher incidence of adverse events considered to be related to the intranasal study drug in the </w:t>
      </w:r>
      <w:proofErr w:type="spellStart"/>
      <w:r w:rsidRPr="00523BE0">
        <w:t>esketamine</w:t>
      </w:r>
      <w:proofErr w:type="spellEnd"/>
      <w:r w:rsidRPr="00523BE0">
        <w:t xml:space="preserve"> treatment arms.</w:t>
      </w:r>
    </w:p>
    <w:p w14:paraId="591A8357" w14:textId="0B633C68" w:rsidR="0064647E" w:rsidRDefault="0064647E" w:rsidP="0064647E">
      <w:pPr>
        <w:pStyle w:val="ExecSumBodyText"/>
      </w:pPr>
      <w:r w:rsidRPr="00EF5C4C">
        <w:t xml:space="preserve">Across the TRANSFORM trials, the most common treatment-emergent adverse events in the </w:t>
      </w:r>
      <w:proofErr w:type="spellStart"/>
      <w:r w:rsidRPr="00EF5C4C">
        <w:t>esketamine</w:t>
      </w:r>
      <w:proofErr w:type="spellEnd"/>
      <w:r w:rsidRPr="00EF5C4C">
        <w:t xml:space="preserve"> nasal spray treatment group included dissociation, nausea, vertigo, </w:t>
      </w:r>
      <w:r w:rsidRPr="00EF5C4C">
        <w:lastRenderedPageBreak/>
        <w:t xml:space="preserve">dysgeusia, dizziness, headache, somnolence, vision blurred, </w:t>
      </w:r>
      <w:r w:rsidRPr="00D60B48">
        <w:t>par</w:t>
      </w:r>
      <w:r w:rsidR="00926499">
        <w:t>a</w:t>
      </w:r>
      <w:r w:rsidRPr="00D60B48">
        <w:t>esthesia</w:t>
      </w:r>
      <w:r w:rsidRPr="00EF5C4C">
        <w:t xml:space="preserve">, anxiety, </w:t>
      </w:r>
      <w:proofErr w:type="spellStart"/>
      <w:r w:rsidRPr="00EF5C4C">
        <w:t>hypoaesthesia</w:t>
      </w:r>
      <w:proofErr w:type="spellEnd"/>
      <w:r w:rsidRPr="00EF5C4C">
        <w:t xml:space="preserve"> oral, </w:t>
      </w:r>
      <w:proofErr w:type="spellStart"/>
      <w:r w:rsidRPr="00EF5C4C">
        <w:t>hypoaesthesia</w:t>
      </w:r>
      <w:proofErr w:type="spellEnd"/>
      <w:r w:rsidRPr="00EF5C4C">
        <w:t xml:space="preserve">, increased blood pressure, and fatigue. In TRANSFORM-3, which enrolled older adults aged 65 years and over, urinary tract infections were also more commonly reported in the </w:t>
      </w:r>
      <w:proofErr w:type="spellStart"/>
      <w:r w:rsidRPr="00EF5C4C">
        <w:t>esketamine</w:t>
      </w:r>
      <w:proofErr w:type="spellEnd"/>
      <w:r w:rsidRPr="00EF5C4C">
        <w:t xml:space="preserve"> nasal spray treatment group. Across trials, in the placebo treatment group, the </w:t>
      </w:r>
      <w:proofErr w:type="gramStart"/>
      <w:r w:rsidRPr="00EF5C4C">
        <w:t>most commonly reported</w:t>
      </w:r>
      <w:proofErr w:type="gramEnd"/>
      <w:r w:rsidRPr="00EF5C4C">
        <w:t xml:space="preserve"> treatment emergent adverse events included headache, dysgeusia, somnolence, and nausea.</w:t>
      </w:r>
    </w:p>
    <w:p w14:paraId="692D7858" w14:textId="25908791" w:rsidR="0064647E" w:rsidRDefault="0064647E" w:rsidP="0064647E">
      <w:pPr>
        <w:pStyle w:val="ExecSumBodyText"/>
      </w:pPr>
      <w:r>
        <w:t>A summary of t</w:t>
      </w:r>
      <w:r w:rsidRPr="00EF5C4C">
        <w:t>reatment-emergent adverse events by phase, for the induction, optimisation, and maintenance phases of the SUSTAIN-1 trial</w:t>
      </w:r>
      <w:r>
        <w:t xml:space="preserve"> is included in </w:t>
      </w:r>
      <w:r w:rsidR="00C50DC8">
        <w:t>the table below</w:t>
      </w:r>
      <w:r w:rsidRPr="00EF5C4C">
        <w:t>.</w:t>
      </w:r>
    </w:p>
    <w:p w14:paraId="106EBCB6" w14:textId="3A4BA21E" w:rsidR="0064647E" w:rsidRDefault="0064647E" w:rsidP="00C01E09">
      <w:pPr>
        <w:pStyle w:val="Caption"/>
        <w:keepLines/>
      </w:pPr>
      <w:r w:rsidRPr="002530A2">
        <w:t xml:space="preserve">Table </w:t>
      </w:r>
      <w:r w:rsidR="002030D0">
        <w:fldChar w:fldCharType="begin"/>
      </w:r>
      <w:r w:rsidR="002030D0">
        <w:instrText xml:space="preserve"> SEQ Table \* ARABIC </w:instrText>
      </w:r>
      <w:r w:rsidR="002030D0">
        <w:fldChar w:fldCharType="separate"/>
      </w:r>
      <w:r w:rsidR="008E3D7A">
        <w:rPr>
          <w:noProof/>
        </w:rPr>
        <w:t>11</w:t>
      </w:r>
      <w:r w:rsidR="002030D0">
        <w:rPr>
          <w:noProof/>
        </w:rPr>
        <w:fldChar w:fldCharType="end"/>
      </w:r>
      <w:r w:rsidRPr="00D60B48">
        <w:t>:</w:t>
      </w:r>
      <w:r w:rsidRPr="002530A2">
        <w:t xml:space="preserve"> Overall summary of treatment-emergent adverse events; induction phase, optimisation phase and maintenance phase of SUSTAIN-1 (Safety analysis set)</w:t>
      </w:r>
    </w:p>
    <w:tbl>
      <w:tblPr>
        <w:tblStyle w:val="TableGrid"/>
        <w:tblW w:w="0" w:type="auto"/>
        <w:tblCellMar>
          <w:left w:w="57" w:type="dxa"/>
          <w:right w:w="57" w:type="dxa"/>
        </w:tblCellMar>
        <w:tblLook w:val="04A0" w:firstRow="1" w:lastRow="0" w:firstColumn="1" w:lastColumn="0" w:noHBand="0" w:noVBand="1"/>
      </w:tblPr>
      <w:tblGrid>
        <w:gridCol w:w="3538"/>
        <w:gridCol w:w="1549"/>
        <w:gridCol w:w="1428"/>
        <w:gridCol w:w="1353"/>
        <w:gridCol w:w="1148"/>
      </w:tblGrid>
      <w:tr w:rsidR="0064647E" w:rsidRPr="002530A2" w14:paraId="67281159" w14:textId="77777777" w:rsidTr="00A65564">
        <w:trPr>
          <w:tblHeader/>
        </w:trPr>
        <w:tc>
          <w:tcPr>
            <w:tcW w:w="3538" w:type="dxa"/>
            <w:vMerge w:val="restart"/>
          </w:tcPr>
          <w:p w14:paraId="034A4572" w14:textId="77777777" w:rsidR="0064647E" w:rsidRPr="002530A2" w:rsidRDefault="0064647E" w:rsidP="00C01E09">
            <w:pPr>
              <w:pStyle w:val="Tabletext0"/>
              <w:keepNext/>
              <w:keepLines/>
            </w:pPr>
          </w:p>
        </w:tc>
        <w:tc>
          <w:tcPr>
            <w:tcW w:w="1549" w:type="dxa"/>
            <w:vAlign w:val="center"/>
          </w:tcPr>
          <w:p w14:paraId="5356EA26" w14:textId="77777777" w:rsidR="0064647E" w:rsidRPr="002530A2" w:rsidRDefault="0064647E" w:rsidP="00C01E09">
            <w:pPr>
              <w:pStyle w:val="Tabletext0"/>
              <w:keepNext/>
              <w:keepLines/>
              <w:jc w:val="center"/>
              <w:rPr>
                <w:b/>
                <w:bCs/>
              </w:rPr>
            </w:pPr>
            <w:r w:rsidRPr="002530A2">
              <w:rPr>
                <w:b/>
                <w:bCs/>
              </w:rPr>
              <w:t>Induction phase</w:t>
            </w:r>
          </w:p>
        </w:tc>
        <w:tc>
          <w:tcPr>
            <w:tcW w:w="1428" w:type="dxa"/>
            <w:vAlign w:val="center"/>
          </w:tcPr>
          <w:p w14:paraId="48619570" w14:textId="77777777" w:rsidR="0064647E" w:rsidRPr="002530A2" w:rsidRDefault="0064647E" w:rsidP="00C01E09">
            <w:pPr>
              <w:pStyle w:val="Tabletext0"/>
              <w:keepNext/>
              <w:keepLines/>
              <w:jc w:val="center"/>
              <w:rPr>
                <w:b/>
                <w:bCs/>
              </w:rPr>
            </w:pPr>
            <w:r w:rsidRPr="002530A2">
              <w:rPr>
                <w:b/>
                <w:bCs/>
              </w:rPr>
              <w:t>Optimisation phase</w:t>
            </w:r>
          </w:p>
        </w:tc>
        <w:tc>
          <w:tcPr>
            <w:tcW w:w="2501" w:type="dxa"/>
            <w:gridSpan w:val="2"/>
            <w:vAlign w:val="center"/>
          </w:tcPr>
          <w:p w14:paraId="62AECE2A" w14:textId="77777777" w:rsidR="0064647E" w:rsidRPr="002530A2" w:rsidRDefault="0064647E" w:rsidP="00C01E09">
            <w:pPr>
              <w:pStyle w:val="Tabletext0"/>
              <w:keepNext/>
              <w:keepLines/>
              <w:jc w:val="center"/>
              <w:rPr>
                <w:b/>
                <w:bCs/>
              </w:rPr>
            </w:pPr>
            <w:r w:rsidRPr="002530A2">
              <w:rPr>
                <w:b/>
                <w:bCs/>
              </w:rPr>
              <w:t>Maintenance phase</w:t>
            </w:r>
          </w:p>
        </w:tc>
      </w:tr>
      <w:tr w:rsidR="0064647E" w:rsidRPr="002530A2" w14:paraId="0FCC45EB" w14:textId="77777777" w:rsidTr="00A65564">
        <w:trPr>
          <w:tblHeader/>
        </w:trPr>
        <w:tc>
          <w:tcPr>
            <w:tcW w:w="3538" w:type="dxa"/>
            <w:vMerge/>
          </w:tcPr>
          <w:p w14:paraId="072E7959" w14:textId="77777777" w:rsidR="0064647E" w:rsidRPr="002530A2" w:rsidRDefault="0064647E" w:rsidP="00C01E09">
            <w:pPr>
              <w:pStyle w:val="Tabletext0"/>
              <w:keepNext/>
              <w:keepLines/>
            </w:pPr>
          </w:p>
        </w:tc>
        <w:tc>
          <w:tcPr>
            <w:tcW w:w="1549" w:type="dxa"/>
            <w:vAlign w:val="center"/>
          </w:tcPr>
          <w:p w14:paraId="1CF20208" w14:textId="77777777" w:rsidR="0064647E" w:rsidRPr="002530A2" w:rsidRDefault="0064647E" w:rsidP="00C01E09">
            <w:pPr>
              <w:pStyle w:val="Tabletext0"/>
              <w:keepNext/>
              <w:keepLines/>
              <w:jc w:val="center"/>
              <w:rPr>
                <w:b/>
                <w:bCs/>
              </w:rPr>
            </w:pPr>
            <w:r w:rsidRPr="002530A2">
              <w:rPr>
                <w:b/>
                <w:bCs/>
              </w:rPr>
              <w:t>ESK + OAD</w:t>
            </w:r>
          </w:p>
          <w:p w14:paraId="0B44B750" w14:textId="77777777" w:rsidR="0064647E" w:rsidRPr="002530A2" w:rsidRDefault="0064647E" w:rsidP="00C01E09">
            <w:pPr>
              <w:pStyle w:val="Tabletext0"/>
              <w:keepNext/>
              <w:keepLines/>
              <w:jc w:val="center"/>
              <w:rPr>
                <w:b/>
                <w:bCs/>
              </w:rPr>
            </w:pPr>
            <w:r w:rsidRPr="002530A2">
              <w:rPr>
                <w:b/>
                <w:bCs/>
              </w:rPr>
              <w:t>N = 437</w:t>
            </w:r>
          </w:p>
        </w:tc>
        <w:tc>
          <w:tcPr>
            <w:tcW w:w="1428" w:type="dxa"/>
            <w:vAlign w:val="center"/>
          </w:tcPr>
          <w:p w14:paraId="663939B3" w14:textId="77777777" w:rsidR="0064647E" w:rsidRPr="002530A2" w:rsidRDefault="0064647E" w:rsidP="00C01E09">
            <w:pPr>
              <w:pStyle w:val="Tabletext0"/>
              <w:keepNext/>
              <w:keepLines/>
              <w:jc w:val="center"/>
              <w:rPr>
                <w:b/>
                <w:bCs/>
              </w:rPr>
            </w:pPr>
            <w:r w:rsidRPr="002530A2">
              <w:rPr>
                <w:b/>
                <w:bCs/>
              </w:rPr>
              <w:t>ESK + OAD</w:t>
            </w:r>
          </w:p>
          <w:p w14:paraId="3C67665D" w14:textId="77777777" w:rsidR="0064647E" w:rsidRPr="002530A2" w:rsidRDefault="0064647E" w:rsidP="00C01E09">
            <w:pPr>
              <w:pStyle w:val="Tabletext0"/>
              <w:keepNext/>
              <w:keepLines/>
              <w:jc w:val="center"/>
              <w:rPr>
                <w:b/>
                <w:bCs/>
              </w:rPr>
            </w:pPr>
            <w:r w:rsidRPr="002530A2">
              <w:rPr>
                <w:b/>
                <w:bCs/>
              </w:rPr>
              <w:t>N = 455</w:t>
            </w:r>
          </w:p>
        </w:tc>
        <w:tc>
          <w:tcPr>
            <w:tcW w:w="1353" w:type="dxa"/>
            <w:vAlign w:val="center"/>
          </w:tcPr>
          <w:p w14:paraId="65CECB8F" w14:textId="77777777" w:rsidR="0064647E" w:rsidRPr="002530A2" w:rsidRDefault="0064647E" w:rsidP="00C01E09">
            <w:pPr>
              <w:pStyle w:val="Tabletext0"/>
              <w:keepNext/>
              <w:keepLines/>
              <w:jc w:val="center"/>
              <w:rPr>
                <w:b/>
                <w:bCs/>
              </w:rPr>
            </w:pPr>
            <w:r w:rsidRPr="002530A2">
              <w:rPr>
                <w:b/>
                <w:bCs/>
              </w:rPr>
              <w:t>ESK + OAD</w:t>
            </w:r>
          </w:p>
          <w:p w14:paraId="49641B9E" w14:textId="77777777" w:rsidR="0064647E" w:rsidRPr="002530A2" w:rsidRDefault="0064647E" w:rsidP="00C01E09">
            <w:pPr>
              <w:pStyle w:val="Tabletext0"/>
              <w:keepNext/>
              <w:keepLines/>
              <w:jc w:val="center"/>
              <w:rPr>
                <w:b/>
                <w:bCs/>
              </w:rPr>
            </w:pPr>
            <w:r w:rsidRPr="002530A2">
              <w:rPr>
                <w:b/>
                <w:bCs/>
              </w:rPr>
              <w:t>N = 152</w:t>
            </w:r>
          </w:p>
        </w:tc>
        <w:tc>
          <w:tcPr>
            <w:tcW w:w="1148" w:type="dxa"/>
            <w:vAlign w:val="center"/>
          </w:tcPr>
          <w:p w14:paraId="2084611B" w14:textId="77777777" w:rsidR="0064647E" w:rsidRPr="002530A2" w:rsidRDefault="0064647E" w:rsidP="00C01E09">
            <w:pPr>
              <w:pStyle w:val="Tabletext0"/>
              <w:keepNext/>
              <w:keepLines/>
              <w:jc w:val="center"/>
              <w:rPr>
                <w:b/>
                <w:bCs/>
              </w:rPr>
            </w:pPr>
            <w:r w:rsidRPr="002530A2">
              <w:rPr>
                <w:b/>
                <w:bCs/>
              </w:rPr>
              <w:t>PBO + OAD</w:t>
            </w:r>
          </w:p>
          <w:p w14:paraId="118E0115" w14:textId="77777777" w:rsidR="0064647E" w:rsidRPr="002530A2" w:rsidRDefault="0064647E" w:rsidP="00C01E09">
            <w:pPr>
              <w:pStyle w:val="Tabletext0"/>
              <w:keepNext/>
              <w:keepLines/>
              <w:jc w:val="center"/>
              <w:rPr>
                <w:b/>
                <w:bCs/>
              </w:rPr>
            </w:pPr>
            <w:r w:rsidRPr="002530A2">
              <w:rPr>
                <w:b/>
                <w:bCs/>
              </w:rPr>
              <w:t>N = 145</w:t>
            </w:r>
          </w:p>
        </w:tc>
      </w:tr>
      <w:tr w:rsidR="0064647E" w:rsidRPr="002530A2" w14:paraId="34DBA18C" w14:textId="77777777" w:rsidTr="00A65564">
        <w:tc>
          <w:tcPr>
            <w:tcW w:w="3538" w:type="dxa"/>
          </w:tcPr>
          <w:p w14:paraId="2AA30032" w14:textId="77777777" w:rsidR="0064647E" w:rsidRPr="002530A2" w:rsidRDefault="0064647E" w:rsidP="00C01E09">
            <w:pPr>
              <w:pStyle w:val="Tabletext0"/>
              <w:keepNext/>
              <w:keepLines/>
            </w:pPr>
            <w:r w:rsidRPr="002530A2">
              <w:t>Total number with a</w:t>
            </w:r>
            <w:r>
              <w:t xml:space="preserve"> TEAE</w:t>
            </w:r>
          </w:p>
        </w:tc>
        <w:tc>
          <w:tcPr>
            <w:tcW w:w="1549" w:type="dxa"/>
            <w:vAlign w:val="center"/>
          </w:tcPr>
          <w:p w14:paraId="4A4B3E01" w14:textId="77777777" w:rsidR="0064647E" w:rsidRPr="002530A2" w:rsidRDefault="0064647E" w:rsidP="00C01E09">
            <w:pPr>
              <w:pStyle w:val="Tabletext0"/>
              <w:keepNext/>
              <w:keepLines/>
              <w:jc w:val="center"/>
            </w:pPr>
            <w:r w:rsidRPr="002530A2">
              <w:t>336 (76.9)</w:t>
            </w:r>
          </w:p>
        </w:tc>
        <w:tc>
          <w:tcPr>
            <w:tcW w:w="1428" w:type="dxa"/>
            <w:vAlign w:val="center"/>
          </w:tcPr>
          <w:p w14:paraId="43967CE9" w14:textId="77777777" w:rsidR="0064647E" w:rsidRPr="002530A2" w:rsidRDefault="0064647E" w:rsidP="00C01E09">
            <w:pPr>
              <w:pStyle w:val="Tabletext0"/>
              <w:keepNext/>
              <w:keepLines/>
              <w:jc w:val="center"/>
            </w:pPr>
            <w:r w:rsidRPr="002530A2">
              <w:t>335 (73.6)</w:t>
            </w:r>
          </w:p>
        </w:tc>
        <w:tc>
          <w:tcPr>
            <w:tcW w:w="1353" w:type="dxa"/>
            <w:vAlign w:val="center"/>
          </w:tcPr>
          <w:p w14:paraId="7F42DA98" w14:textId="77777777" w:rsidR="0064647E" w:rsidRPr="002530A2" w:rsidRDefault="0064647E" w:rsidP="00C01E09">
            <w:pPr>
              <w:pStyle w:val="Tabletext0"/>
              <w:keepNext/>
              <w:keepLines/>
              <w:jc w:val="center"/>
            </w:pPr>
            <w:r w:rsidRPr="002530A2">
              <w:t>125 (82.2)</w:t>
            </w:r>
          </w:p>
        </w:tc>
        <w:tc>
          <w:tcPr>
            <w:tcW w:w="1148" w:type="dxa"/>
            <w:vAlign w:val="center"/>
          </w:tcPr>
          <w:p w14:paraId="42C90543" w14:textId="77777777" w:rsidR="0064647E" w:rsidRPr="002530A2" w:rsidRDefault="0064647E" w:rsidP="00C01E09">
            <w:pPr>
              <w:pStyle w:val="Tabletext0"/>
              <w:keepNext/>
              <w:keepLines/>
              <w:jc w:val="center"/>
            </w:pPr>
            <w:r w:rsidRPr="002530A2">
              <w:t>66 (45.5)</w:t>
            </w:r>
          </w:p>
        </w:tc>
      </w:tr>
      <w:tr w:rsidR="0064647E" w:rsidRPr="002530A2" w14:paraId="2A267146" w14:textId="77777777" w:rsidTr="00A65564">
        <w:tc>
          <w:tcPr>
            <w:tcW w:w="3538" w:type="dxa"/>
          </w:tcPr>
          <w:p w14:paraId="68D15944" w14:textId="77777777" w:rsidR="0064647E" w:rsidRPr="002530A2" w:rsidRDefault="0064647E" w:rsidP="00C01E09">
            <w:pPr>
              <w:pStyle w:val="Tabletext0"/>
              <w:keepNext/>
              <w:keepLines/>
            </w:pPr>
            <w:r>
              <w:t>TEAE</w:t>
            </w:r>
            <w:r w:rsidRPr="002530A2">
              <w:t xml:space="preserve"> possibly related to intranasal drug </w:t>
            </w:r>
            <w:r w:rsidRPr="002530A2">
              <w:rPr>
                <w:vertAlign w:val="superscript"/>
              </w:rPr>
              <w:t>a</w:t>
            </w:r>
          </w:p>
        </w:tc>
        <w:tc>
          <w:tcPr>
            <w:tcW w:w="1549" w:type="dxa"/>
            <w:vAlign w:val="center"/>
          </w:tcPr>
          <w:p w14:paraId="425A64A3" w14:textId="77777777" w:rsidR="0064647E" w:rsidRPr="002530A2" w:rsidRDefault="0064647E" w:rsidP="00C01E09">
            <w:pPr>
              <w:pStyle w:val="Tabletext0"/>
              <w:keepNext/>
              <w:keepLines/>
              <w:jc w:val="center"/>
            </w:pPr>
            <w:r w:rsidRPr="002530A2">
              <w:t>301 (68.9)</w:t>
            </w:r>
          </w:p>
        </w:tc>
        <w:tc>
          <w:tcPr>
            <w:tcW w:w="1428" w:type="dxa"/>
            <w:vAlign w:val="center"/>
          </w:tcPr>
          <w:p w14:paraId="20D3A060" w14:textId="77777777" w:rsidR="0064647E" w:rsidRPr="002530A2" w:rsidRDefault="0064647E" w:rsidP="00C01E09">
            <w:pPr>
              <w:pStyle w:val="Tabletext0"/>
              <w:keepNext/>
              <w:keepLines/>
              <w:jc w:val="center"/>
            </w:pPr>
            <w:r w:rsidRPr="002530A2">
              <w:t>281 (61.8)</w:t>
            </w:r>
          </w:p>
        </w:tc>
        <w:tc>
          <w:tcPr>
            <w:tcW w:w="1353" w:type="dxa"/>
            <w:vAlign w:val="center"/>
          </w:tcPr>
          <w:p w14:paraId="71BC5093" w14:textId="77777777" w:rsidR="0064647E" w:rsidRPr="002530A2" w:rsidRDefault="0064647E" w:rsidP="00C01E09">
            <w:pPr>
              <w:pStyle w:val="Tabletext0"/>
              <w:keepNext/>
              <w:keepLines/>
              <w:jc w:val="center"/>
            </w:pPr>
            <w:r w:rsidRPr="002530A2">
              <w:t>106 (69.7)</w:t>
            </w:r>
          </w:p>
        </w:tc>
        <w:tc>
          <w:tcPr>
            <w:tcW w:w="1148" w:type="dxa"/>
            <w:vAlign w:val="center"/>
          </w:tcPr>
          <w:p w14:paraId="606BFF1A" w14:textId="77777777" w:rsidR="0064647E" w:rsidRPr="002530A2" w:rsidRDefault="0064647E" w:rsidP="00C01E09">
            <w:pPr>
              <w:pStyle w:val="Tabletext0"/>
              <w:keepNext/>
              <w:keepLines/>
              <w:jc w:val="center"/>
            </w:pPr>
            <w:r w:rsidRPr="002530A2">
              <w:t>37 (25.5)</w:t>
            </w:r>
          </w:p>
        </w:tc>
      </w:tr>
      <w:tr w:rsidR="0064647E" w:rsidRPr="002530A2" w14:paraId="5D91106A" w14:textId="77777777" w:rsidTr="00A65564">
        <w:tc>
          <w:tcPr>
            <w:tcW w:w="3538" w:type="dxa"/>
          </w:tcPr>
          <w:p w14:paraId="1FD44254" w14:textId="14F4CCD8" w:rsidR="0064647E" w:rsidRPr="002530A2" w:rsidRDefault="0064647E" w:rsidP="00C01E09">
            <w:pPr>
              <w:pStyle w:val="Tabletext0"/>
              <w:keepNext/>
              <w:keepLines/>
            </w:pPr>
            <w:r>
              <w:t>TEAE</w:t>
            </w:r>
            <w:r w:rsidRPr="002530A2">
              <w:t xml:space="preserve"> possibly related to </w:t>
            </w:r>
            <w:r w:rsidR="00C50DC8">
              <w:t>OAD</w:t>
            </w:r>
            <w:r w:rsidRPr="002530A2">
              <w:t xml:space="preserve"> </w:t>
            </w:r>
            <w:r w:rsidRPr="002530A2">
              <w:rPr>
                <w:vertAlign w:val="superscript"/>
              </w:rPr>
              <w:t>a</w:t>
            </w:r>
          </w:p>
        </w:tc>
        <w:tc>
          <w:tcPr>
            <w:tcW w:w="1549" w:type="dxa"/>
            <w:vAlign w:val="center"/>
          </w:tcPr>
          <w:p w14:paraId="2D015753" w14:textId="77777777" w:rsidR="0064647E" w:rsidRPr="002530A2" w:rsidRDefault="0064647E" w:rsidP="00C01E09">
            <w:pPr>
              <w:pStyle w:val="Tabletext0"/>
              <w:keepNext/>
              <w:keepLines/>
              <w:jc w:val="center"/>
            </w:pPr>
            <w:r w:rsidRPr="002530A2">
              <w:t>71 (16.2)</w:t>
            </w:r>
          </w:p>
        </w:tc>
        <w:tc>
          <w:tcPr>
            <w:tcW w:w="1428" w:type="dxa"/>
            <w:vAlign w:val="center"/>
          </w:tcPr>
          <w:p w14:paraId="277FD795" w14:textId="77777777" w:rsidR="0064647E" w:rsidRPr="002530A2" w:rsidRDefault="0064647E" w:rsidP="00C01E09">
            <w:pPr>
              <w:pStyle w:val="Tabletext0"/>
              <w:keepNext/>
              <w:keepLines/>
              <w:jc w:val="center"/>
            </w:pPr>
            <w:r w:rsidRPr="002530A2">
              <w:t>61 (13.4)</w:t>
            </w:r>
          </w:p>
        </w:tc>
        <w:tc>
          <w:tcPr>
            <w:tcW w:w="1353" w:type="dxa"/>
            <w:vAlign w:val="center"/>
          </w:tcPr>
          <w:p w14:paraId="6E7E2D18" w14:textId="77777777" w:rsidR="0064647E" w:rsidRPr="002530A2" w:rsidRDefault="0064647E" w:rsidP="00C01E09">
            <w:pPr>
              <w:pStyle w:val="Tabletext0"/>
              <w:keepNext/>
              <w:keepLines/>
              <w:jc w:val="center"/>
            </w:pPr>
            <w:r w:rsidRPr="002530A2">
              <w:t>13 (8.6)</w:t>
            </w:r>
          </w:p>
        </w:tc>
        <w:tc>
          <w:tcPr>
            <w:tcW w:w="1148" w:type="dxa"/>
            <w:vAlign w:val="center"/>
          </w:tcPr>
          <w:p w14:paraId="7994D3DF" w14:textId="77777777" w:rsidR="0064647E" w:rsidRPr="002530A2" w:rsidRDefault="0064647E" w:rsidP="00C01E09">
            <w:pPr>
              <w:pStyle w:val="Tabletext0"/>
              <w:keepNext/>
              <w:keepLines/>
              <w:jc w:val="center"/>
            </w:pPr>
            <w:r w:rsidRPr="002530A2">
              <w:t>9 (6.2)</w:t>
            </w:r>
          </w:p>
        </w:tc>
      </w:tr>
      <w:tr w:rsidR="0064647E" w:rsidRPr="002530A2" w14:paraId="36D1BED1" w14:textId="77777777" w:rsidTr="00A65564">
        <w:tc>
          <w:tcPr>
            <w:tcW w:w="3538" w:type="dxa"/>
          </w:tcPr>
          <w:p w14:paraId="212F9CD5" w14:textId="77777777" w:rsidR="0064647E" w:rsidRPr="002530A2" w:rsidRDefault="0064647E" w:rsidP="00C01E09">
            <w:pPr>
              <w:pStyle w:val="Tabletext0"/>
              <w:keepNext/>
              <w:keepLines/>
            </w:pPr>
            <w:r>
              <w:t>TEAE</w:t>
            </w:r>
            <w:r w:rsidRPr="002530A2">
              <w:t xml:space="preserve"> leading to death</w:t>
            </w:r>
          </w:p>
        </w:tc>
        <w:tc>
          <w:tcPr>
            <w:tcW w:w="1549" w:type="dxa"/>
            <w:vAlign w:val="center"/>
          </w:tcPr>
          <w:p w14:paraId="3AA0678E" w14:textId="77777777" w:rsidR="0064647E" w:rsidRPr="002530A2" w:rsidRDefault="0064647E" w:rsidP="00C01E09">
            <w:pPr>
              <w:pStyle w:val="Tabletext0"/>
              <w:keepNext/>
              <w:keepLines/>
              <w:jc w:val="center"/>
            </w:pPr>
            <w:r w:rsidRPr="002530A2">
              <w:t>0</w:t>
            </w:r>
          </w:p>
        </w:tc>
        <w:tc>
          <w:tcPr>
            <w:tcW w:w="1428" w:type="dxa"/>
            <w:vAlign w:val="center"/>
          </w:tcPr>
          <w:p w14:paraId="36B173B3" w14:textId="77777777" w:rsidR="0064647E" w:rsidRPr="002530A2" w:rsidRDefault="0064647E" w:rsidP="00C01E09">
            <w:pPr>
              <w:pStyle w:val="Tabletext0"/>
              <w:keepNext/>
              <w:keepLines/>
              <w:jc w:val="center"/>
            </w:pPr>
            <w:r w:rsidRPr="002530A2">
              <w:t>0</w:t>
            </w:r>
          </w:p>
        </w:tc>
        <w:tc>
          <w:tcPr>
            <w:tcW w:w="1353" w:type="dxa"/>
            <w:vAlign w:val="center"/>
          </w:tcPr>
          <w:p w14:paraId="50B06DF2" w14:textId="77777777" w:rsidR="0064647E" w:rsidRPr="002530A2" w:rsidRDefault="0064647E" w:rsidP="00C01E09">
            <w:pPr>
              <w:pStyle w:val="Tabletext0"/>
              <w:keepNext/>
              <w:keepLines/>
              <w:jc w:val="center"/>
            </w:pPr>
            <w:r w:rsidRPr="002530A2">
              <w:t>0</w:t>
            </w:r>
          </w:p>
        </w:tc>
        <w:tc>
          <w:tcPr>
            <w:tcW w:w="1148" w:type="dxa"/>
            <w:vAlign w:val="center"/>
          </w:tcPr>
          <w:p w14:paraId="1B76C78A" w14:textId="77777777" w:rsidR="0064647E" w:rsidRPr="002530A2" w:rsidRDefault="0064647E" w:rsidP="00C01E09">
            <w:pPr>
              <w:pStyle w:val="Tabletext0"/>
              <w:keepNext/>
              <w:keepLines/>
              <w:jc w:val="center"/>
            </w:pPr>
            <w:r w:rsidRPr="002530A2">
              <w:t>0</w:t>
            </w:r>
          </w:p>
        </w:tc>
      </w:tr>
      <w:tr w:rsidR="0064647E" w:rsidRPr="002530A2" w14:paraId="344FC8C1" w14:textId="77777777" w:rsidTr="00A65564">
        <w:tc>
          <w:tcPr>
            <w:tcW w:w="3538" w:type="dxa"/>
          </w:tcPr>
          <w:p w14:paraId="27922EEB" w14:textId="77777777" w:rsidR="0064647E" w:rsidRPr="002530A2" w:rsidRDefault="0064647E" w:rsidP="00C01E09">
            <w:pPr>
              <w:pStyle w:val="Tabletext0"/>
              <w:keepNext/>
              <w:keepLines/>
            </w:pPr>
            <w:r w:rsidRPr="002530A2">
              <w:t xml:space="preserve">1 or more serious </w:t>
            </w:r>
            <w:r>
              <w:t>TEAE</w:t>
            </w:r>
          </w:p>
        </w:tc>
        <w:tc>
          <w:tcPr>
            <w:tcW w:w="1549" w:type="dxa"/>
            <w:vAlign w:val="center"/>
          </w:tcPr>
          <w:p w14:paraId="2E1EC2CA" w14:textId="77777777" w:rsidR="0064647E" w:rsidRPr="002530A2" w:rsidRDefault="0064647E" w:rsidP="00C01E09">
            <w:pPr>
              <w:pStyle w:val="Tabletext0"/>
              <w:keepNext/>
              <w:keepLines/>
              <w:jc w:val="center"/>
            </w:pPr>
            <w:r w:rsidRPr="002530A2">
              <w:t>13 (3.0)</w:t>
            </w:r>
          </w:p>
        </w:tc>
        <w:tc>
          <w:tcPr>
            <w:tcW w:w="1428" w:type="dxa"/>
            <w:vAlign w:val="center"/>
          </w:tcPr>
          <w:p w14:paraId="6D239BEB" w14:textId="77777777" w:rsidR="0064647E" w:rsidRPr="002530A2" w:rsidRDefault="0064647E" w:rsidP="00C01E09">
            <w:pPr>
              <w:pStyle w:val="Tabletext0"/>
              <w:keepNext/>
              <w:keepLines/>
              <w:jc w:val="center"/>
            </w:pPr>
            <w:r w:rsidRPr="002530A2">
              <w:t>11 (2.4)</w:t>
            </w:r>
          </w:p>
        </w:tc>
        <w:tc>
          <w:tcPr>
            <w:tcW w:w="1353" w:type="dxa"/>
            <w:vAlign w:val="center"/>
          </w:tcPr>
          <w:p w14:paraId="0A216CBA" w14:textId="77777777" w:rsidR="0064647E" w:rsidRPr="002530A2" w:rsidRDefault="0064647E" w:rsidP="00C01E09">
            <w:pPr>
              <w:pStyle w:val="Tabletext0"/>
              <w:keepNext/>
              <w:keepLines/>
              <w:jc w:val="center"/>
            </w:pPr>
            <w:r w:rsidRPr="002530A2">
              <w:t>4 (2.6)</w:t>
            </w:r>
          </w:p>
        </w:tc>
        <w:tc>
          <w:tcPr>
            <w:tcW w:w="1148" w:type="dxa"/>
            <w:vAlign w:val="center"/>
          </w:tcPr>
          <w:p w14:paraId="3F54D3D8" w14:textId="77777777" w:rsidR="0064647E" w:rsidRPr="002530A2" w:rsidRDefault="0064647E" w:rsidP="00C01E09">
            <w:pPr>
              <w:pStyle w:val="Tabletext0"/>
              <w:keepNext/>
              <w:keepLines/>
              <w:jc w:val="center"/>
            </w:pPr>
            <w:r w:rsidRPr="002530A2">
              <w:t>1 (0.7)</w:t>
            </w:r>
          </w:p>
        </w:tc>
      </w:tr>
      <w:tr w:rsidR="0064647E" w:rsidRPr="002530A2" w14:paraId="6DB51877" w14:textId="77777777" w:rsidTr="00A65564">
        <w:tc>
          <w:tcPr>
            <w:tcW w:w="3538" w:type="dxa"/>
          </w:tcPr>
          <w:p w14:paraId="73D5724C" w14:textId="77777777" w:rsidR="0064647E" w:rsidRPr="002530A2" w:rsidRDefault="0064647E" w:rsidP="00C01E09">
            <w:pPr>
              <w:pStyle w:val="Tabletext0"/>
              <w:keepNext/>
              <w:keepLines/>
            </w:pPr>
            <w:r w:rsidRPr="002530A2">
              <w:t xml:space="preserve">TEAE possibly related to intranasal drug withdrawn </w:t>
            </w:r>
            <w:r w:rsidRPr="002530A2">
              <w:rPr>
                <w:vertAlign w:val="superscript"/>
              </w:rPr>
              <w:t xml:space="preserve">b </w:t>
            </w:r>
          </w:p>
        </w:tc>
        <w:tc>
          <w:tcPr>
            <w:tcW w:w="1549" w:type="dxa"/>
            <w:vAlign w:val="center"/>
          </w:tcPr>
          <w:p w14:paraId="5E8EB3CF" w14:textId="77777777" w:rsidR="0064647E" w:rsidRPr="002530A2" w:rsidRDefault="0064647E" w:rsidP="00C01E09">
            <w:pPr>
              <w:pStyle w:val="Tabletext0"/>
              <w:keepNext/>
              <w:keepLines/>
              <w:jc w:val="center"/>
            </w:pPr>
            <w:r w:rsidRPr="002530A2">
              <w:t>22 (5.0)</w:t>
            </w:r>
          </w:p>
        </w:tc>
        <w:tc>
          <w:tcPr>
            <w:tcW w:w="1428" w:type="dxa"/>
            <w:vAlign w:val="center"/>
          </w:tcPr>
          <w:p w14:paraId="2395031D" w14:textId="77777777" w:rsidR="0064647E" w:rsidRPr="002530A2" w:rsidRDefault="0064647E" w:rsidP="00C01E09">
            <w:pPr>
              <w:pStyle w:val="Tabletext0"/>
              <w:keepNext/>
              <w:keepLines/>
              <w:jc w:val="center"/>
            </w:pPr>
            <w:r w:rsidRPr="002530A2">
              <w:t>5 (1.1)</w:t>
            </w:r>
          </w:p>
        </w:tc>
        <w:tc>
          <w:tcPr>
            <w:tcW w:w="1353" w:type="dxa"/>
            <w:vAlign w:val="center"/>
          </w:tcPr>
          <w:p w14:paraId="26A52D21" w14:textId="77777777" w:rsidR="0064647E" w:rsidRPr="002530A2" w:rsidRDefault="0064647E" w:rsidP="00C01E09">
            <w:pPr>
              <w:pStyle w:val="Tabletext0"/>
              <w:keepNext/>
              <w:keepLines/>
              <w:jc w:val="center"/>
            </w:pPr>
            <w:r w:rsidRPr="002530A2">
              <w:t>4 (2.6)</w:t>
            </w:r>
          </w:p>
        </w:tc>
        <w:tc>
          <w:tcPr>
            <w:tcW w:w="1148" w:type="dxa"/>
            <w:vAlign w:val="center"/>
          </w:tcPr>
          <w:p w14:paraId="29C10A4E" w14:textId="77777777" w:rsidR="0064647E" w:rsidRPr="002530A2" w:rsidRDefault="0064647E" w:rsidP="00C01E09">
            <w:pPr>
              <w:pStyle w:val="Tabletext0"/>
              <w:keepNext/>
              <w:keepLines/>
              <w:jc w:val="center"/>
            </w:pPr>
            <w:r w:rsidRPr="002530A2">
              <w:t>3 (2.1)</w:t>
            </w:r>
          </w:p>
        </w:tc>
      </w:tr>
      <w:tr w:rsidR="0064647E" w:rsidRPr="002530A2" w14:paraId="7A195762" w14:textId="77777777" w:rsidTr="00A65564">
        <w:tc>
          <w:tcPr>
            <w:tcW w:w="3538" w:type="dxa"/>
          </w:tcPr>
          <w:p w14:paraId="57788E08" w14:textId="0F4DBE6C" w:rsidR="0064647E" w:rsidRPr="002530A2" w:rsidRDefault="0064647E" w:rsidP="00C01E09">
            <w:pPr>
              <w:pStyle w:val="Tabletext0"/>
              <w:keepNext/>
              <w:keepLines/>
            </w:pPr>
            <w:r w:rsidRPr="002530A2">
              <w:t xml:space="preserve">TEAE possibly related to </w:t>
            </w:r>
            <w:r w:rsidR="00C50DC8">
              <w:t>OAD</w:t>
            </w:r>
            <w:r w:rsidRPr="002530A2">
              <w:t xml:space="preserve"> withdrawn </w:t>
            </w:r>
            <w:r w:rsidRPr="002530A2">
              <w:rPr>
                <w:vertAlign w:val="superscript"/>
              </w:rPr>
              <w:t>b</w:t>
            </w:r>
          </w:p>
        </w:tc>
        <w:tc>
          <w:tcPr>
            <w:tcW w:w="1549" w:type="dxa"/>
            <w:vAlign w:val="center"/>
          </w:tcPr>
          <w:p w14:paraId="46EDAC09" w14:textId="77777777" w:rsidR="0064647E" w:rsidRPr="002530A2" w:rsidRDefault="0064647E" w:rsidP="00C01E09">
            <w:pPr>
              <w:pStyle w:val="Tabletext0"/>
              <w:keepNext/>
              <w:keepLines/>
              <w:jc w:val="center"/>
            </w:pPr>
            <w:r w:rsidRPr="002530A2">
              <w:t>8 (1.8)</w:t>
            </w:r>
          </w:p>
        </w:tc>
        <w:tc>
          <w:tcPr>
            <w:tcW w:w="1428" w:type="dxa"/>
            <w:vAlign w:val="center"/>
          </w:tcPr>
          <w:p w14:paraId="26EDBB06" w14:textId="77777777" w:rsidR="0064647E" w:rsidRPr="002530A2" w:rsidRDefault="0064647E" w:rsidP="00C01E09">
            <w:pPr>
              <w:pStyle w:val="Tabletext0"/>
              <w:keepNext/>
              <w:keepLines/>
              <w:jc w:val="center"/>
            </w:pPr>
            <w:r w:rsidRPr="002530A2">
              <w:t>2 (0.4)</w:t>
            </w:r>
          </w:p>
        </w:tc>
        <w:tc>
          <w:tcPr>
            <w:tcW w:w="1353" w:type="dxa"/>
            <w:vAlign w:val="center"/>
          </w:tcPr>
          <w:p w14:paraId="092CA249" w14:textId="77777777" w:rsidR="0064647E" w:rsidRPr="002530A2" w:rsidRDefault="0064647E" w:rsidP="00C01E09">
            <w:pPr>
              <w:pStyle w:val="Tabletext0"/>
              <w:keepNext/>
              <w:keepLines/>
              <w:jc w:val="center"/>
            </w:pPr>
            <w:r w:rsidRPr="002530A2">
              <w:t>3 (2.0)</w:t>
            </w:r>
          </w:p>
        </w:tc>
        <w:tc>
          <w:tcPr>
            <w:tcW w:w="1148" w:type="dxa"/>
            <w:vAlign w:val="center"/>
          </w:tcPr>
          <w:p w14:paraId="105A7A7A" w14:textId="77777777" w:rsidR="0064647E" w:rsidRPr="002530A2" w:rsidRDefault="0064647E" w:rsidP="00C01E09">
            <w:pPr>
              <w:pStyle w:val="Tabletext0"/>
              <w:keepNext/>
              <w:keepLines/>
              <w:jc w:val="center"/>
            </w:pPr>
            <w:r w:rsidRPr="002530A2">
              <w:t>0</w:t>
            </w:r>
          </w:p>
        </w:tc>
      </w:tr>
    </w:tbl>
    <w:p w14:paraId="6A1D885B" w14:textId="44B20914" w:rsidR="0064647E" w:rsidRPr="002530A2" w:rsidRDefault="0064647E" w:rsidP="0064647E">
      <w:pPr>
        <w:pStyle w:val="TableFigureFooter"/>
      </w:pPr>
      <w:r w:rsidRPr="002530A2">
        <w:t>Source: Table 2.5-23, p.173</w:t>
      </w:r>
      <w:r>
        <w:t xml:space="preserve"> and Table 2.5-24, p.173</w:t>
      </w:r>
      <w:r w:rsidRPr="002530A2">
        <w:t xml:space="preserve"> of the </w:t>
      </w:r>
      <w:r w:rsidR="007B42EA">
        <w:t xml:space="preserve">July 2021 </w:t>
      </w:r>
      <w:r w:rsidRPr="002530A2">
        <w:t>submission</w:t>
      </w:r>
    </w:p>
    <w:p w14:paraId="0A05092B" w14:textId="77777777" w:rsidR="0064647E" w:rsidRPr="002530A2" w:rsidRDefault="0064647E" w:rsidP="0064647E">
      <w:pPr>
        <w:pStyle w:val="TableFigureFooter"/>
      </w:pPr>
      <w:r w:rsidRPr="002530A2">
        <w:t xml:space="preserve">Abbreviations: ESK, </w:t>
      </w:r>
      <w:proofErr w:type="spellStart"/>
      <w:r w:rsidRPr="002530A2">
        <w:t>esketamine</w:t>
      </w:r>
      <w:proofErr w:type="spellEnd"/>
      <w:r w:rsidRPr="002530A2">
        <w:t xml:space="preserve"> nasal spray; OAD, oral antidepressant; PBO, intranasal placebo</w:t>
      </w:r>
    </w:p>
    <w:p w14:paraId="7E3D5EA1" w14:textId="77777777" w:rsidR="0064647E" w:rsidRPr="002530A2" w:rsidRDefault="0064647E" w:rsidP="0064647E">
      <w:pPr>
        <w:pStyle w:val="TableFigureFooter"/>
      </w:pPr>
      <w:r w:rsidRPr="002530A2">
        <w:rPr>
          <w:vertAlign w:val="superscript"/>
        </w:rPr>
        <w:t>a</w:t>
      </w:r>
      <w:r w:rsidRPr="002530A2">
        <w:t xml:space="preserve"> Study drug relationship of possible, probable, and very likely are included in this category</w:t>
      </w:r>
    </w:p>
    <w:p w14:paraId="1364468B" w14:textId="77777777" w:rsidR="0064647E" w:rsidRPr="002530A2" w:rsidRDefault="0064647E" w:rsidP="0064647E">
      <w:pPr>
        <w:pStyle w:val="TableFigureFooter"/>
      </w:pPr>
      <w:r w:rsidRPr="002530A2">
        <w:rPr>
          <w:vertAlign w:val="superscript"/>
        </w:rPr>
        <w:t>b</w:t>
      </w:r>
      <w:r w:rsidRPr="002530A2">
        <w:t xml:space="preserve"> An adverse event that started in the double-blind induction phase and resulted in discontinuation in the follow-up phase is counted as treatment-emergent in the double-blind induction phase</w:t>
      </w:r>
    </w:p>
    <w:p w14:paraId="08F3064F" w14:textId="77777777" w:rsidR="0064647E" w:rsidRPr="002530A2" w:rsidRDefault="0064647E" w:rsidP="0064647E">
      <w:pPr>
        <w:pStyle w:val="TableFigureFooter"/>
      </w:pPr>
      <w:r w:rsidRPr="002530A2">
        <w:t>* Incidence is based on the number of subjects experiencing at least one adverse event, not the number of events. Adverse events are coded using MedDRA version 20.0.</w:t>
      </w:r>
    </w:p>
    <w:p w14:paraId="6E45C6EF" w14:textId="77777777" w:rsidR="0064647E" w:rsidRDefault="0064647E" w:rsidP="0064647E">
      <w:pPr>
        <w:pStyle w:val="ExecSumBodyText"/>
      </w:pPr>
      <w:r>
        <w:t xml:space="preserve">The types and incidences of most common treatment-emergent adverse events were generally consistent across the 4-week induction phases of the short-term studies and the induction phase of SUSTAIN-1. In the double-blind maintenance phase treatment-emergent adverse events were reported at a higher rate in the </w:t>
      </w:r>
      <w:proofErr w:type="spellStart"/>
      <w:r>
        <w:t>esketamine</w:t>
      </w:r>
      <w:proofErr w:type="spellEnd"/>
      <w:r>
        <w:t xml:space="preserve"> nasal spray versus the intranasal placebo group. </w:t>
      </w:r>
    </w:p>
    <w:p w14:paraId="05EDAE8C" w14:textId="77777777" w:rsidR="0064647E" w:rsidRDefault="0064647E" w:rsidP="0064647E">
      <w:pPr>
        <w:pStyle w:val="ExecSumBodyText"/>
      </w:pPr>
      <w:r>
        <w:t xml:space="preserve">The most common treatment-emergent adverse events in SUSTAIN-1 included dysgeusia, vertigo, dissociation, somnolence, dizziness, headache, nausea, vision blurred, and </w:t>
      </w:r>
      <w:proofErr w:type="spellStart"/>
      <w:r>
        <w:t>hypoaesthesia</w:t>
      </w:r>
      <w:proofErr w:type="spellEnd"/>
      <w:r>
        <w:t xml:space="preserve"> oral and were consistent with the types of adverse events observed in the induction phase. In the double blinded maintenance phase, these events occurred at a higher incidence in the </w:t>
      </w:r>
      <w:proofErr w:type="spellStart"/>
      <w:r>
        <w:t>esketamine</w:t>
      </w:r>
      <w:proofErr w:type="spellEnd"/>
      <w:r>
        <w:t xml:space="preserve"> nasal spray treatment arm compared with the intranasal placebo treatment arm. </w:t>
      </w:r>
      <w:r w:rsidRPr="008656C1">
        <w:t xml:space="preserve">This suggests that the adverse events associated with </w:t>
      </w:r>
      <w:proofErr w:type="spellStart"/>
      <w:r w:rsidRPr="008656C1">
        <w:t>esketamine</w:t>
      </w:r>
      <w:proofErr w:type="spellEnd"/>
      <w:r w:rsidRPr="008656C1">
        <w:t xml:space="preserve"> nasal spray, which may affect tolerability, continue to be experienced in the maintenance phases of treatment.</w:t>
      </w:r>
    </w:p>
    <w:p w14:paraId="22A58689" w14:textId="16E4882D" w:rsidR="00B9344C" w:rsidRPr="008656C1" w:rsidRDefault="00B9344C" w:rsidP="00B9344C">
      <w:pPr>
        <w:pStyle w:val="ExecSumBodyText"/>
      </w:pPr>
      <w:r>
        <w:t>The ESC previously noted that ‘</w:t>
      </w:r>
      <w:r w:rsidR="00262026">
        <w:t>a</w:t>
      </w:r>
      <w:r>
        <w:t xml:space="preserve">dverse events continued to be experienced at a greater incidence in the </w:t>
      </w:r>
      <w:proofErr w:type="spellStart"/>
      <w:r>
        <w:t>esketamine</w:t>
      </w:r>
      <w:proofErr w:type="spellEnd"/>
      <w:r>
        <w:t xml:space="preserve"> treatment group compared with the placebo </w:t>
      </w:r>
      <w:r>
        <w:lastRenderedPageBreak/>
        <w:t xml:space="preserve">treatment group in the SUSTAIN-1 trial, suggesting that adverse events may continue throughout maintenance treatment’ (para 6.33, </w:t>
      </w:r>
      <w:proofErr w:type="spellStart"/>
      <w:r w:rsidR="00D46C2D">
        <w:t>esketamine</w:t>
      </w:r>
      <w:proofErr w:type="spellEnd"/>
      <w:r w:rsidR="00D46C2D">
        <w:t xml:space="preserve"> P</w:t>
      </w:r>
      <w:r>
        <w:t xml:space="preserve">SD, July 2021 PBAC meeting). The resubmission stated that although </w:t>
      </w:r>
      <w:proofErr w:type="spellStart"/>
      <w:r>
        <w:t>esketamine</w:t>
      </w:r>
      <w:proofErr w:type="spellEnd"/>
      <w:r>
        <w:t xml:space="preserve"> nasal spray has a distinct side effect profile and patients treated with </w:t>
      </w:r>
      <w:proofErr w:type="spellStart"/>
      <w:r>
        <w:t>esketamine</w:t>
      </w:r>
      <w:proofErr w:type="spellEnd"/>
      <w:r>
        <w:t xml:space="preserve"> nasal spray are likely to experience these upon dosing into the maintenance phase, the majority of </w:t>
      </w:r>
      <w:proofErr w:type="spellStart"/>
      <w:r>
        <w:t>esketamine</w:t>
      </w:r>
      <w:proofErr w:type="spellEnd"/>
      <w:r>
        <w:t xml:space="preserve"> side effects are transient, self-limiting, and mostly mild or moderate in severity. </w:t>
      </w:r>
      <w:r w:rsidRPr="008656C1">
        <w:t xml:space="preserve">At present, longer-term (&gt;12 months) safety of use of </w:t>
      </w:r>
      <w:proofErr w:type="spellStart"/>
      <w:r w:rsidRPr="008656C1">
        <w:t>esketamine</w:t>
      </w:r>
      <w:proofErr w:type="spellEnd"/>
      <w:r w:rsidRPr="008656C1">
        <w:t xml:space="preserve"> nasal spray is unknown. The longer term, repeated use of </w:t>
      </w:r>
      <w:proofErr w:type="spellStart"/>
      <w:r w:rsidRPr="008656C1">
        <w:t>esketamine</w:t>
      </w:r>
      <w:proofErr w:type="spellEnd"/>
      <w:r w:rsidRPr="008656C1">
        <w:t xml:space="preserve"> may potentially lead to adverse effects that are seen with longer-term, repeated use of ketamine, including abuse and addiction, neurotoxicity, bladder toxicity, and hepatoxicity. </w:t>
      </w:r>
    </w:p>
    <w:p w14:paraId="0A4DDDBF" w14:textId="2868DD06" w:rsidR="0064647E" w:rsidRDefault="00BC0732" w:rsidP="0064647E">
      <w:pPr>
        <w:pStyle w:val="ExecSumBodyText"/>
      </w:pPr>
      <w:proofErr w:type="gramStart"/>
      <w:r>
        <w:t>A</w:t>
      </w:r>
      <w:r w:rsidR="0064647E">
        <w:t xml:space="preserve"> number of</w:t>
      </w:r>
      <w:proofErr w:type="gramEnd"/>
      <w:r w:rsidR="0064647E">
        <w:t xml:space="preserve"> adverse events were of clinical interest during the </w:t>
      </w:r>
      <w:proofErr w:type="spellStart"/>
      <w:r w:rsidR="0064647E">
        <w:t>esketamine</w:t>
      </w:r>
      <w:proofErr w:type="spellEnd"/>
      <w:r w:rsidR="0064647E">
        <w:t xml:space="preserve"> nasal spray clinical development program: adverse events potentially suggestive of abuse, increased blood pressure, increased heart rate, transient dizziness or vertigo, impaired cognition, cystitis, anxiety, and treatment-emergent suicidality. </w:t>
      </w:r>
    </w:p>
    <w:p w14:paraId="6840944B" w14:textId="3D9BEDDC" w:rsidR="0064647E" w:rsidRDefault="0064647E" w:rsidP="0064647E">
      <w:pPr>
        <w:pStyle w:val="ExecSumBodyText"/>
      </w:pPr>
      <w:r>
        <w:t xml:space="preserve">Across all studies, adverse events of drug abuse, drug abuser, drug dependence, drug detoxification, drug rehabilitation, drug tolerance, drug tolerance increased, or drug use disorder were not identified. There were no reports from the investigational sites of any subjects requesting an increase either in the dose of </w:t>
      </w:r>
      <w:proofErr w:type="spellStart"/>
      <w:r>
        <w:t>esketamine</w:t>
      </w:r>
      <w:proofErr w:type="spellEnd"/>
      <w:r>
        <w:t xml:space="preserve"> nasal spray or in the frequency of treatment sessions (as a potential early indicator of drug-seeking behaviour). </w:t>
      </w:r>
      <w:r w:rsidRPr="008656C1">
        <w:t xml:space="preserve">It may be difficult to observe these outcomes in a tightly regulated trial setting; it is unclear whether potential abuse or misuse may occur in clinical </w:t>
      </w:r>
      <w:proofErr w:type="gramStart"/>
      <w:r w:rsidRPr="008656C1">
        <w:t>practice</w:t>
      </w:r>
      <w:proofErr w:type="gramEnd"/>
      <w:r w:rsidRPr="008656C1">
        <w:t xml:space="preserve"> and this is likely to be dependent upon the model used for administration.</w:t>
      </w:r>
      <w:r>
        <w:t xml:space="preserve"> Increased blood pressure or increased heart rate, dizziness/vertigo, and anxiety in all studies were primarily mild or moderate in severity. Suicidality-related adverse events were reported as severe in only a small number of subjects, and most were considered either not related or doubtfully related to </w:t>
      </w:r>
      <w:proofErr w:type="spellStart"/>
      <w:r>
        <w:t>esketamine</w:t>
      </w:r>
      <w:proofErr w:type="spellEnd"/>
      <w:r>
        <w:t xml:space="preserve"> nasal spray treatment in the opinion of the investigator and therefore likely associated with the underlying disease. There were very low reported cases of cystitis (9 subjects in SUSTAIN-1, 5 subjects in SUSTAIN-2 and 8 subjects in SUSTAIN-3) and impaired cognition (1 subject in SUSTAIN-3) in the </w:t>
      </w:r>
      <w:proofErr w:type="spellStart"/>
      <w:r>
        <w:t>esketamine</w:t>
      </w:r>
      <w:proofErr w:type="spellEnd"/>
      <w:r>
        <w:t xml:space="preserve"> nasal spray studies. </w:t>
      </w:r>
      <w:r w:rsidRPr="008656C1">
        <w:t>Adverse events such as impaired cognition may not be observable over short-term trial durations.</w:t>
      </w:r>
      <w:r w:rsidR="00D87183">
        <w:t xml:space="preserve"> </w:t>
      </w:r>
    </w:p>
    <w:p w14:paraId="2200F733" w14:textId="509A784C" w:rsidR="00D87183" w:rsidRPr="002530A2" w:rsidRDefault="00D87183" w:rsidP="0064647E">
      <w:pPr>
        <w:pStyle w:val="ExecSumBodyText"/>
      </w:pPr>
      <w:r>
        <w:t>The Pre-PBAC Response acknowledged the ab</w:t>
      </w:r>
      <w:r w:rsidR="002F458E">
        <w:t>s</w:t>
      </w:r>
      <w:r>
        <w:t>en</w:t>
      </w:r>
      <w:r w:rsidR="002F458E">
        <w:t>c</w:t>
      </w:r>
      <w:r>
        <w:t xml:space="preserve">e of trial-based safety data beyond 12 months, however noted the most recent Periodic Benefit Risk Evaluation Report (PBER) from October 2021, </w:t>
      </w:r>
      <w:r w:rsidR="008932A2">
        <w:t xml:space="preserve">included information from the ongoing open-label extension safety trial of SUSTAIN-2, which found </w:t>
      </w:r>
      <w:r w:rsidR="008932A2" w:rsidRPr="005A0E67">
        <w:t>n</w:t>
      </w:r>
      <w:r w:rsidR="00013348">
        <w:t>o</w:t>
      </w:r>
      <w:r w:rsidR="008932A2" w:rsidRPr="005A0E67">
        <w:t xml:space="preserve"> new safety concerns</w:t>
      </w:r>
      <w:r w:rsidR="008932A2">
        <w:t xml:space="preserve"> with continued intermittent </w:t>
      </w:r>
      <w:proofErr w:type="spellStart"/>
      <w:r w:rsidR="008932A2">
        <w:t>esketamine</w:t>
      </w:r>
      <w:proofErr w:type="spellEnd"/>
      <w:r w:rsidR="008932A2">
        <w:t xml:space="preserve"> dosing of up to 56 months.</w:t>
      </w:r>
    </w:p>
    <w:p w14:paraId="04908C7F" w14:textId="415B9B7D" w:rsidR="007F1017" w:rsidRPr="00C9624D" w:rsidRDefault="007F1017" w:rsidP="00D86231">
      <w:pPr>
        <w:pStyle w:val="3-SubsectionHeading"/>
      </w:pPr>
      <w:bookmarkStart w:id="31" w:name="_Toc103767193"/>
      <w:r w:rsidRPr="00C9624D">
        <w:t>Benefits/harms</w:t>
      </w:r>
      <w:bookmarkEnd w:id="30"/>
      <w:bookmarkEnd w:id="31"/>
    </w:p>
    <w:p w14:paraId="0DEE267D" w14:textId="18FCD020" w:rsidR="00E25D30" w:rsidRDefault="00E25D30" w:rsidP="00EC7477">
      <w:pPr>
        <w:pStyle w:val="ExecSumBodyText"/>
      </w:pPr>
      <w:r>
        <w:t xml:space="preserve">The benefits and harms are unchanged from the July 2021 submission, except for the addition of the TRANSFORM-3 trial results. </w:t>
      </w:r>
    </w:p>
    <w:p w14:paraId="5F9C3679" w14:textId="28317F52" w:rsidR="00D3664C" w:rsidRDefault="00D3664C" w:rsidP="00EC7477">
      <w:pPr>
        <w:pStyle w:val="ExecSumBodyText"/>
        <w:contextualSpacing/>
      </w:pPr>
      <w:proofErr w:type="gramStart"/>
      <w:r>
        <w:t>On the basis of</w:t>
      </w:r>
      <w:proofErr w:type="gramEnd"/>
      <w:r>
        <w:t xml:space="preserve"> the direct evidence presented in the submission (4 weeks of double-blind induction treatment in TRANSFORM-2), for every 100 patients</w:t>
      </w:r>
      <w:r w:rsidR="00B9344C">
        <w:t xml:space="preserve"> aged 18-64 years</w:t>
      </w:r>
      <w:r>
        <w:t xml:space="preserve"> </w:t>
      </w:r>
      <w:r>
        <w:lastRenderedPageBreak/>
        <w:t xml:space="preserve">with treatment-resistant depression treated with </w:t>
      </w:r>
      <w:proofErr w:type="spellStart"/>
      <w:r>
        <w:t>esketamine</w:t>
      </w:r>
      <w:proofErr w:type="spellEnd"/>
      <w:r>
        <w:t xml:space="preserve"> nasal spray </w:t>
      </w:r>
      <w:r w:rsidR="00C50DC8">
        <w:t>plus</w:t>
      </w:r>
      <w:r>
        <w:t xml:space="preserve"> an </w:t>
      </w:r>
      <w:r w:rsidR="00C50DC8">
        <w:t>OAD</w:t>
      </w:r>
      <w:r>
        <w:t xml:space="preserve"> in comparison to intranasal placebo </w:t>
      </w:r>
      <w:r w:rsidR="00C50DC8">
        <w:t>plus</w:t>
      </w:r>
      <w:r>
        <w:t xml:space="preserve"> an </w:t>
      </w:r>
      <w:r w:rsidR="00C50DC8">
        <w:t>OAD</w:t>
      </w:r>
      <w:r>
        <w:t>:</w:t>
      </w:r>
    </w:p>
    <w:p w14:paraId="06E2B60C" w14:textId="16546CFD" w:rsidR="00D3664C" w:rsidRDefault="00D3664C" w:rsidP="004D6A5C">
      <w:pPr>
        <w:pStyle w:val="ExecSumBodyText"/>
        <w:numPr>
          <w:ilvl w:val="1"/>
          <w:numId w:val="11"/>
        </w:numPr>
        <w:ind w:left="1077" w:hanging="357"/>
        <w:contextualSpacing/>
      </w:pPr>
      <w:r>
        <w:t xml:space="preserve">Approximately 17 </w:t>
      </w:r>
      <w:r w:rsidR="00783935">
        <w:t xml:space="preserve">additional </w:t>
      </w:r>
      <w:r>
        <w:t>patients would have a response, defined as a ≥50% reduction in symptoms of depression as measured on the MADRS.</w:t>
      </w:r>
    </w:p>
    <w:p w14:paraId="426EA807" w14:textId="77777777" w:rsidR="00D3664C" w:rsidRDefault="00D3664C" w:rsidP="004D6A5C">
      <w:pPr>
        <w:pStyle w:val="ExecSumBodyText"/>
        <w:numPr>
          <w:ilvl w:val="1"/>
          <w:numId w:val="11"/>
        </w:numPr>
        <w:ind w:left="1077" w:hanging="357"/>
        <w:contextualSpacing/>
      </w:pPr>
      <w:r>
        <w:t xml:space="preserve">Approximately 22 additional patients would experience remission, defined as a MADRS score </w:t>
      </w:r>
      <w:r w:rsidRPr="00E75E07">
        <w:t>≤</w:t>
      </w:r>
      <w:r>
        <w:t>12.</w:t>
      </w:r>
    </w:p>
    <w:p w14:paraId="2A30DAD4" w14:textId="69F441E2" w:rsidR="00D3664C" w:rsidRDefault="00D3664C" w:rsidP="004D6A5C">
      <w:pPr>
        <w:pStyle w:val="ExecSumBodyText"/>
        <w:numPr>
          <w:ilvl w:val="1"/>
          <w:numId w:val="11"/>
        </w:numPr>
        <w:ind w:left="1077" w:hanging="357"/>
        <w:contextualSpacing/>
      </w:pPr>
      <w:r>
        <w:t xml:space="preserve">Approximately 16 </w:t>
      </w:r>
      <w:r w:rsidR="002F458E">
        <w:t xml:space="preserve">additional </w:t>
      </w:r>
      <w:r>
        <w:t>patients would experience dizziness.</w:t>
      </w:r>
    </w:p>
    <w:p w14:paraId="2F47B907" w14:textId="4ED2EAF9" w:rsidR="00D3664C" w:rsidRDefault="00D3664C" w:rsidP="004D6A5C">
      <w:pPr>
        <w:pStyle w:val="ExecSumBodyText"/>
        <w:numPr>
          <w:ilvl w:val="1"/>
          <w:numId w:val="11"/>
        </w:numPr>
        <w:ind w:left="1077" w:hanging="357"/>
        <w:contextualSpacing/>
      </w:pPr>
      <w:r>
        <w:t xml:space="preserve">Approximately 22 </w:t>
      </w:r>
      <w:r w:rsidR="002F458E">
        <w:t xml:space="preserve">additional </w:t>
      </w:r>
      <w:r>
        <w:t>patients would experience dissociation.</w:t>
      </w:r>
    </w:p>
    <w:p w14:paraId="6D921C5B" w14:textId="21F70E1B" w:rsidR="00D3664C" w:rsidRDefault="00D3664C" w:rsidP="004D6A5C">
      <w:pPr>
        <w:pStyle w:val="ExecSumBodyText"/>
        <w:numPr>
          <w:ilvl w:val="1"/>
          <w:numId w:val="11"/>
        </w:numPr>
        <w:ind w:left="1077" w:hanging="357"/>
        <w:contextualSpacing/>
      </w:pPr>
      <w:r>
        <w:t xml:space="preserve">Approximately 23 </w:t>
      </w:r>
      <w:r w:rsidR="002F458E">
        <w:t xml:space="preserve">additional </w:t>
      </w:r>
      <w:r>
        <w:t>patients would experience vertigo.</w:t>
      </w:r>
    </w:p>
    <w:p w14:paraId="1956AE98" w14:textId="7343B03C" w:rsidR="00D3664C" w:rsidRDefault="00D3664C" w:rsidP="004D6A5C">
      <w:pPr>
        <w:pStyle w:val="ExecSumBodyText"/>
        <w:numPr>
          <w:ilvl w:val="1"/>
          <w:numId w:val="11"/>
        </w:numPr>
        <w:ind w:left="1077" w:hanging="357"/>
      </w:pPr>
      <w:r>
        <w:t xml:space="preserve">Approximately 10 </w:t>
      </w:r>
      <w:r w:rsidR="002F458E">
        <w:t xml:space="preserve">additional </w:t>
      </w:r>
      <w:r>
        <w:t>patients would have an increase in blood pressure.</w:t>
      </w:r>
    </w:p>
    <w:p w14:paraId="6A07490F" w14:textId="26F37A30" w:rsidR="00D526E7" w:rsidRDefault="00D526E7" w:rsidP="00EC7477">
      <w:pPr>
        <w:pStyle w:val="ExecSumBodyText"/>
        <w:contextualSpacing/>
      </w:pPr>
      <w:proofErr w:type="gramStart"/>
      <w:r>
        <w:t>On the basis of</w:t>
      </w:r>
      <w:proofErr w:type="gramEnd"/>
      <w:r>
        <w:t xml:space="preserve"> the direct evidence presented in the submission (4 weeks of double-blind induction treatment in TRANSFORM-3), for every 100 patients aged 65 years and over with treatment-resistant depression treated with </w:t>
      </w:r>
      <w:proofErr w:type="spellStart"/>
      <w:r>
        <w:t>esketamine</w:t>
      </w:r>
      <w:proofErr w:type="spellEnd"/>
      <w:r>
        <w:t xml:space="preserve"> nasal spray </w:t>
      </w:r>
      <w:r w:rsidR="00C50DC8">
        <w:t>plus</w:t>
      </w:r>
      <w:r>
        <w:t xml:space="preserve"> an </w:t>
      </w:r>
      <w:r w:rsidR="00C50DC8">
        <w:t>OAD</w:t>
      </w:r>
      <w:r>
        <w:t xml:space="preserve"> in comparison to intranasal placebo </w:t>
      </w:r>
      <w:r w:rsidR="00C50DC8">
        <w:t>plus</w:t>
      </w:r>
      <w:r>
        <w:t xml:space="preserve"> an </w:t>
      </w:r>
      <w:r w:rsidR="00C50DC8">
        <w:t>OAD</w:t>
      </w:r>
      <w:r>
        <w:t>:</w:t>
      </w:r>
    </w:p>
    <w:p w14:paraId="348AA808" w14:textId="5161D165" w:rsidR="00D526E7" w:rsidRDefault="00D526E7" w:rsidP="004D6A5C">
      <w:pPr>
        <w:pStyle w:val="ExecSumBodyText"/>
        <w:numPr>
          <w:ilvl w:val="1"/>
          <w:numId w:val="11"/>
        </w:numPr>
        <w:ind w:left="1077" w:hanging="357"/>
        <w:contextualSpacing/>
      </w:pPr>
      <w:r>
        <w:t>Approximately 1</w:t>
      </w:r>
      <w:r w:rsidR="00C8515D">
        <w:t>4</w:t>
      </w:r>
      <w:r>
        <w:t xml:space="preserve"> </w:t>
      </w:r>
      <w:r w:rsidR="00951A40">
        <w:t xml:space="preserve">additional </w:t>
      </w:r>
      <w:r>
        <w:t>patients would have a response, defined as a ≥50% reduction in symptoms of depression as measured on the MADRS.</w:t>
      </w:r>
    </w:p>
    <w:p w14:paraId="465CFDBE" w14:textId="2B242287" w:rsidR="00D526E7" w:rsidRDefault="00D526E7" w:rsidP="004D6A5C">
      <w:pPr>
        <w:pStyle w:val="ExecSumBodyText"/>
        <w:numPr>
          <w:ilvl w:val="1"/>
          <w:numId w:val="11"/>
        </w:numPr>
        <w:ind w:left="1077" w:hanging="357"/>
        <w:contextualSpacing/>
      </w:pPr>
      <w:r>
        <w:t xml:space="preserve">Approximately </w:t>
      </w:r>
      <w:r w:rsidR="00EF6077">
        <w:t>11</w:t>
      </w:r>
      <w:r>
        <w:t xml:space="preserve"> additional patients would experience remission, defined as a MADRS score </w:t>
      </w:r>
      <w:r w:rsidRPr="00E75E07">
        <w:t>≤</w:t>
      </w:r>
      <w:r>
        <w:t>12.</w:t>
      </w:r>
    </w:p>
    <w:p w14:paraId="787F3CC2" w14:textId="7CE4DDFD" w:rsidR="00D526E7" w:rsidRDefault="00D526E7" w:rsidP="004D6A5C">
      <w:pPr>
        <w:pStyle w:val="ExecSumBodyText"/>
        <w:numPr>
          <w:ilvl w:val="1"/>
          <w:numId w:val="11"/>
        </w:numPr>
        <w:ind w:left="1077" w:hanging="357"/>
        <w:contextualSpacing/>
      </w:pPr>
      <w:r>
        <w:t>Approximately 1</w:t>
      </w:r>
      <w:r w:rsidR="00CE7EE9">
        <w:t>3</w:t>
      </w:r>
      <w:r>
        <w:t xml:space="preserve"> </w:t>
      </w:r>
      <w:r w:rsidR="002F458E">
        <w:t xml:space="preserve">additional </w:t>
      </w:r>
      <w:r>
        <w:t>patients would experience dizziness.</w:t>
      </w:r>
    </w:p>
    <w:p w14:paraId="444ADD68" w14:textId="731E68C3" w:rsidR="00D526E7" w:rsidRDefault="00D526E7" w:rsidP="004D6A5C">
      <w:pPr>
        <w:pStyle w:val="ExecSumBodyText"/>
        <w:numPr>
          <w:ilvl w:val="1"/>
          <w:numId w:val="11"/>
        </w:numPr>
        <w:ind w:left="1077" w:hanging="357"/>
        <w:contextualSpacing/>
      </w:pPr>
      <w:r>
        <w:t xml:space="preserve">Approximately </w:t>
      </w:r>
      <w:r w:rsidR="00CE7EE9">
        <w:t>11</w:t>
      </w:r>
      <w:r>
        <w:t xml:space="preserve"> </w:t>
      </w:r>
      <w:r w:rsidR="002F458E">
        <w:t xml:space="preserve">additional </w:t>
      </w:r>
      <w:r>
        <w:t>patients would experience dissociation.</w:t>
      </w:r>
    </w:p>
    <w:p w14:paraId="071CAD3C" w14:textId="2A57E232" w:rsidR="00D526E7" w:rsidRDefault="00D526E7" w:rsidP="004D6A5C">
      <w:pPr>
        <w:pStyle w:val="ExecSumBodyText"/>
        <w:numPr>
          <w:ilvl w:val="1"/>
          <w:numId w:val="11"/>
        </w:numPr>
        <w:ind w:left="1077" w:hanging="357"/>
        <w:contextualSpacing/>
      </w:pPr>
      <w:r>
        <w:t xml:space="preserve">Approximately </w:t>
      </w:r>
      <w:r w:rsidR="00365CFA">
        <w:t>8</w:t>
      </w:r>
      <w:r>
        <w:t xml:space="preserve"> </w:t>
      </w:r>
      <w:r w:rsidR="002F458E">
        <w:t xml:space="preserve">additional </w:t>
      </w:r>
      <w:r>
        <w:t>patients would experience vertigo.</w:t>
      </w:r>
    </w:p>
    <w:p w14:paraId="7BB5E2D4" w14:textId="31958D7D" w:rsidR="00D526E7" w:rsidRDefault="00D526E7" w:rsidP="004D6A5C">
      <w:pPr>
        <w:pStyle w:val="ExecSumBodyText"/>
        <w:numPr>
          <w:ilvl w:val="1"/>
          <w:numId w:val="11"/>
        </w:numPr>
        <w:ind w:left="1077" w:hanging="357"/>
      </w:pPr>
      <w:r>
        <w:t xml:space="preserve">Approximately </w:t>
      </w:r>
      <w:r w:rsidR="00365CFA">
        <w:t>8</w:t>
      </w:r>
      <w:r>
        <w:t xml:space="preserve"> </w:t>
      </w:r>
      <w:r w:rsidR="002F458E">
        <w:t xml:space="preserve">additional </w:t>
      </w:r>
      <w:r>
        <w:t>patients would have an increase in blood pressure.</w:t>
      </w:r>
    </w:p>
    <w:p w14:paraId="2D74C779" w14:textId="296A7CF1" w:rsidR="00D3664C" w:rsidRDefault="00D3664C" w:rsidP="00EC7477">
      <w:pPr>
        <w:pStyle w:val="ExecSumBodyText"/>
        <w:contextualSpacing/>
      </w:pPr>
      <w:proofErr w:type="gramStart"/>
      <w:r>
        <w:t>On the basis of</w:t>
      </w:r>
      <w:proofErr w:type="gramEnd"/>
      <w:r>
        <w:t xml:space="preserve"> the direct evidence presented in the submission (double-blind maintenance treatment in SUSTAIN-1), for every 100 patients with treatment-resistant depression who achieved remission or response and continued treatment with </w:t>
      </w:r>
      <w:proofErr w:type="spellStart"/>
      <w:r>
        <w:t>esketamine</w:t>
      </w:r>
      <w:proofErr w:type="spellEnd"/>
      <w:r>
        <w:t xml:space="preserve"> nasal spray </w:t>
      </w:r>
      <w:r w:rsidR="00C50DC8">
        <w:t>plus</w:t>
      </w:r>
      <w:r>
        <w:t xml:space="preserve"> an </w:t>
      </w:r>
      <w:r w:rsidR="00C50DC8">
        <w:t>OAD</w:t>
      </w:r>
      <w:r>
        <w:t xml:space="preserve"> compared to those who achieved remission or response who then discontinued treatment with </w:t>
      </w:r>
      <w:proofErr w:type="spellStart"/>
      <w:r>
        <w:t>esketamine</w:t>
      </w:r>
      <w:proofErr w:type="spellEnd"/>
      <w:r>
        <w:t xml:space="preserve"> nasal spray, instead receiving an intranasal placebo </w:t>
      </w:r>
      <w:r w:rsidR="00C50DC8">
        <w:t>plus</w:t>
      </w:r>
      <w:r>
        <w:t xml:space="preserve"> an </w:t>
      </w:r>
      <w:r w:rsidR="00C50DC8">
        <w:t>OAD</w:t>
      </w:r>
      <w:r>
        <w:t xml:space="preserve"> in the maintenance phase:</w:t>
      </w:r>
    </w:p>
    <w:p w14:paraId="74154705" w14:textId="77777777" w:rsidR="00D3664C" w:rsidRDefault="00D3664C" w:rsidP="004D6A5C">
      <w:pPr>
        <w:pStyle w:val="ExecSumBodyText"/>
        <w:numPr>
          <w:ilvl w:val="1"/>
          <w:numId w:val="11"/>
        </w:numPr>
        <w:ind w:left="1077" w:hanging="357"/>
        <w:contextualSpacing/>
      </w:pPr>
      <w:r>
        <w:t>In those who achieved remission, approximately 19 fewer patients would experience relapse to depression.</w:t>
      </w:r>
    </w:p>
    <w:p w14:paraId="6F527164" w14:textId="77777777" w:rsidR="00D3664C" w:rsidRDefault="00D3664C" w:rsidP="004D6A5C">
      <w:pPr>
        <w:pStyle w:val="ExecSumBodyText"/>
        <w:numPr>
          <w:ilvl w:val="1"/>
          <w:numId w:val="11"/>
        </w:numPr>
        <w:ind w:left="1077" w:hanging="357"/>
        <w:contextualSpacing/>
      </w:pPr>
      <w:r>
        <w:t>In those who achieved response, approximately 32 fewer patients would experience relapse to depression.</w:t>
      </w:r>
    </w:p>
    <w:p w14:paraId="48D4FCCB" w14:textId="137ADA56" w:rsidR="00D3664C" w:rsidRDefault="00D3664C" w:rsidP="004D6A5C">
      <w:pPr>
        <w:pStyle w:val="ExecSumBodyText"/>
        <w:numPr>
          <w:ilvl w:val="1"/>
          <w:numId w:val="11"/>
        </w:numPr>
        <w:ind w:left="1077" w:hanging="357"/>
        <w:contextualSpacing/>
      </w:pPr>
      <w:r>
        <w:t xml:space="preserve">Approximately 16 </w:t>
      </w:r>
      <w:r w:rsidR="002F458E">
        <w:t xml:space="preserve">additional </w:t>
      </w:r>
      <w:r>
        <w:t>patients would experience dizziness.</w:t>
      </w:r>
    </w:p>
    <w:p w14:paraId="2DF2CE24" w14:textId="5CA61856" w:rsidR="00D3664C" w:rsidRDefault="00D3664C" w:rsidP="004D6A5C">
      <w:pPr>
        <w:pStyle w:val="ExecSumBodyText"/>
        <w:numPr>
          <w:ilvl w:val="1"/>
          <w:numId w:val="11"/>
        </w:numPr>
        <w:ind w:left="1077" w:hanging="357"/>
        <w:contextualSpacing/>
      </w:pPr>
      <w:r>
        <w:t xml:space="preserve">Approximately 23 </w:t>
      </w:r>
      <w:r w:rsidR="002F458E">
        <w:t xml:space="preserve">additional </w:t>
      </w:r>
      <w:r>
        <w:t>patients would experience dissociation.</w:t>
      </w:r>
    </w:p>
    <w:p w14:paraId="56DAFF1D" w14:textId="0BC0B67E" w:rsidR="00D3664C" w:rsidRDefault="00D3664C" w:rsidP="009D409F">
      <w:pPr>
        <w:pStyle w:val="ExecSumBodyText"/>
        <w:keepNext/>
        <w:keepLines/>
        <w:numPr>
          <w:ilvl w:val="1"/>
          <w:numId w:val="11"/>
        </w:numPr>
        <w:ind w:left="1077" w:hanging="357"/>
        <w:contextualSpacing/>
      </w:pPr>
      <w:r>
        <w:t xml:space="preserve">Approximately 20 </w:t>
      </w:r>
      <w:r w:rsidR="002F458E">
        <w:t xml:space="preserve">additional </w:t>
      </w:r>
      <w:r>
        <w:t>patients would experience vertigo.</w:t>
      </w:r>
    </w:p>
    <w:p w14:paraId="2A79D2AE" w14:textId="73234FD9" w:rsidR="00D3664C" w:rsidRDefault="00D3664C" w:rsidP="009D409F">
      <w:pPr>
        <w:pStyle w:val="ExecSumBodyText"/>
        <w:keepNext/>
        <w:keepLines/>
        <w:numPr>
          <w:ilvl w:val="1"/>
          <w:numId w:val="11"/>
        </w:numPr>
        <w:ind w:left="1077" w:hanging="357"/>
        <w:contextualSpacing/>
      </w:pPr>
      <w:r>
        <w:t xml:space="preserve">Approximately 3 </w:t>
      </w:r>
      <w:r w:rsidR="002F458E">
        <w:t xml:space="preserve">additional </w:t>
      </w:r>
      <w:r>
        <w:t>patients would have an increase in blood pressure.</w:t>
      </w:r>
    </w:p>
    <w:p w14:paraId="7A1772B6" w14:textId="23BB3145" w:rsidR="00B60939" w:rsidRPr="00C9624D" w:rsidRDefault="00B60939" w:rsidP="00E9094A">
      <w:pPr>
        <w:pStyle w:val="3-SubsectionHeading"/>
      </w:pPr>
      <w:bookmarkStart w:id="32" w:name="_Toc22897644"/>
      <w:bookmarkStart w:id="33" w:name="_Toc103767194"/>
      <w:r w:rsidRPr="00C9624D">
        <w:t>Clinical claim</w:t>
      </w:r>
      <w:bookmarkEnd w:id="32"/>
      <w:bookmarkEnd w:id="33"/>
    </w:p>
    <w:p w14:paraId="4B45C383" w14:textId="77777777" w:rsidR="002F458E" w:rsidRPr="00DC73B0" w:rsidRDefault="002F458E" w:rsidP="002F458E">
      <w:pPr>
        <w:pStyle w:val="ExecSumBodyText"/>
      </w:pPr>
      <w:r w:rsidRPr="00DC73B0">
        <w:t xml:space="preserve">The PBAC previously considered that the claim of superior comparative effectiveness of </w:t>
      </w:r>
      <w:proofErr w:type="spellStart"/>
      <w:r w:rsidRPr="00DC73B0">
        <w:t>esketamine</w:t>
      </w:r>
      <w:proofErr w:type="spellEnd"/>
      <w:r w:rsidRPr="00DC73B0">
        <w:t xml:space="preserve"> plus a new OAD to a new OAD alone may be reasonable, however the magnitude and clinical importance of the observed benefits was uncertain (para 6.34, </w:t>
      </w:r>
      <w:proofErr w:type="spellStart"/>
      <w:r>
        <w:t>esketamine</w:t>
      </w:r>
      <w:proofErr w:type="spellEnd"/>
      <w:r>
        <w:t xml:space="preserve"> P</w:t>
      </w:r>
      <w:r w:rsidRPr="00DC73B0">
        <w:t xml:space="preserve">SD, July 2021). The PBAC considered that the claim of inferior safety of </w:t>
      </w:r>
      <w:proofErr w:type="spellStart"/>
      <w:r w:rsidRPr="00DC73B0">
        <w:lastRenderedPageBreak/>
        <w:t>esketamine</w:t>
      </w:r>
      <w:proofErr w:type="spellEnd"/>
      <w:r w:rsidRPr="00DC73B0">
        <w:t xml:space="preserve"> + new OAD to a new OAD alone was reasonable (para 6.34, </w:t>
      </w:r>
      <w:proofErr w:type="spellStart"/>
      <w:r>
        <w:t>esketamine</w:t>
      </w:r>
      <w:proofErr w:type="spellEnd"/>
      <w:r>
        <w:t xml:space="preserve"> P</w:t>
      </w:r>
      <w:r w:rsidRPr="00DC73B0">
        <w:t xml:space="preserve">SD, July 2021). </w:t>
      </w:r>
    </w:p>
    <w:p w14:paraId="45B1E804" w14:textId="12827150" w:rsidR="00BE2447" w:rsidRPr="00DC73B0" w:rsidRDefault="00BE2447" w:rsidP="00BE2447">
      <w:pPr>
        <w:pStyle w:val="ExecSumBodyText"/>
      </w:pPr>
      <w:r w:rsidRPr="00DC73B0">
        <w:t xml:space="preserve">The resubmission described </w:t>
      </w:r>
      <w:proofErr w:type="spellStart"/>
      <w:r w:rsidRPr="00DC73B0">
        <w:t>esketamine</w:t>
      </w:r>
      <w:proofErr w:type="spellEnd"/>
      <w:r w:rsidRPr="00DC73B0">
        <w:t xml:space="preserve"> nasal spray in combination with a new </w:t>
      </w:r>
      <w:r w:rsidR="00C50DC8">
        <w:t>OAD</w:t>
      </w:r>
      <w:r w:rsidRPr="00DC73B0">
        <w:t xml:space="preserve"> for the treatment of TRD as superior in terms of effectiveness, and inferior in terms of safety, compared with a newly initiated </w:t>
      </w:r>
      <w:r w:rsidR="00C50DC8">
        <w:t>OAD</w:t>
      </w:r>
      <w:r w:rsidRPr="00DC73B0">
        <w:t xml:space="preserve"> alone. </w:t>
      </w:r>
    </w:p>
    <w:p w14:paraId="34E8615D" w14:textId="3EBB83BC" w:rsidR="00BE2447" w:rsidRPr="00DC73B0" w:rsidRDefault="004F1290" w:rsidP="00EC7477">
      <w:pPr>
        <w:pStyle w:val="ExecSumBodyText"/>
        <w:contextualSpacing/>
      </w:pPr>
      <w:r w:rsidRPr="00A36995">
        <w:t>The evaluation stated</w:t>
      </w:r>
      <w:r>
        <w:t xml:space="preserve"> t</w:t>
      </w:r>
      <w:r w:rsidR="00BE2447" w:rsidRPr="00DC73B0">
        <w:t xml:space="preserve">here </w:t>
      </w:r>
      <w:r>
        <w:t xml:space="preserve">were </w:t>
      </w:r>
      <w:proofErr w:type="gramStart"/>
      <w:r w:rsidR="00BE2447" w:rsidRPr="00DC73B0">
        <w:t>a number of</w:t>
      </w:r>
      <w:proofErr w:type="gramEnd"/>
      <w:r w:rsidR="00BE2447" w:rsidRPr="00DC73B0">
        <w:t xml:space="preserve"> important potential issues:</w:t>
      </w:r>
    </w:p>
    <w:p w14:paraId="51EC0B6B" w14:textId="685A104C" w:rsidR="00BE2447" w:rsidRPr="008656C1" w:rsidRDefault="00BE2447" w:rsidP="004D6A5C">
      <w:pPr>
        <w:pStyle w:val="ExecSumBodyText"/>
        <w:numPr>
          <w:ilvl w:val="1"/>
          <w:numId w:val="13"/>
        </w:numPr>
        <w:ind w:left="1077" w:hanging="357"/>
        <w:contextualSpacing/>
      </w:pPr>
      <w:r w:rsidRPr="008656C1">
        <w:t xml:space="preserve">The clinical importance of the treatment benefit was uncertain. Of the three included randomised induction trials, only TRANSFORM-2 was able to demonstrate statistical superiority of </w:t>
      </w:r>
      <w:proofErr w:type="spellStart"/>
      <w:r w:rsidRPr="008656C1">
        <w:t>esketamine</w:t>
      </w:r>
      <w:proofErr w:type="spellEnd"/>
      <w:r w:rsidRPr="008656C1">
        <w:t xml:space="preserve"> over placebo, while the other two trials showed similar mean differences in change scores without statistical significance.</w:t>
      </w:r>
    </w:p>
    <w:p w14:paraId="4B943F2C" w14:textId="6C3CF55C" w:rsidR="008A3AE1" w:rsidRPr="008A3AE1" w:rsidRDefault="00BE2447" w:rsidP="004D6A5C">
      <w:pPr>
        <w:pStyle w:val="ExecSumBodyText"/>
        <w:numPr>
          <w:ilvl w:val="1"/>
          <w:numId w:val="13"/>
        </w:numPr>
        <w:ind w:left="1077" w:hanging="357"/>
      </w:pPr>
      <w:r w:rsidRPr="008656C1">
        <w:t xml:space="preserve">Clinically important reductions in MADRS total scores were observed in both the </w:t>
      </w:r>
      <w:proofErr w:type="spellStart"/>
      <w:r w:rsidRPr="008656C1">
        <w:t>esketamine</w:t>
      </w:r>
      <w:proofErr w:type="spellEnd"/>
      <w:r w:rsidRPr="008656C1">
        <w:t xml:space="preserve"> (21.4 points) and placebo (17.0 points)</w:t>
      </w:r>
      <w:r w:rsidR="003458D9" w:rsidRPr="008656C1">
        <w:t xml:space="preserve"> arms</w:t>
      </w:r>
      <w:r w:rsidRPr="008656C1">
        <w:t xml:space="preserve"> in the TRANSFORM-2 trial,</w:t>
      </w:r>
      <w:r w:rsidRPr="003805B3">
        <w:rPr>
          <w:i/>
          <w:iCs/>
        </w:rPr>
        <w:t xml:space="preserve"> </w:t>
      </w:r>
      <w:r w:rsidRPr="008656C1">
        <w:t xml:space="preserve">however the incremental difference between treatment groups may not be clinically important. </w:t>
      </w:r>
      <w:r w:rsidR="008A3AE1" w:rsidRPr="00D30B7F">
        <w:t xml:space="preserve">The PSCR argued that given the difficulties in treating patients with TRD, a holistic consideration of the evidence was required, beyond just the results in terms of MADRS outcomes. The PSCR argued the Clinical Global Impression of Severity (CGI-S) scale, and other secondary measures consistently supported the claim of superior comparative effectiveness of </w:t>
      </w:r>
      <w:proofErr w:type="spellStart"/>
      <w:r w:rsidR="008A3AE1" w:rsidRPr="00D30B7F">
        <w:t>esketamine</w:t>
      </w:r>
      <w:proofErr w:type="spellEnd"/>
      <w:r w:rsidR="008A3AE1" w:rsidRPr="00D30B7F">
        <w:t xml:space="preserve"> over placebo in the induction phase (see paragraph </w:t>
      </w:r>
      <w:r w:rsidR="008A3AE1" w:rsidRPr="00D30B7F">
        <w:fldChar w:fldCharType="begin"/>
      </w:r>
      <w:r w:rsidR="008A3AE1" w:rsidRPr="00D30B7F">
        <w:instrText xml:space="preserve"> REF _Ref105677796 \r \h </w:instrText>
      </w:r>
      <w:r w:rsidR="00D30B7F">
        <w:instrText xml:space="preserve"> \* MERGEFORMAT </w:instrText>
      </w:r>
      <w:r w:rsidR="008A3AE1" w:rsidRPr="00D30B7F">
        <w:fldChar w:fldCharType="separate"/>
      </w:r>
      <w:r w:rsidR="008E3D7A">
        <w:t>6.15</w:t>
      </w:r>
      <w:r w:rsidR="008A3AE1" w:rsidRPr="00D30B7F">
        <w:fldChar w:fldCharType="end"/>
      </w:r>
      <w:r w:rsidR="008A3AE1" w:rsidRPr="00D30B7F">
        <w:t xml:space="preserve"> for more information). The ESC noted the results of the secondary outcomes favoured </w:t>
      </w:r>
      <w:proofErr w:type="spellStart"/>
      <w:r w:rsidR="008A3AE1" w:rsidRPr="00D30B7F">
        <w:t>esketamine</w:t>
      </w:r>
      <w:proofErr w:type="spellEnd"/>
      <w:r w:rsidR="008A3AE1" w:rsidRPr="00D30B7F">
        <w:t xml:space="preserve"> and considered the evidence presented supported the clinical importance of the benefits of treatment with </w:t>
      </w:r>
      <w:proofErr w:type="spellStart"/>
      <w:r w:rsidR="008A3AE1" w:rsidRPr="00D30B7F">
        <w:t>esketamine</w:t>
      </w:r>
      <w:proofErr w:type="spellEnd"/>
      <w:r w:rsidR="008A3AE1" w:rsidRPr="00D30B7F">
        <w:t>.</w:t>
      </w:r>
    </w:p>
    <w:p w14:paraId="1DEA69B4" w14:textId="461A172D" w:rsidR="00BE2447" w:rsidRPr="008656C1" w:rsidRDefault="00BE2447" w:rsidP="004D6A5C">
      <w:pPr>
        <w:pStyle w:val="ExecSumBodyText"/>
        <w:numPr>
          <w:ilvl w:val="1"/>
          <w:numId w:val="13"/>
        </w:numPr>
        <w:ind w:left="1077" w:hanging="357"/>
        <w:contextualSpacing/>
      </w:pPr>
      <w:r w:rsidRPr="008656C1">
        <w:t xml:space="preserve">Long-term data about the maintenance of treatment effect is currently unavailable. The SUSTAIN-1 trial suggested that participants who discontinue </w:t>
      </w:r>
      <w:proofErr w:type="spellStart"/>
      <w:r w:rsidRPr="008656C1">
        <w:t>esketamine</w:t>
      </w:r>
      <w:proofErr w:type="spellEnd"/>
      <w:r w:rsidRPr="008656C1">
        <w:t xml:space="preserve"> after improvement are more likely to relapse in comparison with those who do not discontinue </w:t>
      </w:r>
      <w:proofErr w:type="spellStart"/>
      <w:r w:rsidRPr="008656C1">
        <w:t>esketamine</w:t>
      </w:r>
      <w:proofErr w:type="spellEnd"/>
      <w:r w:rsidRPr="008656C1">
        <w:t xml:space="preserve">. However, PBAC considered that this type of withdrawal trial design tends to overemphasise the efficacy of maintenance treatment, as the comparison group is at extremely high risk of relapse considering that treatment is abruptly stopped soon after improvement (para 6.32, </w:t>
      </w:r>
      <w:proofErr w:type="spellStart"/>
      <w:r w:rsidR="004A276D">
        <w:t>e</w:t>
      </w:r>
      <w:r w:rsidRPr="008656C1">
        <w:t>sk</w:t>
      </w:r>
      <w:r w:rsidR="007E18B2">
        <w:t>e</w:t>
      </w:r>
      <w:r w:rsidRPr="008656C1">
        <w:t>tamine</w:t>
      </w:r>
      <w:proofErr w:type="spellEnd"/>
      <w:r w:rsidRPr="008656C1">
        <w:t xml:space="preserve"> PSD, July 2021 PBAC meeting).</w:t>
      </w:r>
    </w:p>
    <w:p w14:paraId="44E5EEF0" w14:textId="67B2284F" w:rsidR="00BE2447" w:rsidRPr="008656C1" w:rsidRDefault="00BE2447" w:rsidP="004D6A5C">
      <w:pPr>
        <w:pStyle w:val="ExecSumBodyText"/>
        <w:numPr>
          <w:ilvl w:val="1"/>
          <w:numId w:val="13"/>
        </w:numPr>
        <w:ind w:left="1077" w:hanging="357"/>
        <w:contextualSpacing/>
      </w:pPr>
      <w:r w:rsidRPr="008656C1">
        <w:t>The optimum duration of therapy is yet to be determined. Current guidelines suggest at least 6 months, and ideally more than one year of maintenance treatment with pharmacotherapies for people with major depression, with longer treatment durations suggested for patients with recurrent episodes (</w:t>
      </w:r>
      <w:proofErr w:type="spellStart"/>
      <w:r w:rsidRPr="008656C1">
        <w:t>Malhi</w:t>
      </w:r>
      <w:proofErr w:type="spellEnd"/>
      <w:r w:rsidRPr="008656C1">
        <w:t xml:space="preserve"> et al., 2021). Patients in the intranasal placebo arm of the SUSTAIN-1 trial, who discontinued treatment after 12 or 16 weeks of treatment, experienced more relapse episodes than those continuing treatment. As the durability of benefit has not been established, it is unclear for how long </w:t>
      </w:r>
      <w:proofErr w:type="spellStart"/>
      <w:r w:rsidRPr="008656C1">
        <w:t>esketamine</w:t>
      </w:r>
      <w:proofErr w:type="spellEnd"/>
      <w:r w:rsidRPr="008656C1">
        <w:t xml:space="preserve"> should be prescribed to prevent relapse. </w:t>
      </w:r>
    </w:p>
    <w:p w14:paraId="2791B7C2" w14:textId="4081DBF4" w:rsidR="00BE2447" w:rsidRDefault="00BE2447" w:rsidP="004D6A5C">
      <w:pPr>
        <w:pStyle w:val="ExecSumBodyText"/>
        <w:numPr>
          <w:ilvl w:val="1"/>
          <w:numId w:val="13"/>
        </w:numPr>
        <w:ind w:left="1077" w:hanging="357"/>
      </w:pPr>
      <w:r w:rsidRPr="008656C1">
        <w:t xml:space="preserve">More people in the </w:t>
      </w:r>
      <w:proofErr w:type="spellStart"/>
      <w:r w:rsidRPr="008656C1">
        <w:t>esketamine</w:t>
      </w:r>
      <w:proofErr w:type="spellEnd"/>
      <w:r w:rsidRPr="008656C1">
        <w:t xml:space="preserve"> treatment arms withdrew from treatment compared with the placebo treatment arms in the included trials. In addition, the </w:t>
      </w:r>
      <w:r w:rsidRPr="008656C1">
        <w:lastRenderedPageBreak/>
        <w:t xml:space="preserve">proposed supervised administration and monitoring may comprise a significant burden to patients. These results suggest that the overall tolerability and acceptability of </w:t>
      </w:r>
      <w:proofErr w:type="spellStart"/>
      <w:r w:rsidRPr="008656C1">
        <w:t>esketamine</w:t>
      </w:r>
      <w:proofErr w:type="spellEnd"/>
      <w:r w:rsidRPr="008656C1">
        <w:t xml:space="preserve"> may be low for some patients.</w:t>
      </w:r>
    </w:p>
    <w:p w14:paraId="5DB7EBAC" w14:textId="3CE512E5" w:rsidR="00D30B7F" w:rsidRPr="008C1473" w:rsidRDefault="00D30B7F" w:rsidP="00D30B7F">
      <w:pPr>
        <w:widowControl w:val="0"/>
        <w:numPr>
          <w:ilvl w:val="1"/>
          <w:numId w:val="1"/>
        </w:numPr>
        <w:spacing w:after="120"/>
        <w:rPr>
          <w:rFonts w:asciiTheme="minorHAnsi" w:hAnsiTheme="minorHAnsi"/>
          <w:snapToGrid w:val="0"/>
          <w:szCs w:val="20"/>
        </w:rPr>
      </w:pPr>
      <w:bookmarkStart w:id="34" w:name="_Hlk76376200"/>
      <w:r w:rsidRPr="008C1473">
        <w:rPr>
          <w:rFonts w:asciiTheme="minorHAnsi" w:hAnsiTheme="minorHAnsi"/>
          <w:iCs/>
          <w:snapToGrid w:val="0"/>
        </w:rPr>
        <w:t>The</w:t>
      </w:r>
      <w:r w:rsidRPr="008C1473">
        <w:rPr>
          <w:rFonts w:asciiTheme="minorHAnsi" w:hAnsiTheme="minorHAnsi"/>
          <w:snapToGrid w:val="0"/>
          <w:szCs w:val="20"/>
        </w:rPr>
        <w:t xml:space="preserve"> PBAC considered that</w:t>
      </w:r>
      <w:r w:rsidR="00A36995" w:rsidRPr="008C1473">
        <w:rPr>
          <w:rFonts w:asciiTheme="minorHAnsi" w:hAnsiTheme="minorHAnsi"/>
          <w:snapToGrid w:val="0"/>
          <w:szCs w:val="20"/>
        </w:rPr>
        <w:t xml:space="preserve"> while there remained uncertainty </w:t>
      </w:r>
      <w:r w:rsidR="001C00A8" w:rsidRPr="008C1473">
        <w:rPr>
          <w:rFonts w:asciiTheme="minorHAnsi" w:hAnsiTheme="minorHAnsi"/>
          <w:snapToGrid w:val="0"/>
          <w:szCs w:val="20"/>
        </w:rPr>
        <w:t xml:space="preserve">regarding the </w:t>
      </w:r>
      <w:r w:rsidR="00A36995" w:rsidRPr="008C1473">
        <w:rPr>
          <w:rFonts w:asciiTheme="minorHAnsi" w:hAnsiTheme="minorHAnsi"/>
          <w:snapToGrid w:val="0"/>
          <w:szCs w:val="20"/>
        </w:rPr>
        <w:t xml:space="preserve">primary outcome results from the clinical trials, when </w:t>
      </w:r>
      <w:proofErr w:type="gramStart"/>
      <w:r w:rsidR="00A36995" w:rsidRPr="008C1473">
        <w:rPr>
          <w:rFonts w:asciiTheme="minorHAnsi" w:hAnsiTheme="minorHAnsi"/>
          <w:snapToGrid w:val="0"/>
          <w:szCs w:val="20"/>
        </w:rPr>
        <w:t>taking into account</w:t>
      </w:r>
      <w:proofErr w:type="gramEnd"/>
      <w:r w:rsidR="00A36995" w:rsidRPr="008C1473">
        <w:rPr>
          <w:rFonts w:asciiTheme="minorHAnsi" w:hAnsiTheme="minorHAnsi"/>
          <w:snapToGrid w:val="0"/>
          <w:szCs w:val="20"/>
        </w:rPr>
        <w:t xml:space="preserve"> the totality of the available evidence,</w:t>
      </w:r>
      <w:r w:rsidRPr="008C1473">
        <w:rPr>
          <w:rFonts w:asciiTheme="minorHAnsi" w:hAnsiTheme="minorHAnsi"/>
          <w:snapToGrid w:val="0"/>
          <w:szCs w:val="20"/>
        </w:rPr>
        <w:t xml:space="preserve"> the claim of superior comparative effectiveness was</w:t>
      </w:r>
      <w:r w:rsidR="00A36995" w:rsidRPr="008C1473">
        <w:rPr>
          <w:rFonts w:asciiTheme="minorHAnsi" w:hAnsiTheme="minorHAnsi"/>
          <w:snapToGrid w:val="0"/>
          <w:szCs w:val="20"/>
        </w:rPr>
        <w:t xml:space="preserve"> likely to be</w:t>
      </w:r>
      <w:r w:rsidRPr="008C1473">
        <w:rPr>
          <w:rFonts w:asciiTheme="minorHAnsi" w:hAnsiTheme="minorHAnsi"/>
          <w:snapToGrid w:val="0"/>
          <w:szCs w:val="20"/>
        </w:rPr>
        <w:t xml:space="preserve"> reasonable</w:t>
      </w:r>
      <w:r w:rsidR="00A36995" w:rsidRPr="008C1473">
        <w:rPr>
          <w:rFonts w:asciiTheme="minorHAnsi" w:hAnsiTheme="minorHAnsi"/>
          <w:snapToGrid w:val="0"/>
          <w:szCs w:val="20"/>
        </w:rPr>
        <w:t>, however the magnitude of benefit remained uncertain.</w:t>
      </w:r>
    </w:p>
    <w:p w14:paraId="73D9059D" w14:textId="7914AE32" w:rsidR="00D30B7F" w:rsidRPr="008C1473" w:rsidRDefault="00D30B7F" w:rsidP="00D30B7F">
      <w:pPr>
        <w:widowControl w:val="0"/>
        <w:numPr>
          <w:ilvl w:val="1"/>
          <w:numId w:val="1"/>
        </w:numPr>
        <w:spacing w:after="120"/>
        <w:rPr>
          <w:rFonts w:asciiTheme="minorHAnsi" w:hAnsiTheme="minorHAnsi"/>
          <w:snapToGrid w:val="0"/>
          <w:szCs w:val="20"/>
        </w:rPr>
      </w:pPr>
      <w:r w:rsidRPr="008C1473">
        <w:rPr>
          <w:rFonts w:asciiTheme="minorHAnsi" w:hAnsiTheme="minorHAnsi"/>
          <w:snapToGrid w:val="0"/>
          <w:szCs w:val="20"/>
        </w:rPr>
        <w:t xml:space="preserve">The PBAC </w:t>
      </w:r>
      <w:r w:rsidR="00A36995" w:rsidRPr="008C1473">
        <w:rPr>
          <w:rFonts w:asciiTheme="minorHAnsi" w:hAnsiTheme="minorHAnsi"/>
          <w:snapToGrid w:val="0"/>
          <w:szCs w:val="20"/>
        </w:rPr>
        <w:t>reaffirmed its view pre</w:t>
      </w:r>
      <w:r w:rsidR="003C54FF" w:rsidRPr="008C1473">
        <w:rPr>
          <w:rFonts w:asciiTheme="minorHAnsi" w:hAnsiTheme="minorHAnsi"/>
          <w:snapToGrid w:val="0"/>
          <w:szCs w:val="20"/>
        </w:rPr>
        <w:t>v</w:t>
      </w:r>
      <w:r w:rsidR="00A36995" w:rsidRPr="008C1473">
        <w:rPr>
          <w:rFonts w:asciiTheme="minorHAnsi" w:hAnsiTheme="minorHAnsi"/>
          <w:snapToGrid w:val="0"/>
          <w:szCs w:val="20"/>
        </w:rPr>
        <w:t>iously expressed at its July 2021 meeting</w:t>
      </w:r>
      <w:r w:rsidRPr="008C1473">
        <w:rPr>
          <w:rFonts w:asciiTheme="minorHAnsi" w:hAnsiTheme="minorHAnsi"/>
          <w:snapToGrid w:val="0"/>
          <w:szCs w:val="20"/>
        </w:rPr>
        <w:t xml:space="preserve"> that the claim of inferior comparative safety was </w:t>
      </w:r>
      <w:r w:rsidR="00A36995" w:rsidRPr="008C1473">
        <w:rPr>
          <w:rFonts w:asciiTheme="minorHAnsi" w:hAnsiTheme="minorHAnsi"/>
          <w:snapToGrid w:val="0"/>
          <w:szCs w:val="20"/>
        </w:rPr>
        <w:t>reasonable.</w:t>
      </w:r>
    </w:p>
    <w:p w14:paraId="74A1172E" w14:textId="128C170E" w:rsidR="00B60939" w:rsidRPr="00C9624D" w:rsidRDefault="00B60939" w:rsidP="00E9094A">
      <w:pPr>
        <w:pStyle w:val="3-SubsectionHeading"/>
      </w:pPr>
      <w:bookmarkStart w:id="35" w:name="_Toc22897645"/>
      <w:bookmarkStart w:id="36" w:name="_Toc103767195"/>
      <w:bookmarkEnd w:id="34"/>
      <w:r w:rsidRPr="00C9624D">
        <w:t>Economic analysis</w:t>
      </w:r>
      <w:bookmarkEnd w:id="35"/>
      <w:bookmarkEnd w:id="36"/>
      <w:r w:rsidR="00491B3A" w:rsidRPr="00C9624D">
        <w:t xml:space="preserve"> </w:t>
      </w:r>
    </w:p>
    <w:p w14:paraId="1FAED0B4" w14:textId="619394FA" w:rsidR="005F51A5" w:rsidRPr="00D60B48" w:rsidRDefault="005F51A5" w:rsidP="005F51A5">
      <w:pPr>
        <w:pStyle w:val="ExecSumBodyText"/>
        <w:rPr>
          <w:b/>
        </w:rPr>
      </w:pPr>
      <w:r w:rsidRPr="00FC6BB8">
        <w:t xml:space="preserve">The resubmission presented a stepped economic evaluation of </w:t>
      </w:r>
      <w:proofErr w:type="spellStart"/>
      <w:r w:rsidRPr="00FC6BB8">
        <w:t>esketamine</w:t>
      </w:r>
      <w:proofErr w:type="spellEnd"/>
      <w:r w:rsidRPr="00FC6BB8">
        <w:t xml:space="preserve"> nasal spray plus a newly initiated </w:t>
      </w:r>
      <w:r w:rsidR="00C50DC8">
        <w:t>OAD</w:t>
      </w:r>
      <w:r w:rsidRPr="00FC6BB8">
        <w:t xml:space="preserve"> versus a newly initiated </w:t>
      </w:r>
      <w:r w:rsidR="00C50DC8">
        <w:t>OAD</w:t>
      </w:r>
      <w:r w:rsidRPr="00FC6BB8">
        <w:t xml:space="preserve"> alone in patients with moderate to severe TRD. The economic analysis was based on evidence from the TRANSFORM-2, TRANSFORM-3 and SUSTAIN-1 trials, as well as additional modelled variables. The economic evaluation was presented as a cost-utility analysis. </w:t>
      </w:r>
    </w:p>
    <w:p w14:paraId="18314ACD" w14:textId="77777777" w:rsidR="005E3151" w:rsidRPr="00D60B48" w:rsidRDefault="005E3151" w:rsidP="005E3151">
      <w:pPr>
        <w:pStyle w:val="ExecSumBodyText"/>
        <w:spacing w:after="0"/>
        <w:contextualSpacing/>
      </w:pPr>
      <w:bookmarkStart w:id="37" w:name="_Ref110341796"/>
      <w:r w:rsidRPr="00D60B48">
        <w:t>Key changes to the economic model compared to the July 2021 submission included:</w:t>
      </w:r>
      <w:bookmarkEnd w:id="37"/>
    </w:p>
    <w:p w14:paraId="360F5B70" w14:textId="6C3B3283" w:rsidR="005E3151" w:rsidRPr="00D60B48" w:rsidRDefault="005E3151" w:rsidP="004D6A5C">
      <w:pPr>
        <w:numPr>
          <w:ilvl w:val="0"/>
          <w:numId w:val="7"/>
        </w:numPr>
        <w:ind w:left="1077" w:hanging="357"/>
        <w:contextualSpacing/>
        <w:rPr>
          <w:rFonts w:cs="Times New Roman"/>
        </w:rPr>
      </w:pPr>
      <w:r w:rsidRPr="00D60B48">
        <w:rPr>
          <w:rFonts w:cs="Times New Roman"/>
        </w:rPr>
        <w:t xml:space="preserve">The addition of a recovery health state in the subsequent treatment pathway in response to PBAC concerns that the exclusion of a recovery state in subsequent treatment was inappropriate and did not reflect clinical practice (para 6.43, </w:t>
      </w:r>
      <w:proofErr w:type="spellStart"/>
      <w:r w:rsidR="00D46C2D">
        <w:rPr>
          <w:rFonts w:cs="Times New Roman"/>
        </w:rPr>
        <w:t>esketamine</w:t>
      </w:r>
      <w:proofErr w:type="spellEnd"/>
      <w:r w:rsidR="00D46C2D">
        <w:rPr>
          <w:rFonts w:cs="Times New Roman"/>
        </w:rPr>
        <w:t xml:space="preserve"> P</w:t>
      </w:r>
      <w:r w:rsidRPr="00D60B48">
        <w:rPr>
          <w:rFonts w:cs="Times New Roman"/>
        </w:rPr>
        <w:t>SD, July 2021 PBAC meeting).</w:t>
      </w:r>
    </w:p>
    <w:p w14:paraId="06339DAD" w14:textId="4AD15699" w:rsidR="005E3151" w:rsidRPr="00D60B48" w:rsidRDefault="005E3151" w:rsidP="004D6A5C">
      <w:pPr>
        <w:numPr>
          <w:ilvl w:val="0"/>
          <w:numId w:val="7"/>
        </w:numPr>
        <w:ind w:left="1077" w:hanging="357"/>
        <w:contextualSpacing/>
        <w:rPr>
          <w:rFonts w:cs="Times New Roman"/>
        </w:rPr>
      </w:pPr>
      <w:r w:rsidRPr="00D60B48">
        <w:rPr>
          <w:rFonts w:cs="Times New Roman"/>
        </w:rPr>
        <w:t xml:space="preserve">The inclusion of data from TRANSFORM-3 (in adults ≥65 years) with TRANSFORM-2 data to inform induction transition probabilities and health state utilities in response to PBAC concerns that the model did not utilise all available clinical data (para 6.37, 6.61, 7.7, </w:t>
      </w:r>
      <w:proofErr w:type="spellStart"/>
      <w:r w:rsidR="00D46C2D">
        <w:rPr>
          <w:rFonts w:cs="Times New Roman"/>
        </w:rPr>
        <w:t>esketamine</w:t>
      </w:r>
      <w:proofErr w:type="spellEnd"/>
      <w:r w:rsidR="00D46C2D">
        <w:rPr>
          <w:rFonts w:cs="Times New Roman"/>
        </w:rPr>
        <w:t xml:space="preserve"> P</w:t>
      </w:r>
      <w:r w:rsidRPr="00D60B48">
        <w:rPr>
          <w:rFonts w:cs="Times New Roman"/>
        </w:rPr>
        <w:t>SD, July 2021 PBAC meeting).</w:t>
      </w:r>
    </w:p>
    <w:p w14:paraId="05349BFD" w14:textId="5BF40B57" w:rsidR="005E3151" w:rsidRPr="00D60B48" w:rsidRDefault="005E3151" w:rsidP="004D6A5C">
      <w:pPr>
        <w:numPr>
          <w:ilvl w:val="0"/>
          <w:numId w:val="6"/>
        </w:numPr>
        <w:ind w:left="1077" w:hanging="357"/>
        <w:contextualSpacing/>
        <w:rPr>
          <w:rFonts w:cs="Times New Roman"/>
        </w:rPr>
      </w:pPr>
      <w:r w:rsidRPr="00D60B48">
        <w:rPr>
          <w:rFonts w:cs="Times New Roman"/>
        </w:rPr>
        <w:t xml:space="preserve">Maintenance transition probabilities for the placebo arm informed by the STAR*D study (previously based on the SUSTAIN-1 trial) in response to PBAC concerns that </w:t>
      </w:r>
      <w:r w:rsidRPr="00D60B48">
        <w:rPr>
          <w:rFonts w:cs="Times New Roman"/>
          <w:iCs/>
        </w:rPr>
        <w:t xml:space="preserve">the abrupt withdrawal trial design of the SUSTAIN-1 trial likely overstates the relapse rate in the placebo arm (para 6.20, </w:t>
      </w:r>
      <w:proofErr w:type="spellStart"/>
      <w:r w:rsidR="00D46C2D">
        <w:rPr>
          <w:rFonts w:cs="Times New Roman"/>
          <w:iCs/>
        </w:rPr>
        <w:t>esketamine</w:t>
      </w:r>
      <w:proofErr w:type="spellEnd"/>
      <w:r w:rsidR="00D46C2D">
        <w:rPr>
          <w:rFonts w:cs="Times New Roman"/>
          <w:iCs/>
        </w:rPr>
        <w:t xml:space="preserve"> P</w:t>
      </w:r>
      <w:r w:rsidRPr="00D60B48">
        <w:rPr>
          <w:rFonts w:cs="Times New Roman"/>
          <w:iCs/>
        </w:rPr>
        <w:t>SD, July 2021 PBAC meeting).</w:t>
      </w:r>
    </w:p>
    <w:p w14:paraId="4E50FDD8" w14:textId="3C63E7B1" w:rsidR="005E3151" w:rsidRPr="00D60B48" w:rsidRDefault="005E3151" w:rsidP="004D6A5C">
      <w:pPr>
        <w:numPr>
          <w:ilvl w:val="0"/>
          <w:numId w:val="6"/>
        </w:numPr>
        <w:ind w:left="1077" w:hanging="357"/>
        <w:contextualSpacing/>
        <w:rPr>
          <w:rFonts w:cs="Times New Roman"/>
        </w:rPr>
      </w:pPr>
      <w:r w:rsidRPr="00D60B48">
        <w:rPr>
          <w:rFonts w:cs="Times New Roman"/>
        </w:rPr>
        <w:t xml:space="preserve">Including </w:t>
      </w:r>
      <w:proofErr w:type="spellStart"/>
      <w:r w:rsidRPr="00D60B48">
        <w:rPr>
          <w:rFonts w:cs="Times New Roman"/>
        </w:rPr>
        <w:t>disutilities</w:t>
      </w:r>
      <w:proofErr w:type="spellEnd"/>
      <w:r w:rsidRPr="00D60B48">
        <w:rPr>
          <w:rFonts w:cs="Times New Roman"/>
        </w:rPr>
        <w:t xml:space="preserve"> due to adverse events in the maintenance phase of treatment (previously only applied in the first/induction cycle) in response to ESC concerns that the model should capture the significant safety concerns associated with the use of </w:t>
      </w:r>
      <w:proofErr w:type="spellStart"/>
      <w:r w:rsidRPr="00D60B48">
        <w:rPr>
          <w:rFonts w:cs="Times New Roman"/>
        </w:rPr>
        <w:t>esketamine</w:t>
      </w:r>
      <w:proofErr w:type="spellEnd"/>
      <w:r w:rsidRPr="00D60B48">
        <w:rPr>
          <w:rFonts w:cs="Times New Roman"/>
        </w:rPr>
        <w:t xml:space="preserve"> (para 6.60, </w:t>
      </w:r>
      <w:proofErr w:type="spellStart"/>
      <w:r w:rsidR="00D46C2D">
        <w:rPr>
          <w:rFonts w:cs="Times New Roman"/>
        </w:rPr>
        <w:t>esketamine</w:t>
      </w:r>
      <w:proofErr w:type="spellEnd"/>
      <w:r w:rsidR="00D46C2D">
        <w:rPr>
          <w:rFonts w:cs="Times New Roman"/>
        </w:rPr>
        <w:t xml:space="preserve"> P</w:t>
      </w:r>
      <w:r w:rsidRPr="00D60B48">
        <w:rPr>
          <w:rFonts w:cs="Times New Roman"/>
        </w:rPr>
        <w:t>SD, July 2021 PBAC meeting).</w:t>
      </w:r>
    </w:p>
    <w:p w14:paraId="14272582" w14:textId="77777777" w:rsidR="005E3151" w:rsidRPr="00D60B48" w:rsidRDefault="005E3151" w:rsidP="004D6A5C">
      <w:pPr>
        <w:numPr>
          <w:ilvl w:val="0"/>
          <w:numId w:val="6"/>
        </w:numPr>
        <w:ind w:left="1077" w:hanging="357"/>
        <w:contextualSpacing/>
        <w:rPr>
          <w:rFonts w:cs="Times New Roman"/>
        </w:rPr>
      </w:pPr>
      <w:r w:rsidRPr="00D60B48">
        <w:rPr>
          <w:rFonts w:cs="Times New Roman"/>
        </w:rPr>
        <w:t xml:space="preserve">A lower price of </w:t>
      </w:r>
      <w:proofErr w:type="spellStart"/>
      <w:r w:rsidRPr="00D60B48">
        <w:rPr>
          <w:rFonts w:cs="Times New Roman"/>
        </w:rPr>
        <w:t>esketamine</w:t>
      </w:r>
      <w:proofErr w:type="spellEnd"/>
      <w:r w:rsidRPr="00D60B48">
        <w:rPr>
          <w:rFonts w:cs="Times New Roman"/>
        </w:rPr>
        <w:t>.</w:t>
      </w:r>
    </w:p>
    <w:p w14:paraId="3CD69E21" w14:textId="5FBC3808" w:rsidR="005E3151" w:rsidRPr="00D60B48" w:rsidRDefault="005E3151" w:rsidP="004D6A5C">
      <w:pPr>
        <w:numPr>
          <w:ilvl w:val="0"/>
          <w:numId w:val="6"/>
        </w:numPr>
        <w:spacing w:after="120"/>
        <w:ind w:left="1077" w:hanging="357"/>
        <w:rPr>
          <w:rFonts w:cs="Times New Roman"/>
        </w:rPr>
      </w:pPr>
      <w:r w:rsidRPr="00D60B48">
        <w:rPr>
          <w:rFonts w:cs="Times New Roman"/>
        </w:rPr>
        <w:t xml:space="preserve">A higher cost of administration for </w:t>
      </w:r>
      <w:proofErr w:type="spellStart"/>
      <w:r w:rsidRPr="00D60B48">
        <w:rPr>
          <w:rFonts w:cs="Times New Roman"/>
        </w:rPr>
        <w:t>esketamine</w:t>
      </w:r>
      <w:proofErr w:type="spellEnd"/>
      <w:r w:rsidRPr="00D60B48">
        <w:rPr>
          <w:rFonts w:cs="Times New Roman"/>
        </w:rPr>
        <w:t xml:space="preserve">, in response to PBAC concerns that the cost of administration was a significant underestimate (para 6.47, </w:t>
      </w:r>
      <w:proofErr w:type="spellStart"/>
      <w:r w:rsidR="00D46C2D">
        <w:rPr>
          <w:rFonts w:cs="Times New Roman"/>
        </w:rPr>
        <w:t>esketamine</w:t>
      </w:r>
      <w:proofErr w:type="spellEnd"/>
      <w:r w:rsidR="00D46C2D">
        <w:rPr>
          <w:rFonts w:cs="Times New Roman"/>
        </w:rPr>
        <w:t xml:space="preserve"> P</w:t>
      </w:r>
      <w:r w:rsidRPr="00D60B48">
        <w:rPr>
          <w:rFonts w:cs="Times New Roman"/>
        </w:rPr>
        <w:t>SD, July 2021 PBAC meeting).</w:t>
      </w:r>
    </w:p>
    <w:p w14:paraId="10894F3A" w14:textId="77777777" w:rsidR="005F51A5" w:rsidRPr="00E16CB9" w:rsidRDefault="005F51A5" w:rsidP="005F51A5">
      <w:pPr>
        <w:pStyle w:val="ExecSumBodyText"/>
      </w:pPr>
      <w:r w:rsidRPr="00E16CB9">
        <w:t>T</w:t>
      </w:r>
      <w:r>
        <w:t>he table below</w:t>
      </w:r>
      <w:r w:rsidRPr="00E16CB9">
        <w:t xml:space="preserve"> compares the key components of the economic evaluations in the July 2021 submission and current resubmission.</w:t>
      </w:r>
    </w:p>
    <w:p w14:paraId="163D66D7" w14:textId="518577FF" w:rsidR="00E341F9" w:rsidRDefault="00E341F9" w:rsidP="00897FB4">
      <w:pPr>
        <w:pStyle w:val="Caption"/>
        <w:keepLines/>
      </w:pPr>
      <w:r w:rsidRPr="00DE2304">
        <w:lastRenderedPageBreak/>
        <w:t xml:space="preserve">Table </w:t>
      </w:r>
      <w:r w:rsidR="002030D0">
        <w:fldChar w:fldCharType="begin"/>
      </w:r>
      <w:r w:rsidR="002030D0">
        <w:instrText xml:space="preserve"> SEQ Table \* ARABIC </w:instrText>
      </w:r>
      <w:r w:rsidR="002030D0">
        <w:fldChar w:fldCharType="separate"/>
      </w:r>
      <w:r w:rsidR="008E3D7A">
        <w:rPr>
          <w:noProof/>
        </w:rPr>
        <w:t>12</w:t>
      </w:r>
      <w:r w:rsidR="002030D0">
        <w:rPr>
          <w:noProof/>
        </w:rPr>
        <w:fldChar w:fldCharType="end"/>
      </w:r>
      <w:r w:rsidRPr="00D60B48">
        <w:t>:</w:t>
      </w:r>
      <w:r w:rsidRPr="00E16CB9">
        <w:t xml:space="preserve"> </w:t>
      </w:r>
      <w:r w:rsidRPr="00641FB3">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3967"/>
        <w:gridCol w:w="3636"/>
      </w:tblGrid>
      <w:tr w:rsidR="00E341F9" w:rsidRPr="002530A2" w14:paraId="5681E585" w14:textId="77777777" w:rsidTr="00897FB4">
        <w:trPr>
          <w:cantSplit/>
          <w:tblHeader/>
        </w:trPr>
        <w:tc>
          <w:tcPr>
            <w:tcW w:w="784" w:type="pct"/>
            <w:vAlign w:val="center"/>
          </w:tcPr>
          <w:p w14:paraId="4C9EF469" w14:textId="77777777" w:rsidR="00E341F9" w:rsidRPr="002530A2" w:rsidRDefault="00E341F9" w:rsidP="00897FB4">
            <w:pPr>
              <w:pStyle w:val="Tableheadingrow"/>
              <w:keepLines/>
              <w:jc w:val="center"/>
              <w:rPr>
                <w:lang w:val="en-AU"/>
              </w:rPr>
            </w:pPr>
            <w:r w:rsidRPr="002530A2">
              <w:rPr>
                <w:lang w:val="en-AU"/>
              </w:rPr>
              <w:t>Component</w:t>
            </w:r>
          </w:p>
        </w:tc>
        <w:tc>
          <w:tcPr>
            <w:tcW w:w="2200" w:type="pct"/>
          </w:tcPr>
          <w:p w14:paraId="091343BA" w14:textId="77777777" w:rsidR="00E341F9" w:rsidRPr="002530A2" w:rsidRDefault="00E341F9" w:rsidP="00897FB4">
            <w:pPr>
              <w:pStyle w:val="Tableheadingrow"/>
              <w:keepLines/>
              <w:jc w:val="center"/>
              <w:rPr>
                <w:lang w:val="en-AU"/>
              </w:rPr>
            </w:pPr>
            <w:r>
              <w:rPr>
                <w:lang w:val="en-AU"/>
              </w:rPr>
              <w:t>July 2021 submission</w:t>
            </w:r>
          </w:p>
        </w:tc>
        <w:tc>
          <w:tcPr>
            <w:tcW w:w="2016" w:type="pct"/>
          </w:tcPr>
          <w:p w14:paraId="4319F968" w14:textId="77777777" w:rsidR="00E341F9" w:rsidRPr="002530A2" w:rsidRDefault="00E341F9" w:rsidP="00897FB4">
            <w:pPr>
              <w:pStyle w:val="Tableheadingrow"/>
              <w:keepLines/>
              <w:jc w:val="center"/>
              <w:rPr>
                <w:lang w:val="en-AU"/>
              </w:rPr>
            </w:pPr>
            <w:r>
              <w:rPr>
                <w:lang w:val="en-AU"/>
              </w:rPr>
              <w:t>Resubmission</w:t>
            </w:r>
          </w:p>
        </w:tc>
      </w:tr>
      <w:tr w:rsidR="00E341F9" w:rsidRPr="002530A2" w14:paraId="1E4605F0" w14:textId="77777777" w:rsidTr="00897FB4">
        <w:trPr>
          <w:cantSplit/>
        </w:trPr>
        <w:tc>
          <w:tcPr>
            <w:tcW w:w="784" w:type="pct"/>
          </w:tcPr>
          <w:p w14:paraId="504EF7E2" w14:textId="77777777" w:rsidR="00E341F9" w:rsidRPr="002530A2" w:rsidRDefault="00E341F9" w:rsidP="00897FB4">
            <w:pPr>
              <w:pStyle w:val="TableText"/>
              <w:keepLines/>
            </w:pPr>
            <w:r w:rsidRPr="002530A2">
              <w:t>Type of analys</w:t>
            </w:r>
            <w:r>
              <w:t>i</w:t>
            </w:r>
            <w:r w:rsidRPr="002530A2">
              <w:t>s</w:t>
            </w:r>
          </w:p>
        </w:tc>
        <w:tc>
          <w:tcPr>
            <w:tcW w:w="2200" w:type="pct"/>
          </w:tcPr>
          <w:p w14:paraId="00886768" w14:textId="77777777" w:rsidR="00E341F9" w:rsidRPr="002530A2" w:rsidRDefault="00E341F9" w:rsidP="00897FB4">
            <w:pPr>
              <w:pStyle w:val="TableText"/>
              <w:keepLines/>
            </w:pPr>
            <w:r w:rsidRPr="002530A2">
              <w:t>Cost-effectiveness analysis and cost-utility analysis</w:t>
            </w:r>
          </w:p>
        </w:tc>
        <w:tc>
          <w:tcPr>
            <w:tcW w:w="2016" w:type="pct"/>
          </w:tcPr>
          <w:p w14:paraId="0BF3AD24" w14:textId="77777777" w:rsidR="00E341F9" w:rsidRPr="002530A2" w:rsidRDefault="00E341F9" w:rsidP="00897FB4">
            <w:pPr>
              <w:pStyle w:val="TableText"/>
              <w:keepLines/>
            </w:pPr>
            <w:r>
              <w:t>Unchanged.</w:t>
            </w:r>
          </w:p>
        </w:tc>
      </w:tr>
      <w:tr w:rsidR="00E341F9" w:rsidRPr="002530A2" w14:paraId="0989E0EE" w14:textId="77777777" w:rsidTr="00897FB4">
        <w:trPr>
          <w:cantSplit/>
        </w:trPr>
        <w:tc>
          <w:tcPr>
            <w:tcW w:w="784" w:type="pct"/>
          </w:tcPr>
          <w:p w14:paraId="7F5E8E94" w14:textId="77777777" w:rsidR="00E341F9" w:rsidRPr="002530A2" w:rsidRDefault="00E341F9" w:rsidP="00897FB4">
            <w:pPr>
              <w:pStyle w:val="TableText"/>
              <w:keepNext w:val="0"/>
            </w:pPr>
            <w:r>
              <w:t>Treatments</w:t>
            </w:r>
          </w:p>
        </w:tc>
        <w:tc>
          <w:tcPr>
            <w:tcW w:w="2200" w:type="pct"/>
          </w:tcPr>
          <w:p w14:paraId="6990C9C6" w14:textId="07BF3FBD" w:rsidR="00E341F9" w:rsidRPr="002530A2" w:rsidRDefault="00E341F9" w:rsidP="00897FB4">
            <w:pPr>
              <w:pStyle w:val="TableText"/>
              <w:keepNext w:val="0"/>
            </w:pPr>
            <w:proofErr w:type="spellStart"/>
            <w:r>
              <w:t>Esketamine</w:t>
            </w:r>
            <w:proofErr w:type="spellEnd"/>
            <w:r>
              <w:t xml:space="preserve"> nasal spray with a newly initiated </w:t>
            </w:r>
            <w:r w:rsidR="00C50DC8">
              <w:t>OAD</w:t>
            </w:r>
            <w:r>
              <w:t xml:space="preserve">; intranasal placebo with a newly initiated </w:t>
            </w:r>
            <w:r w:rsidR="00C50DC8">
              <w:t>OAD</w:t>
            </w:r>
            <w:r>
              <w:t xml:space="preserve">; subsequent therapy (based on </w:t>
            </w:r>
            <w:r w:rsidR="00C50DC8">
              <w:t>OAD</w:t>
            </w:r>
            <w:r w:rsidRPr="00D60B48">
              <w:t>s</w:t>
            </w:r>
            <w:r>
              <w:t>)</w:t>
            </w:r>
          </w:p>
        </w:tc>
        <w:tc>
          <w:tcPr>
            <w:tcW w:w="2016" w:type="pct"/>
          </w:tcPr>
          <w:p w14:paraId="729998DA" w14:textId="77777777" w:rsidR="00E341F9" w:rsidRDefault="00E341F9" w:rsidP="00897FB4">
            <w:pPr>
              <w:pStyle w:val="TableText"/>
              <w:keepNext w:val="0"/>
            </w:pPr>
            <w:r>
              <w:t>Unchanged.</w:t>
            </w:r>
          </w:p>
        </w:tc>
      </w:tr>
      <w:tr w:rsidR="00E341F9" w:rsidRPr="002530A2" w14:paraId="422ADDEC" w14:textId="77777777" w:rsidTr="00897FB4">
        <w:trPr>
          <w:cantSplit/>
        </w:trPr>
        <w:tc>
          <w:tcPr>
            <w:tcW w:w="784" w:type="pct"/>
          </w:tcPr>
          <w:p w14:paraId="0986B626" w14:textId="77777777" w:rsidR="00E341F9" w:rsidRPr="002530A2" w:rsidRDefault="00E341F9" w:rsidP="00897FB4">
            <w:pPr>
              <w:pStyle w:val="TableText"/>
              <w:keepNext w:val="0"/>
            </w:pPr>
            <w:r w:rsidRPr="002530A2">
              <w:t>Outcomes</w:t>
            </w:r>
          </w:p>
        </w:tc>
        <w:tc>
          <w:tcPr>
            <w:tcW w:w="2200" w:type="pct"/>
          </w:tcPr>
          <w:p w14:paraId="10067F50" w14:textId="77777777" w:rsidR="00E341F9" w:rsidRPr="002530A2" w:rsidRDefault="00E341F9" w:rsidP="00897FB4">
            <w:pPr>
              <w:pStyle w:val="TableText"/>
              <w:keepNext w:val="0"/>
            </w:pPr>
            <w:r w:rsidRPr="002530A2">
              <w:t>Quality-adjusted life-years</w:t>
            </w:r>
          </w:p>
          <w:p w14:paraId="644ED9AE" w14:textId="77777777" w:rsidR="00E341F9" w:rsidRPr="002530A2" w:rsidRDefault="00E341F9" w:rsidP="00897FB4">
            <w:pPr>
              <w:pStyle w:val="TableText"/>
              <w:keepNext w:val="0"/>
            </w:pPr>
            <w:r w:rsidRPr="002530A2">
              <w:t>MDE-free life years</w:t>
            </w:r>
          </w:p>
          <w:p w14:paraId="4001DC33" w14:textId="77777777" w:rsidR="00E341F9" w:rsidRPr="002530A2" w:rsidRDefault="00E341F9" w:rsidP="00897FB4">
            <w:pPr>
              <w:pStyle w:val="TableText"/>
              <w:keepNext w:val="0"/>
            </w:pPr>
            <w:r w:rsidRPr="002530A2">
              <w:t>Proportions of patients with remission and response</w:t>
            </w:r>
          </w:p>
        </w:tc>
        <w:tc>
          <w:tcPr>
            <w:tcW w:w="2016" w:type="pct"/>
          </w:tcPr>
          <w:p w14:paraId="22697143" w14:textId="77777777" w:rsidR="00E341F9" w:rsidRPr="002530A2" w:rsidRDefault="00E341F9" w:rsidP="00897FB4">
            <w:pPr>
              <w:pStyle w:val="TableText"/>
              <w:keepNext w:val="0"/>
            </w:pPr>
            <w:r>
              <w:t>Unchanged.</w:t>
            </w:r>
          </w:p>
        </w:tc>
      </w:tr>
      <w:tr w:rsidR="00E341F9" w:rsidRPr="002530A2" w14:paraId="51B48CEC" w14:textId="77777777" w:rsidTr="00897FB4">
        <w:trPr>
          <w:cantSplit/>
        </w:trPr>
        <w:tc>
          <w:tcPr>
            <w:tcW w:w="784" w:type="pct"/>
          </w:tcPr>
          <w:p w14:paraId="019084A0" w14:textId="77777777" w:rsidR="00E341F9" w:rsidRPr="002530A2" w:rsidRDefault="00E341F9" w:rsidP="00897FB4">
            <w:pPr>
              <w:pStyle w:val="TableText"/>
              <w:keepNext w:val="0"/>
            </w:pPr>
            <w:r w:rsidRPr="002530A2">
              <w:t>Time horizon</w:t>
            </w:r>
          </w:p>
        </w:tc>
        <w:tc>
          <w:tcPr>
            <w:tcW w:w="2200" w:type="pct"/>
          </w:tcPr>
          <w:p w14:paraId="203C9218" w14:textId="77777777" w:rsidR="00E341F9" w:rsidRPr="002530A2" w:rsidRDefault="00E341F9" w:rsidP="00897FB4">
            <w:pPr>
              <w:pStyle w:val="TableText"/>
              <w:keepNext w:val="0"/>
            </w:pPr>
            <w:r w:rsidRPr="002530A2">
              <w:t>5 years</w:t>
            </w:r>
          </w:p>
        </w:tc>
        <w:tc>
          <w:tcPr>
            <w:tcW w:w="2016" w:type="pct"/>
          </w:tcPr>
          <w:p w14:paraId="4EBD5D63" w14:textId="77777777" w:rsidR="00E341F9" w:rsidRPr="002530A2" w:rsidRDefault="00E341F9" w:rsidP="00897FB4">
            <w:pPr>
              <w:pStyle w:val="TableText"/>
              <w:keepNext w:val="0"/>
            </w:pPr>
            <w:r>
              <w:t>Unchanged.</w:t>
            </w:r>
          </w:p>
        </w:tc>
      </w:tr>
      <w:tr w:rsidR="00E341F9" w:rsidRPr="002530A2" w14:paraId="74118B59" w14:textId="77777777" w:rsidTr="00897FB4">
        <w:trPr>
          <w:cantSplit/>
        </w:trPr>
        <w:tc>
          <w:tcPr>
            <w:tcW w:w="784" w:type="pct"/>
          </w:tcPr>
          <w:p w14:paraId="168F15C0" w14:textId="77777777" w:rsidR="00E341F9" w:rsidRPr="002530A2" w:rsidRDefault="00E341F9" w:rsidP="00897FB4">
            <w:pPr>
              <w:pStyle w:val="TableText"/>
              <w:keepNext w:val="0"/>
            </w:pPr>
            <w:r w:rsidRPr="002530A2">
              <w:t>Method used to generate results</w:t>
            </w:r>
          </w:p>
        </w:tc>
        <w:tc>
          <w:tcPr>
            <w:tcW w:w="2200" w:type="pct"/>
          </w:tcPr>
          <w:p w14:paraId="0A421C54" w14:textId="77777777" w:rsidR="00E341F9" w:rsidRPr="002530A2" w:rsidRDefault="00E341F9" w:rsidP="00897FB4">
            <w:pPr>
              <w:pStyle w:val="TableText"/>
              <w:keepNext w:val="0"/>
            </w:pPr>
            <w:r w:rsidRPr="002530A2">
              <w:t>Markov cohort analysis with multiple lines of treatment</w:t>
            </w:r>
            <w:r>
              <w:t>.</w:t>
            </w:r>
          </w:p>
        </w:tc>
        <w:tc>
          <w:tcPr>
            <w:tcW w:w="2016" w:type="pct"/>
          </w:tcPr>
          <w:p w14:paraId="2545711F" w14:textId="77777777" w:rsidR="00E341F9" w:rsidRPr="002530A2" w:rsidRDefault="00E341F9" w:rsidP="00897FB4">
            <w:pPr>
              <w:pStyle w:val="TableText"/>
              <w:keepNext w:val="0"/>
            </w:pPr>
            <w:r>
              <w:t>Unchanged.</w:t>
            </w:r>
          </w:p>
        </w:tc>
      </w:tr>
      <w:tr w:rsidR="00E341F9" w:rsidRPr="002530A2" w14:paraId="22B2D6F3" w14:textId="77777777" w:rsidTr="00897FB4">
        <w:trPr>
          <w:cantSplit/>
        </w:trPr>
        <w:tc>
          <w:tcPr>
            <w:tcW w:w="784" w:type="pct"/>
          </w:tcPr>
          <w:p w14:paraId="601BD469" w14:textId="77777777" w:rsidR="00E341F9" w:rsidRPr="002530A2" w:rsidRDefault="00E341F9" w:rsidP="00897FB4">
            <w:pPr>
              <w:pStyle w:val="TableText"/>
              <w:keepNext w:val="0"/>
            </w:pPr>
            <w:r w:rsidRPr="002530A2">
              <w:t>Health states</w:t>
            </w:r>
          </w:p>
        </w:tc>
        <w:tc>
          <w:tcPr>
            <w:tcW w:w="2200" w:type="pct"/>
          </w:tcPr>
          <w:p w14:paraId="26B09C62" w14:textId="77777777" w:rsidR="00E341F9" w:rsidRPr="002530A2" w:rsidRDefault="00E341F9" w:rsidP="00897FB4">
            <w:pPr>
              <w:pStyle w:val="TableText"/>
              <w:keepNext w:val="0"/>
            </w:pPr>
            <w:r w:rsidRPr="002530A2">
              <w:t>Major Depressive Episode (MDE)</w:t>
            </w:r>
          </w:p>
          <w:p w14:paraId="606C2614" w14:textId="77777777" w:rsidR="00E341F9" w:rsidRPr="002530A2" w:rsidRDefault="00E341F9" w:rsidP="00897FB4">
            <w:pPr>
              <w:pStyle w:val="TableText"/>
              <w:keepNext w:val="0"/>
            </w:pPr>
            <w:r w:rsidRPr="002530A2">
              <w:t>Response</w:t>
            </w:r>
          </w:p>
          <w:p w14:paraId="2FFDBC3C" w14:textId="77777777" w:rsidR="00E341F9" w:rsidRPr="002530A2" w:rsidRDefault="00E341F9" w:rsidP="00897FB4">
            <w:pPr>
              <w:pStyle w:val="TableText"/>
              <w:keepNext w:val="0"/>
            </w:pPr>
            <w:r w:rsidRPr="002530A2">
              <w:t>Remission</w:t>
            </w:r>
          </w:p>
          <w:p w14:paraId="342B2403" w14:textId="77777777" w:rsidR="00E341F9" w:rsidRPr="002530A2" w:rsidRDefault="00E341F9" w:rsidP="00897FB4">
            <w:pPr>
              <w:pStyle w:val="TableText"/>
              <w:keepNext w:val="0"/>
            </w:pPr>
            <w:r w:rsidRPr="002530A2">
              <w:t>Recovery</w:t>
            </w:r>
          </w:p>
          <w:p w14:paraId="7611553D" w14:textId="77777777" w:rsidR="00E341F9" w:rsidRPr="002530A2" w:rsidRDefault="00E341F9" w:rsidP="00897FB4">
            <w:pPr>
              <w:pStyle w:val="TableText"/>
              <w:keepNext w:val="0"/>
            </w:pPr>
            <w:r w:rsidRPr="002530A2">
              <w:t>Death</w:t>
            </w:r>
          </w:p>
        </w:tc>
        <w:tc>
          <w:tcPr>
            <w:tcW w:w="2016" w:type="pct"/>
          </w:tcPr>
          <w:p w14:paraId="11FFF050" w14:textId="77777777" w:rsidR="00E341F9" w:rsidRPr="002530A2" w:rsidRDefault="00E341F9" w:rsidP="00897FB4">
            <w:pPr>
              <w:pStyle w:val="TableText"/>
              <w:keepNext w:val="0"/>
            </w:pPr>
            <w:r>
              <w:t>The Recovery health state was added to the subsequent treatment pathway.</w:t>
            </w:r>
          </w:p>
        </w:tc>
      </w:tr>
      <w:tr w:rsidR="00E341F9" w:rsidRPr="002530A2" w14:paraId="62897621" w14:textId="77777777" w:rsidTr="00897FB4">
        <w:trPr>
          <w:cantSplit/>
        </w:trPr>
        <w:tc>
          <w:tcPr>
            <w:tcW w:w="784" w:type="pct"/>
            <w:tcBorders>
              <w:bottom w:val="single" w:sz="4" w:space="0" w:color="auto"/>
            </w:tcBorders>
          </w:tcPr>
          <w:p w14:paraId="41ECF05C" w14:textId="77777777" w:rsidR="00E341F9" w:rsidRPr="002530A2" w:rsidRDefault="00E341F9" w:rsidP="00897FB4">
            <w:pPr>
              <w:pStyle w:val="TableText"/>
              <w:keepNext w:val="0"/>
            </w:pPr>
            <w:r w:rsidRPr="002530A2">
              <w:t>Cycle length</w:t>
            </w:r>
          </w:p>
        </w:tc>
        <w:tc>
          <w:tcPr>
            <w:tcW w:w="2200" w:type="pct"/>
            <w:tcBorders>
              <w:bottom w:val="single" w:sz="4" w:space="0" w:color="auto"/>
            </w:tcBorders>
          </w:tcPr>
          <w:p w14:paraId="39CDC939" w14:textId="77777777" w:rsidR="00E341F9" w:rsidRPr="002530A2" w:rsidRDefault="00E341F9" w:rsidP="00897FB4">
            <w:pPr>
              <w:pStyle w:val="TableText"/>
              <w:keepNext w:val="0"/>
            </w:pPr>
            <w:r w:rsidRPr="002530A2">
              <w:t>Four weeks</w:t>
            </w:r>
            <w:r>
              <w:t>.</w:t>
            </w:r>
          </w:p>
        </w:tc>
        <w:tc>
          <w:tcPr>
            <w:tcW w:w="2016" w:type="pct"/>
            <w:tcBorders>
              <w:bottom w:val="single" w:sz="4" w:space="0" w:color="auto"/>
            </w:tcBorders>
          </w:tcPr>
          <w:p w14:paraId="26AD5458" w14:textId="77777777" w:rsidR="00E341F9" w:rsidRPr="002530A2" w:rsidRDefault="00E341F9" w:rsidP="00897FB4">
            <w:pPr>
              <w:pStyle w:val="TableText"/>
              <w:keepNext w:val="0"/>
            </w:pPr>
            <w:r>
              <w:t>Unchanged.</w:t>
            </w:r>
          </w:p>
        </w:tc>
      </w:tr>
      <w:tr w:rsidR="00E341F9" w:rsidRPr="002530A2" w14:paraId="45858517" w14:textId="77777777" w:rsidTr="00897FB4">
        <w:trPr>
          <w:cantSplit/>
        </w:trPr>
        <w:tc>
          <w:tcPr>
            <w:tcW w:w="784" w:type="pct"/>
            <w:tcBorders>
              <w:bottom w:val="nil"/>
            </w:tcBorders>
          </w:tcPr>
          <w:p w14:paraId="4E85B8BD" w14:textId="77777777" w:rsidR="00E341F9" w:rsidRPr="002530A2" w:rsidRDefault="00E341F9" w:rsidP="00897FB4">
            <w:pPr>
              <w:pStyle w:val="TableText"/>
              <w:keepNext w:val="0"/>
            </w:pPr>
            <w:r w:rsidRPr="002530A2">
              <w:t>Transition probabilities</w:t>
            </w:r>
          </w:p>
        </w:tc>
        <w:tc>
          <w:tcPr>
            <w:tcW w:w="2200" w:type="pct"/>
            <w:tcBorders>
              <w:bottom w:val="nil"/>
            </w:tcBorders>
          </w:tcPr>
          <w:p w14:paraId="7B0D01F3" w14:textId="77777777" w:rsidR="00E341F9" w:rsidRPr="002530A2" w:rsidRDefault="00E341F9" w:rsidP="00897FB4">
            <w:pPr>
              <w:pStyle w:val="TableText"/>
              <w:keepNext w:val="0"/>
            </w:pPr>
            <w:r w:rsidRPr="002530A2">
              <w:t xml:space="preserve">Transitions from MDE to response or remission </w:t>
            </w:r>
            <w:r>
              <w:t xml:space="preserve">based on </w:t>
            </w:r>
            <w:r w:rsidRPr="002530A2">
              <w:t>patients who achieved remission or response at the end of the induction phase in TRANSFORM-2</w:t>
            </w:r>
            <w:r>
              <w:t>.</w:t>
            </w:r>
          </w:p>
        </w:tc>
        <w:tc>
          <w:tcPr>
            <w:tcW w:w="2016" w:type="pct"/>
            <w:tcBorders>
              <w:bottom w:val="nil"/>
            </w:tcBorders>
          </w:tcPr>
          <w:p w14:paraId="3D10B892" w14:textId="22C02D78" w:rsidR="00E341F9" w:rsidRPr="002530A2" w:rsidRDefault="00E341F9" w:rsidP="00897FB4">
            <w:pPr>
              <w:pStyle w:val="TableText"/>
              <w:keepNext w:val="0"/>
            </w:pPr>
            <w:r w:rsidRPr="000C4D74">
              <w:t xml:space="preserve">Transitions from MDE to response or remission </w:t>
            </w:r>
            <w:r>
              <w:t>based on</w:t>
            </w:r>
            <w:r w:rsidRPr="000C4D74">
              <w:t xml:space="preserve"> patients who achieved remission or response in TRANSFORM-2</w:t>
            </w:r>
            <w:r>
              <w:t xml:space="preserve"> and TRANSFORM-3, weighted by the proportion of the Australian</w:t>
            </w:r>
            <w:r w:rsidR="009A1A7A">
              <w:t xml:space="preserve"> general</w:t>
            </w:r>
            <w:r>
              <w:t xml:space="preserve"> population aged &lt;65 and ≥65 years.</w:t>
            </w:r>
          </w:p>
        </w:tc>
      </w:tr>
      <w:tr w:rsidR="00E341F9" w:rsidRPr="002530A2" w14:paraId="417EF37F" w14:textId="77777777" w:rsidTr="00897FB4">
        <w:trPr>
          <w:cantSplit/>
        </w:trPr>
        <w:tc>
          <w:tcPr>
            <w:tcW w:w="784" w:type="pct"/>
            <w:tcBorders>
              <w:top w:val="nil"/>
              <w:bottom w:val="nil"/>
            </w:tcBorders>
          </w:tcPr>
          <w:p w14:paraId="2E4FAB35" w14:textId="77777777" w:rsidR="00E341F9" w:rsidRPr="002530A2" w:rsidRDefault="00E341F9" w:rsidP="00897FB4">
            <w:pPr>
              <w:pStyle w:val="TableText"/>
              <w:keepNext w:val="0"/>
            </w:pPr>
          </w:p>
        </w:tc>
        <w:tc>
          <w:tcPr>
            <w:tcW w:w="2200" w:type="pct"/>
            <w:tcBorders>
              <w:top w:val="nil"/>
              <w:bottom w:val="nil"/>
            </w:tcBorders>
          </w:tcPr>
          <w:p w14:paraId="4167E0A7" w14:textId="77777777" w:rsidR="00E341F9" w:rsidRPr="00300BEE" w:rsidRDefault="00E341F9" w:rsidP="00897FB4">
            <w:pPr>
              <w:pStyle w:val="TableText"/>
              <w:keepNext w:val="0"/>
            </w:pPr>
            <w:r w:rsidRPr="002530A2">
              <w:t>Transitions from response to remission, remission to recovery, remission to MDE, and response to MDE are informed by the proportions of patients achieving these outcomes in the maintenance phase of SUSTAIN-1.</w:t>
            </w:r>
          </w:p>
        </w:tc>
        <w:tc>
          <w:tcPr>
            <w:tcW w:w="2016" w:type="pct"/>
            <w:tcBorders>
              <w:top w:val="nil"/>
              <w:bottom w:val="nil"/>
            </w:tcBorders>
          </w:tcPr>
          <w:p w14:paraId="49223CAF" w14:textId="77777777" w:rsidR="00E341F9" w:rsidRPr="000F07D1" w:rsidRDefault="00E341F9" w:rsidP="00897FB4">
            <w:pPr>
              <w:pStyle w:val="TableText"/>
              <w:keepNext w:val="0"/>
              <w:rPr>
                <w:b/>
                <w:bCs w:val="0"/>
              </w:rPr>
            </w:pPr>
            <w:r w:rsidRPr="000C4D74">
              <w:t xml:space="preserve">Transitions </w:t>
            </w:r>
            <w:r>
              <w:t xml:space="preserve">in the </w:t>
            </w:r>
            <w:proofErr w:type="spellStart"/>
            <w:r>
              <w:t>esketamine</w:t>
            </w:r>
            <w:proofErr w:type="spellEnd"/>
            <w:r>
              <w:t xml:space="preserve"> plus OAD arm unchanged; transitions for remission and response to MDE in the placebo plus OAD arm based on the average of third- and fourth-line treatment outcomes from the STAR*D study.</w:t>
            </w:r>
          </w:p>
        </w:tc>
      </w:tr>
      <w:tr w:rsidR="00E341F9" w:rsidRPr="002530A2" w14:paraId="276DD121" w14:textId="77777777" w:rsidTr="00897FB4">
        <w:trPr>
          <w:cantSplit/>
        </w:trPr>
        <w:tc>
          <w:tcPr>
            <w:tcW w:w="784" w:type="pct"/>
            <w:tcBorders>
              <w:top w:val="nil"/>
              <w:bottom w:val="nil"/>
            </w:tcBorders>
          </w:tcPr>
          <w:p w14:paraId="3E501485" w14:textId="77777777" w:rsidR="00E341F9" w:rsidRPr="002530A2" w:rsidRDefault="00E341F9" w:rsidP="00897FB4">
            <w:pPr>
              <w:pStyle w:val="TableText"/>
              <w:keepNext w:val="0"/>
            </w:pPr>
          </w:p>
        </w:tc>
        <w:tc>
          <w:tcPr>
            <w:tcW w:w="2200" w:type="pct"/>
            <w:tcBorders>
              <w:top w:val="nil"/>
              <w:bottom w:val="nil"/>
            </w:tcBorders>
          </w:tcPr>
          <w:p w14:paraId="213013CD" w14:textId="77777777" w:rsidR="00E341F9" w:rsidRPr="002530A2" w:rsidRDefault="00E341F9" w:rsidP="00897FB4">
            <w:pPr>
              <w:pStyle w:val="TableText"/>
              <w:keepNext w:val="0"/>
            </w:pPr>
            <w:r w:rsidRPr="002530A2">
              <w:t xml:space="preserve">Transition probabilities for MDE to response or remission, and for response or remission to MDE in patients who failed </w:t>
            </w:r>
            <w:r>
              <w:t>initial</w:t>
            </w:r>
            <w:r w:rsidRPr="002530A2">
              <w:t xml:space="preserve"> treatment in the model are based on data from patients in their fourth line of treatment in the STAR*D study</w:t>
            </w:r>
            <w:r>
              <w:t>.</w:t>
            </w:r>
          </w:p>
        </w:tc>
        <w:tc>
          <w:tcPr>
            <w:tcW w:w="2016" w:type="pct"/>
            <w:tcBorders>
              <w:top w:val="nil"/>
              <w:bottom w:val="nil"/>
            </w:tcBorders>
          </w:tcPr>
          <w:p w14:paraId="4C745F03" w14:textId="77777777" w:rsidR="00E341F9" w:rsidRPr="002530A2" w:rsidRDefault="00E341F9" w:rsidP="00897FB4">
            <w:pPr>
              <w:pStyle w:val="TableText"/>
              <w:keepNext w:val="0"/>
            </w:pPr>
            <w:r>
              <w:t>Unchanged.</w:t>
            </w:r>
          </w:p>
        </w:tc>
      </w:tr>
      <w:tr w:rsidR="00E341F9" w:rsidRPr="002530A2" w14:paraId="2E7147E8" w14:textId="77777777" w:rsidTr="00897FB4">
        <w:trPr>
          <w:cantSplit/>
        </w:trPr>
        <w:tc>
          <w:tcPr>
            <w:tcW w:w="784" w:type="pct"/>
            <w:tcBorders>
              <w:top w:val="nil"/>
              <w:bottom w:val="nil"/>
            </w:tcBorders>
          </w:tcPr>
          <w:p w14:paraId="3AFCAD10" w14:textId="77777777" w:rsidR="00E341F9" w:rsidRPr="002530A2" w:rsidRDefault="00E341F9" w:rsidP="00897FB4">
            <w:pPr>
              <w:pStyle w:val="TableText"/>
              <w:keepNext w:val="0"/>
            </w:pPr>
          </w:p>
        </w:tc>
        <w:tc>
          <w:tcPr>
            <w:tcW w:w="2200" w:type="pct"/>
            <w:tcBorders>
              <w:top w:val="nil"/>
              <w:bottom w:val="nil"/>
            </w:tcBorders>
          </w:tcPr>
          <w:p w14:paraId="0A8822FF" w14:textId="77777777" w:rsidR="00E341F9" w:rsidRPr="002530A2" w:rsidRDefault="00E341F9" w:rsidP="00897FB4">
            <w:pPr>
              <w:pStyle w:val="TableText"/>
              <w:keepNext w:val="0"/>
            </w:pPr>
            <w:proofErr w:type="spellStart"/>
            <w:r>
              <w:t>Esketamine</w:t>
            </w:r>
            <w:proofErr w:type="spellEnd"/>
            <w:r>
              <w:t xml:space="preserve"> t</w:t>
            </w:r>
            <w:r w:rsidRPr="002530A2">
              <w:t>reatment discontinuation for any cause is applied in the continuation, maintenance, and recovery phases (week 5 onwards), based on an exponential distribution fit to all-cause discontinuations in SUSTAIN-1</w:t>
            </w:r>
            <w:r>
              <w:t>.</w:t>
            </w:r>
          </w:p>
        </w:tc>
        <w:tc>
          <w:tcPr>
            <w:tcW w:w="2016" w:type="pct"/>
            <w:tcBorders>
              <w:top w:val="nil"/>
              <w:bottom w:val="nil"/>
            </w:tcBorders>
          </w:tcPr>
          <w:p w14:paraId="23B33E7F" w14:textId="77777777" w:rsidR="00E341F9" w:rsidRPr="002530A2" w:rsidRDefault="00E341F9" w:rsidP="00897FB4">
            <w:pPr>
              <w:pStyle w:val="TableText"/>
              <w:keepNext w:val="0"/>
            </w:pPr>
            <w:r>
              <w:t>Unchanged.</w:t>
            </w:r>
          </w:p>
        </w:tc>
      </w:tr>
      <w:tr w:rsidR="00E341F9" w:rsidRPr="002530A2" w14:paraId="0317B5E0" w14:textId="77777777" w:rsidTr="00897FB4">
        <w:trPr>
          <w:cantSplit/>
        </w:trPr>
        <w:tc>
          <w:tcPr>
            <w:tcW w:w="784" w:type="pct"/>
            <w:tcBorders>
              <w:top w:val="nil"/>
              <w:bottom w:val="single" w:sz="4" w:space="0" w:color="auto"/>
            </w:tcBorders>
          </w:tcPr>
          <w:p w14:paraId="4AE06AD8" w14:textId="77777777" w:rsidR="00E341F9" w:rsidRPr="002530A2" w:rsidRDefault="00E341F9" w:rsidP="00897FB4">
            <w:pPr>
              <w:pStyle w:val="TableText"/>
              <w:keepNext w:val="0"/>
            </w:pPr>
          </w:p>
        </w:tc>
        <w:tc>
          <w:tcPr>
            <w:tcW w:w="2200" w:type="pct"/>
            <w:tcBorders>
              <w:top w:val="nil"/>
              <w:bottom w:val="single" w:sz="4" w:space="0" w:color="auto"/>
            </w:tcBorders>
          </w:tcPr>
          <w:p w14:paraId="1E6FB8F6" w14:textId="77777777" w:rsidR="00E341F9" w:rsidRPr="002530A2" w:rsidRDefault="00E341F9" w:rsidP="00897FB4">
            <w:pPr>
              <w:pStyle w:val="TableText"/>
              <w:keepNext w:val="0"/>
            </w:pPr>
            <w:r w:rsidRPr="002530A2">
              <w:t>Age-specific all-cause mortality was modelled based on Australian Bureau of Statistics life tables for males and females</w:t>
            </w:r>
            <w:r>
              <w:t xml:space="preserve"> (2017-2019)</w:t>
            </w:r>
            <w:r w:rsidRPr="002530A2">
              <w:t>. No additional mortality risk associated with TRD was assumed.</w:t>
            </w:r>
          </w:p>
        </w:tc>
        <w:tc>
          <w:tcPr>
            <w:tcW w:w="2016" w:type="pct"/>
            <w:tcBorders>
              <w:top w:val="nil"/>
              <w:bottom w:val="single" w:sz="4" w:space="0" w:color="auto"/>
            </w:tcBorders>
          </w:tcPr>
          <w:p w14:paraId="3F177CB3" w14:textId="77777777" w:rsidR="00E341F9" w:rsidRPr="002530A2" w:rsidRDefault="00E341F9" w:rsidP="00897FB4">
            <w:pPr>
              <w:pStyle w:val="TableText"/>
              <w:keepNext w:val="0"/>
            </w:pPr>
            <w:r>
              <w:t>The same approach was used; using updated ABS life tables (2018-2020).</w:t>
            </w:r>
          </w:p>
        </w:tc>
      </w:tr>
      <w:tr w:rsidR="00E341F9" w:rsidRPr="002530A2" w14:paraId="07245F7B" w14:textId="77777777" w:rsidTr="00897FB4">
        <w:trPr>
          <w:cantSplit/>
        </w:trPr>
        <w:tc>
          <w:tcPr>
            <w:tcW w:w="784" w:type="pct"/>
            <w:tcBorders>
              <w:top w:val="single" w:sz="4" w:space="0" w:color="auto"/>
              <w:bottom w:val="nil"/>
            </w:tcBorders>
          </w:tcPr>
          <w:p w14:paraId="3FA8F37E" w14:textId="77777777" w:rsidR="00E341F9" w:rsidRPr="002530A2" w:rsidRDefault="00E341F9" w:rsidP="00897FB4">
            <w:pPr>
              <w:pStyle w:val="TableText"/>
              <w:keepNext w:val="0"/>
            </w:pPr>
            <w:r>
              <w:t>Utilities</w:t>
            </w:r>
          </w:p>
        </w:tc>
        <w:tc>
          <w:tcPr>
            <w:tcW w:w="2200" w:type="pct"/>
            <w:tcBorders>
              <w:top w:val="single" w:sz="4" w:space="0" w:color="auto"/>
              <w:bottom w:val="nil"/>
            </w:tcBorders>
          </w:tcPr>
          <w:p w14:paraId="4F920D8E" w14:textId="77777777" w:rsidR="00E341F9" w:rsidRPr="002530A2" w:rsidRDefault="00E341F9" w:rsidP="00897FB4">
            <w:pPr>
              <w:pStyle w:val="TableText"/>
              <w:keepNext w:val="0"/>
            </w:pPr>
            <w:r w:rsidRPr="00823C9F">
              <w:t xml:space="preserve">Patient-level EQ-5D-5L data from </w:t>
            </w:r>
            <w:r>
              <w:t xml:space="preserve">baseline and </w:t>
            </w:r>
            <w:r w:rsidRPr="00823C9F">
              <w:t>day 28 of the TRANSFORM-2 trial w</w:t>
            </w:r>
            <w:r>
              <w:t>ere</w:t>
            </w:r>
            <w:r w:rsidRPr="00823C9F">
              <w:t xml:space="preserve"> transformed into health state utilities using </w:t>
            </w:r>
            <w:r>
              <w:t>the</w:t>
            </w:r>
            <w:r w:rsidRPr="00823C9F">
              <w:t xml:space="preserve"> Canadian value set</w:t>
            </w:r>
            <w:r>
              <w:t>.</w:t>
            </w:r>
          </w:p>
        </w:tc>
        <w:tc>
          <w:tcPr>
            <w:tcW w:w="2016" w:type="pct"/>
            <w:tcBorders>
              <w:top w:val="single" w:sz="4" w:space="0" w:color="auto"/>
              <w:bottom w:val="nil"/>
            </w:tcBorders>
            <w:vAlign w:val="center"/>
          </w:tcPr>
          <w:p w14:paraId="311ED6D4" w14:textId="77777777" w:rsidR="00E341F9" w:rsidRDefault="00E341F9" w:rsidP="00897FB4">
            <w:pPr>
              <w:pStyle w:val="TableText"/>
              <w:keepNext w:val="0"/>
            </w:pPr>
            <w:r w:rsidRPr="00823C9F">
              <w:t xml:space="preserve">Patient-level EQ-5D-5L data from </w:t>
            </w:r>
            <w:r>
              <w:t xml:space="preserve">baseline and </w:t>
            </w:r>
            <w:r w:rsidRPr="00823C9F">
              <w:t xml:space="preserve">day 28 of the TRANSFORM-2 </w:t>
            </w:r>
            <w:r>
              <w:t xml:space="preserve">and TRANSFORM-3 </w:t>
            </w:r>
            <w:r w:rsidRPr="00823C9F">
              <w:t>trial</w:t>
            </w:r>
            <w:r>
              <w:t>s</w:t>
            </w:r>
            <w:r w:rsidRPr="00823C9F">
              <w:t xml:space="preserve"> w</w:t>
            </w:r>
            <w:r>
              <w:t>ere</w:t>
            </w:r>
            <w:r w:rsidRPr="00823C9F">
              <w:t xml:space="preserve"> transformed into health state utilities using </w:t>
            </w:r>
            <w:r>
              <w:t>the UK value set; weighted by the proportion of the Australian population aged &lt;65 and ≥65 years.</w:t>
            </w:r>
          </w:p>
        </w:tc>
      </w:tr>
      <w:tr w:rsidR="00E341F9" w:rsidRPr="002530A2" w14:paraId="0F3DAC7C" w14:textId="77777777" w:rsidTr="00897FB4">
        <w:trPr>
          <w:cantSplit/>
        </w:trPr>
        <w:tc>
          <w:tcPr>
            <w:tcW w:w="784" w:type="pct"/>
            <w:tcBorders>
              <w:top w:val="nil"/>
              <w:bottom w:val="single" w:sz="4" w:space="0" w:color="auto"/>
            </w:tcBorders>
          </w:tcPr>
          <w:p w14:paraId="196FAAB5" w14:textId="77777777" w:rsidR="00E341F9" w:rsidRDefault="00E341F9" w:rsidP="00897FB4">
            <w:pPr>
              <w:pStyle w:val="TableText"/>
              <w:keepNext w:val="0"/>
            </w:pPr>
          </w:p>
        </w:tc>
        <w:tc>
          <w:tcPr>
            <w:tcW w:w="2200" w:type="pct"/>
            <w:tcBorders>
              <w:top w:val="nil"/>
              <w:bottom w:val="single" w:sz="4" w:space="0" w:color="auto"/>
            </w:tcBorders>
            <w:vAlign w:val="center"/>
          </w:tcPr>
          <w:p w14:paraId="6BF49DFE" w14:textId="77777777" w:rsidR="00E341F9" w:rsidRPr="00823C9F" w:rsidRDefault="00E341F9" w:rsidP="00897FB4">
            <w:pPr>
              <w:pStyle w:val="TableText"/>
              <w:keepNext w:val="0"/>
            </w:pPr>
            <w:r>
              <w:t xml:space="preserve">Adverse event </w:t>
            </w:r>
            <w:proofErr w:type="spellStart"/>
            <w:r>
              <w:t>disutilities</w:t>
            </w:r>
            <w:proofErr w:type="spellEnd"/>
            <w:r>
              <w:t xml:space="preserve"> derived from </w:t>
            </w:r>
            <w:proofErr w:type="gramStart"/>
            <w:r>
              <w:t>a number of</w:t>
            </w:r>
            <w:proofErr w:type="gramEnd"/>
            <w:r>
              <w:t xml:space="preserve"> published sources, weighted by the incidence of adverse events in the TRANSFORM-2 trial; applied to the induction (first) cycle only.</w:t>
            </w:r>
          </w:p>
        </w:tc>
        <w:tc>
          <w:tcPr>
            <w:tcW w:w="2016" w:type="pct"/>
            <w:tcBorders>
              <w:top w:val="nil"/>
              <w:bottom w:val="single" w:sz="4" w:space="0" w:color="auto"/>
            </w:tcBorders>
          </w:tcPr>
          <w:p w14:paraId="225E1AFA" w14:textId="77777777" w:rsidR="00E341F9" w:rsidRPr="00823C9F" w:rsidRDefault="00E341F9" w:rsidP="00897FB4">
            <w:pPr>
              <w:pStyle w:val="TableText"/>
              <w:keepNext w:val="0"/>
            </w:pPr>
            <w:proofErr w:type="spellStart"/>
            <w:r>
              <w:t>Disutilities</w:t>
            </w:r>
            <w:proofErr w:type="spellEnd"/>
            <w:r>
              <w:t xml:space="preserve"> unchanged; but applied during induction and maintenance treatment.</w:t>
            </w:r>
          </w:p>
        </w:tc>
      </w:tr>
      <w:tr w:rsidR="00E341F9" w:rsidRPr="002530A2" w14:paraId="42B93473" w14:textId="77777777" w:rsidTr="00897FB4">
        <w:trPr>
          <w:cantSplit/>
        </w:trPr>
        <w:tc>
          <w:tcPr>
            <w:tcW w:w="784" w:type="pct"/>
            <w:tcBorders>
              <w:top w:val="single" w:sz="4" w:space="0" w:color="auto"/>
              <w:bottom w:val="nil"/>
            </w:tcBorders>
          </w:tcPr>
          <w:p w14:paraId="4C0EC559" w14:textId="77777777" w:rsidR="00E341F9" w:rsidRDefault="00E341F9" w:rsidP="00897FB4">
            <w:pPr>
              <w:pStyle w:val="TableText"/>
              <w:keepNext w:val="0"/>
            </w:pPr>
            <w:r>
              <w:lastRenderedPageBreak/>
              <w:t>Costs</w:t>
            </w:r>
          </w:p>
        </w:tc>
        <w:tc>
          <w:tcPr>
            <w:tcW w:w="2200" w:type="pct"/>
            <w:tcBorders>
              <w:top w:val="single" w:sz="4" w:space="0" w:color="auto"/>
              <w:bottom w:val="nil"/>
            </w:tcBorders>
          </w:tcPr>
          <w:p w14:paraId="6DB5B8ED" w14:textId="77777777" w:rsidR="00E341F9" w:rsidRPr="002530A2" w:rsidRDefault="00E341F9" w:rsidP="00897FB4">
            <w:pPr>
              <w:pStyle w:val="TableText"/>
              <w:keepNext w:val="0"/>
            </w:pPr>
            <w:proofErr w:type="spellStart"/>
            <w:r w:rsidRPr="002530A2">
              <w:t>Esketamine</w:t>
            </w:r>
            <w:proofErr w:type="spellEnd"/>
            <w:r w:rsidRPr="002530A2">
              <w:t xml:space="preserve"> drug costs based on the proposed effective DPMQ, with a weighted public/private split (20/80)</w:t>
            </w:r>
            <w:r>
              <w:t xml:space="preserve">. </w:t>
            </w:r>
            <w:r w:rsidRPr="00E17BF3">
              <w:t>Mean dose and frequency of administration during induction and maintenance periods were based on data from the TRANSFORM-2 and SUSTAIN-1 trials.</w:t>
            </w:r>
          </w:p>
        </w:tc>
        <w:tc>
          <w:tcPr>
            <w:tcW w:w="2016" w:type="pct"/>
            <w:tcBorders>
              <w:top w:val="single" w:sz="4" w:space="0" w:color="auto"/>
              <w:bottom w:val="nil"/>
            </w:tcBorders>
          </w:tcPr>
          <w:p w14:paraId="6F8454E1" w14:textId="77777777" w:rsidR="00E341F9" w:rsidRDefault="00E341F9" w:rsidP="00897FB4">
            <w:pPr>
              <w:pStyle w:val="TableText"/>
              <w:keepNext w:val="0"/>
            </w:pPr>
            <w:proofErr w:type="spellStart"/>
            <w:r>
              <w:t>Esketamine</w:t>
            </w:r>
            <w:proofErr w:type="spellEnd"/>
            <w:r>
              <w:t xml:space="preserve"> drug cost based on revised effective DPMQ, with a weighted public/private split (20/80). Mean dose and frequency of administration based on TRANSFORM-2 and TRANSFORM-3 trials, weighted by the proportion of patients aged &lt;65 and ≥65 years for the induction period; and SUSTAIN-1 trial for maintenance periods.</w:t>
            </w:r>
          </w:p>
        </w:tc>
      </w:tr>
      <w:tr w:rsidR="00E341F9" w:rsidRPr="002530A2" w14:paraId="1BC464C2" w14:textId="77777777" w:rsidTr="00897FB4">
        <w:trPr>
          <w:cantSplit/>
        </w:trPr>
        <w:tc>
          <w:tcPr>
            <w:tcW w:w="784" w:type="pct"/>
            <w:tcBorders>
              <w:top w:val="nil"/>
              <w:bottom w:val="nil"/>
            </w:tcBorders>
          </w:tcPr>
          <w:p w14:paraId="561DEB3B" w14:textId="77777777" w:rsidR="00E341F9" w:rsidRDefault="00E341F9" w:rsidP="00897FB4">
            <w:pPr>
              <w:pStyle w:val="TableText"/>
              <w:keepNext w:val="0"/>
            </w:pPr>
          </w:p>
        </w:tc>
        <w:tc>
          <w:tcPr>
            <w:tcW w:w="2200" w:type="pct"/>
            <w:tcBorders>
              <w:top w:val="nil"/>
              <w:bottom w:val="single" w:sz="4" w:space="0" w:color="auto"/>
            </w:tcBorders>
          </w:tcPr>
          <w:p w14:paraId="54D60CE6" w14:textId="56B12A96" w:rsidR="00E341F9" w:rsidRPr="002530A2" w:rsidRDefault="00C50DC8" w:rsidP="00897FB4">
            <w:pPr>
              <w:pStyle w:val="TableText"/>
              <w:keepNext w:val="0"/>
            </w:pPr>
            <w:r>
              <w:t>OAD</w:t>
            </w:r>
            <w:r w:rsidR="00E341F9" w:rsidRPr="002530A2">
              <w:t xml:space="preserve"> drug costs based on </w:t>
            </w:r>
            <w:r w:rsidR="00E341F9">
              <w:t xml:space="preserve">March 2021 PBS schedule, dosage based on product information documents, </w:t>
            </w:r>
            <w:r w:rsidR="00E341F9" w:rsidRPr="002530A2">
              <w:t xml:space="preserve">weighted </w:t>
            </w:r>
            <w:r w:rsidR="00E341F9">
              <w:t>by utilisation from PBS item reports (February 2020 to January 2021).</w:t>
            </w:r>
          </w:p>
        </w:tc>
        <w:tc>
          <w:tcPr>
            <w:tcW w:w="2016" w:type="pct"/>
            <w:tcBorders>
              <w:top w:val="nil"/>
              <w:bottom w:val="single" w:sz="4" w:space="0" w:color="auto"/>
            </w:tcBorders>
          </w:tcPr>
          <w:p w14:paraId="32B9C4EC" w14:textId="6AF8903A" w:rsidR="00E341F9" w:rsidRDefault="00C50DC8" w:rsidP="00897FB4">
            <w:pPr>
              <w:pStyle w:val="TableText"/>
              <w:keepNext w:val="0"/>
            </w:pPr>
            <w:r>
              <w:t>OAD</w:t>
            </w:r>
            <w:r w:rsidR="00E341F9" w:rsidRPr="002530A2">
              <w:t xml:space="preserve"> drug costs based on </w:t>
            </w:r>
            <w:r w:rsidR="00E341F9">
              <w:t xml:space="preserve">January 2022 PBS schedule, dosage based on product information documents, </w:t>
            </w:r>
            <w:r w:rsidR="00E341F9" w:rsidRPr="002530A2">
              <w:t xml:space="preserve">weighted </w:t>
            </w:r>
            <w:r w:rsidR="00E341F9">
              <w:t>by utilisation from PBS item reports (December 2020 to December 2021).</w:t>
            </w:r>
          </w:p>
        </w:tc>
      </w:tr>
      <w:tr w:rsidR="00E341F9" w:rsidRPr="002530A2" w14:paraId="7BABB821" w14:textId="77777777" w:rsidTr="00897FB4">
        <w:trPr>
          <w:cantSplit/>
        </w:trPr>
        <w:tc>
          <w:tcPr>
            <w:tcW w:w="784" w:type="pct"/>
            <w:tcBorders>
              <w:top w:val="nil"/>
              <w:bottom w:val="nil"/>
            </w:tcBorders>
          </w:tcPr>
          <w:p w14:paraId="585A23D7" w14:textId="77777777" w:rsidR="00E341F9" w:rsidRDefault="00E341F9" w:rsidP="00897FB4">
            <w:pPr>
              <w:pStyle w:val="TableText"/>
              <w:keepNext w:val="0"/>
            </w:pPr>
          </w:p>
        </w:tc>
        <w:tc>
          <w:tcPr>
            <w:tcW w:w="2200" w:type="pct"/>
            <w:tcBorders>
              <w:top w:val="single" w:sz="4" w:space="0" w:color="auto"/>
              <w:bottom w:val="nil"/>
            </w:tcBorders>
          </w:tcPr>
          <w:p w14:paraId="151DE63F" w14:textId="77777777" w:rsidR="00E341F9" w:rsidRPr="002530A2" w:rsidRDefault="00E341F9" w:rsidP="00897FB4">
            <w:pPr>
              <w:pStyle w:val="TableText"/>
              <w:keepNext w:val="0"/>
            </w:pPr>
            <w:r w:rsidRPr="00DE2042">
              <w:t xml:space="preserve">Administration costs based on </w:t>
            </w:r>
            <w:r>
              <w:t>July</w:t>
            </w:r>
            <w:r w:rsidRPr="00DE2042">
              <w:t xml:space="preserve"> 202</w:t>
            </w:r>
            <w:r>
              <w:t>0</w:t>
            </w:r>
            <w:r w:rsidRPr="00DE2042">
              <w:t xml:space="preserve"> MBS item 30</w:t>
            </w:r>
            <w:r>
              <w:t>0</w:t>
            </w:r>
            <w:r w:rsidRPr="00DE2042">
              <w:t xml:space="preserve"> for </w:t>
            </w:r>
            <w:proofErr w:type="spellStart"/>
            <w:r w:rsidRPr="00DE2042">
              <w:t>esketamine</w:t>
            </w:r>
            <w:proofErr w:type="spellEnd"/>
            <w:r w:rsidRPr="00DE2042">
              <w:t xml:space="preserve"> </w:t>
            </w:r>
            <w:r>
              <w:t xml:space="preserve">and </w:t>
            </w:r>
            <w:r w:rsidRPr="00DE2042">
              <w:t xml:space="preserve">placebo (psychiatrist consultation ≤15 minutes); frequency of administration for both arms based on </w:t>
            </w:r>
            <w:r>
              <w:t xml:space="preserve">the </w:t>
            </w:r>
            <w:proofErr w:type="spellStart"/>
            <w:r>
              <w:t>esketamine</w:t>
            </w:r>
            <w:proofErr w:type="spellEnd"/>
            <w:r>
              <w:t xml:space="preserve"> arm of </w:t>
            </w:r>
            <w:r w:rsidRPr="00DE2042">
              <w:t>TRANSFORM-2 for the induction period; and SUSTAIN-1 trial for maintenance periods.</w:t>
            </w:r>
          </w:p>
        </w:tc>
        <w:tc>
          <w:tcPr>
            <w:tcW w:w="2016" w:type="pct"/>
            <w:tcBorders>
              <w:top w:val="single" w:sz="4" w:space="0" w:color="auto"/>
              <w:bottom w:val="nil"/>
            </w:tcBorders>
          </w:tcPr>
          <w:p w14:paraId="3716AB05" w14:textId="77777777" w:rsidR="00E341F9" w:rsidRDefault="00E341F9" w:rsidP="00897FB4">
            <w:pPr>
              <w:pStyle w:val="TableText"/>
              <w:keepNext w:val="0"/>
            </w:pPr>
            <w:r>
              <w:t xml:space="preserve">Administration costs based on November 2021 MBS item 304 for </w:t>
            </w:r>
            <w:proofErr w:type="spellStart"/>
            <w:r>
              <w:t>esketamine</w:t>
            </w:r>
            <w:proofErr w:type="spellEnd"/>
            <w:r>
              <w:t xml:space="preserve"> (psychiatrist consultation 30-45 minutes) and item 300 for placebo (psychiatrist consultation ≤15 minutes); frequency of administration for both arms based on the </w:t>
            </w:r>
            <w:proofErr w:type="spellStart"/>
            <w:r>
              <w:t>esketamine</w:t>
            </w:r>
            <w:proofErr w:type="spellEnd"/>
            <w:r>
              <w:t xml:space="preserve"> arm of TRANSFORM-2 and TRANSFORM-3 trials, weighted by the proportion of patients aged &lt;65 and ≥65 years for the induction period; and SUSTAIN-1 trial for maintenance periods.</w:t>
            </w:r>
          </w:p>
        </w:tc>
      </w:tr>
      <w:tr w:rsidR="00E341F9" w:rsidRPr="002530A2" w14:paraId="17B22E2A" w14:textId="77777777" w:rsidTr="00897FB4">
        <w:trPr>
          <w:cantSplit/>
        </w:trPr>
        <w:tc>
          <w:tcPr>
            <w:tcW w:w="784" w:type="pct"/>
            <w:tcBorders>
              <w:top w:val="nil"/>
            </w:tcBorders>
          </w:tcPr>
          <w:p w14:paraId="05C3B79D" w14:textId="77777777" w:rsidR="00E341F9" w:rsidRDefault="00E341F9" w:rsidP="00897FB4">
            <w:pPr>
              <w:pStyle w:val="TableText"/>
              <w:keepNext w:val="0"/>
            </w:pPr>
          </w:p>
        </w:tc>
        <w:tc>
          <w:tcPr>
            <w:tcW w:w="2200" w:type="pct"/>
            <w:tcBorders>
              <w:top w:val="nil"/>
            </w:tcBorders>
          </w:tcPr>
          <w:p w14:paraId="4067AB9F" w14:textId="77777777" w:rsidR="00E341F9" w:rsidRPr="002530A2" w:rsidRDefault="00E341F9" w:rsidP="00897FB4">
            <w:pPr>
              <w:pStyle w:val="TableText"/>
              <w:keepNext w:val="0"/>
            </w:pPr>
            <w:r w:rsidRPr="002530A2">
              <w:t xml:space="preserve">Disease management </w:t>
            </w:r>
            <w:r>
              <w:t>resource use</w:t>
            </w:r>
            <w:r w:rsidRPr="002530A2">
              <w:t xml:space="preserve"> (GP visits, specialist visits, community health centre visits, hospitalisations, emergency department visits) by health state based on a UK study by Denee et al. (202</w:t>
            </w:r>
            <w:r>
              <w:t>1</w:t>
            </w:r>
            <w:r w:rsidRPr="002530A2">
              <w:t>).  Hospitalisation costs were estimated based on AR-DRG items</w:t>
            </w:r>
            <w:r>
              <w:t xml:space="preserve"> for major affective disorder; e</w:t>
            </w:r>
            <w:r w:rsidRPr="002530A2">
              <w:t>mergency department costs were based on URG</w:t>
            </w:r>
            <w:r>
              <w:t xml:space="preserve"> </w:t>
            </w:r>
            <w:r w:rsidRPr="002530A2">
              <w:t>items</w:t>
            </w:r>
            <w:r>
              <w:t xml:space="preserve"> for psychiatric illness (NHCDC round 22, 2017-2018)</w:t>
            </w:r>
            <w:r w:rsidRPr="002530A2">
              <w:t xml:space="preserve">. GP and specialist visit costs based on </w:t>
            </w:r>
            <w:r>
              <w:t xml:space="preserve">July 2020 </w:t>
            </w:r>
            <w:r w:rsidRPr="002530A2">
              <w:t xml:space="preserve">MBS </w:t>
            </w:r>
            <w:r>
              <w:t>(item 3: level A GP consultation; item 300: psychiatrist consultation ≤15 minutes).</w:t>
            </w:r>
          </w:p>
        </w:tc>
        <w:tc>
          <w:tcPr>
            <w:tcW w:w="2016" w:type="pct"/>
            <w:tcBorders>
              <w:top w:val="nil"/>
            </w:tcBorders>
          </w:tcPr>
          <w:p w14:paraId="642FC555" w14:textId="77777777" w:rsidR="00E341F9" w:rsidRDefault="00E341F9" w:rsidP="00897FB4">
            <w:pPr>
              <w:pStyle w:val="TableText"/>
              <w:keepNext w:val="0"/>
            </w:pPr>
            <w:r>
              <w:t>Disease management resource use unchanged. Hospitalisation and emergency department costs updated to NHCDC round 23, 2018-2019. GP and specialist visit costs based on November 2021 MBS (item 23: level B GP consultation; average of items 300, 302, 304, 306, 308: psychiatrist consultations ≤15 to &gt;75 minutes; weighted by MBS item reports January 2021 to December 2021).</w:t>
            </w:r>
          </w:p>
        </w:tc>
      </w:tr>
      <w:tr w:rsidR="00E341F9" w:rsidRPr="002530A2" w14:paraId="73CA1DA6" w14:textId="77777777" w:rsidTr="00897FB4">
        <w:trPr>
          <w:cantSplit/>
        </w:trPr>
        <w:tc>
          <w:tcPr>
            <w:tcW w:w="784" w:type="pct"/>
          </w:tcPr>
          <w:p w14:paraId="29A1C465" w14:textId="77777777" w:rsidR="00E341F9" w:rsidRPr="002530A2" w:rsidRDefault="00E341F9" w:rsidP="00897FB4">
            <w:pPr>
              <w:pStyle w:val="TableText"/>
              <w:keepNext w:val="0"/>
            </w:pPr>
            <w:r w:rsidRPr="002530A2">
              <w:t>Software package</w:t>
            </w:r>
          </w:p>
        </w:tc>
        <w:tc>
          <w:tcPr>
            <w:tcW w:w="2200" w:type="pct"/>
          </w:tcPr>
          <w:p w14:paraId="3DF826F1" w14:textId="77777777" w:rsidR="00E341F9" w:rsidRPr="002530A2" w:rsidRDefault="00E341F9" w:rsidP="00897FB4">
            <w:pPr>
              <w:pStyle w:val="TableText"/>
              <w:keepNext w:val="0"/>
            </w:pPr>
            <w:r w:rsidRPr="002530A2">
              <w:t>Microsoft Excel</w:t>
            </w:r>
            <w:r>
              <w:t>.</w:t>
            </w:r>
          </w:p>
        </w:tc>
        <w:tc>
          <w:tcPr>
            <w:tcW w:w="2016" w:type="pct"/>
          </w:tcPr>
          <w:p w14:paraId="73FAB3A1" w14:textId="77777777" w:rsidR="00E341F9" w:rsidRPr="002530A2" w:rsidRDefault="00E341F9" w:rsidP="00897FB4">
            <w:pPr>
              <w:pStyle w:val="TableText"/>
              <w:keepNext w:val="0"/>
            </w:pPr>
            <w:r>
              <w:t>Unchanged.</w:t>
            </w:r>
          </w:p>
        </w:tc>
      </w:tr>
    </w:tbl>
    <w:p w14:paraId="2BE05461" w14:textId="77777777" w:rsidR="00E341F9" w:rsidRDefault="00E341F9" w:rsidP="00E341F9">
      <w:pPr>
        <w:pStyle w:val="TableFigureFooter"/>
      </w:pPr>
      <w:r>
        <w:t>Source: Table 3-2, pp156-158 of the resubmission.</w:t>
      </w:r>
    </w:p>
    <w:p w14:paraId="5811D671" w14:textId="77777777" w:rsidR="00E341F9" w:rsidRPr="00B1011F" w:rsidRDefault="00E341F9" w:rsidP="00E341F9">
      <w:pPr>
        <w:pStyle w:val="TableFigureFooter"/>
        <w:rPr>
          <w:sz w:val="20"/>
        </w:rPr>
      </w:pPr>
      <w:r>
        <w:t>Abbreviations: MDE, major depressive episode</w:t>
      </w:r>
    </w:p>
    <w:p w14:paraId="031FDD64" w14:textId="77777777" w:rsidR="00BF5333" w:rsidRPr="00D60B48" w:rsidRDefault="00BF5333" w:rsidP="00BF5333">
      <w:pPr>
        <w:pStyle w:val="ExecSumBodyText"/>
        <w:rPr>
          <w:b/>
          <w:color w:val="0066FF"/>
        </w:rPr>
      </w:pPr>
      <w:r w:rsidRPr="00BF5333">
        <w:rPr>
          <w:rFonts w:ascii="Calibri" w:hAnsi="Calibri" w:cs="Times New Roman"/>
          <w:snapToGrid/>
        </w:rPr>
        <w:t>The figure below illustrates the structure of the economic model in the resubmission, reflecting the addition of the recovery state in the subsequent treatment pathway</w:t>
      </w:r>
      <w:r>
        <w:rPr>
          <w:rFonts w:ascii="Calibri" w:hAnsi="Calibri" w:cs="Times New Roman"/>
          <w:snapToGrid/>
        </w:rPr>
        <w:t>.</w:t>
      </w:r>
    </w:p>
    <w:p w14:paraId="4C685F13" w14:textId="46E6FE7F" w:rsidR="00174227" w:rsidRDefault="00174227" w:rsidP="00C50DC8">
      <w:pPr>
        <w:pStyle w:val="Caption"/>
      </w:pPr>
      <w:r>
        <w:lastRenderedPageBreak/>
        <w:t xml:space="preserve">Figure </w:t>
      </w:r>
      <w:r w:rsidR="002030D0">
        <w:fldChar w:fldCharType="begin"/>
      </w:r>
      <w:r w:rsidR="002030D0">
        <w:instrText xml:space="preserve"> SEQ Figure \* ARABIC </w:instrText>
      </w:r>
      <w:r w:rsidR="002030D0">
        <w:fldChar w:fldCharType="separate"/>
      </w:r>
      <w:r w:rsidR="008E3D7A">
        <w:rPr>
          <w:noProof/>
        </w:rPr>
        <w:t>1</w:t>
      </w:r>
      <w:r w:rsidR="002030D0">
        <w:rPr>
          <w:noProof/>
        </w:rPr>
        <w:fldChar w:fldCharType="end"/>
      </w:r>
      <w:r w:rsidRPr="00D60B48">
        <w:t>:</w:t>
      </w:r>
      <w:r>
        <w:t xml:space="preserve"> Model structure</w:t>
      </w:r>
    </w:p>
    <w:p w14:paraId="5B143631" w14:textId="77777777" w:rsidR="00174227" w:rsidRDefault="00174227" w:rsidP="00174227">
      <w:pPr>
        <w:rPr>
          <w:color w:val="3366FF"/>
        </w:rPr>
      </w:pPr>
      <w:r w:rsidRPr="00257FD6">
        <w:rPr>
          <w:noProof/>
        </w:rPr>
        <w:drawing>
          <wp:inline distT="0" distB="0" distL="0" distR="0" wp14:anchorId="2EF29987" wp14:editId="066225FA">
            <wp:extent cx="5687363" cy="3503295"/>
            <wp:effectExtent l="0" t="0" r="8890" b="1905"/>
            <wp:docPr id="1" name="Picture 1" descr="Figure 1: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Model structur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688000" cy="3503687"/>
                    </a:xfrm>
                    <a:prstGeom prst="rect">
                      <a:avLst/>
                    </a:prstGeom>
                    <a:noFill/>
                    <a:ln>
                      <a:noFill/>
                    </a:ln>
                    <a:extLst>
                      <a:ext uri="{53640926-AAD7-44D8-BBD7-CCE9431645EC}">
                        <a14:shadowObscured xmlns:a14="http://schemas.microsoft.com/office/drawing/2010/main"/>
                      </a:ext>
                    </a:extLst>
                  </pic:spPr>
                </pic:pic>
              </a:graphicData>
            </a:graphic>
          </wp:inline>
        </w:drawing>
      </w:r>
    </w:p>
    <w:p w14:paraId="316FCAEC" w14:textId="77777777" w:rsidR="00174227" w:rsidRDefault="00174227" w:rsidP="00174227">
      <w:pPr>
        <w:pStyle w:val="TableFigureFooter"/>
      </w:pPr>
      <w:r>
        <w:t>Source: Figure 3-1, p173 of the resubmission</w:t>
      </w:r>
    </w:p>
    <w:p w14:paraId="6D0E6C42" w14:textId="28C88066" w:rsidR="00BF5333" w:rsidRPr="00D60B48" w:rsidRDefault="00174227" w:rsidP="00174227">
      <w:pPr>
        <w:pStyle w:val="TableFigureFooter"/>
        <w:rPr>
          <w:rFonts w:asciiTheme="minorHAnsi" w:hAnsiTheme="minorHAnsi"/>
          <w:b/>
          <w:color w:val="0066FF"/>
        </w:rPr>
      </w:pPr>
      <w:r>
        <w:t>Abbreviations: AEs, adverse events; MADRS,</w:t>
      </w:r>
      <w:r w:rsidRPr="00A17219">
        <w:t xml:space="preserve"> </w:t>
      </w:r>
      <w:r w:rsidRPr="002530A2">
        <w:t>Montgomery-</w:t>
      </w:r>
      <w:proofErr w:type="spellStart"/>
      <w:r w:rsidRPr="002530A2">
        <w:t>Asberg</w:t>
      </w:r>
      <w:proofErr w:type="spellEnd"/>
      <w:r w:rsidRPr="002530A2">
        <w:t xml:space="preserve"> Depression Rating Scale</w:t>
      </w:r>
      <w:r>
        <w:t>; MDE, major depressive event; TRD, treatment resistant depression; Tx, treatment</w:t>
      </w:r>
    </w:p>
    <w:p w14:paraId="04248678" w14:textId="77777777" w:rsidR="00515B4D" w:rsidRPr="00D60B48" w:rsidRDefault="00515B4D" w:rsidP="00BF5333">
      <w:pPr>
        <w:pStyle w:val="ExecSumBodyText"/>
        <w:rPr>
          <w:b/>
          <w:color w:val="0066FF"/>
        </w:rPr>
      </w:pPr>
      <w:r w:rsidRPr="00F712E4">
        <w:t>Key drivers of the model are summarised in the table below.</w:t>
      </w:r>
    </w:p>
    <w:p w14:paraId="07A3EE46" w14:textId="7C9866DF" w:rsidR="009E320A" w:rsidRPr="002530A2" w:rsidRDefault="009E320A" w:rsidP="009D409F">
      <w:pPr>
        <w:pStyle w:val="Caption"/>
        <w:keepLines/>
      </w:pPr>
      <w:r w:rsidRPr="002530A2">
        <w:lastRenderedPageBreak/>
        <w:t xml:space="preserve">Table </w:t>
      </w:r>
      <w:r w:rsidR="002030D0">
        <w:fldChar w:fldCharType="begin"/>
      </w:r>
      <w:r w:rsidR="002030D0">
        <w:instrText xml:space="preserve"> SEQ Table \* ARABIC </w:instrText>
      </w:r>
      <w:r w:rsidR="002030D0">
        <w:fldChar w:fldCharType="separate"/>
      </w:r>
      <w:r w:rsidR="008E3D7A">
        <w:rPr>
          <w:noProof/>
        </w:rPr>
        <w:t>13</w:t>
      </w:r>
      <w:r w:rsidR="002030D0">
        <w:rPr>
          <w:noProof/>
        </w:rPr>
        <w:fldChar w:fldCharType="end"/>
      </w:r>
      <w:r w:rsidRPr="00D60B48">
        <w:t>:</w:t>
      </w:r>
      <w:r w:rsidRPr="002530A2">
        <w:t xml:space="preserve"> Key drivers of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28"/>
        <w:gridCol w:w="6268"/>
        <w:gridCol w:w="1121"/>
      </w:tblGrid>
      <w:tr w:rsidR="009E320A" w:rsidRPr="002530A2" w14:paraId="10B4ED37" w14:textId="77777777" w:rsidTr="0035782E">
        <w:trPr>
          <w:tblHeader/>
        </w:trPr>
        <w:tc>
          <w:tcPr>
            <w:tcW w:w="0" w:type="auto"/>
            <w:shd w:val="clear" w:color="auto" w:fill="auto"/>
            <w:vAlign w:val="center"/>
          </w:tcPr>
          <w:p w14:paraId="36F8AC73" w14:textId="77777777" w:rsidR="009E320A" w:rsidRPr="002530A2" w:rsidRDefault="009E320A" w:rsidP="009D409F">
            <w:pPr>
              <w:pStyle w:val="Tableheadingrow"/>
              <w:keepLines/>
              <w:rPr>
                <w:lang w:val="en-AU"/>
              </w:rPr>
            </w:pPr>
            <w:r w:rsidRPr="002530A2">
              <w:rPr>
                <w:lang w:val="en-AU"/>
              </w:rPr>
              <w:t>Description</w:t>
            </w:r>
          </w:p>
        </w:tc>
        <w:tc>
          <w:tcPr>
            <w:tcW w:w="0" w:type="auto"/>
            <w:shd w:val="clear" w:color="auto" w:fill="auto"/>
            <w:vAlign w:val="center"/>
          </w:tcPr>
          <w:p w14:paraId="7CFC9A61" w14:textId="77777777" w:rsidR="009E320A" w:rsidRPr="002530A2" w:rsidRDefault="009E320A" w:rsidP="009D409F">
            <w:pPr>
              <w:pStyle w:val="Tableheadingrow"/>
              <w:keepLines/>
              <w:jc w:val="center"/>
              <w:rPr>
                <w:lang w:val="en-AU"/>
              </w:rPr>
            </w:pPr>
            <w:r w:rsidRPr="002530A2">
              <w:rPr>
                <w:lang w:val="en-AU"/>
              </w:rPr>
              <w:t>Method/Value</w:t>
            </w:r>
          </w:p>
        </w:tc>
        <w:tc>
          <w:tcPr>
            <w:tcW w:w="0" w:type="auto"/>
            <w:shd w:val="clear" w:color="auto" w:fill="auto"/>
            <w:vAlign w:val="center"/>
          </w:tcPr>
          <w:p w14:paraId="01BB7CF1" w14:textId="77777777" w:rsidR="009E320A" w:rsidRPr="002530A2" w:rsidRDefault="009E320A" w:rsidP="009D409F">
            <w:pPr>
              <w:pStyle w:val="Tableheadingrow"/>
              <w:keepLines/>
              <w:jc w:val="center"/>
              <w:rPr>
                <w:lang w:val="en-AU"/>
              </w:rPr>
            </w:pPr>
            <w:r w:rsidRPr="002530A2">
              <w:rPr>
                <w:lang w:val="en-AU"/>
              </w:rPr>
              <w:t>Impact</w:t>
            </w:r>
          </w:p>
        </w:tc>
      </w:tr>
      <w:tr w:rsidR="009E320A" w:rsidRPr="002530A2" w14:paraId="33AC5A87" w14:textId="77777777" w:rsidTr="0035782E">
        <w:tc>
          <w:tcPr>
            <w:tcW w:w="0" w:type="auto"/>
            <w:shd w:val="clear" w:color="auto" w:fill="auto"/>
            <w:vAlign w:val="center"/>
          </w:tcPr>
          <w:p w14:paraId="07FD0B49" w14:textId="77777777" w:rsidR="009E320A" w:rsidRPr="002530A2" w:rsidRDefault="009E320A" w:rsidP="009D409F">
            <w:pPr>
              <w:pStyle w:val="TableText"/>
              <w:keepLines/>
            </w:pPr>
            <w:r>
              <w:t>Transition probabilities in the maintenance phase</w:t>
            </w:r>
          </w:p>
        </w:tc>
        <w:tc>
          <w:tcPr>
            <w:tcW w:w="0" w:type="auto"/>
            <w:shd w:val="clear" w:color="auto" w:fill="auto"/>
            <w:vAlign w:val="center"/>
          </w:tcPr>
          <w:p w14:paraId="11A6B1C2" w14:textId="05E31618" w:rsidR="009E320A" w:rsidRPr="008656C1" w:rsidRDefault="009E320A" w:rsidP="009D409F">
            <w:pPr>
              <w:pStyle w:val="TableText"/>
              <w:keepLines/>
            </w:pPr>
            <w:r w:rsidRPr="008656C1">
              <w:t xml:space="preserve">The application of transition probabilities for the </w:t>
            </w:r>
            <w:proofErr w:type="spellStart"/>
            <w:r w:rsidRPr="008656C1">
              <w:t>esketamine</w:t>
            </w:r>
            <w:proofErr w:type="spellEnd"/>
            <w:r w:rsidRPr="008656C1">
              <w:t xml:space="preserve"> arm derived from the SUSTAIN-1 trial </w:t>
            </w:r>
            <w:r w:rsidR="00DE4D8C">
              <w:t xml:space="preserve">was unchanged. </w:t>
            </w:r>
          </w:p>
          <w:p w14:paraId="42FE28D5" w14:textId="22BAFE2B" w:rsidR="009E320A" w:rsidRPr="008656C1" w:rsidRDefault="00DE4D8C" w:rsidP="009D409F">
            <w:pPr>
              <w:pStyle w:val="ExecSumBodyText"/>
              <w:keepNext/>
              <w:keepLines/>
              <w:numPr>
                <w:ilvl w:val="0"/>
                <w:numId w:val="0"/>
              </w:numPr>
              <w:spacing w:after="0"/>
            </w:pPr>
            <w:r>
              <w:rPr>
                <w:rFonts w:ascii="Arial Narrow" w:eastAsiaTheme="majorEastAsia" w:hAnsi="Arial Narrow" w:cstheme="majorBidi"/>
                <w:bCs/>
                <w:snapToGrid/>
                <w:sz w:val="20"/>
              </w:rPr>
              <w:t xml:space="preserve">For </w:t>
            </w:r>
            <w:r w:rsidR="009E320A" w:rsidRPr="008656C1">
              <w:rPr>
                <w:rFonts w:ascii="Arial Narrow" w:eastAsiaTheme="majorEastAsia" w:hAnsi="Arial Narrow" w:cstheme="majorBidi"/>
                <w:bCs/>
                <w:snapToGrid/>
                <w:sz w:val="20"/>
              </w:rPr>
              <w:t xml:space="preserve">maintenance transitions in the placebo arm for loss of response and relapse from remission (the STAR*D study) in response to concerns that the withdrawal trial design was not reflective of clinical practice. The STAR*D study was conducted between 2001 and 2006 and some of the included treatments are not commonly used in Australia for the treatment of depression. The ESC previously considered that the STAR*D study may not reflect contemporary treatment practises for TRD and the appropriateness of using it to inform transition probabilities was uncertain (para 6.39, </w:t>
            </w:r>
            <w:proofErr w:type="spellStart"/>
            <w:r w:rsidR="00D46C2D" w:rsidRPr="008656C1">
              <w:rPr>
                <w:rFonts w:ascii="Arial Narrow" w:eastAsiaTheme="majorEastAsia" w:hAnsi="Arial Narrow" w:cstheme="majorBidi"/>
                <w:bCs/>
                <w:snapToGrid/>
                <w:sz w:val="20"/>
              </w:rPr>
              <w:t>esketamine</w:t>
            </w:r>
            <w:proofErr w:type="spellEnd"/>
            <w:r w:rsidR="00D46C2D" w:rsidRPr="008656C1">
              <w:rPr>
                <w:rFonts w:ascii="Arial Narrow" w:eastAsiaTheme="majorEastAsia" w:hAnsi="Arial Narrow" w:cstheme="majorBidi"/>
                <w:bCs/>
                <w:snapToGrid/>
                <w:sz w:val="20"/>
              </w:rPr>
              <w:t xml:space="preserve"> P</w:t>
            </w:r>
            <w:r w:rsidR="009E320A" w:rsidRPr="008656C1">
              <w:rPr>
                <w:rFonts w:ascii="Arial Narrow" w:eastAsiaTheme="majorEastAsia" w:hAnsi="Arial Narrow" w:cstheme="majorBidi"/>
                <w:bCs/>
                <w:snapToGrid/>
                <w:sz w:val="20"/>
              </w:rPr>
              <w:t xml:space="preserve">SD, July 2021 PBAC meeting). </w:t>
            </w:r>
          </w:p>
        </w:tc>
        <w:tc>
          <w:tcPr>
            <w:tcW w:w="0" w:type="auto"/>
            <w:shd w:val="clear" w:color="auto" w:fill="auto"/>
            <w:vAlign w:val="center"/>
          </w:tcPr>
          <w:p w14:paraId="2B71468D" w14:textId="77777777" w:rsidR="009E320A" w:rsidRPr="008656C1" w:rsidRDefault="009E320A" w:rsidP="009D409F">
            <w:pPr>
              <w:pStyle w:val="TableText"/>
              <w:keepLines/>
            </w:pPr>
            <w:r w:rsidRPr="008656C1">
              <w:t xml:space="preserve">High, favours </w:t>
            </w:r>
            <w:proofErr w:type="spellStart"/>
            <w:r w:rsidRPr="008656C1">
              <w:t>esketamine</w:t>
            </w:r>
            <w:proofErr w:type="spellEnd"/>
          </w:p>
        </w:tc>
      </w:tr>
      <w:tr w:rsidR="009E320A" w:rsidRPr="002530A2" w14:paraId="527B2F0C" w14:textId="77777777" w:rsidTr="0035782E">
        <w:tc>
          <w:tcPr>
            <w:tcW w:w="0" w:type="auto"/>
            <w:shd w:val="clear" w:color="auto" w:fill="auto"/>
            <w:vAlign w:val="center"/>
          </w:tcPr>
          <w:p w14:paraId="7619B592" w14:textId="77777777" w:rsidR="009E320A" w:rsidRDefault="009E320A" w:rsidP="009D409F">
            <w:pPr>
              <w:pStyle w:val="TableText"/>
              <w:keepLines/>
            </w:pPr>
            <w:r>
              <w:t>Costs of administration and monitoring</w:t>
            </w:r>
          </w:p>
        </w:tc>
        <w:tc>
          <w:tcPr>
            <w:tcW w:w="0" w:type="auto"/>
            <w:shd w:val="clear" w:color="auto" w:fill="auto"/>
            <w:vAlign w:val="center"/>
          </w:tcPr>
          <w:p w14:paraId="53579BA6" w14:textId="27DFDE5C" w:rsidR="009E320A" w:rsidRPr="008656C1" w:rsidRDefault="009E320A" w:rsidP="009D409F">
            <w:pPr>
              <w:keepNext/>
              <w:keepLines/>
              <w:rPr>
                <w:rFonts w:ascii="Arial Narrow" w:eastAsiaTheme="majorEastAsia" w:hAnsi="Arial Narrow" w:cstheme="majorBidi"/>
                <w:bCs/>
                <w:sz w:val="20"/>
              </w:rPr>
            </w:pPr>
            <w:r w:rsidRPr="008656C1">
              <w:rPr>
                <w:rFonts w:ascii="Arial Narrow" w:eastAsiaTheme="majorEastAsia" w:hAnsi="Arial Narrow" w:cstheme="majorBidi"/>
                <w:bCs/>
                <w:sz w:val="20"/>
              </w:rPr>
              <w:t xml:space="preserve">The revised model included a higher cost for administration and monitoring of </w:t>
            </w:r>
            <w:proofErr w:type="spellStart"/>
            <w:r w:rsidRPr="008656C1">
              <w:rPr>
                <w:rFonts w:ascii="Arial Narrow" w:eastAsiaTheme="majorEastAsia" w:hAnsi="Arial Narrow" w:cstheme="majorBidi"/>
                <w:bCs/>
                <w:sz w:val="20"/>
              </w:rPr>
              <w:t>esketamine</w:t>
            </w:r>
            <w:proofErr w:type="spellEnd"/>
            <w:r w:rsidRPr="008656C1">
              <w:rPr>
                <w:rFonts w:ascii="Arial Narrow" w:eastAsiaTheme="majorEastAsia" w:hAnsi="Arial Narrow" w:cstheme="majorBidi"/>
                <w:bCs/>
                <w:sz w:val="20"/>
              </w:rPr>
              <w:t xml:space="preserve"> based on a longer psychiatrist consultation (30-45 minutes versus 15 minutes in the previous submission). However, it is unclear whether this is an appropriate proxy for post-administration monitoring, which the resubmission claimed would last 1-2 hours with supervision predominantly by nurses. Additionally, the model included administration costs for the placebo plus OAD arm, which the ESC previously considered to be inappropriate as they would not be incurred in clinical practice for a patient treated with a newly initiated OAD (para 6.57, </w:t>
            </w:r>
            <w:proofErr w:type="spellStart"/>
            <w:r w:rsidR="00D46C2D" w:rsidRPr="008656C1">
              <w:rPr>
                <w:rFonts w:ascii="Arial Narrow" w:eastAsiaTheme="majorEastAsia" w:hAnsi="Arial Narrow" w:cstheme="majorBidi"/>
                <w:bCs/>
                <w:sz w:val="20"/>
              </w:rPr>
              <w:t>esketamine</w:t>
            </w:r>
            <w:proofErr w:type="spellEnd"/>
            <w:r w:rsidR="00D46C2D" w:rsidRPr="008656C1">
              <w:rPr>
                <w:rFonts w:ascii="Arial Narrow" w:eastAsiaTheme="majorEastAsia" w:hAnsi="Arial Narrow" w:cstheme="majorBidi"/>
                <w:bCs/>
                <w:sz w:val="20"/>
              </w:rPr>
              <w:t xml:space="preserve"> P</w:t>
            </w:r>
            <w:r w:rsidRPr="008656C1">
              <w:rPr>
                <w:rFonts w:ascii="Arial Narrow" w:eastAsiaTheme="majorEastAsia" w:hAnsi="Arial Narrow" w:cstheme="majorBidi"/>
                <w:bCs/>
                <w:sz w:val="20"/>
              </w:rPr>
              <w:t>SD, July 2021 PBAC meeting).</w:t>
            </w:r>
          </w:p>
        </w:tc>
        <w:tc>
          <w:tcPr>
            <w:tcW w:w="0" w:type="auto"/>
            <w:shd w:val="clear" w:color="auto" w:fill="auto"/>
            <w:vAlign w:val="center"/>
          </w:tcPr>
          <w:p w14:paraId="62FB01A6" w14:textId="77777777" w:rsidR="009E320A" w:rsidRPr="008656C1" w:rsidRDefault="009E320A" w:rsidP="009D409F">
            <w:pPr>
              <w:pStyle w:val="TableText"/>
              <w:keepLines/>
            </w:pPr>
            <w:r w:rsidRPr="008656C1">
              <w:t xml:space="preserve">Moderate, favours </w:t>
            </w:r>
            <w:proofErr w:type="spellStart"/>
            <w:r w:rsidRPr="008656C1">
              <w:t>esketamine</w:t>
            </w:r>
            <w:proofErr w:type="spellEnd"/>
          </w:p>
        </w:tc>
      </w:tr>
      <w:tr w:rsidR="009E320A" w:rsidRPr="002530A2" w14:paraId="2EAE759E" w14:textId="77777777" w:rsidTr="0035782E">
        <w:tc>
          <w:tcPr>
            <w:tcW w:w="0" w:type="auto"/>
            <w:shd w:val="clear" w:color="auto" w:fill="auto"/>
            <w:vAlign w:val="center"/>
          </w:tcPr>
          <w:p w14:paraId="5AC8AEDB" w14:textId="77777777" w:rsidR="009E320A" w:rsidRDefault="009E320A" w:rsidP="009D409F">
            <w:pPr>
              <w:pStyle w:val="TableText"/>
              <w:keepLines/>
            </w:pPr>
            <w:r>
              <w:t>Treatment discontinuations</w:t>
            </w:r>
          </w:p>
        </w:tc>
        <w:tc>
          <w:tcPr>
            <w:tcW w:w="0" w:type="auto"/>
            <w:shd w:val="clear" w:color="auto" w:fill="auto"/>
            <w:vAlign w:val="center"/>
          </w:tcPr>
          <w:p w14:paraId="5FE8FD0B" w14:textId="52623B40" w:rsidR="009E320A" w:rsidRPr="008656C1" w:rsidRDefault="009E320A" w:rsidP="009D409F">
            <w:pPr>
              <w:pStyle w:val="TableText"/>
              <w:keepLines/>
            </w:pPr>
            <w:r w:rsidRPr="008656C1">
              <w:t xml:space="preserve">Treatment discontinuations are only applied as a reduction in drug costs in all health states from week 5 onwards. The ESC previously considered that the application of treatment persistence as a reduction to drug costs only beyond the observed trial period is inappropriate, as treatment persistence would also impact the effectiveness and safety of the treatment (i.e. non-persistent patients will reduce drug costs but also receive reduced benefits/harms of treatment) (para 6.59, </w:t>
            </w:r>
            <w:proofErr w:type="spellStart"/>
            <w:r w:rsidR="00D46C2D" w:rsidRPr="008656C1">
              <w:t>esketamine</w:t>
            </w:r>
            <w:proofErr w:type="spellEnd"/>
            <w:r w:rsidR="00D46C2D" w:rsidRPr="008656C1">
              <w:t xml:space="preserve"> P</w:t>
            </w:r>
            <w:r w:rsidRPr="008656C1">
              <w:t>SD, July 2021 PBAC meeting).</w:t>
            </w:r>
          </w:p>
        </w:tc>
        <w:tc>
          <w:tcPr>
            <w:tcW w:w="0" w:type="auto"/>
            <w:shd w:val="clear" w:color="auto" w:fill="auto"/>
            <w:vAlign w:val="center"/>
          </w:tcPr>
          <w:p w14:paraId="08408802" w14:textId="77777777" w:rsidR="009E320A" w:rsidRPr="008656C1" w:rsidRDefault="009E320A" w:rsidP="009D409F">
            <w:pPr>
              <w:pStyle w:val="TableText"/>
              <w:keepLines/>
            </w:pPr>
            <w:r w:rsidRPr="008656C1">
              <w:t xml:space="preserve">High, favours </w:t>
            </w:r>
            <w:proofErr w:type="spellStart"/>
            <w:r w:rsidRPr="008656C1">
              <w:t>esketamine</w:t>
            </w:r>
            <w:proofErr w:type="spellEnd"/>
          </w:p>
        </w:tc>
      </w:tr>
      <w:tr w:rsidR="009E320A" w:rsidRPr="002530A2" w14:paraId="0B9AE434" w14:textId="77777777" w:rsidTr="0035782E">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E2ED69" w14:textId="77777777" w:rsidR="009E320A" w:rsidRPr="002530A2" w:rsidRDefault="009E320A" w:rsidP="009D409F">
            <w:pPr>
              <w:pStyle w:val="TableText"/>
              <w:keepLines/>
            </w:pPr>
            <w:r>
              <w:t>Healthcare resource use and costs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BACC22" w14:textId="3CA52C01" w:rsidR="009E320A" w:rsidRPr="008656C1" w:rsidRDefault="009E320A" w:rsidP="009D409F">
            <w:pPr>
              <w:keepNext/>
              <w:keepLines/>
            </w:pPr>
            <w:r w:rsidRPr="008656C1">
              <w:rPr>
                <w:rFonts w:ascii="Arial Narrow" w:eastAsiaTheme="majorEastAsia" w:hAnsi="Arial Narrow" w:cstheme="majorBidi"/>
                <w:bCs/>
                <w:sz w:val="20"/>
              </w:rPr>
              <w:t xml:space="preserve">The model generates </w:t>
            </w:r>
            <w:proofErr w:type="gramStart"/>
            <w:r w:rsidRPr="008656C1">
              <w:rPr>
                <w:rFonts w:ascii="Arial Narrow" w:eastAsiaTheme="majorEastAsia" w:hAnsi="Arial Narrow" w:cstheme="majorBidi"/>
                <w:bCs/>
                <w:sz w:val="20"/>
              </w:rPr>
              <w:t>a large number of</w:t>
            </w:r>
            <w:proofErr w:type="gramEnd"/>
            <w:r w:rsidRPr="008656C1">
              <w:rPr>
                <w:rFonts w:ascii="Arial Narrow" w:eastAsiaTheme="majorEastAsia" w:hAnsi="Arial Narrow" w:cstheme="majorBidi"/>
                <w:bCs/>
                <w:sz w:val="20"/>
              </w:rPr>
              <w:t xml:space="preserve"> hospitalisations over the time horizon, based on resource use estimates from a UK retrospective chart review (Denee 2021). It is unclear whether the reductions in hospitalisations generated in the model will be realised in practice. The ESC previously noted that Denee 2021 may have limited applicability to the Australian context (para 6.46, </w:t>
            </w:r>
            <w:proofErr w:type="spellStart"/>
            <w:r w:rsidR="00D46C2D" w:rsidRPr="008656C1">
              <w:rPr>
                <w:rFonts w:ascii="Arial Narrow" w:eastAsiaTheme="majorEastAsia" w:hAnsi="Arial Narrow" w:cstheme="majorBidi"/>
                <w:bCs/>
                <w:sz w:val="20"/>
              </w:rPr>
              <w:t>esketamine</w:t>
            </w:r>
            <w:proofErr w:type="spellEnd"/>
            <w:r w:rsidR="00D46C2D" w:rsidRPr="008656C1">
              <w:rPr>
                <w:rFonts w:ascii="Arial Narrow" w:eastAsiaTheme="majorEastAsia" w:hAnsi="Arial Narrow" w:cstheme="majorBidi"/>
                <w:bCs/>
                <w:sz w:val="20"/>
              </w:rPr>
              <w:t xml:space="preserve"> P</w:t>
            </w:r>
            <w:r w:rsidRPr="008656C1">
              <w:rPr>
                <w:rFonts w:ascii="Arial Narrow" w:eastAsiaTheme="majorEastAsia" w:hAnsi="Arial Narrow" w:cstheme="majorBidi"/>
                <w:bCs/>
                <w:sz w:val="20"/>
              </w:rPr>
              <w:t>SD, July 2021 PBAC meeting).</w:t>
            </w:r>
            <w:r w:rsidRPr="008656C1">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35F8EA" w14:textId="77777777" w:rsidR="009E320A" w:rsidRPr="008656C1" w:rsidRDefault="009E320A" w:rsidP="009D409F">
            <w:pPr>
              <w:pStyle w:val="TableText"/>
              <w:keepLines/>
            </w:pPr>
            <w:r w:rsidRPr="008656C1">
              <w:t xml:space="preserve">Moderate, favours </w:t>
            </w:r>
            <w:proofErr w:type="spellStart"/>
            <w:r w:rsidRPr="008656C1">
              <w:t>esketamine</w:t>
            </w:r>
            <w:proofErr w:type="spellEnd"/>
          </w:p>
        </w:tc>
      </w:tr>
    </w:tbl>
    <w:p w14:paraId="34A20F06" w14:textId="50316566" w:rsidR="00515B4D" w:rsidRDefault="009E320A" w:rsidP="009D409F">
      <w:pPr>
        <w:pStyle w:val="TableFigureFooter"/>
        <w:keepNext/>
        <w:keepLines/>
      </w:pPr>
      <w:r w:rsidRPr="002530A2">
        <w:t xml:space="preserve">Source: </w:t>
      </w:r>
      <w:r>
        <w:t>Constructed during the evaluation</w:t>
      </w:r>
    </w:p>
    <w:p w14:paraId="7883E42C" w14:textId="77777777" w:rsidR="00B72BE1" w:rsidRPr="00B72BE1" w:rsidRDefault="00B72BE1" w:rsidP="008C5739">
      <w:pPr>
        <w:pStyle w:val="ExecSumBodyText"/>
        <w:rPr>
          <w:color w:val="0066FF"/>
        </w:rPr>
      </w:pPr>
      <w:r w:rsidRPr="007A71B0">
        <w:t>The model trace is summarised in the figure below.</w:t>
      </w:r>
      <w:r w:rsidRPr="009C0B4E">
        <w:t xml:space="preserve"> To simplify the model trace the response, remission and recovery health states were combined and death (with no difference between treatment arms) was excluded.</w:t>
      </w:r>
    </w:p>
    <w:p w14:paraId="03BE353A" w14:textId="29B04998" w:rsidR="000101DF" w:rsidRPr="00C50DC8" w:rsidRDefault="000101DF" w:rsidP="00C50DC8">
      <w:pPr>
        <w:pStyle w:val="Caption"/>
      </w:pPr>
      <w:r w:rsidRPr="00C50DC8">
        <w:lastRenderedPageBreak/>
        <w:t xml:space="preserve">Figure </w:t>
      </w:r>
      <w:r w:rsidR="002030D0">
        <w:fldChar w:fldCharType="begin"/>
      </w:r>
      <w:r w:rsidR="002030D0">
        <w:instrText xml:space="preserve"> SEQ Figure \* ARABIC </w:instrText>
      </w:r>
      <w:r w:rsidR="002030D0">
        <w:fldChar w:fldCharType="separate"/>
      </w:r>
      <w:r w:rsidR="008E3D7A">
        <w:rPr>
          <w:noProof/>
        </w:rPr>
        <w:t>2</w:t>
      </w:r>
      <w:r w:rsidR="002030D0">
        <w:rPr>
          <w:noProof/>
        </w:rPr>
        <w:fldChar w:fldCharType="end"/>
      </w:r>
      <w:r w:rsidRPr="00C50DC8">
        <w:t>: Model trace</w:t>
      </w:r>
    </w:p>
    <w:p w14:paraId="330CB6DB" w14:textId="77777777" w:rsidR="000101DF" w:rsidRDefault="000101DF" w:rsidP="000101DF">
      <w:pPr>
        <w:pStyle w:val="ExecSumBodyText"/>
        <w:numPr>
          <w:ilvl w:val="0"/>
          <w:numId w:val="0"/>
        </w:numPr>
        <w:spacing w:after="0"/>
      </w:pPr>
      <w:r>
        <w:rPr>
          <w:noProof/>
        </w:rPr>
        <w:drawing>
          <wp:inline distT="0" distB="0" distL="0" distR="0" wp14:anchorId="76E5203B" wp14:editId="30915A18">
            <wp:extent cx="5687633" cy="3537585"/>
            <wp:effectExtent l="0" t="0" r="8890" b="5715"/>
            <wp:docPr id="11" name="Picture 11" descr="Figure 2: Model t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2: Model tra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688000" cy="3537813"/>
                    </a:xfrm>
                    <a:prstGeom prst="rect">
                      <a:avLst/>
                    </a:prstGeom>
                    <a:noFill/>
                    <a:ln>
                      <a:noFill/>
                    </a:ln>
                    <a:extLst>
                      <a:ext uri="{53640926-AAD7-44D8-BBD7-CCE9431645EC}">
                        <a14:shadowObscured xmlns:a14="http://schemas.microsoft.com/office/drawing/2010/main"/>
                      </a:ext>
                    </a:extLst>
                  </pic:spPr>
                </pic:pic>
              </a:graphicData>
            </a:graphic>
          </wp:inline>
        </w:drawing>
      </w:r>
    </w:p>
    <w:p w14:paraId="09CFBFA9" w14:textId="77777777" w:rsidR="000101DF" w:rsidRDefault="000101DF" w:rsidP="000101DF">
      <w:pPr>
        <w:pStyle w:val="TableFigureFooter"/>
      </w:pPr>
      <w:r w:rsidRPr="006B4BD8">
        <w:t xml:space="preserve">Source: </w:t>
      </w:r>
      <w:r>
        <w:t xml:space="preserve">Constructed during the evaluation using </w:t>
      </w:r>
      <w:r w:rsidRPr="00AC1AEA">
        <w:t xml:space="preserve">‘Attachment 3.2 </w:t>
      </w:r>
      <w:proofErr w:type="spellStart"/>
      <w:r w:rsidRPr="00AC1AEA">
        <w:t>Esketamine</w:t>
      </w:r>
      <w:proofErr w:type="spellEnd"/>
      <w:r w:rsidRPr="00AC1AEA">
        <w:t xml:space="preserve"> TRD CE model’ Excel spreadsheet provided with the resubmission</w:t>
      </w:r>
    </w:p>
    <w:p w14:paraId="01F8708B" w14:textId="77777777" w:rsidR="000101DF" w:rsidRPr="006B4BD8" w:rsidRDefault="000101DF" w:rsidP="000101DF">
      <w:pPr>
        <w:pStyle w:val="TableFigureFooter"/>
      </w:pPr>
      <w:r>
        <w:t xml:space="preserve">Abbreviations: </w:t>
      </w:r>
      <w:proofErr w:type="spellStart"/>
      <w:r>
        <w:t>Esk</w:t>
      </w:r>
      <w:proofErr w:type="spellEnd"/>
      <w:r>
        <w:t xml:space="preserve">, </w:t>
      </w:r>
      <w:proofErr w:type="spellStart"/>
      <w:r>
        <w:t>esketamine</w:t>
      </w:r>
      <w:proofErr w:type="spellEnd"/>
      <w:r>
        <w:t xml:space="preserve">; MDE, major depressive disorder; OAD, oral antidepressant; </w:t>
      </w:r>
      <w:proofErr w:type="spellStart"/>
      <w:r>
        <w:t>Pbo</w:t>
      </w:r>
      <w:proofErr w:type="spellEnd"/>
      <w:r>
        <w:t xml:space="preserve">, placebo; Rec, recovery; Rem, remission; Resp, response; </w:t>
      </w:r>
      <w:proofErr w:type="spellStart"/>
      <w:r>
        <w:t>SubseqTx</w:t>
      </w:r>
      <w:proofErr w:type="spellEnd"/>
      <w:r>
        <w:t>, subsequent treatment</w:t>
      </w:r>
    </w:p>
    <w:p w14:paraId="3C7A5664" w14:textId="77777777" w:rsidR="00514946" w:rsidRPr="008656C1" w:rsidRDefault="00514946" w:rsidP="00514946">
      <w:pPr>
        <w:pStyle w:val="ExecSumBodyText"/>
        <w:rPr>
          <w:b/>
          <w:color w:val="0066FF"/>
        </w:rPr>
      </w:pPr>
      <w:r w:rsidRPr="008656C1">
        <w:t xml:space="preserve">As in the July 2021 submission, the current model is driven by a smaller proportion of patients in the MDE health state, and a greater proportion of patients in the recovery health state in the </w:t>
      </w:r>
      <w:proofErr w:type="spellStart"/>
      <w:r w:rsidRPr="008656C1">
        <w:t>esketamine</w:t>
      </w:r>
      <w:proofErr w:type="spellEnd"/>
      <w:r w:rsidRPr="008656C1">
        <w:t xml:space="preserve"> plus OAD arm compared to the OAD alone arm. Compared with the July 2021 model, the current model trace indicates a smaller initial treatment effect for </w:t>
      </w:r>
      <w:proofErr w:type="spellStart"/>
      <w:r w:rsidRPr="008656C1">
        <w:t>esketamine</w:t>
      </w:r>
      <w:proofErr w:type="spellEnd"/>
      <w:r w:rsidRPr="008656C1">
        <w:t xml:space="preserve"> plus OAD, consistent with the inclusion of the TRANSFORM-3 study, although the benefit of </w:t>
      </w:r>
      <w:proofErr w:type="spellStart"/>
      <w:r w:rsidRPr="008656C1">
        <w:t>esketamine</w:t>
      </w:r>
      <w:proofErr w:type="spellEnd"/>
      <w:r w:rsidRPr="008656C1">
        <w:t xml:space="preserve"> treatment is maintained over the duration of the model. The current model also generates smaller proportions of patients with MDE and higher proportions in response/remission/recovery on subsequent treatment compared to the July 2021 model, due to the inclusion of a recovery health state for subsequent treatment.</w:t>
      </w:r>
      <w:r w:rsidRPr="008656C1">
        <w:rPr>
          <w:b/>
          <w:color w:val="0066FF"/>
        </w:rPr>
        <w:t xml:space="preserve"> </w:t>
      </w:r>
    </w:p>
    <w:p w14:paraId="79491BA9" w14:textId="77777777" w:rsidR="00514946" w:rsidRPr="00514946" w:rsidRDefault="00514946" w:rsidP="00514946">
      <w:pPr>
        <w:pStyle w:val="ExecSumBodyText"/>
        <w:rPr>
          <w:color w:val="0066FF"/>
        </w:rPr>
      </w:pPr>
      <w:r w:rsidRPr="0002662A">
        <w:t>The table below summarises the incremental costs for health care resource items used in the economic evaluation.</w:t>
      </w:r>
    </w:p>
    <w:p w14:paraId="5EB0DAD0" w14:textId="3054A9BF" w:rsidR="00D52CF8" w:rsidRPr="002530A2" w:rsidRDefault="00D52CF8" w:rsidP="00C50DC8">
      <w:pPr>
        <w:pStyle w:val="Caption"/>
      </w:pPr>
      <w:r w:rsidRPr="002530A2">
        <w:lastRenderedPageBreak/>
        <w:t xml:space="preserve">Table </w:t>
      </w:r>
      <w:r w:rsidR="002030D0">
        <w:fldChar w:fldCharType="begin"/>
      </w:r>
      <w:r w:rsidR="002030D0">
        <w:instrText xml:space="preserve"> SEQ Table \* ARABIC </w:instrText>
      </w:r>
      <w:r w:rsidR="002030D0">
        <w:fldChar w:fldCharType="separate"/>
      </w:r>
      <w:r w:rsidR="008E3D7A">
        <w:rPr>
          <w:noProof/>
        </w:rPr>
        <w:t>14</w:t>
      </w:r>
      <w:r w:rsidR="002030D0">
        <w:rPr>
          <w:noProof/>
        </w:rPr>
        <w:fldChar w:fldCharType="end"/>
      </w:r>
      <w:r w:rsidRPr="00D60B48">
        <w:t>:</w:t>
      </w:r>
      <w:r w:rsidRPr="002530A2">
        <w:t xml:space="preserve"> Disaggregated summary of cost impacts (discounted) in the economic evaluation</w:t>
      </w:r>
    </w:p>
    <w:tbl>
      <w:tblPr>
        <w:tblStyle w:val="TableGrid"/>
        <w:tblW w:w="5000" w:type="pct"/>
        <w:tblLook w:val="04A0" w:firstRow="1" w:lastRow="0" w:firstColumn="1" w:lastColumn="0" w:noHBand="0" w:noVBand="1"/>
      </w:tblPr>
      <w:tblGrid>
        <w:gridCol w:w="2406"/>
        <w:gridCol w:w="2203"/>
        <w:gridCol w:w="2204"/>
        <w:gridCol w:w="2204"/>
      </w:tblGrid>
      <w:tr w:rsidR="00D52CF8" w:rsidRPr="002530A2" w14:paraId="2021EB93" w14:textId="77777777" w:rsidTr="00744DE6">
        <w:trPr>
          <w:tblHeader/>
        </w:trPr>
        <w:tc>
          <w:tcPr>
            <w:tcW w:w="2406" w:type="dxa"/>
            <w:vAlign w:val="center"/>
          </w:tcPr>
          <w:p w14:paraId="41C74B42" w14:textId="77777777" w:rsidR="00D52CF8" w:rsidRPr="002530A2" w:rsidRDefault="00D52CF8" w:rsidP="00744DE6">
            <w:pPr>
              <w:pStyle w:val="TableText"/>
              <w:rPr>
                <w:b/>
                <w:bCs w:val="0"/>
                <w:szCs w:val="20"/>
              </w:rPr>
            </w:pPr>
            <w:r w:rsidRPr="002530A2">
              <w:rPr>
                <w:b/>
                <w:bCs w:val="0"/>
                <w:szCs w:val="20"/>
              </w:rPr>
              <w:t>Cost description</w:t>
            </w:r>
          </w:p>
        </w:tc>
        <w:tc>
          <w:tcPr>
            <w:tcW w:w="2203" w:type="dxa"/>
            <w:vAlign w:val="center"/>
          </w:tcPr>
          <w:p w14:paraId="159EF9D2" w14:textId="16A12FAB" w:rsidR="00D52CF8" w:rsidRPr="002530A2" w:rsidRDefault="00D52CF8" w:rsidP="00744DE6">
            <w:pPr>
              <w:pStyle w:val="TableText"/>
              <w:jc w:val="center"/>
              <w:rPr>
                <w:b/>
                <w:bCs w:val="0"/>
                <w:szCs w:val="20"/>
              </w:rPr>
            </w:pPr>
            <w:proofErr w:type="spellStart"/>
            <w:r w:rsidRPr="002530A2">
              <w:rPr>
                <w:b/>
                <w:bCs w:val="0"/>
                <w:szCs w:val="20"/>
              </w:rPr>
              <w:t>Esketamine</w:t>
            </w:r>
            <w:proofErr w:type="spellEnd"/>
            <w:r w:rsidRPr="002530A2">
              <w:rPr>
                <w:b/>
                <w:bCs w:val="0"/>
                <w:szCs w:val="20"/>
              </w:rPr>
              <w:t xml:space="preserve"> + </w:t>
            </w:r>
            <w:r w:rsidR="00C50DC8">
              <w:rPr>
                <w:b/>
                <w:bCs w:val="0"/>
                <w:szCs w:val="20"/>
              </w:rPr>
              <w:t>OAD</w:t>
            </w:r>
          </w:p>
        </w:tc>
        <w:tc>
          <w:tcPr>
            <w:tcW w:w="2204" w:type="dxa"/>
            <w:vAlign w:val="center"/>
          </w:tcPr>
          <w:p w14:paraId="0EE2B4C6" w14:textId="00ADCA36" w:rsidR="00D52CF8" w:rsidRPr="002530A2" w:rsidRDefault="00C50DC8" w:rsidP="00744DE6">
            <w:pPr>
              <w:pStyle w:val="TableText"/>
              <w:jc w:val="center"/>
              <w:rPr>
                <w:b/>
                <w:bCs w:val="0"/>
                <w:szCs w:val="20"/>
              </w:rPr>
            </w:pPr>
            <w:r>
              <w:rPr>
                <w:b/>
                <w:bCs w:val="0"/>
                <w:szCs w:val="20"/>
              </w:rPr>
              <w:t>OAD</w:t>
            </w:r>
          </w:p>
        </w:tc>
        <w:tc>
          <w:tcPr>
            <w:tcW w:w="2204" w:type="dxa"/>
            <w:vAlign w:val="center"/>
          </w:tcPr>
          <w:p w14:paraId="2A3DCE59" w14:textId="77777777" w:rsidR="00D52CF8" w:rsidRPr="002530A2" w:rsidRDefault="00D52CF8" w:rsidP="00744DE6">
            <w:pPr>
              <w:pStyle w:val="TableText"/>
              <w:jc w:val="center"/>
              <w:rPr>
                <w:b/>
                <w:bCs w:val="0"/>
                <w:szCs w:val="20"/>
              </w:rPr>
            </w:pPr>
            <w:r w:rsidRPr="002530A2">
              <w:rPr>
                <w:b/>
                <w:bCs w:val="0"/>
                <w:szCs w:val="20"/>
              </w:rPr>
              <w:t>Increment</w:t>
            </w:r>
          </w:p>
        </w:tc>
      </w:tr>
      <w:tr w:rsidR="00D52CF8" w:rsidRPr="002530A2" w14:paraId="117D33F5" w14:textId="77777777" w:rsidTr="00744DE6">
        <w:tc>
          <w:tcPr>
            <w:tcW w:w="2406" w:type="dxa"/>
          </w:tcPr>
          <w:p w14:paraId="50572591" w14:textId="77777777" w:rsidR="00D52CF8" w:rsidRPr="002530A2" w:rsidRDefault="00D52CF8" w:rsidP="00C50DC8">
            <w:pPr>
              <w:pStyle w:val="TableText"/>
              <w:rPr>
                <w:b/>
                <w:bCs w:val="0"/>
                <w:szCs w:val="20"/>
              </w:rPr>
            </w:pPr>
            <w:r w:rsidRPr="002530A2">
              <w:rPr>
                <w:b/>
                <w:bCs w:val="0"/>
                <w:szCs w:val="20"/>
              </w:rPr>
              <w:t>Treatment costs</w:t>
            </w:r>
          </w:p>
        </w:tc>
        <w:tc>
          <w:tcPr>
            <w:tcW w:w="2203" w:type="dxa"/>
            <w:vAlign w:val="center"/>
          </w:tcPr>
          <w:p w14:paraId="3A490A3C" w14:textId="3CC0B695" w:rsidR="00D52CF8" w:rsidRPr="002530A2" w:rsidRDefault="00D52CF8" w:rsidP="00C50DC8">
            <w:pPr>
              <w:pStyle w:val="TableText"/>
              <w:jc w:val="center"/>
              <w:rPr>
                <w:b/>
                <w:bCs w:val="0"/>
                <w:szCs w:val="20"/>
              </w:rPr>
            </w:pPr>
            <w:r w:rsidRPr="00C76585">
              <w:rPr>
                <w:b/>
                <w:bCs w:val="0"/>
                <w:szCs w:val="20"/>
              </w:rPr>
              <w:t>$</w:t>
            </w:r>
            <w:r w:rsidR="00B9195B" w:rsidRPr="00B9195B">
              <w:rPr>
                <w:b/>
                <w:bCs w:val="0"/>
                <w:color w:val="000000"/>
                <w:szCs w:val="20"/>
                <w:shd w:val="solid" w:color="000000" w:fill="000000"/>
                <w14:textFill>
                  <w14:solidFill>
                    <w14:srgbClr w14:val="000000">
                      <w14:alpha w14:val="100000"/>
                    </w14:srgbClr>
                  </w14:solidFill>
                </w14:textFill>
              </w:rPr>
              <w:t>|</w:t>
            </w:r>
          </w:p>
        </w:tc>
        <w:tc>
          <w:tcPr>
            <w:tcW w:w="2204" w:type="dxa"/>
            <w:vAlign w:val="center"/>
          </w:tcPr>
          <w:p w14:paraId="1F1A827B" w14:textId="77777777" w:rsidR="00D52CF8" w:rsidRPr="002530A2" w:rsidRDefault="00D52CF8" w:rsidP="00C50DC8">
            <w:pPr>
              <w:pStyle w:val="TableText"/>
              <w:jc w:val="center"/>
              <w:rPr>
                <w:b/>
                <w:bCs w:val="0"/>
                <w:szCs w:val="20"/>
              </w:rPr>
            </w:pPr>
            <w:r>
              <w:rPr>
                <w:b/>
                <w:bCs w:val="0"/>
                <w:szCs w:val="20"/>
              </w:rPr>
              <w:t>$982</w:t>
            </w:r>
          </w:p>
        </w:tc>
        <w:tc>
          <w:tcPr>
            <w:tcW w:w="2204" w:type="dxa"/>
            <w:vAlign w:val="center"/>
          </w:tcPr>
          <w:p w14:paraId="570C64A0" w14:textId="2BAF8A32" w:rsidR="00D52CF8" w:rsidRPr="002530A2" w:rsidRDefault="00D52CF8" w:rsidP="00C50DC8">
            <w:pPr>
              <w:pStyle w:val="TableText"/>
              <w:jc w:val="center"/>
              <w:rPr>
                <w:b/>
                <w:bCs w:val="0"/>
                <w:szCs w:val="20"/>
              </w:rPr>
            </w:pPr>
            <w:r>
              <w:rPr>
                <w:b/>
                <w:bCs w:val="0"/>
                <w:szCs w:val="20"/>
              </w:rPr>
              <w:t>$</w:t>
            </w:r>
            <w:r w:rsidR="00B9195B" w:rsidRPr="00B9195B">
              <w:rPr>
                <w:b/>
                <w:bCs w:val="0"/>
                <w:color w:val="000000"/>
                <w:szCs w:val="20"/>
                <w:shd w:val="solid" w:color="000000" w:fill="000000"/>
                <w14:textFill>
                  <w14:solidFill>
                    <w14:srgbClr w14:val="000000">
                      <w14:alpha w14:val="100000"/>
                    </w14:srgbClr>
                  </w14:solidFill>
                </w14:textFill>
              </w:rPr>
              <w:t>|</w:t>
            </w:r>
          </w:p>
        </w:tc>
      </w:tr>
      <w:tr w:rsidR="00D52CF8" w:rsidRPr="002530A2" w14:paraId="185F29B5" w14:textId="77777777" w:rsidTr="00744DE6">
        <w:tc>
          <w:tcPr>
            <w:tcW w:w="2406" w:type="dxa"/>
          </w:tcPr>
          <w:p w14:paraId="0B3EEBB7" w14:textId="77777777" w:rsidR="00D52CF8" w:rsidRPr="002530A2" w:rsidRDefault="00D52CF8" w:rsidP="00C50DC8">
            <w:pPr>
              <w:pStyle w:val="TableText"/>
              <w:rPr>
                <w:szCs w:val="20"/>
              </w:rPr>
            </w:pPr>
            <w:r w:rsidRPr="002530A2">
              <w:rPr>
                <w:szCs w:val="20"/>
              </w:rPr>
              <w:t xml:space="preserve">- </w:t>
            </w:r>
            <w:proofErr w:type="spellStart"/>
            <w:r w:rsidRPr="002530A2">
              <w:rPr>
                <w:szCs w:val="20"/>
              </w:rPr>
              <w:t>esketamine</w:t>
            </w:r>
            <w:proofErr w:type="spellEnd"/>
          </w:p>
        </w:tc>
        <w:tc>
          <w:tcPr>
            <w:tcW w:w="2203" w:type="dxa"/>
            <w:vAlign w:val="center"/>
          </w:tcPr>
          <w:p w14:paraId="07E57751" w14:textId="135CFE17" w:rsidR="00D52CF8" w:rsidRPr="002530A2" w:rsidRDefault="00D52CF8" w:rsidP="00C50DC8">
            <w:pPr>
              <w:pStyle w:val="TableText"/>
              <w:jc w:val="center"/>
              <w:rPr>
                <w:szCs w:val="20"/>
              </w:rPr>
            </w:pPr>
            <w:r>
              <w:rPr>
                <w:szCs w:val="20"/>
              </w:rPr>
              <w:t>$</w:t>
            </w:r>
            <w:r w:rsidR="00B9195B" w:rsidRPr="00B9195B">
              <w:rPr>
                <w:color w:val="000000"/>
                <w:szCs w:val="20"/>
                <w:shd w:val="solid" w:color="000000" w:fill="000000"/>
                <w14:textFill>
                  <w14:solidFill>
                    <w14:srgbClr w14:val="000000">
                      <w14:alpha w14:val="100000"/>
                    </w14:srgbClr>
                  </w14:solidFill>
                </w14:textFill>
              </w:rPr>
              <w:t>|</w:t>
            </w:r>
          </w:p>
        </w:tc>
        <w:tc>
          <w:tcPr>
            <w:tcW w:w="2204" w:type="dxa"/>
            <w:vAlign w:val="center"/>
          </w:tcPr>
          <w:p w14:paraId="091F1BDF" w14:textId="77777777" w:rsidR="00D52CF8" w:rsidRPr="002530A2" w:rsidRDefault="00D52CF8" w:rsidP="00C50DC8">
            <w:pPr>
              <w:pStyle w:val="TableText"/>
              <w:jc w:val="center"/>
              <w:rPr>
                <w:szCs w:val="20"/>
              </w:rPr>
            </w:pPr>
            <w:r>
              <w:rPr>
                <w:szCs w:val="20"/>
              </w:rPr>
              <w:t>$0</w:t>
            </w:r>
          </w:p>
        </w:tc>
        <w:tc>
          <w:tcPr>
            <w:tcW w:w="2204" w:type="dxa"/>
            <w:vAlign w:val="center"/>
          </w:tcPr>
          <w:p w14:paraId="097CEB65" w14:textId="360BE48E" w:rsidR="00D52CF8" w:rsidRPr="002530A2" w:rsidRDefault="00D52CF8" w:rsidP="00C50DC8">
            <w:pPr>
              <w:pStyle w:val="TableText"/>
              <w:jc w:val="center"/>
              <w:rPr>
                <w:szCs w:val="20"/>
              </w:rPr>
            </w:pPr>
            <w:r>
              <w:rPr>
                <w:szCs w:val="20"/>
              </w:rPr>
              <w:t>$</w:t>
            </w:r>
            <w:r w:rsidR="00B9195B" w:rsidRPr="00B9195B">
              <w:rPr>
                <w:color w:val="000000"/>
                <w:szCs w:val="20"/>
                <w:shd w:val="solid" w:color="000000" w:fill="000000"/>
                <w14:textFill>
                  <w14:solidFill>
                    <w14:srgbClr w14:val="000000">
                      <w14:alpha w14:val="100000"/>
                    </w14:srgbClr>
                  </w14:solidFill>
                </w14:textFill>
              </w:rPr>
              <w:t>|</w:t>
            </w:r>
          </w:p>
        </w:tc>
      </w:tr>
      <w:tr w:rsidR="00D52CF8" w:rsidRPr="002530A2" w14:paraId="21A7C521" w14:textId="77777777" w:rsidTr="00744DE6">
        <w:tc>
          <w:tcPr>
            <w:tcW w:w="2406" w:type="dxa"/>
          </w:tcPr>
          <w:p w14:paraId="15CFB815" w14:textId="13A0AB8B" w:rsidR="00D52CF8" w:rsidRPr="002530A2" w:rsidRDefault="00D52CF8" w:rsidP="00C50DC8">
            <w:pPr>
              <w:pStyle w:val="TableText"/>
              <w:rPr>
                <w:szCs w:val="20"/>
              </w:rPr>
            </w:pPr>
            <w:r w:rsidRPr="00D60B48">
              <w:rPr>
                <w:szCs w:val="20"/>
              </w:rPr>
              <w:t xml:space="preserve">- </w:t>
            </w:r>
            <w:r w:rsidR="00C50DC8">
              <w:rPr>
                <w:szCs w:val="20"/>
              </w:rPr>
              <w:t>OAD</w:t>
            </w:r>
          </w:p>
        </w:tc>
        <w:tc>
          <w:tcPr>
            <w:tcW w:w="2203" w:type="dxa"/>
            <w:vAlign w:val="center"/>
          </w:tcPr>
          <w:p w14:paraId="5CD5C15D" w14:textId="2A2FF1F7" w:rsidR="00D52CF8" w:rsidRPr="002530A2" w:rsidRDefault="00D52CF8" w:rsidP="00C50DC8">
            <w:pPr>
              <w:pStyle w:val="TableText"/>
              <w:jc w:val="center"/>
              <w:rPr>
                <w:szCs w:val="20"/>
              </w:rPr>
            </w:pPr>
            <w:r>
              <w:rPr>
                <w:szCs w:val="20"/>
              </w:rPr>
              <w:t>$</w:t>
            </w:r>
            <w:r w:rsidR="00B9195B" w:rsidRPr="00B9195B">
              <w:rPr>
                <w:color w:val="000000"/>
                <w:szCs w:val="20"/>
                <w:shd w:val="solid" w:color="000000" w:fill="000000"/>
                <w14:textFill>
                  <w14:solidFill>
                    <w14:srgbClr w14:val="000000">
                      <w14:alpha w14:val="100000"/>
                    </w14:srgbClr>
                  </w14:solidFill>
                </w14:textFill>
              </w:rPr>
              <w:t>|</w:t>
            </w:r>
          </w:p>
        </w:tc>
        <w:tc>
          <w:tcPr>
            <w:tcW w:w="2204" w:type="dxa"/>
            <w:vAlign w:val="center"/>
          </w:tcPr>
          <w:p w14:paraId="0F67EE6C" w14:textId="77777777" w:rsidR="00D52CF8" w:rsidRPr="002530A2" w:rsidRDefault="00D52CF8" w:rsidP="00C50DC8">
            <w:pPr>
              <w:pStyle w:val="TableText"/>
              <w:jc w:val="center"/>
              <w:rPr>
                <w:szCs w:val="20"/>
              </w:rPr>
            </w:pPr>
            <w:r>
              <w:rPr>
                <w:szCs w:val="20"/>
              </w:rPr>
              <w:t>$112</w:t>
            </w:r>
          </w:p>
        </w:tc>
        <w:tc>
          <w:tcPr>
            <w:tcW w:w="2204" w:type="dxa"/>
            <w:vAlign w:val="center"/>
          </w:tcPr>
          <w:p w14:paraId="21324C59" w14:textId="675E9CF8" w:rsidR="00D52CF8" w:rsidRPr="002530A2" w:rsidRDefault="00D52CF8" w:rsidP="00C50DC8">
            <w:pPr>
              <w:pStyle w:val="TableText"/>
              <w:jc w:val="center"/>
              <w:rPr>
                <w:szCs w:val="20"/>
              </w:rPr>
            </w:pPr>
            <w:r>
              <w:rPr>
                <w:szCs w:val="20"/>
              </w:rPr>
              <w:t>$</w:t>
            </w:r>
            <w:r w:rsidR="00B9195B" w:rsidRPr="00B9195B">
              <w:rPr>
                <w:color w:val="000000"/>
                <w:szCs w:val="20"/>
                <w:shd w:val="solid" w:color="000000" w:fill="000000"/>
                <w14:textFill>
                  <w14:solidFill>
                    <w14:srgbClr w14:val="000000">
                      <w14:alpha w14:val="100000"/>
                    </w14:srgbClr>
                  </w14:solidFill>
                </w14:textFill>
              </w:rPr>
              <w:t>|</w:t>
            </w:r>
          </w:p>
        </w:tc>
      </w:tr>
      <w:tr w:rsidR="00D52CF8" w:rsidRPr="002530A2" w14:paraId="1BFFB889" w14:textId="77777777" w:rsidTr="00744DE6">
        <w:tc>
          <w:tcPr>
            <w:tcW w:w="2406" w:type="dxa"/>
          </w:tcPr>
          <w:p w14:paraId="3C4251D0" w14:textId="77777777" w:rsidR="00D52CF8" w:rsidRPr="002530A2" w:rsidRDefault="00D52CF8" w:rsidP="00C50DC8">
            <w:pPr>
              <w:pStyle w:val="TableText"/>
              <w:rPr>
                <w:szCs w:val="20"/>
              </w:rPr>
            </w:pPr>
            <w:r w:rsidRPr="002530A2">
              <w:rPr>
                <w:szCs w:val="20"/>
              </w:rPr>
              <w:t>- subsequent therapies</w:t>
            </w:r>
          </w:p>
        </w:tc>
        <w:tc>
          <w:tcPr>
            <w:tcW w:w="2203" w:type="dxa"/>
            <w:vAlign w:val="center"/>
          </w:tcPr>
          <w:p w14:paraId="574975B3" w14:textId="554D4C3E" w:rsidR="00D52CF8" w:rsidRPr="00C76585" w:rsidRDefault="00D52CF8" w:rsidP="00C50DC8">
            <w:pPr>
              <w:pStyle w:val="TableText"/>
              <w:jc w:val="center"/>
              <w:rPr>
                <w:szCs w:val="20"/>
              </w:rPr>
            </w:pPr>
            <w:r w:rsidRPr="00C76585">
              <w:rPr>
                <w:szCs w:val="20"/>
              </w:rPr>
              <w:t>$</w:t>
            </w:r>
            <w:r w:rsidR="00B9195B" w:rsidRPr="00B9195B">
              <w:rPr>
                <w:color w:val="000000"/>
                <w:szCs w:val="20"/>
                <w:shd w:val="solid" w:color="000000" w:fill="000000"/>
                <w14:textFill>
                  <w14:solidFill>
                    <w14:srgbClr w14:val="000000">
                      <w14:alpha w14:val="100000"/>
                    </w14:srgbClr>
                  </w14:solidFill>
                </w14:textFill>
              </w:rPr>
              <w:t>|</w:t>
            </w:r>
          </w:p>
        </w:tc>
        <w:tc>
          <w:tcPr>
            <w:tcW w:w="2204" w:type="dxa"/>
            <w:vAlign w:val="center"/>
          </w:tcPr>
          <w:p w14:paraId="38352566" w14:textId="77777777" w:rsidR="00D52CF8" w:rsidRPr="00C76585" w:rsidRDefault="00D52CF8" w:rsidP="00C50DC8">
            <w:pPr>
              <w:pStyle w:val="TableText"/>
              <w:jc w:val="center"/>
              <w:rPr>
                <w:szCs w:val="20"/>
              </w:rPr>
            </w:pPr>
            <w:r w:rsidRPr="00C76585">
              <w:rPr>
                <w:szCs w:val="20"/>
              </w:rPr>
              <w:t>$870</w:t>
            </w:r>
          </w:p>
        </w:tc>
        <w:tc>
          <w:tcPr>
            <w:tcW w:w="2204" w:type="dxa"/>
            <w:vAlign w:val="center"/>
          </w:tcPr>
          <w:p w14:paraId="69E89DEF" w14:textId="3535EA09" w:rsidR="00D52CF8" w:rsidRPr="002530A2" w:rsidRDefault="00D52CF8" w:rsidP="00C50DC8">
            <w:pPr>
              <w:pStyle w:val="TableText"/>
              <w:jc w:val="center"/>
              <w:rPr>
                <w:szCs w:val="20"/>
              </w:rPr>
            </w:pPr>
            <w:r>
              <w:rPr>
                <w:szCs w:val="20"/>
              </w:rPr>
              <w:t>-$</w:t>
            </w:r>
            <w:r w:rsidR="00B9195B" w:rsidRPr="00B9195B">
              <w:rPr>
                <w:color w:val="000000"/>
                <w:szCs w:val="20"/>
                <w:shd w:val="solid" w:color="000000" w:fill="000000"/>
                <w14:textFill>
                  <w14:solidFill>
                    <w14:srgbClr w14:val="000000">
                      <w14:alpha w14:val="100000"/>
                    </w14:srgbClr>
                  </w14:solidFill>
                </w14:textFill>
              </w:rPr>
              <w:t>|</w:t>
            </w:r>
          </w:p>
        </w:tc>
      </w:tr>
      <w:tr w:rsidR="00D52CF8" w:rsidRPr="002530A2" w14:paraId="3A8BFE2D" w14:textId="77777777" w:rsidTr="00744DE6">
        <w:tc>
          <w:tcPr>
            <w:tcW w:w="2406" w:type="dxa"/>
          </w:tcPr>
          <w:p w14:paraId="3C572A06" w14:textId="77777777" w:rsidR="00D52CF8" w:rsidRPr="002530A2" w:rsidRDefault="00D52CF8" w:rsidP="00C50DC8">
            <w:pPr>
              <w:pStyle w:val="TableText"/>
              <w:rPr>
                <w:b/>
                <w:bCs w:val="0"/>
                <w:szCs w:val="20"/>
              </w:rPr>
            </w:pPr>
            <w:r w:rsidRPr="002530A2">
              <w:rPr>
                <w:b/>
                <w:bCs w:val="0"/>
                <w:szCs w:val="20"/>
              </w:rPr>
              <w:t>Administration</w:t>
            </w:r>
            <w:r>
              <w:rPr>
                <w:b/>
                <w:bCs w:val="0"/>
                <w:szCs w:val="20"/>
              </w:rPr>
              <w:t>/monitoring</w:t>
            </w:r>
          </w:p>
        </w:tc>
        <w:tc>
          <w:tcPr>
            <w:tcW w:w="2203" w:type="dxa"/>
            <w:vAlign w:val="center"/>
          </w:tcPr>
          <w:p w14:paraId="76F4023E" w14:textId="3E9DE50F" w:rsidR="00D52CF8" w:rsidRPr="004D3863" w:rsidRDefault="00D52CF8" w:rsidP="00C50DC8">
            <w:pPr>
              <w:pStyle w:val="TableText"/>
              <w:jc w:val="center"/>
              <w:rPr>
                <w:b/>
                <w:bCs w:val="0"/>
                <w:szCs w:val="20"/>
                <w:highlight w:val="darkGray"/>
              </w:rPr>
            </w:pPr>
            <w:r w:rsidRPr="00C76585">
              <w:rPr>
                <w:b/>
                <w:bCs w:val="0"/>
                <w:szCs w:val="20"/>
              </w:rPr>
              <w:t>$</w:t>
            </w:r>
            <w:r w:rsidR="00B9195B" w:rsidRPr="00B9195B">
              <w:rPr>
                <w:b/>
                <w:bCs w:val="0"/>
                <w:color w:val="000000"/>
                <w:szCs w:val="20"/>
                <w:shd w:val="solid" w:color="000000" w:fill="000000"/>
                <w14:textFill>
                  <w14:solidFill>
                    <w14:srgbClr w14:val="000000">
                      <w14:alpha w14:val="100000"/>
                    </w14:srgbClr>
                  </w14:solidFill>
                </w14:textFill>
              </w:rPr>
              <w:t>|</w:t>
            </w:r>
          </w:p>
        </w:tc>
        <w:tc>
          <w:tcPr>
            <w:tcW w:w="2204" w:type="dxa"/>
            <w:vAlign w:val="center"/>
          </w:tcPr>
          <w:p w14:paraId="0A06EB1B" w14:textId="77777777" w:rsidR="00D52CF8" w:rsidRPr="00C76585" w:rsidRDefault="00D52CF8" w:rsidP="00C50DC8">
            <w:pPr>
              <w:pStyle w:val="TableText"/>
              <w:jc w:val="center"/>
              <w:rPr>
                <w:b/>
                <w:bCs w:val="0"/>
                <w:szCs w:val="20"/>
              </w:rPr>
            </w:pPr>
            <w:r w:rsidRPr="00C76585">
              <w:rPr>
                <w:b/>
                <w:bCs w:val="0"/>
                <w:szCs w:val="20"/>
              </w:rPr>
              <w:t>$904</w:t>
            </w:r>
          </w:p>
        </w:tc>
        <w:tc>
          <w:tcPr>
            <w:tcW w:w="2204" w:type="dxa"/>
            <w:vAlign w:val="center"/>
          </w:tcPr>
          <w:p w14:paraId="4676118C" w14:textId="407B3664" w:rsidR="00D52CF8" w:rsidRPr="00C76585" w:rsidRDefault="00D52CF8" w:rsidP="00C50DC8">
            <w:pPr>
              <w:pStyle w:val="TableText"/>
              <w:jc w:val="center"/>
              <w:rPr>
                <w:b/>
                <w:bCs w:val="0"/>
                <w:szCs w:val="20"/>
              </w:rPr>
            </w:pPr>
            <w:r w:rsidRPr="00C76585">
              <w:rPr>
                <w:b/>
                <w:bCs w:val="0"/>
                <w:szCs w:val="20"/>
              </w:rPr>
              <w:t>$</w:t>
            </w:r>
            <w:r w:rsidR="00B9195B" w:rsidRPr="00B9195B">
              <w:rPr>
                <w:b/>
                <w:bCs w:val="0"/>
                <w:color w:val="000000"/>
                <w:szCs w:val="20"/>
                <w:shd w:val="solid" w:color="000000" w:fill="000000"/>
                <w14:textFill>
                  <w14:solidFill>
                    <w14:srgbClr w14:val="000000">
                      <w14:alpha w14:val="100000"/>
                    </w14:srgbClr>
                  </w14:solidFill>
                </w14:textFill>
              </w:rPr>
              <w:t>|</w:t>
            </w:r>
          </w:p>
        </w:tc>
      </w:tr>
      <w:tr w:rsidR="00D52CF8" w:rsidRPr="002530A2" w14:paraId="321CB31E" w14:textId="77777777" w:rsidTr="00744DE6">
        <w:tc>
          <w:tcPr>
            <w:tcW w:w="2406" w:type="dxa"/>
          </w:tcPr>
          <w:p w14:paraId="27A2E7C8" w14:textId="77777777" w:rsidR="00D52CF8" w:rsidRPr="002530A2" w:rsidRDefault="00D52CF8" w:rsidP="00C50DC8">
            <w:pPr>
              <w:pStyle w:val="TableText"/>
              <w:rPr>
                <w:b/>
                <w:bCs w:val="0"/>
                <w:szCs w:val="20"/>
              </w:rPr>
            </w:pPr>
            <w:r w:rsidRPr="002530A2">
              <w:rPr>
                <w:b/>
                <w:bCs w:val="0"/>
                <w:szCs w:val="20"/>
              </w:rPr>
              <w:t>Adverse events</w:t>
            </w:r>
          </w:p>
        </w:tc>
        <w:tc>
          <w:tcPr>
            <w:tcW w:w="2203" w:type="dxa"/>
            <w:vAlign w:val="center"/>
          </w:tcPr>
          <w:p w14:paraId="2FA2988F" w14:textId="797B2D8E" w:rsidR="00D52CF8" w:rsidRPr="004D3863" w:rsidRDefault="00D52CF8" w:rsidP="00C50DC8">
            <w:pPr>
              <w:pStyle w:val="TableText"/>
              <w:jc w:val="center"/>
              <w:rPr>
                <w:b/>
                <w:bCs w:val="0"/>
                <w:szCs w:val="20"/>
                <w:highlight w:val="darkGray"/>
              </w:rPr>
            </w:pPr>
            <w:r w:rsidRPr="00C76585">
              <w:rPr>
                <w:b/>
                <w:bCs w:val="0"/>
                <w:szCs w:val="20"/>
              </w:rPr>
              <w:t>$</w:t>
            </w:r>
            <w:r w:rsidR="00B9195B" w:rsidRPr="00B9195B">
              <w:rPr>
                <w:b/>
                <w:bCs w:val="0"/>
                <w:color w:val="000000"/>
                <w:szCs w:val="20"/>
                <w:shd w:val="solid" w:color="000000" w:fill="000000"/>
                <w14:textFill>
                  <w14:solidFill>
                    <w14:srgbClr w14:val="000000">
                      <w14:alpha w14:val="100000"/>
                    </w14:srgbClr>
                  </w14:solidFill>
                </w14:textFill>
              </w:rPr>
              <w:t>|</w:t>
            </w:r>
          </w:p>
        </w:tc>
        <w:tc>
          <w:tcPr>
            <w:tcW w:w="2204" w:type="dxa"/>
            <w:vAlign w:val="center"/>
          </w:tcPr>
          <w:p w14:paraId="0BC36292" w14:textId="77777777" w:rsidR="00D52CF8" w:rsidRPr="00C76585" w:rsidRDefault="00D52CF8" w:rsidP="00C50DC8">
            <w:pPr>
              <w:pStyle w:val="TableText"/>
              <w:jc w:val="center"/>
              <w:rPr>
                <w:b/>
                <w:bCs w:val="0"/>
                <w:szCs w:val="20"/>
              </w:rPr>
            </w:pPr>
            <w:r w:rsidRPr="00C76585">
              <w:rPr>
                <w:b/>
                <w:bCs w:val="0"/>
                <w:szCs w:val="20"/>
              </w:rPr>
              <w:t>$0</w:t>
            </w:r>
          </w:p>
        </w:tc>
        <w:tc>
          <w:tcPr>
            <w:tcW w:w="2204" w:type="dxa"/>
            <w:vAlign w:val="center"/>
          </w:tcPr>
          <w:p w14:paraId="61A92C7D" w14:textId="523DAE14" w:rsidR="00D52CF8" w:rsidRPr="00C76585" w:rsidRDefault="00D52CF8" w:rsidP="00C50DC8">
            <w:pPr>
              <w:pStyle w:val="TableText"/>
              <w:jc w:val="center"/>
              <w:rPr>
                <w:b/>
                <w:bCs w:val="0"/>
                <w:szCs w:val="20"/>
              </w:rPr>
            </w:pPr>
            <w:r w:rsidRPr="00C76585">
              <w:rPr>
                <w:b/>
                <w:bCs w:val="0"/>
                <w:szCs w:val="20"/>
              </w:rPr>
              <w:t>$</w:t>
            </w:r>
            <w:r w:rsidR="00B9195B" w:rsidRPr="00B9195B">
              <w:rPr>
                <w:b/>
                <w:bCs w:val="0"/>
                <w:color w:val="000000"/>
                <w:szCs w:val="20"/>
                <w:shd w:val="solid" w:color="000000" w:fill="000000"/>
                <w14:textFill>
                  <w14:solidFill>
                    <w14:srgbClr w14:val="000000">
                      <w14:alpha w14:val="100000"/>
                    </w14:srgbClr>
                  </w14:solidFill>
                </w14:textFill>
              </w:rPr>
              <w:t>|</w:t>
            </w:r>
          </w:p>
        </w:tc>
      </w:tr>
      <w:tr w:rsidR="00D52CF8" w:rsidRPr="002530A2" w14:paraId="0A878EF8" w14:textId="77777777" w:rsidTr="00744DE6">
        <w:tc>
          <w:tcPr>
            <w:tcW w:w="2406" w:type="dxa"/>
            <w:tcBorders>
              <w:bottom w:val="single" w:sz="4" w:space="0" w:color="auto"/>
            </w:tcBorders>
          </w:tcPr>
          <w:p w14:paraId="12105B78" w14:textId="77777777" w:rsidR="00D52CF8" w:rsidRPr="002530A2" w:rsidRDefault="00D52CF8" w:rsidP="00C50DC8">
            <w:pPr>
              <w:pStyle w:val="TableText"/>
              <w:rPr>
                <w:b/>
                <w:bCs w:val="0"/>
                <w:szCs w:val="20"/>
              </w:rPr>
            </w:pPr>
            <w:r w:rsidRPr="002530A2">
              <w:rPr>
                <w:b/>
                <w:bCs w:val="0"/>
                <w:szCs w:val="20"/>
              </w:rPr>
              <w:t>Disease management costs</w:t>
            </w:r>
          </w:p>
        </w:tc>
        <w:tc>
          <w:tcPr>
            <w:tcW w:w="2203" w:type="dxa"/>
            <w:tcBorders>
              <w:bottom w:val="single" w:sz="4" w:space="0" w:color="auto"/>
            </w:tcBorders>
            <w:vAlign w:val="center"/>
          </w:tcPr>
          <w:p w14:paraId="1891CEB5" w14:textId="571E1EB1" w:rsidR="00D52CF8" w:rsidRPr="004D3863" w:rsidRDefault="00D52CF8" w:rsidP="00C50DC8">
            <w:pPr>
              <w:pStyle w:val="TableText"/>
              <w:jc w:val="center"/>
              <w:rPr>
                <w:b/>
                <w:bCs w:val="0"/>
                <w:szCs w:val="20"/>
                <w:highlight w:val="darkGray"/>
              </w:rPr>
            </w:pPr>
            <w:r w:rsidRPr="00C76585">
              <w:rPr>
                <w:b/>
                <w:bCs w:val="0"/>
                <w:szCs w:val="20"/>
              </w:rPr>
              <w:t>$</w:t>
            </w:r>
            <w:r w:rsidR="00B9195B" w:rsidRPr="00B9195B">
              <w:rPr>
                <w:b/>
                <w:bCs w:val="0"/>
                <w:color w:val="000000"/>
                <w:szCs w:val="20"/>
                <w:shd w:val="solid" w:color="000000" w:fill="000000"/>
                <w14:textFill>
                  <w14:solidFill>
                    <w14:srgbClr w14:val="000000">
                      <w14:alpha w14:val="100000"/>
                    </w14:srgbClr>
                  </w14:solidFill>
                </w14:textFill>
              </w:rPr>
              <w:t>|</w:t>
            </w:r>
          </w:p>
        </w:tc>
        <w:tc>
          <w:tcPr>
            <w:tcW w:w="2204" w:type="dxa"/>
            <w:tcBorders>
              <w:bottom w:val="single" w:sz="4" w:space="0" w:color="auto"/>
            </w:tcBorders>
            <w:vAlign w:val="center"/>
          </w:tcPr>
          <w:p w14:paraId="2CB3AD81" w14:textId="77777777" w:rsidR="00D52CF8" w:rsidRPr="00C76585" w:rsidRDefault="00D52CF8" w:rsidP="00C50DC8">
            <w:pPr>
              <w:pStyle w:val="TableText"/>
              <w:jc w:val="center"/>
              <w:rPr>
                <w:b/>
                <w:bCs w:val="0"/>
                <w:szCs w:val="20"/>
              </w:rPr>
            </w:pPr>
            <w:r w:rsidRPr="00C76585">
              <w:rPr>
                <w:b/>
                <w:bCs w:val="0"/>
                <w:szCs w:val="20"/>
              </w:rPr>
              <w:t>$93,192</w:t>
            </w:r>
          </w:p>
        </w:tc>
        <w:tc>
          <w:tcPr>
            <w:tcW w:w="2204" w:type="dxa"/>
            <w:tcBorders>
              <w:bottom w:val="single" w:sz="4" w:space="0" w:color="auto"/>
            </w:tcBorders>
            <w:vAlign w:val="center"/>
          </w:tcPr>
          <w:p w14:paraId="0413E6BD" w14:textId="5C8D36E4" w:rsidR="00D52CF8" w:rsidRPr="00C76585" w:rsidRDefault="00D52CF8" w:rsidP="00C50DC8">
            <w:pPr>
              <w:pStyle w:val="TableText"/>
              <w:jc w:val="center"/>
              <w:rPr>
                <w:b/>
                <w:bCs w:val="0"/>
                <w:szCs w:val="20"/>
              </w:rPr>
            </w:pPr>
            <w:r w:rsidRPr="00C76585">
              <w:rPr>
                <w:b/>
                <w:bCs w:val="0"/>
                <w:szCs w:val="20"/>
              </w:rPr>
              <w:t>-$</w:t>
            </w:r>
            <w:r w:rsidR="00B9195B" w:rsidRPr="00B9195B">
              <w:rPr>
                <w:b/>
                <w:bCs w:val="0"/>
                <w:color w:val="000000"/>
                <w:szCs w:val="20"/>
                <w:shd w:val="solid" w:color="000000" w:fill="000000"/>
                <w14:textFill>
                  <w14:solidFill>
                    <w14:srgbClr w14:val="000000">
                      <w14:alpha w14:val="100000"/>
                    </w14:srgbClr>
                  </w14:solidFill>
                </w14:textFill>
              </w:rPr>
              <w:t>|</w:t>
            </w:r>
          </w:p>
        </w:tc>
      </w:tr>
      <w:tr w:rsidR="00D52CF8" w:rsidRPr="002530A2" w14:paraId="3CE3C4DD" w14:textId="77777777" w:rsidTr="00744DE6">
        <w:tc>
          <w:tcPr>
            <w:tcW w:w="2406" w:type="dxa"/>
            <w:tcBorders>
              <w:bottom w:val="single" w:sz="4" w:space="0" w:color="auto"/>
            </w:tcBorders>
          </w:tcPr>
          <w:p w14:paraId="0D847D50" w14:textId="77777777" w:rsidR="00D52CF8" w:rsidRPr="002530A2" w:rsidRDefault="00D52CF8" w:rsidP="00C50DC8">
            <w:pPr>
              <w:pStyle w:val="TableText"/>
              <w:rPr>
                <w:szCs w:val="20"/>
              </w:rPr>
            </w:pPr>
            <w:r w:rsidRPr="002530A2">
              <w:rPr>
                <w:szCs w:val="20"/>
              </w:rPr>
              <w:t>- primary care visits</w:t>
            </w:r>
          </w:p>
        </w:tc>
        <w:tc>
          <w:tcPr>
            <w:tcW w:w="2203" w:type="dxa"/>
            <w:tcBorders>
              <w:bottom w:val="single" w:sz="4" w:space="0" w:color="auto"/>
            </w:tcBorders>
            <w:vAlign w:val="center"/>
          </w:tcPr>
          <w:p w14:paraId="2EC828E6" w14:textId="1CD1D1DA" w:rsidR="00D52CF8" w:rsidRPr="004D3863" w:rsidRDefault="00D52CF8" w:rsidP="00C50DC8">
            <w:pPr>
              <w:pStyle w:val="TableText"/>
              <w:jc w:val="center"/>
              <w:rPr>
                <w:szCs w:val="20"/>
                <w:highlight w:val="darkGray"/>
              </w:rPr>
            </w:pPr>
            <w:r w:rsidRPr="00C76585">
              <w:rPr>
                <w:szCs w:val="20"/>
              </w:rPr>
              <w:t>$</w:t>
            </w:r>
            <w:r w:rsidR="00B9195B" w:rsidRPr="00B9195B">
              <w:rPr>
                <w:color w:val="000000"/>
                <w:szCs w:val="20"/>
                <w:shd w:val="solid" w:color="000000" w:fill="000000"/>
                <w14:textFill>
                  <w14:solidFill>
                    <w14:srgbClr w14:val="000000">
                      <w14:alpha w14:val="100000"/>
                    </w14:srgbClr>
                  </w14:solidFill>
                </w14:textFill>
              </w:rPr>
              <w:t>|</w:t>
            </w:r>
          </w:p>
        </w:tc>
        <w:tc>
          <w:tcPr>
            <w:tcW w:w="2204" w:type="dxa"/>
            <w:tcBorders>
              <w:bottom w:val="single" w:sz="4" w:space="0" w:color="auto"/>
            </w:tcBorders>
            <w:vAlign w:val="center"/>
          </w:tcPr>
          <w:p w14:paraId="4FD5DA4B" w14:textId="77777777" w:rsidR="00D52CF8" w:rsidRPr="00C76585" w:rsidRDefault="00D52CF8" w:rsidP="00C50DC8">
            <w:pPr>
              <w:pStyle w:val="TableText"/>
              <w:jc w:val="center"/>
              <w:rPr>
                <w:szCs w:val="20"/>
              </w:rPr>
            </w:pPr>
            <w:r w:rsidRPr="00C76585">
              <w:rPr>
                <w:szCs w:val="20"/>
              </w:rPr>
              <w:t>$629</w:t>
            </w:r>
          </w:p>
        </w:tc>
        <w:tc>
          <w:tcPr>
            <w:tcW w:w="2204" w:type="dxa"/>
            <w:tcBorders>
              <w:bottom w:val="single" w:sz="4" w:space="0" w:color="auto"/>
            </w:tcBorders>
            <w:vAlign w:val="center"/>
          </w:tcPr>
          <w:p w14:paraId="5A2447CF" w14:textId="1E0F5029" w:rsidR="00D52CF8" w:rsidRPr="00C76585" w:rsidRDefault="00D52CF8" w:rsidP="00C50DC8">
            <w:pPr>
              <w:pStyle w:val="TableText"/>
              <w:jc w:val="center"/>
              <w:rPr>
                <w:szCs w:val="20"/>
              </w:rPr>
            </w:pPr>
            <w:r w:rsidRPr="00C76585">
              <w:rPr>
                <w:szCs w:val="20"/>
              </w:rPr>
              <w:t>-$</w:t>
            </w:r>
            <w:r w:rsidR="00B9195B" w:rsidRPr="00B9195B">
              <w:rPr>
                <w:color w:val="000000"/>
                <w:szCs w:val="20"/>
                <w:shd w:val="solid" w:color="000000" w:fill="000000"/>
                <w14:textFill>
                  <w14:solidFill>
                    <w14:srgbClr w14:val="000000">
                      <w14:alpha w14:val="100000"/>
                    </w14:srgbClr>
                  </w14:solidFill>
                </w14:textFill>
              </w:rPr>
              <w:t>|</w:t>
            </w:r>
          </w:p>
        </w:tc>
      </w:tr>
      <w:tr w:rsidR="00D52CF8" w:rsidRPr="002530A2" w14:paraId="48D30882" w14:textId="77777777" w:rsidTr="00744DE6">
        <w:tc>
          <w:tcPr>
            <w:tcW w:w="2406" w:type="dxa"/>
            <w:tcBorders>
              <w:bottom w:val="single" w:sz="4" w:space="0" w:color="auto"/>
            </w:tcBorders>
          </w:tcPr>
          <w:p w14:paraId="09042502" w14:textId="77777777" w:rsidR="00D52CF8" w:rsidRPr="002530A2" w:rsidRDefault="00D52CF8" w:rsidP="00C50DC8">
            <w:pPr>
              <w:pStyle w:val="TableText"/>
              <w:rPr>
                <w:szCs w:val="20"/>
              </w:rPr>
            </w:pPr>
            <w:r w:rsidRPr="002530A2">
              <w:rPr>
                <w:szCs w:val="20"/>
              </w:rPr>
              <w:t>- specialist visits</w:t>
            </w:r>
          </w:p>
        </w:tc>
        <w:tc>
          <w:tcPr>
            <w:tcW w:w="2203" w:type="dxa"/>
            <w:tcBorders>
              <w:bottom w:val="single" w:sz="4" w:space="0" w:color="auto"/>
            </w:tcBorders>
            <w:vAlign w:val="center"/>
          </w:tcPr>
          <w:p w14:paraId="7F0C8594" w14:textId="25DEACFC" w:rsidR="00D52CF8" w:rsidRPr="004D3863" w:rsidRDefault="00D52CF8" w:rsidP="00C50DC8">
            <w:pPr>
              <w:pStyle w:val="TableText"/>
              <w:jc w:val="center"/>
              <w:rPr>
                <w:szCs w:val="20"/>
                <w:highlight w:val="darkGray"/>
              </w:rPr>
            </w:pPr>
            <w:r w:rsidRPr="00C76585">
              <w:rPr>
                <w:szCs w:val="20"/>
              </w:rPr>
              <w:t>$</w:t>
            </w:r>
            <w:r w:rsidR="00B9195B" w:rsidRPr="00B9195B">
              <w:rPr>
                <w:color w:val="000000"/>
                <w:szCs w:val="20"/>
                <w:shd w:val="solid" w:color="000000" w:fill="000000"/>
                <w14:textFill>
                  <w14:solidFill>
                    <w14:srgbClr w14:val="000000">
                      <w14:alpha w14:val="100000"/>
                    </w14:srgbClr>
                  </w14:solidFill>
                </w14:textFill>
              </w:rPr>
              <w:t>|</w:t>
            </w:r>
          </w:p>
        </w:tc>
        <w:tc>
          <w:tcPr>
            <w:tcW w:w="2204" w:type="dxa"/>
            <w:tcBorders>
              <w:bottom w:val="single" w:sz="4" w:space="0" w:color="auto"/>
            </w:tcBorders>
            <w:vAlign w:val="center"/>
          </w:tcPr>
          <w:p w14:paraId="1E6D8663" w14:textId="77777777" w:rsidR="00D52CF8" w:rsidRPr="00C76585" w:rsidRDefault="00D52CF8" w:rsidP="00C50DC8">
            <w:pPr>
              <w:pStyle w:val="TableText"/>
              <w:jc w:val="center"/>
              <w:rPr>
                <w:szCs w:val="20"/>
              </w:rPr>
            </w:pPr>
            <w:r w:rsidRPr="00C76585">
              <w:rPr>
                <w:szCs w:val="20"/>
              </w:rPr>
              <w:t>$2,635</w:t>
            </w:r>
          </w:p>
        </w:tc>
        <w:tc>
          <w:tcPr>
            <w:tcW w:w="2204" w:type="dxa"/>
            <w:tcBorders>
              <w:bottom w:val="single" w:sz="4" w:space="0" w:color="auto"/>
            </w:tcBorders>
            <w:vAlign w:val="center"/>
          </w:tcPr>
          <w:p w14:paraId="6AC9551C" w14:textId="5BB9E773" w:rsidR="00D52CF8" w:rsidRPr="00C76585" w:rsidRDefault="00D52CF8" w:rsidP="00C50DC8">
            <w:pPr>
              <w:pStyle w:val="TableText"/>
              <w:jc w:val="center"/>
              <w:rPr>
                <w:szCs w:val="20"/>
              </w:rPr>
            </w:pPr>
            <w:r w:rsidRPr="00C76585">
              <w:rPr>
                <w:szCs w:val="20"/>
              </w:rPr>
              <w:t>-$</w:t>
            </w:r>
            <w:r w:rsidR="00B9195B" w:rsidRPr="00B9195B">
              <w:rPr>
                <w:color w:val="000000"/>
                <w:szCs w:val="20"/>
                <w:shd w:val="solid" w:color="000000" w:fill="000000"/>
                <w14:textFill>
                  <w14:solidFill>
                    <w14:srgbClr w14:val="000000">
                      <w14:alpha w14:val="100000"/>
                    </w14:srgbClr>
                  </w14:solidFill>
                </w14:textFill>
              </w:rPr>
              <w:t>|</w:t>
            </w:r>
          </w:p>
        </w:tc>
      </w:tr>
      <w:tr w:rsidR="00D52CF8" w:rsidRPr="002530A2" w14:paraId="61952E2F" w14:textId="77777777" w:rsidTr="00744DE6">
        <w:tc>
          <w:tcPr>
            <w:tcW w:w="2406" w:type="dxa"/>
            <w:tcBorders>
              <w:bottom w:val="single" w:sz="4" w:space="0" w:color="auto"/>
            </w:tcBorders>
          </w:tcPr>
          <w:p w14:paraId="62FA4E72" w14:textId="77777777" w:rsidR="00D52CF8" w:rsidRPr="002530A2" w:rsidRDefault="00D52CF8" w:rsidP="00C50DC8">
            <w:pPr>
              <w:pStyle w:val="TableText"/>
              <w:rPr>
                <w:szCs w:val="20"/>
              </w:rPr>
            </w:pPr>
            <w:r w:rsidRPr="002530A2">
              <w:rPr>
                <w:szCs w:val="20"/>
              </w:rPr>
              <w:t>- ED visits</w:t>
            </w:r>
          </w:p>
        </w:tc>
        <w:tc>
          <w:tcPr>
            <w:tcW w:w="2203" w:type="dxa"/>
            <w:tcBorders>
              <w:bottom w:val="single" w:sz="4" w:space="0" w:color="auto"/>
            </w:tcBorders>
            <w:vAlign w:val="center"/>
          </w:tcPr>
          <w:p w14:paraId="37A068D8" w14:textId="05A67D7E" w:rsidR="00D52CF8" w:rsidRPr="004D3863" w:rsidRDefault="00D52CF8" w:rsidP="00C50DC8">
            <w:pPr>
              <w:pStyle w:val="TableText"/>
              <w:jc w:val="center"/>
              <w:rPr>
                <w:szCs w:val="20"/>
                <w:highlight w:val="darkGray"/>
              </w:rPr>
            </w:pPr>
            <w:r w:rsidRPr="00C76585">
              <w:rPr>
                <w:szCs w:val="20"/>
              </w:rPr>
              <w:t>$</w:t>
            </w:r>
            <w:r w:rsidR="00B9195B" w:rsidRPr="00B9195B">
              <w:rPr>
                <w:color w:val="000000"/>
                <w:szCs w:val="20"/>
                <w:shd w:val="solid" w:color="000000" w:fill="000000"/>
                <w14:textFill>
                  <w14:solidFill>
                    <w14:srgbClr w14:val="000000">
                      <w14:alpha w14:val="100000"/>
                    </w14:srgbClr>
                  </w14:solidFill>
                </w14:textFill>
              </w:rPr>
              <w:t>|</w:t>
            </w:r>
          </w:p>
        </w:tc>
        <w:tc>
          <w:tcPr>
            <w:tcW w:w="2204" w:type="dxa"/>
            <w:tcBorders>
              <w:bottom w:val="single" w:sz="4" w:space="0" w:color="auto"/>
            </w:tcBorders>
            <w:vAlign w:val="center"/>
          </w:tcPr>
          <w:p w14:paraId="1FE302DC" w14:textId="77777777" w:rsidR="00D52CF8" w:rsidRPr="00C76585" w:rsidRDefault="00D52CF8" w:rsidP="00C50DC8">
            <w:pPr>
              <w:pStyle w:val="TableText"/>
              <w:jc w:val="center"/>
              <w:rPr>
                <w:szCs w:val="20"/>
              </w:rPr>
            </w:pPr>
            <w:r w:rsidRPr="00C76585">
              <w:rPr>
                <w:szCs w:val="20"/>
              </w:rPr>
              <w:t>$3,918</w:t>
            </w:r>
          </w:p>
        </w:tc>
        <w:tc>
          <w:tcPr>
            <w:tcW w:w="2204" w:type="dxa"/>
            <w:tcBorders>
              <w:bottom w:val="single" w:sz="4" w:space="0" w:color="auto"/>
            </w:tcBorders>
            <w:vAlign w:val="center"/>
          </w:tcPr>
          <w:p w14:paraId="62F163F9" w14:textId="453B4A3D" w:rsidR="00D52CF8" w:rsidRPr="004D3863" w:rsidRDefault="00D52CF8" w:rsidP="00C50DC8">
            <w:pPr>
              <w:pStyle w:val="TableText"/>
              <w:jc w:val="center"/>
              <w:rPr>
                <w:szCs w:val="20"/>
                <w:highlight w:val="darkGray"/>
              </w:rPr>
            </w:pPr>
            <w:r w:rsidRPr="00C76585">
              <w:rPr>
                <w:szCs w:val="20"/>
              </w:rPr>
              <w:t>-$</w:t>
            </w:r>
            <w:r w:rsidR="00B9195B" w:rsidRPr="00B9195B">
              <w:rPr>
                <w:color w:val="000000"/>
                <w:szCs w:val="20"/>
                <w:shd w:val="solid" w:color="000000" w:fill="000000"/>
                <w14:textFill>
                  <w14:solidFill>
                    <w14:srgbClr w14:val="000000">
                      <w14:alpha w14:val="100000"/>
                    </w14:srgbClr>
                  </w14:solidFill>
                </w14:textFill>
              </w:rPr>
              <w:t>|</w:t>
            </w:r>
          </w:p>
        </w:tc>
      </w:tr>
      <w:tr w:rsidR="00D52CF8" w:rsidRPr="002530A2" w14:paraId="4B3C8C59" w14:textId="77777777" w:rsidTr="00744DE6">
        <w:tc>
          <w:tcPr>
            <w:tcW w:w="2406" w:type="dxa"/>
            <w:tcBorders>
              <w:bottom w:val="single" w:sz="4" w:space="0" w:color="auto"/>
            </w:tcBorders>
          </w:tcPr>
          <w:p w14:paraId="33199C0A" w14:textId="77777777" w:rsidR="00D52CF8" w:rsidRPr="002530A2" w:rsidRDefault="00D52CF8" w:rsidP="00C50DC8">
            <w:pPr>
              <w:pStyle w:val="TableText"/>
              <w:rPr>
                <w:szCs w:val="20"/>
              </w:rPr>
            </w:pPr>
            <w:r w:rsidRPr="002530A2">
              <w:rPr>
                <w:szCs w:val="20"/>
              </w:rPr>
              <w:t>- hospitalisations</w:t>
            </w:r>
          </w:p>
        </w:tc>
        <w:tc>
          <w:tcPr>
            <w:tcW w:w="2203" w:type="dxa"/>
            <w:tcBorders>
              <w:bottom w:val="single" w:sz="4" w:space="0" w:color="auto"/>
            </w:tcBorders>
            <w:vAlign w:val="center"/>
          </w:tcPr>
          <w:p w14:paraId="7883F2BD" w14:textId="63D4B579" w:rsidR="00D52CF8" w:rsidRPr="004D3863" w:rsidRDefault="00D52CF8" w:rsidP="00C50DC8">
            <w:pPr>
              <w:pStyle w:val="TableText"/>
              <w:jc w:val="center"/>
              <w:rPr>
                <w:szCs w:val="20"/>
                <w:highlight w:val="darkGray"/>
              </w:rPr>
            </w:pPr>
            <w:r w:rsidRPr="00C76585">
              <w:rPr>
                <w:szCs w:val="20"/>
              </w:rPr>
              <w:t>$</w:t>
            </w:r>
            <w:r w:rsidR="00B9195B" w:rsidRPr="00B9195B">
              <w:rPr>
                <w:color w:val="000000"/>
                <w:szCs w:val="20"/>
                <w:shd w:val="solid" w:color="000000" w:fill="000000"/>
                <w14:textFill>
                  <w14:solidFill>
                    <w14:srgbClr w14:val="000000">
                      <w14:alpha w14:val="100000"/>
                    </w14:srgbClr>
                  </w14:solidFill>
                </w14:textFill>
              </w:rPr>
              <w:t>|</w:t>
            </w:r>
          </w:p>
        </w:tc>
        <w:tc>
          <w:tcPr>
            <w:tcW w:w="2204" w:type="dxa"/>
            <w:tcBorders>
              <w:bottom w:val="single" w:sz="4" w:space="0" w:color="auto"/>
            </w:tcBorders>
            <w:vAlign w:val="center"/>
          </w:tcPr>
          <w:p w14:paraId="790424F5" w14:textId="77777777" w:rsidR="00D52CF8" w:rsidRPr="00C76585" w:rsidRDefault="00D52CF8" w:rsidP="00C50DC8">
            <w:pPr>
              <w:pStyle w:val="TableText"/>
              <w:jc w:val="center"/>
              <w:rPr>
                <w:szCs w:val="20"/>
              </w:rPr>
            </w:pPr>
            <w:r w:rsidRPr="00C76585">
              <w:rPr>
                <w:szCs w:val="20"/>
              </w:rPr>
              <w:t>$86,110</w:t>
            </w:r>
          </w:p>
        </w:tc>
        <w:tc>
          <w:tcPr>
            <w:tcW w:w="2204" w:type="dxa"/>
            <w:tcBorders>
              <w:bottom w:val="single" w:sz="4" w:space="0" w:color="auto"/>
            </w:tcBorders>
            <w:vAlign w:val="center"/>
          </w:tcPr>
          <w:p w14:paraId="2F0AC537" w14:textId="445E5479" w:rsidR="00D52CF8" w:rsidRPr="00C76585" w:rsidRDefault="00D52CF8" w:rsidP="00C50DC8">
            <w:pPr>
              <w:pStyle w:val="TableText"/>
              <w:jc w:val="center"/>
              <w:rPr>
                <w:szCs w:val="20"/>
              </w:rPr>
            </w:pPr>
            <w:r w:rsidRPr="00C76585">
              <w:rPr>
                <w:szCs w:val="20"/>
              </w:rPr>
              <w:t>-$</w:t>
            </w:r>
            <w:r w:rsidR="00B9195B" w:rsidRPr="00B9195B">
              <w:rPr>
                <w:color w:val="000000"/>
                <w:szCs w:val="20"/>
                <w:shd w:val="solid" w:color="000000" w:fill="000000"/>
                <w14:textFill>
                  <w14:solidFill>
                    <w14:srgbClr w14:val="000000">
                      <w14:alpha w14:val="100000"/>
                    </w14:srgbClr>
                  </w14:solidFill>
                </w14:textFill>
              </w:rPr>
              <w:t>|</w:t>
            </w:r>
          </w:p>
        </w:tc>
      </w:tr>
      <w:tr w:rsidR="00D52CF8" w:rsidRPr="002530A2" w14:paraId="17B590DD" w14:textId="77777777" w:rsidTr="00744DE6">
        <w:tc>
          <w:tcPr>
            <w:tcW w:w="2406" w:type="dxa"/>
          </w:tcPr>
          <w:p w14:paraId="6CE1031A" w14:textId="77777777" w:rsidR="00D52CF8" w:rsidRPr="002530A2" w:rsidRDefault="00D52CF8" w:rsidP="00C50DC8">
            <w:pPr>
              <w:pStyle w:val="TableText"/>
              <w:rPr>
                <w:b/>
                <w:bCs w:val="0"/>
                <w:szCs w:val="20"/>
              </w:rPr>
            </w:pPr>
            <w:r w:rsidRPr="002530A2">
              <w:rPr>
                <w:b/>
                <w:bCs w:val="0"/>
                <w:szCs w:val="20"/>
              </w:rPr>
              <w:t>TOTAL</w:t>
            </w:r>
          </w:p>
        </w:tc>
        <w:tc>
          <w:tcPr>
            <w:tcW w:w="2203" w:type="dxa"/>
            <w:vAlign w:val="center"/>
          </w:tcPr>
          <w:p w14:paraId="0F40F54F" w14:textId="1C0EEC0F" w:rsidR="00D52CF8" w:rsidRPr="002530A2" w:rsidRDefault="00D52CF8" w:rsidP="00C50DC8">
            <w:pPr>
              <w:pStyle w:val="TableText"/>
              <w:jc w:val="center"/>
              <w:rPr>
                <w:b/>
                <w:bCs w:val="0"/>
                <w:szCs w:val="20"/>
              </w:rPr>
            </w:pPr>
            <w:r>
              <w:rPr>
                <w:b/>
                <w:bCs w:val="0"/>
                <w:szCs w:val="20"/>
              </w:rPr>
              <w:t>$</w:t>
            </w:r>
            <w:r w:rsidR="00B9195B" w:rsidRPr="00B9195B">
              <w:rPr>
                <w:b/>
                <w:bCs w:val="0"/>
                <w:color w:val="000000"/>
                <w:szCs w:val="20"/>
                <w:shd w:val="solid" w:color="000000" w:fill="000000"/>
                <w14:textFill>
                  <w14:solidFill>
                    <w14:srgbClr w14:val="000000">
                      <w14:alpha w14:val="100000"/>
                    </w14:srgbClr>
                  </w14:solidFill>
                </w14:textFill>
              </w:rPr>
              <w:t>|</w:t>
            </w:r>
          </w:p>
        </w:tc>
        <w:tc>
          <w:tcPr>
            <w:tcW w:w="2204" w:type="dxa"/>
            <w:vAlign w:val="center"/>
          </w:tcPr>
          <w:p w14:paraId="4A0F8ABA" w14:textId="77777777" w:rsidR="00D52CF8" w:rsidRPr="002530A2" w:rsidRDefault="00D52CF8" w:rsidP="00C50DC8">
            <w:pPr>
              <w:pStyle w:val="TableText"/>
              <w:jc w:val="center"/>
              <w:rPr>
                <w:b/>
                <w:bCs w:val="0"/>
                <w:szCs w:val="20"/>
              </w:rPr>
            </w:pPr>
            <w:r>
              <w:rPr>
                <w:b/>
                <w:bCs w:val="0"/>
                <w:szCs w:val="20"/>
              </w:rPr>
              <w:t>$95,078</w:t>
            </w:r>
          </w:p>
        </w:tc>
        <w:tc>
          <w:tcPr>
            <w:tcW w:w="2204" w:type="dxa"/>
            <w:vAlign w:val="center"/>
          </w:tcPr>
          <w:p w14:paraId="5149CFCB" w14:textId="0C82B75B" w:rsidR="00D52CF8" w:rsidRPr="002530A2" w:rsidRDefault="00D52CF8" w:rsidP="00C50DC8">
            <w:pPr>
              <w:pStyle w:val="TableText"/>
              <w:jc w:val="center"/>
              <w:rPr>
                <w:b/>
                <w:bCs w:val="0"/>
                <w:szCs w:val="20"/>
              </w:rPr>
            </w:pPr>
            <w:r>
              <w:rPr>
                <w:b/>
                <w:bCs w:val="0"/>
                <w:szCs w:val="20"/>
              </w:rPr>
              <w:t>$</w:t>
            </w:r>
            <w:r w:rsidR="00B9195B" w:rsidRPr="00B9195B">
              <w:rPr>
                <w:b/>
                <w:bCs w:val="0"/>
                <w:color w:val="000000"/>
                <w:szCs w:val="20"/>
                <w:shd w:val="solid" w:color="000000" w:fill="000000"/>
                <w14:textFill>
                  <w14:solidFill>
                    <w14:srgbClr w14:val="000000">
                      <w14:alpha w14:val="100000"/>
                    </w14:srgbClr>
                  </w14:solidFill>
                </w14:textFill>
              </w:rPr>
              <w:t>|</w:t>
            </w:r>
          </w:p>
        </w:tc>
      </w:tr>
    </w:tbl>
    <w:p w14:paraId="7DD73A6F" w14:textId="2B833A44" w:rsidR="00514946" w:rsidRPr="00514946" w:rsidRDefault="00D52CF8" w:rsidP="00D52CF8">
      <w:pPr>
        <w:pStyle w:val="TableFigureFooter"/>
        <w:rPr>
          <w:color w:val="0066FF"/>
        </w:rPr>
      </w:pPr>
      <w:r w:rsidRPr="002530A2">
        <w:t>Source: Table 3</w:t>
      </w:r>
      <w:r>
        <w:t>-34</w:t>
      </w:r>
      <w:r w:rsidRPr="002530A2">
        <w:t>, p2</w:t>
      </w:r>
      <w:r>
        <w:t>20</w:t>
      </w:r>
      <w:r w:rsidRPr="002530A2">
        <w:t xml:space="preserve"> of the </w:t>
      </w:r>
      <w:r>
        <w:t>re</w:t>
      </w:r>
      <w:r w:rsidRPr="002530A2">
        <w:t xml:space="preserve">submission; and ‘Attachment </w:t>
      </w:r>
      <w:r>
        <w:t>3.2</w:t>
      </w:r>
      <w:r w:rsidRPr="002530A2">
        <w:t xml:space="preserve"> </w:t>
      </w:r>
      <w:proofErr w:type="spellStart"/>
      <w:r w:rsidRPr="002530A2">
        <w:t>Esketamine</w:t>
      </w:r>
      <w:proofErr w:type="spellEnd"/>
      <w:r w:rsidRPr="002530A2">
        <w:t xml:space="preserve"> TRD CE model’ Excel spreadsheet provided with the </w:t>
      </w:r>
      <w:r>
        <w:t>re</w:t>
      </w:r>
      <w:r w:rsidRPr="002530A2">
        <w:t>submission</w:t>
      </w:r>
    </w:p>
    <w:p w14:paraId="57EC86F4" w14:textId="0BFB0CDE" w:rsidR="007E5CAB" w:rsidRPr="00E06F7E" w:rsidRDefault="007E5CAB" w:rsidP="007E5CAB">
      <w:pPr>
        <w:pStyle w:val="ExecSumBodyText"/>
        <w:rPr>
          <w:b/>
        </w:rPr>
      </w:pPr>
      <w:r w:rsidRPr="008C1473">
        <w:t xml:space="preserve">The difference in costs between treatment arms was driven by </w:t>
      </w:r>
      <w:proofErr w:type="spellStart"/>
      <w:r w:rsidRPr="008C1473">
        <w:t>esketamine</w:t>
      </w:r>
      <w:proofErr w:type="spellEnd"/>
      <w:r w:rsidRPr="008C1473">
        <w:t xml:space="preserve"> drug and administration costs, which were </w:t>
      </w:r>
      <w:r w:rsidR="000A238A" w:rsidRPr="008C1473">
        <w:t xml:space="preserve">substantially </w:t>
      </w:r>
      <w:r w:rsidRPr="008C1473">
        <w:t>offset by reduced disease management costs (primarily costs of hospitalisations).</w:t>
      </w:r>
      <w:r w:rsidRPr="007B48CD">
        <w:rPr>
          <w:i/>
          <w:iCs/>
        </w:rPr>
        <w:t xml:space="preserve"> </w:t>
      </w:r>
      <w:r w:rsidR="00B2661A" w:rsidRPr="00943FCF">
        <w:t>The model generate</w:t>
      </w:r>
      <w:r w:rsidR="00455E80">
        <w:t>d</w:t>
      </w:r>
      <w:r w:rsidR="00B2661A" w:rsidRPr="00943FCF">
        <w:t xml:space="preserve"> 50.3 hospital days in the </w:t>
      </w:r>
      <w:proofErr w:type="spellStart"/>
      <w:r w:rsidR="00B2661A" w:rsidRPr="00943FCF">
        <w:t>esketamine</w:t>
      </w:r>
      <w:proofErr w:type="spellEnd"/>
      <w:r w:rsidR="00B2661A" w:rsidRPr="00943FCF">
        <w:t xml:space="preserve"> arm and 58.9 hospital days in the placebo arm, a difference of 8.5 hospital days</w:t>
      </w:r>
      <w:r w:rsidR="00B308FF" w:rsidRPr="00943FCF">
        <w:t xml:space="preserve"> (at a cost per day of $1,647.70)</w:t>
      </w:r>
      <w:r w:rsidR="00B2661A" w:rsidRPr="00943FCF">
        <w:t xml:space="preserve"> over the 5-year model duration. </w:t>
      </w:r>
      <w:r w:rsidRPr="00E06F7E">
        <w:t xml:space="preserve">It is unclear whether such a significant reduction in hospitalisation will occur in practice. The source data for resource use by health state was based on a retrospective chart review study conducted in the UK (Denee et al., 2021), which the ESC previously considered may have limited applicability to the Australian context (para 6.46, </w:t>
      </w:r>
      <w:proofErr w:type="spellStart"/>
      <w:r w:rsidR="00D46C2D" w:rsidRPr="00E06F7E">
        <w:t>esketamine</w:t>
      </w:r>
      <w:proofErr w:type="spellEnd"/>
      <w:r w:rsidR="00D46C2D" w:rsidRPr="00E06F7E">
        <w:t xml:space="preserve"> P</w:t>
      </w:r>
      <w:r w:rsidRPr="00E06F7E">
        <w:t xml:space="preserve">SD, July 2021 PBAC meeting). </w:t>
      </w:r>
    </w:p>
    <w:p w14:paraId="4F53B27F" w14:textId="7F59C8E2" w:rsidR="007E5CAB" w:rsidRPr="007E5CAB" w:rsidRDefault="007E5CAB" w:rsidP="007E5CAB">
      <w:pPr>
        <w:pStyle w:val="ExecSumBodyText"/>
        <w:rPr>
          <w:color w:val="0066FF"/>
        </w:rPr>
      </w:pPr>
      <w:r w:rsidRPr="002C3B17">
        <w:t>The submission presented a simplified stepped economic evaluation</w:t>
      </w:r>
      <w:r w:rsidR="00EE5606">
        <w:t xml:space="preserve">. </w:t>
      </w:r>
      <w:r w:rsidRPr="005C202F">
        <w:t xml:space="preserve">The results of </w:t>
      </w:r>
      <w:r>
        <w:t>an expanded</w:t>
      </w:r>
      <w:r w:rsidRPr="005C202F">
        <w:t xml:space="preserve"> stepped economic evaluation</w:t>
      </w:r>
      <w:r>
        <w:t>, conducted during the evaluation,</w:t>
      </w:r>
      <w:r w:rsidRPr="005C202F">
        <w:t xml:space="preserve"> are summarised below.</w:t>
      </w:r>
    </w:p>
    <w:p w14:paraId="45C81E56" w14:textId="49662EDD" w:rsidR="00C200C9" w:rsidRPr="002530A2" w:rsidRDefault="00C200C9" w:rsidP="00C50DC8">
      <w:pPr>
        <w:pStyle w:val="Caption"/>
      </w:pPr>
      <w:r w:rsidRPr="002530A2">
        <w:lastRenderedPageBreak/>
        <w:t xml:space="preserve">Table </w:t>
      </w:r>
      <w:r w:rsidR="002030D0">
        <w:fldChar w:fldCharType="begin"/>
      </w:r>
      <w:r w:rsidR="002030D0">
        <w:instrText xml:space="preserve"> SEQ Table \* ARABIC </w:instrText>
      </w:r>
      <w:r w:rsidR="002030D0">
        <w:fldChar w:fldCharType="separate"/>
      </w:r>
      <w:r w:rsidR="008E3D7A">
        <w:rPr>
          <w:noProof/>
        </w:rPr>
        <w:t>15</w:t>
      </w:r>
      <w:r w:rsidR="002030D0">
        <w:rPr>
          <w:noProof/>
        </w:rPr>
        <w:fldChar w:fldCharType="end"/>
      </w:r>
      <w:r w:rsidRPr="00D60B48">
        <w:t>:</w:t>
      </w:r>
      <w:r w:rsidRPr="002530A2">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1986"/>
        <w:gridCol w:w="2126"/>
        <w:gridCol w:w="1933"/>
      </w:tblGrid>
      <w:tr w:rsidR="00C200C9" w:rsidRPr="002530A2" w14:paraId="106EA801" w14:textId="77777777" w:rsidTr="00000678">
        <w:trPr>
          <w:tblHeader/>
        </w:trPr>
        <w:tc>
          <w:tcPr>
            <w:tcW w:w="1648" w:type="pct"/>
            <w:vAlign w:val="center"/>
          </w:tcPr>
          <w:p w14:paraId="29409FDD" w14:textId="77777777" w:rsidR="00C200C9" w:rsidRPr="002530A2" w:rsidRDefault="00C200C9" w:rsidP="00C50DC8">
            <w:pPr>
              <w:pStyle w:val="Tableheadingrow"/>
              <w:rPr>
                <w:lang w:val="en-AU"/>
              </w:rPr>
            </w:pPr>
            <w:r w:rsidRPr="002530A2">
              <w:rPr>
                <w:lang w:val="en-AU"/>
              </w:rPr>
              <w:t>Step and component</w:t>
            </w:r>
          </w:p>
        </w:tc>
        <w:tc>
          <w:tcPr>
            <w:tcW w:w="1101" w:type="pct"/>
            <w:vAlign w:val="center"/>
          </w:tcPr>
          <w:p w14:paraId="2F419F54" w14:textId="77777777" w:rsidR="00C200C9" w:rsidRPr="002530A2" w:rsidRDefault="00C200C9" w:rsidP="00C50DC8">
            <w:pPr>
              <w:pStyle w:val="Tableheadingrow"/>
              <w:jc w:val="center"/>
              <w:rPr>
                <w:lang w:val="en-AU"/>
              </w:rPr>
            </w:pPr>
            <w:proofErr w:type="spellStart"/>
            <w:r w:rsidRPr="002530A2">
              <w:rPr>
                <w:lang w:val="en-AU"/>
              </w:rPr>
              <w:t>Esketamine+OAD</w:t>
            </w:r>
            <w:proofErr w:type="spellEnd"/>
          </w:p>
        </w:tc>
        <w:tc>
          <w:tcPr>
            <w:tcW w:w="1179" w:type="pct"/>
            <w:vAlign w:val="center"/>
          </w:tcPr>
          <w:p w14:paraId="038A1C48" w14:textId="77777777" w:rsidR="00C200C9" w:rsidRPr="002530A2" w:rsidRDefault="00C200C9" w:rsidP="00C50DC8">
            <w:pPr>
              <w:pStyle w:val="Tableheadingrow"/>
              <w:jc w:val="center"/>
              <w:rPr>
                <w:lang w:val="en-AU"/>
              </w:rPr>
            </w:pPr>
            <w:r w:rsidRPr="002530A2">
              <w:rPr>
                <w:lang w:val="en-AU"/>
              </w:rPr>
              <w:t>OAD</w:t>
            </w:r>
          </w:p>
        </w:tc>
        <w:tc>
          <w:tcPr>
            <w:tcW w:w="1072" w:type="pct"/>
            <w:vAlign w:val="center"/>
          </w:tcPr>
          <w:p w14:paraId="646BA390" w14:textId="77777777" w:rsidR="00C200C9" w:rsidRPr="002530A2" w:rsidRDefault="00C200C9" w:rsidP="00C50DC8">
            <w:pPr>
              <w:pStyle w:val="Tableheadingrow"/>
              <w:jc w:val="center"/>
              <w:rPr>
                <w:lang w:val="en-AU"/>
              </w:rPr>
            </w:pPr>
            <w:r w:rsidRPr="002530A2">
              <w:rPr>
                <w:lang w:val="en-AU"/>
              </w:rPr>
              <w:t>Increment</w:t>
            </w:r>
          </w:p>
        </w:tc>
      </w:tr>
      <w:tr w:rsidR="00C200C9" w:rsidRPr="002530A2" w14:paraId="462EBB57" w14:textId="77777777" w:rsidTr="00000678">
        <w:tc>
          <w:tcPr>
            <w:tcW w:w="5000" w:type="pct"/>
            <w:gridSpan w:val="4"/>
            <w:vAlign w:val="center"/>
          </w:tcPr>
          <w:p w14:paraId="002FD5EE" w14:textId="0D215C72" w:rsidR="00C200C9" w:rsidRPr="007E18B2" w:rsidRDefault="00C200C9" w:rsidP="00C50DC8">
            <w:pPr>
              <w:pStyle w:val="TableText"/>
              <w:rPr>
                <w:b/>
                <w:bCs w:val="0"/>
              </w:rPr>
            </w:pPr>
            <w:r w:rsidRPr="007E18B2">
              <w:rPr>
                <w:b/>
                <w:bCs w:val="0"/>
              </w:rPr>
              <w:t xml:space="preserve">Step 1: </w:t>
            </w:r>
            <w:r w:rsidRPr="007E18B2">
              <w:t xml:space="preserve">Trial-based four-week induction phase (proportions of patients with response and in remission from TRANSFORM-2 and -3 weighted by the proportion of the Australian population aged &lt;65 and ≥65 years; </w:t>
            </w:r>
            <w:proofErr w:type="spellStart"/>
            <w:r w:rsidRPr="007E18B2">
              <w:t>esketamine</w:t>
            </w:r>
            <w:proofErr w:type="spellEnd"/>
            <w:r w:rsidRPr="007E18B2">
              <w:t xml:space="preserve"> and </w:t>
            </w:r>
            <w:r w:rsidR="00C50DC8" w:rsidRPr="007E18B2">
              <w:t>OAD</w:t>
            </w:r>
            <w:r w:rsidRPr="007E18B2">
              <w:t xml:space="preserve"> drug costs; administration costs applied to both arms).</w:t>
            </w:r>
          </w:p>
        </w:tc>
      </w:tr>
      <w:tr w:rsidR="00C200C9" w:rsidRPr="002530A2" w14:paraId="480A949D" w14:textId="77777777" w:rsidTr="00000678">
        <w:tc>
          <w:tcPr>
            <w:tcW w:w="1648" w:type="pct"/>
            <w:vAlign w:val="center"/>
          </w:tcPr>
          <w:p w14:paraId="09D5D512" w14:textId="77777777" w:rsidR="00C200C9" w:rsidRPr="007E18B2" w:rsidRDefault="00C200C9" w:rsidP="00C50DC8">
            <w:pPr>
              <w:pStyle w:val="TableText"/>
              <w:rPr>
                <w:rFonts w:ascii="Times" w:hAnsi="Times"/>
              </w:rPr>
            </w:pPr>
            <w:r w:rsidRPr="007E18B2">
              <w:t>Costs</w:t>
            </w:r>
          </w:p>
        </w:tc>
        <w:tc>
          <w:tcPr>
            <w:tcW w:w="1101" w:type="pct"/>
            <w:vAlign w:val="bottom"/>
          </w:tcPr>
          <w:p w14:paraId="6B5BDAF2" w14:textId="078D6EF2" w:rsidR="00C200C9" w:rsidRPr="007E18B2" w:rsidRDefault="00C200C9" w:rsidP="00C50DC8">
            <w:pPr>
              <w:pStyle w:val="TableText"/>
              <w:jc w:val="center"/>
              <w:rPr>
                <w:rFonts w:ascii="Times" w:hAnsi="Times"/>
              </w:rPr>
            </w:pPr>
            <w:r w:rsidRPr="007E18B2">
              <w:t>$</w:t>
            </w:r>
            <w:r w:rsidR="00B9195B" w:rsidRPr="00B9195B">
              <w:rPr>
                <w:color w:val="000000"/>
                <w:shd w:val="solid" w:color="000000" w:fill="000000"/>
                <w14:textFill>
                  <w14:solidFill>
                    <w14:srgbClr w14:val="000000">
                      <w14:alpha w14:val="100000"/>
                    </w14:srgbClr>
                  </w14:solidFill>
                </w14:textFill>
              </w:rPr>
              <w:t>|</w:t>
            </w:r>
          </w:p>
        </w:tc>
        <w:tc>
          <w:tcPr>
            <w:tcW w:w="1179" w:type="pct"/>
            <w:vAlign w:val="bottom"/>
          </w:tcPr>
          <w:p w14:paraId="3DEB53BA" w14:textId="77777777" w:rsidR="00C200C9" w:rsidRPr="007E18B2" w:rsidRDefault="00C200C9" w:rsidP="00C50DC8">
            <w:pPr>
              <w:pStyle w:val="TableText"/>
              <w:jc w:val="center"/>
              <w:rPr>
                <w:rFonts w:ascii="Times" w:hAnsi="Times"/>
              </w:rPr>
            </w:pPr>
            <w:r w:rsidRPr="007E18B2">
              <w:t>$356</w:t>
            </w:r>
          </w:p>
        </w:tc>
        <w:tc>
          <w:tcPr>
            <w:tcW w:w="1072" w:type="pct"/>
            <w:vAlign w:val="bottom"/>
          </w:tcPr>
          <w:p w14:paraId="07F7C9EF" w14:textId="2F2D1391" w:rsidR="00C200C9" w:rsidRPr="007E18B2" w:rsidRDefault="00C200C9" w:rsidP="00C50DC8">
            <w:pPr>
              <w:pStyle w:val="TableText"/>
              <w:jc w:val="center"/>
              <w:rPr>
                <w:rFonts w:ascii="Times" w:hAnsi="Times"/>
              </w:rPr>
            </w:pPr>
            <w:r w:rsidRPr="007E18B2">
              <w:t>$</w:t>
            </w:r>
            <w:r w:rsidR="00B9195B" w:rsidRPr="00B9195B">
              <w:rPr>
                <w:color w:val="000000"/>
                <w:shd w:val="solid" w:color="000000" w:fill="000000"/>
                <w14:textFill>
                  <w14:solidFill>
                    <w14:srgbClr w14:val="000000">
                      <w14:alpha w14:val="100000"/>
                    </w14:srgbClr>
                  </w14:solidFill>
                </w14:textFill>
              </w:rPr>
              <w:t>|</w:t>
            </w:r>
          </w:p>
        </w:tc>
      </w:tr>
      <w:tr w:rsidR="00C200C9" w:rsidRPr="002530A2" w14:paraId="5F991429" w14:textId="77777777" w:rsidTr="00000678">
        <w:tc>
          <w:tcPr>
            <w:tcW w:w="1648" w:type="pct"/>
            <w:vAlign w:val="center"/>
          </w:tcPr>
          <w:p w14:paraId="58F42D1D" w14:textId="77777777" w:rsidR="00C200C9" w:rsidRPr="007E18B2" w:rsidRDefault="00C200C9" w:rsidP="00C50DC8">
            <w:pPr>
              <w:pStyle w:val="TableText"/>
              <w:rPr>
                <w:rFonts w:ascii="Times" w:hAnsi="Times"/>
              </w:rPr>
            </w:pPr>
            <w:r w:rsidRPr="007E18B2">
              <w:t>Proportion of responders (Day 28)</w:t>
            </w:r>
          </w:p>
        </w:tc>
        <w:tc>
          <w:tcPr>
            <w:tcW w:w="1101" w:type="pct"/>
            <w:vAlign w:val="bottom"/>
          </w:tcPr>
          <w:p w14:paraId="2A73A8D3" w14:textId="77777777" w:rsidR="00C200C9" w:rsidRPr="007E18B2" w:rsidRDefault="00C200C9" w:rsidP="00C50DC8">
            <w:pPr>
              <w:pStyle w:val="TableText"/>
              <w:jc w:val="center"/>
            </w:pPr>
            <w:r w:rsidRPr="007E18B2">
              <w:t>62.5%</w:t>
            </w:r>
          </w:p>
        </w:tc>
        <w:tc>
          <w:tcPr>
            <w:tcW w:w="1179" w:type="pct"/>
            <w:vAlign w:val="bottom"/>
          </w:tcPr>
          <w:p w14:paraId="322060B9" w14:textId="77777777" w:rsidR="00C200C9" w:rsidRPr="007E18B2" w:rsidRDefault="00C200C9" w:rsidP="00C50DC8">
            <w:pPr>
              <w:pStyle w:val="TableText"/>
              <w:jc w:val="center"/>
            </w:pPr>
            <w:r w:rsidRPr="007E18B2">
              <w:t>45.8%</w:t>
            </w:r>
          </w:p>
        </w:tc>
        <w:tc>
          <w:tcPr>
            <w:tcW w:w="1072" w:type="pct"/>
            <w:vAlign w:val="bottom"/>
          </w:tcPr>
          <w:p w14:paraId="1F2B6A48" w14:textId="77777777" w:rsidR="00C200C9" w:rsidRPr="007E18B2" w:rsidRDefault="00C200C9" w:rsidP="00C50DC8">
            <w:pPr>
              <w:pStyle w:val="TableText"/>
              <w:jc w:val="center"/>
            </w:pPr>
            <w:r w:rsidRPr="007E18B2">
              <w:t>16.7%</w:t>
            </w:r>
          </w:p>
        </w:tc>
      </w:tr>
      <w:tr w:rsidR="00C200C9" w:rsidRPr="002530A2" w14:paraId="194B3259" w14:textId="77777777" w:rsidTr="00000678">
        <w:tc>
          <w:tcPr>
            <w:tcW w:w="1648" w:type="pct"/>
            <w:vAlign w:val="center"/>
          </w:tcPr>
          <w:p w14:paraId="0EA75817" w14:textId="77777777" w:rsidR="00C200C9" w:rsidRPr="007E18B2" w:rsidRDefault="00C200C9" w:rsidP="00C50DC8">
            <w:pPr>
              <w:pStyle w:val="TableText"/>
            </w:pPr>
            <w:r w:rsidRPr="007E18B2">
              <w:t>Proportion in remission (Day 28)</w:t>
            </w:r>
          </w:p>
        </w:tc>
        <w:tc>
          <w:tcPr>
            <w:tcW w:w="1101" w:type="pct"/>
            <w:vAlign w:val="bottom"/>
          </w:tcPr>
          <w:p w14:paraId="44EB331C" w14:textId="77777777" w:rsidR="00C200C9" w:rsidRPr="007E18B2" w:rsidRDefault="00C200C9" w:rsidP="00C50DC8">
            <w:pPr>
              <w:pStyle w:val="TableText"/>
              <w:jc w:val="center"/>
            </w:pPr>
            <w:r w:rsidRPr="007E18B2">
              <w:t>46.9%</w:t>
            </w:r>
          </w:p>
        </w:tc>
        <w:tc>
          <w:tcPr>
            <w:tcW w:w="1179" w:type="pct"/>
            <w:vAlign w:val="bottom"/>
          </w:tcPr>
          <w:p w14:paraId="0E14A153" w14:textId="77777777" w:rsidR="00C200C9" w:rsidRPr="007E18B2" w:rsidRDefault="00C200C9" w:rsidP="00C50DC8">
            <w:pPr>
              <w:pStyle w:val="TableText"/>
              <w:jc w:val="center"/>
            </w:pPr>
            <w:r w:rsidRPr="007E18B2">
              <w:t>27.1%</w:t>
            </w:r>
          </w:p>
        </w:tc>
        <w:tc>
          <w:tcPr>
            <w:tcW w:w="1072" w:type="pct"/>
            <w:vAlign w:val="bottom"/>
          </w:tcPr>
          <w:p w14:paraId="487DB30F" w14:textId="77777777" w:rsidR="00C200C9" w:rsidRPr="007E18B2" w:rsidRDefault="00C200C9" w:rsidP="00C50DC8">
            <w:pPr>
              <w:pStyle w:val="TableText"/>
              <w:jc w:val="center"/>
            </w:pPr>
            <w:r w:rsidRPr="007E18B2">
              <w:t>19.8%</w:t>
            </w:r>
          </w:p>
        </w:tc>
      </w:tr>
      <w:tr w:rsidR="00C200C9" w:rsidRPr="002530A2" w14:paraId="35B42E10" w14:textId="77777777" w:rsidTr="00000678">
        <w:tc>
          <w:tcPr>
            <w:tcW w:w="3928" w:type="pct"/>
            <w:gridSpan w:val="3"/>
            <w:vAlign w:val="center"/>
          </w:tcPr>
          <w:p w14:paraId="74D74962" w14:textId="77777777" w:rsidR="00C200C9" w:rsidRPr="007E18B2" w:rsidRDefault="00C200C9" w:rsidP="00C50DC8">
            <w:pPr>
              <w:pStyle w:val="TableText"/>
              <w:rPr>
                <w:rFonts w:ascii="Times" w:hAnsi="Times"/>
                <w:b/>
                <w:bCs w:val="0"/>
              </w:rPr>
            </w:pPr>
            <w:r w:rsidRPr="007E18B2">
              <w:rPr>
                <w:b/>
                <w:bCs w:val="0"/>
              </w:rPr>
              <w:t>Incremental cost/additional responder</w:t>
            </w:r>
          </w:p>
        </w:tc>
        <w:tc>
          <w:tcPr>
            <w:tcW w:w="1072" w:type="pct"/>
            <w:vAlign w:val="center"/>
          </w:tcPr>
          <w:p w14:paraId="022738A1" w14:textId="79EFD058" w:rsidR="00C200C9" w:rsidRPr="004D3863" w:rsidRDefault="00C200C9" w:rsidP="00C50DC8">
            <w:pPr>
              <w:pStyle w:val="TableText"/>
              <w:jc w:val="center"/>
              <w:rPr>
                <w:rFonts w:ascii="Times" w:hAnsi="Times"/>
                <w:b/>
                <w:bCs w:val="0"/>
                <w:vertAlign w:val="superscript"/>
              </w:rPr>
            </w:pPr>
            <w:r w:rsidRPr="007E18B2">
              <w:rPr>
                <w:b/>
                <w:bCs w:val="0"/>
              </w:rPr>
              <w:t>$</w:t>
            </w:r>
            <w:r w:rsidR="00B9195B" w:rsidRPr="00B9195B">
              <w:rPr>
                <w:b/>
                <w:bCs w:val="0"/>
                <w:color w:val="000000"/>
                <w:shd w:val="solid" w:color="000000" w:fill="000000"/>
                <w14:textFill>
                  <w14:solidFill>
                    <w14:srgbClr w14:val="000000">
                      <w14:alpha w14:val="100000"/>
                    </w14:srgbClr>
                  </w14:solidFill>
                </w14:textFill>
              </w:rPr>
              <w:t>|</w:t>
            </w:r>
          </w:p>
        </w:tc>
      </w:tr>
      <w:tr w:rsidR="00C200C9" w:rsidRPr="002530A2" w14:paraId="556B4D66" w14:textId="77777777" w:rsidTr="00000678">
        <w:trPr>
          <w:trHeight w:val="70"/>
        </w:trPr>
        <w:tc>
          <w:tcPr>
            <w:tcW w:w="3928" w:type="pct"/>
            <w:gridSpan w:val="3"/>
            <w:vAlign w:val="center"/>
          </w:tcPr>
          <w:p w14:paraId="5C57F0C8" w14:textId="77777777" w:rsidR="00C200C9" w:rsidRPr="007E18B2" w:rsidRDefault="00C200C9" w:rsidP="00C50DC8">
            <w:pPr>
              <w:pStyle w:val="TableText"/>
              <w:rPr>
                <w:b/>
                <w:bCs w:val="0"/>
              </w:rPr>
            </w:pPr>
            <w:r w:rsidRPr="007E18B2">
              <w:rPr>
                <w:b/>
                <w:bCs w:val="0"/>
              </w:rPr>
              <w:t>Incremental cost/additional patient in remission</w:t>
            </w:r>
          </w:p>
        </w:tc>
        <w:tc>
          <w:tcPr>
            <w:tcW w:w="1072" w:type="pct"/>
            <w:vAlign w:val="center"/>
          </w:tcPr>
          <w:p w14:paraId="34BD18C0" w14:textId="634EE50B" w:rsidR="00C200C9" w:rsidRPr="007E18B2" w:rsidRDefault="00C200C9" w:rsidP="00C50DC8">
            <w:pPr>
              <w:pStyle w:val="TableText"/>
              <w:jc w:val="center"/>
              <w:rPr>
                <w:b/>
                <w:bCs w:val="0"/>
              </w:rPr>
            </w:pPr>
            <w:r w:rsidRPr="007E18B2">
              <w:rPr>
                <w:b/>
                <w:bCs w:val="0"/>
              </w:rPr>
              <w:t>$</w:t>
            </w:r>
            <w:r w:rsidR="00B9195B" w:rsidRPr="00B9195B">
              <w:rPr>
                <w:b/>
                <w:bCs w:val="0"/>
                <w:color w:val="000000"/>
                <w:shd w:val="solid" w:color="000000" w:fill="000000"/>
                <w14:textFill>
                  <w14:solidFill>
                    <w14:srgbClr w14:val="000000">
                      <w14:alpha w14:val="100000"/>
                    </w14:srgbClr>
                  </w14:solidFill>
                </w14:textFill>
              </w:rPr>
              <w:t>|</w:t>
            </w:r>
          </w:p>
        </w:tc>
      </w:tr>
      <w:tr w:rsidR="00C200C9" w:rsidRPr="002530A2" w14:paraId="5E078C4D" w14:textId="77777777" w:rsidTr="00000678">
        <w:tc>
          <w:tcPr>
            <w:tcW w:w="5000" w:type="pct"/>
            <w:gridSpan w:val="4"/>
            <w:vAlign w:val="center"/>
          </w:tcPr>
          <w:p w14:paraId="10851F1E" w14:textId="7741F43D" w:rsidR="00C200C9" w:rsidRPr="000A238A" w:rsidRDefault="00C200C9" w:rsidP="00C50DC8">
            <w:pPr>
              <w:pStyle w:val="Tableheadingrow"/>
              <w:rPr>
                <w:vertAlign w:val="superscript"/>
                <w:lang w:val="en-AU"/>
              </w:rPr>
            </w:pPr>
            <w:r w:rsidRPr="007E18B2">
              <w:rPr>
                <w:lang w:val="en-AU"/>
              </w:rPr>
              <w:t xml:space="preserve">Step 2a: </w:t>
            </w:r>
            <w:r w:rsidRPr="007E18B2">
              <w:rPr>
                <w:b w:val="0"/>
                <w:bCs/>
                <w:lang w:val="en-AU"/>
              </w:rPr>
              <w:t xml:space="preserve">Modelled induction and maintenance phases over 52 weeks (modelled time spent in response, remission and recovery states based on TRANSFORM-2 and -3, SUSTAIN-1 and STAR*D data; </w:t>
            </w:r>
            <w:proofErr w:type="spellStart"/>
            <w:r w:rsidRPr="007E18B2">
              <w:rPr>
                <w:b w:val="0"/>
                <w:bCs/>
                <w:lang w:val="en-AU"/>
              </w:rPr>
              <w:t>esketamine</w:t>
            </w:r>
            <w:proofErr w:type="spellEnd"/>
            <w:r w:rsidRPr="007E18B2">
              <w:rPr>
                <w:b w:val="0"/>
                <w:bCs/>
                <w:lang w:val="en-AU"/>
              </w:rPr>
              <w:t xml:space="preserve"> and </w:t>
            </w:r>
            <w:r w:rsidR="00C50DC8" w:rsidRPr="007E18B2">
              <w:rPr>
                <w:b w:val="0"/>
                <w:bCs/>
                <w:lang w:val="en-AU"/>
              </w:rPr>
              <w:t>OAD</w:t>
            </w:r>
            <w:r w:rsidRPr="007E18B2">
              <w:rPr>
                <w:b w:val="0"/>
                <w:bCs/>
                <w:lang w:val="en-AU"/>
              </w:rPr>
              <w:t xml:space="preserve"> drug costs; administration costs applied to both arms</w:t>
            </w:r>
            <w:r w:rsidRPr="007E18B2">
              <w:rPr>
                <w:b w:val="0"/>
                <w:bCs/>
                <w:vertAlign w:val="superscript"/>
                <w:lang w:val="en-AU"/>
              </w:rPr>
              <w:t>1,2</w:t>
            </w:r>
          </w:p>
        </w:tc>
      </w:tr>
      <w:tr w:rsidR="00C200C9" w:rsidRPr="002530A2" w14:paraId="15F7D7FF" w14:textId="77777777" w:rsidTr="00000678">
        <w:tc>
          <w:tcPr>
            <w:tcW w:w="1648" w:type="pct"/>
            <w:vAlign w:val="center"/>
          </w:tcPr>
          <w:p w14:paraId="629E4DF9" w14:textId="77777777" w:rsidR="00C200C9" w:rsidRPr="007E18B2" w:rsidRDefault="00C200C9" w:rsidP="00C50DC8">
            <w:pPr>
              <w:pStyle w:val="TableText"/>
              <w:rPr>
                <w:rFonts w:ascii="Times" w:hAnsi="Times"/>
              </w:rPr>
            </w:pPr>
            <w:r w:rsidRPr="007E18B2">
              <w:t>Costs</w:t>
            </w:r>
          </w:p>
        </w:tc>
        <w:tc>
          <w:tcPr>
            <w:tcW w:w="1101" w:type="pct"/>
            <w:tcBorders>
              <w:top w:val="single" w:sz="4" w:space="0" w:color="auto"/>
              <w:left w:val="nil"/>
              <w:bottom w:val="single" w:sz="4" w:space="0" w:color="auto"/>
              <w:right w:val="single" w:sz="4" w:space="0" w:color="auto"/>
            </w:tcBorders>
            <w:shd w:val="clear" w:color="auto" w:fill="auto"/>
            <w:vAlign w:val="bottom"/>
          </w:tcPr>
          <w:p w14:paraId="6E2227CA" w14:textId="4E0FC191" w:rsidR="00C200C9" w:rsidRPr="000A238A" w:rsidRDefault="00C200C9" w:rsidP="00C50DC8">
            <w:pPr>
              <w:pStyle w:val="TableText"/>
              <w:jc w:val="center"/>
            </w:pPr>
            <w:r w:rsidRPr="000A238A">
              <w:t>$</w:t>
            </w:r>
            <w:r w:rsidR="00B9195B" w:rsidRPr="00B9195B">
              <w:rPr>
                <w:color w:val="000000"/>
                <w:shd w:val="solid" w:color="000000" w:fill="000000"/>
                <w14:textFill>
                  <w14:solidFill>
                    <w14:srgbClr w14:val="000000">
                      <w14:alpha w14:val="100000"/>
                    </w14:srgbClr>
                  </w14:solidFill>
                </w14:textFill>
              </w:rPr>
              <w:t>|</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bottom"/>
          </w:tcPr>
          <w:p w14:paraId="2F5D6486" w14:textId="77777777" w:rsidR="00C200C9" w:rsidRPr="000A238A" w:rsidRDefault="00C200C9" w:rsidP="00C50DC8">
            <w:pPr>
              <w:pStyle w:val="TableText"/>
              <w:jc w:val="center"/>
            </w:pPr>
            <w:r w:rsidRPr="000A238A">
              <w:t>$974</w:t>
            </w:r>
          </w:p>
        </w:tc>
        <w:tc>
          <w:tcPr>
            <w:tcW w:w="1072" w:type="pct"/>
            <w:tcBorders>
              <w:top w:val="single" w:sz="4" w:space="0" w:color="auto"/>
              <w:left w:val="single" w:sz="4" w:space="0" w:color="auto"/>
              <w:bottom w:val="single" w:sz="4" w:space="0" w:color="auto"/>
              <w:right w:val="single" w:sz="4" w:space="0" w:color="auto"/>
            </w:tcBorders>
            <w:shd w:val="clear" w:color="auto" w:fill="auto"/>
            <w:vAlign w:val="bottom"/>
          </w:tcPr>
          <w:p w14:paraId="2CE63123" w14:textId="307F766A" w:rsidR="00C200C9" w:rsidRPr="004D3863" w:rsidRDefault="00C200C9" w:rsidP="00C50DC8">
            <w:pPr>
              <w:pStyle w:val="TableText"/>
              <w:jc w:val="center"/>
              <w:rPr>
                <w:highlight w:val="darkGray"/>
              </w:rPr>
            </w:pPr>
            <w:r w:rsidRPr="00C76585">
              <w:t>$</w:t>
            </w:r>
            <w:r w:rsidR="00B9195B" w:rsidRPr="00B9195B">
              <w:rPr>
                <w:color w:val="000000"/>
                <w:shd w:val="solid" w:color="000000" w:fill="000000"/>
                <w14:textFill>
                  <w14:solidFill>
                    <w14:srgbClr w14:val="000000">
                      <w14:alpha w14:val="100000"/>
                    </w14:srgbClr>
                  </w14:solidFill>
                </w14:textFill>
              </w:rPr>
              <w:t>|</w:t>
            </w:r>
          </w:p>
        </w:tc>
      </w:tr>
      <w:tr w:rsidR="00C200C9" w:rsidRPr="002530A2" w14:paraId="24A6738D" w14:textId="77777777" w:rsidTr="00000678">
        <w:trPr>
          <w:trHeight w:val="70"/>
        </w:trPr>
        <w:tc>
          <w:tcPr>
            <w:tcW w:w="1648" w:type="pct"/>
            <w:vAlign w:val="center"/>
          </w:tcPr>
          <w:p w14:paraId="602601AA" w14:textId="77777777" w:rsidR="00C200C9" w:rsidRPr="007E18B2" w:rsidRDefault="00C200C9" w:rsidP="00C50DC8">
            <w:pPr>
              <w:pStyle w:val="TableText"/>
              <w:rPr>
                <w:rFonts w:ascii="Times" w:hAnsi="Times"/>
              </w:rPr>
            </w:pPr>
            <w:r w:rsidRPr="007E18B2">
              <w:t>Years in response, remission, recovery</w:t>
            </w:r>
          </w:p>
        </w:tc>
        <w:tc>
          <w:tcPr>
            <w:tcW w:w="1101" w:type="pct"/>
            <w:vAlign w:val="center"/>
          </w:tcPr>
          <w:p w14:paraId="2D1AC128" w14:textId="77777777" w:rsidR="00C200C9" w:rsidRPr="000A238A" w:rsidRDefault="00C200C9" w:rsidP="00C50DC8">
            <w:pPr>
              <w:pStyle w:val="TableText"/>
              <w:jc w:val="center"/>
            </w:pPr>
            <w:r w:rsidRPr="000A238A">
              <w:t>0.4356</w:t>
            </w:r>
          </w:p>
        </w:tc>
        <w:tc>
          <w:tcPr>
            <w:tcW w:w="1179" w:type="pct"/>
            <w:vAlign w:val="center"/>
          </w:tcPr>
          <w:p w14:paraId="7670F2AB" w14:textId="77777777" w:rsidR="00C200C9" w:rsidRPr="000A238A" w:rsidRDefault="00C200C9" w:rsidP="00C50DC8">
            <w:pPr>
              <w:pStyle w:val="TableText"/>
              <w:jc w:val="center"/>
            </w:pPr>
            <w:r w:rsidRPr="000A238A">
              <w:t>0.2313</w:t>
            </w:r>
          </w:p>
        </w:tc>
        <w:tc>
          <w:tcPr>
            <w:tcW w:w="1072" w:type="pct"/>
            <w:vAlign w:val="center"/>
          </w:tcPr>
          <w:p w14:paraId="661A93D6" w14:textId="77777777" w:rsidR="00C200C9" w:rsidRPr="000A238A" w:rsidRDefault="00C200C9" w:rsidP="00C50DC8">
            <w:pPr>
              <w:pStyle w:val="TableText"/>
              <w:jc w:val="center"/>
            </w:pPr>
            <w:r w:rsidRPr="000A238A">
              <w:t>0.2043</w:t>
            </w:r>
          </w:p>
        </w:tc>
      </w:tr>
      <w:tr w:rsidR="00C200C9" w:rsidRPr="002530A2" w14:paraId="35EA19BA" w14:textId="77777777" w:rsidTr="00000678">
        <w:tc>
          <w:tcPr>
            <w:tcW w:w="3928" w:type="pct"/>
            <w:gridSpan w:val="3"/>
            <w:vAlign w:val="center"/>
          </w:tcPr>
          <w:p w14:paraId="20ABB6E6" w14:textId="77777777" w:rsidR="00C200C9" w:rsidRPr="007E18B2" w:rsidRDefault="00C200C9" w:rsidP="00C50DC8">
            <w:pPr>
              <w:pStyle w:val="TableText"/>
              <w:rPr>
                <w:rFonts w:ascii="Times" w:hAnsi="Times"/>
                <w:b/>
                <w:bCs w:val="0"/>
              </w:rPr>
            </w:pPr>
            <w:r w:rsidRPr="007E18B2">
              <w:rPr>
                <w:b/>
                <w:bCs w:val="0"/>
              </w:rPr>
              <w:t>Incremental cost/MDE-free life year gained</w:t>
            </w:r>
          </w:p>
        </w:tc>
        <w:tc>
          <w:tcPr>
            <w:tcW w:w="1072" w:type="pct"/>
            <w:vAlign w:val="center"/>
          </w:tcPr>
          <w:p w14:paraId="769464C0" w14:textId="3126CEBA" w:rsidR="00C200C9" w:rsidRPr="000A238A" w:rsidRDefault="00C200C9" w:rsidP="00C50DC8">
            <w:pPr>
              <w:pStyle w:val="TableText"/>
              <w:jc w:val="center"/>
              <w:rPr>
                <w:b/>
                <w:bCs w:val="0"/>
              </w:rPr>
            </w:pPr>
            <w:r w:rsidRPr="000A238A">
              <w:rPr>
                <w:b/>
                <w:bCs w:val="0"/>
              </w:rPr>
              <w:t>$</w:t>
            </w:r>
            <w:r w:rsidR="00B9195B" w:rsidRPr="00B9195B">
              <w:rPr>
                <w:b/>
                <w:bCs w:val="0"/>
                <w:color w:val="000000"/>
                <w:shd w:val="solid" w:color="000000" w:fill="000000"/>
                <w14:textFill>
                  <w14:solidFill>
                    <w14:srgbClr w14:val="000000">
                      <w14:alpha w14:val="100000"/>
                    </w14:srgbClr>
                  </w14:solidFill>
                </w14:textFill>
              </w:rPr>
              <w:t>|</w:t>
            </w:r>
            <w:r w:rsidR="00903085">
              <w:rPr>
                <w:b/>
                <w:bCs w:val="0"/>
                <w:vertAlign w:val="superscript"/>
              </w:rPr>
              <w:t>4</w:t>
            </w:r>
          </w:p>
        </w:tc>
      </w:tr>
      <w:tr w:rsidR="00C200C9" w:rsidRPr="002530A2" w14:paraId="5604D3C7" w14:textId="77777777" w:rsidTr="00000678">
        <w:tc>
          <w:tcPr>
            <w:tcW w:w="5000" w:type="pct"/>
            <w:gridSpan w:val="4"/>
            <w:vAlign w:val="center"/>
          </w:tcPr>
          <w:p w14:paraId="70E9D7B3" w14:textId="77777777" w:rsidR="00C200C9" w:rsidRPr="007E18B2" w:rsidRDefault="00C200C9" w:rsidP="00C50DC8">
            <w:pPr>
              <w:pStyle w:val="Tableheadingrow"/>
              <w:rPr>
                <w:lang w:val="en-AU"/>
              </w:rPr>
            </w:pPr>
            <w:r w:rsidRPr="007E18B2">
              <w:rPr>
                <w:lang w:val="en-AU"/>
              </w:rPr>
              <w:t>Step 2b:</w:t>
            </w:r>
            <w:r w:rsidRPr="007E18B2">
              <w:rPr>
                <w:b w:val="0"/>
                <w:bCs/>
                <w:lang w:val="en-AU"/>
              </w:rPr>
              <w:t xml:space="preserve"> As for Step 2b, with treatment discontinuation</w:t>
            </w:r>
          </w:p>
        </w:tc>
      </w:tr>
      <w:tr w:rsidR="00C200C9" w:rsidRPr="002530A2" w14:paraId="3E394264" w14:textId="77777777" w:rsidTr="00000678">
        <w:tc>
          <w:tcPr>
            <w:tcW w:w="1648" w:type="pct"/>
            <w:vAlign w:val="center"/>
          </w:tcPr>
          <w:p w14:paraId="123D6CE9" w14:textId="77777777" w:rsidR="00C200C9" w:rsidRPr="007E18B2" w:rsidRDefault="00C200C9" w:rsidP="00C50DC8">
            <w:pPr>
              <w:pStyle w:val="Tableheadingrow"/>
              <w:rPr>
                <w:b w:val="0"/>
                <w:bCs/>
                <w:lang w:val="en-AU"/>
              </w:rPr>
            </w:pPr>
            <w:r w:rsidRPr="007E18B2">
              <w:rPr>
                <w:b w:val="0"/>
                <w:bCs/>
                <w:lang w:val="en-AU"/>
              </w:rPr>
              <w:t>Costs</w:t>
            </w:r>
          </w:p>
        </w:tc>
        <w:tc>
          <w:tcPr>
            <w:tcW w:w="1101" w:type="pct"/>
            <w:vAlign w:val="center"/>
          </w:tcPr>
          <w:p w14:paraId="5987E489" w14:textId="1F36586A" w:rsidR="00C200C9" w:rsidRPr="000A238A" w:rsidRDefault="00C200C9" w:rsidP="00C50DC8">
            <w:pPr>
              <w:pStyle w:val="Tableheadingrow"/>
              <w:jc w:val="center"/>
              <w:rPr>
                <w:b w:val="0"/>
                <w:bCs/>
                <w:lang w:val="en-AU"/>
              </w:rPr>
            </w:pPr>
            <w:r w:rsidRPr="000A238A">
              <w:rPr>
                <w:b w:val="0"/>
                <w:bCs/>
                <w:lang w:val="en-AU"/>
              </w:rPr>
              <w:t>$</w:t>
            </w:r>
            <w:r w:rsidR="00B9195B" w:rsidRPr="00B9195B">
              <w:rPr>
                <w:b w:val="0"/>
                <w:bCs/>
                <w:color w:val="000000"/>
                <w:shd w:val="solid" w:color="000000" w:fill="000000"/>
                <w:lang w:val="en-AU"/>
                <w14:textFill>
                  <w14:solidFill>
                    <w14:srgbClr w14:val="000000">
                      <w14:alpha w14:val="100000"/>
                    </w14:srgbClr>
                  </w14:solidFill>
                </w14:textFill>
              </w:rPr>
              <w:t>|</w:t>
            </w:r>
          </w:p>
        </w:tc>
        <w:tc>
          <w:tcPr>
            <w:tcW w:w="1179" w:type="pct"/>
            <w:vAlign w:val="center"/>
          </w:tcPr>
          <w:p w14:paraId="4D5736F5" w14:textId="77777777" w:rsidR="00C200C9" w:rsidRPr="000A238A" w:rsidRDefault="00C200C9" w:rsidP="00C50DC8">
            <w:pPr>
              <w:pStyle w:val="Tableheadingrow"/>
              <w:jc w:val="center"/>
              <w:rPr>
                <w:b w:val="0"/>
                <w:bCs/>
                <w:lang w:val="en-AU"/>
              </w:rPr>
            </w:pPr>
            <w:r w:rsidRPr="000A238A">
              <w:rPr>
                <w:b w:val="0"/>
                <w:bCs/>
                <w:lang w:val="en-AU"/>
              </w:rPr>
              <w:t>$949</w:t>
            </w:r>
          </w:p>
        </w:tc>
        <w:tc>
          <w:tcPr>
            <w:tcW w:w="1072" w:type="pct"/>
            <w:vAlign w:val="center"/>
          </w:tcPr>
          <w:p w14:paraId="25E43105" w14:textId="4AC521A8" w:rsidR="00C200C9" w:rsidRPr="000A238A" w:rsidRDefault="00C200C9" w:rsidP="00C50DC8">
            <w:pPr>
              <w:pStyle w:val="Tableheadingrow"/>
              <w:jc w:val="center"/>
              <w:rPr>
                <w:b w:val="0"/>
                <w:bCs/>
                <w:lang w:val="en-AU"/>
              </w:rPr>
            </w:pPr>
            <w:r w:rsidRPr="000A238A">
              <w:rPr>
                <w:b w:val="0"/>
                <w:bCs/>
                <w:lang w:val="en-AU"/>
              </w:rPr>
              <w:t>$</w:t>
            </w:r>
            <w:r w:rsidR="00B9195B" w:rsidRPr="00B9195B">
              <w:rPr>
                <w:b w:val="0"/>
                <w:bCs/>
                <w:color w:val="000000"/>
                <w:shd w:val="solid" w:color="000000" w:fill="000000"/>
                <w:lang w:val="en-AU"/>
                <w14:textFill>
                  <w14:solidFill>
                    <w14:srgbClr w14:val="000000">
                      <w14:alpha w14:val="100000"/>
                    </w14:srgbClr>
                  </w14:solidFill>
                </w14:textFill>
              </w:rPr>
              <w:t>|</w:t>
            </w:r>
          </w:p>
        </w:tc>
      </w:tr>
      <w:tr w:rsidR="00C200C9" w:rsidRPr="002530A2" w14:paraId="2CBCDFD2" w14:textId="77777777" w:rsidTr="00000678">
        <w:tc>
          <w:tcPr>
            <w:tcW w:w="1648" w:type="pct"/>
            <w:vAlign w:val="center"/>
          </w:tcPr>
          <w:p w14:paraId="35B4CB4C" w14:textId="77777777" w:rsidR="00C200C9" w:rsidRPr="007E18B2" w:rsidRDefault="00C200C9" w:rsidP="00C50DC8">
            <w:pPr>
              <w:pStyle w:val="Tableheadingrow"/>
              <w:rPr>
                <w:b w:val="0"/>
                <w:bCs/>
                <w:lang w:val="en-AU"/>
              </w:rPr>
            </w:pPr>
            <w:r w:rsidRPr="007E18B2">
              <w:rPr>
                <w:b w:val="0"/>
                <w:bCs/>
                <w:lang w:val="en-AU"/>
              </w:rPr>
              <w:t>Years in response, remission, recovery</w:t>
            </w:r>
          </w:p>
        </w:tc>
        <w:tc>
          <w:tcPr>
            <w:tcW w:w="1101" w:type="pct"/>
            <w:vAlign w:val="center"/>
          </w:tcPr>
          <w:p w14:paraId="73E7FBB2" w14:textId="77777777" w:rsidR="00C200C9" w:rsidRPr="007E18B2" w:rsidRDefault="00C200C9" w:rsidP="00C50DC8">
            <w:pPr>
              <w:pStyle w:val="Tableheadingrow"/>
              <w:jc w:val="center"/>
              <w:rPr>
                <w:b w:val="0"/>
                <w:bCs/>
                <w:lang w:val="en-AU"/>
              </w:rPr>
            </w:pPr>
            <w:r w:rsidRPr="000A238A">
              <w:rPr>
                <w:b w:val="0"/>
                <w:lang w:val="en-AU"/>
              </w:rPr>
              <w:t>0.4356</w:t>
            </w:r>
          </w:p>
        </w:tc>
        <w:tc>
          <w:tcPr>
            <w:tcW w:w="1179" w:type="pct"/>
            <w:vAlign w:val="center"/>
          </w:tcPr>
          <w:p w14:paraId="25AFDABF" w14:textId="77777777" w:rsidR="00C200C9" w:rsidRPr="007E18B2" w:rsidRDefault="00C200C9" w:rsidP="00C50DC8">
            <w:pPr>
              <w:pStyle w:val="Tableheadingrow"/>
              <w:jc w:val="center"/>
              <w:rPr>
                <w:b w:val="0"/>
                <w:bCs/>
                <w:lang w:val="en-AU"/>
              </w:rPr>
            </w:pPr>
            <w:r w:rsidRPr="000A238A">
              <w:rPr>
                <w:b w:val="0"/>
                <w:lang w:val="en-AU"/>
              </w:rPr>
              <w:t>0.2313</w:t>
            </w:r>
          </w:p>
        </w:tc>
        <w:tc>
          <w:tcPr>
            <w:tcW w:w="1072" w:type="pct"/>
            <w:vAlign w:val="center"/>
          </w:tcPr>
          <w:p w14:paraId="66678742" w14:textId="77777777" w:rsidR="00C200C9" w:rsidRPr="007E18B2" w:rsidRDefault="00C200C9" w:rsidP="00C50DC8">
            <w:pPr>
              <w:pStyle w:val="Tableheadingrow"/>
              <w:jc w:val="center"/>
              <w:rPr>
                <w:b w:val="0"/>
                <w:bCs/>
                <w:lang w:val="en-AU"/>
              </w:rPr>
            </w:pPr>
            <w:r w:rsidRPr="000A238A">
              <w:rPr>
                <w:b w:val="0"/>
                <w:lang w:val="en-AU"/>
              </w:rPr>
              <w:t>0.2043</w:t>
            </w:r>
          </w:p>
        </w:tc>
      </w:tr>
      <w:tr w:rsidR="00C200C9" w:rsidRPr="002530A2" w14:paraId="77879DEE" w14:textId="77777777" w:rsidTr="00000678">
        <w:tc>
          <w:tcPr>
            <w:tcW w:w="3928" w:type="pct"/>
            <w:gridSpan w:val="3"/>
            <w:vAlign w:val="center"/>
          </w:tcPr>
          <w:p w14:paraId="64E343E5" w14:textId="77777777" w:rsidR="00C200C9" w:rsidRPr="007E18B2" w:rsidRDefault="00C200C9" w:rsidP="00C50DC8">
            <w:pPr>
              <w:pStyle w:val="Tableheadingrow"/>
              <w:rPr>
                <w:lang w:val="en-AU"/>
              </w:rPr>
            </w:pPr>
            <w:r w:rsidRPr="007E18B2">
              <w:rPr>
                <w:lang w:val="en-AU"/>
              </w:rPr>
              <w:t>Incremental cost/MDE-free life year gained</w:t>
            </w:r>
          </w:p>
        </w:tc>
        <w:tc>
          <w:tcPr>
            <w:tcW w:w="1072" w:type="pct"/>
            <w:vAlign w:val="center"/>
          </w:tcPr>
          <w:p w14:paraId="7DB08267" w14:textId="7C79AB5C" w:rsidR="00C200C9" w:rsidRPr="000A238A" w:rsidRDefault="00C200C9" w:rsidP="00C50DC8">
            <w:pPr>
              <w:pStyle w:val="Tableheadingrow"/>
              <w:jc w:val="center"/>
              <w:rPr>
                <w:lang w:val="en-AU"/>
              </w:rPr>
            </w:pPr>
            <w:r w:rsidRPr="000A238A">
              <w:rPr>
                <w:lang w:val="en-AU"/>
              </w:rPr>
              <w:t>$</w:t>
            </w:r>
            <w:r w:rsidR="00B9195B" w:rsidRPr="00B9195B">
              <w:rPr>
                <w:color w:val="000000"/>
                <w:shd w:val="solid" w:color="000000" w:fill="000000"/>
                <w:lang w:val="en-AU"/>
                <w14:textFill>
                  <w14:solidFill>
                    <w14:srgbClr w14:val="000000">
                      <w14:alpha w14:val="100000"/>
                    </w14:srgbClr>
                  </w14:solidFill>
                </w14:textFill>
              </w:rPr>
              <w:t>|</w:t>
            </w:r>
            <w:r w:rsidR="00903085">
              <w:rPr>
                <w:b w:val="0"/>
                <w:bCs/>
                <w:vertAlign w:val="superscript"/>
              </w:rPr>
              <w:t>4</w:t>
            </w:r>
          </w:p>
        </w:tc>
      </w:tr>
      <w:tr w:rsidR="00C200C9" w:rsidRPr="002530A2" w14:paraId="4D4E76B7" w14:textId="77777777" w:rsidTr="00000678">
        <w:tc>
          <w:tcPr>
            <w:tcW w:w="5000" w:type="pct"/>
            <w:gridSpan w:val="4"/>
            <w:vAlign w:val="center"/>
          </w:tcPr>
          <w:p w14:paraId="28C29EAF" w14:textId="77777777" w:rsidR="00C200C9" w:rsidRPr="007E18B2" w:rsidRDefault="00C200C9" w:rsidP="00C50DC8">
            <w:pPr>
              <w:pStyle w:val="Tableheadingrow"/>
              <w:rPr>
                <w:lang w:val="en-AU"/>
              </w:rPr>
            </w:pPr>
            <w:r w:rsidRPr="007E18B2">
              <w:rPr>
                <w:lang w:val="en-AU"/>
              </w:rPr>
              <w:t>Step 2c:</w:t>
            </w:r>
            <w:r w:rsidRPr="007E18B2">
              <w:rPr>
                <w:b w:val="0"/>
                <w:bCs/>
                <w:lang w:val="en-AU"/>
              </w:rPr>
              <w:t xml:space="preserve"> As for Step 2c, with subsequent treatment costs and consequences included (based on STAR*D study)</w:t>
            </w:r>
          </w:p>
        </w:tc>
      </w:tr>
      <w:tr w:rsidR="00C200C9" w:rsidRPr="002530A2" w14:paraId="51D6CB81" w14:textId="77777777" w:rsidTr="00000678">
        <w:tc>
          <w:tcPr>
            <w:tcW w:w="1648" w:type="pct"/>
            <w:vAlign w:val="center"/>
          </w:tcPr>
          <w:p w14:paraId="562D2DD6" w14:textId="77777777" w:rsidR="00C200C9" w:rsidRPr="0079557C" w:rsidRDefault="00C200C9" w:rsidP="00C50DC8">
            <w:pPr>
              <w:pStyle w:val="Tableheadingrow"/>
              <w:rPr>
                <w:vertAlign w:val="superscript"/>
                <w:lang w:val="en-AU"/>
              </w:rPr>
            </w:pPr>
            <w:r w:rsidRPr="002530A2">
              <w:rPr>
                <w:b w:val="0"/>
                <w:bCs/>
                <w:lang w:val="en-AU"/>
              </w:rPr>
              <w:t>Costs</w:t>
            </w:r>
            <w:r>
              <w:rPr>
                <w:b w:val="0"/>
                <w:bCs/>
                <w:vertAlign w:val="superscript"/>
                <w:lang w:val="en-AU"/>
              </w:rPr>
              <w:t>3</w:t>
            </w:r>
          </w:p>
        </w:tc>
        <w:tc>
          <w:tcPr>
            <w:tcW w:w="1101" w:type="pct"/>
            <w:vAlign w:val="center"/>
          </w:tcPr>
          <w:p w14:paraId="1E443F0A" w14:textId="0B0B1446" w:rsidR="00C200C9" w:rsidRPr="000A238A" w:rsidRDefault="00C200C9" w:rsidP="00C50DC8">
            <w:pPr>
              <w:pStyle w:val="Tableheadingrow"/>
              <w:jc w:val="center"/>
              <w:rPr>
                <w:b w:val="0"/>
                <w:bCs/>
                <w:lang w:val="en-AU"/>
              </w:rPr>
            </w:pPr>
            <w:r w:rsidRPr="000A238A">
              <w:rPr>
                <w:b w:val="0"/>
                <w:bCs/>
                <w:lang w:val="en-AU"/>
              </w:rPr>
              <w:t>$</w:t>
            </w:r>
            <w:r w:rsidR="00B9195B" w:rsidRPr="00B9195B">
              <w:rPr>
                <w:b w:val="0"/>
                <w:bCs/>
                <w:color w:val="000000"/>
                <w:shd w:val="solid" w:color="000000" w:fill="000000"/>
                <w:lang w:val="en-AU"/>
                <w14:textFill>
                  <w14:solidFill>
                    <w14:srgbClr w14:val="000000">
                      <w14:alpha w14:val="100000"/>
                    </w14:srgbClr>
                  </w14:solidFill>
                </w14:textFill>
              </w:rPr>
              <w:t>|</w:t>
            </w:r>
          </w:p>
        </w:tc>
        <w:tc>
          <w:tcPr>
            <w:tcW w:w="1179" w:type="pct"/>
            <w:vAlign w:val="center"/>
          </w:tcPr>
          <w:p w14:paraId="3B33235F" w14:textId="77777777" w:rsidR="00C200C9" w:rsidRPr="007E18B2" w:rsidRDefault="00C200C9" w:rsidP="00C50DC8">
            <w:pPr>
              <w:pStyle w:val="Tableheadingrow"/>
              <w:jc w:val="center"/>
              <w:rPr>
                <w:b w:val="0"/>
                <w:bCs/>
                <w:lang w:val="en-AU"/>
              </w:rPr>
            </w:pPr>
            <w:r w:rsidRPr="000A238A">
              <w:rPr>
                <w:b w:val="0"/>
                <w:bCs/>
                <w:lang w:val="en-AU"/>
              </w:rPr>
              <w:t>$949</w:t>
            </w:r>
          </w:p>
        </w:tc>
        <w:tc>
          <w:tcPr>
            <w:tcW w:w="1072" w:type="pct"/>
            <w:vAlign w:val="center"/>
          </w:tcPr>
          <w:p w14:paraId="33E0CAF4" w14:textId="4294EFE0" w:rsidR="00C200C9" w:rsidRPr="000A238A" w:rsidRDefault="00C200C9" w:rsidP="00C50DC8">
            <w:pPr>
              <w:pStyle w:val="Tableheadingrow"/>
              <w:jc w:val="center"/>
              <w:rPr>
                <w:b w:val="0"/>
                <w:bCs/>
                <w:lang w:val="en-AU"/>
              </w:rPr>
            </w:pPr>
            <w:r w:rsidRPr="000A238A">
              <w:rPr>
                <w:b w:val="0"/>
                <w:bCs/>
                <w:lang w:val="en-AU"/>
              </w:rPr>
              <w:t>$</w:t>
            </w:r>
            <w:r w:rsidR="00B9195B" w:rsidRPr="00B9195B">
              <w:rPr>
                <w:b w:val="0"/>
                <w:bCs/>
                <w:color w:val="000000"/>
                <w:shd w:val="solid" w:color="000000" w:fill="000000"/>
                <w:lang w:val="en-AU"/>
                <w14:textFill>
                  <w14:solidFill>
                    <w14:srgbClr w14:val="000000">
                      <w14:alpha w14:val="100000"/>
                    </w14:srgbClr>
                  </w14:solidFill>
                </w14:textFill>
              </w:rPr>
              <w:t>|</w:t>
            </w:r>
          </w:p>
        </w:tc>
      </w:tr>
      <w:tr w:rsidR="00C200C9" w:rsidRPr="002530A2" w14:paraId="68CA3117" w14:textId="77777777" w:rsidTr="00000678">
        <w:tc>
          <w:tcPr>
            <w:tcW w:w="1648" w:type="pct"/>
            <w:vAlign w:val="center"/>
          </w:tcPr>
          <w:p w14:paraId="3849FE0A" w14:textId="77777777" w:rsidR="00C200C9" w:rsidRPr="002530A2" w:rsidRDefault="00C200C9" w:rsidP="00C50DC8">
            <w:pPr>
              <w:pStyle w:val="Tableheadingrow"/>
              <w:rPr>
                <w:lang w:val="en-AU"/>
              </w:rPr>
            </w:pPr>
            <w:r w:rsidRPr="002530A2">
              <w:rPr>
                <w:b w:val="0"/>
                <w:bCs/>
                <w:lang w:val="en-AU"/>
              </w:rPr>
              <w:t>Years in response, remission, recovery</w:t>
            </w:r>
          </w:p>
        </w:tc>
        <w:tc>
          <w:tcPr>
            <w:tcW w:w="1101" w:type="pct"/>
            <w:vAlign w:val="center"/>
          </w:tcPr>
          <w:p w14:paraId="09A387E0" w14:textId="77777777" w:rsidR="00C200C9" w:rsidRPr="000A238A" w:rsidRDefault="00C200C9" w:rsidP="00C50DC8">
            <w:pPr>
              <w:pStyle w:val="Tableheadingrow"/>
              <w:jc w:val="center"/>
              <w:rPr>
                <w:b w:val="0"/>
                <w:bCs/>
                <w:lang w:val="en-AU"/>
              </w:rPr>
            </w:pPr>
            <w:r w:rsidRPr="000A238A">
              <w:rPr>
                <w:b w:val="0"/>
                <w:bCs/>
                <w:lang w:val="en-AU"/>
              </w:rPr>
              <w:t>0.5137</w:t>
            </w:r>
          </w:p>
        </w:tc>
        <w:tc>
          <w:tcPr>
            <w:tcW w:w="1179" w:type="pct"/>
            <w:vAlign w:val="center"/>
          </w:tcPr>
          <w:p w14:paraId="61A03F5D" w14:textId="77777777" w:rsidR="00C200C9" w:rsidRPr="000A238A" w:rsidRDefault="00C200C9" w:rsidP="00C50DC8">
            <w:pPr>
              <w:pStyle w:val="Tableheadingrow"/>
              <w:jc w:val="center"/>
              <w:rPr>
                <w:b w:val="0"/>
                <w:bCs/>
                <w:lang w:val="en-AU"/>
              </w:rPr>
            </w:pPr>
            <w:r w:rsidRPr="000A238A">
              <w:rPr>
                <w:b w:val="0"/>
                <w:bCs/>
                <w:lang w:val="en-AU"/>
              </w:rPr>
              <w:t>0.3444</w:t>
            </w:r>
          </w:p>
        </w:tc>
        <w:tc>
          <w:tcPr>
            <w:tcW w:w="1072" w:type="pct"/>
            <w:vAlign w:val="center"/>
          </w:tcPr>
          <w:p w14:paraId="5BABCC51" w14:textId="77777777" w:rsidR="00C200C9" w:rsidRPr="000A238A" w:rsidRDefault="00C200C9" w:rsidP="00C50DC8">
            <w:pPr>
              <w:pStyle w:val="Tableheadingrow"/>
              <w:jc w:val="center"/>
              <w:rPr>
                <w:b w:val="0"/>
                <w:bCs/>
                <w:lang w:val="en-AU"/>
              </w:rPr>
            </w:pPr>
            <w:r w:rsidRPr="000A238A">
              <w:rPr>
                <w:b w:val="0"/>
                <w:bCs/>
                <w:lang w:val="en-AU"/>
              </w:rPr>
              <w:t>0.1693</w:t>
            </w:r>
          </w:p>
        </w:tc>
      </w:tr>
      <w:tr w:rsidR="00C200C9" w:rsidRPr="002530A2" w14:paraId="61B47A68" w14:textId="77777777" w:rsidTr="00000678">
        <w:tc>
          <w:tcPr>
            <w:tcW w:w="3928" w:type="pct"/>
            <w:gridSpan w:val="3"/>
            <w:vAlign w:val="center"/>
          </w:tcPr>
          <w:p w14:paraId="2FCA2E40" w14:textId="77777777" w:rsidR="00C200C9" w:rsidRPr="007E18B2" w:rsidRDefault="00C200C9" w:rsidP="00C50DC8">
            <w:pPr>
              <w:pStyle w:val="Tableheadingrow"/>
              <w:rPr>
                <w:lang w:val="en-AU"/>
              </w:rPr>
            </w:pPr>
            <w:r w:rsidRPr="007E18B2">
              <w:rPr>
                <w:lang w:val="en-AU"/>
              </w:rPr>
              <w:t>Incremental cost/MDE-free life year gained</w:t>
            </w:r>
          </w:p>
        </w:tc>
        <w:tc>
          <w:tcPr>
            <w:tcW w:w="1072" w:type="pct"/>
            <w:vAlign w:val="center"/>
          </w:tcPr>
          <w:p w14:paraId="7A5D207E" w14:textId="7B19F864" w:rsidR="00C200C9" w:rsidRPr="000A238A" w:rsidRDefault="00C200C9" w:rsidP="00C50DC8">
            <w:pPr>
              <w:pStyle w:val="Tableheadingrow"/>
              <w:jc w:val="center"/>
              <w:rPr>
                <w:lang w:val="en-AU"/>
              </w:rPr>
            </w:pPr>
            <w:r w:rsidRPr="000A238A">
              <w:rPr>
                <w:lang w:val="en-AU"/>
              </w:rPr>
              <w:t>$</w:t>
            </w:r>
            <w:r w:rsidR="00B9195B" w:rsidRPr="00B9195B">
              <w:rPr>
                <w:color w:val="000000"/>
                <w:shd w:val="solid" w:color="000000" w:fill="000000"/>
                <w:lang w:val="en-AU"/>
                <w14:textFill>
                  <w14:solidFill>
                    <w14:srgbClr w14:val="000000">
                      <w14:alpha w14:val="100000"/>
                    </w14:srgbClr>
                  </w14:solidFill>
                </w14:textFill>
              </w:rPr>
              <w:t>|</w:t>
            </w:r>
            <w:r w:rsidR="00903085">
              <w:rPr>
                <w:b w:val="0"/>
                <w:bCs/>
                <w:vertAlign w:val="superscript"/>
              </w:rPr>
              <w:t>5</w:t>
            </w:r>
          </w:p>
        </w:tc>
      </w:tr>
      <w:tr w:rsidR="00C200C9" w:rsidRPr="002530A2" w14:paraId="2A4824F3" w14:textId="77777777" w:rsidTr="00000678">
        <w:tc>
          <w:tcPr>
            <w:tcW w:w="5000" w:type="pct"/>
            <w:gridSpan w:val="4"/>
            <w:vAlign w:val="center"/>
          </w:tcPr>
          <w:p w14:paraId="63C8D2B4" w14:textId="77777777" w:rsidR="00C200C9" w:rsidRPr="007E18B2" w:rsidRDefault="00C200C9" w:rsidP="00C50DC8">
            <w:pPr>
              <w:pStyle w:val="Tableheadingrow"/>
              <w:rPr>
                <w:lang w:val="en-AU"/>
              </w:rPr>
            </w:pPr>
            <w:r w:rsidRPr="007E18B2">
              <w:rPr>
                <w:lang w:val="en-AU"/>
              </w:rPr>
              <w:t>Step 2d:</w:t>
            </w:r>
            <w:r w:rsidRPr="007E18B2">
              <w:rPr>
                <w:b w:val="0"/>
                <w:bCs/>
                <w:lang w:val="en-AU"/>
              </w:rPr>
              <w:t xml:space="preserve"> as for Step 2d, with health care resource use included (primary care, specialist and ED visits and hospitalisation days)</w:t>
            </w:r>
          </w:p>
        </w:tc>
      </w:tr>
      <w:tr w:rsidR="00C200C9" w:rsidRPr="002530A2" w14:paraId="71D543FD" w14:textId="77777777" w:rsidTr="00000678">
        <w:trPr>
          <w:trHeight w:val="145"/>
        </w:trPr>
        <w:tc>
          <w:tcPr>
            <w:tcW w:w="1648" w:type="pct"/>
            <w:vAlign w:val="center"/>
          </w:tcPr>
          <w:p w14:paraId="2CBE44C9" w14:textId="77777777" w:rsidR="00C200C9" w:rsidRPr="002530A2" w:rsidRDefault="00C200C9" w:rsidP="00C50DC8">
            <w:pPr>
              <w:pStyle w:val="Tableheadingrow"/>
              <w:rPr>
                <w:b w:val="0"/>
                <w:bCs/>
                <w:lang w:val="en-AU"/>
              </w:rPr>
            </w:pPr>
            <w:r w:rsidRPr="002530A2">
              <w:rPr>
                <w:b w:val="0"/>
                <w:bCs/>
                <w:lang w:val="en-AU"/>
              </w:rPr>
              <w:t>Costs</w:t>
            </w:r>
          </w:p>
        </w:tc>
        <w:tc>
          <w:tcPr>
            <w:tcW w:w="1101" w:type="pct"/>
            <w:vAlign w:val="center"/>
          </w:tcPr>
          <w:p w14:paraId="1A61A9F0" w14:textId="05199192" w:rsidR="00C200C9" w:rsidRPr="000A238A" w:rsidRDefault="00C200C9" w:rsidP="00C50DC8">
            <w:pPr>
              <w:pStyle w:val="Tableheadingrow"/>
              <w:jc w:val="center"/>
              <w:rPr>
                <w:b w:val="0"/>
                <w:bCs/>
                <w:lang w:val="en-AU"/>
              </w:rPr>
            </w:pPr>
            <w:r w:rsidRPr="000A238A">
              <w:rPr>
                <w:b w:val="0"/>
                <w:bCs/>
                <w:lang w:val="en-AU"/>
              </w:rPr>
              <w:t>$</w:t>
            </w:r>
            <w:r w:rsidR="00B9195B" w:rsidRPr="00B9195B">
              <w:rPr>
                <w:b w:val="0"/>
                <w:bCs/>
                <w:color w:val="000000"/>
                <w:shd w:val="solid" w:color="000000" w:fill="000000"/>
                <w:lang w:val="en-AU"/>
                <w14:textFill>
                  <w14:solidFill>
                    <w14:srgbClr w14:val="000000">
                      <w14:alpha w14:val="100000"/>
                    </w14:srgbClr>
                  </w14:solidFill>
                </w14:textFill>
              </w:rPr>
              <w:t>|</w:t>
            </w:r>
          </w:p>
        </w:tc>
        <w:tc>
          <w:tcPr>
            <w:tcW w:w="1179" w:type="pct"/>
            <w:vAlign w:val="center"/>
          </w:tcPr>
          <w:p w14:paraId="2FC12AA4" w14:textId="77777777" w:rsidR="00C200C9" w:rsidRPr="000A238A" w:rsidRDefault="00C200C9" w:rsidP="00C50DC8">
            <w:pPr>
              <w:pStyle w:val="Tableheadingrow"/>
              <w:jc w:val="center"/>
              <w:rPr>
                <w:b w:val="0"/>
                <w:bCs/>
                <w:lang w:val="en-AU"/>
              </w:rPr>
            </w:pPr>
            <w:r w:rsidRPr="000A238A">
              <w:rPr>
                <w:b w:val="0"/>
                <w:bCs/>
                <w:lang w:val="en-AU"/>
              </w:rPr>
              <w:t>$23,366</w:t>
            </w:r>
          </w:p>
        </w:tc>
        <w:tc>
          <w:tcPr>
            <w:tcW w:w="1072" w:type="pct"/>
            <w:vAlign w:val="center"/>
          </w:tcPr>
          <w:p w14:paraId="208D8FE0" w14:textId="5EBF20F6" w:rsidR="00C200C9" w:rsidRPr="000A238A" w:rsidRDefault="00C200C9" w:rsidP="00C50DC8">
            <w:pPr>
              <w:pStyle w:val="Tableheadingrow"/>
              <w:jc w:val="center"/>
              <w:rPr>
                <w:b w:val="0"/>
                <w:bCs/>
                <w:lang w:val="en-AU"/>
              </w:rPr>
            </w:pPr>
            <w:r w:rsidRPr="000A238A">
              <w:rPr>
                <w:b w:val="0"/>
                <w:bCs/>
                <w:lang w:val="en-AU"/>
              </w:rPr>
              <w:t>$</w:t>
            </w:r>
            <w:r w:rsidR="00B9195B" w:rsidRPr="00B9195B">
              <w:rPr>
                <w:b w:val="0"/>
                <w:bCs/>
                <w:color w:val="000000"/>
                <w:shd w:val="solid" w:color="000000" w:fill="000000"/>
                <w:lang w:val="en-AU"/>
                <w14:textFill>
                  <w14:solidFill>
                    <w14:srgbClr w14:val="000000">
                      <w14:alpha w14:val="100000"/>
                    </w14:srgbClr>
                  </w14:solidFill>
                </w14:textFill>
              </w:rPr>
              <w:t>|</w:t>
            </w:r>
          </w:p>
        </w:tc>
      </w:tr>
      <w:tr w:rsidR="00C200C9" w:rsidRPr="002530A2" w14:paraId="75A718BE" w14:textId="77777777" w:rsidTr="00000678">
        <w:tc>
          <w:tcPr>
            <w:tcW w:w="1648" w:type="pct"/>
            <w:vAlign w:val="center"/>
          </w:tcPr>
          <w:p w14:paraId="1D9E22EB" w14:textId="77777777" w:rsidR="00C200C9" w:rsidRPr="002530A2" w:rsidRDefault="00C200C9" w:rsidP="00C50DC8">
            <w:pPr>
              <w:pStyle w:val="Tableheadingrow"/>
              <w:rPr>
                <w:lang w:val="en-AU"/>
              </w:rPr>
            </w:pPr>
            <w:r w:rsidRPr="002530A2">
              <w:rPr>
                <w:b w:val="0"/>
                <w:bCs/>
                <w:lang w:val="en-AU"/>
              </w:rPr>
              <w:t>Years in response, remission, recovery</w:t>
            </w:r>
          </w:p>
        </w:tc>
        <w:tc>
          <w:tcPr>
            <w:tcW w:w="1101" w:type="pct"/>
            <w:vAlign w:val="center"/>
          </w:tcPr>
          <w:p w14:paraId="56AE5B53" w14:textId="77777777" w:rsidR="00C200C9" w:rsidRPr="007E18B2" w:rsidRDefault="00C200C9" w:rsidP="00C50DC8">
            <w:pPr>
              <w:pStyle w:val="Tableheadingrow"/>
              <w:jc w:val="center"/>
              <w:rPr>
                <w:lang w:val="en-AU"/>
              </w:rPr>
            </w:pPr>
            <w:r w:rsidRPr="000A238A">
              <w:rPr>
                <w:b w:val="0"/>
                <w:bCs/>
                <w:lang w:val="en-AU"/>
              </w:rPr>
              <w:t>0.5137</w:t>
            </w:r>
          </w:p>
        </w:tc>
        <w:tc>
          <w:tcPr>
            <w:tcW w:w="1179" w:type="pct"/>
            <w:vAlign w:val="center"/>
          </w:tcPr>
          <w:p w14:paraId="79F263B4" w14:textId="77777777" w:rsidR="00C200C9" w:rsidRPr="007E18B2" w:rsidRDefault="00C200C9" w:rsidP="00C50DC8">
            <w:pPr>
              <w:pStyle w:val="Tableheadingrow"/>
              <w:jc w:val="center"/>
              <w:rPr>
                <w:lang w:val="en-AU"/>
              </w:rPr>
            </w:pPr>
            <w:r w:rsidRPr="000A238A">
              <w:rPr>
                <w:b w:val="0"/>
                <w:bCs/>
                <w:lang w:val="en-AU"/>
              </w:rPr>
              <w:t>0.3444</w:t>
            </w:r>
          </w:p>
        </w:tc>
        <w:tc>
          <w:tcPr>
            <w:tcW w:w="1072" w:type="pct"/>
            <w:vAlign w:val="center"/>
          </w:tcPr>
          <w:p w14:paraId="62E7E773" w14:textId="77777777" w:rsidR="00C200C9" w:rsidRPr="007E18B2" w:rsidRDefault="00C200C9" w:rsidP="00C50DC8">
            <w:pPr>
              <w:pStyle w:val="Tableheadingrow"/>
              <w:jc w:val="center"/>
              <w:rPr>
                <w:lang w:val="en-AU"/>
              </w:rPr>
            </w:pPr>
            <w:r w:rsidRPr="000A238A">
              <w:rPr>
                <w:b w:val="0"/>
                <w:bCs/>
                <w:lang w:val="en-AU"/>
              </w:rPr>
              <w:t>0.1693</w:t>
            </w:r>
          </w:p>
        </w:tc>
      </w:tr>
      <w:tr w:rsidR="00C200C9" w:rsidRPr="002530A2" w14:paraId="2B228FFA" w14:textId="77777777" w:rsidTr="00000678">
        <w:tc>
          <w:tcPr>
            <w:tcW w:w="3928" w:type="pct"/>
            <w:gridSpan w:val="3"/>
            <w:vAlign w:val="center"/>
          </w:tcPr>
          <w:p w14:paraId="266D156E" w14:textId="77777777" w:rsidR="00C200C9" w:rsidRPr="007E18B2" w:rsidRDefault="00C200C9" w:rsidP="00C50DC8">
            <w:pPr>
              <w:pStyle w:val="Tableheadingrow"/>
              <w:rPr>
                <w:lang w:val="en-AU"/>
              </w:rPr>
            </w:pPr>
            <w:r w:rsidRPr="007E18B2">
              <w:rPr>
                <w:lang w:val="en-AU"/>
              </w:rPr>
              <w:t>Incremental cost/MDE-free life year gained</w:t>
            </w:r>
          </w:p>
        </w:tc>
        <w:tc>
          <w:tcPr>
            <w:tcW w:w="1072" w:type="pct"/>
            <w:vAlign w:val="center"/>
          </w:tcPr>
          <w:p w14:paraId="41DBDFB9" w14:textId="0BD345BD" w:rsidR="00C200C9" w:rsidRPr="000A238A" w:rsidRDefault="00C200C9" w:rsidP="00C50DC8">
            <w:pPr>
              <w:pStyle w:val="Tableheadingrow"/>
              <w:jc w:val="center"/>
              <w:rPr>
                <w:lang w:val="en-AU"/>
              </w:rPr>
            </w:pPr>
            <w:r w:rsidRPr="000A238A">
              <w:rPr>
                <w:lang w:val="en-AU"/>
              </w:rPr>
              <w:t>$</w:t>
            </w:r>
            <w:r w:rsidR="00B9195B" w:rsidRPr="00B9195B">
              <w:rPr>
                <w:color w:val="000000"/>
                <w:shd w:val="solid" w:color="000000" w:fill="000000"/>
                <w:lang w:val="en-AU"/>
                <w14:textFill>
                  <w14:solidFill>
                    <w14:srgbClr w14:val="000000">
                      <w14:alpha w14:val="100000"/>
                    </w14:srgbClr>
                  </w14:solidFill>
                </w14:textFill>
              </w:rPr>
              <w:t>|</w:t>
            </w:r>
            <w:r w:rsidR="00903085">
              <w:rPr>
                <w:b w:val="0"/>
                <w:bCs/>
                <w:vertAlign w:val="superscript"/>
              </w:rPr>
              <w:t>4</w:t>
            </w:r>
          </w:p>
        </w:tc>
      </w:tr>
      <w:tr w:rsidR="00C200C9" w:rsidRPr="002530A2" w14:paraId="076FB728" w14:textId="77777777" w:rsidTr="00000678">
        <w:tc>
          <w:tcPr>
            <w:tcW w:w="5000" w:type="pct"/>
            <w:gridSpan w:val="4"/>
            <w:vAlign w:val="center"/>
          </w:tcPr>
          <w:p w14:paraId="67FA4681" w14:textId="77777777" w:rsidR="00C200C9" w:rsidRPr="007E18B2" w:rsidRDefault="00C200C9" w:rsidP="00C50DC8">
            <w:pPr>
              <w:pStyle w:val="Tableheadingrow"/>
              <w:rPr>
                <w:lang w:val="en-AU"/>
              </w:rPr>
            </w:pPr>
            <w:r w:rsidRPr="007E18B2">
              <w:rPr>
                <w:lang w:val="en-AU"/>
              </w:rPr>
              <w:t>Step 3a:</w:t>
            </w:r>
            <w:r w:rsidRPr="007E18B2">
              <w:rPr>
                <w:b w:val="0"/>
                <w:bCs/>
                <w:lang w:val="en-AU"/>
              </w:rPr>
              <w:t xml:space="preserve"> as for Step 2d, with utilities derived from TRANSFORM-2 and -3 applied to time in health states</w:t>
            </w:r>
          </w:p>
        </w:tc>
      </w:tr>
      <w:tr w:rsidR="00C200C9" w:rsidRPr="002530A2" w14:paraId="421E799E" w14:textId="77777777" w:rsidTr="00000678">
        <w:tc>
          <w:tcPr>
            <w:tcW w:w="1648" w:type="pct"/>
            <w:vAlign w:val="center"/>
          </w:tcPr>
          <w:p w14:paraId="63D22969" w14:textId="77777777" w:rsidR="00C200C9" w:rsidRPr="002D0E81" w:rsidRDefault="00C200C9" w:rsidP="00C50DC8">
            <w:pPr>
              <w:pStyle w:val="Tableheadingrow"/>
              <w:rPr>
                <w:b w:val="0"/>
                <w:lang w:val="en-AU"/>
              </w:rPr>
            </w:pPr>
            <w:r w:rsidRPr="002D0E81">
              <w:rPr>
                <w:b w:val="0"/>
                <w:lang w:val="en-AU"/>
              </w:rPr>
              <w:t>Costs</w:t>
            </w:r>
          </w:p>
        </w:tc>
        <w:tc>
          <w:tcPr>
            <w:tcW w:w="1101" w:type="pct"/>
            <w:vAlign w:val="center"/>
          </w:tcPr>
          <w:p w14:paraId="108B7D9C" w14:textId="65042E0A" w:rsidR="00C200C9" w:rsidRPr="007E18B2" w:rsidRDefault="00C200C9" w:rsidP="00C50DC8">
            <w:pPr>
              <w:pStyle w:val="Tableheadingrow"/>
              <w:jc w:val="center"/>
              <w:rPr>
                <w:b w:val="0"/>
                <w:bCs/>
                <w:lang w:val="en-AU"/>
              </w:rPr>
            </w:pPr>
            <w:r w:rsidRPr="000A238A">
              <w:rPr>
                <w:b w:val="0"/>
                <w:bCs/>
                <w:lang w:val="en-AU"/>
              </w:rPr>
              <w:t>$</w:t>
            </w:r>
            <w:r w:rsidR="00B9195B" w:rsidRPr="00B9195B">
              <w:rPr>
                <w:b w:val="0"/>
                <w:bCs/>
                <w:color w:val="000000"/>
                <w:shd w:val="solid" w:color="000000" w:fill="000000"/>
                <w:lang w:val="en-AU"/>
                <w14:textFill>
                  <w14:solidFill>
                    <w14:srgbClr w14:val="000000">
                      <w14:alpha w14:val="100000"/>
                    </w14:srgbClr>
                  </w14:solidFill>
                </w14:textFill>
              </w:rPr>
              <w:t>|</w:t>
            </w:r>
          </w:p>
        </w:tc>
        <w:tc>
          <w:tcPr>
            <w:tcW w:w="1179" w:type="pct"/>
            <w:vAlign w:val="center"/>
          </w:tcPr>
          <w:p w14:paraId="525E82B1" w14:textId="77777777" w:rsidR="00C200C9" w:rsidRPr="007E18B2" w:rsidRDefault="00C200C9" w:rsidP="00C50DC8">
            <w:pPr>
              <w:pStyle w:val="Tableheadingrow"/>
              <w:jc w:val="center"/>
              <w:rPr>
                <w:b w:val="0"/>
                <w:bCs/>
                <w:lang w:val="en-AU"/>
              </w:rPr>
            </w:pPr>
            <w:r w:rsidRPr="000A238A">
              <w:rPr>
                <w:b w:val="0"/>
                <w:bCs/>
                <w:lang w:val="en-AU"/>
              </w:rPr>
              <w:t>$23,366</w:t>
            </w:r>
          </w:p>
        </w:tc>
        <w:tc>
          <w:tcPr>
            <w:tcW w:w="1072" w:type="pct"/>
            <w:vAlign w:val="center"/>
          </w:tcPr>
          <w:p w14:paraId="0EC8A2E9" w14:textId="4C316549" w:rsidR="00C200C9" w:rsidRPr="007E18B2" w:rsidRDefault="00C200C9" w:rsidP="00C50DC8">
            <w:pPr>
              <w:pStyle w:val="Tableheadingrow"/>
              <w:jc w:val="center"/>
              <w:rPr>
                <w:b w:val="0"/>
                <w:bCs/>
                <w:lang w:val="en-AU"/>
              </w:rPr>
            </w:pPr>
            <w:r w:rsidRPr="000A238A">
              <w:rPr>
                <w:b w:val="0"/>
                <w:bCs/>
                <w:lang w:val="en-AU"/>
              </w:rPr>
              <w:t>$</w:t>
            </w:r>
            <w:r w:rsidR="00B9195B" w:rsidRPr="00B9195B">
              <w:rPr>
                <w:b w:val="0"/>
                <w:bCs/>
                <w:color w:val="000000"/>
                <w:shd w:val="solid" w:color="000000" w:fill="000000"/>
                <w:lang w:val="en-AU"/>
                <w14:textFill>
                  <w14:solidFill>
                    <w14:srgbClr w14:val="000000">
                      <w14:alpha w14:val="100000"/>
                    </w14:srgbClr>
                  </w14:solidFill>
                </w14:textFill>
              </w:rPr>
              <w:t>|</w:t>
            </w:r>
          </w:p>
        </w:tc>
      </w:tr>
      <w:tr w:rsidR="00C200C9" w:rsidRPr="002530A2" w14:paraId="1FD727D6" w14:textId="77777777" w:rsidTr="00000678">
        <w:tc>
          <w:tcPr>
            <w:tcW w:w="1648" w:type="pct"/>
            <w:vAlign w:val="center"/>
          </w:tcPr>
          <w:p w14:paraId="262C8C59" w14:textId="77777777" w:rsidR="00C200C9" w:rsidRPr="002D0E81" w:rsidRDefault="00C200C9" w:rsidP="00C50DC8">
            <w:pPr>
              <w:pStyle w:val="Tableheadingrow"/>
              <w:rPr>
                <w:b w:val="0"/>
                <w:lang w:val="en-AU"/>
              </w:rPr>
            </w:pPr>
            <w:r w:rsidRPr="002D0E81">
              <w:rPr>
                <w:b w:val="0"/>
                <w:lang w:val="en-AU"/>
              </w:rPr>
              <w:t>QALYs</w:t>
            </w:r>
          </w:p>
        </w:tc>
        <w:tc>
          <w:tcPr>
            <w:tcW w:w="1101" w:type="pct"/>
            <w:vAlign w:val="center"/>
          </w:tcPr>
          <w:p w14:paraId="16110608" w14:textId="77777777" w:rsidR="00C200C9" w:rsidRPr="000A238A" w:rsidRDefault="00C200C9" w:rsidP="00C50DC8">
            <w:pPr>
              <w:pStyle w:val="Tableheadingrow"/>
              <w:jc w:val="center"/>
              <w:rPr>
                <w:b w:val="0"/>
                <w:bCs/>
                <w:lang w:val="en-AU"/>
              </w:rPr>
            </w:pPr>
            <w:r w:rsidRPr="000A238A">
              <w:rPr>
                <w:b w:val="0"/>
                <w:bCs/>
                <w:lang w:val="en-AU"/>
              </w:rPr>
              <w:t>0.6437</w:t>
            </w:r>
          </w:p>
        </w:tc>
        <w:tc>
          <w:tcPr>
            <w:tcW w:w="1179" w:type="pct"/>
            <w:vAlign w:val="center"/>
          </w:tcPr>
          <w:p w14:paraId="26211043" w14:textId="77777777" w:rsidR="00C200C9" w:rsidRPr="000A238A" w:rsidRDefault="00C200C9" w:rsidP="00C50DC8">
            <w:pPr>
              <w:pStyle w:val="Tableheadingrow"/>
              <w:jc w:val="center"/>
              <w:rPr>
                <w:b w:val="0"/>
                <w:bCs/>
                <w:lang w:val="en-AU"/>
              </w:rPr>
            </w:pPr>
            <w:r w:rsidRPr="000A238A">
              <w:rPr>
                <w:b w:val="0"/>
                <w:bCs/>
                <w:lang w:val="en-AU"/>
              </w:rPr>
              <w:t>0.5714</w:t>
            </w:r>
          </w:p>
        </w:tc>
        <w:tc>
          <w:tcPr>
            <w:tcW w:w="1072" w:type="pct"/>
            <w:vAlign w:val="center"/>
          </w:tcPr>
          <w:p w14:paraId="5D79AC63" w14:textId="77777777" w:rsidR="00C200C9" w:rsidRPr="000A238A" w:rsidRDefault="00C200C9" w:rsidP="00C50DC8">
            <w:pPr>
              <w:pStyle w:val="Tableheadingrow"/>
              <w:jc w:val="center"/>
              <w:rPr>
                <w:b w:val="0"/>
                <w:bCs/>
                <w:lang w:val="en-AU"/>
              </w:rPr>
            </w:pPr>
            <w:r w:rsidRPr="000A238A">
              <w:rPr>
                <w:b w:val="0"/>
                <w:bCs/>
                <w:lang w:val="en-AU"/>
              </w:rPr>
              <w:t>0.0723</w:t>
            </w:r>
          </w:p>
        </w:tc>
      </w:tr>
      <w:tr w:rsidR="00C200C9" w:rsidRPr="002530A2" w14:paraId="23976BE1" w14:textId="77777777" w:rsidTr="00000678">
        <w:tc>
          <w:tcPr>
            <w:tcW w:w="3928" w:type="pct"/>
            <w:gridSpan w:val="3"/>
            <w:vAlign w:val="center"/>
          </w:tcPr>
          <w:p w14:paraId="1C1FF65D" w14:textId="77777777" w:rsidR="00C200C9" w:rsidRPr="007E18B2" w:rsidRDefault="00C200C9" w:rsidP="00C50DC8">
            <w:pPr>
              <w:pStyle w:val="Tableheadingrow"/>
              <w:rPr>
                <w:lang w:val="en-AU"/>
              </w:rPr>
            </w:pPr>
            <w:r w:rsidRPr="007E18B2">
              <w:rPr>
                <w:lang w:val="en-AU"/>
              </w:rPr>
              <w:t>Incremental cost/extra QALY gained</w:t>
            </w:r>
          </w:p>
        </w:tc>
        <w:tc>
          <w:tcPr>
            <w:tcW w:w="1072" w:type="pct"/>
            <w:vAlign w:val="center"/>
          </w:tcPr>
          <w:p w14:paraId="113B1B6A" w14:textId="0881DB97" w:rsidR="00C200C9" w:rsidRPr="000A238A" w:rsidRDefault="00C200C9" w:rsidP="00C50DC8">
            <w:pPr>
              <w:pStyle w:val="Tableheadingrow"/>
              <w:jc w:val="center"/>
              <w:rPr>
                <w:lang w:val="en-AU"/>
              </w:rPr>
            </w:pPr>
            <w:r w:rsidRPr="000A238A">
              <w:rPr>
                <w:lang w:val="en-AU"/>
              </w:rPr>
              <w:t>$</w:t>
            </w:r>
            <w:r w:rsidR="00B9195B" w:rsidRPr="00B9195B">
              <w:rPr>
                <w:color w:val="000000"/>
                <w:shd w:val="solid" w:color="000000" w:fill="000000"/>
                <w:lang w:val="en-AU"/>
                <w14:textFill>
                  <w14:solidFill>
                    <w14:srgbClr w14:val="000000">
                      <w14:alpha w14:val="100000"/>
                    </w14:srgbClr>
                  </w14:solidFill>
                </w14:textFill>
              </w:rPr>
              <w:t>|</w:t>
            </w:r>
            <w:r w:rsidR="00903085">
              <w:rPr>
                <w:b w:val="0"/>
                <w:bCs/>
                <w:vertAlign w:val="superscript"/>
              </w:rPr>
              <w:t>6</w:t>
            </w:r>
          </w:p>
        </w:tc>
      </w:tr>
      <w:tr w:rsidR="00C200C9" w:rsidRPr="002530A2" w14:paraId="7292F0AC" w14:textId="77777777" w:rsidTr="00000678">
        <w:tc>
          <w:tcPr>
            <w:tcW w:w="5000" w:type="pct"/>
            <w:gridSpan w:val="4"/>
            <w:vAlign w:val="center"/>
          </w:tcPr>
          <w:p w14:paraId="03125D53" w14:textId="77777777" w:rsidR="00C200C9" w:rsidRPr="007E18B2" w:rsidRDefault="00C200C9" w:rsidP="00C50DC8">
            <w:pPr>
              <w:pStyle w:val="Tableheadingrow"/>
              <w:rPr>
                <w:lang w:val="en-AU"/>
              </w:rPr>
            </w:pPr>
            <w:r w:rsidRPr="007E18B2">
              <w:rPr>
                <w:lang w:val="en-AU"/>
              </w:rPr>
              <w:t>Step 3b:</w:t>
            </w:r>
            <w:r w:rsidRPr="007E18B2">
              <w:rPr>
                <w:b w:val="0"/>
                <w:bCs/>
                <w:lang w:val="en-AU"/>
              </w:rPr>
              <w:t xml:space="preserve"> as for Step 3a, with </w:t>
            </w:r>
            <w:proofErr w:type="spellStart"/>
            <w:r w:rsidRPr="007E18B2">
              <w:rPr>
                <w:b w:val="0"/>
                <w:bCs/>
                <w:lang w:val="en-AU"/>
              </w:rPr>
              <w:t>disutilities</w:t>
            </w:r>
            <w:proofErr w:type="spellEnd"/>
            <w:r w:rsidRPr="007E18B2">
              <w:rPr>
                <w:b w:val="0"/>
                <w:bCs/>
                <w:lang w:val="en-AU"/>
              </w:rPr>
              <w:t xml:space="preserve"> associated with adverse events included</w:t>
            </w:r>
          </w:p>
        </w:tc>
      </w:tr>
      <w:tr w:rsidR="00C200C9" w:rsidRPr="002530A2" w14:paraId="48F7DD74" w14:textId="77777777" w:rsidTr="00000678">
        <w:tc>
          <w:tcPr>
            <w:tcW w:w="1648" w:type="pct"/>
            <w:vAlign w:val="center"/>
          </w:tcPr>
          <w:p w14:paraId="0A27E72F" w14:textId="77777777" w:rsidR="00C200C9" w:rsidRPr="002530A2" w:rsidRDefault="00C200C9" w:rsidP="00C50DC8">
            <w:pPr>
              <w:pStyle w:val="TableText"/>
              <w:rPr>
                <w:rFonts w:ascii="Times" w:hAnsi="Times"/>
              </w:rPr>
            </w:pPr>
            <w:r w:rsidRPr="002530A2">
              <w:t>Costs</w:t>
            </w:r>
          </w:p>
        </w:tc>
        <w:tc>
          <w:tcPr>
            <w:tcW w:w="1101" w:type="pct"/>
            <w:vAlign w:val="center"/>
          </w:tcPr>
          <w:p w14:paraId="37DCA175" w14:textId="0DB0735F" w:rsidR="00C200C9" w:rsidRPr="007E18B2" w:rsidRDefault="00C200C9" w:rsidP="00C50DC8">
            <w:pPr>
              <w:pStyle w:val="TableText"/>
              <w:jc w:val="center"/>
              <w:rPr>
                <w:rFonts w:ascii="Times" w:hAnsi="Times"/>
              </w:rPr>
            </w:pPr>
            <w:r w:rsidRPr="000A238A">
              <w:t>$</w:t>
            </w:r>
            <w:r w:rsidR="00B9195B" w:rsidRPr="00B9195B">
              <w:rPr>
                <w:color w:val="000000"/>
                <w:shd w:val="solid" w:color="000000" w:fill="000000"/>
                <w14:textFill>
                  <w14:solidFill>
                    <w14:srgbClr w14:val="000000">
                      <w14:alpha w14:val="100000"/>
                    </w14:srgbClr>
                  </w14:solidFill>
                </w14:textFill>
              </w:rPr>
              <w:t>|</w:t>
            </w:r>
          </w:p>
        </w:tc>
        <w:tc>
          <w:tcPr>
            <w:tcW w:w="1179" w:type="pct"/>
            <w:vAlign w:val="center"/>
          </w:tcPr>
          <w:p w14:paraId="262AE5DD" w14:textId="77777777" w:rsidR="00C200C9" w:rsidRPr="007E18B2" w:rsidRDefault="00C200C9" w:rsidP="00C50DC8">
            <w:pPr>
              <w:pStyle w:val="TableText"/>
              <w:jc w:val="center"/>
              <w:rPr>
                <w:rFonts w:ascii="Times" w:hAnsi="Times"/>
              </w:rPr>
            </w:pPr>
            <w:r w:rsidRPr="000A238A">
              <w:t>$23,366</w:t>
            </w:r>
          </w:p>
        </w:tc>
        <w:tc>
          <w:tcPr>
            <w:tcW w:w="1072" w:type="pct"/>
            <w:vAlign w:val="center"/>
          </w:tcPr>
          <w:p w14:paraId="56C11963" w14:textId="4EA502CD" w:rsidR="00C200C9" w:rsidRPr="007E18B2" w:rsidRDefault="00C200C9" w:rsidP="00C50DC8">
            <w:pPr>
              <w:pStyle w:val="TableText"/>
              <w:jc w:val="center"/>
              <w:rPr>
                <w:rFonts w:ascii="Times" w:hAnsi="Times"/>
              </w:rPr>
            </w:pPr>
            <w:r w:rsidRPr="000A238A">
              <w:t>$</w:t>
            </w:r>
            <w:r w:rsidR="00B9195B" w:rsidRPr="00B9195B">
              <w:rPr>
                <w:color w:val="000000"/>
                <w:shd w:val="solid" w:color="000000" w:fill="000000"/>
                <w14:textFill>
                  <w14:solidFill>
                    <w14:srgbClr w14:val="000000">
                      <w14:alpha w14:val="100000"/>
                    </w14:srgbClr>
                  </w14:solidFill>
                </w14:textFill>
              </w:rPr>
              <w:t>|</w:t>
            </w:r>
          </w:p>
        </w:tc>
      </w:tr>
      <w:tr w:rsidR="00C200C9" w:rsidRPr="002530A2" w14:paraId="7CB46BEE" w14:textId="77777777" w:rsidTr="00000678">
        <w:tc>
          <w:tcPr>
            <w:tcW w:w="1648" w:type="pct"/>
            <w:vAlign w:val="center"/>
          </w:tcPr>
          <w:p w14:paraId="67F799F5" w14:textId="77777777" w:rsidR="00C200C9" w:rsidRPr="002530A2" w:rsidRDefault="00C200C9" w:rsidP="00C50DC8">
            <w:pPr>
              <w:pStyle w:val="TableText"/>
              <w:rPr>
                <w:rFonts w:ascii="Times" w:hAnsi="Times"/>
              </w:rPr>
            </w:pPr>
            <w:r w:rsidRPr="002530A2">
              <w:t>QALYs</w:t>
            </w:r>
          </w:p>
        </w:tc>
        <w:tc>
          <w:tcPr>
            <w:tcW w:w="1101" w:type="pct"/>
            <w:vAlign w:val="center"/>
          </w:tcPr>
          <w:p w14:paraId="20DA3EA5" w14:textId="77777777" w:rsidR="00C200C9" w:rsidRPr="000A238A" w:rsidRDefault="00C200C9" w:rsidP="00C50DC8">
            <w:pPr>
              <w:pStyle w:val="TableText"/>
              <w:jc w:val="center"/>
            </w:pPr>
            <w:r w:rsidRPr="000A238A">
              <w:t>0.6413</w:t>
            </w:r>
          </w:p>
        </w:tc>
        <w:tc>
          <w:tcPr>
            <w:tcW w:w="1179" w:type="pct"/>
            <w:vAlign w:val="center"/>
          </w:tcPr>
          <w:p w14:paraId="6FA21655" w14:textId="77777777" w:rsidR="00C200C9" w:rsidRPr="000A238A" w:rsidRDefault="00C200C9" w:rsidP="00C50DC8">
            <w:pPr>
              <w:pStyle w:val="TableText"/>
              <w:jc w:val="center"/>
            </w:pPr>
            <w:r w:rsidRPr="000A238A">
              <w:t>0.5708</w:t>
            </w:r>
          </w:p>
        </w:tc>
        <w:tc>
          <w:tcPr>
            <w:tcW w:w="1072" w:type="pct"/>
            <w:vAlign w:val="center"/>
          </w:tcPr>
          <w:p w14:paraId="383FA547" w14:textId="77777777" w:rsidR="00C200C9" w:rsidRPr="000A238A" w:rsidRDefault="00C200C9" w:rsidP="00C50DC8">
            <w:pPr>
              <w:pStyle w:val="TableText"/>
              <w:jc w:val="center"/>
            </w:pPr>
            <w:r w:rsidRPr="000A238A">
              <w:t>0.0706</w:t>
            </w:r>
          </w:p>
        </w:tc>
      </w:tr>
      <w:tr w:rsidR="00C200C9" w:rsidRPr="002530A2" w14:paraId="7DF890C0" w14:textId="77777777" w:rsidTr="00000678">
        <w:tc>
          <w:tcPr>
            <w:tcW w:w="1648" w:type="pct"/>
            <w:vAlign w:val="center"/>
          </w:tcPr>
          <w:p w14:paraId="309D932E" w14:textId="77777777" w:rsidR="00C200C9" w:rsidRPr="002530A2" w:rsidRDefault="00C200C9" w:rsidP="00C50DC8">
            <w:pPr>
              <w:pStyle w:val="TableText"/>
              <w:rPr>
                <w:rFonts w:ascii="Times" w:hAnsi="Times"/>
              </w:rPr>
            </w:pPr>
            <w:r w:rsidRPr="002530A2">
              <w:rPr>
                <w:b/>
              </w:rPr>
              <w:t>Incremental cost/extra QALY gained</w:t>
            </w:r>
          </w:p>
        </w:tc>
        <w:tc>
          <w:tcPr>
            <w:tcW w:w="1101" w:type="pct"/>
            <w:vAlign w:val="center"/>
          </w:tcPr>
          <w:p w14:paraId="28242028" w14:textId="77777777" w:rsidR="00C200C9" w:rsidRPr="007E18B2" w:rsidRDefault="00C200C9" w:rsidP="00C50DC8">
            <w:pPr>
              <w:pStyle w:val="TableText"/>
              <w:jc w:val="center"/>
            </w:pPr>
          </w:p>
        </w:tc>
        <w:tc>
          <w:tcPr>
            <w:tcW w:w="1179" w:type="pct"/>
            <w:vAlign w:val="center"/>
          </w:tcPr>
          <w:p w14:paraId="0CF26D36" w14:textId="77777777" w:rsidR="00C200C9" w:rsidRPr="007E18B2" w:rsidRDefault="00C200C9" w:rsidP="00C50DC8">
            <w:pPr>
              <w:pStyle w:val="TableText"/>
              <w:jc w:val="center"/>
            </w:pPr>
          </w:p>
        </w:tc>
        <w:tc>
          <w:tcPr>
            <w:tcW w:w="1072" w:type="pct"/>
            <w:vAlign w:val="center"/>
          </w:tcPr>
          <w:p w14:paraId="4B545974" w14:textId="72F53A92" w:rsidR="00C200C9" w:rsidRPr="000A238A" w:rsidRDefault="00C200C9" w:rsidP="00C50DC8">
            <w:pPr>
              <w:pStyle w:val="TableText"/>
              <w:jc w:val="center"/>
              <w:rPr>
                <w:b/>
                <w:bCs w:val="0"/>
              </w:rPr>
            </w:pPr>
            <w:r w:rsidRPr="000A238A">
              <w:rPr>
                <w:b/>
                <w:bCs w:val="0"/>
              </w:rPr>
              <w:t>$</w:t>
            </w:r>
            <w:r w:rsidR="00B9195B" w:rsidRPr="00B9195B">
              <w:rPr>
                <w:b/>
                <w:bCs w:val="0"/>
                <w:color w:val="000000"/>
                <w:shd w:val="solid" w:color="000000" w:fill="000000"/>
                <w14:textFill>
                  <w14:solidFill>
                    <w14:srgbClr w14:val="000000">
                      <w14:alpha w14:val="100000"/>
                    </w14:srgbClr>
                  </w14:solidFill>
                </w14:textFill>
              </w:rPr>
              <w:t>|</w:t>
            </w:r>
            <w:r w:rsidR="00903085">
              <w:rPr>
                <w:b/>
                <w:bCs w:val="0"/>
                <w:vertAlign w:val="superscript"/>
              </w:rPr>
              <w:t>6</w:t>
            </w:r>
          </w:p>
        </w:tc>
      </w:tr>
      <w:tr w:rsidR="00C200C9" w:rsidRPr="002530A2" w14:paraId="0879735B" w14:textId="77777777" w:rsidTr="00000678">
        <w:tc>
          <w:tcPr>
            <w:tcW w:w="5000" w:type="pct"/>
            <w:gridSpan w:val="4"/>
            <w:vAlign w:val="center"/>
          </w:tcPr>
          <w:p w14:paraId="43D61F3E" w14:textId="77777777" w:rsidR="00C200C9" w:rsidRPr="007E18B2" w:rsidRDefault="00C200C9" w:rsidP="00C50DC8">
            <w:pPr>
              <w:pStyle w:val="Tableheadingrow"/>
              <w:rPr>
                <w:lang w:val="en-AU"/>
              </w:rPr>
            </w:pPr>
            <w:r w:rsidRPr="007E18B2">
              <w:rPr>
                <w:lang w:val="en-AU"/>
              </w:rPr>
              <w:t>Step 3c:</w:t>
            </w:r>
            <w:r w:rsidRPr="007E18B2">
              <w:rPr>
                <w:b w:val="0"/>
                <w:bCs/>
                <w:lang w:val="en-AU"/>
              </w:rPr>
              <w:t xml:space="preserve"> as for Step 3b, with half-cycle correction applied</w:t>
            </w:r>
          </w:p>
        </w:tc>
      </w:tr>
      <w:tr w:rsidR="00C200C9" w:rsidRPr="002530A2" w14:paraId="7BC8C334" w14:textId="77777777" w:rsidTr="00000678">
        <w:tc>
          <w:tcPr>
            <w:tcW w:w="1648" w:type="pct"/>
            <w:vAlign w:val="center"/>
          </w:tcPr>
          <w:p w14:paraId="364B17C4" w14:textId="77777777" w:rsidR="00C200C9" w:rsidRPr="002530A2" w:rsidRDefault="00C200C9" w:rsidP="00C50DC8">
            <w:pPr>
              <w:pStyle w:val="TableText"/>
              <w:rPr>
                <w:rFonts w:ascii="Times" w:hAnsi="Times"/>
              </w:rPr>
            </w:pPr>
            <w:r w:rsidRPr="002530A2">
              <w:t>Costs</w:t>
            </w:r>
          </w:p>
        </w:tc>
        <w:tc>
          <w:tcPr>
            <w:tcW w:w="1101" w:type="pct"/>
            <w:vAlign w:val="center"/>
          </w:tcPr>
          <w:p w14:paraId="79DB8C65" w14:textId="239C4B1D" w:rsidR="00C200C9" w:rsidRPr="000A238A" w:rsidRDefault="00C200C9" w:rsidP="00C50DC8">
            <w:pPr>
              <w:pStyle w:val="TableText"/>
              <w:jc w:val="center"/>
            </w:pPr>
            <w:r w:rsidRPr="000A238A">
              <w:t>$</w:t>
            </w:r>
            <w:r w:rsidR="00B9195B" w:rsidRPr="00B9195B">
              <w:rPr>
                <w:color w:val="000000"/>
                <w:shd w:val="solid" w:color="000000" w:fill="000000"/>
                <w14:textFill>
                  <w14:solidFill>
                    <w14:srgbClr w14:val="000000">
                      <w14:alpha w14:val="100000"/>
                    </w14:srgbClr>
                  </w14:solidFill>
                </w14:textFill>
              </w:rPr>
              <w:t>|</w:t>
            </w:r>
          </w:p>
        </w:tc>
        <w:tc>
          <w:tcPr>
            <w:tcW w:w="1179" w:type="pct"/>
            <w:vAlign w:val="center"/>
          </w:tcPr>
          <w:p w14:paraId="76A608DB" w14:textId="77777777" w:rsidR="00C200C9" w:rsidRPr="000A238A" w:rsidRDefault="00C200C9" w:rsidP="00C50DC8">
            <w:pPr>
              <w:pStyle w:val="TableText"/>
              <w:jc w:val="center"/>
            </w:pPr>
            <w:r w:rsidRPr="000A238A">
              <w:t>$22,945</w:t>
            </w:r>
          </w:p>
        </w:tc>
        <w:tc>
          <w:tcPr>
            <w:tcW w:w="1072" w:type="pct"/>
            <w:vAlign w:val="center"/>
          </w:tcPr>
          <w:p w14:paraId="5AAEB7A9" w14:textId="53C7CC22" w:rsidR="00C200C9" w:rsidRPr="000A238A" w:rsidRDefault="00C200C9" w:rsidP="00C50DC8">
            <w:pPr>
              <w:pStyle w:val="TableText"/>
              <w:jc w:val="center"/>
            </w:pPr>
            <w:r w:rsidRPr="000A238A">
              <w:t>$</w:t>
            </w:r>
            <w:r w:rsidR="00B9195B" w:rsidRPr="00B9195B">
              <w:rPr>
                <w:color w:val="000000"/>
                <w:shd w:val="solid" w:color="000000" w:fill="000000"/>
                <w14:textFill>
                  <w14:solidFill>
                    <w14:srgbClr w14:val="000000">
                      <w14:alpha w14:val="100000"/>
                    </w14:srgbClr>
                  </w14:solidFill>
                </w14:textFill>
              </w:rPr>
              <w:t>|</w:t>
            </w:r>
          </w:p>
        </w:tc>
      </w:tr>
      <w:tr w:rsidR="00C200C9" w:rsidRPr="002530A2" w14:paraId="3CE03B04" w14:textId="77777777" w:rsidTr="00000678">
        <w:tc>
          <w:tcPr>
            <w:tcW w:w="1648" w:type="pct"/>
            <w:vAlign w:val="center"/>
          </w:tcPr>
          <w:p w14:paraId="5FF5A8E9" w14:textId="77777777" w:rsidR="00C200C9" w:rsidRPr="002530A2" w:rsidRDefault="00C200C9" w:rsidP="00C50DC8">
            <w:pPr>
              <w:pStyle w:val="TableText"/>
              <w:rPr>
                <w:rFonts w:ascii="Times" w:hAnsi="Times"/>
              </w:rPr>
            </w:pPr>
            <w:r w:rsidRPr="002530A2">
              <w:t>QALYs</w:t>
            </w:r>
          </w:p>
        </w:tc>
        <w:tc>
          <w:tcPr>
            <w:tcW w:w="1101" w:type="pct"/>
            <w:vAlign w:val="center"/>
          </w:tcPr>
          <w:p w14:paraId="6E5DD8C5" w14:textId="77777777" w:rsidR="00C200C9" w:rsidRPr="000A238A" w:rsidRDefault="00C200C9" w:rsidP="00C50DC8">
            <w:pPr>
              <w:pStyle w:val="TableText"/>
              <w:jc w:val="center"/>
            </w:pPr>
            <w:r w:rsidRPr="000A238A">
              <w:t>0.6495</w:t>
            </w:r>
          </w:p>
        </w:tc>
        <w:tc>
          <w:tcPr>
            <w:tcW w:w="1179" w:type="pct"/>
            <w:vAlign w:val="center"/>
          </w:tcPr>
          <w:p w14:paraId="2151ED83" w14:textId="77777777" w:rsidR="00C200C9" w:rsidRPr="000A238A" w:rsidRDefault="00C200C9" w:rsidP="00C50DC8">
            <w:pPr>
              <w:pStyle w:val="TableText"/>
              <w:jc w:val="center"/>
            </w:pPr>
            <w:r w:rsidRPr="000A238A">
              <w:t>0.5764</w:t>
            </w:r>
          </w:p>
        </w:tc>
        <w:tc>
          <w:tcPr>
            <w:tcW w:w="1072" w:type="pct"/>
            <w:vAlign w:val="center"/>
          </w:tcPr>
          <w:p w14:paraId="5F117C73" w14:textId="77777777" w:rsidR="00C200C9" w:rsidRPr="000A238A" w:rsidRDefault="00C200C9" w:rsidP="00C50DC8">
            <w:pPr>
              <w:pStyle w:val="TableText"/>
              <w:jc w:val="center"/>
            </w:pPr>
            <w:r w:rsidRPr="000A238A">
              <w:t>0.0731</w:t>
            </w:r>
          </w:p>
        </w:tc>
      </w:tr>
      <w:tr w:rsidR="00C200C9" w:rsidRPr="002530A2" w14:paraId="1C19886D" w14:textId="77777777" w:rsidTr="00000678">
        <w:tc>
          <w:tcPr>
            <w:tcW w:w="3928" w:type="pct"/>
            <w:gridSpan w:val="3"/>
            <w:vAlign w:val="center"/>
          </w:tcPr>
          <w:p w14:paraId="0144F03C" w14:textId="77777777" w:rsidR="00C200C9" w:rsidRPr="007E18B2" w:rsidRDefault="00C200C9" w:rsidP="00C50DC8">
            <w:pPr>
              <w:pStyle w:val="TableText"/>
            </w:pPr>
            <w:r w:rsidRPr="007E18B2">
              <w:rPr>
                <w:b/>
              </w:rPr>
              <w:t>Incremental cost/extra QALY gained</w:t>
            </w:r>
          </w:p>
        </w:tc>
        <w:tc>
          <w:tcPr>
            <w:tcW w:w="1072" w:type="pct"/>
            <w:vAlign w:val="center"/>
          </w:tcPr>
          <w:p w14:paraId="4CC0D0DD" w14:textId="635FD728" w:rsidR="00C200C9" w:rsidRPr="000A238A" w:rsidRDefault="00C200C9" w:rsidP="00C50DC8">
            <w:pPr>
              <w:pStyle w:val="TableText"/>
              <w:jc w:val="center"/>
              <w:rPr>
                <w:b/>
                <w:bCs w:val="0"/>
              </w:rPr>
            </w:pPr>
            <w:r w:rsidRPr="000A238A">
              <w:rPr>
                <w:b/>
                <w:bCs w:val="0"/>
              </w:rPr>
              <w:t>$</w:t>
            </w:r>
            <w:r w:rsidR="00B9195B" w:rsidRPr="00B9195B">
              <w:rPr>
                <w:b/>
                <w:bCs w:val="0"/>
                <w:color w:val="000000"/>
                <w:shd w:val="solid" w:color="000000" w:fill="000000"/>
                <w14:textFill>
                  <w14:solidFill>
                    <w14:srgbClr w14:val="000000">
                      <w14:alpha w14:val="100000"/>
                    </w14:srgbClr>
                  </w14:solidFill>
                </w14:textFill>
              </w:rPr>
              <w:t>|</w:t>
            </w:r>
            <w:r w:rsidR="00903085">
              <w:rPr>
                <w:b/>
                <w:bCs w:val="0"/>
                <w:vertAlign w:val="superscript"/>
              </w:rPr>
              <w:t>6</w:t>
            </w:r>
          </w:p>
        </w:tc>
      </w:tr>
      <w:tr w:rsidR="00C200C9" w:rsidRPr="002530A2" w14:paraId="2A1181C7" w14:textId="77777777" w:rsidTr="00000678">
        <w:tc>
          <w:tcPr>
            <w:tcW w:w="5000" w:type="pct"/>
            <w:gridSpan w:val="4"/>
            <w:vAlign w:val="center"/>
          </w:tcPr>
          <w:p w14:paraId="1A93903F" w14:textId="77777777" w:rsidR="00C200C9" w:rsidRPr="007E18B2" w:rsidRDefault="00C200C9" w:rsidP="00C50DC8">
            <w:pPr>
              <w:pStyle w:val="TableText"/>
            </w:pPr>
            <w:r w:rsidRPr="007E18B2">
              <w:rPr>
                <w:b/>
              </w:rPr>
              <w:t>Step 4a:</w:t>
            </w:r>
            <w:r w:rsidRPr="007E18B2">
              <w:rPr>
                <w:bCs w:val="0"/>
              </w:rPr>
              <w:t xml:space="preserve"> as for Step 3c, extrapolated from 52 weeks to 5 years</w:t>
            </w:r>
          </w:p>
        </w:tc>
      </w:tr>
      <w:tr w:rsidR="00C200C9" w:rsidRPr="002530A2" w14:paraId="74B2A339" w14:textId="77777777" w:rsidTr="00000678">
        <w:tc>
          <w:tcPr>
            <w:tcW w:w="1648" w:type="pct"/>
            <w:vAlign w:val="center"/>
          </w:tcPr>
          <w:p w14:paraId="7CAC6E4E" w14:textId="77777777" w:rsidR="00C200C9" w:rsidRPr="002530A2" w:rsidRDefault="00C200C9" w:rsidP="00C50DC8">
            <w:pPr>
              <w:pStyle w:val="TableText"/>
              <w:rPr>
                <w:b/>
              </w:rPr>
            </w:pPr>
            <w:r w:rsidRPr="002530A2">
              <w:t>Costs</w:t>
            </w:r>
          </w:p>
        </w:tc>
        <w:tc>
          <w:tcPr>
            <w:tcW w:w="1101" w:type="pct"/>
            <w:vAlign w:val="center"/>
          </w:tcPr>
          <w:p w14:paraId="7E109D52" w14:textId="51C9B8CD" w:rsidR="00C200C9" w:rsidRPr="000A238A" w:rsidRDefault="00C200C9" w:rsidP="00C50DC8">
            <w:pPr>
              <w:pStyle w:val="TableText"/>
              <w:jc w:val="center"/>
            </w:pPr>
            <w:r w:rsidRPr="000A238A">
              <w:t>$</w:t>
            </w:r>
            <w:r w:rsidR="00B9195B" w:rsidRPr="00B9195B">
              <w:rPr>
                <w:color w:val="000000"/>
                <w:shd w:val="solid" w:color="000000" w:fill="000000"/>
                <w14:textFill>
                  <w14:solidFill>
                    <w14:srgbClr w14:val="000000">
                      <w14:alpha w14:val="100000"/>
                    </w14:srgbClr>
                  </w14:solidFill>
                </w14:textFill>
              </w:rPr>
              <w:t>|</w:t>
            </w:r>
          </w:p>
        </w:tc>
        <w:tc>
          <w:tcPr>
            <w:tcW w:w="1179" w:type="pct"/>
            <w:vAlign w:val="center"/>
          </w:tcPr>
          <w:p w14:paraId="5E703DB6" w14:textId="77777777" w:rsidR="00C200C9" w:rsidRPr="000A238A" w:rsidRDefault="00C200C9" w:rsidP="00C50DC8">
            <w:pPr>
              <w:pStyle w:val="TableText"/>
              <w:jc w:val="center"/>
            </w:pPr>
            <w:r w:rsidRPr="000A238A">
              <w:t>$106,990</w:t>
            </w:r>
          </w:p>
        </w:tc>
        <w:tc>
          <w:tcPr>
            <w:tcW w:w="1072" w:type="pct"/>
            <w:vAlign w:val="center"/>
          </w:tcPr>
          <w:p w14:paraId="12FC50C0" w14:textId="408BC321" w:rsidR="00C200C9" w:rsidRPr="000A238A" w:rsidRDefault="00C200C9" w:rsidP="00C50DC8">
            <w:pPr>
              <w:pStyle w:val="TableText"/>
              <w:jc w:val="center"/>
            </w:pPr>
            <w:r w:rsidRPr="000A238A">
              <w:t>$</w:t>
            </w:r>
            <w:r w:rsidR="00B9195B" w:rsidRPr="00B9195B">
              <w:rPr>
                <w:color w:val="000000"/>
                <w:shd w:val="solid" w:color="000000" w:fill="000000"/>
                <w14:textFill>
                  <w14:solidFill>
                    <w14:srgbClr w14:val="000000">
                      <w14:alpha w14:val="100000"/>
                    </w14:srgbClr>
                  </w14:solidFill>
                </w14:textFill>
              </w:rPr>
              <w:t>|</w:t>
            </w:r>
          </w:p>
        </w:tc>
      </w:tr>
      <w:tr w:rsidR="00C200C9" w:rsidRPr="002530A2" w14:paraId="28C09870" w14:textId="77777777" w:rsidTr="00000678">
        <w:tc>
          <w:tcPr>
            <w:tcW w:w="1648" w:type="pct"/>
            <w:vAlign w:val="center"/>
          </w:tcPr>
          <w:p w14:paraId="042CBADF" w14:textId="77777777" w:rsidR="00C200C9" w:rsidRPr="002530A2" w:rsidRDefault="00C200C9" w:rsidP="00C50DC8">
            <w:pPr>
              <w:pStyle w:val="TableText"/>
              <w:rPr>
                <w:b/>
              </w:rPr>
            </w:pPr>
            <w:r w:rsidRPr="002530A2">
              <w:t>QALYs</w:t>
            </w:r>
          </w:p>
        </w:tc>
        <w:tc>
          <w:tcPr>
            <w:tcW w:w="1101" w:type="pct"/>
            <w:vAlign w:val="center"/>
          </w:tcPr>
          <w:p w14:paraId="4309A58C" w14:textId="77777777" w:rsidR="00C200C9" w:rsidRPr="000A238A" w:rsidRDefault="00C200C9" w:rsidP="00C50DC8">
            <w:pPr>
              <w:pStyle w:val="TableText"/>
              <w:jc w:val="center"/>
            </w:pPr>
            <w:r w:rsidRPr="000A238A">
              <w:t>3.1301</w:t>
            </w:r>
          </w:p>
        </w:tc>
        <w:tc>
          <w:tcPr>
            <w:tcW w:w="1179" w:type="pct"/>
            <w:vAlign w:val="center"/>
          </w:tcPr>
          <w:p w14:paraId="6420CFF6" w14:textId="77777777" w:rsidR="00C200C9" w:rsidRPr="000A238A" w:rsidRDefault="00C200C9" w:rsidP="00C50DC8">
            <w:pPr>
              <w:pStyle w:val="TableText"/>
              <w:jc w:val="center"/>
            </w:pPr>
            <w:r w:rsidRPr="000A238A">
              <w:t>2.9256</w:t>
            </w:r>
          </w:p>
        </w:tc>
        <w:tc>
          <w:tcPr>
            <w:tcW w:w="1072" w:type="pct"/>
            <w:vAlign w:val="center"/>
          </w:tcPr>
          <w:p w14:paraId="59D703FB" w14:textId="77777777" w:rsidR="00C200C9" w:rsidRPr="000A238A" w:rsidRDefault="00C200C9" w:rsidP="00C50DC8">
            <w:pPr>
              <w:pStyle w:val="TableText"/>
              <w:jc w:val="center"/>
            </w:pPr>
            <w:r w:rsidRPr="000A238A">
              <w:t>0.2046</w:t>
            </w:r>
          </w:p>
        </w:tc>
      </w:tr>
      <w:tr w:rsidR="00C200C9" w:rsidRPr="002530A2" w14:paraId="32463DE7" w14:textId="77777777" w:rsidTr="00000678">
        <w:tc>
          <w:tcPr>
            <w:tcW w:w="3928" w:type="pct"/>
            <w:gridSpan w:val="3"/>
            <w:vAlign w:val="center"/>
          </w:tcPr>
          <w:p w14:paraId="7FA4DBDF" w14:textId="77777777" w:rsidR="00C200C9" w:rsidRPr="007E18B2" w:rsidRDefault="00C200C9" w:rsidP="00C50DC8">
            <w:pPr>
              <w:pStyle w:val="TableText"/>
            </w:pPr>
            <w:r w:rsidRPr="007E18B2">
              <w:rPr>
                <w:b/>
              </w:rPr>
              <w:t>Incremental cost/extra QALY gained</w:t>
            </w:r>
          </w:p>
        </w:tc>
        <w:tc>
          <w:tcPr>
            <w:tcW w:w="1072" w:type="pct"/>
            <w:vAlign w:val="center"/>
          </w:tcPr>
          <w:p w14:paraId="7293FC62" w14:textId="4FA0B624" w:rsidR="00C200C9" w:rsidRPr="000A238A" w:rsidRDefault="00C200C9" w:rsidP="00C50DC8">
            <w:pPr>
              <w:pStyle w:val="TableText"/>
              <w:jc w:val="center"/>
              <w:rPr>
                <w:b/>
                <w:bCs w:val="0"/>
              </w:rPr>
            </w:pPr>
            <w:r w:rsidRPr="000A238A">
              <w:rPr>
                <w:b/>
                <w:bCs w:val="0"/>
              </w:rPr>
              <w:t>$</w:t>
            </w:r>
            <w:r w:rsidR="00B9195B" w:rsidRPr="00B9195B">
              <w:rPr>
                <w:b/>
                <w:bCs w:val="0"/>
                <w:color w:val="000000"/>
                <w:shd w:val="solid" w:color="000000" w:fill="000000"/>
                <w14:textFill>
                  <w14:solidFill>
                    <w14:srgbClr w14:val="000000">
                      <w14:alpha w14:val="100000"/>
                    </w14:srgbClr>
                  </w14:solidFill>
                </w14:textFill>
              </w:rPr>
              <w:t>|</w:t>
            </w:r>
            <w:r w:rsidR="00903085">
              <w:rPr>
                <w:b/>
                <w:bCs w:val="0"/>
                <w:vertAlign w:val="superscript"/>
              </w:rPr>
              <w:t>7</w:t>
            </w:r>
          </w:p>
        </w:tc>
      </w:tr>
      <w:tr w:rsidR="00C200C9" w:rsidRPr="002530A2" w14:paraId="5D890C6C" w14:textId="77777777" w:rsidTr="00000678">
        <w:tc>
          <w:tcPr>
            <w:tcW w:w="5000" w:type="pct"/>
            <w:gridSpan w:val="4"/>
            <w:vAlign w:val="center"/>
          </w:tcPr>
          <w:p w14:paraId="4BC19BF6" w14:textId="77777777" w:rsidR="00C200C9" w:rsidRPr="007E18B2" w:rsidRDefault="00C200C9" w:rsidP="00C50DC8">
            <w:pPr>
              <w:pStyle w:val="Tableheadingrow"/>
              <w:rPr>
                <w:lang w:val="en-AU"/>
              </w:rPr>
            </w:pPr>
            <w:r w:rsidRPr="007E18B2">
              <w:rPr>
                <w:lang w:val="en-AU"/>
              </w:rPr>
              <w:t>Step 4b:</w:t>
            </w:r>
            <w:r w:rsidRPr="007E18B2">
              <w:rPr>
                <w:b w:val="0"/>
                <w:bCs/>
                <w:lang w:val="en-AU"/>
              </w:rPr>
              <w:t xml:space="preserve"> As for Step 4a, with costs and outcomes discounted at 5%</w:t>
            </w:r>
          </w:p>
        </w:tc>
      </w:tr>
      <w:tr w:rsidR="00C200C9" w:rsidRPr="002530A2" w14:paraId="3BF3514E" w14:textId="77777777" w:rsidTr="00000678">
        <w:tc>
          <w:tcPr>
            <w:tcW w:w="1648" w:type="pct"/>
            <w:vAlign w:val="center"/>
          </w:tcPr>
          <w:p w14:paraId="6DAE8630" w14:textId="77777777" w:rsidR="00C200C9" w:rsidRPr="002530A2" w:rsidRDefault="00C200C9" w:rsidP="00C50DC8">
            <w:pPr>
              <w:pStyle w:val="TableText"/>
              <w:rPr>
                <w:rFonts w:ascii="Times" w:hAnsi="Times"/>
              </w:rPr>
            </w:pPr>
            <w:r w:rsidRPr="002530A2">
              <w:t>Costs</w:t>
            </w:r>
          </w:p>
        </w:tc>
        <w:tc>
          <w:tcPr>
            <w:tcW w:w="1101" w:type="pct"/>
            <w:vAlign w:val="center"/>
          </w:tcPr>
          <w:p w14:paraId="5B5EE269" w14:textId="6A363F54" w:rsidR="00C200C9" w:rsidRPr="007E18B2" w:rsidRDefault="00C200C9" w:rsidP="00C50DC8">
            <w:pPr>
              <w:pStyle w:val="TableText"/>
              <w:jc w:val="center"/>
            </w:pPr>
            <w:r w:rsidRPr="007E18B2">
              <w:t>$</w:t>
            </w:r>
            <w:r w:rsidR="00B9195B" w:rsidRPr="00B9195B">
              <w:rPr>
                <w:color w:val="000000"/>
                <w:shd w:val="solid" w:color="000000" w:fill="000000"/>
                <w14:textFill>
                  <w14:solidFill>
                    <w14:srgbClr w14:val="000000">
                      <w14:alpha w14:val="100000"/>
                    </w14:srgbClr>
                  </w14:solidFill>
                </w14:textFill>
              </w:rPr>
              <w:t>|</w:t>
            </w:r>
          </w:p>
        </w:tc>
        <w:tc>
          <w:tcPr>
            <w:tcW w:w="1179" w:type="pct"/>
            <w:vAlign w:val="center"/>
          </w:tcPr>
          <w:p w14:paraId="6220C377" w14:textId="77777777" w:rsidR="00C200C9" w:rsidRPr="007E18B2" w:rsidRDefault="00C200C9" w:rsidP="00C50DC8">
            <w:pPr>
              <w:pStyle w:val="TableText"/>
              <w:jc w:val="center"/>
            </w:pPr>
            <w:r w:rsidRPr="007E18B2">
              <w:t>$95,078</w:t>
            </w:r>
          </w:p>
        </w:tc>
        <w:tc>
          <w:tcPr>
            <w:tcW w:w="1072" w:type="pct"/>
            <w:vAlign w:val="center"/>
          </w:tcPr>
          <w:p w14:paraId="1DF78699" w14:textId="7A89E76E" w:rsidR="00C200C9" w:rsidRPr="007E18B2" w:rsidRDefault="00C200C9" w:rsidP="00C50DC8">
            <w:pPr>
              <w:pStyle w:val="TableText"/>
              <w:jc w:val="center"/>
            </w:pPr>
            <w:r w:rsidRPr="007E18B2">
              <w:t>$</w:t>
            </w:r>
            <w:r w:rsidR="00B9195B" w:rsidRPr="00B9195B">
              <w:rPr>
                <w:color w:val="000000"/>
                <w:shd w:val="solid" w:color="000000" w:fill="000000"/>
                <w14:textFill>
                  <w14:solidFill>
                    <w14:srgbClr w14:val="000000">
                      <w14:alpha w14:val="100000"/>
                    </w14:srgbClr>
                  </w14:solidFill>
                </w14:textFill>
              </w:rPr>
              <w:t>|</w:t>
            </w:r>
          </w:p>
        </w:tc>
      </w:tr>
      <w:tr w:rsidR="00C200C9" w:rsidRPr="002530A2" w14:paraId="1490CD4D" w14:textId="77777777" w:rsidTr="00000678">
        <w:tc>
          <w:tcPr>
            <w:tcW w:w="1648" w:type="pct"/>
            <w:vAlign w:val="center"/>
          </w:tcPr>
          <w:p w14:paraId="0083003F" w14:textId="77777777" w:rsidR="00C200C9" w:rsidRPr="002530A2" w:rsidRDefault="00C200C9" w:rsidP="00C50DC8">
            <w:pPr>
              <w:pStyle w:val="TableText"/>
              <w:rPr>
                <w:rFonts w:ascii="Times" w:hAnsi="Times"/>
              </w:rPr>
            </w:pPr>
            <w:r w:rsidRPr="002530A2">
              <w:t>QALYs</w:t>
            </w:r>
          </w:p>
        </w:tc>
        <w:tc>
          <w:tcPr>
            <w:tcW w:w="1101" w:type="pct"/>
            <w:vAlign w:val="center"/>
          </w:tcPr>
          <w:p w14:paraId="3CAD1B5F" w14:textId="77777777" w:rsidR="00C200C9" w:rsidRPr="007E18B2" w:rsidRDefault="00C200C9" w:rsidP="00C50DC8">
            <w:pPr>
              <w:pStyle w:val="TableText"/>
              <w:jc w:val="center"/>
            </w:pPr>
            <w:r w:rsidRPr="007E18B2">
              <w:t>2.7779</w:t>
            </w:r>
          </w:p>
        </w:tc>
        <w:tc>
          <w:tcPr>
            <w:tcW w:w="1179" w:type="pct"/>
            <w:vAlign w:val="center"/>
          </w:tcPr>
          <w:p w14:paraId="57FFE4FA" w14:textId="77777777" w:rsidR="00C200C9" w:rsidRPr="007E18B2" w:rsidRDefault="00C200C9" w:rsidP="00C50DC8">
            <w:pPr>
              <w:pStyle w:val="TableText"/>
              <w:jc w:val="center"/>
            </w:pPr>
            <w:r w:rsidRPr="007E18B2">
              <w:t>2,5905</w:t>
            </w:r>
          </w:p>
        </w:tc>
        <w:tc>
          <w:tcPr>
            <w:tcW w:w="1072" w:type="pct"/>
            <w:vAlign w:val="center"/>
          </w:tcPr>
          <w:p w14:paraId="0F002B7B" w14:textId="77777777" w:rsidR="00C200C9" w:rsidRPr="007E18B2" w:rsidRDefault="00C200C9" w:rsidP="00C50DC8">
            <w:pPr>
              <w:pStyle w:val="TableText"/>
              <w:jc w:val="center"/>
            </w:pPr>
            <w:r w:rsidRPr="007E18B2">
              <w:t>0.1874</w:t>
            </w:r>
          </w:p>
        </w:tc>
      </w:tr>
      <w:tr w:rsidR="00C200C9" w:rsidRPr="002530A2" w14:paraId="0AFECA41" w14:textId="77777777" w:rsidTr="00000678">
        <w:tc>
          <w:tcPr>
            <w:tcW w:w="3928" w:type="pct"/>
            <w:gridSpan w:val="3"/>
            <w:vAlign w:val="center"/>
          </w:tcPr>
          <w:p w14:paraId="1220BE9E" w14:textId="77777777" w:rsidR="00C200C9" w:rsidRPr="007E18B2" w:rsidRDefault="00C200C9" w:rsidP="00C50DC8">
            <w:pPr>
              <w:pStyle w:val="TableText"/>
              <w:rPr>
                <w:rFonts w:ascii="Times" w:hAnsi="Times"/>
                <w:b/>
              </w:rPr>
            </w:pPr>
            <w:r w:rsidRPr="007E18B2">
              <w:rPr>
                <w:b/>
              </w:rPr>
              <w:t>Incremental cost/extra QALY gained (base case)</w:t>
            </w:r>
          </w:p>
        </w:tc>
        <w:tc>
          <w:tcPr>
            <w:tcW w:w="1072" w:type="pct"/>
            <w:vAlign w:val="center"/>
          </w:tcPr>
          <w:p w14:paraId="0D3D7D5B" w14:textId="1D899D6C" w:rsidR="00C200C9" w:rsidRPr="007E18B2" w:rsidRDefault="00C200C9" w:rsidP="00C50DC8">
            <w:pPr>
              <w:pStyle w:val="TableText"/>
              <w:jc w:val="center"/>
              <w:rPr>
                <w:b/>
              </w:rPr>
            </w:pPr>
            <w:r w:rsidRPr="007E18B2">
              <w:rPr>
                <w:b/>
              </w:rPr>
              <w:t>$</w:t>
            </w:r>
            <w:r w:rsidR="00B9195B" w:rsidRPr="00B9195B">
              <w:rPr>
                <w:b/>
                <w:color w:val="000000"/>
                <w:shd w:val="solid" w:color="000000" w:fill="000000"/>
                <w14:textFill>
                  <w14:solidFill>
                    <w14:srgbClr w14:val="000000">
                      <w14:alpha w14:val="100000"/>
                    </w14:srgbClr>
                  </w14:solidFill>
                </w14:textFill>
              </w:rPr>
              <w:t>|</w:t>
            </w:r>
            <w:r w:rsidR="00903085">
              <w:rPr>
                <w:b/>
                <w:bCs w:val="0"/>
                <w:vertAlign w:val="superscript"/>
              </w:rPr>
              <w:t>7</w:t>
            </w:r>
          </w:p>
        </w:tc>
      </w:tr>
    </w:tbl>
    <w:p w14:paraId="6BA1C9F2" w14:textId="77777777" w:rsidR="00C200C9" w:rsidRPr="002530A2" w:rsidRDefault="00C200C9" w:rsidP="00C200C9">
      <w:pPr>
        <w:pStyle w:val="TableFigureFooter"/>
      </w:pPr>
      <w:r w:rsidRPr="002530A2">
        <w:t>Source: Table 3</w:t>
      </w:r>
      <w:r>
        <w:t>-33</w:t>
      </w:r>
      <w:r w:rsidRPr="002530A2">
        <w:t>, p2</w:t>
      </w:r>
      <w:r>
        <w:t>19</w:t>
      </w:r>
      <w:r w:rsidRPr="002530A2">
        <w:t xml:space="preserve"> of the submission and ‘Attachment </w:t>
      </w:r>
      <w:r>
        <w:t>3.2</w:t>
      </w:r>
      <w:r w:rsidRPr="002530A2">
        <w:t xml:space="preserve"> - </w:t>
      </w:r>
      <w:proofErr w:type="spellStart"/>
      <w:r w:rsidRPr="002530A2">
        <w:t>Esketamine</w:t>
      </w:r>
      <w:proofErr w:type="spellEnd"/>
      <w:r w:rsidRPr="002530A2">
        <w:t xml:space="preserve"> TRD CE model’ spreadsheet provided with the </w:t>
      </w:r>
      <w:r>
        <w:t>re</w:t>
      </w:r>
      <w:r w:rsidRPr="002530A2">
        <w:t>submission.</w:t>
      </w:r>
    </w:p>
    <w:p w14:paraId="38CD3ACE" w14:textId="77777777" w:rsidR="00C200C9" w:rsidRDefault="00C200C9" w:rsidP="00C200C9">
      <w:pPr>
        <w:pStyle w:val="TableFigureFooter"/>
      </w:pPr>
      <w:r w:rsidRPr="002530A2">
        <w:t>Abbreviations: MDE, major depressive episode; OAD, oral antidepressant</w:t>
      </w:r>
    </w:p>
    <w:p w14:paraId="3455CE46" w14:textId="77777777" w:rsidR="00C200C9" w:rsidRPr="002530A2" w:rsidRDefault="00C200C9" w:rsidP="00C200C9">
      <w:pPr>
        <w:pStyle w:val="TableFigureFooter"/>
      </w:pPr>
      <w:r>
        <w:rPr>
          <w:vertAlign w:val="superscript"/>
        </w:rPr>
        <w:t xml:space="preserve">1 </w:t>
      </w:r>
      <w:r w:rsidRPr="0079557C">
        <w:t>In Step 1, the proportion of responders and proportion in remission are not mutually exclusive, however in Step 2a, the proportion of responders has been adjusted to remove the proportion in remission to make the model health states mutually exclusive.</w:t>
      </w:r>
    </w:p>
    <w:p w14:paraId="5AD71A4F" w14:textId="77777777" w:rsidR="00C200C9" w:rsidRPr="002530A2" w:rsidRDefault="00C200C9" w:rsidP="00C200C9">
      <w:pPr>
        <w:pStyle w:val="TableFigureFooter"/>
      </w:pPr>
      <w:r>
        <w:rPr>
          <w:vertAlign w:val="superscript"/>
        </w:rPr>
        <w:t>2</w:t>
      </w:r>
      <w:r w:rsidRPr="002530A2">
        <w:t xml:space="preserve"> Modelled drug and administration costs assuming patients with non-response, relapse or remission receive OAD only. </w:t>
      </w:r>
    </w:p>
    <w:p w14:paraId="09194276" w14:textId="5A77EAB9" w:rsidR="00C200C9" w:rsidRDefault="00903085" w:rsidP="004D3863">
      <w:pPr>
        <w:pStyle w:val="TableFigureFooter"/>
        <w:spacing w:after="0"/>
      </w:pPr>
      <w:r w:rsidRPr="00C76585">
        <w:rPr>
          <w:vertAlign w:val="superscript"/>
        </w:rPr>
        <w:lastRenderedPageBreak/>
        <w:t>3</w:t>
      </w:r>
      <w:r>
        <w:rPr>
          <w:vertAlign w:val="superscript"/>
        </w:rPr>
        <w:t xml:space="preserve"> </w:t>
      </w:r>
      <w:r w:rsidR="00C200C9">
        <w:t>C</w:t>
      </w:r>
      <w:r w:rsidR="00C200C9" w:rsidRPr="002530A2">
        <w:t>osts are the same as for Step 2b, as the cost of subsequent therapy is assumed to be the same as the cost for OAD.</w:t>
      </w:r>
    </w:p>
    <w:p w14:paraId="47D530CD" w14:textId="77777777" w:rsidR="00903085" w:rsidRPr="009A6D58" w:rsidRDefault="00903085" w:rsidP="0090308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2E3313F" w14:textId="6DD8965E" w:rsidR="00903085" w:rsidRDefault="00903085" w:rsidP="0090308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903085">
        <w:rPr>
          <w:rFonts w:ascii="Arial Narrow" w:hAnsi="Arial Narrow"/>
          <w:i/>
          <w:sz w:val="18"/>
          <w:szCs w:val="18"/>
        </w:rPr>
        <w:t>$55,000 to &lt; $75,000</w:t>
      </w:r>
    </w:p>
    <w:p w14:paraId="20E51003" w14:textId="0BEB0543" w:rsidR="00903085" w:rsidRDefault="00903085" w:rsidP="00903085">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903085">
        <w:rPr>
          <w:rFonts w:ascii="Arial Narrow" w:hAnsi="Arial Narrow"/>
          <w:i/>
          <w:sz w:val="18"/>
          <w:szCs w:val="18"/>
        </w:rPr>
        <w:t>$</w:t>
      </w:r>
      <w:r>
        <w:rPr>
          <w:rFonts w:ascii="Arial Narrow" w:hAnsi="Arial Narrow"/>
          <w:i/>
          <w:sz w:val="18"/>
          <w:szCs w:val="18"/>
        </w:rPr>
        <w:t>7</w:t>
      </w:r>
      <w:r w:rsidRPr="00903085">
        <w:rPr>
          <w:rFonts w:ascii="Arial Narrow" w:hAnsi="Arial Narrow"/>
          <w:i/>
          <w:sz w:val="18"/>
          <w:szCs w:val="18"/>
        </w:rPr>
        <w:t>5,000 to &lt; $</w:t>
      </w:r>
      <w:r>
        <w:rPr>
          <w:rFonts w:ascii="Arial Narrow" w:hAnsi="Arial Narrow"/>
          <w:i/>
          <w:sz w:val="18"/>
          <w:szCs w:val="18"/>
        </w:rPr>
        <w:t>9</w:t>
      </w:r>
      <w:r w:rsidRPr="00903085">
        <w:rPr>
          <w:rFonts w:ascii="Arial Narrow" w:hAnsi="Arial Narrow"/>
          <w:i/>
          <w:sz w:val="18"/>
          <w:szCs w:val="18"/>
        </w:rPr>
        <w:t>5,000</w:t>
      </w:r>
    </w:p>
    <w:p w14:paraId="0EA3F991" w14:textId="001EAC4C" w:rsidR="00903085" w:rsidRDefault="00903085" w:rsidP="00903085">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903085">
        <w:rPr>
          <w:rFonts w:ascii="Arial Narrow" w:hAnsi="Arial Narrow"/>
          <w:i/>
          <w:sz w:val="18"/>
          <w:szCs w:val="18"/>
        </w:rPr>
        <w:t>$115,000 to &lt; $135,000</w:t>
      </w:r>
    </w:p>
    <w:p w14:paraId="73298CC6" w14:textId="7BFCC08A" w:rsidR="00903085" w:rsidRDefault="00903085" w:rsidP="004D3863">
      <w:pPr>
        <w:spacing w:after="240"/>
      </w:pPr>
      <w:r>
        <w:rPr>
          <w:rFonts w:ascii="Arial Narrow" w:hAnsi="Arial Narrow"/>
          <w:i/>
          <w:sz w:val="18"/>
          <w:szCs w:val="18"/>
          <w:vertAlign w:val="superscript"/>
        </w:rPr>
        <w:t>7</w:t>
      </w:r>
      <w:r>
        <w:rPr>
          <w:rFonts w:ascii="Arial Narrow" w:hAnsi="Arial Narrow"/>
          <w:i/>
          <w:sz w:val="18"/>
          <w:szCs w:val="18"/>
        </w:rPr>
        <w:t xml:space="preserve"> </w:t>
      </w:r>
      <w:r w:rsidRPr="00903085">
        <w:rPr>
          <w:rFonts w:ascii="Arial Narrow" w:hAnsi="Arial Narrow"/>
          <w:i/>
          <w:sz w:val="18"/>
          <w:szCs w:val="18"/>
        </w:rPr>
        <w:t>$45,000 to &lt; $55,000</w:t>
      </w:r>
    </w:p>
    <w:p w14:paraId="6D7B4A45" w14:textId="77777777" w:rsidR="00D60862" w:rsidRPr="00E06F7E" w:rsidRDefault="00D60862" w:rsidP="00D60862">
      <w:pPr>
        <w:numPr>
          <w:ilvl w:val="1"/>
          <w:numId w:val="1"/>
        </w:numPr>
        <w:spacing w:after="120"/>
        <w:rPr>
          <w:rFonts w:asciiTheme="minorHAnsi" w:hAnsiTheme="minorHAnsi" w:cs="Times New Roman"/>
          <w:b/>
          <w:snapToGrid w:val="0"/>
        </w:rPr>
      </w:pPr>
      <w:r w:rsidRPr="00E06F7E">
        <w:rPr>
          <w:rFonts w:asciiTheme="minorHAnsi" w:hAnsiTheme="minorHAnsi" w:cs="Times New Roman"/>
          <w:snapToGrid w:val="0"/>
        </w:rPr>
        <w:t xml:space="preserve">Incorporating the costs and consequences of maintenance treatment, including health care resource use, applying health state utilities and extrapolation of the model to five years had the largest impacts on the stepped economic evaluation. </w:t>
      </w:r>
    </w:p>
    <w:p w14:paraId="2DDD33E0" w14:textId="09664D09" w:rsidR="00D60862" w:rsidRPr="00E06F7E" w:rsidRDefault="00D60862" w:rsidP="00D60862">
      <w:pPr>
        <w:numPr>
          <w:ilvl w:val="1"/>
          <w:numId w:val="1"/>
        </w:numPr>
        <w:spacing w:after="120"/>
        <w:rPr>
          <w:rFonts w:asciiTheme="minorHAnsi" w:hAnsiTheme="minorHAnsi" w:cs="Times New Roman"/>
          <w:snapToGrid w:val="0"/>
        </w:rPr>
      </w:pPr>
      <w:r w:rsidRPr="00D60862">
        <w:rPr>
          <w:rFonts w:asciiTheme="minorHAnsi" w:hAnsiTheme="minorHAnsi" w:cs="Times New Roman"/>
          <w:snapToGrid w:val="0"/>
        </w:rPr>
        <w:t xml:space="preserve">Based on the economic model, treatment with </w:t>
      </w:r>
      <w:proofErr w:type="spellStart"/>
      <w:r w:rsidRPr="00D60862">
        <w:rPr>
          <w:rFonts w:asciiTheme="minorHAnsi" w:hAnsiTheme="minorHAnsi" w:cs="Times New Roman"/>
          <w:snapToGrid w:val="0"/>
        </w:rPr>
        <w:t>esketamine</w:t>
      </w:r>
      <w:proofErr w:type="spellEnd"/>
      <w:r w:rsidRPr="00D60862">
        <w:rPr>
          <w:rFonts w:asciiTheme="minorHAnsi" w:hAnsiTheme="minorHAnsi" w:cs="Times New Roman"/>
          <w:snapToGrid w:val="0"/>
        </w:rPr>
        <w:t xml:space="preserve"> nasal spray plus a newly initiated </w:t>
      </w:r>
      <w:r w:rsidR="00C50DC8">
        <w:rPr>
          <w:rFonts w:asciiTheme="minorHAnsi" w:hAnsiTheme="minorHAnsi" w:cs="Times New Roman"/>
          <w:snapToGrid w:val="0"/>
        </w:rPr>
        <w:t>OAD</w:t>
      </w:r>
      <w:r w:rsidRPr="00D60862">
        <w:rPr>
          <w:rFonts w:asciiTheme="minorHAnsi" w:hAnsiTheme="minorHAnsi" w:cs="Times New Roman"/>
          <w:snapToGrid w:val="0"/>
        </w:rPr>
        <w:t xml:space="preserve"> versus treatment with a newly initiated </w:t>
      </w:r>
      <w:r w:rsidR="00C50DC8">
        <w:rPr>
          <w:rFonts w:asciiTheme="minorHAnsi" w:hAnsiTheme="minorHAnsi" w:cs="Times New Roman"/>
          <w:snapToGrid w:val="0"/>
        </w:rPr>
        <w:t>OAD</w:t>
      </w:r>
      <w:r w:rsidRPr="00D60862">
        <w:rPr>
          <w:rFonts w:asciiTheme="minorHAnsi" w:hAnsiTheme="minorHAnsi" w:cs="Times New Roman"/>
          <w:snapToGrid w:val="0"/>
        </w:rPr>
        <w:t xml:space="preserve"> in patients with TRD is associated with an incremental cost per QALY gained of </w:t>
      </w:r>
      <w:r w:rsidR="00903085" w:rsidRPr="00903085">
        <w:rPr>
          <w:rFonts w:asciiTheme="minorHAnsi" w:hAnsiTheme="minorHAnsi" w:cs="Times New Roman"/>
          <w:snapToGrid w:val="0"/>
        </w:rPr>
        <w:t>$45,000</w:t>
      </w:r>
      <w:r w:rsidR="00903085">
        <w:rPr>
          <w:rFonts w:asciiTheme="minorHAnsi" w:hAnsiTheme="minorHAnsi" w:cs="Times New Roman"/>
          <w:snapToGrid w:val="0"/>
        </w:rPr>
        <w:t xml:space="preserve"> </w:t>
      </w:r>
      <w:r w:rsidR="00903085" w:rsidRPr="00903085">
        <w:rPr>
          <w:rFonts w:asciiTheme="minorHAnsi" w:hAnsiTheme="minorHAnsi" w:cs="Times New Roman"/>
          <w:snapToGrid w:val="0"/>
        </w:rPr>
        <w:t>to</w:t>
      </w:r>
      <w:r w:rsidR="00903085">
        <w:rPr>
          <w:rFonts w:asciiTheme="minorHAnsi" w:hAnsiTheme="minorHAnsi" w:cs="Times New Roman"/>
          <w:snapToGrid w:val="0"/>
        </w:rPr>
        <w:t xml:space="preserve"> </w:t>
      </w:r>
      <w:r w:rsidR="00903085" w:rsidRPr="00903085">
        <w:rPr>
          <w:rFonts w:asciiTheme="minorHAnsi" w:hAnsiTheme="minorHAnsi" w:cs="Times New Roman"/>
          <w:snapToGrid w:val="0"/>
        </w:rPr>
        <w:t>&lt; $55,000</w:t>
      </w:r>
      <w:r w:rsidRPr="00D60862">
        <w:rPr>
          <w:rFonts w:asciiTheme="minorHAnsi" w:hAnsiTheme="minorHAnsi" w:cs="Times New Roman"/>
          <w:snapToGrid w:val="0"/>
        </w:rPr>
        <w:t xml:space="preserve">. This compares to an incremental cost per QALY gained of </w:t>
      </w:r>
      <w:r w:rsidR="00903085" w:rsidRPr="00903085">
        <w:rPr>
          <w:rFonts w:asciiTheme="minorHAnsi" w:hAnsiTheme="minorHAnsi" w:cs="Times New Roman"/>
          <w:snapToGrid w:val="0"/>
        </w:rPr>
        <w:t>$25,00</w:t>
      </w:r>
      <w:r w:rsidR="00903085">
        <w:rPr>
          <w:rFonts w:asciiTheme="minorHAnsi" w:hAnsiTheme="minorHAnsi" w:cs="Times New Roman"/>
          <w:snapToGrid w:val="0"/>
        </w:rPr>
        <w:t xml:space="preserve">0 </w:t>
      </w:r>
      <w:r w:rsidR="00903085" w:rsidRPr="00903085">
        <w:rPr>
          <w:rFonts w:asciiTheme="minorHAnsi" w:hAnsiTheme="minorHAnsi" w:cs="Times New Roman"/>
          <w:snapToGrid w:val="0"/>
        </w:rPr>
        <w:t>to</w:t>
      </w:r>
      <w:r w:rsidR="00903085">
        <w:rPr>
          <w:rFonts w:asciiTheme="minorHAnsi" w:hAnsiTheme="minorHAnsi" w:cs="Times New Roman"/>
          <w:snapToGrid w:val="0"/>
        </w:rPr>
        <w:t xml:space="preserve"> </w:t>
      </w:r>
      <w:r w:rsidR="00903085" w:rsidRPr="00903085">
        <w:rPr>
          <w:rFonts w:asciiTheme="minorHAnsi" w:hAnsiTheme="minorHAnsi" w:cs="Times New Roman"/>
          <w:snapToGrid w:val="0"/>
        </w:rPr>
        <w:t>&lt; $35,000</w:t>
      </w:r>
      <w:r w:rsidR="00903085">
        <w:rPr>
          <w:rFonts w:asciiTheme="minorHAnsi" w:hAnsiTheme="minorHAnsi" w:cs="Times New Roman"/>
          <w:snapToGrid w:val="0"/>
        </w:rPr>
        <w:t xml:space="preserve"> </w:t>
      </w:r>
      <w:r w:rsidRPr="00D60862">
        <w:rPr>
          <w:rFonts w:asciiTheme="minorHAnsi" w:hAnsiTheme="minorHAnsi" w:cs="Times New Roman"/>
          <w:snapToGrid w:val="0"/>
        </w:rPr>
        <w:t xml:space="preserve">in the July 2021 submission. </w:t>
      </w:r>
      <w:r w:rsidRPr="00E06F7E">
        <w:rPr>
          <w:rFonts w:asciiTheme="minorHAnsi" w:hAnsiTheme="minorHAnsi" w:cs="Times New Roman"/>
          <w:snapToGrid w:val="0"/>
        </w:rPr>
        <w:t xml:space="preserve">The main changes contributing to the higher ICER in the resubmission’s model despite the lower price are the higher cost of administration for </w:t>
      </w:r>
      <w:proofErr w:type="spellStart"/>
      <w:r w:rsidRPr="00E06F7E">
        <w:rPr>
          <w:rFonts w:asciiTheme="minorHAnsi" w:hAnsiTheme="minorHAnsi" w:cs="Times New Roman"/>
          <w:snapToGrid w:val="0"/>
        </w:rPr>
        <w:t>esketamine</w:t>
      </w:r>
      <w:proofErr w:type="spellEnd"/>
      <w:r w:rsidRPr="00E06F7E">
        <w:rPr>
          <w:rFonts w:asciiTheme="minorHAnsi" w:hAnsiTheme="minorHAnsi" w:cs="Times New Roman"/>
          <w:snapToGrid w:val="0"/>
        </w:rPr>
        <w:t>, using estimates of loss of response/remission for the placebo plus OAD arm from STAR*D rather than SUSTAIN-1, and the inclusion of a recovery health state in the subsequent therapy pathway.</w:t>
      </w:r>
    </w:p>
    <w:p w14:paraId="1A1BE721" w14:textId="08563032" w:rsidR="00D60862" w:rsidRPr="00E06F7E" w:rsidRDefault="00641CF3" w:rsidP="00D60862">
      <w:pPr>
        <w:numPr>
          <w:ilvl w:val="1"/>
          <w:numId w:val="1"/>
        </w:numPr>
        <w:rPr>
          <w:rFonts w:asciiTheme="minorHAnsi" w:hAnsiTheme="minorHAnsi" w:cs="Times New Roman"/>
          <w:snapToGrid w:val="0"/>
        </w:rPr>
      </w:pPr>
      <w:bookmarkStart w:id="38" w:name="_Hlk102383132"/>
      <w:r w:rsidRPr="00E06F7E">
        <w:rPr>
          <w:rFonts w:asciiTheme="minorHAnsi" w:hAnsiTheme="minorHAnsi" w:cs="Times New Roman"/>
          <w:snapToGrid w:val="0"/>
        </w:rPr>
        <w:t>On average, f</w:t>
      </w:r>
      <w:r w:rsidR="00D60862" w:rsidRPr="00E06F7E">
        <w:rPr>
          <w:rFonts w:asciiTheme="minorHAnsi" w:hAnsiTheme="minorHAnsi" w:cs="Times New Roman"/>
          <w:snapToGrid w:val="0"/>
        </w:rPr>
        <w:t xml:space="preserve">or every patient treated with </w:t>
      </w:r>
      <w:proofErr w:type="spellStart"/>
      <w:r w:rsidR="00D60862" w:rsidRPr="00E06F7E">
        <w:rPr>
          <w:rFonts w:asciiTheme="minorHAnsi" w:hAnsiTheme="minorHAnsi" w:cs="Times New Roman"/>
          <w:snapToGrid w:val="0"/>
        </w:rPr>
        <w:t>esketamine</w:t>
      </w:r>
      <w:proofErr w:type="spellEnd"/>
      <w:r w:rsidR="00D60862" w:rsidRPr="00E06F7E">
        <w:rPr>
          <w:rFonts w:asciiTheme="minorHAnsi" w:hAnsiTheme="minorHAnsi" w:cs="Times New Roman"/>
          <w:snapToGrid w:val="0"/>
        </w:rPr>
        <w:t xml:space="preserve"> plus OAD compared with OAD alone and followed up for 5 years, the (undiscounted) economic model estimates that there would be:</w:t>
      </w:r>
    </w:p>
    <w:p w14:paraId="3B7E8CCB" w14:textId="2DC9F0E1" w:rsidR="00D60862" w:rsidRPr="00E06F7E" w:rsidRDefault="00D60862" w:rsidP="004D6A5C">
      <w:pPr>
        <w:numPr>
          <w:ilvl w:val="1"/>
          <w:numId w:val="10"/>
        </w:numPr>
        <w:ind w:left="1077" w:hanging="357"/>
        <w:rPr>
          <w:rFonts w:asciiTheme="minorHAnsi" w:hAnsiTheme="minorHAnsi" w:cs="Times New Roman"/>
          <w:snapToGrid w:val="0"/>
        </w:rPr>
      </w:pPr>
      <w:proofErr w:type="spellStart"/>
      <w:r w:rsidRPr="00E06F7E">
        <w:rPr>
          <w:rFonts w:asciiTheme="minorHAnsi" w:hAnsiTheme="minorHAnsi" w:cs="Times New Roman"/>
          <w:snapToGrid w:val="0"/>
        </w:rPr>
        <w:t>Esketamine</w:t>
      </w:r>
      <w:proofErr w:type="spellEnd"/>
      <w:r w:rsidRPr="00E06F7E">
        <w:rPr>
          <w:rFonts w:asciiTheme="minorHAnsi" w:hAnsiTheme="minorHAnsi" w:cs="Times New Roman"/>
          <w:snapToGrid w:val="0"/>
        </w:rPr>
        <w:t xml:space="preserve"> drug and administration costs of </w:t>
      </w:r>
      <w:r w:rsidRPr="00A63A46">
        <w:rPr>
          <w:rFonts w:asciiTheme="minorHAnsi" w:hAnsiTheme="minorHAnsi" w:cs="Times New Roman"/>
          <w:snapToGrid w:val="0"/>
        </w:rPr>
        <w:t>$</w:t>
      </w:r>
      <w:r w:rsidR="00B9195B" w:rsidRPr="002030D0">
        <w:rPr>
          <w:rFonts w:asciiTheme="minorHAnsi" w:hAnsiTheme="minorHAnsi" w:cs="Times New Roman"/>
          <w:snapToGrid w:val="0"/>
          <w:color w:val="000000"/>
          <w:w w:val="15"/>
          <w:shd w:val="solid" w:color="000000" w:fill="000000"/>
          <w:fitText w:val="-20" w:id="-1436330752"/>
          <w14:textFill>
            <w14:solidFill>
              <w14:srgbClr w14:val="000000">
                <w14:alpha w14:val="100000"/>
              </w14:srgbClr>
            </w14:solidFill>
          </w14:textFill>
        </w:rPr>
        <w:t xml:space="preserve">|  </w:t>
      </w:r>
      <w:r w:rsidR="00B9195B" w:rsidRPr="002030D0">
        <w:rPr>
          <w:rFonts w:asciiTheme="minorHAnsi" w:hAnsiTheme="minorHAnsi" w:cs="Times New Roman"/>
          <w:snapToGrid w:val="0"/>
          <w:color w:val="000000"/>
          <w:spacing w:val="-69"/>
          <w:w w:val="15"/>
          <w:shd w:val="solid" w:color="000000" w:fill="000000"/>
          <w:fitText w:val="-20" w:id="-1436330752"/>
          <w14:textFill>
            <w14:solidFill>
              <w14:srgbClr w14:val="000000">
                <w14:alpha w14:val="100000"/>
              </w14:srgbClr>
            </w14:solidFill>
          </w14:textFill>
        </w:rPr>
        <w:t>|</w:t>
      </w:r>
      <w:r w:rsidRPr="00A63A46">
        <w:rPr>
          <w:rFonts w:asciiTheme="minorHAnsi" w:hAnsiTheme="minorHAnsi" w:cs="Times New Roman"/>
          <w:snapToGrid w:val="0"/>
        </w:rPr>
        <w:t>;</w:t>
      </w:r>
      <w:r w:rsidRPr="00E06F7E">
        <w:rPr>
          <w:rFonts w:asciiTheme="minorHAnsi" w:hAnsiTheme="minorHAnsi" w:cs="Times New Roman"/>
          <w:snapToGrid w:val="0"/>
        </w:rPr>
        <w:t xml:space="preserve"> based on an average duration of treatment of 0.95 years (</w:t>
      </w:r>
      <w:r w:rsidR="00641CF3" w:rsidRPr="00E06F7E">
        <w:rPr>
          <w:rFonts w:asciiTheme="minorHAnsi" w:hAnsiTheme="minorHAnsi" w:cs="Times New Roman"/>
          <w:snapToGrid w:val="0"/>
        </w:rPr>
        <w:t>11.4 months</w:t>
      </w:r>
      <w:r w:rsidRPr="00E06F7E">
        <w:rPr>
          <w:rFonts w:asciiTheme="minorHAnsi" w:hAnsiTheme="minorHAnsi" w:cs="Times New Roman"/>
          <w:snapToGrid w:val="0"/>
        </w:rPr>
        <w:t>).</w:t>
      </w:r>
    </w:p>
    <w:p w14:paraId="00EC1D3E" w14:textId="66092826" w:rsidR="00D60862" w:rsidRPr="00E06F7E" w:rsidRDefault="00D60862" w:rsidP="004D6A5C">
      <w:pPr>
        <w:numPr>
          <w:ilvl w:val="1"/>
          <w:numId w:val="10"/>
        </w:numPr>
        <w:spacing w:after="120"/>
        <w:ind w:left="1077" w:hanging="357"/>
        <w:rPr>
          <w:rFonts w:asciiTheme="minorHAnsi" w:hAnsiTheme="minorHAnsi" w:cs="Times New Roman"/>
          <w:snapToGrid w:val="0"/>
        </w:rPr>
      </w:pPr>
      <w:r w:rsidRPr="00E06F7E">
        <w:rPr>
          <w:rFonts w:asciiTheme="minorHAnsi" w:hAnsiTheme="minorHAnsi" w:cs="Times New Roman"/>
          <w:snapToGrid w:val="0"/>
        </w:rPr>
        <w:t xml:space="preserve">An additional </w:t>
      </w:r>
      <w:r w:rsidR="00641CF3" w:rsidRPr="00E06F7E">
        <w:rPr>
          <w:rFonts w:asciiTheme="minorHAnsi" w:hAnsiTheme="minorHAnsi" w:cs="Times New Roman"/>
          <w:snapToGrid w:val="0"/>
        </w:rPr>
        <w:t>0.</w:t>
      </w:r>
      <w:r w:rsidRPr="00E06F7E">
        <w:rPr>
          <w:rFonts w:asciiTheme="minorHAnsi" w:hAnsiTheme="minorHAnsi" w:cs="Times New Roman"/>
          <w:snapToGrid w:val="0"/>
        </w:rPr>
        <w:t>48 years</w:t>
      </w:r>
      <w:r w:rsidR="00641CF3" w:rsidRPr="00E06F7E">
        <w:rPr>
          <w:rFonts w:asciiTheme="minorHAnsi" w:hAnsiTheme="minorHAnsi" w:cs="Times New Roman"/>
          <w:snapToGrid w:val="0"/>
        </w:rPr>
        <w:t xml:space="preserve"> (5.8 months)</w:t>
      </w:r>
      <w:r w:rsidRPr="00E06F7E">
        <w:rPr>
          <w:rFonts w:asciiTheme="minorHAnsi" w:hAnsiTheme="minorHAnsi" w:cs="Times New Roman"/>
          <w:snapToGrid w:val="0"/>
        </w:rPr>
        <w:t xml:space="preserve"> free from major depressive disorder, which would save $14</w:t>
      </w:r>
      <w:r w:rsidR="00641CF3" w:rsidRPr="00E06F7E">
        <w:rPr>
          <w:rFonts w:asciiTheme="minorHAnsi" w:hAnsiTheme="minorHAnsi" w:cs="Times New Roman"/>
          <w:snapToGrid w:val="0"/>
        </w:rPr>
        <w:t>,</w:t>
      </w:r>
      <w:r w:rsidRPr="00E06F7E">
        <w:rPr>
          <w:rFonts w:asciiTheme="minorHAnsi" w:hAnsiTheme="minorHAnsi" w:cs="Times New Roman"/>
          <w:snapToGrid w:val="0"/>
        </w:rPr>
        <w:t>9</w:t>
      </w:r>
      <w:r w:rsidR="00641CF3" w:rsidRPr="00E06F7E">
        <w:rPr>
          <w:rFonts w:asciiTheme="minorHAnsi" w:hAnsiTheme="minorHAnsi" w:cs="Times New Roman"/>
          <w:snapToGrid w:val="0"/>
        </w:rPr>
        <w:t>32</w:t>
      </w:r>
      <w:r w:rsidRPr="00E06F7E">
        <w:rPr>
          <w:rFonts w:asciiTheme="minorHAnsi" w:hAnsiTheme="minorHAnsi" w:cs="Times New Roman"/>
          <w:snapToGrid w:val="0"/>
        </w:rPr>
        <w:t xml:space="preserve"> in disease management costs, and be associated with improved quality of life.</w:t>
      </w:r>
    </w:p>
    <w:bookmarkEnd w:id="38"/>
    <w:p w14:paraId="635B4950" w14:textId="2013631F" w:rsidR="00654B2E" w:rsidRPr="00654B2E" w:rsidRDefault="00D31BD3" w:rsidP="00654B2E">
      <w:pPr>
        <w:pStyle w:val="ExecSumBodyText"/>
      </w:pPr>
      <w:r>
        <w:t>A</w:t>
      </w:r>
      <w:r w:rsidR="001C1C35">
        <w:t xml:space="preserve">n alternative analysis presented in the resubmission including indirect costs to patients due to </w:t>
      </w:r>
      <w:r w:rsidR="001C1C35" w:rsidRPr="00DE4D8C">
        <w:t xml:space="preserve">loss in productivity associated with TRD resulted in a cost per QALY gained of </w:t>
      </w:r>
      <w:r w:rsidR="00903085" w:rsidRPr="00903085">
        <w:rPr>
          <w:rFonts w:cs="Times New Roman"/>
        </w:rPr>
        <w:t>$25,00</w:t>
      </w:r>
      <w:r w:rsidR="00903085">
        <w:rPr>
          <w:rFonts w:cs="Times New Roman"/>
        </w:rPr>
        <w:t xml:space="preserve">0 </w:t>
      </w:r>
      <w:r w:rsidR="00903085" w:rsidRPr="00903085">
        <w:rPr>
          <w:rFonts w:cs="Times New Roman"/>
        </w:rPr>
        <w:t>to</w:t>
      </w:r>
      <w:r w:rsidR="00903085">
        <w:rPr>
          <w:rFonts w:cs="Times New Roman"/>
        </w:rPr>
        <w:t xml:space="preserve"> </w:t>
      </w:r>
      <w:r w:rsidR="00903085" w:rsidRPr="00903085">
        <w:rPr>
          <w:rFonts w:cs="Times New Roman"/>
        </w:rPr>
        <w:t>&lt; $35,000</w:t>
      </w:r>
      <w:r w:rsidR="00EE5606" w:rsidRPr="00DE4D8C">
        <w:t>.</w:t>
      </w:r>
      <w:r w:rsidR="00654B2E" w:rsidRPr="00DE4D8C">
        <w:t xml:space="preserve"> The </w:t>
      </w:r>
      <w:r w:rsidR="00DE4D8C">
        <w:t>P</w:t>
      </w:r>
      <w:r w:rsidR="00DE4D8C" w:rsidRPr="00DE4D8C">
        <w:t xml:space="preserve">re-PBAC </w:t>
      </w:r>
      <w:r w:rsidR="00DE4D8C">
        <w:t>R</w:t>
      </w:r>
      <w:r w:rsidR="00DE4D8C" w:rsidRPr="00DE4D8C">
        <w:t xml:space="preserve">esponse stated </w:t>
      </w:r>
      <w:r w:rsidR="00DE4D8C" w:rsidRPr="00DE4D8C">
        <w:rPr>
          <w:szCs w:val="22"/>
        </w:rPr>
        <w:t>indirect cost benefits due to reduction in depression symptoms has bee</w:t>
      </w:r>
      <w:r w:rsidR="00DE4D8C" w:rsidRPr="00365FC1">
        <w:rPr>
          <w:szCs w:val="22"/>
        </w:rPr>
        <w:t xml:space="preserve">n demonstrated consistently in the published </w:t>
      </w:r>
      <w:proofErr w:type="gramStart"/>
      <w:r w:rsidR="00DE4D8C" w:rsidRPr="00365FC1">
        <w:rPr>
          <w:szCs w:val="22"/>
        </w:rPr>
        <w:t>literature</w:t>
      </w:r>
      <w:r w:rsidR="00DE4D8C">
        <w:rPr>
          <w:szCs w:val="22"/>
        </w:rPr>
        <w:t>,</w:t>
      </w:r>
      <w:r w:rsidR="00F604EA">
        <w:rPr>
          <w:szCs w:val="22"/>
        </w:rPr>
        <w:t xml:space="preserve"> </w:t>
      </w:r>
      <w:r w:rsidR="00DE4D8C">
        <w:rPr>
          <w:szCs w:val="22"/>
        </w:rPr>
        <w:t>and</w:t>
      </w:r>
      <w:proofErr w:type="gramEnd"/>
      <w:r w:rsidR="00DE4D8C">
        <w:rPr>
          <w:szCs w:val="22"/>
        </w:rPr>
        <w:t xml:space="preserve"> should be considered in any assessment of the value of </w:t>
      </w:r>
      <w:proofErr w:type="spellStart"/>
      <w:r w:rsidR="00DE4D8C">
        <w:rPr>
          <w:szCs w:val="22"/>
        </w:rPr>
        <w:t>esketamine</w:t>
      </w:r>
      <w:proofErr w:type="spellEnd"/>
      <w:r w:rsidR="00DE4D8C">
        <w:rPr>
          <w:szCs w:val="22"/>
        </w:rPr>
        <w:t xml:space="preserve">. </w:t>
      </w:r>
    </w:p>
    <w:p w14:paraId="3C299B99" w14:textId="3FE55676" w:rsidR="00D60862" w:rsidRPr="00E06F7E" w:rsidRDefault="00D60862" w:rsidP="00D60862">
      <w:pPr>
        <w:pStyle w:val="ExecSumBodyText"/>
        <w:rPr>
          <w:color w:val="0066FF"/>
        </w:rPr>
      </w:pPr>
      <w:r w:rsidRPr="00D60862">
        <w:rPr>
          <w:rFonts w:ascii="Calibri" w:hAnsi="Calibri" w:cs="Times New Roman"/>
          <w:snapToGrid/>
        </w:rPr>
        <w:t xml:space="preserve">The results of key sensitivity analyses are summarised below. </w:t>
      </w:r>
    </w:p>
    <w:p w14:paraId="35BA8D78" w14:textId="20961BB4" w:rsidR="00B169A9" w:rsidRPr="002530A2" w:rsidRDefault="00B169A9" w:rsidP="00C50DC8">
      <w:pPr>
        <w:pStyle w:val="Caption"/>
        <w:rPr>
          <w:i/>
          <w:iCs/>
        </w:rPr>
      </w:pPr>
      <w:bookmarkStart w:id="39" w:name="_Ref110345624"/>
      <w:r w:rsidRPr="002530A2">
        <w:t xml:space="preserve">Table </w:t>
      </w:r>
      <w:r w:rsidR="002030D0">
        <w:fldChar w:fldCharType="begin"/>
      </w:r>
      <w:r w:rsidR="002030D0">
        <w:instrText xml:space="preserve"> SEQ Table \* AR</w:instrText>
      </w:r>
      <w:r w:rsidR="002030D0">
        <w:instrText xml:space="preserve">ABIC </w:instrText>
      </w:r>
      <w:r w:rsidR="002030D0">
        <w:fldChar w:fldCharType="separate"/>
      </w:r>
      <w:r w:rsidR="008E3D7A">
        <w:rPr>
          <w:noProof/>
        </w:rPr>
        <w:t>16</w:t>
      </w:r>
      <w:r w:rsidR="002030D0">
        <w:rPr>
          <w:noProof/>
        </w:rPr>
        <w:fldChar w:fldCharType="end"/>
      </w:r>
      <w:bookmarkEnd w:id="39"/>
      <w:r w:rsidRPr="00D60B48">
        <w:t>:</w:t>
      </w:r>
      <w:r w:rsidRPr="002530A2">
        <w:t xml:space="preserve"> Results of sensitivity analyses</w:t>
      </w:r>
    </w:p>
    <w:tbl>
      <w:tblPr>
        <w:tblStyle w:val="TableGrid"/>
        <w:tblW w:w="5000" w:type="pct"/>
        <w:tblLayout w:type="fixed"/>
        <w:tblCellMar>
          <w:left w:w="57" w:type="dxa"/>
          <w:right w:w="57" w:type="dxa"/>
        </w:tblCellMar>
        <w:tblLook w:val="04A0" w:firstRow="1" w:lastRow="0" w:firstColumn="1" w:lastColumn="0" w:noHBand="0" w:noVBand="1"/>
      </w:tblPr>
      <w:tblGrid>
        <w:gridCol w:w="4279"/>
        <w:gridCol w:w="1183"/>
        <w:gridCol w:w="1185"/>
        <w:gridCol w:w="1185"/>
        <w:gridCol w:w="1185"/>
      </w:tblGrid>
      <w:tr w:rsidR="00B261C7" w:rsidRPr="002530A2" w14:paraId="215411D4" w14:textId="316D510D" w:rsidTr="00873314">
        <w:trPr>
          <w:tblHeader/>
        </w:trPr>
        <w:tc>
          <w:tcPr>
            <w:tcW w:w="2373" w:type="pct"/>
          </w:tcPr>
          <w:p w14:paraId="50D21301" w14:textId="77777777" w:rsidR="00B261C7" w:rsidRPr="007E18B2" w:rsidRDefault="00B261C7" w:rsidP="00000678">
            <w:pPr>
              <w:pStyle w:val="TableText"/>
              <w:keepNext w:val="0"/>
            </w:pPr>
          </w:p>
        </w:tc>
        <w:tc>
          <w:tcPr>
            <w:tcW w:w="656" w:type="pct"/>
          </w:tcPr>
          <w:p w14:paraId="262FE21C" w14:textId="77777777" w:rsidR="00B261C7" w:rsidRPr="007E18B2" w:rsidRDefault="00B261C7" w:rsidP="00000678">
            <w:pPr>
              <w:pStyle w:val="TableText"/>
              <w:keepNext w:val="0"/>
              <w:jc w:val="center"/>
              <w:rPr>
                <w:b/>
                <w:bCs w:val="0"/>
              </w:rPr>
            </w:pPr>
            <w:r w:rsidRPr="007E18B2">
              <w:rPr>
                <w:b/>
                <w:bCs w:val="0"/>
              </w:rPr>
              <w:t>Incremental cost</w:t>
            </w:r>
          </w:p>
        </w:tc>
        <w:tc>
          <w:tcPr>
            <w:tcW w:w="657" w:type="pct"/>
          </w:tcPr>
          <w:p w14:paraId="1602105C" w14:textId="77777777" w:rsidR="00B261C7" w:rsidRPr="007E18B2" w:rsidRDefault="00B261C7" w:rsidP="00000678">
            <w:pPr>
              <w:pStyle w:val="TableText"/>
              <w:keepNext w:val="0"/>
              <w:jc w:val="center"/>
              <w:rPr>
                <w:b/>
                <w:bCs w:val="0"/>
              </w:rPr>
            </w:pPr>
            <w:r w:rsidRPr="007E18B2">
              <w:rPr>
                <w:b/>
                <w:bCs w:val="0"/>
              </w:rPr>
              <w:t>Incremental QALYs</w:t>
            </w:r>
          </w:p>
        </w:tc>
        <w:tc>
          <w:tcPr>
            <w:tcW w:w="657" w:type="pct"/>
            <w:vAlign w:val="center"/>
          </w:tcPr>
          <w:p w14:paraId="683A5822" w14:textId="77777777" w:rsidR="00B261C7" w:rsidRPr="007E18B2" w:rsidRDefault="00B261C7" w:rsidP="00000678">
            <w:pPr>
              <w:pStyle w:val="TableText"/>
              <w:keepNext w:val="0"/>
              <w:jc w:val="center"/>
              <w:rPr>
                <w:b/>
                <w:bCs w:val="0"/>
              </w:rPr>
            </w:pPr>
            <w:r w:rsidRPr="007E18B2">
              <w:rPr>
                <w:b/>
                <w:bCs w:val="0"/>
              </w:rPr>
              <w:t>ICER</w:t>
            </w:r>
          </w:p>
        </w:tc>
        <w:tc>
          <w:tcPr>
            <w:tcW w:w="657" w:type="pct"/>
          </w:tcPr>
          <w:p w14:paraId="49CB4015" w14:textId="35949121" w:rsidR="00B261C7" w:rsidRPr="007E18B2" w:rsidRDefault="00B261C7" w:rsidP="00000678">
            <w:pPr>
              <w:pStyle w:val="TableText"/>
              <w:keepNext w:val="0"/>
              <w:jc w:val="center"/>
              <w:rPr>
                <w:b/>
                <w:bCs w:val="0"/>
              </w:rPr>
            </w:pPr>
            <w:r w:rsidRPr="007E18B2">
              <w:rPr>
                <w:b/>
                <w:bCs w:val="0"/>
              </w:rPr>
              <w:t>% change</w:t>
            </w:r>
            <w:r w:rsidR="001F3AAE" w:rsidRPr="007E18B2">
              <w:rPr>
                <w:b/>
                <w:bCs w:val="0"/>
              </w:rPr>
              <w:t xml:space="preserve"> in ICER</w:t>
            </w:r>
          </w:p>
        </w:tc>
      </w:tr>
      <w:tr w:rsidR="00B261C7" w:rsidRPr="002530A2" w14:paraId="11A601E1" w14:textId="15662FBC" w:rsidTr="00873314">
        <w:tc>
          <w:tcPr>
            <w:tcW w:w="2373" w:type="pct"/>
          </w:tcPr>
          <w:p w14:paraId="313CC70F" w14:textId="77777777" w:rsidR="00B261C7" w:rsidRPr="007E18B2" w:rsidRDefault="00B261C7" w:rsidP="00000678">
            <w:pPr>
              <w:pStyle w:val="TableText"/>
              <w:keepNext w:val="0"/>
              <w:rPr>
                <w:b/>
                <w:bCs w:val="0"/>
              </w:rPr>
            </w:pPr>
            <w:r w:rsidRPr="007E18B2">
              <w:rPr>
                <w:b/>
                <w:bCs w:val="0"/>
              </w:rPr>
              <w:t>Base case</w:t>
            </w:r>
          </w:p>
        </w:tc>
        <w:tc>
          <w:tcPr>
            <w:tcW w:w="656" w:type="pct"/>
            <w:vAlign w:val="center"/>
          </w:tcPr>
          <w:p w14:paraId="03AD6A83" w14:textId="13B536D7" w:rsidR="00B261C7" w:rsidRPr="007E18B2" w:rsidRDefault="00B261C7" w:rsidP="00000678">
            <w:pPr>
              <w:pStyle w:val="TableText"/>
              <w:keepNext w:val="0"/>
              <w:jc w:val="center"/>
              <w:rPr>
                <w:b/>
                <w:bCs w:val="0"/>
              </w:rPr>
            </w:pPr>
            <w:r w:rsidRPr="007E18B2">
              <w:rPr>
                <w:rFonts w:cs="Calibri"/>
                <w:color w:val="000000"/>
                <w:szCs w:val="20"/>
              </w:rPr>
              <w:t>$</w:t>
            </w:r>
            <w:r w:rsidR="00B9195B" w:rsidRPr="00B9195B">
              <w:rPr>
                <w:rFonts w:cs="Calibri" w:hint="eastAsia"/>
                <w:color w:val="000000"/>
                <w:w w:val="15"/>
                <w:szCs w:val="20"/>
                <w:shd w:val="solid" w:color="000000" w:fill="000000"/>
                <w:fitText w:val="61" w:id="-1436330751"/>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51"/>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51"/>
                <w14:textFill>
                  <w14:solidFill>
                    <w14:srgbClr w14:val="000000">
                      <w14:alpha w14:val="100000"/>
                    </w14:srgbClr>
                  </w14:solidFill>
                </w14:textFill>
              </w:rPr>
              <w:t xml:space="preserve">　</w:t>
            </w:r>
          </w:p>
        </w:tc>
        <w:tc>
          <w:tcPr>
            <w:tcW w:w="657" w:type="pct"/>
            <w:vAlign w:val="center"/>
          </w:tcPr>
          <w:p w14:paraId="2EDBD1D2" w14:textId="77777777" w:rsidR="00B261C7" w:rsidRPr="007E18B2" w:rsidRDefault="00B261C7" w:rsidP="00000678">
            <w:pPr>
              <w:pStyle w:val="TableText"/>
              <w:keepNext w:val="0"/>
              <w:jc w:val="center"/>
              <w:rPr>
                <w:b/>
                <w:bCs w:val="0"/>
              </w:rPr>
            </w:pPr>
            <w:r w:rsidRPr="007E18B2">
              <w:rPr>
                <w:rFonts w:cs="Calibri"/>
                <w:color w:val="000000"/>
                <w:szCs w:val="20"/>
              </w:rPr>
              <w:t>0.1874</w:t>
            </w:r>
          </w:p>
        </w:tc>
        <w:tc>
          <w:tcPr>
            <w:tcW w:w="657" w:type="pct"/>
            <w:vAlign w:val="center"/>
          </w:tcPr>
          <w:p w14:paraId="420D41E7" w14:textId="3080C358" w:rsidR="00B261C7" w:rsidRPr="004D3863" w:rsidRDefault="00B261C7" w:rsidP="00000678">
            <w:pPr>
              <w:pStyle w:val="TableText"/>
              <w:keepNext w:val="0"/>
              <w:jc w:val="center"/>
              <w:rPr>
                <w:b/>
                <w:bCs w:val="0"/>
                <w:vertAlign w:val="superscript"/>
              </w:rPr>
            </w:pPr>
            <w:r w:rsidRPr="007E18B2">
              <w:rPr>
                <w:rFonts w:cs="Calibri"/>
                <w:color w:val="000000"/>
                <w:szCs w:val="20"/>
              </w:rPr>
              <w:t>$</w:t>
            </w:r>
            <w:r w:rsidR="00B9195B" w:rsidRPr="00B9195B">
              <w:rPr>
                <w:rFonts w:cs="Calibri" w:hint="eastAsia"/>
                <w:color w:val="000000"/>
                <w:w w:val="21"/>
                <w:szCs w:val="20"/>
                <w:shd w:val="solid" w:color="000000" w:fill="000000"/>
                <w:fitText w:val="93" w:id="-1436330750"/>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50"/>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50"/>
                <w14:textFill>
                  <w14:solidFill>
                    <w14:srgbClr w14:val="000000">
                      <w14:alpha w14:val="100000"/>
                    </w14:srgbClr>
                  </w14:solidFill>
                </w14:textFill>
              </w:rPr>
              <w:t xml:space="preserve">　</w:t>
            </w:r>
            <w:r w:rsidR="00A7179E">
              <w:rPr>
                <w:rFonts w:cs="Calibri"/>
                <w:color w:val="000000"/>
                <w:szCs w:val="20"/>
                <w:vertAlign w:val="superscript"/>
              </w:rPr>
              <w:t>1</w:t>
            </w:r>
          </w:p>
        </w:tc>
        <w:tc>
          <w:tcPr>
            <w:tcW w:w="657" w:type="pct"/>
          </w:tcPr>
          <w:p w14:paraId="0C420B6D" w14:textId="4A3F7768" w:rsidR="00B261C7" w:rsidRPr="007E18B2" w:rsidRDefault="00B261C7" w:rsidP="00000678">
            <w:pPr>
              <w:pStyle w:val="TableText"/>
              <w:keepNext w:val="0"/>
              <w:jc w:val="center"/>
              <w:rPr>
                <w:rFonts w:cs="Calibri"/>
                <w:color w:val="000000"/>
                <w:szCs w:val="20"/>
              </w:rPr>
            </w:pPr>
            <w:r w:rsidRPr="007E18B2">
              <w:rPr>
                <w:rFonts w:cs="Calibri"/>
                <w:color w:val="000000"/>
                <w:szCs w:val="20"/>
              </w:rPr>
              <w:t>-</w:t>
            </w:r>
          </w:p>
        </w:tc>
      </w:tr>
      <w:tr w:rsidR="00DF7BF3" w:rsidRPr="002530A2" w14:paraId="07FBD6C0" w14:textId="5CBD1D0D" w:rsidTr="00873314">
        <w:tc>
          <w:tcPr>
            <w:tcW w:w="5000" w:type="pct"/>
            <w:gridSpan w:val="5"/>
          </w:tcPr>
          <w:p w14:paraId="5E106E5D" w14:textId="4B3665E1" w:rsidR="00DF7BF3" w:rsidRPr="007E18B2" w:rsidRDefault="00DF7BF3" w:rsidP="00000678">
            <w:pPr>
              <w:pStyle w:val="TableText"/>
              <w:keepNext w:val="0"/>
              <w:rPr>
                <w:b/>
                <w:bCs w:val="0"/>
              </w:rPr>
            </w:pPr>
            <w:r w:rsidRPr="007E18B2">
              <w:rPr>
                <w:b/>
                <w:bCs w:val="0"/>
              </w:rPr>
              <w:t>Discount rate (base case: 5%)</w:t>
            </w:r>
          </w:p>
        </w:tc>
      </w:tr>
      <w:tr w:rsidR="001F3AAE" w:rsidRPr="002530A2" w14:paraId="1C8F4671" w14:textId="3766BC2E" w:rsidTr="00873314">
        <w:tc>
          <w:tcPr>
            <w:tcW w:w="2373" w:type="pct"/>
          </w:tcPr>
          <w:p w14:paraId="636A404A" w14:textId="77777777" w:rsidR="001F3AAE" w:rsidRPr="007E18B2" w:rsidRDefault="001F3AAE" w:rsidP="001F3AAE">
            <w:pPr>
              <w:pStyle w:val="TableText"/>
              <w:keepNext w:val="0"/>
            </w:pPr>
            <w:r w:rsidRPr="007E18B2">
              <w:t>0%</w:t>
            </w:r>
          </w:p>
        </w:tc>
        <w:tc>
          <w:tcPr>
            <w:tcW w:w="656" w:type="pct"/>
            <w:tcBorders>
              <w:top w:val="single" w:sz="4" w:space="0" w:color="auto"/>
              <w:left w:val="nil"/>
              <w:bottom w:val="single" w:sz="4" w:space="0" w:color="auto"/>
              <w:right w:val="single" w:sz="4" w:space="0" w:color="auto"/>
            </w:tcBorders>
            <w:shd w:val="clear" w:color="auto" w:fill="auto"/>
            <w:vAlign w:val="center"/>
          </w:tcPr>
          <w:p w14:paraId="7E314E17" w14:textId="0A2E321D"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49"/>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9"/>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9"/>
                <w14:textFill>
                  <w14:solidFill>
                    <w14:srgbClr w14:val="000000">
                      <w14:alpha w14:val="100000"/>
                    </w14:srgbClr>
                  </w14:solidFill>
                </w14:textFill>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48DC82F" w14:textId="77777777" w:rsidR="001F3AAE" w:rsidRPr="007E18B2" w:rsidRDefault="001F3AAE" w:rsidP="001F3AAE">
            <w:pPr>
              <w:pStyle w:val="TableText"/>
              <w:keepNext w:val="0"/>
              <w:jc w:val="center"/>
            </w:pPr>
            <w:r w:rsidRPr="007E18B2">
              <w:rPr>
                <w:rFonts w:cs="Calibri"/>
                <w:color w:val="000000"/>
                <w:szCs w:val="20"/>
              </w:rPr>
              <w:t>0.2046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E45886C" w14:textId="082164F7"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48"/>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8"/>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8"/>
                <w14:textFill>
                  <w14:solidFill>
                    <w14:srgbClr w14:val="000000">
                      <w14:alpha w14:val="100000"/>
                    </w14:srgbClr>
                  </w14:solidFill>
                </w14:textFill>
              </w:rPr>
              <w:t xml:space="preserve">　</w:t>
            </w:r>
            <w:r w:rsidR="00A7179E">
              <w:rPr>
                <w:rFonts w:cs="Calibri"/>
                <w:color w:val="000000"/>
                <w:szCs w:val="20"/>
                <w:vertAlign w:val="superscript"/>
              </w:rPr>
              <w:t>1</w:t>
            </w:r>
          </w:p>
        </w:tc>
        <w:tc>
          <w:tcPr>
            <w:tcW w:w="657" w:type="pct"/>
            <w:tcBorders>
              <w:top w:val="single" w:sz="4" w:space="0" w:color="auto"/>
              <w:left w:val="single" w:sz="4" w:space="0" w:color="auto"/>
              <w:bottom w:val="single" w:sz="4" w:space="0" w:color="auto"/>
              <w:right w:val="single" w:sz="4" w:space="0" w:color="auto"/>
            </w:tcBorders>
            <w:vAlign w:val="center"/>
          </w:tcPr>
          <w:p w14:paraId="7B4DF4BE" w14:textId="0C1C8A1B" w:rsidR="001F3AAE" w:rsidRPr="007E18B2" w:rsidRDefault="001F3AAE" w:rsidP="001F3AAE">
            <w:pPr>
              <w:pStyle w:val="TableText"/>
              <w:keepNext w:val="0"/>
              <w:jc w:val="center"/>
              <w:rPr>
                <w:rFonts w:cs="Calibri"/>
                <w:color w:val="000000"/>
                <w:szCs w:val="20"/>
              </w:rPr>
            </w:pPr>
            <w:r w:rsidRPr="007E18B2">
              <w:rPr>
                <w:rFonts w:cs="Calibri"/>
                <w:color w:val="000000"/>
                <w:szCs w:val="20"/>
              </w:rPr>
              <w:t>-7.6%</w:t>
            </w:r>
          </w:p>
        </w:tc>
      </w:tr>
      <w:tr w:rsidR="001F3AAE" w:rsidRPr="002530A2" w14:paraId="67D0E1D4" w14:textId="78B31A86" w:rsidTr="00873314">
        <w:tc>
          <w:tcPr>
            <w:tcW w:w="2373" w:type="pct"/>
          </w:tcPr>
          <w:p w14:paraId="3F8E2129" w14:textId="77777777" w:rsidR="001F3AAE" w:rsidRPr="007E18B2" w:rsidRDefault="001F3AAE" w:rsidP="001F3AAE">
            <w:pPr>
              <w:pStyle w:val="TableText"/>
              <w:keepNext w:val="0"/>
            </w:pPr>
            <w:r w:rsidRPr="007E18B2">
              <w:t>3.5%</w:t>
            </w:r>
          </w:p>
        </w:tc>
        <w:tc>
          <w:tcPr>
            <w:tcW w:w="656" w:type="pct"/>
            <w:tcBorders>
              <w:top w:val="single" w:sz="4" w:space="0" w:color="auto"/>
              <w:left w:val="nil"/>
              <w:bottom w:val="single" w:sz="4" w:space="0" w:color="auto"/>
              <w:right w:val="single" w:sz="4" w:space="0" w:color="auto"/>
            </w:tcBorders>
            <w:shd w:val="clear" w:color="auto" w:fill="auto"/>
            <w:vAlign w:val="center"/>
          </w:tcPr>
          <w:p w14:paraId="4A9B0001" w14:textId="6774DA5C"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47"/>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7"/>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7"/>
                <w14:textFill>
                  <w14:solidFill>
                    <w14:srgbClr w14:val="000000">
                      <w14:alpha w14:val="100000"/>
                    </w14:srgbClr>
                  </w14:solidFill>
                </w14:textFill>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75C0599" w14:textId="77777777" w:rsidR="001F3AAE" w:rsidRPr="007E18B2" w:rsidRDefault="001F3AAE" w:rsidP="001F3AAE">
            <w:pPr>
              <w:pStyle w:val="TableText"/>
              <w:keepNext w:val="0"/>
              <w:jc w:val="center"/>
            </w:pPr>
            <w:r w:rsidRPr="007E18B2">
              <w:rPr>
                <w:rFonts w:cs="Calibri"/>
                <w:color w:val="000000"/>
                <w:szCs w:val="20"/>
              </w:rPr>
              <w:t>0.1922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04F9340" w14:textId="22303C9B"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46"/>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6"/>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6"/>
                <w14:textFill>
                  <w14:solidFill>
                    <w14:srgbClr w14:val="000000">
                      <w14:alpha w14:val="100000"/>
                    </w14:srgbClr>
                  </w14:solidFill>
                </w14:textFill>
              </w:rPr>
              <w:t xml:space="preserve">　</w:t>
            </w:r>
            <w:r w:rsidR="00A7179E">
              <w:rPr>
                <w:rFonts w:cs="Calibri"/>
                <w:color w:val="000000"/>
                <w:szCs w:val="20"/>
                <w:vertAlign w:val="superscript"/>
              </w:rPr>
              <w:t>1</w:t>
            </w:r>
          </w:p>
        </w:tc>
        <w:tc>
          <w:tcPr>
            <w:tcW w:w="657" w:type="pct"/>
            <w:tcBorders>
              <w:top w:val="single" w:sz="4" w:space="0" w:color="auto"/>
              <w:left w:val="single" w:sz="4" w:space="0" w:color="auto"/>
              <w:bottom w:val="single" w:sz="4" w:space="0" w:color="auto"/>
              <w:right w:val="single" w:sz="4" w:space="0" w:color="auto"/>
            </w:tcBorders>
            <w:vAlign w:val="center"/>
          </w:tcPr>
          <w:p w14:paraId="0A0D907A" w14:textId="3DEAD260" w:rsidR="001F3AAE" w:rsidRPr="007E18B2" w:rsidRDefault="001F3AAE" w:rsidP="001F3AAE">
            <w:pPr>
              <w:pStyle w:val="TableText"/>
              <w:keepNext w:val="0"/>
              <w:jc w:val="center"/>
              <w:rPr>
                <w:rFonts w:cs="Calibri"/>
                <w:color w:val="000000"/>
                <w:szCs w:val="20"/>
              </w:rPr>
            </w:pPr>
            <w:r w:rsidRPr="007E18B2">
              <w:rPr>
                <w:rFonts w:cs="Calibri"/>
                <w:color w:val="000000"/>
                <w:szCs w:val="20"/>
              </w:rPr>
              <w:t>-2.3%</w:t>
            </w:r>
          </w:p>
        </w:tc>
      </w:tr>
      <w:tr w:rsidR="00DF7BF3" w:rsidRPr="002530A2" w14:paraId="3441F7B8" w14:textId="456C4D4B" w:rsidTr="00873314">
        <w:tc>
          <w:tcPr>
            <w:tcW w:w="5000" w:type="pct"/>
            <w:gridSpan w:val="5"/>
          </w:tcPr>
          <w:p w14:paraId="66DE2031" w14:textId="1F89FF32" w:rsidR="00DF7BF3" w:rsidRPr="007E18B2" w:rsidRDefault="00DF7BF3" w:rsidP="001F3AAE">
            <w:pPr>
              <w:pStyle w:val="TableText"/>
              <w:keepNext w:val="0"/>
              <w:rPr>
                <w:b/>
                <w:bCs w:val="0"/>
              </w:rPr>
            </w:pPr>
            <w:r w:rsidRPr="007E18B2">
              <w:rPr>
                <w:b/>
                <w:bCs w:val="0"/>
              </w:rPr>
              <w:t>Time horizon (base case: 5 years)</w:t>
            </w:r>
          </w:p>
        </w:tc>
      </w:tr>
      <w:tr w:rsidR="001F3AAE" w:rsidRPr="002530A2" w14:paraId="2936D04C" w14:textId="7285F1DB" w:rsidTr="00873314">
        <w:tc>
          <w:tcPr>
            <w:tcW w:w="2373" w:type="pct"/>
          </w:tcPr>
          <w:p w14:paraId="61C92668" w14:textId="77777777" w:rsidR="001F3AAE" w:rsidRPr="007E18B2" w:rsidRDefault="001F3AAE" w:rsidP="001F3AAE">
            <w:pPr>
              <w:pStyle w:val="TableText"/>
              <w:keepNext w:val="0"/>
            </w:pPr>
            <w:r w:rsidRPr="007E18B2">
              <w:t>1 year</w:t>
            </w:r>
          </w:p>
        </w:tc>
        <w:tc>
          <w:tcPr>
            <w:tcW w:w="656" w:type="pct"/>
            <w:tcBorders>
              <w:top w:val="single" w:sz="4" w:space="0" w:color="auto"/>
              <w:left w:val="nil"/>
              <w:bottom w:val="single" w:sz="4" w:space="0" w:color="auto"/>
              <w:right w:val="single" w:sz="4" w:space="0" w:color="auto"/>
            </w:tcBorders>
            <w:shd w:val="clear" w:color="auto" w:fill="auto"/>
            <w:vAlign w:val="center"/>
          </w:tcPr>
          <w:p w14:paraId="7CD35871" w14:textId="1F4BD0AB"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45"/>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5"/>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5"/>
                <w14:textFill>
                  <w14:solidFill>
                    <w14:srgbClr w14:val="000000">
                      <w14:alpha w14:val="100000"/>
                    </w14:srgbClr>
                  </w14:solidFill>
                </w14:textFill>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2F4E022" w14:textId="77777777" w:rsidR="001F3AAE" w:rsidRPr="007E18B2" w:rsidRDefault="001F3AAE" w:rsidP="001F3AAE">
            <w:pPr>
              <w:pStyle w:val="TableText"/>
              <w:keepNext w:val="0"/>
              <w:jc w:val="center"/>
            </w:pPr>
            <w:r w:rsidRPr="007E18B2">
              <w:rPr>
                <w:rFonts w:cs="Calibri"/>
                <w:color w:val="000000"/>
                <w:szCs w:val="20"/>
              </w:rPr>
              <w:t>0.0712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7476693" w14:textId="549ED61C"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44"/>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4"/>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4"/>
                <w14:textFill>
                  <w14:solidFill>
                    <w14:srgbClr w14:val="000000">
                      <w14:alpha w14:val="100000"/>
                    </w14:srgbClr>
                  </w14:solidFill>
                </w14:textFill>
              </w:rPr>
              <w:t xml:space="preserve">　</w:t>
            </w:r>
            <w:r w:rsidR="00A7179E">
              <w:rPr>
                <w:rFonts w:cs="Calibri"/>
                <w:color w:val="000000"/>
                <w:szCs w:val="20"/>
                <w:vertAlign w:val="superscript"/>
              </w:rPr>
              <w:t>2</w:t>
            </w:r>
          </w:p>
        </w:tc>
        <w:tc>
          <w:tcPr>
            <w:tcW w:w="657" w:type="pct"/>
            <w:tcBorders>
              <w:top w:val="single" w:sz="4" w:space="0" w:color="auto"/>
              <w:left w:val="single" w:sz="4" w:space="0" w:color="auto"/>
              <w:bottom w:val="single" w:sz="4" w:space="0" w:color="auto"/>
              <w:right w:val="single" w:sz="4" w:space="0" w:color="auto"/>
            </w:tcBorders>
            <w:vAlign w:val="center"/>
          </w:tcPr>
          <w:p w14:paraId="179C5AA5" w14:textId="749578ED" w:rsidR="001F3AAE" w:rsidRPr="007E18B2" w:rsidRDefault="001F3AAE" w:rsidP="001F3AAE">
            <w:pPr>
              <w:pStyle w:val="TableText"/>
              <w:keepNext w:val="0"/>
              <w:jc w:val="center"/>
              <w:rPr>
                <w:rFonts w:cs="Calibri"/>
                <w:color w:val="000000"/>
                <w:szCs w:val="20"/>
              </w:rPr>
            </w:pPr>
            <w:r w:rsidRPr="007E18B2">
              <w:rPr>
                <w:rFonts w:cs="Calibri"/>
                <w:color w:val="000000"/>
                <w:szCs w:val="20"/>
              </w:rPr>
              <w:t>148.0%</w:t>
            </w:r>
          </w:p>
        </w:tc>
      </w:tr>
      <w:tr w:rsidR="001F3AAE" w:rsidRPr="002530A2" w14:paraId="6A13090A" w14:textId="644E179F" w:rsidTr="00873314">
        <w:tc>
          <w:tcPr>
            <w:tcW w:w="2373" w:type="pct"/>
          </w:tcPr>
          <w:p w14:paraId="36E1C49C" w14:textId="77777777" w:rsidR="001F3AAE" w:rsidRPr="007E18B2" w:rsidRDefault="001F3AAE" w:rsidP="001F3AAE">
            <w:pPr>
              <w:pStyle w:val="TableText"/>
              <w:keepNext w:val="0"/>
            </w:pPr>
            <w:r w:rsidRPr="007E18B2">
              <w:t>3 years</w:t>
            </w:r>
          </w:p>
        </w:tc>
        <w:tc>
          <w:tcPr>
            <w:tcW w:w="656" w:type="pct"/>
            <w:tcBorders>
              <w:top w:val="single" w:sz="4" w:space="0" w:color="auto"/>
              <w:left w:val="nil"/>
              <w:bottom w:val="single" w:sz="4" w:space="0" w:color="auto"/>
              <w:right w:val="single" w:sz="4" w:space="0" w:color="auto"/>
            </w:tcBorders>
            <w:shd w:val="clear" w:color="auto" w:fill="auto"/>
            <w:vAlign w:val="center"/>
          </w:tcPr>
          <w:p w14:paraId="0E4055B7" w14:textId="08AF1EAD"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43"/>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3"/>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3"/>
                <w14:textFill>
                  <w14:solidFill>
                    <w14:srgbClr w14:val="000000">
                      <w14:alpha w14:val="100000"/>
                    </w14:srgbClr>
                  </w14:solidFill>
                </w14:textFill>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524F411" w14:textId="77777777" w:rsidR="001F3AAE" w:rsidRPr="007E18B2" w:rsidRDefault="001F3AAE" w:rsidP="001F3AAE">
            <w:pPr>
              <w:pStyle w:val="TableText"/>
              <w:keepNext w:val="0"/>
              <w:jc w:val="center"/>
            </w:pPr>
            <w:r w:rsidRPr="007E18B2">
              <w:rPr>
                <w:rFonts w:cs="Calibri"/>
                <w:color w:val="000000"/>
                <w:szCs w:val="20"/>
              </w:rPr>
              <w:t>0.1519</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5B41EEC" w14:textId="0AD301BB"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42"/>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2"/>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2"/>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tcBorders>
              <w:top w:val="single" w:sz="4" w:space="0" w:color="auto"/>
              <w:left w:val="single" w:sz="4" w:space="0" w:color="auto"/>
              <w:bottom w:val="single" w:sz="4" w:space="0" w:color="auto"/>
              <w:right w:val="single" w:sz="4" w:space="0" w:color="auto"/>
            </w:tcBorders>
            <w:vAlign w:val="center"/>
          </w:tcPr>
          <w:p w14:paraId="22ED2AFF" w14:textId="254D03F3" w:rsidR="001F3AAE" w:rsidRPr="007E18B2" w:rsidRDefault="001F3AAE" w:rsidP="001F3AAE">
            <w:pPr>
              <w:pStyle w:val="TableText"/>
              <w:keepNext w:val="0"/>
              <w:jc w:val="center"/>
              <w:rPr>
                <w:rFonts w:cs="Calibri"/>
                <w:color w:val="000000"/>
                <w:szCs w:val="20"/>
              </w:rPr>
            </w:pPr>
            <w:r w:rsidRPr="007E18B2">
              <w:rPr>
                <w:rFonts w:cs="Calibri"/>
                <w:color w:val="000000"/>
                <w:szCs w:val="20"/>
              </w:rPr>
              <w:t>30.0%</w:t>
            </w:r>
          </w:p>
        </w:tc>
      </w:tr>
      <w:tr w:rsidR="001F3AAE" w:rsidRPr="002530A2" w14:paraId="7DF51E1C" w14:textId="6C4883AD" w:rsidTr="00873314">
        <w:tc>
          <w:tcPr>
            <w:tcW w:w="2373" w:type="pct"/>
          </w:tcPr>
          <w:p w14:paraId="582E017B" w14:textId="77777777" w:rsidR="001F3AAE" w:rsidRPr="007E18B2" w:rsidRDefault="001F3AAE" w:rsidP="001F3AAE">
            <w:pPr>
              <w:pStyle w:val="TableText"/>
              <w:keepNext w:val="0"/>
            </w:pPr>
            <w:r w:rsidRPr="007E18B2">
              <w:t>10 years</w:t>
            </w:r>
          </w:p>
        </w:tc>
        <w:tc>
          <w:tcPr>
            <w:tcW w:w="656" w:type="pct"/>
            <w:tcBorders>
              <w:top w:val="single" w:sz="4" w:space="0" w:color="auto"/>
              <w:left w:val="nil"/>
              <w:bottom w:val="single" w:sz="4" w:space="0" w:color="auto"/>
              <w:right w:val="single" w:sz="4" w:space="0" w:color="auto"/>
            </w:tcBorders>
            <w:shd w:val="clear" w:color="auto" w:fill="auto"/>
            <w:vAlign w:val="center"/>
          </w:tcPr>
          <w:p w14:paraId="77FBB9E6" w14:textId="2685857D"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41"/>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1"/>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1"/>
                <w14:textFill>
                  <w14:solidFill>
                    <w14:srgbClr w14:val="000000">
                      <w14:alpha w14:val="100000"/>
                    </w14:srgbClr>
                  </w14:solidFill>
                </w14:textFill>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F17B42E" w14:textId="77777777" w:rsidR="001F3AAE" w:rsidRPr="007E18B2" w:rsidRDefault="001F3AAE" w:rsidP="001F3AAE">
            <w:pPr>
              <w:pStyle w:val="TableText"/>
              <w:keepNext w:val="0"/>
              <w:jc w:val="center"/>
            </w:pPr>
            <w:r w:rsidRPr="007E18B2">
              <w:rPr>
                <w:rFonts w:cs="Calibri"/>
                <w:color w:val="000000"/>
                <w:szCs w:val="20"/>
              </w:rPr>
              <w:t>0.2133</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B67F37F" w14:textId="7870A3E8"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40"/>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0"/>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0"/>
                <w14:textFill>
                  <w14:solidFill>
                    <w14:srgbClr w14:val="000000">
                      <w14:alpha w14:val="100000"/>
                    </w14:srgbClr>
                  </w14:solidFill>
                </w14:textFill>
              </w:rPr>
              <w:t xml:space="preserve">　</w:t>
            </w:r>
            <w:r w:rsidR="00A7179E">
              <w:rPr>
                <w:rFonts w:cs="Calibri"/>
                <w:color w:val="000000"/>
                <w:szCs w:val="20"/>
                <w:vertAlign w:val="superscript"/>
              </w:rPr>
              <w:t>4</w:t>
            </w:r>
          </w:p>
        </w:tc>
        <w:tc>
          <w:tcPr>
            <w:tcW w:w="657" w:type="pct"/>
            <w:tcBorders>
              <w:top w:val="single" w:sz="4" w:space="0" w:color="auto"/>
              <w:left w:val="single" w:sz="4" w:space="0" w:color="auto"/>
              <w:bottom w:val="single" w:sz="4" w:space="0" w:color="auto"/>
              <w:right w:val="single" w:sz="4" w:space="0" w:color="auto"/>
            </w:tcBorders>
            <w:vAlign w:val="center"/>
          </w:tcPr>
          <w:p w14:paraId="34F070CB" w14:textId="2C58EF9C" w:rsidR="001F3AAE" w:rsidRPr="007E18B2" w:rsidRDefault="001F3AAE" w:rsidP="001F3AAE">
            <w:pPr>
              <w:pStyle w:val="TableText"/>
              <w:keepNext w:val="0"/>
              <w:jc w:val="center"/>
              <w:rPr>
                <w:rFonts w:cs="Calibri"/>
                <w:color w:val="000000"/>
                <w:szCs w:val="20"/>
              </w:rPr>
            </w:pPr>
            <w:r w:rsidRPr="007E18B2">
              <w:rPr>
                <w:rFonts w:cs="Calibri"/>
                <w:color w:val="000000"/>
                <w:szCs w:val="20"/>
              </w:rPr>
              <w:t>-22.0%</w:t>
            </w:r>
          </w:p>
        </w:tc>
      </w:tr>
      <w:tr w:rsidR="00DF7BF3" w:rsidRPr="002530A2" w14:paraId="39365118" w14:textId="0723F9C9" w:rsidTr="00873314">
        <w:tc>
          <w:tcPr>
            <w:tcW w:w="5000" w:type="pct"/>
            <w:gridSpan w:val="5"/>
            <w:vAlign w:val="center"/>
          </w:tcPr>
          <w:p w14:paraId="0A3245ED" w14:textId="405BC539" w:rsidR="00DF7BF3" w:rsidRPr="007E18B2" w:rsidRDefault="00DF7BF3" w:rsidP="00873314">
            <w:pPr>
              <w:pStyle w:val="TableText"/>
              <w:rPr>
                <w:b/>
                <w:bCs w:val="0"/>
              </w:rPr>
            </w:pPr>
            <w:r w:rsidRPr="007E18B2">
              <w:rPr>
                <w:b/>
                <w:bCs w:val="0"/>
              </w:rPr>
              <w:lastRenderedPageBreak/>
              <w:t>Probability of remission in induction phase (base case: remission 46.9% ESK+OAD vs 27.1% OAD from TRANSFORM-2 and -3 weighted average)</w:t>
            </w:r>
            <w:r w:rsidRPr="00220AC5">
              <w:t xml:space="preserve"> </w:t>
            </w:r>
          </w:p>
        </w:tc>
      </w:tr>
      <w:tr w:rsidR="001F3AAE" w:rsidRPr="002530A2" w14:paraId="107D6ADD" w14:textId="45B14786" w:rsidTr="00873314">
        <w:tc>
          <w:tcPr>
            <w:tcW w:w="2373" w:type="pct"/>
          </w:tcPr>
          <w:p w14:paraId="73D1CAF3" w14:textId="77777777" w:rsidR="001F3AAE" w:rsidRPr="007E18B2" w:rsidRDefault="001F3AAE" w:rsidP="001F3AAE">
            <w:pPr>
              <w:pStyle w:val="TableText"/>
              <w:keepNext w:val="0"/>
            </w:pPr>
            <w:r w:rsidRPr="007E18B2">
              <w:t xml:space="preserve">Increase ESK+OAD probability of remission by 20% </w:t>
            </w:r>
          </w:p>
        </w:tc>
        <w:tc>
          <w:tcPr>
            <w:tcW w:w="656" w:type="pct"/>
          </w:tcPr>
          <w:p w14:paraId="5263C62F" w14:textId="0F43B3F5" w:rsidR="001F3AAE" w:rsidRPr="007E18B2" w:rsidRDefault="001F3AAE" w:rsidP="001F3AAE">
            <w:pPr>
              <w:pStyle w:val="TableText"/>
              <w:keepNext w:val="0"/>
              <w:jc w:val="center"/>
            </w:pPr>
            <w:r w:rsidRPr="007E18B2">
              <w:t>$</w:t>
            </w:r>
            <w:r w:rsidR="00B9195B" w:rsidRPr="00B9195B">
              <w:rPr>
                <w:rFonts w:hint="eastAsia"/>
                <w:color w:val="000000"/>
                <w:w w:val="15"/>
                <w:shd w:val="solid" w:color="000000" w:fill="000000"/>
                <w:fitText w:val="61" w:id="-1436330739"/>
                <w14:textFill>
                  <w14:solidFill>
                    <w14:srgbClr w14:val="000000">
                      <w14:alpha w14:val="100000"/>
                    </w14:srgbClr>
                  </w14:solidFill>
                </w14:textFill>
              </w:rPr>
              <w:t xml:space="preserve">　</w:t>
            </w:r>
            <w:r w:rsidR="00B9195B" w:rsidRPr="00B9195B">
              <w:rPr>
                <w:color w:val="000000"/>
                <w:w w:val="15"/>
                <w:shd w:val="solid" w:color="000000" w:fill="000000"/>
                <w:fitText w:val="61" w:id="-1436330739"/>
                <w14:textFill>
                  <w14:solidFill>
                    <w14:srgbClr w14:val="000000">
                      <w14:alpha w14:val="100000"/>
                    </w14:srgbClr>
                  </w14:solidFill>
                </w14:textFill>
              </w:rPr>
              <w:t>|</w:t>
            </w:r>
            <w:r w:rsidR="00B9195B" w:rsidRPr="00B9195B">
              <w:rPr>
                <w:rFonts w:hint="eastAsia"/>
                <w:color w:val="000000"/>
                <w:spacing w:val="-4"/>
                <w:w w:val="15"/>
                <w:shd w:val="solid" w:color="000000" w:fill="000000"/>
                <w:fitText w:val="61" w:id="-1436330739"/>
                <w14:textFill>
                  <w14:solidFill>
                    <w14:srgbClr w14:val="000000">
                      <w14:alpha w14:val="100000"/>
                    </w14:srgbClr>
                  </w14:solidFill>
                </w14:textFill>
              </w:rPr>
              <w:t xml:space="preserve">　</w:t>
            </w:r>
          </w:p>
        </w:tc>
        <w:tc>
          <w:tcPr>
            <w:tcW w:w="657" w:type="pct"/>
          </w:tcPr>
          <w:p w14:paraId="58B6E74B" w14:textId="77777777" w:rsidR="001F3AAE" w:rsidRPr="007E18B2" w:rsidRDefault="001F3AAE" w:rsidP="001F3AAE">
            <w:pPr>
              <w:pStyle w:val="TableText"/>
              <w:keepNext w:val="0"/>
              <w:jc w:val="center"/>
            </w:pPr>
            <w:r w:rsidRPr="007E18B2">
              <w:t>0.2344</w:t>
            </w:r>
          </w:p>
        </w:tc>
        <w:tc>
          <w:tcPr>
            <w:tcW w:w="657" w:type="pct"/>
          </w:tcPr>
          <w:p w14:paraId="7BD40980" w14:textId="05924BF6" w:rsidR="001F3AAE" w:rsidRPr="007E18B2" w:rsidRDefault="001F3AAE" w:rsidP="001F3AAE">
            <w:pPr>
              <w:pStyle w:val="TableText"/>
              <w:keepNext w:val="0"/>
              <w:jc w:val="center"/>
            </w:pPr>
            <w:r w:rsidRPr="007E18B2">
              <w:t>$</w:t>
            </w:r>
            <w:r w:rsidR="00B9195B" w:rsidRPr="00B9195B">
              <w:rPr>
                <w:rFonts w:hint="eastAsia"/>
                <w:color w:val="000000"/>
                <w:w w:val="21"/>
                <w:shd w:val="solid" w:color="000000" w:fill="000000"/>
                <w:fitText w:val="93" w:id="-1436330738"/>
                <w14:textFill>
                  <w14:solidFill>
                    <w14:srgbClr w14:val="000000">
                      <w14:alpha w14:val="100000"/>
                    </w14:srgbClr>
                  </w14:solidFill>
                </w14:textFill>
              </w:rPr>
              <w:t xml:space="preserve">　</w:t>
            </w:r>
            <w:r w:rsidR="00B9195B" w:rsidRPr="00B9195B">
              <w:rPr>
                <w:color w:val="000000"/>
                <w:w w:val="21"/>
                <w:shd w:val="solid" w:color="000000" w:fill="000000"/>
                <w:fitText w:val="93" w:id="-1436330738"/>
                <w14:textFill>
                  <w14:solidFill>
                    <w14:srgbClr w14:val="000000">
                      <w14:alpha w14:val="100000"/>
                    </w14:srgbClr>
                  </w14:solidFill>
                </w14:textFill>
              </w:rPr>
              <w:t>|</w:t>
            </w:r>
            <w:r w:rsidR="00B9195B" w:rsidRPr="00B9195B">
              <w:rPr>
                <w:rFonts w:hint="eastAsia"/>
                <w:color w:val="000000"/>
                <w:spacing w:val="2"/>
                <w:w w:val="21"/>
                <w:shd w:val="solid" w:color="000000" w:fill="000000"/>
                <w:fitText w:val="93" w:id="-1436330738"/>
                <w14:textFill>
                  <w14:solidFill>
                    <w14:srgbClr w14:val="000000">
                      <w14:alpha w14:val="100000"/>
                    </w14:srgbClr>
                  </w14:solidFill>
                </w14:textFill>
              </w:rPr>
              <w:t xml:space="preserve">　</w:t>
            </w:r>
            <w:r w:rsidR="00A7179E">
              <w:rPr>
                <w:rFonts w:cs="Calibri"/>
                <w:color w:val="000000"/>
                <w:szCs w:val="20"/>
                <w:vertAlign w:val="superscript"/>
              </w:rPr>
              <w:t>4</w:t>
            </w:r>
          </w:p>
        </w:tc>
        <w:tc>
          <w:tcPr>
            <w:tcW w:w="657" w:type="pct"/>
            <w:vAlign w:val="center"/>
          </w:tcPr>
          <w:p w14:paraId="3D11C2E3" w14:textId="6AECF2FC" w:rsidR="001F3AAE" w:rsidRPr="007E18B2" w:rsidRDefault="001F3AAE" w:rsidP="001F3AAE">
            <w:pPr>
              <w:pStyle w:val="TableText"/>
              <w:keepNext w:val="0"/>
              <w:jc w:val="center"/>
            </w:pPr>
            <w:r w:rsidRPr="007E18B2">
              <w:rPr>
                <w:rFonts w:cs="Calibri"/>
                <w:color w:val="000000"/>
                <w:szCs w:val="20"/>
              </w:rPr>
              <w:t>-24.4%</w:t>
            </w:r>
          </w:p>
        </w:tc>
      </w:tr>
      <w:tr w:rsidR="001F3AAE" w:rsidRPr="002530A2" w14:paraId="424E430E" w14:textId="6D6E44D2" w:rsidTr="00873314">
        <w:tc>
          <w:tcPr>
            <w:tcW w:w="2373" w:type="pct"/>
          </w:tcPr>
          <w:p w14:paraId="36796166" w14:textId="77777777" w:rsidR="001F3AAE" w:rsidRPr="007E18B2" w:rsidRDefault="001F3AAE" w:rsidP="001F3AAE">
            <w:pPr>
              <w:pStyle w:val="TableText"/>
              <w:keepNext w:val="0"/>
            </w:pPr>
            <w:r w:rsidRPr="007E18B2">
              <w:t xml:space="preserve">Decrease ESK+OAD probability of remission by 20% </w:t>
            </w:r>
          </w:p>
        </w:tc>
        <w:tc>
          <w:tcPr>
            <w:tcW w:w="656" w:type="pct"/>
            <w:tcBorders>
              <w:bottom w:val="single" w:sz="4" w:space="0" w:color="auto"/>
            </w:tcBorders>
            <w:vAlign w:val="center"/>
          </w:tcPr>
          <w:p w14:paraId="699A59F9" w14:textId="76E61789"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37"/>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37"/>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37"/>
                <w14:textFill>
                  <w14:solidFill>
                    <w14:srgbClr w14:val="000000">
                      <w14:alpha w14:val="100000"/>
                    </w14:srgbClr>
                  </w14:solidFill>
                </w14:textFill>
              </w:rPr>
              <w:t xml:space="preserve">　</w:t>
            </w:r>
          </w:p>
        </w:tc>
        <w:tc>
          <w:tcPr>
            <w:tcW w:w="657" w:type="pct"/>
            <w:tcBorders>
              <w:bottom w:val="single" w:sz="4" w:space="0" w:color="auto"/>
            </w:tcBorders>
            <w:vAlign w:val="center"/>
          </w:tcPr>
          <w:p w14:paraId="617A9014" w14:textId="77777777" w:rsidR="001F3AAE" w:rsidRPr="007E18B2" w:rsidRDefault="001F3AAE" w:rsidP="001F3AAE">
            <w:pPr>
              <w:pStyle w:val="TableText"/>
              <w:keepNext w:val="0"/>
              <w:jc w:val="center"/>
            </w:pPr>
            <w:r w:rsidRPr="007E18B2">
              <w:rPr>
                <w:rFonts w:cs="Calibri"/>
                <w:color w:val="000000"/>
                <w:szCs w:val="20"/>
              </w:rPr>
              <w:t>0.1404</w:t>
            </w:r>
          </w:p>
        </w:tc>
        <w:tc>
          <w:tcPr>
            <w:tcW w:w="657" w:type="pct"/>
            <w:tcBorders>
              <w:bottom w:val="single" w:sz="4" w:space="0" w:color="auto"/>
            </w:tcBorders>
            <w:vAlign w:val="center"/>
          </w:tcPr>
          <w:p w14:paraId="35F63B50" w14:textId="1E7B03D7"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36"/>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36"/>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36"/>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tcBorders>
              <w:bottom w:val="single" w:sz="4" w:space="0" w:color="auto"/>
            </w:tcBorders>
            <w:vAlign w:val="center"/>
          </w:tcPr>
          <w:p w14:paraId="3A531BA2" w14:textId="1F329A0C" w:rsidR="001F3AAE" w:rsidRPr="007E18B2" w:rsidRDefault="001F3AAE" w:rsidP="001F3AAE">
            <w:pPr>
              <w:pStyle w:val="TableText"/>
              <w:keepNext w:val="0"/>
              <w:jc w:val="center"/>
              <w:rPr>
                <w:rFonts w:cs="Calibri"/>
                <w:color w:val="000000"/>
                <w:szCs w:val="20"/>
              </w:rPr>
            </w:pPr>
            <w:r w:rsidRPr="007E18B2">
              <w:rPr>
                <w:rFonts w:cs="Calibri"/>
                <w:color w:val="000000"/>
                <w:szCs w:val="20"/>
              </w:rPr>
              <w:t>40.8%</w:t>
            </w:r>
          </w:p>
        </w:tc>
      </w:tr>
      <w:tr w:rsidR="00DF7BF3" w:rsidRPr="002530A2" w14:paraId="66E1977B" w14:textId="2157ECB2" w:rsidTr="00873314">
        <w:tc>
          <w:tcPr>
            <w:tcW w:w="5000" w:type="pct"/>
            <w:gridSpan w:val="5"/>
          </w:tcPr>
          <w:p w14:paraId="45203025" w14:textId="65A0CA98" w:rsidR="00DF7BF3" w:rsidRPr="007E18B2" w:rsidRDefault="00DF7BF3" w:rsidP="001F3AAE">
            <w:pPr>
              <w:pStyle w:val="TableText"/>
              <w:keepNext w:val="0"/>
              <w:rPr>
                <w:b/>
                <w:bCs w:val="0"/>
              </w:rPr>
            </w:pPr>
            <w:r w:rsidRPr="007E18B2">
              <w:rPr>
                <w:b/>
                <w:bCs w:val="0"/>
              </w:rPr>
              <w:t>Maintenance transition probabilities (base case values for ESK+OAD and OAD arms derived from SUSTAIN-1</w:t>
            </w:r>
            <w:r w:rsidR="00971C02" w:rsidRPr="007E18B2">
              <w:rPr>
                <w:b/>
                <w:bCs w:val="0"/>
              </w:rPr>
              <w:t>)</w:t>
            </w:r>
          </w:p>
        </w:tc>
      </w:tr>
      <w:tr w:rsidR="001F3AAE" w:rsidRPr="002530A2" w14:paraId="5CFE5EA2" w14:textId="7EE3E037" w:rsidTr="00873314">
        <w:tc>
          <w:tcPr>
            <w:tcW w:w="2373" w:type="pct"/>
          </w:tcPr>
          <w:p w14:paraId="777D2CD0" w14:textId="77777777" w:rsidR="001F3AAE" w:rsidRPr="00220AC5" w:rsidRDefault="001F3AAE" w:rsidP="001F3AAE">
            <w:pPr>
              <w:pStyle w:val="TableText"/>
              <w:keepNext w:val="0"/>
            </w:pPr>
            <w:r w:rsidRPr="00220AC5">
              <w:t>OAD transitions same as for ESK+OAD</w:t>
            </w:r>
          </w:p>
        </w:tc>
        <w:tc>
          <w:tcPr>
            <w:tcW w:w="656" w:type="pct"/>
            <w:tcBorders>
              <w:top w:val="single" w:sz="4" w:space="0" w:color="auto"/>
              <w:left w:val="nil"/>
              <w:bottom w:val="single" w:sz="4" w:space="0" w:color="auto"/>
              <w:right w:val="single" w:sz="4" w:space="0" w:color="auto"/>
            </w:tcBorders>
            <w:shd w:val="clear" w:color="auto" w:fill="auto"/>
            <w:vAlign w:val="center"/>
          </w:tcPr>
          <w:p w14:paraId="182D0D51" w14:textId="6B6C2498"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52"/>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52"/>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52"/>
                <w14:textFill>
                  <w14:solidFill>
                    <w14:srgbClr w14:val="000000">
                      <w14:alpha w14:val="100000"/>
                    </w14:srgbClr>
                  </w14:solidFill>
                </w14:textFill>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364A9AE" w14:textId="77777777" w:rsidR="001F3AAE" w:rsidRPr="00220AC5" w:rsidRDefault="001F3AAE" w:rsidP="001F3AAE">
            <w:pPr>
              <w:pStyle w:val="TableText"/>
              <w:keepNext w:val="0"/>
              <w:jc w:val="center"/>
            </w:pPr>
            <w:r w:rsidRPr="00220AC5">
              <w:rPr>
                <w:rFonts w:cs="Calibri"/>
                <w:color w:val="000000"/>
                <w:szCs w:val="20"/>
              </w:rPr>
              <w:t>0.0832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7CE361B" w14:textId="0C7BB14B"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51"/>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51"/>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51"/>
                <w14:textFill>
                  <w14:solidFill>
                    <w14:srgbClr w14:val="000000">
                      <w14:alpha w14:val="100000"/>
                    </w14:srgbClr>
                  </w14:solidFill>
                </w14:textFill>
              </w:rPr>
              <w:t xml:space="preserve">　</w:t>
            </w:r>
            <w:r w:rsidR="00A7179E">
              <w:rPr>
                <w:rFonts w:cs="Calibri"/>
                <w:color w:val="000000"/>
                <w:szCs w:val="20"/>
                <w:vertAlign w:val="superscript"/>
              </w:rPr>
              <w:t>5</w:t>
            </w:r>
          </w:p>
        </w:tc>
        <w:tc>
          <w:tcPr>
            <w:tcW w:w="657" w:type="pct"/>
            <w:tcBorders>
              <w:top w:val="single" w:sz="4" w:space="0" w:color="auto"/>
              <w:left w:val="single" w:sz="4" w:space="0" w:color="auto"/>
              <w:bottom w:val="single" w:sz="4" w:space="0" w:color="auto"/>
              <w:right w:val="single" w:sz="4" w:space="0" w:color="auto"/>
            </w:tcBorders>
            <w:vAlign w:val="center"/>
          </w:tcPr>
          <w:p w14:paraId="071DA9F3" w14:textId="734C726F" w:rsidR="001F3AAE" w:rsidRPr="00220AC5" w:rsidRDefault="001F3AAE" w:rsidP="001F3AAE">
            <w:pPr>
              <w:pStyle w:val="TableText"/>
              <w:keepNext w:val="0"/>
              <w:jc w:val="center"/>
              <w:rPr>
                <w:rFonts w:cs="Calibri"/>
                <w:color w:val="000000"/>
                <w:szCs w:val="20"/>
              </w:rPr>
            </w:pPr>
            <w:r w:rsidRPr="00220AC5">
              <w:rPr>
                <w:rFonts w:cs="Calibri"/>
                <w:color w:val="000000"/>
                <w:szCs w:val="20"/>
              </w:rPr>
              <w:t>299.6%</w:t>
            </w:r>
          </w:p>
        </w:tc>
      </w:tr>
      <w:tr w:rsidR="001F3AAE" w:rsidRPr="002530A2" w14:paraId="492E61A5" w14:textId="180D8E72" w:rsidTr="00873314">
        <w:tc>
          <w:tcPr>
            <w:tcW w:w="2373" w:type="pct"/>
          </w:tcPr>
          <w:p w14:paraId="258148DE" w14:textId="77777777" w:rsidR="001F3AAE" w:rsidRPr="00220AC5" w:rsidRDefault="001F3AAE" w:rsidP="001F3AAE">
            <w:pPr>
              <w:pStyle w:val="TableText"/>
              <w:keepNext w:val="0"/>
            </w:pPr>
            <w:r w:rsidRPr="00220AC5">
              <w:t>Increase probabilities to MDE by 20%; decrease response to remission probability by 20%: ESK+OAD arm</w:t>
            </w:r>
          </w:p>
        </w:tc>
        <w:tc>
          <w:tcPr>
            <w:tcW w:w="656" w:type="pct"/>
            <w:tcBorders>
              <w:top w:val="single" w:sz="4" w:space="0" w:color="auto"/>
              <w:left w:val="nil"/>
              <w:bottom w:val="single" w:sz="4" w:space="0" w:color="auto"/>
              <w:right w:val="single" w:sz="4" w:space="0" w:color="auto"/>
            </w:tcBorders>
            <w:shd w:val="clear" w:color="auto" w:fill="auto"/>
            <w:vAlign w:val="center"/>
          </w:tcPr>
          <w:p w14:paraId="6BD52238" w14:textId="3C20DEBF"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50"/>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50"/>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50"/>
                <w14:textFill>
                  <w14:solidFill>
                    <w14:srgbClr w14:val="000000">
                      <w14:alpha w14:val="100000"/>
                    </w14:srgbClr>
                  </w14:solidFill>
                </w14:textFill>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A8EB9AC" w14:textId="77777777" w:rsidR="001F3AAE" w:rsidRPr="00220AC5" w:rsidRDefault="001F3AAE" w:rsidP="001F3AAE">
            <w:pPr>
              <w:pStyle w:val="TableText"/>
              <w:keepNext w:val="0"/>
              <w:jc w:val="center"/>
            </w:pPr>
            <w:r w:rsidRPr="00220AC5">
              <w:rPr>
                <w:rFonts w:cs="Calibri"/>
                <w:color w:val="000000"/>
                <w:szCs w:val="20"/>
              </w:rPr>
              <w:t>0.1406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075FB17" w14:textId="770D9CA4"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49"/>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9"/>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9"/>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tcBorders>
              <w:top w:val="single" w:sz="4" w:space="0" w:color="auto"/>
              <w:left w:val="single" w:sz="4" w:space="0" w:color="auto"/>
              <w:bottom w:val="single" w:sz="4" w:space="0" w:color="auto"/>
              <w:right w:val="single" w:sz="4" w:space="0" w:color="auto"/>
            </w:tcBorders>
            <w:vAlign w:val="center"/>
          </w:tcPr>
          <w:p w14:paraId="5B1E639C" w14:textId="56CEEF61" w:rsidR="001F3AAE" w:rsidRPr="00220AC5" w:rsidRDefault="001F3AAE" w:rsidP="001F3AAE">
            <w:pPr>
              <w:pStyle w:val="TableText"/>
              <w:keepNext w:val="0"/>
              <w:jc w:val="center"/>
              <w:rPr>
                <w:rFonts w:cs="Calibri"/>
                <w:color w:val="000000"/>
                <w:szCs w:val="20"/>
              </w:rPr>
            </w:pPr>
            <w:r w:rsidRPr="00220AC5">
              <w:rPr>
                <w:rFonts w:cs="Calibri"/>
                <w:color w:val="000000"/>
                <w:szCs w:val="20"/>
              </w:rPr>
              <w:t>49.9%</w:t>
            </w:r>
          </w:p>
        </w:tc>
      </w:tr>
      <w:tr w:rsidR="001F3AAE" w:rsidRPr="002530A2" w14:paraId="363D8A39" w14:textId="37E03A5A" w:rsidTr="00873314">
        <w:tc>
          <w:tcPr>
            <w:tcW w:w="2373" w:type="pct"/>
          </w:tcPr>
          <w:p w14:paraId="1364CAF1" w14:textId="77777777" w:rsidR="001F3AAE" w:rsidRPr="00220AC5" w:rsidRDefault="001F3AAE" w:rsidP="001F3AAE">
            <w:pPr>
              <w:pStyle w:val="TableText"/>
              <w:keepNext w:val="0"/>
            </w:pPr>
            <w:r w:rsidRPr="00220AC5">
              <w:t>Decrease probabilities to MDE by 20%; increase response to remission probability by 20%: ESK+OAD arm</w:t>
            </w:r>
          </w:p>
        </w:tc>
        <w:tc>
          <w:tcPr>
            <w:tcW w:w="656" w:type="pct"/>
            <w:tcBorders>
              <w:top w:val="single" w:sz="4" w:space="0" w:color="auto"/>
              <w:left w:val="nil"/>
              <w:bottom w:val="single" w:sz="4" w:space="0" w:color="auto"/>
              <w:right w:val="single" w:sz="4" w:space="0" w:color="auto"/>
            </w:tcBorders>
            <w:shd w:val="clear" w:color="auto" w:fill="auto"/>
            <w:vAlign w:val="center"/>
          </w:tcPr>
          <w:p w14:paraId="1CCA2FE2" w14:textId="025ED61A"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48"/>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8"/>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8"/>
                <w14:textFill>
                  <w14:solidFill>
                    <w14:srgbClr w14:val="000000">
                      <w14:alpha w14:val="100000"/>
                    </w14:srgbClr>
                  </w14:solidFill>
                </w14:textFill>
              </w:rPr>
              <w:t xml:space="preserve">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39BAAA6" w14:textId="77777777" w:rsidR="001F3AAE" w:rsidRPr="00220AC5" w:rsidRDefault="001F3AAE" w:rsidP="001F3AAE">
            <w:pPr>
              <w:pStyle w:val="TableText"/>
              <w:keepNext w:val="0"/>
              <w:jc w:val="center"/>
            </w:pPr>
            <w:r w:rsidRPr="00220AC5">
              <w:rPr>
                <w:rFonts w:cs="Calibri"/>
                <w:color w:val="000000"/>
                <w:szCs w:val="20"/>
              </w:rPr>
              <w:t>0.2454</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5EE68F6" w14:textId="218B5DE7"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47"/>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7"/>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7"/>
                <w14:textFill>
                  <w14:solidFill>
                    <w14:srgbClr w14:val="000000">
                      <w14:alpha w14:val="100000"/>
                    </w14:srgbClr>
                  </w14:solidFill>
                </w14:textFill>
              </w:rPr>
              <w:t xml:space="preserve">　</w:t>
            </w:r>
            <w:r w:rsidR="00A7179E">
              <w:rPr>
                <w:rFonts w:cs="Calibri"/>
                <w:color w:val="000000"/>
                <w:szCs w:val="20"/>
                <w:vertAlign w:val="superscript"/>
              </w:rPr>
              <w:t>6</w:t>
            </w:r>
          </w:p>
        </w:tc>
        <w:tc>
          <w:tcPr>
            <w:tcW w:w="657" w:type="pct"/>
            <w:tcBorders>
              <w:top w:val="single" w:sz="4" w:space="0" w:color="auto"/>
              <w:left w:val="single" w:sz="4" w:space="0" w:color="auto"/>
              <w:bottom w:val="single" w:sz="4" w:space="0" w:color="auto"/>
              <w:right w:val="single" w:sz="4" w:space="0" w:color="auto"/>
            </w:tcBorders>
            <w:vAlign w:val="center"/>
          </w:tcPr>
          <w:p w14:paraId="302B7101" w14:textId="5BC23B2C" w:rsidR="001F3AAE" w:rsidRPr="00220AC5" w:rsidRDefault="001F3AAE" w:rsidP="001F3AAE">
            <w:pPr>
              <w:pStyle w:val="TableText"/>
              <w:keepNext w:val="0"/>
              <w:jc w:val="center"/>
              <w:rPr>
                <w:rFonts w:cs="Calibri"/>
                <w:color w:val="000000"/>
                <w:szCs w:val="20"/>
              </w:rPr>
            </w:pPr>
            <w:r w:rsidRPr="00220AC5">
              <w:rPr>
                <w:rFonts w:cs="Calibri"/>
                <w:color w:val="000000"/>
                <w:szCs w:val="20"/>
              </w:rPr>
              <w:t>-36.3%</w:t>
            </w:r>
          </w:p>
        </w:tc>
      </w:tr>
      <w:tr w:rsidR="00DF7BF3" w:rsidRPr="002530A2" w14:paraId="737D8AA7" w14:textId="0D9AF2D5" w:rsidTr="00873314">
        <w:tc>
          <w:tcPr>
            <w:tcW w:w="5000" w:type="pct"/>
            <w:gridSpan w:val="5"/>
          </w:tcPr>
          <w:p w14:paraId="0C628317" w14:textId="4EBEB276" w:rsidR="00DF7BF3" w:rsidRPr="007E18B2" w:rsidRDefault="00DF7BF3" w:rsidP="001F3AAE">
            <w:pPr>
              <w:pStyle w:val="TableText"/>
              <w:keepNext w:val="0"/>
              <w:rPr>
                <w:b/>
                <w:bCs w:val="0"/>
              </w:rPr>
            </w:pPr>
            <w:r w:rsidRPr="007E18B2">
              <w:rPr>
                <w:b/>
                <w:bCs w:val="0"/>
              </w:rPr>
              <w:t>Recurrence of MDE from recovery (base case: 2.427% ESK+OAD; 3.558% OAD)</w:t>
            </w:r>
          </w:p>
        </w:tc>
      </w:tr>
      <w:tr w:rsidR="001F3AAE" w:rsidRPr="002530A2" w14:paraId="5D33D51E" w14:textId="3A4BB530" w:rsidTr="00873314">
        <w:tc>
          <w:tcPr>
            <w:tcW w:w="2373" w:type="pct"/>
          </w:tcPr>
          <w:p w14:paraId="323D1504" w14:textId="77777777" w:rsidR="001F3AAE" w:rsidRPr="00220AC5" w:rsidRDefault="001F3AAE" w:rsidP="001F3AAE">
            <w:pPr>
              <w:pStyle w:val="TableText"/>
              <w:keepNext w:val="0"/>
            </w:pPr>
            <w:r w:rsidRPr="00220AC5">
              <w:t>Same probability of recovery to MDE in each arm, based on OAD: 3.558%</w:t>
            </w:r>
          </w:p>
        </w:tc>
        <w:tc>
          <w:tcPr>
            <w:tcW w:w="656" w:type="pct"/>
            <w:vAlign w:val="center"/>
          </w:tcPr>
          <w:p w14:paraId="6C5C071A" w14:textId="162D614B" w:rsidR="001F3AAE" w:rsidRPr="00220AC5" w:rsidRDefault="001F3AAE" w:rsidP="001F3AAE">
            <w:pPr>
              <w:pStyle w:val="TableText"/>
              <w:keepNext w:val="0"/>
              <w:jc w:val="center"/>
              <w:rPr>
                <w:rFonts w:cs="Calibri"/>
                <w:color w:val="000000"/>
                <w:szCs w:val="20"/>
              </w:rPr>
            </w:pPr>
            <w:r w:rsidRPr="00220AC5">
              <w:rPr>
                <w:rFonts w:cs="Calibri"/>
                <w:color w:val="000000"/>
                <w:szCs w:val="20"/>
              </w:rPr>
              <w:t>$</w:t>
            </w:r>
            <w:r w:rsidR="00B9195B" w:rsidRPr="00B9195B">
              <w:rPr>
                <w:rFonts w:cs="Calibri" w:hint="eastAsia"/>
                <w:color w:val="000000"/>
                <w:w w:val="15"/>
                <w:szCs w:val="20"/>
                <w:shd w:val="solid" w:color="000000" w:fill="000000"/>
                <w:fitText w:val="61" w:id="-1436330746"/>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6"/>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6"/>
                <w14:textFill>
                  <w14:solidFill>
                    <w14:srgbClr w14:val="000000">
                      <w14:alpha w14:val="100000"/>
                    </w14:srgbClr>
                  </w14:solidFill>
                </w14:textFill>
              </w:rPr>
              <w:t xml:space="preserve">　</w:t>
            </w:r>
          </w:p>
        </w:tc>
        <w:tc>
          <w:tcPr>
            <w:tcW w:w="657" w:type="pct"/>
            <w:vAlign w:val="center"/>
          </w:tcPr>
          <w:p w14:paraId="218969AE" w14:textId="77777777" w:rsidR="001F3AAE" w:rsidRPr="00220AC5" w:rsidRDefault="001F3AAE" w:rsidP="001F3AAE">
            <w:pPr>
              <w:pStyle w:val="TableText"/>
              <w:keepNext w:val="0"/>
              <w:jc w:val="center"/>
              <w:rPr>
                <w:rFonts w:cs="Calibri"/>
                <w:color w:val="000000"/>
                <w:szCs w:val="20"/>
              </w:rPr>
            </w:pPr>
            <w:r w:rsidRPr="00220AC5">
              <w:rPr>
                <w:rFonts w:cs="Calibri"/>
                <w:color w:val="000000"/>
                <w:szCs w:val="20"/>
              </w:rPr>
              <w:t>0.1438</w:t>
            </w:r>
          </w:p>
        </w:tc>
        <w:tc>
          <w:tcPr>
            <w:tcW w:w="657" w:type="pct"/>
            <w:vAlign w:val="center"/>
          </w:tcPr>
          <w:p w14:paraId="2FA80E28" w14:textId="5E798BA3" w:rsidR="001F3AAE" w:rsidRPr="00220AC5" w:rsidRDefault="001F3AAE" w:rsidP="001F3AAE">
            <w:pPr>
              <w:pStyle w:val="TableText"/>
              <w:keepNext w:val="0"/>
              <w:jc w:val="center"/>
              <w:rPr>
                <w:rFonts w:cs="Calibri"/>
                <w:color w:val="000000"/>
                <w:szCs w:val="20"/>
              </w:rPr>
            </w:pPr>
            <w:r w:rsidRPr="00220AC5">
              <w:rPr>
                <w:rFonts w:cs="Calibri"/>
                <w:color w:val="000000"/>
                <w:szCs w:val="20"/>
              </w:rPr>
              <w:t>$</w:t>
            </w:r>
            <w:r w:rsidR="00B9195B" w:rsidRPr="00B9195B">
              <w:rPr>
                <w:rFonts w:cs="Calibri" w:hint="eastAsia"/>
                <w:color w:val="000000"/>
                <w:w w:val="21"/>
                <w:szCs w:val="20"/>
                <w:shd w:val="solid" w:color="000000" w:fill="000000"/>
                <w:fitText w:val="93" w:id="-1436330745"/>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5"/>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5"/>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0572D63F" w14:textId="4564E625" w:rsidR="001F3AAE" w:rsidRPr="00220AC5" w:rsidRDefault="001F3AAE" w:rsidP="001F3AAE">
            <w:pPr>
              <w:pStyle w:val="TableText"/>
              <w:keepNext w:val="0"/>
              <w:jc w:val="center"/>
              <w:rPr>
                <w:rFonts w:cs="Calibri"/>
                <w:color w:val="000000"/>
                <w:szCs w:val="20"/>
              </w:rPr>
            </w:pPr>
            <w:r w:rsidRPr="00220AC5">
              <w:rPr>
                <w:rFonts w:cs="Calibri"/>
                <w:color w:val="000000"/>
                <w:szCs w:val="20"/>
              </w:rPr>
              <w:t>51.3%</w:t>
            </w:r>
          </w:p>
        </w:tc>
      </w:tr>
      <w:tr w:rsidR="001F3AAE" w:rsidRPr="002530A2" w14:paraId="1E71537C" w14:textId="2191E044" w:rsidTr="00873314">
        <w:tc>
          <w:tcPr>
            <w:tcW w:w="2373" w:type="pct"/>
          </w:tcPr>
          <w:p w14:paraId="2883CFC5" w14:textId="77777777" w:rsidR="001F3AAE" w:rsidRPr="00220AC5" w:rsidRDefault="001F3AAE" w:rsidP="001F3AAE">
            <w:pPr>
              <w:pStyle w:val="TableText"/>
              <w:keepNext w:val="0"/>
            </w:pPr>
            <w:r w:rsidRPr="00220AC5">
              <w:t xml:space="preserve">Same probability of recovery to MDE in each arm, based on </w:t>
            </w:r>
            <w:proofErr w:type="spellStart"/>
            <w:r w:rsidRPr="00220AC5">
              <w:t>esketamine</w:t>
            </w:r>
            <w:proofErr w:type="spellEnd"/>
            <w:r w:rsidRPr="00220AC5">
              <w:t>: 2.427%</w:t>
            </w:r>
          </w:p>
        </w:tc>
        <w:tc>
          <w:tcPr>
            <w:tcW w:w="656" w:type="pct"/>
            <w:vAlign w:val="center"/>
          </w:tcPr>
          <w:p w14:paraId="63C6734F" w14:textId="0D5495C7" w:rsidR="001F3AAE" w:rsidRPr="00220AC5" w:rsidRDefault="001F3AAE" w:rsidP="001F3AAE">
            <w:pPr>
              <w:pStyle w:val="TableText"/>
              <w:keepNext w:val="0"/>
              <w:jc w:val="center"/>
              <w:rPr>
                <w:rFonts w:cs="Calibri"/>
                <w:color w:val="000000"/>
                <w:szCs w:val="20"/>
              </w:rPr>
            </w:pPr>
            <w:r w:rsidRPr="00220AC5">
              <w:rPr>
                <w:rFonts w:cs="Calibri"/>
                <w:color w:val="000000"/>
                <w:szCs w:val="20"/>
              </w:rPr>
              <w:t>$</w:t>
            </w:r>
            <w:r w:rsidR="00B9195B" w:rsidRPr="00B9195B">
              <w:rPr>
                <w:rFonts w:cs="Calibri" w:hint="eastAsia"/>
                <w:color w:val="000000"/>
                <w:w w:val="15"/>
                <w:szCs w:val="20"/>
                <w:shd w:val="solid" w:color="000000" w:fill="000000"/>
                <w:fitText w:val="61" w:id="-1436330744"/>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4"/>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4"/>
                <w14:textFill>
                  <w14:solidFill>
                    <w14:srgbClr w14:val="000000">
                      <w14:alpha w14:val="100000"/>
                    </w14:srgbClr>
                  </w14:solidFill>
                </w14:textFill>
              </w:rPr>
              <w:t xml:space="preserve">　</w:t>
            </w:r>
          </w:p>
        </w:tc>
        <w:tc>
          <w:tcPr>
            <w:tcW w:w="657" w:type="pct"/>
            <w:vAlign w:val="center"/>
          </w:tcPr>
          <w:p w14:paraId="4F42871F" w14:textId="77777777" w:rsidR="001F3AAE" w:rsidRPr="00220AC5" w:rsidRDefault="001F3AAE" w:rsidP="001F3AAE">
            <w:pPr>
              <w:pStyle w:val="TableText"/>
              <w:keepNext w:val="0"/>
              <w:jc w:val="center"/>
              <w:rPr>
                <w:rFonts w:cs="Calibri"/>
                <w:color w:val="000000"/>
                <w:szCs w:val="20"/>
              </w:rPr>
            </w:pPr>
            <w:r w:rsidRPr="00220AC5">
              <w:rPr>
                <w:rFonts w:cs="Calibri"/>
                <w:color w:val="000000"/>
                <w:szCs w:val="20"/>
              </w:rPr>
              <w:t>0.1695</w:t>
            </w:r>
          </w:p>
        </w:tc>
        <w:tc>
          <w:tcPr>
            <w:tcW w:w="657" w:type="pct"/>
            <w:vAlign w:val="center"/>
          </w:tcPr>
          <w:p w14:paraId="46469FE8" w14:textId="09C2291B" w:rsidR="001F3AAE" w:rsidRPr="00220AC5" w:rsidRDefault="001F3AAE" w:rsidP="001F3AAE">
            <w:pPr>
              <w:pStyle w:val="TableText"/>
              <w:keepNext w:val="0"/>
              <w:jc w:val="center"/>
              <w:rPr>
                <w:rFonts w:cs="Calibri"/>
                <w:color w:val="000000"/>
                <w:szCs w:val="20"/>
              </w:rPr>
            </w:pPr>
            <w:r w:rsidRPr="00220AC5">
              <w:rPr>
                <w:rFonts w:cs="Calibri"/>
                <w:color w:val="000000"/>
                <w:szCs w:val="20"/>
              </w:rPr>
              <w:t>$</w:t>
            </w:r>
            <w:r w:rsidR="00B9195B" w:rsidRPr="00B9195B">
              <w:rPr>
                <w:rFonts w:cs="Calibri" w:hint="eastAsia"/>
                <w:color w:val="000000"/>
                <w:w w:val="21"/>
                <w:szCs w:val="20"/>
                <w:shd w:val="solid" w:color="000000" w:fill="000000"/>
                <w:fitText w:val="93" w:id="-1436330743"/>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3"/>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3"/>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74555F13" w14:textId="4ADDE724" w:rsidR="001F3AAE" w:rsidRPr="00220AC5" w:rsidRDefault="001F3AAE" w:rsidP="001F3AAE">
            <w:pPr>
              <w:pStyle w:val="TableText"/>
              <w:keepNext w:val="0"/>
              <w:jc w:val="center"/>
              <w:rPr>
                <w:rFonts w:cs="Calibri"/>
                <w:color w:val="000000"/>
                <w:szCs w:val="20"/>
              </w:rPr>
            </w:pPr>
            <w:r w:rsidRPr="00220AC5">
              <w:rPr>
                <w:rFonts w:cs="Calibri"/>
                <w:color w:val="000000"/>
                <w:szCs w:val="20"/>
              </w:rPr>
              <w:t>25.6%</w:t>
            </w:r>
          </w:p>
        </w:tc>
      </w:tr>
      <w:tr w:rsidR="00DF7BF3" w:rsidRPr="002530A2" w14:paraId="1C9F691E" w14:textId="0A2D5BF5" w:rsidTr="00873314">
        <w:tc>
          <w:tcPr>
            <w:tcW w:w="5000" w:type="pct"/>
            <w:gridSpan w:val="5"/>
          </w:tcPr>
          <w:p w14:paraId="092D89D1" w14:textId="449082EB" w:rsidR="00DF7BF3" w:rsidRPr="007E18B2" w:rsidRDefault="00DF7BF3" w:rsidP="001F3AAE">
            <w:pPr>
              <w:pStyle w:val="TableText"/>
              <w:keepNext w:val="0"/>
              <w:rPr>
                <w:b/>
                <w:bCs w:val="0"/>
              </w:rPr>
            </w:pPr>
            <w:r w:rsidRPr="007E18B2">
              <w:rPr>
                <w:b/>
                <w:bCs w:val="0"/>
              </w:rPr>
              <w:t>Subsequent treatment remission and response (base case: remission 4.5%/cycle; response 1.1%/cycle; assuming response estimates in STAR*D study double-count remission estimates and are based on a 12-week duration)</w:t>
            </w:r>
          </w:p>
        </w:tc>
      </w:tr>
      <w:tr w:rsidR="001F3AAE" w:rsidRPr="002530A2" w14:paraId="06347D30" w14:textId="330CD92A" w:rsidTr="00873314">
        <w:tc>
          <w:tcPr>
            <w:tcW w:w="2373" w:type="pct"/>
          </w:tcPr>
          <w:p w14:paraId="2A905461" w14:textId="77777777" w:rsidR="001F3AAE" w:rsidRPr="00220AC5" w:rsidRDefault="001F3AAE" w:rsidP="001F3AAE">
            <w:pPr>
              <w:pStyle w:val="TableText"/>
              <w:keepNext w:val="0"/>
            </w:pPr>
            <w:r w:rsidRPr="00220AC5">
              <w:t>Response 5.8%/cycle (no double-counting assumed)</w:t>
            </w:r>
          </w:p>
        </w:tc>
        <w:tc>
          <w:tcPr>
            <w:tcW w:w="656" w:type="pct"/>
            <w:vAlign w:val="center"/>
          </w:tcPr>
          <w:p w14:paraId="7E01D4B7" w14:textId="1F64EB82"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42"/>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2"/>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2"/>
                <w14:textFill>
                  <w14:solidFill>
                    <w14:srgbClr w14:val="000000">
                      <w14:alpha w14:val="100000"/>
                    </w14:srgbClr>
                  </w14:solidFill>
                </w14:textFill>
              </w:rPr>
              <w:t xml:space="preserve">　</w:t>
            </w:r>
          </w:p>
        </w:tc>
        <w:tc>
          <w:tcPr>
            <w:tcW w:w="657" w:type="pct"/>
            <w:vAlign w:val="center"/>
          </w:tcPr>
          <w:p w14:paraId="274A7BA0" w14:textId="77777777" w:rsidR="001F3AAE" w:rsidRPr="00220AC5" w:rsidRDefault="001F3AAE" w:rsidP="001F3AAE">
            <w:pPr>
              <w:pStyle w:val="TableText"/>
              <w:keepNext w:val="0"/>
              <w:jc w:val="center"/>
            </w:pPr>
            <w:r w:rsidRPr="00220AC5">
              <w:rPr>
                <w:rFonts w:cs="Calibri"/>
                <w:color w:val="000000"/>
                <w:szCs w:val="20"/>
              </w:rPr>
              <w:t>0.1726</w:t>
            </w:r>
          </w:p>
        </w:tc>
        <w:tc>
          <w:tcPr>
            <w:tcW w:w="657" w:type="pct"/>
            <w:vAlign w:val="center"/>
          </w:tcPr>
          <w:p w14:paraId="6F756870" w14:textId="2369AE2C"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41"/>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1"/>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1"/>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0EF3E99E" w14:textId="3DF937C8" w:rsidR="001F3AAE" w:rsidRPr="00220AC5" w:rsidRDefault="001F3AAE" w:rsidP="001F3AAE">
            <w:pPr>
              <w:pStyle w:val="TableText"/>
              <w:keepNext w:val="0"/>
              <w:jc w:val="center"/>
              <w:rPr>
                <w:rFonts w:cs="Calibri"/>
                <w:color w:val="000000"/>
                <w:szCs w:val="20"/>
              </w:rPr>
            </w:pPr>
            <w:r w:rsidRPr="00220AC5">
              <w:rPr>
                <w:rFonts w:cs="Calibri"/>
                <w:color w:val="000000"/>
                <w:szCs w:val="20"/>
              </w:rPr>
              <w:t>25.1%</w:t>
            </w:r>
          </w:p>
        </w:tc>
      </w:tr>
      <w:tr w:rsidR="001F3AAE" w:rsidRPr="002530A2" w14:paraId="3456CBB1" w14:textId="3E55FF35" w:rsidTr="00873314">
        <w:tc>
          <w:tcPr>
            <w:tcW w:w="2373" w:type="pct"/>
          </w:tcPr>
          <w:p w14:paraId="26B34E84" w14:textId="77777777" w:rsidR="001F3AAE" w:rsidRPr="00220AC5" w:rsidRDefault="001F3AAE" w:rsidP="001F3AAE">
            <w:pPr>
              <w:pStyle w:val="TableText"/>
              <w:keepNext w:val="0"/>
            </w:pPr>
            <w:r w:rsidRPr="00220AC5">
              <w:t>STAR*D probabilities adjusted to 4-weekly estimates based on time to response (8.3 weeks)/remission (7.4 weeks)</w:t>
            </w:r>
          </w:p>
        </w:tc>
        <w:tc>
          <w:tcPr>
            <w:tcW w:w="656" w:type="pct"/>
            <w:vAlign w:val="center"/>
          </w:tcPr>
          <w:p w14:paraId="47D7DAA5" w14:textId="0EF0DB3F"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40"/>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0"/>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0"/>
                <w14:textFill>
                  <w14:solidFill>
                    <w14:srgbClr w14:val="000000">
                      <w14:alpha w14:val="100000"/>
                    </w14:srgbClr>
                  </w14:solidFill>
                </w14:textFill>
              </w:rPr>
              <w:t xml:space="preserve">　</w:t>
            </w:r>
          </w:p>
        </w:tc>
        <w:tc>
          <w:tcPr>
            <w:tcW w:w="657" w:type="pct"/>
            <w:vAlign w:val="center"/>
          </w:tcPr>
          <w:p w14:paraId="3EEBCABA" w14:textId="77777777" w:rsidR="001F3AAE" w:rsidRPr="00220AC5" w:rsidRDefault="001F3AAE" w:rsidP="001F3AAE">
            <w:pPr>
              <w:pStyle w:val="TableText"/>
              <w:keepNext w:val="0"/>
              <w:jc w:val="center"/>
            </w:pPr>
            <w:r w:rsidRPr="00220AC5">
              <w:rPr>
                <w:rFonts w:cs="Calibri"/>
                <w:color w:val="000000"/>
                <w:szCs w:val="20"/>
              </w:rPr>
              <w:t>0.1557</w:t>
            </w:r>
          </w:p>
        </w:tc>
        <w:tc>
          <w:tcPr>
            <w:tcW w:w="657" w:type="pct"/>
            <w:vAlign w:val="center"/>
          </w:tcPr>
          <w:p w14:paraId="76CD12CA" w14:textId="054E5ABD"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39"/>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39"/>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39"/>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042C5F90" w14:textId="1CDDB61F" w:rsidR="001F3AAE" w:rsidRPr="00220AC5" w:rsidRDefault="001F3AAE" w:rsidP="001F3AAE">
            <w:pPr>
              <w:pStyle w:val="TableText"/>
              <w:keepNext w:val="0"/>
              <w:jc w:val="center"/>
              <w:rPr>
                <w:rFonts w:cs="Calibri"/>
                <w:color w:val="000000"/>
                <w:szCs w:val="20"/>
              </w:rPr>
            </w:pPr>
            <w:r w:rsidRPr="00220AC5">
              <w:rPr>
                <w:rFonts w:cs="Calibri"/>
                <w:color w:val="000000"/>
                <w:szCs w:val="20"/>
              </w:rPr>
              <w:t>49.0%</w:t>
            </w:r>
          </w:p>
        </w:tc>
      </w:tr>
      <w:tr w:rsidR="00DF7BF3" w:rsidRPr="002530A2" w14:paraId="6DDEA533" w14:textId="355AB97B" w:rsidTr="00873314">
        <w:tc>
          <w:tcPr>
            <w:tcW w:w="5000" w:type="pct"/>
            <w:gridSpan w:val="5"/>
          </w:tcPr>
          <w:p w14:paraId="748A76ED" w14:textId="3E3AAE14" w:rsidR="00DF7BF3" w:rsidRPr="007E18B2" w:rsidRDefault="00DF7BF3" w:rsidP="001F3AAE">
            <w:pPr>
              <w:pStyle w:val="TableText"/>
              <w:keepNext w:val="0"/>
              <w:rPr>
                <w:b/>
                <w:bCs w:val="0"/>
              </w:rPr>
            </w:pPr>
            <w:r w:rsidRPr="007E18B2">
              <w:rPr>
                <w:b/>
                <w:bCs w:val="0"/>
              </w:rPr>
              <w:t>Subsequent treatment loss of response, relapse from remission and recurrence from recovery (base case: recovery to MDE 3.6% per cycle; remission to MDE 12.8%/cycle; response to MDE 22.8%/cycle)</w:t>
            </w:r>
          </w:p>
        </w:tc>
      </w:tr>
      <w:tr w:rsidR="001F3AAE" w:rsidRPr="002530A2" w14:paraId="7B38AE4A" w14:textId="7F015ABB" w:rsidTr="00873314">
        <w:tc>
          <w:tcPr>
            <w:tcW w:w="2373" w:type="pct"/>
          </w:tcPr>
          <w:p w14:paraId="117498E2" w14:textId="77777777" w:rsidR="001F3AAE" w:rsidRPr="00220AC5" w:rsidRDefault="001F3AAE" w:rsidP="001F3AAE">
            <w:pPr>
              <w:pStyle w:val="TableText"/>
              <w:keepNext w:val="0"/>
            </w:pPr>
            <w:r w:rsidRPr="00220AC5">
              <w:t xml:space="preserve">Increase probabilities by 20% </w:t>
            </w:r>
          </w:p>
        </w:tc>
        <w:tc>
          <w:tcPr>
            <w:tcW w:w="656" w:type="pct"/>
            <w:vAlign w:val="center"/>
          </w:tcPr>
          <w:p w14:paraId="4119BECA" w14:textId="1DBF27A7"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38"/>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38"/>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38"/>
                <w14:textFill>
                  <w14:solidFill>
                    <w14:srgbClr w14:val="000000">
                      <w14:alpha w14:val="100000"/>
                    </w14:srgbClr>
                  </w14:solidFill>
                </w14:textFill>
              </w:rPr>
              <w:t xml:space="preserve">　</w:t>
            </w:r>
          </w:p>
        </w:tc>
        <w:tc>
          <w:tcPr>
            <w:tcW w:w="657" w:type="pct"/>
            <w:vAlign w:val="center"/>
          </w:tcPr>
          <w:p w14:paraId="13B91710" w14:textId="77777777" w:rsidR="001F3AAE" w:rsidRPr="00220AC5" w:rsidRDefault="001F3AAE" w:rsidP="001F3AAE">
            <w:pPr>
              <w:pStyle w:val="TableText"/>
              <w:keepNext w:val="0"/>
              <w:jc w:val="center"/>
            </w:pPr>
            <w:r w:rsidRPr="00220AC5">
              <w:rPr>
                <w:rFonts w:cs="Calibri"/>
                <w:color w:val="000000"/>
                <w:szCs w:val="20"/>
              </w:rPr>
              <w:t>0.2004</w:t>
            </w:r>
          </w:p>
        </w:tc>
        <w:tc>
          <w:tcPr>
            <w:tcW w:w="657" w:type="pct"/>
            <w:vAlign w:val="center"/>
          </w:tcPr>
          <w:p w14:paraId="3EB685D2" w14:textId="1657CCDF"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37"/>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37"/>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37"/>
                <w14:textFill>
                  <w14:solidFill>
                    <w14:srgbClr w14:val="000000">
                      <w14:alpha w14:val="100000"/>
                    </w14:srgbClr>
                  </w14:solidFill>
                </w14:textFill>
              </w:rPr>
              <w:t xml:space="preserve">　</w:t>
            </w:r>
            <w:r w:rsidR="00A7179E">
              <w:rPr>
                <w:rFonts w:cs="Calibri"/>
                <w:color w:val="000000"/>
                <w:szCs w:val="20"/>
                <w:vertAlign w:val="superscript"/>
              </w:rPr>
              <w:t>4</w:t>
            </w:r>
          </w:p>
        </w:tc>
        <w:tc>
          <w:tcPr>
            <w:tcW w:w="657" w:type="pct"/>
            <w:vAlign w:val="center"/>
          </w:tcPr>
          <w:p w14:paraId="7202A2DB" w14:textId="00A07B2A" w:rsidR="001F3AAE" w:rsidRPr="00220AC5" w:rsidRDefault="001F3AAE" w:rsidP="001F3AAE">
            <w:pPr>
              <w:pStyle w:val="TableText"/>
              <w:keepNext w:val="0"/>
              <w:jc w:val="center"/>
              <w:rPr>
                <w:rFonts w:cs="Calibri"/>
                <w:color w:val="000000"/>
                <w:szCs w:val="20"/>
              </w:rPr>
            </w:pPr>
            <w:r w:rsidRPr="00220AC5">
              <w:rPr>
                <w:rFonts w:cs="Calibri"/>
                <w:color w:val="000000"/>
                <w:szCs w:val="20"/>
              </w:rPr>
              <w:t>-16.0%</w:t>
            </w:r>
          </w:p>
        </w:tc>
      </w:tr>
      <w:tr w:rsidR="001F3AAE" w:rsidRPr="002530A2" w14:paraId="70DC378E" w14:textId="6A2E8D30" w:rsidTr="00873314">
        <w:tc>
          <w:tcPr>
            <w:tcW w:w="2373" w:type="pct"/>
          </w:tcPr>
          <w:p w14:paraId="48834764" w14:textId="77777777" w:rsidR="001F3AAE" w:rsidRPr="00220AC5" w:rsidRDefault="001F3AAE" w:rsidP="001F3AAE">
            <w:pPr>
              <w:pStyle w:val="TableText"/>
              <w:keepNext w:val="0"/>
            </w:pPr>
            <w:r w:rsidRPr="00220AC5">
              <w:t>Decrease probabilities by 20%</w:t>
            </w:r>
          </w:p>
        </w:tc>
        <w:tc>
          <w:tcPr>
            <w:tcW w:w="656" w:type="pct"/>
            <w:vAlign w:val="center"/>
          </w:tcPr>
          <w:p w14:paraId="6F56A091" w14:textId="732CAB6D"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36"/>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36"/>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36"/>
                <w14:textFill>
                  <w14:solidFill>
                    <w14:srgbClr w14:val="000000">
                      <w14:alpha w14:val="100000"/>
                    </w14:srgbClr>
                  </w14:solidFill>
                </w14:textFill>
              </w:rPr>
              <w:t xml:space="preserve">　</w:t>
            </w:r>
          </w:p>
        </w:tc>
        <w:tc>
          <w:tcPr>
            <w:tcW w:w="657" w:type="pct"/>
            <w:vAlign w:val="center"/>
          </w:tcPr>
          <w:p w14:paraId="695AC153" w14:textId="77777777" w:rsidR="001F3AAE" w:rsidRPr="00220AC5" w:rsidRDefault="001F3AAE" w:rsidP="001F3AAE">
            <w:pPr>
              <w:pStyle w:val="TableText"/>
              <w:keepNext w:val="0"/>
              <w:jc w:val="center"/>
            </w:pPr>
            <w:r w:rsidRPr="00220AC5">
              <w:rPr>
                <w:rFonts w:cs="Calibri"/>
                <w:color w:val="000000"/>
                <w:szCs w:val="20"/>
              </w:rPr>
              <w:t>0.1715</w:t>
            </w:r>
          </w:p>
        </w:tc>
        <w:tc>
          <w:tcPr>
            <w:tcW w:w="657" w:type="pct"/>
            <w:vAlign w:val="center"/>
          </w:tcPr>
          <w:p w14:paraId="59B787A9" w14:textId="615832FF"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52"/>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52"/>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52"/>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16EB5E5B" w14:textId="27A19AB4" w:rsidR="001F3AAE" w:rsidRPr="00220AC5" w:rsidRDefault="001F3AAE" w:rsidP="001F3AAE">
            <w:pPr>
              <w:pStyle w:val="TableText"/>
              <w:keepNext w:val="0"/>
              <w:jc w:val="center"/>
              <w:rPr>
                <w:rFonts w:cs="Calibri"/>
                <w:color w:val="000000"/>
                <w:szCs w:val="20"/>
              </w:rPr>
            </w:pPr>
            <w:r w:rsidRPr="00220AC5">
              <w:rPr>
                <w:rFonts w:cs="Calibri"/>
                <w:color w:val="000000"/>
                <w:szCs w:val="20"/>
              </w:rPr>
              <w:t>23.0%</w:t>
            </w:r>
          </w:p>
        </w:tc>
      </w:tr>
      <w:tr w:rsidR="00445DF9" w:rsidRPr="002530A2" w14:paraId="488B470B" w14:textId="5E8F7C75" w:rsidTr="00445DF9">
        <w:tc>
          <w:tcPr>
            <w:tcW w:w="5000" w:type="pct"/>
            <w:gridSpan w:val="5"/>
          </w:tcPr>
          <w:p w14:paraId="41A68592" w14:textId="280E15D3" w:rsidR="00445DF9" w:rsidRPr="007E18B2" w:rsidRDefault="00445DF9" w:rsidP="001F3AAE">
            <w:pPr>
              <w:pStyle w:val="TableText"/>
              <w:keepNext w:val="0"/>
              <w:rPr>
                <w:b/>
                <w:bCs w:val="0"/>
              </w:rPr>
            </w:pPr>
            <w:proofErr w:type="spellStart"/>
            <w:r w:rsidRPr="007E18B2">
              <w:rPr>
                <w:b/>
                <w:bCs w:val="0"/>
              </w:rPr>
              <w:t>Esketamine</w:t>
            </w:r>
            <w:proofErr w:type="spellEnd"/>
            <w:r w:rsidRPr="007E18B2">
              <w:rPr>
                <w:b/>
                <w:bCs w:val="0"/>
              </w:rPr>
              <w:t xml:space="preserve"> utilisation and costs (base case:</w:t>
            </w:r>
            <w:r w:rsidR="00971C02" w:rsidRPr="007E18B2">
              <w:t xml:space="preserve"> </w:t>
            </w:r>
            <w:r w:rsidR="00971C02" w:rsidRPr="007E18B2">
              <w:rPr>
                <w:b/>
                <w:bCs w:val="0"/>
              </w:rPr>
              <w:t>based on utilisation in the TRANSFORM-2, TRANSFORM-3 and SUSTAIN-1 trials</w:t>
            </w:r>
            <w:r w:rsidR="00846206">
              <w:rPr>
                <w:b/>
                <w:bCs w:val="0"/>
              </w:rPr>
              <w:t xml:space="preserve">, see </w:t>
            </w:r>
            <w:r w:rsidR="00846206">
              <w:rPr>
                <w:b/>
                <w:bCs w:val="0"/>
              </w:rPr>
              <w:fldChar w:fldCharType="begin"/>
            </w:r>
            <w:r w:rsidR="00846206">
              <w:rPr>
                <w:b/>
                <w:bCs w:val="0"/>
              </w:rPr>
              <w:instrText xml:space="preserve"> REF _Ref110257371 \h  \* MERGEFORMAT </w:instrText>
            </w:r>
            <w:r w:rsidR="00846206">
              <w:rPr>
                <w:b/>
                <w:bCs w:val="0"/>
              </w:rPr>
            </w:r>
            <w:r w:rsidR="00846206">
              <w:rPr>
                <w:b/>
                <w:bCs w:val="0"/>
              </w:rPr>
              <w:fldChar w:fldCharType="separate"/>
            </w:r>
            <w:r w:rsidR="008E3D7A" w:rsidRPr="00AD1E9B">
              <w:rPr>
                <w:b/>
                <w:bCs w:val="0"/>
              </w:rPr>
              <w:t>Table 17</w:t>
            </w:r>
            <w:r w:rsidR="00846206">
              <w:rPr>
                <w:b/>
                <w:bCs w:val="0"/>
              </w:rPr>
              <w:fldChar w:fldCharType="end"/>
            </w:r>
            <w:r w:rsidR="00971C02" w:rsidRPr="007E18B2">
              <w:rPr>
                <w:b/>
                <w:bCs w:val="0"/>
              </w:rPr>
              <w:t>)</w:t>
            </w:r>
          </w:p>
        </w:tc>
      </w:tr>
      <w:tr w:rsidR="001F3AAE" w:rsidRPr="002530A2" w14:paraId="6DDE7AF2" w14:textId="3593422D" w:rsidTr="00873314">
        <w:trPr>
          <w:trHeight w:val="69"/>
        </w:trPr>
        <w:tc>
          <w:tcPr>
            <w:tcW w:w="2373" w:type="pct"/>
          </w:tcPr>
          <w:p w14:paraId="28AC4E01" w14:textId="77777777" w:rsidR="001F3AAE" w:rsidRPr="00220AC5" w:rsidRDefault="001F3AAE" w:rsidP="001F3AAE">
            <w:pPr>
              <w:pStyle w:val="TableText"/>
              <w:keepNext w:val="0"/>
            </w:pPr>
            <w:r w:rsidRPr="00220AC5">
              <w:t>Use of 56 mg dose only</w:t>
            </w:r>
          </w:p>
        </w:tc>
        <w:tc>
          <w:tcPr>
            <w:tcW w:w="656" w:type="pct"/>
            <w:vAlign w:val="center"/>
          </w:tcPr>
          <w:p w14:paraId="75395081" w14:textId="3CF27D91"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51"/>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51"/>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51"/>
                <w14:textFill>
                  <w14:solidFill>
                    <w14:srgbClr w14:val="000000">
                      <w14:alpha w14:val="100000"/>
                    </w14:srgbClr>
                  </w14:solidFill>
                </w14:textFill>
              </w:rPr>
              <w:t xml:space="preserve">　</w:t>
            </w:r>
          </w:p>
        </w:tc>
        <w:tc>
          <w:tcPr>
            <w:tcW w:w="657" w:type="pct"/>
            <w:vAlign w:val="center"/>
          </w:tcPr>
          <w:p w14:paraId="32D26464" w14:textId="77777777" w:rsidR="001F3AAE" w:rsidRPr="00220AC5" w:rsidRDefault="001F3AAE" w:rsidP="001F3AAE">
            <w:pPr>
              <w:pStyle w:val="TableText"/>
              <w:keepNext w:val="0"/>
              <w:jc w:val="center"/>
            </w:pPr>
            <w:r w:rsidRPr="00220AC5">
              <w:rPr>
                <w:rFonts w:cs="Calibri"/>
                <w:color w:val="000000"/>
                <w:szCs w:val="20"/>
              </w:rPr>
              <w:t>0.1874</w:t>
            </w:r>
          </w:p>
        </w:tc>
        <w:tc>
          <w:tcPr>
            <w:tcW w:w="657" w:type="pct"/>
            <w:vAlign w:val="center"/>
          </w:tcPr>
          <w:p w14:paraId="4C623029" w14:textId="2106D38B"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50"/>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50"/>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50"/>
                <w14:textFill>
                  <w14:solidFill>
                    <w14:srgbClr w14:val="000000">
                      <w14:alpha w14:val="100000"/>
                    </w14:srgbClr>
                  </w14:solidFill>
                </w14:textFill>
              </w:rPr>
              <w:t xml:space="preserve">　</w:t>
            </w:r>
            <w:r w:rsidR="00A7179E">
              <w:rPr>
                <w:rFonts w:cs="Calibri"/>
                <w:color w:val="000000"/>
                <w:szCs w:val="20"/>
                <w:vertAlign w:val="superscript"/>
              </w:rPr>
              <w:t>6</w:t>
            </w:r>
          </w:p>
        </w:tc>
        <w:tc>
          <w:tcPr>
            <w:tcW w:w="657" w:type="pct"/>
            <w:vAlign w:val="center"/>
          </w:tcPr>
          <w:p w14:paraId="6D5E98EE" w14:textId="3270BCC2" w:rsidR="001F3AAE" w:rsidRPr="00220AC5" w:rsidRDefault="001F3AAE" w:rsidP="001F3AAE">
            <w:pPr>
              <w:pStyle w:val="TableText"/>
              <w:keepNext w:val="0"/>
              <w:jc w:val="center"/>
              <w:rPr>
                <w:rFonts w:cs="Calibri"/>
                <w:color w:val="000000"/>
                <w:szCs w:val="20"/>
              </w:rPr>
            </w:pPr>
            <w:r w:rsidRPr="00220AC5">
              <w:rPr>
                <w:rFonts w:cs="Calibri"/>
                <w:color w:val="000000"/>
                <w:szCs w:val="20"/>
              </w:rPr>
              <w:t>-44.3%</w:t>
            </w:r>
          </w:p>
        </w:tc>
      </w:tr>
      <w:tr w:rsidR="001F3AAE" w:rsidRPr="002530A2" w14:paraId="09CB7315" w14:textId="611DC178" w:rsidTr="00873314">
        <w:tc>
          <w:tcPr>
            <w:tcW w:w="2373" w:type="pct"/>
          </w:tcPr>
          <w:p w14:paraId="0B1F7EE4" w14:textId="77777777" w:rsidR="001F3AAE" w:rsidRPr="00220AC5" w:rsidRDefault="001F3AAE" w:rsidP="001F3AAE">
            <w:pPr>
              <w:pStyle w:val="TableText"/>
              <w:keepNext w:val="0"/>
            </w:pPr>
            <w:r w:rsidRPr="00220AC5">
              <w:t>Use of 84 mg dose only</w:t>
            </w:r>
          </w:p>
        </w:tc>
        <w:tc>
          <w:tcPr>
            <w:tcW w:w="656" w:type="pct"/>
            <w:vAlign w:val="center"/>
          </w:tcPr>
          <w:p w14:paraId="5253B6BC" w14:textId="198DC84F"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49"/>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9"/>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9"/>
                <w14:textFill>
                  <w14:solidFill>
                    <w14:srgbClr w14:val="000000">
                      <w14:alpha w14:val="100000"/>
                    </w14:srgbClr>
                  </w14:solidFill>
                </w14:textFill>
              </w:rPr>
              <w:t xml:space="preserve">　</w:t>
            </w:r>
          </w:p>
        </w:tc>
        <w:tc>
          <w:tcPr>
            <w:tcW w:w="657" w:type="pct"/>
            <w:vAlign w:val="center"/>
          </w:tcPr>
          <w:p w14:paraId="70963631" w14:textId="77777777" w:rsidR="001F3AAE" w:rsidRPr="00220AC5" w:rsidRDefault="001F3AAE" w:rsidP="001F3AAE">
            <w:pPr>
              <w:pStyle w:val="TableText"/>
              <w:keepNext w:val="0"/>
              <w:jc w:val="center"/>
            </w:pPr>
            <w:r w:rsidRPr="00220AC5">
              <w:rPr>
                <w:rFonts w:cs="Calibri"/>
                <w:color w:val="000000"/>
                <w:szCs w:val="20"/>
              </w:rPr>
              <w:t>0.1874</w:t>
            </w:r>
          </w:p>
        </w:tc>
        <w:tc>
          <w:tcPr>
            <w:tcW w:w="657" w:type="pct"/>
            <w:vAlign w:val="center"/>
          </w:tcPr>
          <w:p w14:paraId="4DA9E538" w14:textId="1FE08DEE" w:rsidR="001F3AAE" w:rsidRPr="004D3863" w:rsidRDefault="001F3AAE" w:rsidP="001F3AAE">
            <w:pPr>
              <w:pStyle w:val="TableText"/>
              <w:keepNext w:val="0"/>
              <w:jc w:val="center"/>
              <w:rPr>
                <w:highlight w:val="darkGray"/>
              </w:rPr>
            </w:pPr>
            <w:r w:rsidRPr="00C76585">
              <w:rPr>
                <w:rFonts w:cs="Calibri"/>
                <w:color w:val="000000"/>
                <w:szCs w:val="20"/>
              </w:rPr>
              <w:t>$</w:t>
            </w:r>
            <w:r w:rsidR="00B9195B" w:rsidRPr="00B9195B">
              <w:rPr>
                <w:rFonts w:cs="Calibri" w:hint="eastAsia"/>
                <w:color w:val="000000"/>
                <w:w w:val="21"/>
                <w:szCs w:val="20"/>
                <w:shd w:val="solid" w:color="000000" w:fill="000000"/>
                <w:fitText w:val="93" w:id="-1436330748"/>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8"/>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8"/>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4D93FEB8" w14:textId="2A062908" w:rsidR="001F3AAE" w:rsidRPr="00220AC5" w:rsidRDefault="001F3AAE" w:rsidP="001F3AAE">
            <w:pPr>
              <w:pStyle w:val="TableText"/>
              <w:keepNext w:val="0"/>
              <w:jc w:val="center"/>
              <w:rPr>
                <w:rFonts w:cs="Calibri"/>
                <w:color w:val="000000"/>
                <w:szCs w:val="20"/>
              </w:rPr>
            </w:pPr>
            <w:r w:rsidRPr="00220AC5">
              <w:rPr>
                <w:rFonts w:cs="Calibri"/>
                <w:color w:val="000000"/>
                <w:szCs w:val="20"/>
              </w:rPr>
              <w:t>34.5%</w:t>
            </w:r>
          </w:p>
        </w:tc>
      </w:tr>
      <w:tr w:rsidR="001F3AAE" w:rsidRPr="002530A2" w14:paraId="47F13FCD" w14:textId="2D51C66D" w:rsidTr="00873314">
        <w:tc>
          <w:tcPr>
            <w:tcW w:w="2373" w:type="pct"/>
          </w:tcPr>
          <w:p w14:paraId="2CF3B6CC" w14:textId="77777777" w:rsidR="001F3AAE" w:rsidRPr="00220AC5" w:rsidRDefault="001F3AAE" w:rsidP="001F3AAE">
            <w:pPr>
              <w:pStyle w:val="TableText"/>
              <w:keepNext w:val="0"/>
            </w:pPr>
            <w:r w:rsidRPr="00220AC5">
              <w:t>All patients receive once weekly dosing during maintenance weeks 9+</w:t>
            </w:r>
          </w:p>
        </w:tc>
        <w:tc>
          <w:tcPr>
            <w:tcW w:w="656" w:type="pct"/>
            <w:vAlign w:val="center"/>
          </w:tcPr>
          <w:p w14:paraId="1CB881EF" w14:textId="2C88A418"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47"/>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7"/>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7"/>
                <w14:textFill>
                  <w14:solidFill>
                    <w14:srgbClr w14:val="000000">
                      <w14:alpha w14:val="100000"/>
                    </w14:srgbClr>
                  </w14:solidFill>
                </w14:textFill>
              </w:rPr>
              <w:t xml:space="preserve">　</w:t>
            </w:r>
          </w:p>
        </w:tc>
        <w:tc>
          <w:tcPr>
            <w:tcW w:w="657" w:type="pct"/>
            <w:vAlign w:val="center"/>
          </w:tcPr>
          <w:p w14:paraId="6D5D6EC9" w14:textId="77777777" w:rsidR="001F3AAE" w:rsidRPr="00220AC5" w:rsidRDefault="001F3AAE" w:rsidP="001F3AAE">
            <w:pPr>
              <w:pStyle w:val="TableText"/>
              <w:keepNext w:val="0"/>
              <w:jc w:val="center"/>
            </w:pPr>
            <w:r w:rsidRPr="00220AC5">
              <w:rPr>
                <w:rFonts w:cs="Calibri"/>
                <w:color w:val="000000"/>
                <w:szCs w:val="20"/>
              </w:rPr>
              <w:t>0.1874</w:t>
            </w:r>
          </w:p>
        </w:tc>
        <w:tc>
          <w:tcPr>
            <w:tcW w:w="657" w:type="pct"/>
            <w:vAlign w:val="center"/>
          </w:tcPr>
          <w:p w14:paraId="3470015E" w14:textId="287CEEE7" w:rsidR="001F3AAE" w:rsidRPr="004D3863" w:rsidRDefault="001F3AAE" w:rsidP="001F3AAE">
            <w:pPr>
              <w:pStyle w:val="TableText"/>
              <w:keepNext w:val="0"/>
              <w:jc w:val="center"/>
              <w:rPr>
                <w:highlight w:val="darkGray"/>
              </w:rPr>
            </w:pPr>
            <w:r w:rsidRPr="00C76585">
              <w:rPr>
                <w:rFonts w:cs="Calibri"/>
                <w:color w:val="000000"/>
                <w:szCs w:val="20"/>
              </w:rPr>
              <w:t>$</w:t>
            </w:r>
            <w:r w:rsidR="00B9195B" w:rsidRPr="00B9195B">
              <w:rPr>
                <w:rFonts w:cs="Calibri" w:hint="eastAsia"/>
                <w:color w:val="000000"/>
                <w:w w:val="21"/>
                <w:szCs w:val="20"/>
                <w:shd w:val="solid" w:color="000000" w:fill="000000"/>
                <w:fitText w:val="93" w:id="-1436330746"/>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6"/>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6"/>
                <w14:textFill>
                  <w14:solidFill>
                    <w14:srgbClr w14:val="000000">
                      <w14:alpha w14:val="100000"/>
                    </w14:srgbClr>
                  </w14:solidFill>
                </w14:textFill>
              </w:rPr>
              <w:t xml:space="preserve">　</w:t>
            </w:r>
            <w:r w:rsidR="00A7179E">
              <w:rPr>
                <w:rFonts w:cs="Calibri"/>
                <w:color w:val="000000"/>
                <w:szCs w:val="20"/>
                <w:vertAlign w:val="superscript"/>
              </w:rPr>
              <w:t>7</w:t>
            </w:r>
          </w:p>
        </w:tc>
        <w:tc>
          <w:tcPr>
            <w:tcW w:w="657" w:type="pct"/>
            <w:vAlign w:val="center"/>
          </w:tcPr>
          <w:p w14:paraId="3535FE6B" w14:textId="1A3EB3D2" w:rsidR="001F3AAE" w:rsidRPr="00220AC5" w:rsidRDefault="001F3AAE" w:rsidP="001F3AAE">
            <w:pPr>
              <w:pStyle w:val="TableText"/>
              <w:keepNext w:val="0"/>
              <w:jc w:val="center"/>
              <w:rPr>
                <w:rFonts w:cs="Calibri"/>
                <w:color w:val="000000"/>
                <w:szCs w:val="20"/>
              </w:rPr>
            </w:pPr>
            <w:r w:rsidRPr="00220AC5">
              <w:rPr>
                <w:rFonts w:cs="Calibri"/>
                <w:color w:val="000000"/>
                <w:szCs w:val="20"/>
              </w:rPr>
              <w:t>83.5%</w:t>
            </w:r>
          </w:p>
        </w:tc>
      </w:tr>
      <w:tr w:rsidR="001F3AAE" w:rsidRPr="002530A2" w14:paraId="76F207B1" w14:textId="736E18E6" w:rsidTr="00873314">
        <w:tc>
          <w:tcPr>
            <w:tcW w:w="2373" w:type="pct"/>
          </w:tcPr>
          <w:p w14:paraId="0D296E59" w14:textId="77777777" w:rsidR="001F3AAE" w:rsidRPr="00220AC5" w:rsidRDefault="001F3AAE" w:rsidP="001F3AAE">
            <w:pPr>
              <w:pStyle w:val="TableText"/>
              <w:keepNext w:val="0"/>
            </w:pPr>
            <w:r w:rsidRPr="00220AC5">
              <w:t>All patients receive once fortnightly dosing during maintenance weeks 9+</w:t>
            </w:r>
          </w:p>
        </w:tc>
        <w:tc>
          <w:tcPr>
            <w:tcW w:w="656" w:type="pct"/>
            <w:vAlign w:val="center"/>
          </w:tcPr>
          <w:p w14:paraId="097AFBC4" w14:textId="4909BD22"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45"/>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5"/>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5"/>
                <w14:textFill>
                  <w14:solidFill>
                    <w14:srgbClr w14:val="000000">
                      <w14:alpha w14:val="100000"/>
                    </w14:srgbClr>
                  </w14:solidFill>
                </w14:textFill>
              </w:rPr>
              <w:t xml:space="preserve">　</w:t>
            </w:r>
          </w:p>
        </w:tc>
        <w:tc>
          <w:tcPr>
            <w:tcW w:w="657" w:type="pct"/>
            <w:vAlign w:val="center"/>
          </w:tcPr>
          <w:p w14:paraId="4E1940DB" w14:textId="77777777" w:rsidR="001F3AAE" w:rsidRPr="00220AC5" w:rsidRDefault="001F3AAE" w:rsidP="001F3AAE">
            <w:pPr>
              <w:pStyle w:val="TableText"/>
              <w:keepNext w:val="0"/>
              <w:jc w:val="center"/>
            </w:pPr>
            <w:r w:rsidRPr="00220AC5">
              <w:rPr>
                <w:rFonts w:cs="Calibri"/>
                <w:color w:val="000000"/>
                <w:szCs w:val="20"/>
              </w:rPr>
              <w:t>0.1874</w:t>
            </w:r>
          </w:p>
        </w:tc>
        <w:tc>
          <w:tcPr>
            <w:tcW w:w="657" w:type="pct"/>
            <w:vAlign w:val="center"/>
          </w:tcPr>
          <w:p w14:paraId="39D9E34E" w14:textId="2223DED0"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44"/>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4"/>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4"/>
                <w14:textFill>
                  <w14:solidFill>
                    <w14:srgbClr w14:val="000000">
                      <w14:alpha w14:val="100000"/>
                    </w14:srgbClr>
                  </w14:solidFill>
                </w14:textFill>
              </w:rPr>
              <w:t xml:space="preserve">　</w:t>
            </w:r>
            <w:r w:rsidR="00A7179E">
              <w:rPr>
                <w:rFonts w:cs="Calibri"/>
                <w:color w:val="000000"/>
                <w:szCs w:val="20"/>
                <w:vertAlign w:val="superscript"/>
              </w:rPr>
              <w:t>8</w:t>
            </w:r>
          </w:p>
        </w:tc>
        <w:tc>
          <w:tcPr>
            <w:tcW w:w="657" w:type="pct"/>
            <w:vAlign w:val="center"/>
          </w:tcPr>
          <w:p w14:paraId="61BE1B13" w14:textId="7285408D" w:rsidR="001F3AAE" w:rsidRPr="00220AC5" w:rsidRDefault="001F3AAE" w:rsidP="001F3AAE">
            <w:pPr>
              <w:pStyle w:val="TableText"/>
              <w:keepNext w:val="0"/>
              <w:jc w:val="center"/>
              <w:rPr>
                <w:rFonts w:cs="Calibri"/>
                <w:color w:val="000000"/>
                <w:szCs w:val="20"/>
              </w:rPr>
            </w:pPr>
            <w:r w:rsidRPr="00220AC5">
              <w:rPr>
                <w:rFonts w:cs="Calibri"/>
                <w:color w:val="000000"/>
                <w:szCs w:val="20"/>
              </w:rPr>
              <w:t>-50.5%</w:t>
            </w:r>
          </w:p>
        </w:tc>
      </w:tr>
      <w:tr w:rsidR="00DF7BF3" w:rsidRPr="002530A2" w14:paraId="2036AEC5" w14:textId="55219AEB" w:rsidTr="00873314">
        <w:tc>
          <w:tcPr>
            <w:tcW w:w="5000" w:type="pct"/>
            <w:gridSpan w:val="5"/>
          </w:tcPr>
          <w:p w14:paraId="0540FC3F" w14:textId="4C62853F" w:rsidR="00DF7BF3" w:rsidRPr="007E18B2" w:rsidRDefault="00DF7BF3" w:rsidP="001F3AAE">
            <w:pPr>
              <w:pStyle w:val="TableText"/>
              <w:keepNext w:val="0"/>
              <w:rPr>
                <w:b/>
                <w:bCs w:val="0"/>
              </w:rPr>
            </w:pPr>
            <w:r w:rsidRPr="007E18B2">
              <w:rPr>
                <w:b/>
                <w:bCs w:val="0"/>
              </w:rPr>
              <w:t xml:space="preserve">Cost of administration and monitoring (base case MBS item 304 (psychiatrist 30-45 min) $140.55 for </w:t>
            </w:r>
            <w:proofErr w:type="spellStart"/>
            <w:r w:rsidRPr="007E18B2">
              <w:rPr>
                <w:b/>
                <w:bCs w:val="0"/>
              </w:rPr>
              <w:t>esketamine</w:t>
            </w:r>
            <w:proofErr w:type="spellEnd"/>
            <w:r w:rsidRPr="007E18B2">
              <w:rPr>
                <w:b/>
                <w:bCs w:val="0"/>
              </w:rPr>
              <w:t>; MBS item 300 (psychiatrist &lt;15 min) $45.75 for placebo)</w:t>
            </w:r>
          </w:p>
        </w:tc>
      </w:tr>
      <w:tr w:rsidR="001F3AAE" w:rsidRPr="002530A2" w14:paraId="4EA79A34" w14:textId="2919AC51" w:rsidTr="00873314">
        <w:tc>
          <w:tcPr>
            <w:tcW w:w="2373" w:type="pct"/>
          </w:tcPr>
          <w:p w14:paraId="6CDB8AFD" w14:textId="77777777" w:rsidR="001F3AAE" w:rsidRPr="007E18B2" w:rsidRDefault="001F3AAE" w:rsidP="001F3AAE">
            <w:pPr>
              <w:pStyle w:val="TableText"/>
              <w:keepNext w:val="0"/>
            </w:pPr>
            <w:r w:rsidRPr="007E18B2">
              <w:t xml:space="preserve">MBS item 304 applied to </w:t>
            </w:r>
            <w:proofErr w:type="spellStart"/>
            <w:r w:rsidRPr="007E18B2">
              <w:t>esketamine</w:t>
            </w:r>
            <w:proofErr w:type="spellEnd"/>
            <w:r w:rsidRPr="007E18B2">
              <w:t xml:space="preserve"> arm; no costs for placebo arm</w:t>
            </w:r>
          </w:p>
        </w:tc>
        <w:tc>
          <w:tcPr>
            <w:tcW w:w="656" w:type="pct"/>
            <w:vAlign w:val="center"/>
          </w:tcPr>
          <w:p w14:paraId="3D6FFA6E" w14:textId="4075E227" w:rsidR="001F3AAE" w:rsidRPr="00220AC5"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43"/>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3"/>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3"/>
                <w14:textFill>
                  <w14:solidFill>
                    <w14:srgbClr w14:val="000000">
                      <w14:alpha w14:val="100000"/>
                    </w14:srgbClr>
                  </w14:solidFill>
                </w14:textFill>
              </w:rPr>
              <w:t xml:space="preserve">　</w:t>
            </w:r>
          </w:p>
        </w:tc>
        <w:tc>
          <w:tcPr>
            <w:tcW w:w="657" w:type="pct"/>
            <w:vAlign w:val="center"/>
          </w:tcPr>
          <w:p w14:paraId="0BE724CE" w14:textId="77777777" w:rsidR="001F3AAE" w:rsidRPr="00220AC5" w:rsidRDefault="001F3AAE" w:rsidP="001F3AAE">
            <w:pPr>
              <w:pStyle w:val="TableText"/>
              <w:keepNext w:val="0"/>
              <w:jc w:val="center"/>
            </w:pPr>
            <w:r w:rsidRPr="007E18B2">
              <w:rPr>
                <w:rFonts w:cs="Calibri"/>
                <w:color w:val="000000"/>
                <w:szCs w:val="20"/>
              </w:rPr>
              <w:t>0.1874</w:t>
            </w:r>
          </w:p>
        </w:tc>
        <w:tc>
          <w:tcPr>
            <w:tcW w:w="657" w:type="pct"/>
            <w:vAlign w:val="center"/>
          </w:tcPr>
          <w:p w14:paraId="3D7BBA51" w14:textId="6C2D0187" w:rsidR="001F3AAE" w:rsidRPr="00220AC5"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42"/>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2"/>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2"/>
                <w14:textFill>
                  <w14:solidFill>
                    <w14:srgbClr w14:val="000000">
                      <w14:alpha w14:val="100000"/>
                    </w14:srgbClr>
                  </w14:solidFill>
                </w14:textFill>
              </w:rPr>
              <w:t xml:space="preserve">　</w:t>
            </w:r>
            <w:r w:rsidR="00A7179E">
              <w:rPr>
                <w:rFonts w:cs="Calibri"/>
                <w:color w:val="000000"/>
                <w:szCs w:val="20"/>
                <w:vertAlign w:val="superscript"/>
              </w:rPr>
              <w:t>1</w:t>
            </w:r>
          </w:p>
        </w:tc>
        <w:tc>
          <w:tcPr>
            <w:tcW w:w="657" w:type="pct"/>
            <w:vAlign w:val="center"/>
          </w:tcPr>
          <w:p w14:paraId="58F47870" w14:textId="7D0A4313" w:rsidR="001F3AAE" w:rsidRPr="007E18B2" w:rsidRDefault="001F3AAE" w:rsidP="001F3AAE">
            <w:pPr>
              <w:pStyle w:val="TableText"/>
              <w:keepNext w:val="0"/>
              <w:jc w:val="center"/>
              <w:rPr>
                <w:rFonts w:cs="Calibri"/>
                <w:color w:val="000000"/>
                <w:szCs w:val="20"/>
              </w:rPr>
            </w:pPr>
            <w:r w:rsidRPr="007E18B2">
              <w:rPr>
                <w:rFonts w:cs="Calibri"/>
                <w:color w:val="000000"/>
                <w:szCs w:val="20"/>
              </w:rPr>
              <w:t>9.7%</w:t>
            </w:r>
          </w:p>
        </w:tc>
      </w:tr>
      <w:tr w:rsidR="001F3AAE" w:rsidRPr="002530A2" w14:paraId="2A3BAF60" w14:textId="35BD58CC" w:rsidTr="00873314">
        <w:tc>
          <w:tcPr>
            <w:tcW w:w="2373" w:type="pct"/>
          </w:tcPr>
          <w:p w14:paraId="0ED3A27F" w14:textId="77777777" w:rsidR="001F3AAE" w:rsidRPr="007E18B2" w:rsidRDefault="001F3AAE" w:rsidP="001F3AAE">
            <w:pPr>
              <w:pStyle w:val="TableText"/>
              <w:keepNext w:val="0"/>
            </w:pPr>
            <w:r w:rsidRPr="007E18B2">
              <w:t xml:space="preserve">MBS item 306 (45-75 min) $194.00 applied to </w:t>
            </w:r>
            <w:proofErr w:type="spellStart"/>
            <w:r w:rsidRPr="007E18B2">
              <w:t>esketamine</w:t>
            </w:r>
            <w:proofErr w:type="spellEnd"/>
            <w:r w:rsidRPr="007E18B2">
              <w:t xml:space="preserve"> arm only</w:t>
            </w:r>
          </w:p>
        </w:tc>
        <w:tc>
          <w:tcPr>
            <w:tcW w:w="656" w:type="pct"/>
            <w:vAlign w:val="center"/>
          </w:tcPr>
          <w:p w14:paraId="680DA14D" w14:textId="275B9721"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41"/>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1"/>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1"/>
                <w14:textFill>
                  <w14:solidFill>
                    <w14:srgbClr w14:val="000000">
                      <w14:alpha w14:val="100000"/>
                    </w14:srgbClr>
                  </w14:solidFill>
                </w14:textFill>
              </w:rPr>
              <w:t xml:space="preserve">　</w:t>
            </w:r>
          </w:p>
        </w:tc>
        <w:tc>
          <w:tcPr>
            <w:tcW w:w="657" w:type="pct"/>
            <w:vAlign w:val="center"/>
          </w:tcPr>
          <w:p w14:paraId="6DF1E588" w14:textId="77777777" w:rsidR="001F3AAE" w:rsidRPr="007E18B2" w:rsidRDefault="001F3AAE" w:rsidP="001F3AAE">
            <w:pPr>
              <w:pStyle w:val="TableText"/>
              <w:keepNext w:val="0"/>
              <w:jc w:val="center"/>
            </w:pPr>
            <w:r w:rsidRPr="007E18B2">
              <w:rPr>
                <w:rFonts w:cs="Calibri"/>
                <w:color w:val="000000"/>
                <w:szCs w:val="20"/>
              </w:rPr>
              <w:t>0.1874</w:t>
            </w:r>
          </w:p>
        </w:tc>
        <w:tc>
          <w:tcPr>
            <w:tcW w:w="657" w:type="pct"/>
            <w:vAlign w:val="center"/>
          </w:tcPr>
          <w:p w14:paraId="73FF7515" w14:textId="237E145A"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40"/>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0"/>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0"/>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3C046A78" w14:textId="0DBC38CD" w:rsidR="001F3AAE" w:rsidRPr="007E18B2" w:rsidRDefault="001F3AAE" w:rsidP="001F3AAE">
            <w:pPr>
              <w:pStyle w:val="TableText"/>
              <w:keepNext w:val="0"/>
              <w:jc w:val="center"/>
              <w:rPr>
                <w:rFonts w:cs="Calibri"/>
                <w:color w:val="000000"/>
                <w:szCs w:val="20"/>
              </w:rPr>
            </w:pPr>
            <w:r w:rsidRPr="007E18B2">
              <w:rPr>
                <w:rFonts w:cs="Calibri"/>
                <w:color w:val="000000"/>
                <w:szCs w:val="20"/>
              </w:rPr>
              <w:t>30.7%</w:t>
            </w:r>
          </w:p>
        </w:tc>
      </w:tr>
      <w:tr w:rsidR="001F3AAE" w:rsidRPr="002530A2" w14:paraId="030A76E7" w14:textId="107547B3" w:rsidTr="00873314">
        <w:tc>
          <w:tcPr>
            <w:tcW w:w="2373" w:type="pct"/>
          </w:tcPr>
          <w:p w14:paraId="4EC3BC62" w14:textId="77777777" w:rsidR="001F3AAE" w:rsidRPr="007E18B2" w:rsidRDefault="001F3AAE" w:rsidP="001F3AAE">
            <w:pPr>
              <w:pStyle w:val="TableText"/>
              <w:keepNext w:val="0"/>
            </w:pPr>
            <w:r w:rsidRPr="007E18B2">
              <w:t xml:space="preserve">MBS item 308 (&gt;75 min) $225.10 applied to </w:t>
            </w:r>
            <w:proofErr w:type="spellStart"/>
            <w:r w:rsidRPr="007E18B2">
              <w:t>esketamine</w:t>
            </w:r>
            <w:proofErr w:type="spellEnd"/>
            <w:r w:rsidRPr="007E18B2">
              <w:t xml:space="preserve"> arm only</w:t>
            </w:r>
          </w:p>
        </w:tc>
        <w:tc>
          <w:tcPr>
            <w:tcW w:w="656" w:type="pct"/>
            <w:vAlign w:val="center"/>
          </w:tcPr>
          <w:p w14:paraId="461ED285" w14:textId="3DA69106"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39"/>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39"/>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39"/>
                <w14:textFill>
                  <w14:solidFill>
                    <w14:srgbClr w14:val="000000">
                      <w14:alpha w14:val="100000"/>
                    </w14:srgbClr>
                  </w14:solidFill>
                </w14:textFill>
              </w:rPr>
              <w:t xml:space="preserve">　</w:t>
            </w:r>
          </w:p>
        </w:tc>
        <w:tc>
          <w:tcPr>
            <w:tcW w:w="657" w:type="pct"/>
            <w:vAlign w:val="center"/>
          </w:tcPr>
          <w:p w14:paraId="277F06C5" w14:textId="77777777" w:rsidR="001F3AAE" w:rsidRPr="007E18B2" w:rsidRDefault="001F3AAE" w:rsidP="001F3AAE">
            <w:pPr>
              <w:pStyle w:val="TableText"/>
              <w:keepNext w:val="0"/>
              <w:jc w:val="center"/>
            </w:pPr>
            <w:r w:rsidRPr="007E18B2">
              <w:rPr>
                <w:rFonts w:cs="Calibri"/>
                <w:color w:val="000000"/>
                <w:szCs w:val="20"/>
              </w:rPr>
              <w:t>0.1874</w:t>
            </w:r>
          </w:p>
        </w:tc>
        <w:tc>
          <w:tcPr>
            <w:tcW w:w="657" w:type="pct"/>
            <w:vAlign w:val="center"/>
          </w:tcPr>
          <w:p w14:paraId="4F336DDC" w14:textId="7CA1E309"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38"/>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38"/>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38"/>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7E4C6A27" w14:textId="08DBBE8F" w:rsidR="001F3AAE" w:rsidRPr="007E18B2" w:rsidRDefault="001F3AAE" w:rsidP="001F3AAE">
            <w:pPr>
              <w:pStyle w:val="TableText"/>
              <w:keepNext w:val="0"/>
              <w:jc w:val="center"/>
              <w:rPr>
                <w:rFonts w:cs="Calibri"/>
                <w:color w:val="000000"/>
                <w:szCs w:val="20"/>
              </w:rPr>
            </w:pPr>
            <w:r w:rsidRPr="007E18B2">
              <w:rPr>
                <w:rFonts w:cs="Calibri"/>
                <w:color w:val="000000"/>
                <w:szCs w:val="20"/>
              </w:rPr>
              <w:t>42.9%</w:t>
            </w:r>
          </w:p>
        </w:tc>
      </w:tr>
      <w:tr w:rsidR="00DF7BF3" w:rsidRPr="002530A2" w14:paraId="28E05945" w14:textId="549148FC" w:rsidTr="00873314">
        <w:tc>
          <w:tcPr>
            <w:tcW w:w="5000" w:type="pct"/>
            <w:gridSpan w:val="5"/>
          </w:tcPr>
          <w:p w14:paraId="64A9DE43" w14:textId="081757EA" w:rsidR="00DF7BF3" w:rsidRPr="007E18B2" w:rsidRDefault="00DF7BF3" w:rsidP="001F3AAE">
            <w:pPr>
              <w:pStyle w:val="TableText"/>
              <w:keepNext w:val="0"/>
              <w:rPr>
                <w:b/>
                <w:bCs w:val="0"/>
              </w:rPr>
            </w:pPr>
            <w:r w:rsidRPr="007E18B2">
              <w:rPr>
                <w:b/>
                <w:bCs w:val="0"/>
              </w:rPr>
              <w:t xml:space="preserve">Treatment discontinuation (probability of discontinuing </w:t>
            </w:r>
            <w:proofErr w:type="spellStart"/>
            <w:r w:rsidRPr="007E18B2">
              <w:rPr>
                <w:b/>
                <w:bCs w:val="0"/>
              </w:rPr>
              <w:t>esketamine</w:t>
            </w:r>
            <w:proofErr w:type="spellEnd"/>
            <w:r w:rsidRPr="007E18B2">
              <w:rPr>
                <w:b/>
                <w:bCs w:val="0"/>
              </w:rPr>
              <w:t xml:space="preserve"> 1.7% per cycle; affects drug and administration costs only)</w:t>
            </w:r>
          </w:p>
        </w:tc>
      </w:tr>
      <w:tr w:rsidR="001F3AAE" w:rsidRPr="002530A2" w14:paraId="600AD060" w14:textId="63C08DB3" w:rsidTr="00873314">
        <w:tc>
          <w:tcPr>
            <w:tcW w:w="2373" w:type="pct"/>
          </w:tcPr>
          <w:p w14:paraId="41CD8143" w14:textId="77777777" w:rsidR="001F3AAE" w:rsidRPr="007E18B2" w:rsidRDefault="001F3AAE" w:rsidP="001F3AAE">
            <w:pPr>
              <w:pStyle w:val="TableText"/>
              <w:keepNext w:val="0"/>
            </w:pPr>
            <w:r w:rsidRPr="007E18B2">
              <w:t>No treatment discontinuation</w:t>
            </w:r>
          </w:p>
        </w:tc>
        <w:tc>
          <w:tcPr>
            <w:tcW w:w="656" w:type="pct"/>
            <w:vAlign w:val="center"/>
          </w:tcPr>
          <w:p w14:paraId="03E4AEFA" w14:textId="2B7C8DB7"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37"/>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37"/>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37"/>
                <w14:textFill>
                  <w14:solidFill>
                    <w14:srgbClr w14:val="000000">
                      <w14:alpha w14:val="100000"/>
                    </w14:srgbClr>
                  </w14:solidFill>
                </w14:textFill>
              </w:rPr>
              <w:t xml:space="preserve">　</w:t>
            </w:r>
          </w:p>
        </w:tc>
        <w:tc>
          <w:tcPr>
            <w:tcW w:w="657" w:type="pct"/>
            <w:vAlign w:val="center"/>
          </w:tcPr>
          <w:p w14:paraId="771952CE" w14:textId="77777777" w:rsidR="001F3AAE" w:rsidRPr="007E18B2" w:rsidRDefault="001F3AAE" w:rsidP="001F3AAE">
            <w:pPr>
              <w:pStyle w:val="TableText"/>
              <w:keepNext w:val="0"/>
              <w:jc w:val="center"/>
            </w:pPr>
            <w:r w:rsidRPr="007E18B2">
              <w:rPr>
                <w:rFonts w:cs="Calibri"/>
                <w:color w:val="000000"/>
                <w:szCs w:val="20"/>
              </w:rPr>
              <w:t>0.1874</w:t>
            </w:r>
          </w:p>
        </w:tc>
        <w:tc>
          <w:tcPr>
            <w:tcW w:w="657" w:type="pct"/>
            <w:vAlign w:val="center"/>
          </w:tcPr>
          <w:p w14:paraId="218AAC90" w14:textId="62B3863B"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36"/>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36"/>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36"/>
                <w14:textFill>
                  <w14:solidFill>
                    <w14:srgbClr w14:val="000000">
                      <w14:alpha w14:val="100000"/>
                    </w14:srgbClr>
                  </w14:solidFill>
                </w14:textFill>
              </w:rPr>
              <w:t xml:space="preserve">　</w:t>
            </w:r>
            <w:r w:rsidR="00A7179E">
              <w:rPr>
                <w:rFonts w:cs="Calibri"/>
                <w:color w:val="000000"/>
                <w:szCs w:val="20"/>
                <w:vertAlign w:val="superscript"/>
              </w:rPr>
              <w:t>7</w:t>
            </w:r>
          </w:p>
        </w:tc>
        <w:tc>
          <w:tcPr>
            <w:tcW w:w="657" w:type="pct"/>
            <w:vAlign w:val="center"/>
          </w:tcPr>
          <w:p w14:paraId="6D08F24D" w14:textId="712A1C42" w:rsidR="001F3AAE" w:rsidRPr="007E18B2" w:rsidRDefault="001F3AAE" w:rsidP="001F3AAE">
            <w:pPr>
              <w:pStyle w:val="TableText"/>
              <w:keepNext w:val="0"/>
              <w:jc w:val="center"/>
              <w:rPr>
                <w:rFonts w:cs="Calibri"/>
                <w:color w:val="000000"/>
                <w:szCs w:val="20"/>
              </w:rPr>
            </w:pPr>
            <w:r w:rsidRPr="007E18B2">
              <w:rPr>
                <w:rFonts w:cs="Calibri"/>
                <w:color w:val="000000"/>
                <w:szCs w:val="20"/>
              </w:rPr>
              <w:t>73.1%</w:t>
            </w:r>
          </w:p>
        </w:tc>
      </w:tr>
      <w:tr w:rsidR="001F3AAE" w:rsidRPr="002530A2" w14:paraId="0F83774C" w14:textId="0B4471DB" w:rsidTr="00873314">
        <w:tc>
          <w:tcPr>
            <w:tcW w:w="2373" w:type="pct"/>
          </w:tcPr>
          <w:p w14:paraId="19E8D855" w14:textId="77777777" w:rsidR="001F3AAE" w:rsidRPr="007E18B2" w:rsidRDefault="001F3AAE" w:rsidP="001F3AAE">
            <w:pPr>
              <w:pStyle w:val="TableText"/>
              <w:keepNext w:val="0"/>
            </w:pPr>
            <w:r w:rsidRPr="007E18B2">
              <w:t>Treatment discontinuations only applied for the duration of the SUSTAIN-1 maintenance period (weeks 5-40)</w:t>
            </w:r>
          </w:p>
        </w:tc>
        <w:tc>
          <w:tcPr>
            <w:tcW w:w="656" w:type="pct"/>
            <w:vAlign w:val="center"/>
          </w:tcPr>
          <w:p w14:paraId="14BFE61C" w14:textId="5BD1FA5A"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52"/>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52"/>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52"/>
                <w14:textFill>
                  <w14:solidFill>
                    <w14:srgbClr w14:val="000000">
                      <w14:alpha w14:val="100000"/>
                    </w14:srgbClr>
                  </w14:solidFill>
                </w14:textFill>
              </w:rPr>
              <w:t xml:space="preserve">　</w:t>
            </w:r>
          </w:p>
        </w:tc>
        <w:tc>
          <w:tcPr>
            <w:tcW w:w="657" w:type="pct"/>
            <w:vAlign w:val="center"/>
          </w:tcPr>
          <w:p w14:paraId="20EB809D" w14:textId="77777777" w:rsidR="001F3AAE" w:rsidRPr="007E18B2" w:rsidRDefault="001F3AAE" w:rsidP="001F3AAE">
            <w:pPr>
              <w:pStyle w:val="TableText"/>
              <w:keepNext w:val="0"/>
              <w:jc w:val="center"/>
            </w:pPr>
            <w:r w:rsidRPr="007E18B2">
              <w:rPr>
                <w:rFonts w:cs="Calibri"/>
                <w:color w:val="000000"/>
                <w:szCs w:val="20"/>
              </w:rPr>
              <w:t>0.1874</w:t>
            </w:r>
          </w:p>
        </w:tc>
        <w:tc>
          <w:tcPr>
            <w:tcW w:w="657" w:type="pct"/>
            <w:vAlign w:val="center"/>
          </w:tcPr>
          <w:p w14:paraId="05B1C29B" w14:textId="24679111"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51"/>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51"/>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51"/>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5BD09807" w14:textId="778B0589" w:rsidR="001F3AAE" w:rsidRPr="007E18B2" w:rsidRDefault="001F3AAE" w:rsidP="001F3AAE">
            <w:pPr>
              <w:pStyle w:val="TableText"/>
              <w:keepNext w:val="0"/>
              <w:jc w:val="center"/>
              <w:rPr>
                <w:rFonts w:cs="Calibri"/>
                <w:color w:val="000000"/>
                <w:szCs w:val="20"/>
              </w:rPr>
            </w:pPr>
            <w:r w:rsidRPr="007E18B2">
              <w:rPr>
                <w:rFonts w:cs="Calibri"/>
                <w:color w:val="000000"/>
                <w:szCs w:val="20"/>
              </w:rPr>
              <w:t>43.6%</w:t>
            </w:r>
          </w:p>
        </w:tc>
      </w:tr>
      <w:tr w:rsidR="00DF7BF3" w:rsidRPr="002530A2" w14:paraId="0E870E10" w14:textId="6C652A98" w:rsidTr="00873314">
        <w:tc>
          <w:tcPr>
            <w:tcW w:w="5000" w:type="pct"/>
            <w:gridSpan w:val="5"/>
          </w:tcPr>
          <w:p w14:paraId="001FF233" w14:textId="64CA3B88" w:rsidR="00DF7BF3" w:rsidRPr="007E18B2" w:rsidRDefault="00DF7BF3" w:rsidP="001F3AAE">
            <w:pPr>
              <w:pStyle w:val="TableText"/>
              <w:keepNext w:val="0"/>
              <w:rPr>
                <w:b/>
                <w:bCs w:val="0"/>
              </w:rPr>
            </w:pPr>
            <w:r w:rsidRPr="007E18B2">
              <w:rPr>
                <w:b/>
                <w:bCs w:val="0"/>
              </w:rPr>
              <w:t xml:space="preserve">Health care resource use (base </w:t>
            </w:r>
            <w:proofErr w:type="gramStart"/>
            <w:r w:rsidRPr="007E18B2">
              <w:rPr>
                <w:b/>
                <w:bCs w:val="0"/>
              </w:rPr>
              <w:t>case:</w:t>
            </w:r>
            <w:proofErr w:type="gramEnd"/>
            <w:r w:rsidRPr="007E18B2">
              <w:rPr>
                <w:b/>
                <w:bCs w:val="0"/>
              </w:rPr>
              <w:t xml:space="preserve"> estimates of primary care, specialist, and ED visits and hospitalisation days by health state based on Denee 2021</w:t>
            </w:r>
            <w:r w:rsidR="00EE5606" w:rsidRPr="007E18B2">
              <w:rPr>
                <w:b/>
                <w:bCs w:val="0"/>
              </w:rPr>
              <w:t>)</w:t>
            </w:r>
          </w:p>
        </w:tc>
      </w:tr>
      <w:tr w:rsidR="001F3AAE" w:rsidRPr="002530A2" w14:paraId="50785EC2" w14:textId="649B2E12" w:rsidTr="00873314">
        <w:tc>
          <w:tcPr>
            <w:tcW w:w="2373" w:type="pct"/>
          </w:tcPr>
          <w:p w14:paraId="6E33247F" w14:textId="77777777" w:rsidR="001F3AAE" w:rsidRPr="00220AC5" w:rsidRDefault="001F3AAE" w:rsidP="001F3AAE">
            <w:pPr>
              <w:pStyle w:val="TableText"/>
              <w:keepNext w:val="0"/>
            </w:pPr>
            <w:r w:rsidRPr="00220AC5">
              <w:t>Hospitalisation days per 28 days increased by 20%</w:t>
            </w:r>
          </w:p>
        </w:tc>
        <w:tc>
          <w:tcPr>
            <w:tcW w:w="656" w:type="pct"/>
            <w:vAlign w:val="center"/>
          </w:tcPr>
          <w:p w14:paraId="3B0C0E2E" w14:textId="736F2813"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50"/>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50"/>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50"/>
                <w14:textFill>
                  <w14:solidFill>
                    <w14:srgbClr w14:val="000000">
                      <w14:alpha w14:val="100000"/>
                    </w14:srgbClr>
                  </w14:solidFill>
                </w14:textFill>
              </w:rPr>
              <w:t xml:space="preserve">　</w:t>
            </w:r>
          </w:p>
        </w:tc>
        <w:tc>
          <w:tcPr>
            <w:tcW w:w="657" w:type="pct"/>
            <w:vAlign w:val="center"/>
          </w:tcPr>
          <w:p w14:paraId="5888BFDE" w14:textId="77777777" w:rsidR="001F3AAE" w:rsidRPr="00220AC5" w:rsidRDefault="001F3AAE" w:rsidP="001F3AAE">
            <w:pPr>
              <w:pStyle w:val="TableText"/>
              <w:keepNext w:val="0"/>
              <w:jc w:val="center"/>
            </w:pPr>
            <w:r w:rsidRPr="00220AC5">
              <w:rPr>
                <w:rFonts w:cs="Calibri"/>
                <w:color w:val="000000"/>
                <w:szCs w:val="20"/>
              </w:rPr>
              <w:t>0.1874</w:t>
            </w:r>
          </w:p>
        </w:tc>
        <w:tc>
          <w:tcPr>
            <w:tcW w:w="657" w:type="pct"/>
            <w:vAlign w:val="center"/>
          </w:tcPr>
          <w:p w14:paraId="11359A97" w14:textId="41964C0D"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49"/>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9"/>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9"/>
                <w14:textFill>
                  <w14:solidFill>
                    <w14:srgbClr w14:val="000000">
                      <w14:alpha w14:val="100000"/>
                    </w14:srgbClr>
                  </w14:solidFill>
                </w14:textFill>
              </w:rPr>
              <w:t xml:space="preserve">　</w:t>
            </w:r>
            <w:r w:rsidR="00A7179E">
              <w:rPr>
                <w:rFonts w:cs="Calibri"/>
                <w:color w:val="000000"/>
                <w:szCs w:val="20"/>
                <w:vertAlign w:val="superscript"/>
              </w:rPr>
              <w:t>4</w:t>
            </w:r>
          </w:p>
        </w:tc>
        <w:tc>
          <w:tcPr>
            <w:tcW w:w="657" w:type="pct"/>
            <w:vAlign w:val="center"/>
          </w:tcPr>
          <w:p w14:paraId="30435470" w14:textId="2B6058D3" w:rsidR="001F3AAE" w:rsidRPr="00220AC5" w:rsidRDefault="001F3AAE" w:rsidP="001F3AAE">
            <w:pPr>
              <w:pStyle w:val="TableText"/>
              <w:keepNext w:val="0"/>
              <w:jc w:val="center"/>
              <w:rPr>
                <w:rFonts w:cs="Calibri"/>
                <w:color w:val="000000"/>
                <w:szCs w:val="20"/>
              </w:rPr>
            </w:pPr>
            <w:r w:rsidRPr="00220AC5">
              <w:rPr>
                <w:rFonts w:cs="Calibri"/>
                <w:color w:val="000000"/>
                <w:szCs w:val="20"/>
              </w:rPr>
              <w:t>-27.7%</w:t>
            </w:r>
          </w:p>
        </w:tc>
      </w:tr>
      <w:tr w:rsidR="001F3AAE" w:rsidRPr="002530A2" w14:paraId="455AB132" w14:textId="220B2422" w:rsidTr="00873314">
        <w:tc>
          <w:tcPr>
            <w:tcW w:w="2373" w:type="pct"/>
          </w:tcPr>
          <w:p w14:paraId="34D81264" w14:textId="77777777" w:rsidR="001F3AAE" w:rsidRPr="00220AC5" w:rsidRDefault="001F3AAE" w:rsidP="001F3AAE">
            <w:pPr>
              <w:pStyle w:val="TableText"/>
              <w:keepNext w:val="0"/>
            </w:pPr>
            <w:r w:rsidRPr="00220AC5">
              <w:t>Hospitalisation days per 28 days decreased by 20%</w:t>
            </w:r>
          </w:p>
        </w:tc>
        <w:tc>
          <w:tcPr>
            <w:tcW w:w="656" w:type="pct"/>
            <w:vAlign w:val="center"/>
          </w:tcPr>
          <w:p w14:paraId="60465EF7" w14:textId="786B8C0A"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48"/>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8"/>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8"/>
                <w14:textFill>
                  <w14:solidFill>
                    <w14:srgbClr w14:val="000000">
                      <w14:alpha w14:val="100000"/>
                    </w14:srgbClr>
                  </w14:solidFill>
                </w14:textFill>
              </w:rPr>
              <w:t xml:space="preserve">　</w:t>
            </w:r>
          </w:p>
        </w:tc>
        <w:tc>
          <w:tcPr>
            <w:tcW w:w="657" w:type="pct"/>
            <w:vAlign w:val="center"/>
          </w:tcPr>
          <w:p w14:paraId="06B6255E" w14:textId="77777777" w:rsidR="001F3AAE" w:rsidRPr="00220AC5" w:rsidRDefault="001F3AAE" w:rsidP="001F3AAE">
            <w:pPr>
              <w:pStyle w:val="TableText"/>
              <w:keepNext w:val="0"/>
              <w:jc w:val="center"/>
            </w:pPr>
            <w:r w:rsidRPr="00220AC5">
              <w:rPr>
                <w:rFonts w:cs="Calibri"/>
                <w:color w:val="000000"/>
                <w:szCs w:val="20"/>
              </w:rPr>
              <w:t>0.1874</w:t>
            </w:r>
          </w:p>
        </w:tc>
        <w:tc>
          <w:tcPr>
            <w:tcW w:w="657" w:type="pct"/>
            <w:vAlign w:val="center"/>
          </w:tcPr>
          <w:p w14:paraId="14C42F63" w14:textId="2AE383CF"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47"/>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7"/>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7"/>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2075DEDB" w14:textId="2A3C5A77" w:rsidR="001F3AAE" w:rsidRPr="00220AC5" w:rsidRDefault="001F3AAE" w:rsidP="001F3AAE">
            <w:pPr>
              <w:pStyle w:val="TableText"/>
              <w:keepNext w:val="0"/>
              <w:jc w:val="center"/>
              <w:rPr>
                <w:rFonts w:cs="Calibri"/>
                <w:color w:val="000000"/>
                <w:szCs w:val="20"/>
              </w:rPr>
            </w:pPr>
            <w:r w:rsidRPr="00220AC5">
              <w:rPr>
                <w:rFonts w:cs="Calibri"/>
                <w:color w:val="000000"/>
                <w:szCs w:val="20"/>
              </w:rPr>
              <w:t>27.7%</w:t>
            </w:r>
          </w:p>
        </w:tc>
      </w:tr>
      <w:tr w:rsidR="00DF7BF3" w:rsidRPr="002530A2" w14:paraId="6EF8624F" w14:textId="64F33B5E" w:rsidTr="00873314">
        <w:tc>
          <w:tcPr>
            <w:tcW w:w="5000" w:type="pct"/>
            <w:gridSpan w:val="5"/>
          </w:tcPr>
          <w:p w14:paraId="62396DBF" w14:textId="62C79049" w:rsidR="00DF7BF3" w:rsidRPr="007E18B2" w:rsidRDefault="00DF7BF3" w:rsidP="001F3AAE">
            <w:pPr>
              <w:pStyle w:val="TableText"/>
              <w:keepNext w:val="0"/>
              <w:rPr>
                <w:b/>
                <w:bCs w:val="0"/>
              </w:rPr>
            </w:pPr>
            <w:r w:rsidRPr="007E18B2">
              <w:rPr>
                <w:b/>
                <w:bCs w:val="0"/>
              </w:rPr>
              <w:lastRenderedPageBreak/>
              <w:t>Health state utility values (base case derived from weighted average of TRANSFORM-2 and -3 trial data using UK value set: MDE 0.4316; response 0.7664; remission 0.8606; recovery 0.8606)</w:t>
            </w:r>
          </w:p>
        </w:tc>
      </w:tr>
      <w:tr w:rsidR="001F3AAE" w:rsidRPr="002530A2" w14:paraId="0D684DA8" w14:textId="5034281B" w:rsidTr="00873314">
        <w:tc>
          <w:tcPr>
            <w:tcW w:w="2373" w:type="pct"/>
          </w:tcPr>
          <w:p w14:paraId="49E059F9" w14:textId="77777777" w:rsidR="001F3AAE" w:rsidRPr="00220AC5" w:rsidRDefault="001F3AAE" w:rsidP="001F3AAE">
            <w:pPr>
              <w:pStyle w:val="TableText"/>
              <w:keepNext w:val="0"/>
              <w:rPr>
                <w:rFonts w:cs="Calibri"/>
                <w:szCs w:val="20"/>
              </w:rPr>
            </w:pPr>
            <w:r w:rsidRPr="007E18B2">
              <w:rPr>
                <w:rFonts w:cs="Calibri"/>
                <w:szCs w:val="20"/>
              </w:rPr>
              <w:t>Health state utilities from TRANSFORM-2 using Canadian value set</w:t>
            </w:r>
          </w:p>
        </w:tc>
        <w:tc>
          <w:tcPr>
            <w:tcW w:w="656" w:type="pct"/>
            <w:vAlign w:val="center"/>
          </w:tcPr>
          <w:p w14:paraId="3EE8873D" w14:textId="37222CDD" w:rsidR="001F3AAE" w:rsidRPr="00220AC5"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46"/>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6"/>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6"/>
                <w14:textFill>
                  <w14:solidFill>
                    <w14:srgbClr w14:val="000000">
                      <w14:alpha w14:val="100000"/>
                    </w14:srgbClr>
                  </w14:solidFill>
                </w14:textFill>
              </w:rPr>
              <w:t xml:space="preserve">　</w:t>
            </w:r>
          </w:p>
        </w:tc>
        <w:tc>
          <w:tcPr>
            <w:tcW w:w="657" w:type="pct"/>
            <w:vAlign w:val="center"/>
          </w:tcPr>
          <w:p w14:paraId="79990A92" w14:textId="77777777" w:rsidR="001F3AAE" w:rsidRPr="00220AC5" w:rsidRDefault="001F3AAE" w:rsidP="001F3AAE">
            <w:pPr>
              <w:pStyle w:val="TableText"/>
              <w:keepNext w:val="0"/>
              <w:jc w:val="center"/>
            </w:pPr>
            <w:r w:rsidRPr="007E18B2">
              <w:rPr>
                <w:rFonts w:cs="Calibri"/>
                <w:color w:val="000000"/>
                <w:szCs w:val="20"/>
              </w:rPr>
              <w:t>0.1666</w:t>
            </w:r>
          </w:p>
        </w:tc>
        <w:tc>
          <w:tcPr>
            <w:tcW w:w="657" w:type="pct"/>
            <w:vAlign w:val="center"/>
          </w:tcPr>
          <w:p w14:paraId="7F3773F4" w14:textId="5E6248F3" w:rsidR="001F3AAE" w:rsidRPr="00220AC5"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45"/>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5"/>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5"/>
                <w14:textFill>
                  <w14:solidFill>
                    <w14:srgbClr w14:val="000000">
                      <w14:alpha w14:val="100000"/>
                    </w14:srgbClr>
                  </w14:solidFill>
                </w14:textFill>
              </w:rPr>
              <w:t xml:space="preserve">　</w:t>
            </w:r>
            <w:r w:rsidR="00A7179E">
              <w:rPr>
                <w:rFonts w:cs="Calibri"/>
                <w:color w:val="000000"/>
                <w:szCs w:val="20"/>
                <w:vertAlign w:val="superscript"/>
              </w:rPr>
              <w:t>3</w:t>
            </w:r>
          </w:p>
        </w:tc>
        <w:tc>
          <w:tcPr>
            <w:tcW w:w="657" w:type="pct"/>
            <w:vAlign w:val="center"/>
          </w:tcPr>
          <w:p w14:paraId="7BF366FA" w14:textId="68674977" w:rsidR="001F3AAE" w:rsidRPr="007E18B2" w:rsidRDefault="001F3AAE" w:rsidP="001F3AAE">
            <w:pPr>
              <w:pStyle w:val="TableText"/>
              <w:keepNext w:val="0"/>
              <w:jc w:val="center"/>
              <w:rPr>
                <w:rFonts w:cs="Calibri"/>
                <w:color w:val="000000"/>
                <w:szCs w:val="20"/>
              </w:rPr>
            </w:pPr>
            <w:r w:rsidRPr="007E18B2">
              <w:rPr>
                <w:rFonts w:cs="Calibri"/>
                <w:color w:val="000000"/>
                <w:szCs w:val="20"/>
              </w:rPr>
              <w:t>12.5%</w:t>
            </w:r>
          </w:p>
        </w:tc>
      </w:tr>
      <w:tr w:rsidR="001F3AAE" w:rsidRPr="002530A2" w14:paraId="612207D9" w14:textId="43C2767D" w:rsidTr="00873314">
        <w:tc>
          <w:tcPr>
            <w:tcW w:w="2373" w:type="pct"/>
          </w:tcPr>
          <w:p w14:paraId="7577DCCD" w14:textId="77777777" w:rsidR="001F3AAE" w:rsidRPr="007E18B2" w:rsidRDefault="001F3AAE" w:rsidP="001F3AAE">
            <w:pPr>
              <w:pStyle w:val="TableText"/>
              <w:keepNext w:val="0"/>
            </w:pPr>
            <w:r w:rsidRPr="007E18B2">
              <w:t xml:space="preserve">Utility values from </w:t>
            </w:r>
            <w:proofErr w:type="spellStart"/>
            <w:r w:rsidRPr="007E18B2">
              <w:t>Yrondi</w:t>
            </w:r>
            <w:proofErr w:type="spellEnd"/>
            <w:r w:rsidRPr="007E18B2">
              <w:t xml:space="preserve"> 2021 (0.41; 0.63; 0.80; 0.90)</w:t>
            </w:r>
          </w:p>
        </w:tc>
        <w:tc>
          <w:tcPr>
            <w:tcW w:w="656" w:type="pct"/>
            <w:vAlign w:val="center"/>
          </w:tcPr>
          <w:p w14:paraId="125E9C36" w14:textId="030D4CA6"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15"/>
                <w:szCs w:val="20"/>
                <w:shd w:val="solid" w:color="000000" w:fill="000000"/>
                <w:fitText w:val="61" w:id="-1436330744"/>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4"/>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4"/>
                <w14:textFill>
                  <w14:solidFill>
                    <w14:srgbClr w14:val="000000">
                      <w14:alpha w14:val="100000"/>
                    </w14:srgbClr>
                  </w14:solidFill>
                </w14:textFill>
              </w:rPr>
              <w:t xml:space="preserve">　</w:t>
            </w:r>
          </w:p>
        </w:tc>
        <w:tc>
          <w:tcPr>
            <w:tcW w:w="657" w:type="pct"/>
            <w:vAlign w:val="center"/>
          </w:tcPr>
          <w:p w14:paraId="529B8148" w14:textId="77777777" w:rsidR="001F3AAE" w:rsidRPr="007E18B2" w:rsidRDefault="001F3AAE" w:rsidP="001F3AAE">
            <w:pPr>
              <w:pStyle w:val="TableText"/>
              <w:keepNext w:val="0"/>
              <w:jc w:val="center"/>
            </w:pPr>
            <w:r w:rsidRPr="007E18B2">
              <w:rPr>
                <w:rFonts w:cs="Calibri"/>
                <w:color w:val="000000"/>
                <w:szCs w:val="20"/>
              </w:rPr>
              <w:t>0.2111</w:t>
            </w:r>
          </w:p>
        </w:tc>
        <w:tc>
          <w:tcPr>
            <w:tcW w:w="657" w:type="pct"/>
            <w:vAlign w:val="center"/>
          </w:tcPr>
          <w:p w14:paraId="32BB93CE" w14:textId="5E566AA0" w:rsidR="001F3AAE" w:rsidRPr="007E18B2" w:rsidRDefault="001F3AAE" w:rsidP="001F3AAE">
            <w:pPr>
              <w:pStyle w:val="TableText"/>
              <w:keepNext w:val="0"/>
              <w:jc w:val="center"/>
            </w:pPr>
            <w:r w:rsidRPr="007E18B2">
              <w:rPr>
                <w:rFonts w:cs="Calibri"/>
                <w:color w:val="000000"/>
                <w:szCs w:val="20"/>
              </w:rPr>
              <w:t>$</w:t>
            </w:r>
            <w:r w:rsidR="00B9195B" w:rsidRPr="00B9195B">
              <w:rPr>
                <w:rFonts w:cs="Calibri" w:hint="eastAsia"/>
                <w:color w:val="000000"/>
                <w:w w:val="21"/>
                <w:szCs w:val="20"/>
                <w:shd w:val="solid" w:color="000000" w:fill="000000"/>
                <w:fitText w:val="93" w:id="-1436330743"/>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3"/>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3"/>
                <w14:textFill>
                  <w14:solidFill>
                    <w14:srgbClr w14:val="000000">
                      <w14:alpha w14:val="100000"/>
                    </w14:srgbClr>
                  </w14:solidFill>
                </w14:textFill>
              </w:rPr>
              <w:t xml:space="preserve">　</w:t>
            </w:r>
            <w:r w:rsidR="00A7179E">
              <w:rPr>
                <w:rFonts w:cs="Calibri"/>
                <w:color w:val="000000"/>
                <w:szCs w:val="20"/>
                <w:vertAlign w:val="superscript"/>
              </w:rPr>
              <w:t>4</w:t>
            </w:r>
          </w:p>
        </w:tc>
        <w:tc>
          <w:tcPr>
            <w:tcW w:w="657" w:type="pct"/>
            <w:vAlign w:val="center"/>
          </w:tcPr>
          <w:p w14:paraId="16486205" w14:textId="5D7A49F2" w:rsidR="001F3AAE" w:rsidRPr="007E18B2" w:rsidRDefault="001F3AAE" w:rsidP="001F3AAE">
            <w:pPr>
              <w:pStyle w:val="TableText"/>
              <w:keepNext w:val="0"/>
              <w:jc w:val="center"/>
              <w:rPr>
                <w:rFonts w:cs="Calibri"/>
                <w:color w:val="000000"/>
                <w:szCs w:val="20"/>
              </w:rPr>
            </w:pPr>
            <w:r w:rsidRPr="007E18B2">
              <w:rPr>
                <w:rFonts w:cs="Calibri"/>
                <w:color w:val="000000"/>
                <w:szCs w:val="20"/>
              </w:rPr>
              <w:t>-11.2%</w:t>
            </w:r>
          </w:p>
        </w:tc>
      </w:tr>
      <w:tr w:rsidR="001F3AAE" w:rsidRPr="002530A2" w14:paraId="4D0BA1CF" w14:textId="71E50DAA" w:rsidTr="00873314">
        <w:tc>
          <w:tcPr>
            <w:tcW w:w="2373" w:type="pct"/>
          </w:tcPr>
          <w:p w14:paraId="7193EAA4" w14:textId="77777777" w:rsidR="001F3AAE" w:rsidRPr="00220AC5" w:rsidRDefault="001F3AAE" w:rsidP="001F3AAE">
            <w:pPr>
              <w:pStyle w:val="TableText"/>
              <w:keepNext w:val="0"/>
            </w:pPr>
            <w:r w:rsidRPr="00220AC5">
              <w:t>Utility values from NICE committee papers (0.417; 0.764; 0.866; 0.866)</w:t>
            </w:r>
          </w:p>
        </w:tc>
        <w:tc>
          <w:tcPr>
            <w:tcW w:w="656" w:type="pct"/>
            <w:vAlign w:val="center"/>
          </w:tcPr>
          <w:p w14:paraId="529D9B79" w14:textId="54D6A474"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42"/>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2"/>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2"/>
                <w14:textFill>
                  <w14:solidFill>
                    <w14:srgbClr w14:val="000000">
                      <w14:alpha w14:val="100000"/>
                    </w14:srgbClr>
                  </w14:solidFill>
                </w14:textFill>
              </w:rPr>
              <w:t xml:space="preserve">　</w:t>
            </w:r>
          </w:p>
        </w:tc>
        <w:tc>
          <w:tcPr>
            <w:tcW w:w="657" w:type="pct"/>
            <w:vAlign w:val="center"/>
          </w:tcPr>
          <w:p w14:paraId="03626194" w14:textId="77777777" w:rsidR="001F3AAE" w:rsidRPr="00220AC5" w:rsidRDefault="001F3AAE" w:rsidP="001F3AAE">
            <w:pPr>
              <w:pStyle w:val="TableText"/>
              <w:keepNext w:val="0"/>
              <w:jc w:val="center"/>
            </w:pPr>
            <w:r w:rsidRPr="00220AC5">
              <w:rPr>
                <w:rFonts w:cs="Calibri"/>
                <w:color w:val="000000"/>
                <w:szCs w:val="20"/>
              </w:rPr>
              <w:t>0.1963</w:t>
            </w:r>
          </w:p>
        </w:tc>
        <w:tc>
          <w:tcPr>
            <w:tcW w:w="657" w:type="pct"/>
            <w:vAlign w:val="center"/>
          </w:tcPr>
          <w:p w14:paraId="70461E77" w14:textId="212426D8"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41"/>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41"/>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41"/>
                <w14:textFill>
                  <w14:solidFill>
                    <w14:srgbClr w14:val="000000">
                      <w14:alpha w14:val="100000"/>
                    </w14:srgbClr>
                  </w14:solidFill>
                </w14:textFill>
              </w:rPr>
              <w:t xml:space="preserve">　</w:t>
            </w:r>
            <w:r w:rsidR="00A7179E">
              <w:rPr>
                <w:rFonts w:cs="Calibri"/>
                <w:color w:val="000000"/>
                <w:szCs w:val="20"/>
                <w:vertAlign w:val="superscript"/>
              </w:rPr>
              <w:t>1</w:t>
            </w:r>
          </w:p>
        </w:tc>
        <w:tc>
          <w:tcPr>
            <w:tcW w:w="657" w:type="pct"/>
            <w:vAlign w:val="center"/>
          </w:tcPr>
          <w:p w14:paraId="7B4A2745" w14:textId="3773C273" w:rsidR="001F3AAE" w:rsidRPr="00220AC5" w:rsidRDefault="001F3AAE" w:rsidP="001F3AAE">
            <w:pPr>
              <w:pStyle w:val="TableText"/>
              <w:keepNext w:val="0"/>
              <w:jc w:val="center"/>
              <w:rPr>
                <w:rFonts w:cs="Calibri"/>
                <w:color w:val="000000"/>
                <w:szCs w:val="20"/>
              </w:rPr>
            </w:pPr>
            <w:r w:rsidRPr="00220AC5">
              <w:rPr>
                <w:rFonts w:cs="Calibri"/>
                <w:color w:val="000000"/>
                <w:szCs w:val="20"/>
              </w:rPr>
              <w:t>-4.6%</w:t>
            </w:r>
          </w:p>
        </w:tc>
      </w:tr>
      <w:tr w:rsidR="001F3AAE" w:rsidRPr="002530A2" w14:paraId="31537422" w14:textId="66D16D49" w:rsidTr="00873314">
        <w:tc>
          <w:tcPr>
            <w:tcW w:w="2373" w:type="pct"/>
          </w:tcPr>
          <w:p w14:paraId="524B4F4D" w14:textId="77777777" w:rsidR="001F3AAE" w:rsidRPr="00220AC5" w:rsidRDefault="001F3AAE" w:rsidP="001F3AAE">
            <w:pPr>
              <w:pStyle w:val="TableText"/>
              <w:keepNext w:val="0"/>
            </w:pPr>
            <w:r w:rsidRPr="00220AC5">
              <w:t xml:space="preserve">Utility values used in Ross (2019) based on </w:t>
            </w:r>
            <w:proofErr w:type="spellStart"/>
            <w:r w:rsidRPr="00220AC5">
              <w:t>Sapin</w:t>
            </w:r>
            <w:proofErr w:type="spellEnd"/>
            <w:r w:rsidRPr="00220AC5">
              <w:t xml:space="preserve"> (2004) (0.58; 0.72; 0.85; 0.85)</w:t>
            </w:r>
          </w:p>
        </w:tc>
        <w:tc>
          <w:tcPr>
            <w:tcW w:w="656" w:type="pct"/>
            <w:vAlign w:val="center"/>
          </w:tcPr>
          <w:p w14:paraId="2E2E134B" w14:textId="3228F1F1"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15"/>
                <w:szCs w:val="20"/>
                <w:shd w:val="solid" w:color="000000" w:fill="000000"/>
                <w:fitText w:val="61" w:id="-1436330740"/>
                <w14:textFill>
                  <w14:solidFill>
                    <w14:srgbClr w14:val="000000">
                      <w14:alpha w14:val="100000"/>
                    </w14:srgbClr>
                  </w14:solidFill>
                </w14:textFill>
              </w:rPr>
              <w:t xml:space="preserve">　</w:t>
            </w:r>
            <w:r w:rsidR="00B9195B" w:rsidRPr="00B9195B">
              <w:rPr>
                <w:rFonts w:cs="Calibri"/>
                <w:color w:val="000000"/>
                <w:w w:val="15"/>
                <w:szCs w:val="20"/>
                <w:shd w:val="solid" w:color="000000" w:fill="000000"/>
                <w:fitText w:val="61" w:id="-1436330740"/>
                <w14:textFill>
                  <w14:solidFill>
                    <w14:srgbClr w14:val="000000">
                      <w14:alpha w14:val="100000"/>
                    </w14:srgbClr>
                  </w14:solidFill>
                </w14:textFill>
              </w:rPr>
              <w:t>|</w:t>
            </w:r>
            <w:r w:rsidR="00B9195B" w:rsidRPr="00B9195B">
              <w:rPr>
                <w:rFonts w:cs="Calibri" w:hint="eastAsia"/>
                <w:color w:val="000000"/>
                <w:spacing w:val="-4"/>
                <w:w w:val="15"/>
                <w:szCs w:val="20"/>
                <w:shd w:val="solid" w:color="000000" w:fill="000000"/>
                <w:fitText w:val="61" w:id="-1436330740"/>
                <w14:textFill>
                  <w14:solidFill>
                    <w14:srgbClr w14:val="000000">
                      <w14:alpha w14:val="100000"/>
                    </w14:srgbClr>
                  </w14:solidFill>
                </w14:textFill>
              </w:rPr>
              <w:t xml:space="preserve">　</w:t>
            </w:r>
          </w:p>
        </w:tc>
        <w:tc>
          <w:tcPr>
            <w:tcW w:w="657" w:type="pct"/>
            <w:vAlign w:val="center"/>
          </w:tcPr>
          <w:p w14:paraId="38A6E150" w14:textId="77777777" w:rsidR="001F3AAE" w:rsidRPr="00220AC5" w:rsidRDefault="001F3AAE" w:rsidP="001F3AAE">
            <w:pPr>
              <w:pStyle w:val="TableText"/>
              <w:keepNext w:val="0"/>
              <w:jc w:val="center"/>
            </w:pPr>
            <w:r w:rsidRPr="00220AC5">
              <w:rPr>
                <w:rFonts w:cs="Calibri"/>
                <w:color w:val="000000"/>
                <w:szCs w:val="20"/>
              </w:rPr>
              <w:t>0.1172</w:t>
            </w:r>
          </w:p>
        </w:tc>
        <w:tc>
          <w:tcPr>
            <w:tcW w:w="657" w:type="pct"/>
            <w:vAlign w:val="center"/>
          </w:tcPr>
          <w:p w14:paraId="751E9552" w14:textId="21830CFE" w:rsidR="001F3AAE" w:rsidRPr="00220AC5" w:rsidRDefault="001F3AAE" w:rsidP="001F3AAE">
            <w:pPr>
              <w:pStyle w:val="TableText"/>
              <w:keepNext w:val="0"/>
              <w:jc w:val="center"/>
            </w:pPr>
            <w:r w:rsidRPr="00220AC5">
              <w:rPr>
                <w:rFonts w:cs="Calibri"/>
                <w:color w:val="000000"/>
                <w:szCs w:val="20"/>
              </w:rPr>
              <w:t>$</w:t>
            </w:r>
            <w:r w:rsidR="00B9195B" w:rsidRPr="00B9195B">
              <w:rPr>
                <w:rFonts w:cs="Calibri" w:hint="eastAsia"/>
                <w:color w:val="000000"/>
                <w:w w:val="21"/>
                <w:szCs w:val="20"/>
                <w:shd w:val="solid" w:color="000000" w:fill="000000"/>
                <w:fitText w:val="93" w:id="-1436330739"/>
                <w14:textFill>
                  <w14:solidFill>
                    <w14:srgbClr w14:val="000000">
                      <w14:alpha w14:val="100000"/>
                    </w14:srgbClr>
                  </w14:solidFill>
                </w14:textFill>
              </w:rPr>
              <w:t xml:space="preserve">　</w:t>
            </w:r>
            <w:r w:rsidR="00B9195B" w:rsidRPr="00B9195B">
              <w:rPr>
                <w:rFonts w:cs="Calibri"/>
                <w:color w:val="000000"/>
                <w:w w:val="21"/>
                <w:szCs w:val="20"/>
                <w:shd w:val="solid" w:color="000000" w:fill="000000"/>
                <w:fitText w:val="93" w:id="-1436330739"/>
                <w14:textFill>
                  <w14:solidFill>
                    <w14:srgbClr w14:val="000000">
                      <w14:alpha w14:val="100000"/>
                    </w14:srgbClr>
                  </w14:solidFill>
                </w14:textFill>
              </w:rPr>
              <w:t>|</w:t>
            </w:r>
            <w:r w:rsidR="00B9195B" w:rsidRPr="00B9195B">
              <w:rPr>
                <w:rFonts w:cs="Calibri" w:hint="eastAsia"/>
                <w:color w:val="000000"/>
                <w:spacing w:val="2"/>
                <w:w w:val="21"/>
                <w:szCs w:val="20"/>
                <w:shd w:val="solid" w:color="000000" w:fill="000000"/>
                <w:fitText w:val="93" w:id="-1436330739"/>
                <w14:textFill>
                  <w14:solidFill>
                    <w14:srgbClr w14:val="000000">
                      <w14:alpha w14:val="100000"/>
                    </w14:srgbClr>
                  </w14:solidFill>
                </w14:textFill>
              </w:rPr>
              <w:t xml:space="preserve">　</w:t>
            </w:r>
            <w:r w:rsidR="00A7179E">
              <w:rPr>
                <w:rFonts w:cs="Calibri"/>
                <w:color w:val="000000"/>
                <w:szCs w:val="20"/>
                <w:vertAlign w:val="superscript"/>
              </w:rPr>
              <w:t>7</w:t>
            </w:r>
          </w:p>
        </w:tc>
        <w:tc>
          <w:tcPr>
            <w:tcW w:w="657" w:type="pct"/>
            <w:vAlign w:val="center"/>
          </w:tcPr>
          <w:p w14:paraId="0B5A8707" w14:textId="6EF78114" w:rsidR="001F3AAE" w:rsidRPr="00220AC5" w:rsidRDefault="001F3AAE" w:rsidP="001F3AAE">
            <w:pPr>
              <w:pStyle w:val="TableText"/>
              <w:keepNext w:val="0"/>
              <w:jc w:val="center"/>
              <w:rPr>
                <w:rFonts w:cs="Calibri"/>
                <w:color w:val="000000"/>
                <w:szCs w:val="20"/>
              </w:rPr>
            </w:pPr>
            <w:r w:rsidRPr="00220AC5">
              <w:rPr>
                <w:rFonts w:cs="Calibri"/>
                <w:color w:val="000000"/>
                <w:szCs w:val="20"/>
              </w:rPr>
              <w:t>59.8%</w:t>
            </w:r>
          </w:p>
        </w:tc>
      </w:tr>
    </w:tbl>
    <w:p w14:paraId="61412D93" w14:textId="6FE3CFBB" w:rsidR="00D60862" w:rsidRDefault="00B169A9" w:rsidP="004D3863">
      <w:pPr>
        <w:pStyle w:val="TableFigureFooter"/>
        <w:spacing w:after="0"/>
      </w:pPr>
      <w:r w:rsidRPr="002530A2">
        <w:t>Source: Table 3</w:t>
      </w:r>
      <w:r>
        <w:t>-37</w:t>
      </w:r>
      <w:r w:rsidRPr="002530A2">
        <w:t>, p</w:t>
      </w:r>
      <w:r>
        <w:t>p</w:t>
      </w:r>
      <w:r w:rsidRPr="002530A2">
        <w:t>2</w:t>
      </w:r>
      <w:r>
        <w:t xml:space="preserve">25-226 and Figure 3-9, p226 </w:t>
      </w:r>
      <w:r w:rsidRPr="002530A2">
        <w:t xml:space="preserve">of the </w:t>
      </w:r>
      <w:r>
        <w:t>re</w:t>
      </w:r>
      <w:r w:rsidRPr="002530A2">
        <w:t xml:space="preserve">submission and ‘Attachment </w:t>
      </w:r>
      <w:r>
        <w:t>3.2</w:t>
      </w:r>
      <w:r w:rsidRPr="002530A2">
        <w:t xml:space="preserve"> - </w:t>
      </w:r>
      <w:proofErr w:type="spellStart"/>
      <w:r w:rsidRPr="002530A2">
        <w:t>Esketamine</w:t>
      </w:r>
      <w:proofErr w:type="spellEnd"/>
      <w:r w:rsidRPr="002530A2">
        <w:t xml:space="preserve"> TRD CE model’ spreadsheet provided with the </w:t>
      </w:r>
      <w:r>
        <w:t>re</w:t>
      </w:r>
      <w:r w:rsidRPr="002530A2">
        <w:t>submission.</w:t>
      </w:r>
    </w:p>
    <w:p w14:paraId="0B233EBD" w14:textId="77777777" w:rsidR="00A7179E" w:rsidRPr="009A6D58" w:rsidRDefault="00A7179E" w:rsidP="00A7179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22AA28A" w14:textId="60050029" w:rsidR="00A7179E" w:rsidRPr="009A6D58" w:rsidRDefault="00A7179E" w:rsidP="00A7179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A7179E">
        <w:rPr>
          <w:rFonts w:ascii="Arial Narrow" w:hAnsi="Arial Narrow"/>
          <w:i/>
          <w:sz w:val="18"/>
          <w:szCs w:val="18"/>
        </w:rPr>
        <w:t>$45,000 to &lt; $55,000</w:t>
      </w:r>
    </w:p>
    <w:p w14:paraId="18AA65B9" w14:textId="7B327C7E" w:rsidR="00A7179E" w:rsidRPr="009A6D58" w:rsidRDefault="00A7179E" w:rsidP="00A7179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A7179E">
        <w:rPr>
          <w:rFonts w:ascii="Arial Narrow" w:hAnsi="Arial Narrow"/>
          <w:i/>
          <w:sz w:val="18"/>
          <w:szCs w:val="18"/>
        </w:rPr>
        <w:t>$115,000 to &lt; $135,000</w:t>
      </w:r>
    </w:p>
    <w:p w14:paraId="5C0D18A9" w14:textId="33F0A112" w:rsidR="00A7179E" w:rsidRDefault="00A7179E" w:rsidP="00A7179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A7179E">
        <w:rPr>
          <w:rFonts w:ascii="Arial Narrow" w:hAnsi="Arial Narrow"/>
          <w:i/>
          <w:sz w:val="18"/>
          <w:szCs w:val="18"/>
        </w:rPr>
        <w:t>$55,000 to &lt; $75,000</w:t>
      </w:r>
    </w:p>
    <w:p w14:paraId="7D77FCE8" w14:textId="02488363" w:rsidR="00A7179E" w:rsidRDefault="00A7179E" w:rsidP="00A7179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A7179E">
        <w:rPr>
          <w:rFonts w:ascii="Arial Narrow" w:hAnsi="Arial Narrow"/>
          <w:i/>
          <w:sz w:val="18"/>
          <w:szCs w:val="18"/>
        </w:rPr>
        <w:t>$35,000 to &lt; $45,000</w:t>
      </w:r>
    </w:p>
    <w:p w14:paraId="7F2E5799" w14:textId="21E7A3CE" w:rsidR="00A7179E" w:rsidRDefault="00A7179E" w:rsidP="00A7179E">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A7179E">
        <w:rPr>
          <w:rFonts w:ascii="Arial Narrow" w:hAnsi="Arial Narrow"/>
          <w:i/>
          <w:sz w:val="18"/>
          <w:szCs w:val="18"/>
        </w:rPr>
        <w:t>$155,000 to &lt; $255,000</w:t>
      </w:r>
    </w:p>
    <w:p w14:paraId="2FE38A95" w14:textId="7F270576" w:rsidR="00A7179E" w:rsidRDefault="00A7179E" w:rsidP="00A7179E">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A7179E">
        <w:rPr>
          <w:rFonts w:ascii="Arial Narrow" w:hAnsi="Arial Narrow"/>
          <w:i/>
          <w:sz w:val="18"/>
          <w:szCs w:val="18"/>
        </w:rPr>
        <w:t>$25,000 to &lt; $35,000</w:t>
      </w:r>
    </w:p>
    <w:p w14:paraId="46F3FA7D" w14:textId="7353F7B0" w:rsidR="00A7179E" w:rsidRDefault="00A7179E" w:rsidP="00A7179E">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A7179E">
        <w:rPr>
          <w:rFonts w:ascii="Arial Narrow" w:hAnsi="Arial Narrow"/>
          <w:i/>
          <w:sz w:val="18"/>
          <w:szCs w:val="18"/>
        </w:rPr>
        <w:t>$</w:t>
      </w:r>
      <w:r>
        <w:rPr>
          <w:rFonts w:ascii="Arial Narrow" w:hAnsi="Arial Narrow"/>
          <w:i/>
          <w:sz w:val="18"/>
          <w:szCs w:val="18"/>
        </w:rPr>
        <w:t>7</w:t>
      </w:r>
      <w:r w:rsidRPr="00A7179E">
        <w:rPr>
          <w:rFonts w:ascii="Arial Narrow" w:hAnsi="Arial Narrow"/>
          <w:i/>
          <w:sz w:val="18"/>
          <w:szCs w:val="18"/>
        </w:rPr>
        <w:t>5,000 to &lt; $</w:t>
      </w:r>
      <w:r>
        <w:rPr>
          <w:rFonts w:ascii="Arial Narrow" w:hAnsi="Arial Narrow"/>
          <w:i/>
          <w:sz w:val="18"/>
          <w:szCs w:val="18"/>
        </w:rPr>
        <w:t>9</w:t>
      </w:r>
      <w:r w:rsidRPr="00A7179E">
        <w:rPr>
          <w:rFonts w:ascii="Arial Narrow" w:hAnsi="Arial Narrow"/>
          <w:i/>
          <w:sz w:val="18"/>
          <w:szCs w:val="18"/>
        </w:rPr>
        <w:t>5,000</w:t>
      </w:r>
    </w:p>
    <w:p w14:paraId="56CA8807" w14:textId="192D81FF" w:rsidR="00A7179E" w:rsidRDefault="00A7179E" w:rsidP="00A7179E">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A7179E">
        <w:rPr>
          <w:rFonts w:ascii="Arial Narrow" w:hAnsi="Arial Narrow"/>
          <w:i/>
          <w:sz w:val="18"/>
          <w:szCs w:val="18"/>
        </w:rPr>
        <w:t>$15,000 to &lt; $25,000</w:t>
      </w:r>
    </w:p>
    <w:p w14:paraId="11A53D09" w14:textId="77777777" w:rsidR="00A7179E" w:rsidRDefault="00A7179E" w:rsidP="00B169A9">
      <w:pPr>
        <w:pStyle w:val="TableFigureFooter"/>
      </w:pPr>
    </w:p>
    <w:p w14:paraId="16C8653C" w14:textId="4230A697" w:rsidR="008C5739" w:rsidRDefault="00DB4962" w:rsidP="008C5739">
      <w:pPr>
        <w:pStyle w:val="ExecSumBodyText"/>
        <w:rPr>
          <w:color w:val="0066FF"/>
        </w:rPr>
      </w:pPr>
      <w:r w:rsidRPr="00E06F7E">
        <w:t>The results were most sensitive to the probability of achieving remission at treatment induction, transition probabilities in the maintenance period, the effectiveness of the subsequent treatment mix, the probability of recurrence from the re</w:t>
      </w:r>
      <w:r w:rsidRPr="00483FA2">
        <w:t xml:space="preserve">covery state, the </w:t>
      </w:r>
      <w:proofErr w:type="spellStart"/>
      <w:r w:rsidRPr="00483FA2">
        <w:t>esketamine</w:t>
      </w:r>
      <w:proofErr w:type="spellEnd"/>
      <w:r w:rsidRPr="00483FA2">
        <w:t xml:space="preserve"> dosing schedule in the maintenance period, the costs of administration and monitoring, treatment discontinuations and hospitalisation days.</w:t>
      </w:r>
      <w:r w:rsidR="008C5739" w:rsidRPr="00E06F7E">
        <w:rPr>
          <w:color w:val="0066FF"/>
        </w:rPr>
        <w:t xml:space="preserve">  </w:t>
      </w:r>
    </w:p>
    <w:p w14:paraId="3C788CA7" w14:textId="7E62E5AE" w:rsidR="00E03FC3" w:rsidRPr="00D30B7F" w:rsidRDefault="00EE5606" w:rsidP="008C5739">
      <w:pPr>
        <w:pStyle w:val="ExecSumBodyText"/>
      </w:pPr>
      <w:r w:rsidRPr="00D30B7F">
        <w:t xml:space="preserve">The PSCR noted the </w:t>
      </w:r>
      <w:r w:rsidR="00E03FC3" w:rsidRPr="00D30B7F">
        <w:t xml:space="preserve">evaluation highlighted </w:t>
      </w:r>
      <w:r w:rsidR="00860BA6" w:rsidRPr="00D30B7F">
        <w:t>t</w:t>
      </w:r>
      <w:r w:rsidR="00E03FC3" w:rsidRPr="00D30B7F">
        <w:t xml:space="preserve">he assumption of constant maintenance treatment transitions for </w:t>
      </w:r>
      <w:proofErr w:type="spellStart"/>
      <w:r w:rsidR="00E03FC3" w:rsidRPr="00D30B7F">
        <w:t>esketamine</w:t>
      </w:r>
      <w:proofErr w:type="spellEnd"/>
      <w:r w:rsidR="00E03FC3" w:rsidRPr="00D30B7F">
        <w:t xml:space="preserve"> over the 5-year model duration due to the short duration of the trial</w:t>
      </w:r>
      <w:r w:rsidR="00220AC5" w:rsidRPr="00D30B7F">
        <w:t xml:space="preserve"> (stated to be 10 – 17 weeks)</w:t>
      </w:r>
      <w:r w:rsidR="00E03FC3" w:rsidRPr="00D30B7F">
        <w:t xml:space="preserve">, however clarified the time to relapse data was drawn from the SUSTAIN-1 trial at the 12-month time point that informed the transitions for relapse in the </w:t>
      </w:r>
      <w:proofErr w:type="spellStart"/>
      <w:r w:rsidR="00E03FC3" w:rsidRPr="00D30B7F">
        <w:t>esketamine</w:t>
      </w:r>
      <w:proofErr w:type="spellEnd"/>
      <w:r w:rsidR="00E03FC3" w:rsidRPr="00D30B7F">
        <w:t xml:space="preserve"> arm. The PSCR also stated the</w:t>
      </w:r>
      <w:r w:rsidR="00860BA6" w:rsidRPr="00D30B7F">
        <w:t xml:space="preserve"> trial</w:t>
      </w:r>
      <w:r w:rsidR="00E03FC3" w:rsidRPr="00D30B7F">
        <w:t xml:space="preserve"> data used to inform these transition probabilities for </w:t>
      </w:r>
      <w:proofErr w:type="spellStart"/>
      <w:r w:rsidR="00E03FC3" w:rsidRPr="00D30B7F">
        <w:t>esketamine</w:t>
      </w:r>
      <w:proofErr w:type="spellEnd"/>
      <w:r w:rsidR="00E03FC3" w:rsidRPr="00D30B7F">
        <w:t xml:space="preserve"> through to 33-37 weeks, and the observed pattern of relapse risk from SUSTAIN-1 supported the use of the constant recurrence rate, given there was a plateau in risk after 24 weeks that reflects recovery. </w:t>
      </w:r>
      <w:r w:rsidR="00220AC5" w:rsidRPr="00D30B7F">
        <w:t xml:space="preserve">The PSCR stated that 80% and 90% patients in the </w:t>
      </w:r>
      <w:proofErr w:type="spellStart"/>
      <w:r w:rsidR="00220AC5" w:rsidRPr="00D30B7F">
        <w:t>esketamine</w:t>
      </w:r>
      <w:proofErr w:type="spellEnd"/>
      <w:r w:rsidR="00220AC5" w:rsidRPr="00D30B7F">
        <w:t xml:space="preserve"> arm are estimated in the model as treatment failures by the end of 3 and 5 years, respectively,) and move to the subsequent treatment. Hence, the benefits of </w:t>
      </w:r>
      <w:proofErr w:type="spellStart"/>
      <w:r w:rsidR="00220AC5" w:rsidRPr="00D30B7F">
        <w:t>esketamine</w:t>
      </w:r>
      <w:proofErr w:type="spellEnd"/>
      <w:r w:rsidR="00220AC5" w:rsidRPr="00D30B7F">
        <w:t xml:space="preserve"> are applied for a relatively short period within the model horizon which limits the extent of uncertainty in the model. </w:t>
      </w:r>
      <w:r w:rsidR="004D6A5C" w:rsidRPr="00D30B7F">
        <w:t xml:space="preserve">The ESC noted there was a very small number of patients at risk at 12 months in the KM curves provided in the PSCR.  </w:t>
      </w:r>
    </w:p>
    <w:p w14:paraId="5F73C240" w14:textId="676FE700" w:rsidR="009800DA" w:rsidRPr="00D30B7F" w:rsidRDefault="00E86A69" w:rsidP="0096290C">
      <w:pPr>
        <w:pStyle w:val="ExecSumBodyText"/>
      </w:pPr>
      <w:bookmarkStart w:id="40" w:name="_Ref106604509"/>
      <w:r>
        <w:t>T</w:t>
      </w:r>
      <w:r w:rsidR="00E03FC3" w:rsidRPr="00D30B7F">
        <w:t xml:space="preserve">he ESC expressed concerns with the </w:t>
      </w:r>
      <w:r w:rsidR="00636352" w:rsidRPr="00D30B7F">
        <w:t xml:space="preserve">following </w:t>
      </w:r>
      <w:r w:rsidR="00E03FC3" w:rsidRPr="00D30B7F">
        <w:t xml:space="preserve">inputs to the economic model, which remained key drivers that favoured </w:t>
      </w:r>
      <w:proofErr w:type="spellStart"/>
      <w:r w:rsidR="00E03FC3" w:rsidRPr="00D30B7F">
        <w:t>esketamine</w:t>
      </w:r>
      <w:proofErr w:type="spellEnd"/>
      <w:r w:rsidR="00E03FC3" w:rsidRPr="00D30B7F">
        <w:t>:</w:t>
      </w:r>
      <w:bookmarkEnd w:id="40"/>
    </w:p>
    <w:p w14:paraId="182C6E29" w14:textId="5B87B39D" w:rsidR="009E30C1" w:rsidRPr="00D30B7F" w:rsidRDefault="009E30C1" w:rsidP="00220AC5">
      <w:pPr>
        <w:pStyle w:val="Bulletpoints"/>
        <w:ind w:left="1134"/>
      </w:pPr>
      <w:r w:rsidRPr="00D30B7F">
        <w:t xml:space="preserve">The ESC reiterated its view that the model should incorporate more conservative maintenance of treatment assumptions. </w:t>
      </w:r>
      <w:r w:rsidR="0096290C" w:rsidRPr="00D30B7F">
        <w:t xml:space="preserve">The ESC considered extrapolating data from the SUSTAIN-1 trial to a </w:t>
      </w:r>
      <w:proofErr w:type="gramStart"/>
      <w:r w:rsidR="0096290C" w:rsidRPr="00D30B7F">
        <w:t>five year</w:t>
      </w:r>
      <w:proofErr w:type="gramEnd"/>
      <w:r w:rsidR="0096290C" w:rsidRPr="00D30B7F">
        <w:t xml:space="preserve"> time horizon may not be appropriate and </w:t>
      </w:r>
      <w:r w:rsidR="0096290C" w:rsidRPr="00D30B7F">
        <w:lastRenderedPageBreak/>
        <w:t xml:space="preserve">also expressed concern that the use of the STAR*D study to inform some of the transition probabilities may not reflect current practice, given the age of the study. </w:t>
      </w:r>
    </w:p>
    <w:p w14:paraId="6A915534" w14:textId="43E9E603" w:rsidR="009E30C1" w:rsidRPr="00D30B7F" w:rsidRDefault="00E03FC3" w:rsidP="00E03FC3">
      <w:pPr>
        <w:pStyle w:val="Bulletpoints"/>
        <w:ind w:left="1134"/>
      </w:pPr>
      <w:r w:rsidRPr="00D30B7F">
        <w:t>The proposed costs of administration remained highly uncertain, particularly in the absence of an MBS</w:t>
      </w:r>
      <w:r w:rsidR="009E30C1" w:rsidRPr="00D30B7F">
        <w:t xml:space="preserve"> item or alternative method to estimate the cost of administration and monitoring in practice.</w:t>
      </w:r>
    </w:p>
    <w:p w14:paraId="413D5514" w14:textId="5D384647" w:rsidR="00E03FC3" w:rsidRPr="00D30B7F" w:rsidRDefault="009E30C1" w:rsidP="00E03FC3">
      <w:pPr>
        <w:pStyle w:val="Bulletpoints"/>
        <w:ind w:left="1134"/>
      </w:pPr>
      <w:r w:rsidRPr="00D30B7F">
        <w:t>T</w:t>
      </w:r>
      <w:r w:rsidR="00E03FC3" w:rsidRPr="00D30B7F">
        <w:t xml:space="preserve">he model included administration costs for the placebo plus OAD arm. The ESC reiterated its </w:t>
      </w:r>
      <w:proofErr w:type="gramStart"/>
      <w:r w:rsidR="00E03FC3" w:rsidRPr="00D30B7F">
        <w:t>previously-expressed</w:t>
      </w:r>
      <w:proofErr w:type="gramEnd"/>
      <w:r w:rsidR="00E03FC3" w:rsidRPr="00D30B7F">
        <w:t xml:space="preserve"> view that this approach was inappropriate as they would not be incurred in clinical practice for a patient treated with a newly initiated OAD (para 6.57, </w:t>
      </w:r>
      <w:proofErr w:type="spellStart"/>
      <w:r w:rsidR="00E03FC3" w:rsidRPr="00D30B7F">
        <w:t>esketamine</w:t>
      </w:r>
      <w:proofErr w:type="spellEnd"/>
      <w:r w:rsidR="00E03FC3" w:rsidRPr="00D30B7F">
        <w:t xml:space="preserve"> PSD, July 2021 PBAC meeting). </w:t>
      </w:r>
    </w:p>
    <w:p w14:paraId="68F5C006" w14:textId="7EE39E5F" w:rsidR="00E03FC3" w:rsidRPr="00D30B7F" w:rsidRDefault="00E03FC3" w:rsidP="00E03FC3">
      <w:pPr>
        <w:pStyle w:val="Bulletpoints"/>
        <w:ind w:left="1134"/>
      </w:pPr>
      <w:r w:rsidRPr="00D30B7F">
        <w:t>The ESC</w:t>
      </w:r>
      <w:r w:rsidR="009E30C1" w:rsidRPr="00D30B7F">
        <w:t xml:space="preserve"> noted treatment discontinuations were applied in the model as a reduction in drug costs only in all health state</w:t>
      </w:r>
      <w:r w:rsidR="00407BF9" w:rsidRPr="00D30B7F">
        <w:t>s</w:t>
      </w:r>
      <w:r w:rsidR="009E30C1" w:rsidRPr="00D30B7F">
        <w:t xml:space="preserve"> from week 5 onwards, and</w:t>
      </w:r>
      <w:r w:rsidRPr="00D30B7F">
        <w:t xml:space="preserve"> </w:t>
      </w:r>
      <w:r w:rsidR="00407BF9" w:rsidRPr="00D30B7F">
        <w:t xml:space="preserve">reiterated </w:t>
      </w:r>
      <w:r w:rsidRPr="00D30B7F">
        <w:t xml:space="preserve">its previously-expressed view this was likely to be inappropriate beyond the trial duration, as treatment persistence would also impact the effectiveness and safety of the treatment (i.e. non-persistent patients will reduce drug costs but also receive reduced benefits/harms of treatment) (para 6.59, </w:t>
      </w:r>
      <w:proofErr w:type="spellStart"/>
      <w:r w:rsidRPr="00D30B7F">
        <w:t>esketamine</w:t>
      </w:r>
      <w:proofErr w:type="spellEnd"/>
      <w:r w:rsidRPr="00D30B7F">
        <w:t xml:space="preserve"> PSD, July 2021 PBAC meeting).</w:t>
      </w:r>
    </w:p>
    <w:p w14:paraId="17AE934E" w14:textId="6AF67012" w:rsidR="00633D70" w:rsidRPr="00D30B7F" w:rsidRDefault="00633D70" w:rsidP="00E03FC3">
      <w:pPr>
        <w:pStyle w:val="Bulletpoints"/>
        <w:ind w:left="1134"/>
      </w:pPr>
      <w:r w:rsidRPr="00D30B7F">
        <w:t xml:space="preserve">The ESC noted that for </w:t>
      </w:r>
      <w:proofErr w:type="spellStart"/>
      <w:r w:rsidRPr="00D30B7F">
        <w:t>esketamine</w:t>
      </w:r>
      <w:proofErr w:type="spellEnd"/>
      <w:r w:rsidRPr="00D30B7F">
        <w:t xml:space="preserve"> to be cost-effective it needs to be accepted that its use will result in substantial savings associated with the treatment of TRD, including reduced hospitalisations. The ESC noted that the cost of </w:t>
      </w:r>
      <w:proofErr w:type="spellStart"/>
      <w:r w:rsidRPr="00D30B7F">
        <w:t>esketamine</w:t>
      </w:r>
      <w:proofErr w:type="spellEnd"/>
      <w:r w:rsidRPr="00D30B7F">
        <w:t xml:space="preserve"> plus administration is approximately $</w:t>
      </w:r>
      <w:r w:rsidR="00B9195B" w:rsidRPr="002030D0">
        <w:rPr>
          <w:color w:val="000000"/>
          <w:w w:val="15"/>
          <w:shd w:val="solid" w:color="000000" w:fill="000000"/>
          <w:fitText w:val="-20" w:id="-1436330738"/>
          <w14:textFill>
            <w14:solidFill>
              <w14:srgbClr w14:val="000000">
                <w14:alpha w14:val="100000"/>
              </w14:srgbClr>
            </w14:solidFill>
          </w14:textFill>
        </w:rPr>
        <w:t xml:space="preserve">|  </w:t>
      </w:r>
      <w:r w:rsidR="00B9195B" w:rsidRPr="002030D0">
        <w:rPr>
          <w:color w:val="000000"/>
          <w:spacing w:val="-69"/>
          <w:w w:val="15"/>
          <w:shd w:val="solid" w:color="000000" w:fill="000000"/>
          <w:fitText w:val="-20" w:id="-1436330738"/>
          <w14:textFill>
            <w14:solidFill>
              <w14:srgbClr w14:val="000000">
                <w14:alpha w14:val="100000"/>
              </w14:srgbClr>
            </w14:solidFill>
          </w14:textFill>
        </w:rPr>
        <w:t>|</w:t>
      </w:r>
      <w:r w:rsidRPr="00D30B7F">
        <w:t xml:space="preserve"> per patient and it is modelled that there will be a reduction in </w:t>
      </w:r>
      <w:r w:rsidR="0027045B" w:rsidRPr="00D30B7F">
        <w:t xml:space="preserve">hospitalisation </w:t>
      </w:r>
      <w:r w:rsidRPr="00D30B7F">
        <w:t>costs of approximately $14,000</w:t>
      </w:r>
      <w:r w:rsidR="0027045B" w:rsidRPr="00D30B7F">
        <w:t>.</w:t>
      </w:r>
      <w:r w:rsidR="00F81386" w:rsidRPr="00D30B7F">
        <w:t xml:space="preserve"> The ESC recalled it has previously noted that </w:t>
      </w:r>
      <w:r w:rsidR="0045404F" w:rsidRPr="00D30B7F">
        <w:t>the source of healthcare resource use</w:t>
      </w:r>
      <w:r w:rsidR="004D6A5C" w:rsidRPr="00D30B7F">
        <w:t xml:space="preserve"> in the model</w:t>
      </w:r>
      <w:r w:rsidR="0045404F" w:rsidRPr="00D30B7F">
        <w:t xml:space="preserve"> (</w:t>
      </w:r>
      <w:r w:rsidR="00F81386" w:rsidRPr="00D30B7F">
        <w:t>Denee 2021, a UK study</w:t>
      </w:r>
      <w:r w:rsidR="0045404F" w:rsidRPr="00D30B7F">
        <w:t>)</w:t>
      </w:r>
      <w:r w:rsidR="00F81386" w:rsidRPr="00D30B7F">
        <w:t>, may have limited applicability to the Australian context (para</w:t>
      </w:r>
      <w:r w:rsidR="0045404F" w:rsidRPr="00D30B7F">
        <w:t>graph</w:t>
      </w:r>
      <w:r w:rsidR="00F81386" w:rsidRPr="00D30B7F">
        <w:t xml:space="preserve"> 6.46, </w:t>
      </w:r>
      <w:proofErr w:type="spellStart"/>
      <w:r w:rsidR="00F81386" w:rsidRPr="00D30B7F">
        <w:t>esketamine</w:t>
      </w:r>
      <w:proofErr w:type="spellEnd"/>
      <w:r w:rsidR="00F81386" w:rsidRPr="00D30B7F">
        <w:t xml:space="preserve"> PSD, July 2021 PBAC meeting).</w:t>
      </w:r>
    </w:p>
    <w:p w14:paraId="557E4E40" w14:textId="2696A911" w:rsidR="009E30C1" w:rsidRPr="00D30B7F" w:rsidRDefault="009E30C1" w:rsidP="00E03FC3">
      <w:pPr>
        <w:pStyle w:val="Bulletpoints"/>
        <w:ind w:left="1134"/>
      </w:pPr>
      <w:r w:rsidRPr="00D30B7F">
        <w:t>The ESC also noted there were significant safety and adverse event concerns and considered these were not adequately modelled in the submission.</w:t>
      </w:r>
    </w:p>
    <w:p w14:paraId="24798910" w14:textId="219209F7" w:rsidR="0025049F" w:rsidRDefault="0025049F" w:rsidP="0045404F">
      <w:pPr>
        <w:pStyle w:val="ExecSumBodyText"/>
      </w:pPr>
      <w:r>
        <w:t xml:space="preserve">The Pre-PBAC Response </w:t>
      </w:r>
      <w:r w:rsidR="00D17DF4">
        <w:t>commented on</w:t>
      </w:r>
      <w:r>
        <w:t xml:space="preserve"> the concerns raised by the ESC with regards to the economic model </w:t>
      </w:r>
      <w:r w:rsidR="00D17DF4">
        <w:t>as follows</w:t>
      </w:r>
      <w:r>
        <w:t>:</w:t>
      </w:r>
    </w:p>
    <w:p w14:paraId="78CB8D6E" w14:textId="2A156D10" w:rsidR="0025049F" w:rsidRDefault="00D17DF4" w:rsidP="0025049F">
      <w:pPr>
        <w:pStyle w:val="ExecSumBodyText"/>
        <w:numPr>
          <w:ilvl w:val="0"/>
          <w:numId w:val="29"/>
        </w:numPr>
      </w:pPr>
      <w:r>
        <w:t>Although</w:t>
      </w:r>
      <w:r w:rsidR="0066668B">
        <w:t xml:space="preserve"> no Australian data was used or available to inform </w:t>
      </w:r>
      <w:r>
        <w:t>hospitalisation</w:t>
      </w:r>
      <w:r w:rsidR="0066668B">
        <w:t xml:space="preserve"> costs, the modelled savings may be considered conservative</w:t>
      </w:r>
      <w:r w:rsidR="001C00A8">
        <w:t>;</w:t>
      </w:r>
      <w:r w:rsidR="0066668B">
        <w:t xml:space="preserve"> </w:t>
      </w:r>
    </w:p>
    <w:p w14:paraId="513B914C" w14:textId="13E7451D" w:rsidR="00D86296" w:rsidRDefault="00D17DF4" w:rsidP="004E3844">
      <w:pPr>
        <w:pStyle w:val="ExecSumBodyText"/>
        <w:numPr>
          <w:ilvl w:val="0"/>
          <w:numId w:val="29"/>
        </w:numPr>
      </w:pPr>
      <w:r>
        <w:t>Although</w:t>
      </w:r>
      <w:r w:rsidR="00D86296">
        <w:t xml:space="preserve"> the STAR*D study </w:t>
      </w:r>
      <w:r>
        <w:t xml:space="preserve">used to inform utility values </w:t>
      </w:r>
      <w:r w:rsidR="00D86296">
        <w:t>is not new,</w:t>
      </w:r>
      <w:r w:rsidR="00794FB9">
        <w:t xml:space="preserve"> </w:t>
      </w:r>
      <w:r w:rsidR="00D86296">
        <w:t>large-scale clinical trials in psychiatry are rare and it represented the best available data to inform the economic evaluation.</w:t>
      </w:r>
    </w:p>
    <w:p w14:paraId="2C21B1FC" w14:textId="75A359E0" w:rsidR="00D86296" w:rsidRDefault="00D17DF4" w:rsidP="004E3844">
      <w:pPr>
        <w:pStyle w:val="ExecSumBodyText"/>
        <w:numPr>
          <w:ilvl w:val="0"/>
          <w:numId w:val="29"/>
        </w:numPr>
      </w:pPr>
      <w:r>
        <w:t>I</w:t>
      </w:r>
      <w:r w:rsidR="00D86296">
        <w:t xml:space="preserve">n the model patients can discontinue </w:t>
      </w:r>
      <w:proofErr w:type="spellStart"/>
      <w:r w:rsidR="00D86296">
        <w:t>esketamine</w:t>
      </w:r>
      <w:proofErr w:type="spellEnd"/>
      <w:r w:rsidR="00D86296">
        <w:t xml:space="preserve"> due to relapse, recovery or for other reasons (e.g. safety)</w:t>
      </w:r>
      <w:r w:rsidR="00654B2E">
        <w:t>. The PSCR stated that</w:t>
      </w:r>
      <w:r w:rsidR="000E1C22">
        <w:t xml:space="preserve"> </w:t>
      </w:r>
      <w:r w:rsidR="00D86296">
        <w:t>patients who do not relapse will have a treatment duration below the time to relapse curve, and thus on average these patients accrue benefits for being relapse-free after stopping therapy</w:t>
      </w:r>
      <w:r w:rsidR="00654B2E">
        <w:t xml:space="preserve">. The PSCR </w:t>
      </w:r>
      <w:r w:rsidR="00D86296">
        <w:t xml:space="preserve">argued it was </w:t>
      </w:r>
      <w:r w:rsidR="00654B2E">
        <w:t xml:space="preserve">therefore </w:t>
      </w:r>
      <w:r w:rsidR="00D86296">
        <w:t>appropriate to model treatment discontinuation as no longer incurring costs, with loss of benefits occurring once a patient experiences relapse.</w:t>
      </w:r>
    </w:p>
    <w:p w14:paraId="60479F6E" w14:textId="29BD6B34" w:rsidR="00E03FC3" w:rsidRPr="00D30B7F" w:rsidRDefault="0045404F" w:rsidP="0045404F">
      <w:pPr>
        <w:pStyle w:val="ExecSumBodyText"/>
      </w:pPr>
      <w:r w:rsidRPr="00D30B7F">
        <w:lastRenderedPageBreak/>
        <w:t xml:space="preserve">The ESC noted the final appraisal document </w:t>
      </w:r>
      <w:r w:rsidR="00013348">
        <w:t xml:space="preserve">(dated May 2022) </w:t>
      </w:r>
      <w:r w:rsidRPr="00D30B7F">
        <w:t>published by NICE</w:t>
      </w:r>
      <w:r w:rsidRPr="00D30B7F">
        <w:rPr>
          <w:rStyle w:val="FootnoteReference"/>
        </w:rPr>
        <w:footnoteReference w:id="4"/>
      </w:r>
      <w:r w:rsidRPr="00D30B7F">
        <w:t xml:space="preserve"> stated that “the limitations in the clinical evidence and economic model mean it is not possible to determine a reliable cost-effectiveness estimate” for </w:t>
      </w:r>
      <w:proofErr w:type="spellStart"/>
      <w:r w:rsidRPr="00D30B7F">
        <w:t>esketamine</w:t>
      </w:r>
      <w:proofErr w:type="spellEnd"/>
      <w:r w:rsidRPr="00D30B7F">
        <w:t xml:space="preserve"> in the treatment of TRD.</w:t>
      </w:r>
    </w:p>
    <w:p w14:paraId="11BB8589" w14:textId="77777777" w:rsidR="00757311" w:rsidRDefault="00757311" w:rsidP="00757311">
      <w:pPr>
        <w:pStyle w:val="3-SubsectionHeading"/>
      </w:pPr>
      <w:bookmarkStart w:id="41" w:name="_Toc103767196"/>
      <w:bookmarkStart w:id="42" w:name="_Toc22897646"/>
      <w:r w:rsidRPr="002C2775">
        <w:t>Drug cost/patient/</w:t>
      </w:r>
      <w:r>
        <w:t>treatment phase</w:t>
      </w:r>
      <w:bookmarkEnd w:id="41"/>
    </w:p>
    <w:p w14:paraId="014F531B" w14:textId="4C50436C" w:rsidR="001D2A61" w:rsidRPr="00C50DC8" w:rsidRDefault="001D2A61" w:rsidP="00C50DC8">
      <w:pPr>
        <w:pStyle w:val="Caption"/>
      </w:pPr>
      <w:bookmarkStart w:id="43" w:name="_Ref110257371"/>
      <w:bookmarkStart w:id="44" w:name="_Hlk71212614"/>
      <w:r w:rsidRPr="00C50DC8">
        <w:t xml:space="preserve">Table </w:t>
      </w:r>
      <w:r w:rsidR="002030D0">
        <w:fldChar w:fldCharType="begin"/>
      </w:r>
      <w:r w:rsidR="002030D0">
        <w:instrText xml:space="preserve"> SEQ Table \* ARABIC </w:instrText>
      </w:r>
      <w:r w:rsidR="002030D0">
        <w:fldChar w:fldCharType="separate"/>
      </w:r>
      <w:r w:rsidR="008E3D7A">
        <w:rPr>
          <w:noProof/>
        </w:rPr>
        <w:t>17</w:t>
      </w:r>
      <w:r w:rsidR="002030D0">
        <w:rPr>
          <w:noProof/>
        </w:rPr>
        <w:fldChar w:fldCharType="end"/>
      </w:r>
      <w:bookmarkEnd w:id="43"/>
      <w:r w:rsidRPr="00C50DC8">
        <w:t xml:space="preserve">: Drug costs per patient for </w:t>
      </w:r>
      <w:proofErr w:type="spellStart"/>
      <w:r w:rsidRPr="00C50DC8">
        <w:t>esketamine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2347"/>
        <w:gridCol w:w="2205"/>
        <w:gridCol w:w="2205"/>
      </w:tblGrid>
      <w:tr w:rsidR="001D2A61" w:rsidRPr="001D2A61" w14:paraId="55D59664" w14:textId="77777777" w:rsidTr="0096718B">
        <w:trPr>
          <w:tblHeader/>
        </w:trPr>
        <w:tc>
          <w:tcPr>
            <w:tcW w:w="2258" w:type="dxa"/>
            <w:tcMar>
              <w:top w:w="0" w:type="dxa"/>
              <w:left w:w="108" w:type="dxa"/>
              <w:bottom w:w="0" w:type="dxa"/>
              <w:right w:w="108" w:type="dxa"/>
            </w:tcMar>
            <w:vAlign w:val="center"/>
          </w:tcPr>
          <w:bookmarkEnd w:id="42"/>
          <w:p w14:paraId="5B33D294" w14:textId="77777777" w:rsidR="001D2A61" w:rsidRPr="001D2A61" w:rsidRDefault="001D2A61" w:rsidP="00C50DC8">
            <w:pPr>
              <w:keepNext/>
              <w:jc w:val="left"/>
              <w:rPr>
                <w:rFonts w:ascii="Arial Narrow" w:eastAsia="Calibri" w:hAnsi="Arial Narrow" w:cs="Calibri"/>
                <w:b/>
                <w:bCs/>
                <w:sz w:val="20"/>
                <w:szCs w:val="20"/>
                <w:lang w:eastAsia="en-US"/>
              </w:rPr>
            </w:pPr>
            <w:r w:rsidRPr="001D2A61">
              <w:rPr>
                <w:rFonts w:ascii="Arial Narrow" w:eastAsia="Calibri" w:hAnsi="Arial Narrow" w:cs="Calibri"/>
                <w:b/>
                <w:bCs/>
                <w:sz w:val="20"/>
                <w:szCs w:val="20"/>
                <w:lang w:eastAsia="en-US"/>
              </w:rPr>
              <w:t>Value</w:t>
            </w:r>
          </w:p>
        </w:tc>
        <w:tc>
          <w:tcPr>
            <w:tcW w:w="2344" w:type="dxa"/>
            <w:tcMar>
              <w:top w:w="0" w:type="dxa"/>
              <w:left w:w="108" w:type="dxa"/>
              <w:bottom w:w="0" w:type="dxa"/>
              <w:right w:w="108" w:type="dxa"/>
            </w:tcMar>
          </w:tcPr>
          <w:p w14:paraId="6E225234" w14:textId="77777777" w:rsidR="001D2A61" w:rsidRPr="001D2A61" w:rsidRDefault="001D2A61" w:rsidP="00C50DC8">
            <w:pPr>
              <w:keepNext/>
              <w:jc w:val="center"/>
              <w:rPr>
                <w:rFonts w:ascii="Arial Narrow" w:eastAsia="Calibri" w:hAnsi="Arial Narrow" w:cs="Calibri"/>
                <w:b/>
                <w:bCs/>
                <w:sz w:val="20"/>
                <w:szCs w:val="20"/>
                <w:vertAlign w:val="superscript"/>
                <w:lang w:eastAsia="en-US"/>
              </w:rPr>
            </w:pPr>
            <w:proofErr w:type="spellStart"/>
            <w:r w:rsidRPr="001D2A61">
              <w:rPr>
                <w:rFonts w:ascii="Arial Narrow" w:eastAsia="Calibri" w:hAnsi="Arial Narrow" w:cs="Calibri"/>
                <w:b/>
                <w:bCs/>
                <w:sz w:val="20"/>
                <w:szCs w:val="20"/>
                <w:lang w:eastAsia="en-US"/>
              </w:rPr>
              <w:t>Esketamine</w:t>
            </w:r>
            <w:proofErr w:type="spellEnd"/>
            <w:r w:rsidRPr="001D2A61">
              <w:rPr>
                <w:rFonts w:ascii="Arial Narrow" w:eastAsia="Calibri" w:hAnsi="Arial Narrow" w:cs="Calibri"/>
                <w:b/>
                <w:bCs/>
                <w:sz w:val="20"/>
                <w:szCs w:val="20"/>
                <w:lang w:eastAsia="en-US"/>
              </w:rPr>
              <w:t xml:space="preserve"> trials</w:t>
            </w:r>
            <w:r w:rsidRPr="001D2A61">
              <w:rPr>
                <w:rFonts w:ascii="Arial Narrow" w:eastAsia="Calibri" w:hAnsi="Arial Narrow" w:cs="Calibri"/>
                <w:b/>
                <w:bCs/>
                <w:sz w:val="20"/>
                <w:szCs w:val="20"/>
                <w:vertAlign w:val="superscript"/>
                <w:lang w:eastAsia="en-US"/>
              </w:rPr>
              <w:t>1</w:t>
            </w:r>
          </w:p>
        </w:tc>
        <w:tc>
          <w:tcPr>
            <w:tcW w:w="2202" w:type="dxa"/>
            <w:vAlign w:val="center"/>
          </w:tcPr>
          <w:p w14:paraId="35B88369" w14:textId="77777777" w:rsidR="001D2A61" w:rsidRPr="001D2A61" w:rsidRDefault="001D2A61" w:rsidP="00C50DC8">
            <w:pPr>
              <w:keepNext/>
              <w:jc w:val="center"/>
              <w:rPr>
                <w:rFonts w:ascii="Arial Narrow" w:eastAsia="Calibri" w:hAnsi="Arial Narrow" w:cs="Calibri"/>
                <w:b/>
                <w:bCs/>
                <w:sz w:val="20"/>
                <w:szCs w:val="20"/>
                <w:lang w:eastAsia="en-US"/>
              </w:rPr>
            </w:pPr>
            <w:r w:rsidRPr="001D2A61">
              <w:rPr>
                <w:rFonts w:ascii="Arial Narrow" w:eastAsia="Calibri" w:hAnsi="Arial Narrow" w:cs="Calibri"/>
                <w:b/>
                <w:bCs/>
                <w:sz w:val="20"/>
                <w:szCs w:val="20"/>
                <w:lang w:eastAsia="en-US"/>
              </w:rPr>
              <w:t>Economic model</w:t>
            </w:r>
          </w:p>
        </w:tc>
        <w:tc>
          <w:tcPr>
            <w:tcW w:w="2202" w:type="dxa"/>
            <w:vAlign w:val="center"/>
          </w:tcPr>
          <w:p w14:paraId="029629FE" w14:textId="0840C796" w:rsidR="001D2A61" w:rsidRPr="001D2A61" w:rsidRDefault="001D2A61" w:rsidP="00C50DC8">
            <w:pPr>
              <w:keepNext/>
              <w:jc w:val="center"/>
              <w:rPr>
                <w:rFonts w:ascii="Arial Narrow" w:eastAsia="Calibri" w:hAnsi="Arial Narrow" w:cs="Calibri"/>
                <w:b/>
                <w:bCs/>
                <w:sz w:val="20"/>
                <w:szCs w:val="20"/>
                <w:lang w:eastAsia="en-US"/>
              </w:rPr>
            </w:pPr>
            <w:r w:rsidRPr="001D2A61">
              <w:rPr>
                <w:rFonts w:ascii="Arial Narrow" w:eastAsia="Calibri" w:hAnsi="Arial Narrow" w:cs="Calibri"/>
                <w:b/>
                <w:bCs/>
                <w:sz w:val="20"/>
                <w:szCs w:val="20"/>
                <w:lang w:eastAsia="en-US"/>
              </w:rPr>
              <w:t>Financial estimates</w:t>
            </w:r>
          </w:p>
        </w:tc>
      </w:tr>
      <w:tr w:rsidR="001D2A61" w:rsidRPr="001D2A61" w14:paraId="16088B6B" w14:textId="77777777" w:rsidTr="0096718B">
        <w:tc>
          <w:tcPr>
            <w:tcW w:w="9006" w:type="dxa"/>
            <w:gridSpan w:val="4"/>
            <w:tcMar>
              <w:top w:w="0" w:type="dxa"/>
              <w:left w:w="108" w:type="dxa"/>
              <w:bottom w:w="0" w:type="dxa"/>
              <w:right w:w="108" w:type="dxa"/>
            </w:tcMar>
            <w:hideMark/>
          </w:tcPr>
          <w:p w14:paraId="7DF75F1B" w14:textId="77777777" w:rsidR="001D2A61" w:rsidRPr="001D2A61" w:rsidRDefault="001D2A61" w:rsidP="00C50DC8">
            <w:pPr>
              <w:keepNext/>
              <w:rPr>
                <w:rFonts w:ascii="Arial Narrow" w:eastAsia="Calibri" w:hAnsi="Arial Narrow" w:cs="Calibri"/>
                <w:b/>
                <w:bCs/>
                <w:smallCaps/>
                <w:sz w:val="20"/>
                <w:szCs w:val="20"/>
                <w:lang w:eastAsia="en-US"/>
              </w:rPr>
            </w:pPr>
            <w:proofErr w:type="spellStart"/>
            <w:r w:rsidRPr="001D2A61">
              <w:rPr>
                <w:rFonts w:ascii="Arial Narrow" w:eastAsia="Calibri" w:hAnsi="Arial Narrow" w:cs="Calibri"/>
                <w:b/>
                <w:bCs/>
                <w:smallCaps/>
                <w:sz w:val="20"/>
                <w:szCs w:val="20"/>
                <w:lang w:eastAsia="en-US"/>
              </w:rPr>
              <w:t>Esketamine</w:t>
            </w:r>
            <w:proofErr w:type="spellEnd"/>
            <w:r w:rsidRPr="001D2A61">
              <w:rPr>
                <w:rFonts w:ascii="Arial Narrow" w:eastAsia="Calibri" w:hAnsi="Arial Narrow" w:cs="Calibri"/>
                <w:b/>
                <w:bCs/>
                <w:smallCaps/>
                <w:sz w:val="20"/>
                <w:szCs w:val="20"/>
                <w:lang w:eastAsia="en-US"/>
              </w:rPr>
              <w:t xml:space="preserve"> drug costs</w:t>
            </w:r>
          </w:p>
        </w:tc>
      </w:tr>
      <w:tr w:rsidR="001D2A61" w:rsidRPr="001D2A61" w14:paraId="092E125A" w14:textId="77777777" w:rsidTr="0096718B">
        <w:tc>
          <w:tcPr>
            <w:tcW w:w="9006" w:type="dxa"/>
            <w:gridSpan w:val="4"/>
            <w:tcMar>
              <w:top w:w="0" w:type="dxa"/>
              <w:left w:w="108" w:type="dxa"/>
              <w:bottom w:w="0" w:type="dxa"/>
              <w:right w:w="108" w:type="dxa"/>
            </w:tcMar>
            <w:hideMark/>
          </w:tcPr>
          <w:p w14:paraId="60D93E0B" w14:textId="77777777" w:rsidR="001D2A61" w:rsidRPr="001D2A61" w:rsidRDefault="001D2A61" w:rsidP="00C50DC8">
            <w:pPr>
              <w:keepNext/>
              <w:jc w:val="left"/>
              <w:rPr>
                <w:rFonts w:ascii="Arial Narrow" w:eastAsia="Calibri" w:hAnsi="Arial Narrow" w:cs="Calibri"/>
                <w:b/>
                <w:bCs/>
                <w:sz w:val="20"/>
                <w:szCs w:val="20"/>
                <w:lang w:eastAsia="en-US"/>
              </w:rPr>
            </w:pPr>
            <w:r w:rsidRPr="001D2A61">
              <w:rPr>
                <w:rFonts w:ascii="Arial Narrow" w:eastAsia="Calibri" w:hAnsi="Arial Narrow" w:cs="Calibri"/>
                <w:b/>
                <w:bCs/>
                <w:sz w:val="20"/>
                <w:szCs w:val="20"/>
                <w:lang w:eastAsia="en-US"/>
              </w:rPr>
              <w:t>Acute treatment phase (Weeks 1-4)</w:t>
            </w:r>
          </w:p>
        </w:tc>
      </w:tr>
      <w:tr w:rsidR="001D2A61" w:rsidRPr="001D2A61" w14:paraId="7729BBD5" w14:textId="77777777" w:rsidTr="0096718B">
        <w:tc>
          <w:tcPr>
            <w:tcW w:w="2258" w:type="dxa"/>
            <w:tcMar>
              <w:top w:w="0" w:type="dxa"/>
              <w:left w:w="108" w:type="dxa"/>
              <w:bottom w:w="0" w:type="dxa"/>
              <w:right w:w="108" w:type="dxa"/>
            </w:tcMar>
            <w:vAlign w:val="center"/>
            <w:hideMark/>
          </w:tcPr>
          <w:p w14:paraId="4782BED1"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Mean dose</w:t>
            </w:r>
          </w:p>
        </w:tc>
        <w:tc>
          <w:tcPr>
            <w:tcW w:w="2344" w:type="dxa"/>
            <w:tcMar>
              <w:top w:w="0" w:type="dxa"/>
              <w:left w:w="108" w:type="dxa"/>
              <w:bottom w:w="0" w:type="dxa"/>
              <w:right w:w="108" w:type="dxa"/>
            </w:tcMar>
            <w:vAlign w:val="center"/>
          </w:tcPr>
          <w:p w14:paraId="7DDF33A2"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TRANSFORM-2: 70.8 mg</w:t>
            </w:r>
          </w:p>
          <w:p w14:paraId="76CCDAA4"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(2.530×28 mg devices)</w:t>
            </w:r>
          </w:p>
          <w:p w14:paraId="2BECAB1C"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TRANSFORM-3: 59.8 (2.136×28 mg devices)</w:t>
            </w:r>
          </w:p>
        </w:tc>
        <w:tc>
          <w:tcPr>
            <w:tcW w:w="2202" w:type="dxa"/>
            <w:vAlign w:val="center"/>
          </w:tcPr>
          <w:p w14:paraId="316D0972" w14:textId="7D640763"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69.</w:t>
            </w:r>
            <w:r w:rsidR="00727FA7">
              <w:rPr>
                <w:rFonts w:ascii="Arial Narrow" w:eastAsia="Calibri" w:hAnsi="Arial Narrow" w:cs="Calibri"/>
                <w:sz w:val="20"/>
                <w:szCs w:val="20"/>
                <w:lang w:eastAsia="en-US"/>
              </w:rPr>
              <w:t>1</w:t>
            </w:r>
            <w:r w:rsidRPr="001D2A61">
              <w:rPr>
                <w:rFonts w:ascii="Arial Narrow" w:eastAsia="Calibri" w:hAnsi="Arial Narrow" w:cs="Calibri"/>
                <w:sz w:val="20"/>
                <w:szCs w:val="20"/>
                <w:lang w:eastAsia="en-US"/>
              </w:rPr>
              <w:t xml:space="preserve"> mg</w:t>
            </w:r>
            <w:r w:rsidRPr="001D2A61">
              <w:rPr>
                <w:rFonts w:ascii="Arial Narrow" w:eastAsia="Calibri" w:hAnsi="Arial Narrow" w:cs="Calibri"/>
                <w:sz w:val="20"/>
                <w:szCs w:val="20"/>
                <w:vertAlign w:val="superscript"/>
                <w:lang w:eastAsia="en-US"/>
              </w:rPr>
              <w:t>2</w:t>
            </w:r>
          </w:p>
          <w:p w14:paraId="3F101DB3"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(2.467×28 mg devices)</w:t>
            </w:r>
          </w:p>
        </w:tc>
        <w:tc>
          <w:tcPr>
            <w:tcW w:w="2202" w:type="dxa"/>
            <w:vAlign w:val="center"/>
          </w:tcPr>
          <w:p w14:paraId="68503A36" w14:textId="235435BC" w:rsidR="001D2A61" w:rsidRPr="001D2A61" w:rsidRDefault="001B3BB2" w:rsidP="00C50DC8">
            <w:pPr>
              <w:keepNext/>
              <w:jc w:val="center"/>
              <w:rPr>
                <w:rFonts w:ascii="Arial Narrow" w:eastAsia="Calibri" w:hAnsi="Arial Narrow" w:cs="Calibri"/>
                <w:sz w:val="20"/>
                <w:szCs w:val="20"/>
                <w:lang w:eastAsia="en-US"/>
              </w:rPr>
            </w:pPr>
            <w:r>
              <w:rPr>
                <w:rFonts w:ascii="Arial Narrow" w:eastAsia="Calibri" w:hAnsi="Arial Narrow" w:cs="Calibri"/>
                <w:sz w:val="20"/>
                <w:szCs w:val="20"/>
                <w:lang w:eastAsia="en-US"/>
              </w:rPr>
              <w:t>70.</w:t>
            </w:r>
            <w:r w:rsidRPr="00D60B48">
              <w:rPr>
                <w:rFonts w:ascii="Arial Narrow" w:eastAsia="Calibri" w:hAnsi="Arial Narrow" w:cs="Calibri"/>
                <w:sz w:val="20"/>
                <w:szCs w:val="20"/>
                <w:lang w:eastAsia="en-US"/>
              </w:rPr>
              <w:t>8</w:t>
            </w:r>
            <w:r>
              <w:rPr>
                <w:rFonts w:ascii="Arial Narrow" w:eastAsia="Calibri" w:hAnsi="Arial Narrow" w:cs="Calibri"/>
                <w:sz w:val="20"/>
                <w:szCs w:val="20"/>
                <w:lang w:eastAsia="en-US"/>
              </w:rPr>
              <w:t xml:space="preserve"> </w:t>
            </w:r>
            <w:r w:rsidR="001D2A61" w:rsidRPr="00D60B48">
              <w:rPr>
                <w:rFonts w:ascii="Arial Narrow" w:eastAsia="Calibri" w:hAnsi="Arial Narrow" w:cs="Calibri"/>
                <w:sz w:val="20"/>
                <w:szCs w:val="20"/>
                <w:lang w:eastAsia="en-US"/>
              </w:rPr>
              <w:t>mg</w:t>
            </w:r>
            <w:r w:rsidR="00A10DAE" w:rsidRPr="00A10DAE">
              <w:rPr>
                <w:rFonts w:ascii="Arial Narrow" w:eastAsia="Calibri" w:hAnsi="Arial Narrow" w:cs="Calibri"/>
                <w:sz w:val="20"/>
                <w:szCs w:val="20"/>
                <w:vertAlign w:val="superscript"/>
                <w:lang w:eastAsia="en-US"/>
              </w:rPr>
              <w:t>3</w:t>
            </w:r>
          </w:p>
          <w:p w14:paraId="68D60FD1" w14:textId="52B83B48"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t>
            </w:r>
            <w:r w:rsidR="00C32208">
              <w:rPr>
                <w:rFonts w:ascii="Arial Narrow" w:eastAsia="Calibri" w:hAnsi="Arial Narrow" w:cs="Calibri"/>
                <w:sz w:val="20"/>
                <w:szCs w:val="20"/>
                <w:lang w:eastAsia="en-US"/>
              </w:rPr>
              <w:t>2.530</w:t>
            </w:r>
            <w:r w:rsidRPr="001D2A61">
              <w:rPr>
                <w:rFonts w:ascii="Arial Narrow" w:eastAsia="Calibri" w:hAnsi="Arial Narrow" w:cs="Calibri"/>
                <w:sz w:val="20"/>
                <w:szCs w:val="20"/>
                <w:lang w:eastAsia="en-US"/>
              </w:rPr>
              <w:t>×28 mg devices)</w:t>
            </w:r>
          </w:p>
        </w:tc>
      </w:tr>
      <w:tr w:rsidR="001D2A61" w:rsidRPr="001D2A61" w14:paraId="2E49E890" w14:textId="77777777" w:rsidTr="0096718B">
        <w:tc>
          <w:tcPr>
            <w:tcW w:w="2258" w:type="dxa"/>
            <w:tcMar>
              <w:top w:w="0" w:type="dxa"/>
              <w:left w:w="108" w:type="dxa"/>
              <w:bottom w:w="0" w:type="dxa"/>
              <w:right w:w="108" w:type="dxa"/>
            </w:tcMar>
            <w:vAlign w:val="center"/>
          </w:tcPr>
          <w:p w14:paraId="1717E4B3" w14:textId="7A3EE2D2"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Unit cost</w:t>
            </w:r>
            <w:r w:rsidR="00556D17">
              <w:rPr>
                <w:rFonts w:ascii="Arial Narrow" w:eastAsia="Calibri" w:hAnsi="Arial Narrow" w:cs="Calibri"/>
                <w:sz w:val="20"/>
                <w:szCs w:val="20"/>
                <w:lang w:eastAsia="en-US"/>
              </w:rPr>
              <w:t xml:space="preserve"> (DPMQ)</w:t>
            </w:r>
            <w:r w:rsidRPr="001D2A61">
              <w:rPr>
                <w:rFonts w:ascii="Arial Narrow" w:eastAsia="Calibri" w:hAnsi="Arial Narrow" w:cs="Calibri"/>
                <w:sz w:val="20"/>
                <w:szCs w:val="20"/>
                <w:lang w:eastAsia="en-US"/>
              </w:rPr>
              <w:t xml:space="preserve"> per 28 mg device</w:t>
            </w:r>
          </w:p>
        </w:tc>
        <w:tc>
          <w:tcPr>
            <w:tcW w:w="2344" w:type="dxa"/>
            <w:tcMar>
              <w:top w:w="0" w:type="dxa"/>
              <w:left w:w="108" w:type="dxa"/>
              <w:bottom w:w="0" w:type="dxa"/>
              <w:right w:w="108" w:type="dxa"/>
            </w:tcMar>
            <w:vAlign w:val="center"/>
          </w:tcPr>
          <w:p w14:paraId="0AAD667F"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t>
            </w:r>
          </w:p>
        </w:tc>
        <w:tc>
          <w:tcPr>
            <w:tcW w:w="2202" w:type="dxa"/>
            <w:vAlign w:val="center"/>
          </w:tcPr>
          <w:p w14:paraId="3941C3D8" w14:textId="1041DBB1" w:rsidR="001D2A61" w:rsidRPr="001D2A61" w:rsidRDefault="001D2A61" w:rsidP="00C50DC8">
            <w:pPr>
              <w:keepNext/>
              <w:jc w:val="center"/>
              <w:rPr>
                <w:rFonts w:ascii="Arial Narrow" w:eastAsia="Calibri" w:hAnsi="Arial Narrow" w:cs="Calibri"/>
                <w:sz w:val="20"/>
                <w:szCs w:val="20"/>
                <w:vertAlign w:val="superscript"/>
                <w:lang w:eastAsia="en-US"/>
              </w:rPr>
            </w:pPr>
            <w:r w:rsidRPr="001D2A61">
              <w:rPr>
                <w:rFonts w:ascii="Arial Narrow" w:eastAsia="Calibri" w:hAnsi="Arial Narrow" w:cs="Calibri"/>
                <w:sz w:val="20"/>
                <w:szCs w:val="20"/>
                <w:lang w:eastAsia="en-US"/>
              </w:rPr>
              <w:t>$</w:t>
            </w:r>
            <w:r w:rsidR="00B9195B" w:rsidRPr="00B9195B">
              <w:rPr>
                <w:rFonts w:ascii="Arial Narrow" w:eastAsia="Calibri" w:hAnsi="Arial Narrow" w:cs="Calibri"/>
                <w:color w:val="000000"/>
                <w:sz w:val="20"/>
                <w:szCs w:val="20"/>
                <w:shd w:val="solid" w:color="000000" w:fill="000000"/>
                <w:lang w:eastAsia="en-US"/>
                <w14:textFill>
                  <w14:solidFill>
                    <w14:srgbClr w14:val="000000">
                      <w14:alpha w14:val="100000"/>
                    </w14:srgbClr>
                  </w14:solidFill>
                </w14:textFill>
              </w:rPr>
              <w:t>|</w:t>
            </w:r>
            <w:r w:rsidR="007F1DA7">
              <w:rPr>
                <w:rFonts w:ascii="Arial Narrow" w:eastAsia="Calibri" w:hAnsi="Arial Narrow" w:cs="Calibri"/>
                <w:sz w:val="20"/>
                <w:szCs w:val="20"/>
                <w:vertAlign w:val="superscript"/>
                <w:lang w:eastAsia="en-US"/>
              </w:rPr>
              <w:t>4</w:t>
            </w:r>
          </w:p>
        </w:tc>
        <w:tc>
          <w:tcPr>
            <w:tcW w:w="2202" w:type="dxa"/>
            <w:vAlign w:val="center"/>
          </w:tcPr>
          <w:p w14:paraId="2B0307AB" w14:textId="03376B1D" w:rsidR="001D2A61" w:rsidRPr="00D677A2" w:rsidRDefault="001D2A61" w:rsidP="00C50DC8">
            <w:pPr>
              <w:keepNext/>
              <w:jc w:val="center"/>
              <w:rPr>
                <w:rFonts w:ascii="Arial Narrow" w:eastAsia="Calibri" w:hAnsi="Arial Narrow" w:cs="Calibri"/>
                <w:sz w:val="20"/>
                <w:szCs w:val="20"/>
                <w:highlight w:val="yellow"/>
                <w:vertAlign w:val="superscript"/>
                <w:lang w:eastAsia="en-US"/>
              </w:rPr>
            </w:pPr>
            <w:r w:rsidRPr="009B6ADA">
              <w:rPr>
                <w:rFonts w:ascii="Arial Narrow" w:eastAsia="Calibri" w:hAnsi="Arial Narrow" w:cs="Calibri"/>
                <w:sz w:val="20"/>
                <w:szCs w:val="20"/>
                <w:lang w:eastAsia="en-US"/>
              </w:rPr>
              <w:t>$</w:t>
            </w:r>
            <w:r w:rsidR="00B9195B" w:rsidRPr="00B9195B">
              <w:rPr>
                <w:rFonts w:ascii="Arial Narrow" w:eastAsia="Calibri" w:hAnsi="Arial Narrow" w:cs="Calibri"/>
                <w:color w:val="000000"/>
                <w:sz w:val="20"/>
                <w:szCs w:val="20"/>
                <w:shd w:val="solid" w:color="000000" w:fill="000000"/>
                <w:lang w:eastAsia="en-US"/>
                <w14:textFill>
                  <w14:solidFill>
                    <w14:srgbClr w14:val="000000">
                      <w14:alpha w14:val="100000"/>
                    </w14:srgbClr>
                  </w14:solidFill>
                </w14:textFill>
              </w:rPr>
              <w:t>|</w:t>
            </w:r>
            <w:r w:rsidR="007F1DA7">
              <w:rPr>
                <w:rFonts w:ascii="Arial Narrow" w:eastAsia="Calibri" w:hAnsi="Arial Narrow" w:cs="Calibri"/>
                <w:sz w:val="20"/>
                <w:szCs w:val="20"/>
                <w:vertAlign w:val="superscript"/>
                <w:lang w:eastAsia="en-US"/>
              </w:rPr>
              <w:t>5</w:t>
            </w:r>
          </w:p>
        </w:tc>
      </w:tr>
      <w:tr w:rsidR="001D2A61" w:rsidRPr="001D2A61" w14:paraId="392AE9BB" w14:textId="77777777" w:rsidTr="0096718B">
        <w:tc>
          <w:tcPr>
            <w:tcW w:w="2258" w:type="dxa"/>
            <w:tcMar>
              <w:top w:w="0" w:type="dxa"/>
              <w:left w:w="108" w:type="dxa"/>
              <w:bottom w:w="0" w:type="dxa"/>
              <w:right w:w="108" w:type="dxa"/>
            </w:tcMar>
            <w:vAlign w:val="center"/>
          </w:tcPr>
          <w:p w14:paraId="646BB40D"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Average doses per week</w:t>
            </w:r>
          </w:p>
        </w:tc>
        <w:tc>
          <w:tcPr>
            <w:tcW w:w="2344" w:type="dxa"/>
            <w:tcMar>
              <w:top w:w="0" w:type="dxa"/>
              <w:left w:w="108" w:type="dxa"/>
              <w:bottom w:w="0" w:type="dxa"/>
              <w:right w:w="108" w:type="dxa"/>
            </w:tcMar>
            <w:vAlign w:val="center"/>
          </w:tcPr>
          <w:p w14:paraId="12E74B77"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TRANSFORM-2: 1.851</w:t>
            </w:r>
          </w:p>
          <w:p w14:paraId="4E46C78E"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TRANSFORM-3: 1.844</w:t>
            </w:r>
          </w:p>
        </w:tc>
        <w:tc>
          <w:tcPr>
            <w:tcW w:w="2202" w:type="dxa"/>
            <w:vAlign w:val="center"/>
          </w:tcPr>
          <w:p w14:paraId="0C627CB0"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1.850</w:t>
            </w:r>
            <w:r w:rsidRPr="001D2A61">
              <w:rPr>
                <w:rFonts w:ascii="Arial Narrow" w:eastAsia="Calibri" w:hAnsi="Arial Narrow" w:cs="Calibri"/>
                <w:sz w:val="20"/>
                <w:szCs w:val="20"/>
                <w:vertAlign w:val="superscript"/>
                <w:lang w:eastAsia="en-US"/>
              </w:rPr>
              <w:t>2</w:t>
            </w:r>
          </w:p>
        </w:tc>
        <w:tc>
          <w:tcPr>
            <w:tcW w:w="2202" w:type="dxa"/>
            <w:vAlign w:val="center"/>
          </w:tcPr>
          <w:p w14:paraId="39562735" w14:textId="77777777" w:rsidR="001D2A61" w:rsidRPr="007A0D59" w:rsidRDefault="001D2A61" w:rsidP="00C50DC8">
            <w:pPr>
              <w:keepNext/>
              <w:jc w:val="center"/>
              <w:rPr>
                <w:rFonts w:ascii="Arial Narrow" w:eastAsia="Calibri" w:hAnsi="Arial Narrow" w:cs="Calibri"/>
                <w:sz w:val="20"/>
                <w:szCs w:val="20"/>
                <w:lang w:eastAsia="en-US"/>
              </w:rPr>
            </w:pPr>
            <w:r w:rsidRPr="007A0D59">
              <w:rPr>
                <w:rFonts w:ascii="Arial Narrow" w:eastAsia="Calibri" w:hAnsi="Arial Narrow" w:cs="Calibri"/>
                <w:sz w:val="20"/>
                <w:szCs w:val="20"/>
                <w:lang w:eastAsia="en-US"/>
              </w:rPr>
              <w:t>-</w:t>
            </w:r>
          </w:p>
        </w:tc>
      </w:tr>
      <w:tr w:rsidR="001D2A61" w:rsidRPr="001D2A61" w14:paraId="09452989" w14:textId="77777777" w:rsidTr="0096718B">
        <w:tc>
          <w:tcPr>
            <w:tcW w:w="2258" w:type="dxa"/>
            <w:tcMar>
              <w:top w:w="0" w:type="dxa"/>
              <w:left w:w="108" w:type="dxa"/>
              <w:bottom w:w="0" w:type="dxa"/>
              <w:right w:w="108" w:type="dxa"/>
            </w:tcMar>
            <w:vAlign w:val="center"/>
          </w:tcPr>
          <w:p w14:paraId="3E557DBB"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Adherence</w:t>
            </w:r>
          </w:p>
        </w:tc>
        <w:tc>
          <w:tcPr>
            <w:tcW w:w="2344" w:type="dxa"/>
            <w:tcMar>
              <w:top w:w="0" w:type="dxa"/>
              <w:left w:w="108" w:type="dxa"/>
              <w:bottom w:w="0" w:type="dxa"/>
              <w:right w:w="108" w:type="dxa"/>
            </w:tcMar>
            <w:vAlign w:val="center"/>
          </w:tcPr>
          <w:p w14:paraId="70C53DC1" w14:textId="77777777" w:rsidR="001D2A61" w:rsidRPr="001D2A61" w:rsidRDefault="001D2A61" w:rsidP="00C50DC8">
            <w:pPr>
              <w:keepNext/>
              <w:jc w:val="center"/>
              <w:rPr>
                <w:rFonts w:ascii="Arial Narrow" w:eastAsia="Calibri" w:hAnsi="Arial Narrow" w:cs="Calibri"/>
                <w:sz w:val="20"/>
                <w:szCs w:val="20"/>
                <w:highlight w:val="yellow"/>
                <w:lang w:eastAsia="en-US"/>
              </w:rPr>
            </w:pPr>
            <w:r w:rsidRPr="001D2A61">
              <w:rPr>
                <w:rFonts w:ascii="Arial Narrow" w:eastAsia="Calibri" w:hAnsi="Arial Narrow" w:cs="Calibri"/>
                <w:sz w:val="20"/>
                <w:szCs w:val="20"/>
                <w:lang w:eastAsia="en-US"/>
              </w:rPr>
              <w:t>Not reported</w:t>
            </w:r>
          </w:p>
        </w:tc>
        <w:tc>
          <w:tcPr>
            <w:tcW w:w="2202" w:type="dxa"/>
            <w:vAlign w:val="center"/>
          </w:tcPr>
          <w:p w14:paraId="59DF189C"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Not explicitly modelled</w:t>
            </w:r>
          </w:p>
        </w:tc>
        <w:tc>
          <w:tcPr>
            <w:tcW w:w="2202" w:type="dxa"/>
            <w:vAlign w:val="center"/>
          </w:tcPr>
          <w:p w14:paraId="5EC0107B" w14:textId="2C89611B" w:rsidR="001D2A61" w:rsidRPr="007A0D59" w:rsidRDefault="001D2A61" w:rsidP="00C50DC8">
            <w:pPr>
              <w:keepNext/>
              <w:jc w:val="center"/>
              <w:rPr>
                <w:rFonts w:ascii="Arial Narrow" w:eastAsia="Calibri" w:hAnsi="Arial Narrow" w:cs="Calibri"/>
                <w:sz w:val="20"/>
                <w:szCs w:val="20"/>
                <w:lang w:eastAsia="en-US"/>
              </w:rPr>
            </w:pPr>
            <w:r w:rsidRPr="007A0D59">
              <w:rPr>
                <w:rFonts w:ascii="Arial Narrow" w:eastAsia="Calibri" w:hAnsi="Arial Narrow" w:cs="Calibri"/>
                <w:sz w:val="20"/>
                <w:szCs w:val="20"/>
                <w:lang w:eastAsia="en-US"/>
              </w:rPr>
              <w:t>92.5%</w:t>
            </w:r>
          </w:p>
        </w:tc>
      </w:tr>
      <w:tr w:rsidR="001D2A61" w:rsidRPr="001D2A61" w14:paraId="141764F9" w14:textId="77777777" w:rsidTr="0096718B">
        <w:tc>
          <w:tcPr>
            <w:tcW w:w="2258" w:type="dxa"/>
            <w:tcMar>
              <w:top w:w="0" w:type="dxa"/>
              <w:left w:w="108" w:type="dxa"/>
              <w:bottom w:w="0" w:type="dxa"/>
              <w:right w:w="108" w:type="dxa"/>
            </w:tcMar>
            <w:vAlign w:val="center"/>
          </w:tcPr>
          <w:p w14:paraId="3D5720FF"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Cost/patient/4-week period</w:t>
            </w:r>
          </w:p>
        </w:tc>
        <w:tc>
          <w:tcPr>
            <w:tcW w:w="2344" w:type="dxa"/>
            <w:tcMar>
              <w:top w:w="0" w:type="dxa"/>
              <w:left w:w="108" w:type="dxa"/>
              <w:bottom w:w="0" w:type="dxa"/>
              <w:right w:w="108" w:type="dxa"/>
            </w:tcMar>
            <w:vAlign w:val="center"/>
          </w:tcPr>
          <w:p w14:paraId="5299A144"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t>
            </w:r>
          </w:p>
        </w:tc>
        <w:tc>
          <w:tcPr>
            <w:tcW w:w="2202" w:type="dxa"/>
            <w:vAlign w:val="center"/>
          </w:tcPr>
          <w:p w14:paraId="6ACC843E" w14:textId="70291983"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t>
            </w:r>
            <w:r w:rsidR="00B9195B" w:rsidRPr="00B9195B">
              <w:rPr>
                <w:rFonts w:ascii="Arial Narrow" w:eastAsia="Calibri" w:hAnsi="Arial Narrow" w:cs="Calibri"/>
                <w:color w:val="000000"/>
                <w:sz w:val="20"/>
                <w:szCs w:val="20"/>
                <w:shd w:val="solid" w:color="000000" w:fill="000000"/>
                <w:lang w:eastAsia="en-US"/>
                <w14:textFill>
                  <w14:solidFill>
                    <w14:srgbClr w14:val="000000">
                      <w14:alpha w14:val="100000"/>
                    </w14:srgbClr>
                  </w14:solidFill>
                </w14:textFill>
              </w:rPr>
              <w:t>|</w:t>
            </w:r>
          </w:p>
        </w:tc>
        <w:tc>
          <w:tcPr>
            <w:tcW w:w="2202" w:type="dxa"/>
            <w:vAlign w:val="center"/>
          </w:tcPr>
          <w:p w14:paraId="42FA36DC" w14:textId="0BA02E7D" w:rsidR="001D2A61" w:rsidRPr="00521C4B" w:rsidRDefault="001D2A61" w:rsidP="00C50DC8">
            <w:pPr>
              <w:keepNext/>
              <w:jc w:val="center"/>
              <w:rPr>
                <w:rFonts w:ascii="Arial Narrow" w:eastAsia="Calibri" w:hAnsi="Arial Narrow" w:cs="Calibri"/>
                <w:sz w:val="20"/>
                <w:szCs w:val="20"/>
                <w:lang w:eastAsia="en-US"/>
              </w:rPr>
            </w:pPr>
            <w:r w:rsidRPr="00521C4B">
              <w:rPr>
                <w:rFonts w:ascii="Arial Narrow" w:eastAsia="Calibri" w:hAnsi="Arial Narrow" w:cs="Calibri"/>
                <w:sz w:val="20"/>
                <w:szCs w:val="20"/>
                <w:lang w:eastAsia="en-US"/>
              </w:rPr>
              <w:t>$</w:t>
            </w:r>
            <w:r w:rsidR="00B9195B" w:rsidRPr="00B9195B">
              <w:rPr>
                <w:rFonts w:ascii="Arial Narrow" w:eastAsia="Calibri" w:hAnsi="Arial Narrow" w:cs="Calibri"/>
                <w:color w:val="000000"/>
                <w:sz w:val="20"/>
                <w:szCs w:val="20"/>
                <w:shd w:val="solid" w:color="000000" w:fill="000000"/>
                <w:lang w:eastAsia="en-US"/>
                <w14:textFill>
                  <w14:solidFill>
                    <w14:srgbClr w14:val="000000">
                      <w14:alpha w14:val="100000"/>
                    </w14:srgbClr>
                  </w14:solidFill>
                </w14:textFill>
              </w:rPr>
              <w:t>|</w:t>
            </w:r>
          </w:p>
        </w:tc>
      </w:tr>
      <w:tr w:rsidR="001D2A61" w:rsidRPr="001D2A61" w14:paraId="65912BEA" w14:textId="77777777" w:rsidTr="0096718B">
        <w:tc>
          <w:tcPr>
            <w:tcW w:w="2258" w:type="dxa"/>
            <w:tcMar>
              <w:top w:w="0" w:type="dxa"/>
              <w:left w:w="108" w:type="dxa"/>
              <w:bottom w:w="0" w:type="dxa"/>
              <w:right w:w="108" w:type="dxa"/>
            </w:tcMar>
            <w:vAlign w:val="center"/>
          </w:tcPr>
          <w:p w14:paraId="60897022"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Persistence</w:t>
            </w:r>
          </w:p>
        </w:tc>
        <w:tc>
          <w:tcPr>
            <w:tcW w:w="2344" w:type="dxa"/>
            <w:tcMar>
              <w:top w:w="0" w:type="dxa"/>
              <w:left w:w="108" w:type="dxa"/>
              <w:bottom w:w="0" w:type="dxa"/>
              <w:right w:w="108" w:type="dxa"/>
            </w:tcMar>
            <w:vAlign w:val="center"/>
          </w:tcPr>
          <w:p w14:paraId="139FB3BA"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TRANSFORM-2: 84.5%</w:t>
            </w:r>
          </w:p>
          <w:p w14:paraId="70BEA535"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TRANSFORM-3: 86.1%</w:t>
            </w:r>
          </w:p>
        </w:tc>
        <w:tc>
          <w:tcPr>
            <w:tcW w:w="2202" w:type="dxa"/>
            <w:vAlign w:val="center"/>
          </w:tcPr>
          <w:p w14:paraId="5CD4DCC3"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100%</w:t>
            </w:r>
          </w:p>
        </w:tc>
        <w:tc>
          <w:tcPr>
            <w:tcW w:w="2202" w:type="dxa"/>
            <w:vAlign w:val="center"/>
          </w:tcPr>
          <w:p w14:paraId="6D25FE14"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100%</w:t>
            </w:r>
          </w:p>
        </w:tc>
      </w:tr>
      <w:tr w:rsidR="001D2A61" w:rsidRPr="001D2A61" w14:paraId="1DF0631F" w14:textId="77777777" w:rsidTr="0096718B">
        <w:tc>
          <w:tcPr>
            <w:tcW w:w="9006" w:type="dxa"/>
            <w:gridSpan w:val="4"/>
            <w:tcMar>
              <w:top w:w="0" w:type="dxa"/>
              <w:left w:w="108" w:type="dxa"/>
              <w:bottom w:w="0" w:type="dxa"/>
              <w:right w:w="108" w:type="dxa"/>
            </w:tcMar>
            <w:vAlign w:val="center"/>
            <w:hideMark/>
          </w:tcPr>
          <w:p w14:paraId="0D4EAA85" w14:textId="77777777" w:rsidR="001D2A61" w:rsidRPr="001D2A61" w:rsidRDefault="001D2A61" w:rsidP="00C50DC8">
            <w:pPr>
              <w:keepNext/>
              <w:jc w:val="left"/>
              <w:rPr>
                <w:rFonts w:ascii="Arial Narrow" w:eastAsia="Calibri" w:hAnsi="Arial Narrow" w:cs="Calibri"/>
                <w:b/>
                <w:bCs/>
                <w:sz w:val="20"/>
                <w:szCs w:val="20"/>
                <w:lang w:eastAsia="en-US"/>
              </w:rPr>
            </w:pPr>
            <w:r w:rsidRPr="001D2A61">
              <w:rPr>
                <w:rFonts w:ascii="Arial Narrow" w:eastAsia="Calibri" w:hAnsi="Arial Narrow" w:cs="Calibri"/>
                <w:b/>
                <w:bCs/>
                <w:sz w:val="20"/>
                <w:szCs w:val="20"/>
                <w:lang w:eastAsia="en-US"/>
              </w:rPr>
              <w:t>Maintenance phase (Week 5+)</w:t>
            </w:r>
          </w:p>
        </w:tc>
      </w:tr>
      <w:tr w:rsidR="001D2A61" w:rsidRPr="001D2A61" w14:paraId="1776445E" w14:textId="77777777" w:rsidTr="0096718B">
        <w:tc>
          <w:tcPr>
            <w:tcW w:w="2258" w:type="dxa"/>
            <w:tcMar>
              <w:top w:w="0" w:type="dxa"/>
              <w:left w:w="108" w:type="dxa"/>
              <w:bottom w:w="0" w:type="dxa"/>
              <w:right w:w="108" w:type="dxa"/>
            </w:tcMar>
            <w:vAlign w:val="center"/>
            <w:hideMark/>
          </w:tcPr>
          <w:p w14:paraId="2A175595"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Mean dose</w:t>
            </w:r>
          </w:p>
        </w:tc>
        <w:tc>
          <w:tcPr>
            <w:tcW w:w="2344" w:type="dxa"/>
            <w:tcMar>
              <w:top w:w="0" w:type="dxa"/>
              <w:left w:w="108" w:type="dxa"/>
              <w:bottom w:w="0" w:type="dxa"/>
              <w:right w:w="108" w:type="dxa"/>
            </w:tcMar>
            <w:vAlign w:val="center"/>
          </w:tcPr>
          <w:p w14:paraId="5C3B0D3E"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Weeks 5 - 40: 72.9 mg</w:t>
            </w:r>
          </w:p>
          <w:p w14:paraId="6077F4BD" w14:textId="77777777" w:rsidR="001D2A61" w:rsidRPr="001D2A61" w:rsidRDefault="001D2A61" w:rsidP="00C50DC8">
            <w:pPr>
              <w:keepNext/>
              <w:jc w:val="center"/>
              <w:rPr>
                <w:rFonts w:ascii="Arial Narrow" w:eastAsia="Calibri" w:hAnsi="Arial Narrow" w:cs="Calibri"/>
                <w:sz w:val="20"/>
                <w:szCs w:val="20"/>
                <w:vertAlign w:val="superscript"/>
                <w:lang w:eastAsia="en-US"/>
              </w:rPr>
            </w:pPr>
            <w:r w:rsidRPr="001D2A61">
              <w:rPr>
                <w:rFonts w:ascii="Arial Narrow" w:eastAsia="Calibri" w:hAnsi="Arial Narrow" w:cs="Calibri"/>
                <w:sz w:val="20"/>
                <w:szCs w:val="20"/>
                <w:lang w:eastAsia="en-US"/>
              </w:rPr>
              <w:t>(2.605×28 mg devices)</w:t>
            </w:r>
            <w:r w:rsidRPr="001D2A61">
              <w:rPr>
                <w:rFonts w:ascii="Arial Narrow" w:eastAsia="Calibri" w:hAnsi="Arial Narrow" w:cs="Calibri"/>
                <w:sz w:val="20"/>
                <w:szCs w:val="20"/>
                <w:vertAlign w:val="superscript"/>
                <w:lang w:eastAsia="en-US"/>
              </w:rPr>
              <w:t>5</w:t>
            </w:r>
          </w:p>
          <w:p w14:paraId="74F4E21B"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 41+: 72.0 mg</w:t>
            </w:r>
          </w:p>
          <w:p w14:paraId="719311C7" w14:textId="77777777" w:rsidR="001D2A61" w:rsidRPr="001D2A61" w:rsidRDefault="001D2A61" w:rsidP="00C50DC8">
            <w:pPr>
              <w:keepNext/>
              <w:jc w:val="center"/>
              <w:rPr>
                <w:rFonts w:ascii="Arial Narrow" w:eastAsia="Calibri" w:hAnsi="Arial Narrow" w:cs="Calibri"/>
                <w:sz w:val="20"/>
                <w:szCs w:val="20"/>
                <w:vertAlign w:val="superscript"/>
                <w:lang w:eastAsia="en-US"/>
              </w:rPr>
            </w:pPr>
            <w:r w:rsidRPr="001D2A61">
              <w:rPr>
                <w:rFonts w:ascii="Arial Narrow" w:eastAsia="Calibri" w:hAnsi="Arial Narrow" w:cs="Calibri"/>
                <w:sz w:val="20"/>
                <w:szCs w:val="20"/>
                <w:lang w:eastAsia="en-US"/>
              </w:rPr>
              <w:t>(2.571×28 mg devices)</w:t>
            </w:r>
            <w:r w:rsidRPr="001D2A61">
              <w:rPr>
                <w:rFonts w:ascii="Arial Narrow" w:eastAsia="Calibri" w:hAnsi="Arial Narrow" w:cs="Calibri"/>
                <w:sz w:val="20"/>
                <w:szCs w:val="20"/>
                <w:vertAlign w:val="superscript"/>
                <w:lang w:eastAsia="en-US"/>
              </w:rPr>
              <w:t>5</w:t>
            </w:r>
          </w:p>
        </w:tc>
        <w:tc>
          <w:tcPr>
            <w:tcW w:w="2202" w:type="dxa"/>
            <w:vAlign w:val="center"/>
          </w:tcPr>
          <w:p w14:paraId="321DF5C1"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Weeks 5 - 40: 72.9 mg</w:t>
            </w:r>
          </w:p>
          <w:p w14:paraId="4269CDB2"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(2.605×28 mg devices)</w:t>
            </w:r>
          </w:p>
          <w:p w14:paraId="700504AC"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 41+: 72.0 mg</w:t>
            </w:r>
          </w:p>
          <w:p w14:paraId="0B91209D"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(2.571×28 mg devices)</w:t>
            </w:r>
          </w:p>
        </w:tc>
        <w:tc>
          <w:tcPr>
            <w:tcW w:w="2202" w:type="dxa"/>
            <w:vAlign w:val="center"/>
          </w:tcPr>
          <w:p w14:paraId="599CF0B0" w14:textId="1F1199D1"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 5+: 72.9 mg</w:t>
            </w:r>
          </w:p>
          <w:p w14:paraId="74CA7EFA"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(2.605×28 mg devices)</w:t>
            </w:r>
          </w:p>
        </w:tc>
      </w:tr>
      <w:tr w:rsidR="001D2A61" w:rsidRPr="001D2A61" w14:paraId="287D4FE9" w14:textId="77777777" w:rsidTr="0096718B">
        <w:tc>
          <w:tcPr>
            <w:tcW w:w="2258" w:type="dxa"/>
            <w:tcMar>
              <w:top w:w="0" w:type="dxa"/>
              <w:left w:w="108" w:type="dxa"/>
              <w:bottom w:w="0" w:type="dxa"/>
              <w:right w:w="108" w:type="dxa"/>
            </w:tcMar>
            <w:vAlign w:val="center"/>
          </w:tcPr>
          <w:p w14:paraId="2F299441"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Unit cost per 28 mg device</w:t>
            </w:r>
          </w:p>
        </w:tc>
        <w:tc>
          <w:tcPr>
            <w:tcW w:w="2344" w:type="dxa"/>
            <w:tcMar>
              <w:top w:w="0" w:type="dxa"/>
              <w:left w:w="108" w:type="dxa"/>
              <w:bottom w:w="0" w:type="dxa"/>
              <w:right w:w="108" w:type="dxa"/>
            </w:tcMar>
            <w:vAlign w:val="center"/>
          </w:tcPr>
          <w:p w14:paraId="69294DBD"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t>
            </w:r>
          </w:p>
        </w:tc>
        <w:tc>
          <w:tcPr>
            <w:tcW w:w="2202" w:type="dxa"/>
            <w:vAlign w:val="center"/>
          </w:tcPr>
          <w:p w14:paraId="70983A7A" w14:textId="31DE926A" w:rsidR="001D2A61" w:rsidRPr="001D2A61" w:rsidRDefault="001D2A61" w:rsidP="00C50DC8">
            <w:pPr>
              <w:keepNext/>
              <w:jc w:val="center"/>
              <w:rPr>
                <w:rFonts w:ascii="Arial Narrow" w:eastAsia="Calibri" w:hAnsi="Arial Narrow" w:cs="Calibri"/>
                <w:sz w:val="20"/>
                <w:szCs w:val="20"/>
                <w:vertAlign w:val="superscript"/>
                <w:lang w:eastAsia="en-US"/>
              </w:rPr>
            </w:pPr>
            <w:r w:rsidRPr="001D2A61">
              <w:rPr>
                <w:rFonts w:ascii="Arial Narrow" w:eastAsia="Calibri" w:hAnsi="Arial Narrow" w:cs="Calibri"/>
                <w:sz w:val="20"/>
                <w:szCs w:val="20"/>
                <w:lang w:eastAsia="en-US"/>
              </w:rPr>
              <w:t>$</w:t>
            </w:r>
            <w:r w:rsidR="00B9195B" w:rsidRPr="00B9195B">
              <w:rPr>
                <w:rFonts w:ascii="Arial Narrow" w:eastAsia="Calibri" w:hAnsi="Arial Narrow" w:cs="Calibri"/>
                <w:color w:val="000000"/>
                <w:sz w:val="20"/>
                <w:szCs w:val="20"/>
                <w:shd w:val="solid" w:color="000000" w:fill="000000"/>
                <w:lang w:eastAsia="en-US"/>
                <w14:textFill>
                  <w14:solidFill>
                    <w14:srgbClr w14:val="000000">
                      <w14:alpha w14:val="100000"/>
                    </w14:srgbClr>
                  </w14:solidFill>
                </w14:textFill>
              </w:rPr>
              <w:t>|</w:t>
            </w:r>
            <w:r w:rsidR="00C20C09">
              <w:rPr>
                <w:rFonts w:ascii="Arial Narrow" w:eastAsia="Calibri" w:hAnsi="Arial Narrow" w:cs="Calibri"/>
                <w:sz w:val="20"/>
                <w:szCs w:val="20"/>
                <w:vertAlign w:val="superscript"/>
                <w:lang w:eastAsia="en-US"/>
              </w:rPr>
              <w:t>7</w:t>
            </w:r>
          </w:p>
        </w:tc>
        <w:tc>
          <w:tcPr>
            <w:tcW w:w="2202" w:type="dxa"/>
            <w:vAlign w:val="center"/>
          </w:tcPr>
          <w:p w14:paraId="1B084CF7" w14:textId="6A977498" w:rsidR="001D2A61" w:rsidRPr="001D2A61" w:rsidRDefault="001D2A61" w:rsidP="00C50DC8">
            <w:pPr>
              <w:keepNext/>
              <w:jc w:val="center"/>
              <w:rPr>
                <w:rFonts w:ascii="Arial Narrow" w:eastAsia="Calibri" w:hAnsi="Arial Narrow" w:cs="Calibri"/>
                <w:sz w:val="20"/>
                <w:szCs w:val="20"/>
                <w:vertAlign w:val="superscript"/>
                <w:lang w:eastAsia="en-US"/>
              </w:rPr>
            </w:pPr>
            <w:r w:rsidRPr="00D60B48">
              <w:rPr>
                <w:rFonts w:ascii="Arial Narrow" w:eastAsia="Calibri" w:hAnsi="Arial Narrow" w:cs="Calibri"/>
                <w:sz w:val="20"/>
                <w:szCs w:val="20"/>
                <w:lang w:eastAsia="en-US"/>
              </w:rPr>
              <w:t>$</w:t>
            </w:r>
            <w:r w:rsidR="00B9195B" w:rsidRPr="00B9195B">
              <w:rPr>
                <w:rFonts w:ascii="Arial Narrow" w:eastAsia="Calibri" w:hAnsi="Arial Narrow" w:cs="Calibri"/>
                <w:color w:val="000000"/>
                <w:sz w:val="20"/>
                <w:szCs w:val="20"/>
                <w:shd w:val="solid" w:color="000000" w:fill="000000"/>
                <w:lang w:eastAsia="en-US"/>
                <w14:textFill>
                  <w14:solidFill>
                    <w14:srgbClr w14:val="000000">
                      <w14:alpha w14:val="100000"/>
                    </w14:srgbClr>
                  </w14:solidFill>
                </w14:textFill>
              </w:rPr>
              <w:t>|</w:t>
            </w:r>
            <w:r w:rsidR="007F1DA7">
              <w:rPr>
                <w:rFonts w:ascii="Arial Narrow" w:eastAsia="Calibri" w:hAnsi="Arial Narrow" w:cs="Calibri"/>
                <w:sz w:val="20"/>
                <w:szCs w:val="20"/>
                <w:vertAlign w:val="superscript"/>
                <w:lang w:eastAsia="en-US"/>
              </w:rPr>
              <w:t>8</w:t>
            </w:r>
          </w:p>
        </w:tc>
      </w:tr>
      <w:tr w:rsidR="001D2A61" w:rsidRPr="001D2A61" w14:paraId="6FD652EE" w14:textId="77777777" w:rsidTr="0096718B">
        <w:tc>
          <w:tcPr>
            <w:tcW w:w="2258" w:type="dxa"/>
            <w:tcMar>
              <w:top w:w="0" w:type="dxa"/>
              <w:left w:w="108" w:type="dxa"/>
              <w:bottom w:w="0" w:type="dxa"/>
              <w:right w:w="108" w:type="dxa"/>
            </w:tcMar>
            <w:vAlign w:val="center"/>
          </w:tcPr>
          <w:p w14:paraId="6A6F6F9D"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Average doses per week</w:t>
            </w:r>
          </w:p>
        </w:tc>
        <w:tc>
          <w:tcPr>
            <w:tcW w:w="2344" w:type="dxa"/>
            <w:tcMar>
              <w:top w:w="0" w:type="dxa"/>
              <w:left w:w="108" w:type="dxa"/>
              <w:bottom w:w="0" w:type="dxa"/>
              <w:right w:w="108" w:type="dxa"/>
            </w:tcMar>
            <w:vAlign w:val="center"/>
          </w:tcPr>
          <w:p w14:paraId="78C3CD96" w14:textId="3164B289" w:rsidR="00C20C09" w:rsidRDefault="001D2A61" w:rsidP="00C50DC8">
            <w:pPr>
              <w:keepNext/>
              <w:jc w:val="center"/>
              <w:rPr>
                <w:rFonts w:ascii="Arial Narrow" w:eastAsia="Calibri" w:hAnsi="Arial Narrow" w:cs="Calibri"/>
                <w:sz w:val="20"/>
                <w:szCs w:val="20"/>
                <w:vertAlign w:val="superscript"/>
                <w:lang w:eastAsia="en-US"/>
              </w:rPr>
            </w:pPr>
            <w:r w:rsidRPr="00D60B48">
              <w:rPr>
                <w:rFonts w:ascii="Arial Narrow" w:eastAsia="Calibri" w:hAnsi="Arial Narrow" w:cs="Calibri"/>
                <w:sz w:val="20"/>
                <w:szCs w:val="20"/>
                <w:lang w:eastAsia="en-US"/>
              </w:rPr>
              <w:t>Weeks 5 - 8: 0.992</w:t>
            </w:r>
            <w:r w:rsidR="00C20C09">
              <w:rPr>
                <w:rFonts w:ascii="Arial Narrow" w:eastAsia="Calibri" w:hAnsi="Arial Narrow" w:cs="Calibri"/>
                <w:sz w:val="20"/>
                <w:szCs w:val="20"/>
                <w:vertAlign w:val="superscript"/>
                <w:lang w:eastAsia="en-US"/>
              </w:rPr>
              <w:t>6</w:t>
            </w:r>
          </w:p>
          <w:p w14:paraId="09327AB8" w14:textId="6B460893" w:rsidR="001D2A61" w:rsidRPr="001D2A61" w:rsidRDefault="001D2A61" w:rsidP="00C50DC8">
            <w:pPr>
              <w:keepNext/>
              <w:jc w:val="center"/>
              <w:rPr>
                <w:rFonts w:ascii="Arial Narrow" w:eastAsia="Calibri" w:hAnsi="Arial Narrow" w:cs="Calibri"/>
                <w:sz w:val="20"/>
                <w:szCs w:val="20"/>
                <w:vertAlign w:val="superscript"/>
                <w:lang w:eastAsia="en-US"/>
              </w:rPr>
            </w:pPr>
            <w:r w:rsidRPr="001D2A61">
              <w:rPr>
                <w:rFonts w:ascii="Arial Narrow" w:eastAsia="Calibri" w:hAnsi="Arial Narrow" w:cs="Calibri"/>
                <w:sz w:val="20"/>
                <w:szCs w:val="20"/>
                <w:lang w:eastAsia="en-US"/>
              </w:rPr>
              <w:t>Weeks 9 - 40: 0.</w:t>
            </w:r>
            <w:r w:rsidRPr="00D60B48">
              <w:rPr>
                <w:rFonts w:ascii="Arial Narrow" w:eastAsia="Calibri" w:hAnsi="Arial Narrow" w:cs="Calibri"/>
                <w:sz w:val="20"/>
                <w:szCs w:val="20"/>
                <w:lang w:eastAsia="en-US"/>
              </w:rPr>
              <w:t>711</w:t>
            </w:r>
            <w:r w:rsidR="00C20C09" w:rsidRPr="00C20C09">
              <w:rPr>
                <w:rFonts w:ascii="Arial Narrow" w:eastAsia="Calibri" w:hAnsi="Arial Narrow" w:cs="Calibri"/>
                <w:sz w:val="20"/>
                <w:szCs w:val="20"/>
                <w:vertAlign w:val="superscript"/>
                <w:lang w:eastAsia="en-US"/>
              </w:rPr>
              <w:t>6</w:t>
            </w:r>
          </w:p>
          <w:p w14:paraId="709A8BBB" w14:textId="3FF1A42D" w:rsidR="001D2A61" w:rsidRPr="001D2A61" w:rsidRDefault="001D2A61" w:rsidP="00C50DC8">
            <w:pPr>
              <w:keepNext/>
              <w:jc w:val="center"/>
              <w:rPr>
                <w:rFonts w:ascii="Arial Narrow" w:eastAsia="Calibri" w:hAnsi="Arial Narrow" w:cs="Calibri"/>
                <w:sz w:val="20"/>
                <w:szCs w:val="20"/>
                <w:vertAlign w:val="superscript"/>
                <w:lang w:eastAsia="en-US"/>
              </w:rPr>
            </w:pPr>
            <w:r w:rsidRPr="001D2A61">
              <w:rPr>
                <w:rFonts w:ascii="Arial Narrow" w:eastAsia="Calibri" w:hAnsi="Arial Narrow" w:cs="Calibri"/>
                <w:sz w:val="20"/>
                <w:szCs w:val="20"/>
                <w:lang w:eastAsia="en-US"/>
              </w:rPr>
              <w:t>Week 41+: 0.</w:t>
            </w:r>
            <w:r w:rsidRPr="00D60B48">
              <w:rPr>
                <w:rFonts w:ascii="Arial Narrow" w:eastAsia="Calibri" w:hAnsi="Arial Narrow" w:cs="Calibri"/>
                <w:sz w:val="20"/>
                <w:szCs w:val="20"/>
                <w:lang w:eastAsia="en-US"/>
              </w:rPr>
              <w:t>675</w:t>
            </w:r>
            <w:r w:rsidR="00C20C09">
              <w:rPr>
                <w:rFonts w:ascii="Arial Narrow" w:eastAsia="Calibri" w:hAnsi="Arial Narrow" w:cs="Calibri"/>
                <w:sz w:val="20"/>
                <w:szCs w:val="20"/>
                <w:vertAlign w:val="superscript"/>
                <w:lang w:eastAsia="en-US"/>
              </w:rPr>
              <w:t>6</w:t>
            </w:r>
          </w:p>
        </w:tc>
        <w:tc>
          <w:tcPr>
            <w:tcW w:w="2202" w:type="dxa"/>
            <w:vAlign w:val="center"/>
          </w:tcPr>
          <w:p w14:paraId="73EF692F"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Weeks 5 - 8: 0.992</w:t>
            </w:r>
          </w:p>
          <w:p w14:paraId="42A331C6"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Weeks 9 - 40: 0.711</w:t>
            </w:r>
          </w:p>
          <w:p w14:paraId="09B962F5"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 41+: 0.675</w:t>
            </w:r>
          </w:p>
        </w:tc>
        <w:tc>
          <w:tcPr>
            <w:tcW w:w="2202" w:type="dxa"/>
            <w:vAlign w:val="center"/>
          </w:tcPr>
          <w:p w14:paraId="2816054E"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t>
            </w:r>
          </w:p>
        </w:tc>
      </w:tr>
      <w:tr w:rsidR="001D2A61" w:rsidRPr="001D2A61" w14:paraId="75D9C26E" w14:textId="77777777" w:rsidTr="0096718B">
        <w:tc>
          <w:tcPr>
            <w:tcW w:w="2258" w:type="dxa"/>
            <w:tcMar>
              <w:top w:w="0" w:type="dxa"/>
              <w:left w:w="108" w:type="dxa"/>
              <w:bottom w:w="0" w:type="dxa"/>
              <w:right w:w="108" w:type="dxa"/>
            </w:tcMar>
            <w:vAlign w:val="center"/>
          </w:tcPr>
          <w:p w14:paraId="0C386D40"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Adherence</w:t>
            </w:r>
          </w:p>
        </w:tc>
        <w:tc>
          <w:tcPr>
            <w:tcW w:w="2344" w:type="dxa"/>
            <w:tcMar>
              <w:top w:w="0" w:type="dxa"/>
              <w:left w:w="108" w:type="dxa"/>
              <w:bottom w:w="0" w:type="dxa"/>
              <w:right w:w="108" w:type="dxa"/>
            </w:tcMar>
            <w:vAlign w:val="center"/>
          </w:tcPr>
          <w:p w14:paraId="6BC3DC3B"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Not reported</w:t>
            </w:r>
          </w:p>
        </w:tc>
        <w:tc>
          <w:tcPr>
            <w:tcW w:w="2202" w:type="dxa"/>
            <w:vAlign w:val="center"/>
          </w:tcPr>
          <w:p w14:paraId="53E4B52D"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Not explicitly modelled</w:t>
            </w:r>
          </w:p>
        </w:tc>
        <w:tc>
          <w:tcPr>
            <w:tcW w:w="2202" w:type="dxa"/>
            <w:vAlign w:val="center"/>
          </w:tcPr>
          <w:p w14:paraId="08074F00"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Weeks 5 - 52: 73.83%</w:t>
            </w:r>
          </w:p>
          <w:p w14:paraId="1B6E69B3"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Weeks 53+: 67.46%</w:t>
            </w:r>
          </w:p>
        </w:tc>
      </w:tr>
      <w:tr w:rsidR="001D2A61" w:rsidRPr="001D2A61" w14:paraId="128826B1" w14:textId="77777777" w:rsidTr="0096718B">
        <w:tc>
          <w:tcPr>
            <w:tcW w:w="2258" w:type="dxa"/>
            <w:tcMar>
              <w:top w:w="0" w:type="dxa"/>
              <w:left w:w="108" w:type="dxa"/>
              <w:bottom w:w="0" w:type="dxa"/>
              <w:right w:w="108" w:type="dxa"/>
            </w:tcMar>
            <w:vAlign w:val="center"/>
            <w:hideMark/>
          </w:tcPr>
          <w:p w14:paraId="3E04DDF6"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Cost/patient/4-week period</w:t>
            </w:r>
          </w:p>
        </w:tc>
        <w:tc>
          <w:tcPr>
            <w:tcW w:w="2344" w:type="dxa"/>
            <w:tcMar>
              <w:top w:w="0" w:type="dxa"/>
              <w:left w:w="108" w:type="dxa"/>
              <w:bottom w:w="0" w:type="dxa"/>
              <w:right w:w="108" w:type="dxa"/>
            </w:tcMar>
            <w:vAlign w:val="center"/>
          </w:tcPr>
          <w:p w14:paraId="5BC404B3"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t>
            </w:r>
          </w:p>
        </w:tc>
        <w:tc>
          <w:tcPr>
            <w:tcW w:w="2202" w:type="dxa"/>
            <w:vAlign w:val="center"/>
          </w:tcPr>
          <w:p w14:paraId="09F53B2B" w14:textId="6204A9A1"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Weeks 5 - 8: $</w:t>
            </w:r>
            <w:r w:rsidR="00B9195B" w:rsidRPr="00B9195B">
              <w:rPr>
                <w:rFonts w:ascii="Arial Narrow" w:eastAsia="Calibri" w:hAnsi="Arial Narrow" w:cs="Calibri"/>
                <w:color w:val="000000"/>
                <w:sz w:val="20"/>
                <w:szCs w:val="20"/>
                <w:shd w:val="solid" w:color="000000" w:fill="000000"/>
                <w:lang w:eastAsia="en-US"/>
                <w14:textFill>
                  <w14:solidFill>
                    <w14:srgbClr w14:val="000000">
                      <w14:alpha w14:val="100000"/>
                    </w14:srgbClr>
                  </w14:solidFill>
                </w14:textFill>
              </w:rPr>
              <w:t>|</w:t>
            </w:r>
          </w:p>
          <w:p w14:paraId="1FEBA8EE" w14:textId="0B37D214"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Weeks 9 - 40: $</w:t>
            </w:r>
            <w:r w:rsidR="00B9195B" w:rsidRPr="002030D0">
              <w:rPr>
                <w:rFonts w:ascii="Arial Narrow" w:eastAsia="Calibri" w:hAnsi="Arial Narrow" w:cs="Calibri" w:hint="eastAsia"/>
                <w:color w:val="000000"/>
                <w:w w:val="15"/>
                <w:sz w:val="20"/>
                <w:szCs w:val="20"/>
                <w:shd w:val="solid" w:color="000000" w:fill="000000"/>
                <w:fitText w:val="23" w:id="-1436330737"/>
                <w:lang w:eastAsia="en-US"/>
                <w14:textFill>
                  <w14:solidFill>
                    <w14:srgbClr w14:val="000000">
                      <w14:alpha w14:val="100000"/>
                    </w14:srgbClr>
                  </w14:solidFill>
                </w14:textFill>
              </w:rPr>
              <w:t xml:space="preserve">　</w:t>
            </w:r>
            <w:r w:rsidR="00B9195B" w:rsidRPr="002030D0">
              <w:rPr>
                <w:rFonts w:ascii="Arial Narrow" w:eastAsia="Calibri" w:hAnsi="Arial Narrow" w:cs="Calibri"/>
                <w:color w:val="000000"/>
                <w:w w:val="15"/>
                <w:sz w:val="20"/>
                <w:szCs w:val="20"/>
                <w:shd w:val="solid" w:color="000000" w:fill="000000"/>
                <w:fitText w:val="23" w:id="-1436330737"/>
                <w:lang w:eastAsia="en-US"/>
                <w14:textFill>
                  <w14:solidFill>
                    <w14:srgbClr w14:val="000000">
                      <w14:alpha w14:val="100000"/>
                    </w14:srgbClr>
                  </w14:solidFill>
                </w14:textFill>
              </w:rPr>
              <w:t>|</w:t>
            </w:r>
            <w:r w:rsidR="00B9195B" w:rsidRPr="002030D0">
              <w:rPr>
                <w:rFonts w:ascii="Arial Narrow" w:eastAsia="Calibri" w:hAnsi="Arial Narrow" w:cs="Calibri" w:hint="eastAsia"/>
                <w:color w:val="000000"/>
                <w:spacing w:val="-43"/>
                <w:w w:val="15"/>
                <w:sz w:val="20"/>
                <w:szCs w:val="20"/>
                <w:shd w:val="solid" w:color="000000" w:fill="000000"/>
                <w:fitText w:val="23" w:id="-1436330737"/>
                <w:lang w:eastAsia="en-US"/>
                <w14:textFill>
                  <w14:solidFill>
                    <w14:srgbClr w14:val="000000">
                      <w14:alpha w14:val="100000"/>
                    </w14:srgbClr>
                  </w14:solidFill>
                </w14:textFill>
              </w:rPr>
              <w:t xml:space="preserve">　</w:t>
            </w:r>
          </w:p>
          <w:p w14:paraId="2EBC70CD" w14:textId="6043A9DE"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 41+: $</w:t>
            </w:r>
            <w:r w:rsidR="00B9195B" w:rsidRPr="00B9195B">
              <w:rPr>
                <w:rFonts w:ascii="Arial Narrow" w:eastAsia="Calibri" w:hAnsi="Arial Narrow" w:cs="Calibri"/>
                <w:color w:val="000000"/>
                <w:sz w:val="20"/>
                <w:szCs w:val="20"/>
                <w:shd w:val="solid" w:color="000000" w:fill="000000"/>
                <w:lang w:eastAsia="en-US"/>
                <w14:textFill>
                  <w14:solidFill>
                    <w14:srgbClr w14:val="000000">
                      <w14:alpha w14:val="100000"/>
                    </w14:srgbClr>
                  </w14:solidFill>
                </w14:textFill>
              </w:rPr>
              <w:t>|</w:t>
            </w:r>
          </w:p>
        </w:tc>
        <w:tc>
          <w:tcPr>
            <w:tcW w:w="2202" w:type="dxa"/>
            <w:vAlign w:val="center"/>
          </w:tcPr>
          <w:p w14:paraId="0E40471C" w14:textId="123481C2"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Weeks 5 - 52: $</w:t>
            </w:r>
            <w:r w:rsidR="00B9195B" w:rsidRPr="002030D0">
              <w:rPr>
                <w:rFonts w:ascii="Arial Narrow" w:eastAsia="Calibri" w:hAnsi="Arial Narrow" w:cs="Calibri" w:hint="eastAsia"/>
                <w:color w:val="000000"/>
                <w:w w:val="15"/>
                <w:sz w:val="20"/>
                <w:szCs w:val="20"/>
                <w:shd w:val="solid" w:color="000000" w:fill="000000"/>
                <w:fitText w:val="23" w:id="-1436330736"/>
                <w:lang w:eastAsia="en-US"/>
                <w14:textFill>
                  <w14:solidFill>
                    <w14:srgbClr w14:val="000000">
                      <w14:alpha w14:val="100000"/>
                    </w14:srgbClr>
                  </w14:solidFill>
                </w14:textFill>
              </w:rPr>
              <w:t xml:space="preserve">　</w:t>
            </w:r>
            <w:r w:rsidR="00B9195B" w:rsidRPr="002030D0">
              <w:rPr>
                <w:rFonts w:ascii="Arial Narrow" w:eastAsia="Calibri" w:hAnsi="Arial Narrow" w:cs="Calibri"/>
                <w:color w:val="000000"/>
                <w:w w:val="15"/>
                <w:sz w:val="20"/>
                <w:szCs w:val="20"/>
                <w:shd w:val="solid" w:color="000000" w:fill="000000"/>
                <w:fitText w:val="23" w:id="-1436330736"/>
                <w:lang w:eastAsia="en-US"/>
                <w14:textFill>
                  <w14:solidFill>
                    <w14:srgbClr w14:val="000000">
                      <w14:alpha w14:val="100000"/>
                    </w14:srgbClr>
                  </w14:solidFill>
                </w14:textFill>
              </w:rPr>
              <w:t>|</w:t>
            </w:r>
            <w:r w:rsidR="00B9195B" w:rsidRPr="002030D0">
              <w:rPr>
                <w:rFonts w:ascii="Arial Narrow" w:eastAsia="Calibri" w:hAnsi="Arial Narrow" w:cs="Calibri" w:hint="eastAsia"/>
                <w:color w:val="000000"/>
                <w:spacing w:val="-43"/>
                <w:w w:val="15"/>
                <w:sz w:val="20"/>
                <w:szCs w:val="20"/>
                <w:shd w:val="solid" w:color="000000" w:fill="000000"/>
                <w:fitText w:val="23" w:id="-1436330736"/>
                <w:lang w:eastAsia="en-US"/>
                <w14:textFill>
                  <w14:solidFill>
                    <w14:srgbClr w14:val="000000">
                      <w14:alpha w14:val="100000"/>
                    </w14:srgbClr>
                  </w14:solidFill>
                </w14:textFill>
              </w:rPr>
              <w:t xml:space="preserve">　</w:t>
            </w:r>
          </w:p>
          <w:p w14:paraId="52F4C075" w14:textId="2BA5F43E"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Weeks 53+: $</w:t>
            </w:r>
            <w:r w:rsidR="00B9195B" w:rsidRPr="00B9195B">
              <w:rPr>
                <w:rFonts w:ascii="Arial Narrow" w:eastAsia="Calibri" w:hAnsi="Arial Narrow" w:cs="Calibri"/>
                <w:color w:val="000000"/>
                <w:sz w:val="20"/>
                <w:szCs w:val="20"/>
                <w:shd w:val="solid" w:color="000000" w:fill="000000"/>
                <w:lang w:eastAsia="en-US"/>
                <w14:textFill>
                  <w14:solidFill>
                    <w14:srgbClr w14:val="000000">
                      <w14:alpha w14:val="100000"/>
                    </w14:srgbClr>
                  </w14:solidFill>
                </w14:textFill>
              </w:rPr>
              <w:t>|</w:t>
            </w:r>
          </w:p>
        </w:tc>
      </w:tr>
      <w:tr w:rsidR="001D2A61" w:rsidRPr="001D2A61" w14:paraId="620EE29F" w14:textId="77777777" w:rsidTr="0096718B">
        <w:tc>
          <w:tcPr>
            <w:tcW w:w="2258" w:type="dxa"/>
            <w:tcMar>
              <w:top w:w="0" w:type="dxa"/>
              <w:left w:w="108" w:type="dxa"/>
              <w:bottom w:w="0" w:type="dxa"/>
              <w:right w:w="108" w:type="dxa"/>
            </w:tcMar>
            <w:vAlign w:val="center"/>
          </w:tcPr>
          <w:p w14:paraId="0C411425" w14:textId="4DE724A8" w:rsidR="001D2A61" w:rsidRPr="001D2A61" w:rsidRDefault="001D2A61" w:rsidP="00C50DC8">
            <w:pPr>
              <w:keepNext/>
              <w:jc w:val="left"/>
              <w:rPr>
                <w:rFonts w:ascii="Arial Narrow" w:eastAsia="Calibri" w:hAnsi="Arial Narrow" w:cs="Calibri"/>
                <w:sz w:val="20"/>
                <w:szCs w:val="20"/>
                <w:vertAlign w:val="superscript"/>
                <w:lang w:eastAsia="en-US"/>
              </w:rPr>
            </w:pPr>
            <w:r w:rsidRPr="00D60B48">
              <w:rPr>
                <w:rFonts w:ascii="Arial Narrow" w:eastAsia="Calibri" w:hAnsi="Arial Narrow" w:cs="Calibri"/>
                <w:sz w:val="20"/>
                <w:szCs w:val="20"/>
                <w:lang w:eastAsia="en-US"/>
              </w:rPr>
              <w:t>Persistence</w:t>
            </w:r>
            <w:r w:rsidR="00F551A9">
              <w:rPr>
                <w:rFonts w:ascii="Arial Narrow" w:eastAsia="Calibri" w:hAnsi="Arial Narrow" w:cs="Calibri"/>
                <w:sz w:val="20"/>
                <w:szCs w:val="20"/>
                <w:vertAlign w:val="superscript"/>
                <w:lang w:eastAsia="en-US"/>
              </w:rPr>
              <w:t>9</w:t>
            </w:r>
          </w:p>
        </w:tc>
        <w:tc>
          <w:tcPr>
            <w:tcW w:w="2344" w:type="dxa"/>
            <w:tcMar>
              <w:top w:w="0" w:type="dxa"/>
              <w:left w:w="108" w:type="dxa"/>
              <w:bottom w:w="0" w:type="dxa"/>
              <w:right w:w="108" w:type="dxa"/>
            </w:tcMar>
            <w:vAlign w:val="center"/>
          </w:tcPr>
          <w:p w14:paraId="37AE79A0" w14:textId="77777777" w:rsidR="001D2A61" w:rsidRPr="001D2A61" w:rsidRDefault="001D2A61" w:rsidP="00C50DC8">
            <w:pPr>
              <w:keepNext/>
              <w:jc w:val="center"/>
              <w:rPr>
                <w:rFonts w:ascii="Arial Narrow" w:eastAsia="Calibri" w:hAnsi="Arial Narrow" w:cs="Calibri"/>
                <w:sz w:val="20"/>
                <w:szCs w:val="20"/>
                <w:highlight w:val="yellow"/>
                <w:lang w:eastAsia="en-US"/>
              </w:rPr>
            </w:pPr>
            <w:r w:rsidRPr="001D2A61">
              <w:rPr>
                <w:rFonts w:ascii="Arial Narrow" w:eastAsia="Calibri" w:hAnsi="Arial Narrow" w:cs="Calibri"/>
                <w:sz w:val="20"/>
                <w:szCs w:val="20"/>
                <w:lang w:eastAsia="en-US"/>
              </w:rPr>
              <w:t>91.4%</w:t>
            </w:r>
          </w:p>
        </w:tc>
        <w:tc>
          <w:tcPr>
            <w:tcW w:w="2202" w:type="dxa"/>
            <w:vAlign w:val="center"/>
          </w:tcPr>
          <w:p w14:paraId="3B7CD314"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Y1: 33.04%</w:t>
            </w:r>
          </w:p>
          <w:p w14:paraId="3EBA8BF2"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Y2: 18.85%</w:t>
            </w:r>
          </w:p>
          <w:p w14:paraId="1597890D"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Y3: 10.94%</w:t>
            </w:r>
          </w:p>
          <w:p w14:paraId="71716BCC"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Y4: 6.35%</w:t>
            </w:r>
          </w:p>
          <w:p w14:paraId="2741542B"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Y5: 3.69%</w:t>
            </w:r>
          </w:p>
        </w:tc>
        <w:tc>
          <w:tcPr>
            <w:tcW w:w="2202" w:type="dxa"/>
            <w:vAlign w:val="center"/>
          </w:tcPr>
          <w:p w14:paraId="1046AE32" w14:textId="76580B55"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Y1: 48.40%</w:t>
            </w:r>
          </w:p>
          <w:p w14:paraId="02956CF7" w14:textId="05CE32EB"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 xml:space="preserve">Y2: </w:t>
            </w:r>
            <w:r w:rsidRPr="00D60B48">
              <w:rPr>
                <w:rFonts w:ascii="Arial Narrow" w:eastAsia="Calibri" w:hAnsi="Arial Narrow" w:cs="Calibri"/>
                <w:sz w:val="20"/>
                <w:szCs w:val="20"/>
                <w:lang w:eastAsia="en-US"/>
              </w:rPr>
              <w:t>2</w:t>
            </w:r>
            <w:r w:rsidR="005024B3">
              <w:rPr>
                <w:rFonts w:ascii="Arial Narrow" w:eastAsia="Calibri" w:hAnsi="Arial Narrow" w:cs="Calibri"/>
                <w:sz w:val="20"/>
                <w:szCs w:val="20"/>
                <w:lang w:eastAsia="en-US"/>
              </w:rPr>
              <w:t>4</w:t>
            </w:r>
            <w:r w:rsidRPr="00D60B48">
              <w:rPr>
                <w:rFonts w:ascii="Arial Narrow" w:eastAsia="Calibri" w:hAnsi="Arial Narrow" w:cs="Calibri"/>
                <w:sz w:val="20"/>
                <w:szCs w:val="20"/>
                <w:lang w:eastAsia="en-US"/>
              </w:rPr>
              <w:t>.</w:t>
            </w:r>
            <w:r w:rsidR="005024B3">
              <w:rPr>
                <w:rFonts w:ascii="Arial Narrow" w:eastAsia="Calibri" w:hAnsi="Arial Narrow" w:cs="Calibri"/>
                <w:sz w:val="20"/>
                <w:szCs w:val="20"/>
                <w:lang w:eastAsia="en-US"/>
              </w:rPr>
              <w:t>53</w:t>
            </w:r>
            <w:r w:rsidRPr="001D2A61">
              <w:rPr>
                <w:rFonts w:ascii="Arial Narrow" w:eastAsia="Calibri" w:hAnsi="Arial Narrow" w:cs="Calibri"/>
                <w:sz w:val="20"/>
                <w:szCs w:val="20"/>
                <w:lang w:eastAsia="en-US"/>
              </w:rPr>
              <w:t>%</w:t>
            </w:r>
          </w:p>
          <w:p w14:paraId="3981E712" w14:textId="76189722"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 xml:space="preserve">Y3: </w:t>
            </w:r>
            <w:r w:rsidRPr="00D60B48">
              <w:rPr>
                <w:rFonts w:ascii="Arial Narrow" w:eastAsia="Calibri" w:hAnsi="Arial Narrow" w:cs="Calibri"/>
                <w:sz w:val="20"/>
                <w:szCs w:val="20"/>
                <w:lang w:eastAsia="en-US"/>
              </w:rPr>
              <w:t>1</w:t>
            </w:r>
            <w:r w:rsidR="005024B3">
              <w:rPr>
                <w:rFonts w:ascii="Arial Narrow" w:eastAsia="Calibri" w:hAnsi="Arial Narrow" w:cs="Calibri"/>
                <w:sz w:val="20"/>
                <w:szCs w:val="20"/>
                <w:lang w:eastAsia="en-US"/>
              </w:rPr>
              <w:t>4.17</w:t>
            </w:r>
            <w:r w:rsidRPr="001D2A61">
              <w:rPr>
                <w:rFonts w:ascii="Arial Narrow" w:eastAsia="Calibri" w:hAnsi="Arial Narrow" w:cs="Calibri"/>
                <w:sz w:val="20"/>
                <w:szCs w:val="20"/>
                <w:lang w:eastAsia="en-US"/>
              </w:rPr>
              <w:t>%</w:t>
            </w:r>
          </w:p>
          <w:p w14:paraId="478A5EE1" w14:textId="648034D0" w:rsidR="001D2A61" w:rsidRPr="001D2A61" w:rsidRDefault="001D2A61" w:rsidP="00C50DC8">
            <w:pPr>
              <w:keepNext/>
              <w:jc w:val="center"/>
              <w:rPr>
                <w:rFonts w:ascii="Arial Narrow" w:eastAsia="Calibri" w:hAnsi="Arial Narrow" w:cs="Calibri"/>
                <w:sz w:val="20"/>
                <w:szCs w:val="20"/>
                <w:vertAlign w:val="superscript"/>
                <w:lang w:eastAsia="en-US"/>
              </w:rPr>
            </w:pPr>
            <w:r w:rsidRPr="001D2A61">
              <w:rPr>
                <w:rFonts w:ascii="Arial Narrow" w:eastAsia="Calibri" w:hAnsi="Arial Narrow" w:cs="Calibri"/>
                <w:sz w:val="20"/>
                <w:szCs w:val="20"/>
                <w:lang w:eastAsia="en-US"/>
              </w:rPr>
              <w:t xml:space="preserve">Y4: </w:t>
            </w:r>
            <w:r w:rsidR="005024B3">
              <w:rPr>
                <w:rFonts w:ascii="Arial Narrow" w:eastAsia="Calibri" w:hAnsi="Arial Narrow" w:cs="Calibri"/>
                <w:sz w:val="20"/>
                <w:szCs w:val="20"/>
                <w:lang w:eastAsia="en-US"/>
              </w:rPr>
              <w:t>8.22</w:t>
            </w:r>
            <w:r w:rsidRPr="001D2A61">
              <w:rPr>
                <w:rFonts w:ascii="Arial Narrow" w:eastAsia="Calibri" w:hAnsi="Arial Narrow" w:cs="Calibri"/>
                <w:sz w:val="20"/>
                <w:szCs w:val="20"/>
                <w:lang w:eastAsia="en-US"/>
              </w:rPr>
              <w:t>%</w:t>
            </w:r>
          </w:p>
          <w:p w14:paraId="2266B734" w14:textId="16B14CCA" w:rsidR="001D2A61" w:rsidRPr="001D2A61" w:rsidRDefault="001D2A61" w:rsidP="00C50DC8">
            <w:pPr>
              <w:keepNext/>
              <w:jc w:val="center"/>
              <w:rPr>
                <w:rFonts w:ascii="Arial Narrow" w:eastAsia="Calibri" w:hAnsi="Arial Narrow" w:cs="Calibri"/>
                <w:sz w:val="20"/>
                <w:szCs w:val="20"/>
                <w:vertAlign w:val="superscript"/>
                <w:lang w:eastAsia="en-US"/>
              </w:rPr>
            </w:pPr>
            <w:r w:rsidRPr="001D2A61">
              <w:rPr>
                <w:rFonts w:ascii="Arial Narrow" w:eastAsia="Calibri" w:hAnsi="Arial Narrow" w:cs="Calibri"/>
                <w:sz w:val="20"/>
                <w:szCs w:val="20"/>
                <w:lang w:eastAsia="en-US"/>
              </w:rPr>
              <w:t>Y5: 4.</w:t>
            </w:r>
            <w:r w:rsidR="005024B3">
              <w:rPr>
                <w:rFonts w:ascii="Arial Narrow" w:eastAsia="Calibri" w:hAnsi="Arial Narrow" w:cs="Calibri"/>
                <w:sz w:val="20"/>
                <w:szCs w:val="20"/>
                <w:lang w:eastAsia="en-US"/>
              </w:rPr>
              <w:t>78</w:t>
            </w:r>
            <w:r w:rsidRPr="001D2A61">
              <w:rPr>
                <w:rFonts w:ascii="Arial Narrow" w:eastAsia="Calibri" w:hAnsi="Arial Narrow" w:cs="Calibri"/>
                <w:sz w:val="20"/>
                <w:szCs w:val="20"/>
                <w:lang w:eastAsia="en-US"/>
              </w:rPr>
              <w:t>%</w:t>
            </w:r>
          </w:p>
          <w:p w14:paraId="598F1B15" w14:textId="177073F9"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Y6: 2.</w:t>
            </w:r>
            <w:r w:rsidR="005024B3">
              <w:rPr>
                <w:rFonts w:ascii="Arial Narrow" w:eastAsia="Calibri" w:hAnsi="Arial Narrow" w:cs="Calibri"/>
                <w:sz w:val="20"/>
                <w:szCs w:val="20"/>
                <w:lang w:eastAsia="en-US"/>
              </w:rPr>
              <w:t>77</w:t>
            </w:r>
            <w:r w:rsidRPr="001D2A61">
              <w:rPr>
                <w:rFonts w:ascii="Arial Narrow" w:eastAsia="Calibri" w:hAnsi="Arial Narrow" w:cs="Calibri"/>
                <w:sz w:val="20"/>
                <w:szCs w:val="20"/>
                <w:lang w:eastAsia="en-US"/>
              </w:rPr>
              <w:t>%</w:t>
            </w:r>
          </w:p>
        </w:tc>
      </w:tr>
      <w:tr w:rsidR="001D2A61" w:rsidRPr="001D2A61" w14:paraId="056885AF" w14:textId="77777777" w:rsidTr="0096718B">
        <w:trPr>
          <w:trHeight w:val="54"/>
        </w:trPr>
        <w:tc>
          <w:tcPr>
            <w:tcW w:w="9006" w:type="dxa"/>
            <w:gridSpan w:val="4"/>
            <w:tcMar>
              <w:top w:w="0" w:type="dxa"/>
              <w:left w:w="108" w:type="dxa"/>
              <w:bottom w:w="0" w:type="dxa"/>
              <w:right w:w="108" w:type="dxa"/>
            </w:tcMar>
            <w:vAlign w:val="center"/>
            <w:hideMark/>
          </w:tcPr>
          <w:p w14:paraId="7018E079" w14:textId="130F1944" w:rsidR="001D2A61" w:rsidRPr="001D2A61" w:rsidRDefault="00C50DC8" w:rsidP="00C50DC8">
            <w:pPr>
              <w:keepNext/>
              <w:jc w:val="left"/>
              <w:rPr>
                <w:rFonts w:ascii="Arial Narrow" w:eastAsia="Calibri" w:hAnsi="Arial Narrow" w:cs="Calibri"/>
                <w:b/>
                <w:bCs/>
                <w:smallCaps/>
                <w:sz w:val="20"/>
                <w:szCs w:val="20"/>
                <w:lang w:eastAsia="en-US"/>
              </w:rPr>
            </w:pPr>
            <w:r>
              <w:rPr>
                <w:rFonts w:ascii="Arial Narrow" w:eastAsia="Calibri" w:hAnsi="Arial Narrow" w:cs="Calibri"/>
                <w:b/>
                <w:bCs/>
                <w:smallCaps/>
                <w:sz w:val="20"/>
                <w:szCs w:val="20"/>
                <w:lang w:eastAsia="en-US"/>
              </w:rPr>
              <w:t>OAD</w:t>
            </w:r>
            <w:r w:rsidR="001D2A61" w:rsidRPr="00D60B48">
              <w:rPr>
                <w:rFonts w:ascii="Arial Narrow" w:eastAsia="Calibri" w:hAnsi="Arial Narrow" w:cs="Calibri"/>
                <w:b/>
                <w:bCs/>
                <w:smallCaps/>
                <w:sz w:val="20"/>
                <w:szCs w:val="20"/>
                <w:lang w:eastAsia="en-US"/>
              </w:rPr>
              <w:t xml:space="preserve"> costs</w:t>
            </w:r>
          </w:p>
        </w:tc>
      </w:tr>
      <w:tr w:rsidR="001D2A61" w:rsidRPr="001D2A61" w14:paraId="5798884D" w14:textId="77777777" w:rsidTr="0096718B">
        <w:tc>
          <w:tcPr>
            <w:tcW w:w="2258" w:type="dxa"/>
            <w:tcMar>
              <w:top w:w="0" w:type="dxa"/>
              <w:left w:w="108" w:type="dxa"/>
              <w:bottom w:w="0" w:type="dxa"/>
              <w:right w:w="108" w:type="dxa"/>
            </w:tcMar>
            <w:vAlign w:val="center"/>
            <w:hideMark/>
          </w:tcPr>
          <w:p w14:paraId="15DD4AA4"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Cost/patient/4-week period</w:t>
            </w:r>
          </w:p>
        </w:tc>
        <w:tc>
          <w:tcPr>
            <w:tcW w:w="2344" w:type="dxa"/>
            <w:tcMar>
              <w:top w:w="0" w:type="dxa"/>
              <w:left w:w="108" w:type="dxa"/>
              <w:bottom w:w="0" w:type="dxa"/>
              <w:right w:w="108" w:type="dxa"/>
            </w:tcMar>
            <w:vAlign w:val="center"/>
          </w:tcPr>
          <w:p w14:paraId="658534AA"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w:t>
            </w:r>
          </w:p>
        </w:tc>
        <w:tc>
          <w:tcPr>
            <w:tcW w:w="2202" w:type="dxa"/>
            <w:vAlign w:val="center"/>
          </w:tcPr>
          <w:p w14:paraId="42425BB6" w14:textId="766927A7" w:rsidR="001D2A61" w:rsidRPr="001D2A61" w:rsidRDefault="001D2A61" w:rsidP="00C50DC8">
            <w:pPr>
              <w:keepNext/>
              <w:jc w:val="center"/>
              <w:rPr>
                <w:rFonts w:ascii="Arial Narrow" w:eastAsia="Calibri" w:hAnsi="Arial Narrow" w:cs="Calibri"/>
                <w:sz w:val="20"/>
                <w:szCs w:val="20"/>
                <w:vertAlign w:val="superscript"/>
                <w:lang w:eastAsia="en-US"/>
              </w:rPr>
            </w:pPr>
            <w:r w:rsidRPr="001D2A61">
              <w:rPr>
                <w:rFonts w:ascii="Arial Narrow" w:eastAsia="Calibri" w:hAnsi="Arial Narrow" w:cs="Calibri"/>
                <w:sz w:val="20"/>
                <w:szCs w:val="20"/>
                <w:lang w:eastAsia="en-US"/>
              </w:rPr>
              <w:t>$17.</w:t>
            </w:r>
            <w:r w:rsidRPr="00D60B48">
              <w:rPr>
                <w:rFonts w:ascii="Arial Narrow" w:eastAsia="Calibri" w:hAnsi="Arial Narrow" w:cs="Calibri"/>
                <w:sz w:val="20"/>
                <w:szCs w:val="20"/>
                <w:lang w:eastAsia="en-US"/>
              </w:rPr>
              <w:t>16</w:t>
            </w:r>
            <w:r w:rsidR="00F551A9">
              <w:rPr>
                <w:rFonts w:ascii="Arial Narrow" w:eastAsia="Calibri" w:hAnsi="Arial Narrow" w:cs="Calibri"/>
                <w:sz w:val="20"/>
                <w:szCs w:val="20"/>
                <w:vertAlign w:val="superscript"/>
                <w:lang w:eastAsia="en-US"/>
              </w:rPr>
              <w:t>10</w:t>
            </w:r>
          </w:p>
        </w:tc>
        <w:tc>
          <w:tcPr>
            <w:tcW w:w="2202" w:type="dxa"/>
            <w:vAlign w:val="center"/>
          </w:tcPr>
          <w:p w14:paraId="06C53BEC"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Not included</w:t>
            </w:r>
          </w:p>
        </w:tc>
      </w:tr>
      <w:tr w:rsidR="001D2A61" w:rsidRPr="001D2A61" w14:paraId="598A88E4" w14:textId="77777777" w:rsidTr="0096718B">
        <w:tc>
          <w:tcPr>
            <w:tcW w:w="2258" w:type="dxa"/>
            <w:tcMar>
              <w:top w:w="0" w:type="dxa"/>
              <w:left w:w="108" w:type="dxa"/>
              <w:bottom w:w="0" w:type="dxa"/>
              <w:right w:w="108" w:type="dxa"/>
            </w:tcMar>
            <w:vAlign w:val="center"/>
          </w:tcPr>
          <w:p w14:paraId="11B1DB53"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Adherence</w:t>
            </w:r>
          </w:p>
        </w:tc>
        <w:tc>
          <w:tcPr>
            <w:tcW w:w="2344" w:type="dxa"/>
            <w:tcMar>
              <w:top w:w="0" w:type="dxa"/>
              <w:left w:w="108" w:type="dxa"/>
              <w:bottom w:w="0" w:type="dxa"/>
              <w:right w:w="108" w:type="dxa"/>
            </w:tcMar>
            <w:vAlign w:val="center"/>
          </w:tcPr>
          <w:p w14:paraId="6F37C176"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Varies by treatment</w:t>
            </w:r>
          </w:p>
        </w:tc>
        <w:tc>
          <w:tcPr>
            <w:tcW w:w="2202" w:type="dxa"/>
            <w:vAlign w:val="center"/>
          </w:tcPr>
          <w:p w14:paraId="4905C28E"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100%</w:t>
            </w:r>
          </w:p>
        </w:tc>
        <w:tc>
          <w:tcPr>
            <w:tcW w:w="2202" w:type="dxa"/>
            <w:vAlign w:val="center"/>
          </w:tcPr>
          <w:p w14:paraId="7D0590A2"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Not included</w:t>
            </w:r>
          </w:p>
        </w:tc>
      </w:tr>
      <w:tr w:rsidR="001D2A61" w:rsidRPr="001D2A61" w14:paraId="59D7D13B" w14:textId="77777777" w:rsidTr="0096718B">
        <w:trPr>
          <w:trHeight w:val="64"/>
        </w:trPr>
        <w:tc>
          <w:tcPr>
            <w:tcW w:w="2258" w:type="dxa"/>
            <w:tcMar>
              <w:top w:w="0" w:type="dxa"/>
              <w:left w:w="108" w:type="dxa"/>
              <w:bottom w:w="0" w:type="dxa"/>
              <w:right w:w="108" w:type="dxa"/>
            </w:tcMar>
            <w:vAlign w:val="center"/>
          </w:tcPr>
          <w:p w14:paraId="32B27E5A" w14:textId="77777777" w:rsidR="001D2A61" w:rsidRPr="001D2A61" w:rsidRDefault="001D2A61" w:rsidP="00C50DC8">
            <w:pPr>
              <w:keepNext/>
              <w:jc w:val="left"/>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Persistence</w:t>
            </w:r>
          </w:p>
        </w:tc>
        <w:tc>
          <w:tcPr>
            <w:tcW w:w="2344" w:type="dxa"/>
            <w:tcMar>
              <w:top w:w="0" w:type="dxa"/>
              <w:left w:w="108" w:type="dxa"/>
              <w:bottom w:w="0" w:type="dxa"/>
              <w:right w:w="108" w:type="dxa"/>
            </w:tcMar>
            <w:vAlign w:val="center"/>
          </w:tcPr>
          <w:p w14:paraId="04A60F47"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TRANSFORM-2: 89.2%</w:t>
            </w:r>
          </w:p>
          <w:p w14:paraId="71A4BC54"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TRANSFORM-3: 90.9%</w:t>
            </w:r>
          </w:p>
        </w:tc>
        <w:tc>
          <w:tcPr>
            <w:tcW w:w="2202" w:type="dxa"/>
            <w:vAlign w:val="center"/>
          </w:tcPr>
          <w:p w14:paraId="57D9E2CB"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100%</w:t>
            </w:r>
          </w:p>
        </w:tc>
        <w:tc>
          <w:tcPr>
            <w:tcW w:w="2202" w:type="dxa"/>
            <w:vAlign w:val="center"/>
          </w:tcPr>
          <w:p w14:paraId="5CDE5E63" w14:textId="77777777" w:rsidR="001D2A61" w:rsidRPr="001D2A61" w:rsidRDefault="001D2A61" w:rsidP="00C50DC8">
            <w:pPr>
              <w:keepNext/>
              <w:jc w:val="center"/>
              <w:rPr>
                <w:rFonts w:ascii="Arial Narrow" w:eastAsia="Calibri" w:hAnsi="Arial Narrow" w:cs="Calibri"/>
                <w:sz w:val="20"/>
                <w:szCs w:val="20"/>
                <w:lang w:eastAsia="en-US"/>
              </w:rPr>
            </w:pPr>
            <w:r w:rsidRPr="001D2A61">
              <w:rPr>
                <w:rFonts w:ascii="Arial Narrow" w:eastAsia="Calibri" w:hAnsi="Arial Narrow" w:cs="Calibri"/>
                <w:sz w:val="20"/>
                <w:szCs w:val="20"/>
                <w:lang w:eastAsia="en-US"/>
              </w:rPr>
              <w:t>Not included</w:t>
            </w:r>
          </w:p>
        </w:tc>
      </w:tr>
    </w:tbl>
    <w:p w14:paraId="4782B966" w14:textId="5FCB8121" w:rsidR="001D2A61" w:rsidRPr="001D2A61" w:rsidRDefault="001D2A61" w:rsidP="001D2A61">
      <w:pPr>
        <w:rPr>
          <w:rFonts w:ascii="Arial Narrow" w:eastAsia="Calibri" w:hAnsi="Arial Narrow" w:cs="Calibri"/>
          <w:sz w:val="18"/>
          <w:szCs w:val="18"/>
          <w:lang w:eastAsia="en-US"/>
        </w:rPr>
      </w:pPr>
      <w:r w:rsidRPr="001D2A61">
        <w:rPr>
          <w:rFonts w:ascii="Arial Narrow" w:eastAsia="Calibri" w:hAnsi="Arial Narrow" w:cs="Calibri"/>
          <w:sz w:val="18"/>
          <w:szCs w:val="18"/>
          <w:lang w:eastAsia="en-US"/>
        </w:rPr>
        <w:t xml:space="preserve">Source: Table 3-19, p199; Section 4.2.1, p. </w:t>
      </w:r>
      <w:r w:rsidR="008C11B5">
        <w:rPr>
          <w:rFonts w:ascii="Arial Narrow" w:eastAsia="Calibri" w:hAnsi="Arial Narrow" w:cs="Calibri"/>
          <w:sz w:val="18"/>
          <w:szCs w:val="18"/>
          <w:lang w:eastAsia="en-US"/>
        </w:rPr>
        <w:t>234</w:t>
      </w:r>
      <w:r w:rsidRPr="001D2A61">
        <w:rPr>
          <w:rFonts w:ascii="Arial Narrow" w:eastAsia="Calibri" w:hAnsi="Arial Narrow" w:cs="Calibri"/>
          <w:sz w:val="18"/>
          <w:szCs w:val="18"/>
          <w:lang w:eastAsia="en-US"/>
        </w:rPr>
        <w:t xml:space="preserve"> of the </w:t>
      </w:r>
      <w:r w:rsidR="008C11B5">
        <w:rPr>
          <w:rFonts w:ascii="Arial Narrow" w:eastAsia="Calibri" w:hAnsi="Arial Narrow" w:cs="Calibri"/>
          <w:sz w:val="18"/>
          <w:szCs w:val="18"/>
          <w:lang w:eastAsia="en-US"/>
        </w:rPr>
        <w:t>re</w:t>
      </w:r>
      <w:r w:rsidRPr="001D2A61">
        <w:rPr>
          <w:rFonts w:ascii="Arial Narrow" w:eastAsia="Calibri" w:hAnsi="Arial Narrow" w:cs="Calibri"/>
          <w:sz w:val="18"/>
          <w:szCs w:val="18"/>
          <w:lang w:eastAsia="en-US"/>
        </w:rPr>
        <w:t xml:space="preserve">submission. ‘Drug costs’ and ‘Drug cost – details’ worksheets of ‘Attachment 3.2 - </w:t>
      </w:r>
      <w:proofErr w:type="spellStart"/>
      <w:r w:rsidRPr="001D2A61">
        <w:rPr>
          <w:rFonts w:ascii="Arial Narrow" w:eastAsia="Calibri" w:hAnsi="Arial Narrow" w:cs="Calibri"/>
          <w:sz w:val="18"/>
          <w:szCs w:val="18"/>
          <w:lang w:eastAsia="en-US"/>
        </w:rPr>
        <w:t>Esketamine</w:t>
      </w:r>
      <w:proofErr w:type="spellEnd"/>
      <w:r w:rsidRPr="001D2A61">
        <w:rPr>
          <w:rFonts w:ascii="Arial Narrow" w:eastAsia="Calibri" w:hAnsi="Arial Narrow" w:cs="Calibri"/>
          <w:sz w:val="18"/>
          <w:szCs w:val="18"/>
          <w:lang w:eastAsia="en-US"/>
        </w:rPr>
        <w:t xml:space="preserve"> TRD CE model’; ‘Compliance and persistence’, ‘Scripts – proposed’ and ‘Impact – proposed (eff)’ worksheets of the ‘Utilisation cost model – </w:t>
      </w:r>
      <w:proofErr w:type="spellStart"/>
      <w:r w:rsidRPr="001D2A61">
        <w:rPr>
          <w:rFonts w:ascii="Arial Narrow" w:eastAsia="Calibri" w:hAnsi="Arial Narrow" w:cs="Calibri"/>
          <w:sz w:val="18"/>
          <w:szCs w:val="18"/>
          <w:lang w:eastAsia="en-US"/>
        </w:rPr>
        <w:t>esketamine</w:t>
      </w:r>
      <w:proofErr w:type="spellEnd"/>
      <w:r w:rsidRPr="001D2A61">
        <w:rPr>
          <w:rFonts w:ascii="Arial Narrow" w:eastAsia="Calibri" w:hAnsi="Arial Narrow" w:cs="Calibri"/>
          <w:sz w:val="18"/>
          <w:szCs w:val="18"/>
          <w:lang w:eastAsia="en-US"/>
        </w:rPr>
        <w:t xml:space="preserve"> TRD’ Excel workbook, Attachment </w:t>
      </w:r>
      <w:r w:rsidR="008C11B5">
        <w:rPr>
          <w:rFonts w:ascii="Arial Narrow" w:eastAsia="Calibri" w:hAnsi="Arial Narrow" w:cs="Calibri"/>
          <w:sz w:val="18"/>
          <w:szCs w:val="18"/>
          <w:lang w:eastAsia="en-US"/>
        </w:rPr>
        <w:t>4.1</w:t>
      </w:r>
      <w:r w:rsidRPr="001D2A61">
        <w:rPr>
          <w:rFonts w:ascii="Arial Narrow" w:eastAsia="Calibri" w:hAnsi="Arial Narrow" w:cs="Calibri"/>
          <w:sz w:val="18"/>
          <w:szCs w:val="18"/>
          <w:lang w:eastAsia="en-US"/>
        </w:rPr>
        <w:t xml:space="preserve"> of the </w:t>
      </w:r>
      <w:r w:rsidR="008C11B5">
        <w:rPr>
          <w:rFonts w:ascii="Arial Narrow" w:eastAsia="Calibri" w:hAnsi="Arial Narrow" w:cs="Calibri"/>
          <w:sz w:val="18"/>
          <w:szCs w:val="18"/>
          <w:lang w:eastAsia="en-US"/>
        </w:rPr>
        <w:t>re</w:t>
      </w:r>
      <w:r w:rsidRPr="001D2A61">
        <w:rPr>
          <w:rFonts w:ascii="Arial Narrow" w:eastAsia="Calibri" w:hAnsi="Arial Narrow" w:cs="Calibri"/>
          <w:sz w:val="18"/>
          <w:szCs w:val="18"/>
          <w:lang w:eastAsia="en-US"/>
        </w:rPr>
        <w:t>submission.</w:t>
      </w:r>
    </w:p>
    <w:p w14:paraId="7D0F4648" w14:textId="276097C4" w:rsidR="001D2A61" w:rsidRPr="001D2A61" w:rsidRDefault="001D2A61" w:rsidP="001D2A61">
      <w:pPr>
        <w:rPr>
          <w:rFonts w:ascii="Arial Narrow" w:eastAsia="Calibri" w:hAnsi="Arial Narrow" w:cs="Calibri"/>
          <w:sz w:val="18"/>
          <w:szCs w:val="18"/>
          <w:lang w:eastAsia="en-US"/>
        </w:rPr>
      </w:pPr>
      <w:r w:rsidRPr="001D2A61">
        <w:rPr>
          <w:rFonts w:ascii="Arial Narrow" w:eastAsia="Calibri" w:hAnsi="Arial Narrow" w:cs="Calibri"/>
          <w:sz w:val="18"/>
          <w:szCs w:val="18"/>
          <w:lang w:eastAsia="en-US"/>
        </w:rPr>
        <w:lastRenderedPageBreak/>
        <w:t>Abbreviations: DPMQ, dispense</w:t>
      </w:r>
      <w:r w:rsidR="00873314">
        <w:rPr>
          <w:rFonts w:ascii="Arial Narrow" w:eastAsia="Calibri" w:hAnsi="Arial Narrow" w:cs="Calibri"/>
          <w:sz w:val="18"/>
          <w:szCs w:val="18"/>
          <w:lang w:eastAsia="en-US"/>
        </w:rPr>
        <w:t>d</w:t>
      </w:r>
      <w:r w:rsidRPr="001D2A61">
        <w:rPr>
          <w:rFonts w:ascii="Arial Narrow" w:eastAsia="Calibri" w:hAnsi="Arial Narrow" w:cs="Calibri"/>
          <w:sz w:val="18"/>
          <w:szCs w:val="18"/>
          <w:lang w:eastAsia="en-US"/>
        </w:rPr>
        <w:t xml:space="preserve"> price for maximum quantity.</w:t>
      </w:r>
    </w:p>
    <w:bookmarkEnd w:id="44"/>
    <w:p w14:paraId="4E083C41" w14:textId="77777777" w:rsidR="001D2A61" w:rsidRPr="001D2A61" w:rsidRDefault="001D2A61" w:rsidP="001D2A61">
      <w:pPr>
        <w:rPr>
          <w:rFonts w:ascii="Arial Narrow" w:eastAsia="Calibri" w:hAnsi="Arial Narrow" w:cs="Calibri"/>
          <w:sz w:val="18"/>
          <w:szCs w:val="18"/>
          <w:lang w:eastAsia="en-US"/>
        </w:rPr>
      </w:pPr>
      <w:r w:rsidRPr="001D2A61">
        <w:rPr>
          <w:rFonts w:ascii="Arial Narrow" w:eastAsia="Calibri" w:hAnsi="Arial Narrow" w:cs="Calibri"/>
          <w:sz w:val="18"/>
          <w:szCs w:val="18"/>
          <w:vertAlign w:val="superscript"/>
          <w:lang w:eastAsia="en-US"/>
        </w:rPr>
        <w:t>1</w:t>
      </w:r>
      <w:r w:rsidRPr="001D2A61">
        <w:rPr>
          <w:rFonts w:ascii="Arial Narrow" w:eastAsia="Calibri" w:hAnsi="Arial Narrow" w:cs="Calibri"/>
          <w:sz w:val="18"/>
          <w:szCs w:val="18"/>
          <w:lang w:eastAsia="en-US"/>
        </w:rPr>
        <w:t xml:space="preserve"> TRANSFORM-2 and TRANSFORM-3 for acute treatment phase and SUSTAIN-1 for maintenance phase.</w:t>
      </w:r>
    </w:p>
    <w:p w14:paraId="2CFC6C72" w14:textId="77777777" w:rsidR="001D2A61" w:rsidRPr="001D2A61" w:rsidRDefault="001D2A61" w:rsidP="001D2A61">
      <w:pPr>
        <w:rPr>
          <w:rFonts w:ascii="Arial Narrow" w:eastAsia="Calibri" w:hAnsi="Arial Narrow" w:cs="Times New Roman"/>
          <w:sz w:val="18"/>
          <w:szCs w:val="18"/>
          <w:lang w:eastAsia="en-US"/>
        </w:rPr>
      </w:pPr>
      <w:r w:rsidRPr="001D2A61">
        <w:rPr>
          <w:rFonts w:ascii="Arial Narrow" w:eastAsia="Calibri" w:hAnsi="Arial Narrow" w:cs="Calibri"/>
          <w:sz w:val="18"/>
          <w:szCs w:val="18"/>
          <w:vertAlign w:val="superscript"/>
          <w:lang w:eastAsia="en-US"/>
        </w:rPr>
        <w:t>2</w:t>
      </w:r>
      <w:r w:rsidRPr="001D2A61">
        <w:rPr>
          <w:rFonts w:ascii="Arial Narrow" w:eastAsia="Calibri" w:hAnsi="Arial Narrow" w:cs="Calibri"/>
          <w:sz w:val="18"/>
          <w:szCs w:val="18"/>
          <w:lang w:eastAsia="en-US"/>
        </w:rPr>
        <w:t xml:space="preserve"> Based on a weighted average of TRANSFORM-2 and -3 data, based on the proportion of the Australian population aged &lt;65 (84%) and ≥65 (16%) years.</w:t>
      </w:r>
    </w:p>
    <w:p w14:paraId="288C500F" w14:textId="28A2D38E" w:rsidR="002B3340" w:rsidRPr="00D60B48" w:rsidRDefault="002B3340" w:rsidP="001D2A61">
      <w:pPr>
        <w:rPr>
          <w:rFonts w:ascii="Arial Narrow" w:eastAsia="Calibri" w:hAnsi="Arial Narrow" w:cs="Times New Roman"/>
          <w:sz w:val="18"/>
          <w:szCs w:val="18"/>
          <w:lang w:eastAsia="en-US"/>
        </w:rPr>
      </w:pPr>
      <w:r w:rsidRPr="004603D4">
        <w:rPr>
          <w:rFonts w:ascii="Arial Narrow" w:eastAsia="Calibri" w:hAnsi="Arial Narrow" w:cs="Calibri"/>
          <w:sz w:val="18"/>
          <w:szCs w:val="18"/>
          <w:vertAlign w:val="superscript"/>
          <w:lang w:eastAsia="en-US"/>
        </w:rPr>
        <w:t>3</w:t>
      </w:r>
      <w:r w:rsidR="007F1DA7">
        <w:rPr>
          <w:rFonts w:ascii="Arial Narrow" w:eastAsia="Calibri" w:hAnsi="Arial Narrow" w:cs="Calibri"/>
          <w:sz w:val="18"/>
          <w:szCs w:val="18"/>
          <w:lang w:eastAsia="en-US"/>
        </w:rPr>
        <w:t xml:space="preserve"> Based on TRANSFORM-2</w:t>
      </w:r>
      <w:r w:rsidR="004603D4">
        <w:rPr>
          <w:rFonts w:ascii="Arial Narrow" w:eastAsia="Calibri" w:hAnsi="Arial Narrow" w:cs="Calibri"/>
          <w:sz w:val="18"/>
          <w:szCs w:val="18"/>
          <w:lang w:eastAsia="en-US"/>
        </w:rPr>
        <w:t xml:space="preserve"> </w:t>
      </w:r>
      <w:r w:rsidR="007F1DA7">
        <w:rPr>
          <w:rFonts w:ascii="Arial Narrow" w:eastAsia="Calibri" w:hAnsi="Arial Narrow" w:cs="Calibri"/>
          <w:sz w:val="18"/>
          <w:szCs w:val="18"/>
          <w:lang w:eastAsia="en-US"/>
        </w:rPr>
        <w:t>data</w:t>
      </w:r>
    </w:p>
    <w:p w14:paraId="6AD91B4B" w14:textId="3767BC8C" w:rsidR="001D2A61" w:rsidRPr="001D2A61" w:rsidRDefault="002B3340" w:rsidP="001D2A61">
      <w:pPr>
        <w:rPr>
          <w:rFonts w:ascii="Arial Narrow" w:eastAsia="Calibri" w:hAnsi="Arial Narrow" w:cs="Calibri"/>
          <w:sz w:val="18"/>
          <w:szCs w:val="18"/>
          <w:lang w:eastAsia="en-US"/>
        </w:rPr>
      </w:pPr>
      <w:r>
        <w:rPr>
          <w:rFonts w:ascii="Arial Narrow" w:eastAsia="Calibri" w:hAnsi="Arial Narrow" w:cs="Calibri"/>
          <w:sz w:val="18"/>
          <w:szCs w:val="18"/>
          <w:vertAlign w:val="superscript"/>
          <w:lang w:eastAsia="en-US"/>
        </w:rPr>
        <w:t>4</w:t>
      </w:r>
      <w:r w:rsidR="001D2A61" w:rsidRPr="001D2A61">
        <w:rPr>
          <w:rFonts w:ascii="Arial Narrow" w:eastAsia="Calibri" w:hAnsi="Arial Narrow" w:cs="Calibri"/>
          <w:sz w:val="18"/>
          <w:szCs w:val="18"/>
          <w:lang w:eastAsia="en-US"/>
        </w:rPr>
        <w:t xml:space="preserve"> Based on a weighted Public/Private (20%/80%) hospital split; public DPMQ of $</w:t>
      </w:r>
      <w:r w:rsidR="00B9195B" w:rsidRPr="00B9195B">
        <w:rPr>
          <w:rFonts w:ascii="Arial Narrow" w:eastAsia="Calibri" w:hAnsi="Arial Narrow" w:cs="Calibri"/>
          <w:color w:val="000000"/>
          <w:spacing w:val="40"/>
          <w:sz w:val="18"/>
          <w:szCs w:val="18"/>
          <w:shd w:val="solid" w:color="000000" w:fill="000000"/>
          <w:fitText w:val="280" w:id="-1436330752"/>
          <w:lang w:eastAsia="en-US"/>
          <w14:textFill>
            <w14:solidFill>
              <w14:srgbClr w14:val="000000">
                <w14:alpha w14:val="100000"/>
              </w14:srgbClr>
            </w14:solidFill>
          </w14:textFill>
        </w:rPr>
        <w:t xml:space="preserve">|  </w:t>
      </w:r>
      <w:r w:rsidR="00B9195B" w:rsidRPr="00B9195B">
        <w:rPr>
          <w:rFonts w:ascii="Arial Narrow" w:eastAsia="Calibri" w:hAnsi="Arial Narrow" w:cs="Calibri"/>
          <w:color w:val="000000"/>
          <w:spacing w:val="2"/>
          <w:sz w:val="18"/>
          <w:szCs w:val="18"/>
          <w:shd w:val="solid" w:color="000000" w:fill="000000"/>
          <w:fitText w:val="280" w:id="-1436330752"/>
          <w:lang w:eastAsia="en-US"/>
          <w14:textFill>
            <w14:solidFill>
              <w14:srgbClr w14:val="000000">
                <w14:alpha w14:val="100000"/>
              </w14:srgbClr>
            </w14:solidFill>
          </w14:textFill>
        </w:rPr>
        <w:t>|</w:t>
      </w:r>
      <w:r w:rsidR="001D2A61" w:rsidRPr="001D2A61">
        <w:rPr>
          <w:rFonts w:ascii="Arial Narrow" w:eastAsia="Calibri" w:hAnsi="Arial Narrow" w:cs="Calibri"/>
          <w:sz w:val="18"/>
          <w:szCs w:val="18"/>
          <w:lang w:eastAsia="en-US"/>
        </w:rPr>
        <w:t>; private DPMQ of $</w:t>
      </w:r>
      <w:r w:rsidR="00B9195B" w:rsidRPr="00B9195B">
        <w:rPr>
          <w:rFonts w:ascii="Arial Narrow" w:eastAsia="Calibri" w:hAnsi="Arial Narrow" w:cs="Calibri"/>
          <w:color w:val="000000"/>
          <w:spacing w:val="9"/>
          <w:sz w:val="18"/>
          <w:szCs w:val="18"/>
          <w:shd w:val="solid" w:color="000000" w:fill="000000"/>
          <w:fitText w:val="281" w:id="-1436330751"/>
          <w:lang w:eastAsia="en-US"/>
          <w14:textFill>
            <w14:solidFill>
              <w14:srgbClr w14:val="000000">
                <w14:alpha w14:val="100000"/>
              </w14:srgbClr>
            </w14:solidFill>
          </w14:textFill>
        </w:rPr>
        <w:t>||  |</w:t>
      </w:r>
      <w:r w:rsidR="00B9195B" w:rsidRPr="00B9195B">
        <w:rPr>
          <w:rFonts w:ascii="Arial Narrow" w:eastAsia="Calibri" w:hAnsi="Arial Narrow" w:cs="Calibri"/>
          <w:color w:val="000000"/>
          <w:spacing w:val="1"/>
          <w:sz w:val="18"/>
          <w:szCs w:val="18"/>
          <w:shd w:val="solid" w:color="000000" w:fill="000000"/>
          <w:fitText w:val="281" w:id="-1436330751"/>
          <w:lang w:eastAsia="en-US"/>
          <w14:textFill>
            <w14:solidFill>
              <w14:srgbClr w14:val="000000">
                <w14:alpha w14:val="100000"/>
              </w14:srgbClr>
            </w14:solidFill>
          </w14:textFill>
        </w:rPr>
        <w:t>|</w:t>
      </w:r>
      <w:r w:rsidR="001D2A61" w:rsidRPr="001D2A61">
        <w:rPr>
          <w:rFonts w:ascii="Arial Narrow" w:eastAsia="Calibri" w:hAnsi="Arial Narrow" w:cs="Calibri"/>
          <w:sz w:val="18"/>
          <w:szCs w:val="18"/>
          <w:lang w:eastAsia="en-US"/>
        </w:rPr>
        <w:t xml:space="preserve"> for 28 mg dose (8 x 28 mg units).</w:t>
      </w:r>
    </w:p>
    <w:p w14:paraId="25F8E9D5" w14:textId="0A341D2A" w:rsidR="001D2A61" w:rsidRPr="001D2A61" w:rsidRDefault="002B3340" w:rsidP="001D2A61">
      <w:pPr>
        <w:rPr>
          <w:rFonts w:ascii="Arial Narrow" w:eastAsia="Calibri" w:hAnsi="Arial Narrow" w:cs="Calibri"/>
          <w:sz w:val="18"/>
          <w:szCs w:val="18"/>
          <w:lang w:eastAsia="en-US"/>
        </w:rPr>
      </w:pPr>
      <w:r>
        <w:rPr>
          <w:rFonts w:ascii="Arial Narrow" w:eastAsia="Calibri" w:hAnsi="Arial Narrow" w:cs="Calibri"/>
          <w:sz w:val="18"/>
          <w:szCs w:val="18"/>
          <w:vertAlign w:val="superscript"/>
          <w:lang w:eastAsia="en-US"/>
        </w:rPr>
        <w:t>5</w:t>
      </w:r>
      <w:r w:rsidR="001D2A61" w:rsidRPr="001D2A61">
        <w:rPr>
          <w:rFonts w:ascii="Arial Narrow" w:eastAsia="Calibri" w:hAnsi="Arial Narrow" w:cs="Calibri"/>
          <w:sz w:val="18"/>
          <w:szCs w:val="18"/>
          <w:lang w:eastAsia="en-US"/>
        </w:rPr>
        <w:t xml:space="preserve"> Based on a weighted Public/Private (20%/80%) hospital DPMQ of $</w:t>
      </w:r>
      <w:r w:rsidR="00B9195B" w:rsidRPr="00B9195B">
        <w:rPr>
          <w:rFonts w:ascii="Arial Narrow" w:eastAsia="Calibri" w:hAnsi="Arial Narrow" w:cs="Calibri"/>
          <w:color w:val="000000"/>
          <w:spacing w:val="38"/>
          <w:sz w:val="18"/>
          <w:szCs w:val="18"/>
          <w:shd w:val="solid" w:color="000000" w:fill="000000"/>
          <w:fitText w:val="273" w:id="-1436330750"/>
          <w:lang w:eastAsia="en-US"/>
          <w14:textFill>
            <w14:solidFill>
              <w14:srgbClr w14:val="000000">
                <w14:alpha w14:val="100000"/>
              </w14:srgbClr>
            </w14:solidFill>
          </w14:textFill>
        </w:rPr>
        <w:t xml:space="preserve">|  </w:t>
      </w:r>
      <w:r w:rsidR="00B9195B" w:rsidRPr="00B9195B">
        <w:rPr>
          <w:rFonts w:ascii="Arial Narrow" w:eastAsia="Calibri" w:hAnsi="Arial Narrow" w:cs="Calibri"/>
          <w:color w:val="000000"/>
          <w:spacing w:val="1"/>
          <w:sz w:val="18"/>
          <w:szCs w:val="18"/>
          <w:shd w:val="solid" w:color="000000" w:fill="000000"/>
          <w:fitText w:val="273" w:id="-1436330750"/>
          <w:lang w:eastAsia="en-US"/>
          <w14:textFill>
            <w14:solidFill>
              <w14:srgbClr w14:val="000000">
                <w14:alpha w14:val="100000"/>
              </w14:srgbClr>
            </w14:solidFill>
          </w14:textFill>
        </w:rPr>
        <w:t>|</w:t>
      </w:r>
      <w:r w:rsidR="001D2A61" w:rsidRPr="001D2A61">
        <w:rPr>
          <w:rFonts w:ascii="Arial Narrow" w:eastAsia="Calibri" w:hAnsi="Arial Narrow" w:cs="Calibri"/>
          <w:sz w:val="18"/>
          <w:szCs w:val="18"/>
          <w:lang w:eastAsia="en-US"/>
        </w:rPr>
        <w:t xml:space="preserve"> for 56 mg dose (16 x 28 mg units) and $</w:t>
      </w:r>
      <w:r w:rsidR="00B9195B" w:rsidRPr="00B9195B">
        <w:rPr>
          <w:rFonts w:ascii="Arial Narrow" w:eastAsia="Calibri" w:hAnsi="Arial Narrow" w:cs="Calibri"/>
          <w:color w:val="000000"/>
          <w:spacing w:val="38"/>
          <w:sz w:val="18"/>
          <w:szCs w:val="18"/>
          <w:shd w:val="solid" w:color="000000" w:fill="000000"/>
          <w:fitText w:val="273" w:id="-1436330749"/>
          <w:lang w:eastAsia="en-US"/>
          <w14:textFill>
            <w14:solidFill>
              <w14:srgbClr w14:val="000000">
                <w14:alpha w14:val="100000"/>
              </w14:srgbClr>
            </w14:solidFill>
          </w14:textFill>
        </w:rPr>
        <w:t xml:space="preserve">|  </w:t>
      </w:r>
      <w:r w:rsidR="00B9195B" w:rsidRPr="00B9195B">
        <w:rPr>
          <w:rFonts w:ascii="Arial Narrow" w:eastAsia="Calibri" w:hAnsi="Arial Narrow" w:cs="Calibri"/>
          <w:color w:val="000000"/>
          <w:spacing w:val="1"/>
          <w:sz w:val="18"/>
          <w:szCs w:val="18"/>
          <w:shd w:val="solid" w:color="000000" w:fill="000000"/>
          <w:fitText w:val="273" w:id="-1436330749"/>
          <w:lang w:eastAsia="en-US"/>
          <w14:textFill>
            <w14:solidFill>
              <w14:srgbClr w14:val="000000">
                <w14:alpha w14:val="100000"/>
              </w14:srgbClr>
            </w14:solidFill>
          </w14:textFill>
        </w:rPr>
        <w:t>|</w:t>
      </w:r>
      <w:r w:rsidR="001D2A61" w:rsidRPr="001D2A61">
        <w:rPr>
          <w:rFonts w:ascii="Arial Narrow" w:eastAsia="Calibri" w:hAnsi="Arial Narrow" w:cs="Calibri"/>
          <w:sz w:val="18"/>
          <w:szCs w:val="18"/>
          <w:lang w:eastAsia="en-US"/>
        </w:rPr>
        <w:t xml:space="preserve"> for </w:t>
      </w:r>
      <w:r w:rsidR="001D6184" w:rsidRPr="001D2A61">
        <w:rPr>
          <w:rFonts w:ascii="Arial Narrow" w:eastAsia="Calibri" w:hAnsi="Arial Narrow" w:cs="Calibri"/>
          <w:sz w:val="18"/>
          <w:szCs w:val="18"/>
          <w:lang w:eastAsia="en-US"/>
        </w:rPr>
        <w:t>84</w:t>
      </w:r>
      <w:r w:rsidR="001D6184">
        <w:rPr>
          <w:rFonts w:ascii="Arial Narrow" w:eastAsia="Calibri" w:hAnsi="Arial Narrow" w:cs="Calibri"/>
          <w:sz w:val="18"/>
          <w:szCs w:val="18"/>
          <w:lang w:eastAsia="en-US"/>
        </w:rPr>
        <w:t> </w:t>
      </w:r>
      <w:r w:rsidR="001D2A61" w:rsidRPr="001D2A61">
        <w:rPr>
          <w:rFonts w:ascii="Arial Narrow" w:eastAsia="Calibri" w:hAnsi="Arial Narrow" w:cs="Calibri"/>
          <w:sz w:val="18"/>
          <w:szCs w:val="18"/>
          <w:lang w:eastAsia="en-US"/>
        </w:rPr>
        <w:t>mg dose (24 x 28 mg units), assuming a 47%/53% split between 56 mg and 84 mg doses.</w:t>
      </w:r>
    </w:p>
    <w:p w14:paraId="592F6545" w14:textId="68394FA5" w:rsidR="001D2A61" w:rsidRPr="001D2A61" w:rsidRDefault="002B3340" w:rsidP="001D2A61">
      <w:pPr>
        <w:rPr>
          <w:rFonts w:ascii="Arial Narrow" w:eastAsia="Calibri" w:hAnsi="Arial Narrow" w:cs="Calibri"/>
          <w:sz w:val="18"/>
          <w:szCs w:val="18"/>
          <w:lang w:eastAsia="en-US"/>
        </w:rPr>
      </w:pPr>
      <w:r>
        <w:rPr>
          <w:rFonts w:ascii="Arial Narrow" w:eastAsia="Calibri" w:hAnsi="Arial Narrow" w:cs="Calibri"/>
          <w:sz w:val="18"/>
          <w:szCs w:val="18"/>
          <w:vertAlign w:val="superscript"/>
          <w:lang w:eastAsia="en-US"/>
        </w:rPr>
        <w:t>6</w:t>
      </w:r>
      <w:r w:rsidR="001D2A61" w:rsidRPr="001D2A61">
        <w:rPr>
          <w:rFonts w:ascii="Arial Narrow" w:eastAsia="Calibri" w:hAnsi="Arial Narrow" w:cs="Calibri"/>
          <w:sz w:val="18"/>
          <w:szCs w:val="18"/>
          <w:lang w:eastAsia="en-US"/>
        </w:rPr>
        <w:t xml:space="preserve"> The source data could not be verified during the evaluation.</w:t>
      </w:r>
    </w:p>
    <w:p w14:paraId="0A4D008E" w14:textId="237A0B23" w:rsidR="001D2A61" w:rsidRPr="001D2A61" w:rsidRDefault="002B3340" w:rsidP="001D2A61">
      <w:pPr>
        <w:rPr>
          <w:rFonts w:ascii="Arial Narrow" w:eastAsia="Calibri" w:hAnsi="Arial Narrow" w:cs="Calibri"/>
          <w:sz w:val="18"/>
          <w:szCs w:val="18"/>
          <w:lang w:eastAsia="en-US"/>
        </w:rPr>
      </w:pPr>
      <w:r>
        <w:rPr>
          <w:rFonts w:ascii="Arial Narrow" w:eastAsia="Calibri" w:hAnsi="Arial Narrow" w:cs="Calibri"/>
          <w:sz w:val="18"/>
          <w:szCs w:val="18"/>
          <w:vertAlign w:val="superscript"/>
          <w:lang w:eastAsia="en-US"/>
        </w:rPr>
        <w:t>7</w:t>
      </w:r>
      <w:r w:rsidR="001D2A61" w:rsidRPr="001D2A61">
        <w:rPr>
          <w:rFonts w:ascii="Arial Narrow" w:eastAsia="Calibri" w:hAnsi="Arial Narrow" w:cs="Calibri"/>
          <w:sz w:val="18"/>
          <w:szCs w:val="18"/>
          <w:lang w:eastAsia="en-US"/>
        </w:rPr>
        <w:t xml:space="preserve"> Based on a weighted Public/Private (20%/80%) hospital split; public DPMQ of $</w:t>
      </w:r>
      <w:r w:rsidR="00B9195B" w:rsidRPr="00B9195B">
        <w:rPr>
          <w:rFonts w:ascii="Arial Narrow" w:eastAsia="Calibri" w:hAnsi="Arial Narrow" w:cs="Calibri"/>
          <w:color w:val="000000"/>
          <w:spacing w:val="37"/>
          <w:sz w:val="18"/>
          <w:szCs w:val="18"/>
          <w:shd w:val="solid" w:color="000000" w:fill="000000"/>
          <w:fitText w:val="272" w:id="-1436330748"/>
          <w:lang w:eastAsia="en-US"/>
          <w14:textFill>
            <w14:solidFill>
              <w14:srgbClr w14:val="000000">
                <w14:alpha w14:val="100000"/>
              </w14:srgbClr>
            </w14:solidFill>
          </w14:textFill>
        </w:rPr>
        <w:t xml:space="preserve">|  </w:t>
      </w:r>
      <w:r w:rsidR="00B9195B" w:rsidRPr="00B9195B">
        <w:rPr>
          <w:rFonts w:ascii="Arial Narrow" w:eastAsia="Calibri" w:hAnsi="Arial Narrow" w:cs="Calibri"/>
          <w:color w:val="000000"/>
          <w:spacing w:val="3"/>
          <w:sz w:val="18"/>
          <w:szCs w:val="18"/>
          <w:shd w:val="solid" w:color="000000" w:fill="000000"/>
          <w:fitText w:val="272" w:id="-1436330748"/>
          <w:lang w:eastAsia="en-US"/>
          <w14:textFill>
            <w14:solidFill>
              <w14:srgbClr w14:val="000000">
                <w14:alpha w14:val="100000"/>
              </w14:srgbClr>
            </w14:solidFill>
          </w14:textFill>
        </w:rPr>
        <w:t>|</w:t>
      </w:r>
      <w:r w:rsidR="001D2A61" w:rsidRPr="001D2A61">
        <w:rPr>
          <w:rFonts w:ascii="Arial Narrow" w:eastAsia="Calibri" w:hAnsi="Arial Narrow" w:cs="Calibri"/>
          <w:sz w:val="18"/>
          <w:szCs w:val="18"/>
          <w:lang w:eastAsia="en-US"/>
        </w:rPr>
        <w:t>; private DPMQ of $</w:t>
      </w:r>
      <w:r w:rsidR="00B9195B" w:rsidRPr="00B9195B">
        <w:rPr>
          <w:rFonts w:ascii="Arial Narrow" w:eastAsia="Calibri" w:hAnsi="Arial Narrow" w:cs="Calibri"/>
          <w:color w:val="000000"/>
          <w:spacing w:val="38"/>
          <w:sz w:val="18"/>
          <w:szCs w:val="18"/>
          <w:shd w:val="solid" w:color="000000" w:fill="000000"/>
          <w:fitText w:val="273" w:id="-1436330747"/>
          <w:lang w:eastAsia="en-US"/>
          <w14:textFill>
            <w14:solidFill>
              <w14:srgbClr w14:val="000000">
                <w14:alpha w14:val="100000"/>
              </w14:srgbClr>
            </w14:solidFill>
          </w14:textFill>
        </w:rPr>
        <w:t xml:space="preserve">|  </w:t>
      </w:r>
      <w:r w:rsidR="00B9195B" w:rsidRPr="00B9195B">
        <w:rPr>
          <w:rFonts w:ascii="Arial Narrow" w:eastAsia="Calibri" w:hAnsi="Arial Narrow" w:cs="Calibri"/>
          <w:color w:val="000000"/>
          <w:spacing w:val="1"/>
          <w:sz w:val="18"/>
          <w:szCs w:val="18"/>
          <w:shd w:val="solid" w:color="000000" w:fill="000000"/>
          <w:fitText w:val="273" w:id="-1436330747"/>
          <w:lang w:eastAsia="en-US"/>
          <w14:textFill>
            <w14:solidFill>
              <w14:srgbClr w14:val="000000">
                <w14:alpha w14:val="100000"/>
              </w14:srgbClr>
            </w14:solidFill>
          </w14:textFill>
        </w:rPr>
        <w:t>|</w:t>
      </w:r>
      <w:r w:rsidR="001D2A61" w:rsidRPr="001D2A61">
        <w:rPr>
          <w:rFonts w:ascii="Arial Narrow" w:eastAsia="Calibri" w:hAnsi="Arial Narrow" w:cs="Calibri"/>
          <w:sz w:val="18"/>
          <w:szCs w:val="18"/>
          <w:lang w:eastAsia="en-US"/>
        </w:rPr>
        <w:t xml:space="preserve"> for 28 mg dose (4 x </w:t>
      </w:r>
      <w:r w:rsidR="001D6184" w:rsidRPr="001D2A61">
        <w:rPr>
          <w:rFonts w:ascii="Arial Narrow" w:eastAsia="Calibri" w:hAnsi="Arial Narrow" w:cs="Calibri"/>
          <w:sz w:val="18"/>
          <w:szCs w:val="18"/>
          <w:lang w:eastAsia="en-US"/>
        </w:rPr>
        <w:t>28</w:t>
      </w:r>
      <w:r w:rsidR="001D6184">
        <w:rPr>
          <w:rFonts w:ascii="Arial Narrow" w:eastAsia="Calibri" w:hAnsi="Arial Narrow" w:cs="Calibri"/>
          <w:sz w:val="18"/>
          <w:szCs w:val="18"/>
          <w:lang w:eastAsia="en-US"/>
        </w:rPr>
        <w:t> </w:t>
      </w:r>
      <w:r w:rsidR="001D2A61" w:rsidRPr="001D2A61">
        <w:rPr>
          <w:rFonts w:ascii="Arial Narrow" w:eastAsia="Calibri" w:hAnsi="Arial Narrow" w:cs="Calibri"/>
          <w:sz w:val="18"/>
          <w:szCs w:val="18"/>
          <w:lang w:eastAsia="en-US"/>
        </w:rPr>
        <w:t>mg units).</w:t>
      </w:r>
    </w:p>
    <w:p w14:paraId="471AFE0F" w14:textId="5FA0670D" w:rsidR="001D2A61" w:rsidRPr="001D2A61" w:rsidRDefault="002B3340" w:rsidP="001D2A61">
      <w:pPr>
        <w:rPr>
          <w:rFonts w:ascii="Arial Narrow" w:eastAsia="Calibri" w:hAnsi="Arial Narrow" w:cs="Calibri"/>
          <w:sz w:val="18"/>
          <w:szCs w:val="18"/>
          <w:lang w:eastAsia="en-US"/>
        </w:rPr>
      </w:pPr>
      <w:r>
        <w:rPr>
          <w:rFonts w:ascii="Arial Narrow" w:eastAsia="Calibri" w:hAnsi="Arial Narrow" w:cs="Calibri"/>
          <w:sz w:val="18"/>
          <w:szCs w:val="18"/>
          <w:vertAlign w:val="superscript"/>
          <w:lang w:eastAsia="en-US"/>
        </w:rPr>
        <w:t>8</w:t>
      </w:r>
      <w:r w:rsidR="001D2A61" w:rsidRPr="001D2A61">
        <w:rPr>
          <w:rFonts w:ascii="Arial Narrow" w:eastAsia="Calibri" w:hAnsi="Arial Narrow" w:cs="Calibri"/>
          <w:sz w:val="18"/>
          <w:szCs w:val="18"/>
          <w:lang w:eastAsia="en-US"/>
        </w:rPr>
        <w:t xml:space="preserve"> Based on a weighted Public/Private (20%/80%) hospital split DPMQ of $</w:t>
      </w:r>
      <w:r w:rsidR="00B9195B" w:rsidRPr="00B9195B">
        <w:rPr>
          <w:rFonts w:ascii="Arial Narrow" w:eastAsia="Calibri" w:hAnsi="Arial Narrow" w:cs="Calibri"/>
          <w:color w:val="000000"/>
          <w:spacing w:val="37"/>
          <w:sz w:val="18"/>
          <w:szCs w:val="18"/>
          <w:shd w:val="solid" w:color="000000" w:fill="000000"/>
          <w:fitText w:val="272" w:id="-1436330746"/>
          <w:lang w:eastAsia="en-US"/>
          <w14:textFill>
            <w14:solidFill>
              <w14:srgbClr w14:val="000000">
                <w14:alpha w14:val="100000"/>
              </w14:srgbClr>
            </w14:solidFill>
          </w14:textFill>
        </w:rPr>
        <w:t xml:space="preserve">|  </w:t>
      </w:r>
      <w:r w:rsidR="00B9195B" w:rsidRPr="00B9195B">
        <w:rPr>
          <w:rFonts w:ascii="Arial Narrow" w:eastAsia="Calibri" w:hAnsi="Arial Narrow" w:cs="Calibri"/>
          <w:color w:val="000000"/>
          <w:spacing w:val="3"/>
          <w:sz w:val="18"/>
          <w:szCs w:val="18"/>
          <w:shd w:val="solid" w:color="000000" w:fill="000000"/>
          <w:fitText w:val="272" w:id="-1436330746"/>
          <w:lang w:eastAsia="en-US"/>
          <w14:textFill>
            <w14:solidFill>
              <w14:srgbClr w14:val="000000">
                <w14:alpha w14:val="100000"/>
              </w14:srgbClr>
            </w14:solidFill>
          </w14:textFill>
        </w:rPr>
        <w:t>|</w:t>
      </w:r>
      <w:r w:rsidR="001D2A61" w:rsidRPr="001D2A61">
        <w:rPr>
          <w:rFonts w:ascii="Arial Narrow" w:eastAsia="Calibri" w:hAnsi="Arial Narrow" w:cs="Calibri"/>
          <w:sz w:val="18"/>
          <w:szCs w:val="18"/>
          <w:lang w:eastAsia="en-US"/>
        </w:rPr>
        <w:t xml:space="preserve"> for 56 mg dose (8 x 28 mg units) and $</w:t>
      </w:r>
      <w:r w:rsidR="00B9195B" w:rsidRPr="00B9195B">
        <w:rPr>
          <w:rFonts w:ascii="Arial Narrow" w:eastAsia="Calibri" w:hAnsi="Arial Narrow" w:cs="Calibri"/>
          <w:color w:val="000000"/>
          <w:spacing w:val="38"/>
          <w:sz w:val="18"/>
          <w:szCs w:val="18"/>
          <w:shd w:val="solid" w:color="000000" w:fill="000000"/>
          <w:fitText w:val="273" w:id="-1436330745"/>
          <w:lang w:eastAsia="en-US"/>
          <w14:textFill>
            <w14:solidFill>
              <w14:srgbClr w14:val="000000">
                <w14:alpha w14:val="100000"/>
              </w14:srgbClr>
            </w14:solidFill>
          </w14:textFill>
        </w:rPr>
        <w:t xml:space="preserve">|  </w:t>
      </w:r>
      <w:r w:rsidR="00B9195B" w:rsidRPr="00B9195B">
        <w:rPr>
          <w:rFonts w:ascii="Arial Narrow" w:eastAsia="Calibri" w:hAnsi="Arial Narrow" w:cs="Calibri"/>
          <w:color w:val="000000"/>
          <w:spacing w:val="1"/>
          <w:sz w:val="18"/>
          <w:szCs w:val="18"/>
          <w:shd w:val="solid" w:color="000000" w:fill="000000"/>
          <w:fitText w:val="273" w:id="-1436330745"/>
          <w:lang w:eastAsia="en-US"/>
          <w14:textFill>
            <w14:solidFill>
              <w14:srgbClr w14:val="000000">
                <w14:alpha w14:val="100000"/>
              </w14:srgbClr>
            </w14:solidFill>
          </w14:textFill>
        </w:rPr>
        <w:t>|</w:t>
      </w:r>
      <w:r w:rsidR="001D2A61" w:rsidRPr="001D2A61">
        <w:rPr>
          <w:rFonts w:ascii="Arial Narrow" w:eastAsia="Calibri" w:hAnsi="Arial Narrow" w:cs="Calibri"/>
          <w:sz w:val="18"/>
          <w:szCs w:val="18"/>
          <w:lang w:eastAsia="en-US"/>
        </w:rPr>
        <w:t xml:space="preserve"> for </w:t>
      </w:r>
      <w:r w:rsidR="001D6184" w:rsidRPr="001D2A61">
        <w:rPr>
          <w:rFonts w:ascii="Arial Narrow" w:eastAsia="Calibri" w:hAnsi="Arial Narrow" w:cs="Calibri"/>
          <w:sz w:val="18"/>
          <w:szCs w:val="18"/>
          <w:lang w:eastAsia="en-US"/>
        </w:rPr>
        <w:t>84</w:t>
      </w:r>
      <w:r w:rsidR="001D6184">
        <w:rPr>
          <w:rFonts w:ascii="Arial Narrow" w:eastAsia="Calibri" w:hAnsi="Arial Narrow" w:cs="Calibri"/>
          <w:sz w:val="18"/>
          <w:szCs w:val="18"/>
          <w:lang w:eastAsia="en-US"/>
        </w:rPr>
        <w:t> </w:t>
      </w:r>
      <w:r w:rsidR="001D2A61" w:rsidRPr="001D2A61">
        <w:rPr>
          <w:rFonts w:ascii="Arial Narrow" w:eastAsia="Calibri" w:hAnsi="Arial Narrow" w:cs="Calibri"/>
          <w:sz w:val="18"/>
          <w:szCs w:val="18"/>
          <w:lang w:eastAsia="en-US"/>
        </w:rPr>
        <w:t>mg dose (12 x 28 mg units), assuming a 39%/61% split between 56 mg and 84 mg doses.</w:t>
      </w:r>
    </w:p>
    <w:p w14:paraId="7191614F" w14:textId="5702EFF6" w:rsidR="001D2A61" w:rsidRPr="001D2A61" w:rsidRDefault="002B3340" w:rsidP="001D2A61">
      <w:pPr>
        <w:rPr>
          <w:rFonts w:ascii="Arial Narrow" w:eastAsia="Calibri" w:hAnsi="Arial Narrow" w:cs="Calibri"/>
          <w:sz w:val="18"/>
          <w:szCs w:val="18"/>
          <w:lang w:eastAsia="en-US"/>
        </w:rPr>
      </w:pPr>
      <w:r>
        <w:rPr>
          <w:rFonts w:ascii="Arial Narrow" w:eastAsia="Calibri" w:hAnsi="Arial Narrow" w:cs="Calibri"/>
          <w:sz w:val="18"/>
          <w:szCs w:val="18"/>
          <w:vertAlign w:val="superscript"/>
          <w:lang w:eastAsia="en-US"/>
        </w:rPr>
        <w:t>9</w:t>
      </w:r>
      <w:r w:rsidR="001D2A61" w:rsidRPr="001D2A61">
        <w:rPr>
          <w:rFonts w:ascii="Arial Narrow" w:eastAsia="Calibri" w:hAnsi="Arial Narrow" w:cs="Calibri"/>
          <w:sz w:val="18"/>
          <w:szCs w:val="18"/>
          <w:lang w:eastAsia="en-US"/>
        </w:rPr>
        <w:t xml:space="preserve"> Economic model persistence based on the proportion of patients remaining on </w:t>
      </w:r>
      <w:proofErr w:type="spellStart"/>
      <w:r w:rsidR="001D2A61" w:rsidRPr="001D2A61">
        <w:rPr>
          <w:rFonts w:ascii="Arial Narrow" w:eastAsia="Calibri" w:hAnsi="Arial Narrow" w:cs="Calibri"/>
          <w:sz w:val="18"/>
          <w:szCs w:val="18"/>
          <w:lang w:eastAsia="en-US"/>
        </w:rPr>
        <w:t>esketamine</w:t>
      </w:r>
      <w:proofErr w:type="spellEnd"/>
      <w:r w:rsidR="001D2A61" w:rsidRPr="001D2A61">
        <w:rPr>
          <w:rFonts w:ascii="Arial Narrow" w:eastAsia="Calibri" w:hAnsi="Arial Narrow" w:cs="Calibri"/>
          <w:sz w:val="18"/>
          <w:szCs w:val="18"/>
          <w:lang w:eastAsia="en-US"/>
        </w:rPr>
        <w:t xml:space="preserve"> at the end of each treatment year; financial estimates persistence based on average annual persistence. </w:t>
      </w:r>
    </w:p>
    <w:p w14:paraId="28341ADA" w14:textId="617CA833" w:rsidR="001D2A61" w:rsidRDefault="002B3340" w:rsidP="001D2A61">
      <w:pPr>
        <w:pStyle w:val="TableFigureCaption"/>
        <w:rPr>
          <w:rFonts w:eastAsia="Calibri" w:cs="Calibri"/>
          <w:b w:val="0"/>
          <w:bCs w:val="0"/>
          <w:sz w:val="18"/>
          <w:szCs w:val="18"/>
          <w:lang w:eastAsia="en-US"/>
        </w:rPr>
      </w:pPr>
      <w:r>
        <w:rPr>
          <w:rFonts w:eastAsia="Calibri" w:cs="Calibri"/>
          <w:b w:val="0"/>
          <w:bCs w:val="0"/>
          <w:sz w:val="18"/>
          <w:szCs w:val="18"/>
          <w:vertAlign w:val="superscript"/>
          <w:lang w:eastAsia="en-US"/>
        </w:rPr>
        <w:t>10</w:t>
      </w:r>
      <w:r w:rsidR="001D2A61" w:rsidRPr="001D2A61">
        <w:rPr>
          <w:rFonts w:eastAsia="Calibri" w:cs="Calibri"/>
          <w:b w:val="0"/>
          <w:bCs w:val="0"/>
          <w:sz w:val="18"/>
          <w:szCs w:val="18"/>
          <w:lang w:eastAsia="en-US"/>
        </w:rPr>
        <w:t xml:space="preserve"> Average cost of PBS-listed antidepressants weighted by market share according to PBS data from December 2020 to December 2021.</w:t>
      </w:r>
    </w:p>
    <w:p w14:paraId="268768EF" w14:textId="3626F292" w:rsidR="00B60939" w:rsidRPr="00C9624D" w:rsidRDefault="00B60939" w:rsidP="002B05A1">
      <w:pPr>
        <w:pStyle w:val="3-SubsectionHeading"/>
      </w:pPr>
      <w:bookmarkStart w:id="45" w:name="_Toc22897647"/>
      <w:bookmarkStart w:id="46" w:name="_Toc103767197"/>
      <w:r w:rsidRPr="00C9624D">
        <w:t>Estimated PBS usage &amp; financial implications</w:t>
      </w:r>
      <w:bookmarkEnd w:id="45"/>
      <w:bookmarkEnd w:id="46"/>
    </w:p>
    <w:p w14:paraId="3BD6A67B" w14:textId="52ECFF1D" w:rsidR="00C21CD4" w:rsidRDefault="00C25D9C" w:rsidP="000164AD">
      <w:pPr>
        <w:pStyle w:val="ExecSumBodyText"/>
      </w:pPr>
      <w:r w:rsidRPr="00AE3B5A">
        <w:rPr>
          <w:iCs/>
        </w:rPr>
        <w:t>Th</w:t>
      </w:r>
      <w:r w:rsidR="00E74B47" w:rsidRPr="00AE3B5A">
        <w:rPr>
          <w:iCs/>
        </w:rPr>
        <w:t>e</w:t>
      </w:r>
      <w:r w:rsidRPr="00AE3B5A">
        <w:rPr>
          <w:iCs/>
        </w:rPr>
        <w:t xml:space="preserve"> </w:t>
      </w:r>
      <w:r w:rsidR="00E74B47" w:rsidRPr="00AE3B5A">
        <w:rPr>
          <w:iCs/>
        </w:rPr>
        <w:t>re</w:t>
      </w:r>
      <w:r w:rsidRPr="00AE3B5A">
        <w:rPr>
          <w:iCs/>
        </w:rPr>
        <w:t xml:space="preserve">submission </w:t>
      </w:r>
      <w:r w:rsidR="00E06F7E" w:rsidRPr="00AE3B5A">
        <w:rPr>
          <w:iCs/>
        </w:rPr>
        <w:t>was</w:t>
      </w:r>
      <w:r w:rsidRPr="00AE3B5A">
        <w:rPr>
          <w:iCs/>
        </w:rPr>
        <w:t xml:space="preserve"> not</w:t>
      </w:r>
      <w:r w:rsidR="00E06F7E" w:rsidRPr="00AE3B5A">
        <w:rPr>
          <w:iCs/>
        </w:rPr>
        <w:t xml:space="preserve"> </w:t>
      </w:r>
      <w:r w:rsidRPr="00AE3B5A">
        <w:rPr>
          <w:iCs/>
        </w:rPr>
        <w:t>considered by DUS</w:t>
      </w:r>
      <w:r w:rsidR="00E74B47" w:rsidRPr="00AE3B5A">
        <w:rPr>
          <w:iCs/>
        </w:rPr>
        <w:t>C.</w:t>
      </w:r>
      <w:r w:rsidR="00E74B47">
        <w:t xml:space="preserve"> </w:t>
      </w:r>
      <w:r w:rsidR="001523AA">
        <w:t xml:space="preserve">The resubmission used a market share approach to </w:t>
      </w:r>
      <w:r w:rsidR="00575D10" w:rsidRPr="00575D10">
        <w:t xml:space="preserve">estimate the utilisation and financial impacts associated with the PBS listing of </w:t>
      </w:r>
      <w:proofErr w:type="spellStart"/>
      <w:r w:rsidR="00575D10" w:rsidRPr="00575D10">
        <w:t>esketamine</w:t>
      </w:r>
      <w:proofErr w:type="spellEnd"/>
      <w:r w:rsidR="00575D10" w:rsidRPr="00575D10">
        <w:t xml:space="preserve"> for TRD</w:t>
      </w:r>
      <w:r w:rsidR="00C21CD4">
        <w:t xml:space="preserve">, whereas the July 2021 submission used an epidemiological approach. </w:t>
      </w:r>
      <w:bookmarkStart w:id="47" w:name="_Hlk103334150"/>
      <w:r w:rsidR="00C21CD4">
        <w:t>There was also a decrease in the proposed effective price, the cost associated with post-administration monitoring w</w:t>
      </w:r>
      <w:r w:rsidR="008F6C8C">
        <w:t>ere</w:t>
      </w:r>
      <w:r w:rsidR="00C21CD4">
        <w:t xml:space="preserve"> removed, and </w:t>
      </w:r>
      <w:r w:rsidR="00B67607">
        <w:t xml:space="preserve">patients currently being treated with </w:t>
      </w:r>
      <w:proofErr w:type="spellStart"/>
      <w:r w:rsidR="00C21CD4">
        <w:t>esketamine</w:t>
      </w:r>
      <w:proofErr w:type="spellEnd"/>
      <w:r w:rsidR="00C21CD4">
        <w:t xml:space="preserve"> were</w:t>
      </w:r>
      <w:r w:rsidR="00873314">
        <w:t xml:space="preserve"> added to </w:t>
      </w:r>
      <w:r w:rsidR="00C21CD4">
        <w:t>the prevalent patient pool.</w:t>
      </w:r>
      <w:bookmarkEnd w:id="47"/>
    </w:p>
    <w:p w14:paraId="3393BCE7" w14:textId="055E2DA2" w:rsidR="00E42F73" w:rsidRPr="007925DF" w:rsidRDefault="00E42F73" w:rsidP="00C50DC8">
      <w:pPr>
        <w:pStyle w:val="Caption"/>
      </w:pPr>
      <w:bookmarkStart w:id="48" w:name="_Ref110348153"/>
      <w:r w:rsidRPr="007925DF">
        <w:t xml:space="preserve">Table </w:t>
      </w:r>
      <w:r w:rsidR="002030D0">
        <w:fldChar w:fldCharType="begin"/>
      </w:r>
      <w:r w:rsidR="002030D0">
        <w:instrText xml:space="preserve"> SEQ Table \* ARABIC </w:instrText>
      </w:r>
      <w:r w:rsidR="002030D0">
        <w:fldChar w:fldCharType="separate"/>
      </w:r>
      <w:r w:rsidR="008E3D7A">
        <w:rPr>
          <w:noProof/>
        </w:rPr>
        <w:t>18</w:t>
      </w:r>
      <w:r w:rsidR="002030D0">
        <w:rPr>
          <w:noProof/>
        </w:rPr>
        <w:fldChar w:fldCharType="end"/>
      </w:r>
      <w:bookmarkEnd w:id="48"/>
      <w:r w:rsidRPr="00D60B48">
        <w:t>:</w:t>
      </w:r>
      <w:r w:rsidRPr="007925DF">
        <w:t xml:space="preserve"> Key inputs for</w:t>
      </w:r>
      <w:r w:rsidR="004169F7">
        <w:t xml:space="preserve"> the</w:t>
      </w:r>
      <w:r w:rsidRPr="007925DF">
        <w:t xml:space="preserv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2"/>
        <w:gridCol w:w="3760"/>
        <w:gridCol w:w="3475"/>
      </w:tblGrid>
      <w:tr w:rsidR="00674B1E" w:rsidRPr="00914C77" w14:paraId="3285FF45" w14:textId="77777777" w:rsidTr="007522DE">
        <w:trPr>
          <w:cantSplit/>
          <w:tblHeader/>
        </w:trPr>
        <w:tc>
          <w:tcPr>
            <w:tcW w:w="988" w:type="pct"/>
            <w:vAlign w:val="center"/>
          </w:tcPr>
          <w:p w14:paraId="7E06F741" w14:textId="77777777" w:rsidR="00674B1E" w:rsidRPr="00D60B48" w:rsidRDefault="00674B1E" w:rsidP="00A65564">
            <w:pPr>
              <w:pStyle w:val="Tableheadingrow"/>
              <w:keepNext w:val="0"/>
              <w:jc w:val="center"/>
              <w:rPr>
                <w:lang w:val="en-AU"/>
              </w:rPr>
            </w:pPr>
            <w:r w:rsidRPr="00D60B48">
              <w:rPr>
                <w:lang w:val="en-AU"/>
              </w:rPr>
              <w:t>Data</w:t>
            </w:r>
          </w:p>
        </w:tc>
        <w:tc>
          <w:tcPr>
            <w:tcW w:w="2085" w:type="pct"/>
            <w:vAlign w:val="center"/>
          </w:tcPr>
          <w:p w14:paraId="30F9D693" w14:textId="495471DA" w:rsidR="00674B1E" w:rsidRPr="00D60B48" w:rsidRDefault="00674B1E" w:rsidP="00A65564">
            <w:pPr>
              <w:pStyle w:val="Tableheadingrow"/>
              <w:keepNext w:val="0"/>
              <w:jc w:val="center"/>
              <w:rPr>
                <w:lang w:val="en-AU"/>
              </w:rPr>
            </w:pPr>
            <w:r w:rsidRPr="00D60B48">
              <w:rPr>
                <w:lang w:val="en-AU"/>
              </w:rPr>
              <w:t>Value applied and source</w:t>
            </w:r>
          </w:p>
        </w:tc>
        <w:tc>
          <w:tcPr>
            <w:tcW w:w="1927" w:type="pct"/>
            <w:vAlign w:val="center"/>
          </w:tcPr>
          <w:p w14:paraId="7BA98CA8" w14:textId="77777777" w:rsidR="00674B1E" w:rsidRPr="00D60B48" w:rsidRDefault="00674B1E" w:rsidP="00A65564">
            <w:pPr>
              <w:pStyle w:val="Tableheadingrow"/>
              <w:keepNext w:val="0"/>
              <w:jc w:val="center"/>
              <w:rPr>
                <w:lang w:val="en-AU"/>
              </w:rPr>
            </w:pPr>
            <w:r w:rsidRPr="00D60B48">
              <w:rPr>
                <w:lang w:val="en-AU"/>
              </w:rPr>
              <w:t>Comment</w:t>
            </w:r>
          </w:p>
        </w:tc>
      </w:tr>
      <w:tr w:rsidR="00674B1E" w14:paraId="0CCD1CDE" w14:textId="77777777" w:rsidTr="007522DE">
        <w:trPr>
          <w:cantSplit/>
        </w:trPr>
        <w:tc>
          <w:tcPr>
            <w:tcW w:w="988" w:type="pct"/>
            <w:vAlign w:val="center"/>
          </w:tcPr>
          <w:p w14:paraId="1C5D7297" w14:textId="6AFE0574" w:rsidR="00674B1E" w:rsidRDefault="00674B1E" w:rsidP="00A65564">
            <w:pPr>
              <w:pStyle w:val="TableText"/>
              <w:keepNext w:val="0"/>
            </w:pPr>
            <w:r>
              <w:t>Number of patients meeting criteria for TRD</w:t>
            </w:r>
          </w:p>
        </w:tc>
        <w:tc>
          <w:tcPr>
            <w:tcW w:w="2085" w:type="pct"/>
            <w:vAlign w:val="center"/>
          </w:tcPr>
          <w:p w14:paraId="05237DBD" w14:textId="014D514A" w:rsidR="00674B1E" w:rsidRDefault="00674B1E" w:rsidP="00A65564">
            <w:pPr>
              <w:pStyle w:val="TableText"/>
              <w:keepNext w:val="0"/>
            </w:pPr>
            <w:r>
              <w:t>PBS 10% sample analysis</w:t>
            </w:r>
            <w:r w:rsidR="00575D10" w:rsidRPr="00D60B48">
              <w:t>.</w:t>
            </w:r>
            <w:r>
              <w:t xml:space="preserve"> F</w:t>
            </w:r>
            <w:r w:rsidRPr="00E04EBD">
              <w:t xml:space="preserve">rom November 2019 to October 2020, 28,820 patients who had inadequate responses to two or more antidepressants in the current MDD episode started a new treatment (switching to a new antidepressant, adding on an augmentation agent or another antidepressant) </w:t>
            </w:r>
            <w:r>
              <w:t xml:space="preserve">were identified </w:t>
            </w:r>
            <w:r w:rsidRPr="00E04EBD">
              <w:t>across all prescriber settings</w:t>
            </w:r>
          </w:p>
        </w:tc>
        <w:tc>
          <w:tcPr>
            <w:tcW w:w="1927" w:type="pct"/>
            <w:vAlign w:val="center"/>
          </w:tcPr>
          <w:p w14:paraId="3D9B6060" w14:textId="77777777" w:rsidR="00674B1E" w:rsidRPr="00E22147" w:rsidRDefault="00674B1E" w:rsidP="00A65564">
            <w:pPr>
              <w:pStyle w:val="TableText"/>
              <w:keepNext w:val="0"/>
              <w:rPr>
                <w:i/>
                <w:iCs/>
              </w:rPr>
            </w:pPr>
            <w:r w:rsidRPr="0096290C">
              <w:t>It is unclear whether the method used to conduct the 10% Medicare PBS sample analysis captured all relevant patients with TRD and those with TRD initiating a new treatment. The availability of a new treatment may result in an increase in patients initiating a new therapy.</w:t>
            </w:r>
          </w:p>
        </w:tc>
      </w:tr>
      <w:tr w:rsidR="00674B1E" w14:paraId="6484743C" w14:textId="77777777" w:rsidTr="007522DE">
        <w:trPr>
          <w:cantSplit/>
        </w:trPr>
        <w:tc>
          <w:tcPr>
            <w:tcW w:w="988" w:type="pct"/>
            <w:vAlign w:val="center"/>
          </w:tcPr>
          <w:p w14:paraId="33D929E5" w14:textId="77777777" w:rsidR="00674B1E" w:rsidRDefault="00674B1E" w:rsidP="00A65564">
            <w:pPr>
              <w:pStyle w:val="TableText"/>
              <w:keepNext w:val="0"/>
            </w:pPr>
            <w:r>
              <w:t>Average annual rate of growth in the MDD population</w:t>
            </w:r>
          </w:p>
        </w:tc>
        <w:tc>
          <w:tcPr>
            <w:tcW w:w="2085" w:type="pct"/>
            <w:vAlign w:val="center"/>
          </w:tcPr>
          <w:p w14:paraId="1A0B6395" w14:textId="77777777" w:rsidR="00674B1E" w:rsidRDefault="00674B1E" w:rsidP="00A65564">
            <w:pPr>
              <w:pStyle w:val="TableText"/>
              <w:keepNext w:val="0"/>
            </w:pPr>
            <w:r>
              <w:t xml:space="preserve">Based on the average annual rate of growth of Australians reporting ‘depression or feelings of depression’ in the Australian National Health Survey between 2014-2015 and 2017-2018 (from 8.9% to 10.4%). </w:t>
            </w:r>
            <w:r w:rsidRPr="00E22147">
              <w:t xml:space="preserve">The </w:t>
            </w:r>
            <w:r>
              <w:t>re</w:t>
            </w:r>
            <w:r w:rsidRPr="00E22147">
              <w:t xml:space="preserve">submission </w:t>
            </w:r>
            <w:r>
              <w:t xml:space="preserve">therefore </w:t>
            </w:r>
            <w:r w:rsidRPr="00E22147">
              <w:t>estimated an average annual growth of 5.3% for 2014/2015 to 2017/18</w:t>
            </w:r>
            <w:r>
              <w:t>.</w:t>
            </w:r>
          </w:p>
        </w:tc>
        <w:tc>
          <w:tcPr>
            <w:tcW w:w="1927" w:type="pct"/>
            <w:vAlign w:val="center"/>
          </w:tcPr>
          <w:p w14:paraId="41F80FD7" w14:textId="77777777" w:rsidR="00674B1E" w:rsidRPr="0096290C" w:rsidRDefault="00674B1E" w:rsidP="00A65564">
            <w:pPr>
              <w:pStyle w:val="TableText"/>
              <w:keepNext w:val="0"/>
            </w:pPr>
            <w:r w:rsidRPr="0096290C">
              <w:t>The applicability of the Australian National Health Survey results (which were based on self-reported depression or feelings of depression rather than a clinical diagnosis of depression) to the prevalence of MDD and TRD was unclear and not adequately justified in the resubmission.</w:t>
            </w:r>
          </w:p>
        </w:tc>
      </w:tr>
      <w:tr w:rsidR="00674B1E" w14:paraId="49B5AB54" w14:textId="77777777" w:rsidTr="007522DE">
        <w:trPr>
          <w:cantSplit/>
        </w:trPr>
        <w:tc>
          <w:tcPr>
            <w:tcW w:w="988" w:type="pct"/>
            <w:vAlign w:val="center"/>
          </w:tcPr>
          <w:p w14:paraId="486C066D" w14:textId="77777777" w:rsidR="00674B1E" w:rsidRDefault="00674B1E" w:rsidP="00A65564">
            <w:pPr>
              <w:pStyle w:val="TableText"/>
              <w:keepNext w:val="0"/>
            </w:pPr>
            <w:r>
              <w:t>Prescription setting</w:t>
            </w:r>
          </w:p>
        </w:tc>
        <w:tc>
          <w:tcPr>
            <w:tcW w:w="2085" w:type="pct"/>
            <w:vAlign w:val="center"/>
          </w:tcPr>
          <w:p w14:paraId="03269B10" w14:textId="7D8529BF" w:rsidR="00674B1E" w:rsidRDefault="00674B1E" w:rsidP="00A65564">
            <w:pPr>
              <w:pStyle w:val="TableText"/>
              <w:keepNext w:val="0"/>
            </w:pPr>
            <w:r>
              <w:t>PBS 10% sample analysis</w:t>
            </w:r>
            <w:r w:rsidR="00575D10" w:rsidRPr="00D60B48">
              <w:t>.</w:t>
            </w:r>
            <w:r>
              <w:t xml:space="preserve"> </w:t>
            </w:r>
            <w:r w:rsidRPr="00623174">
              <w:t>Of 28,820 patients who initiated a new treatment from November 2019 to October 2020, 6,340 patients (22.0%) started the new treatment in the psychiatry setting and the remaining 78.0% started the new treatment in the non-psychiatry setting</w:t>
            </w:r>
            <w:r>
              <w:t xml:space="preserve">. An increase of 3% per year was applied to incorporate the expected increase in the number of patients referred to the psychiatry setting over time with the listing of </w:t>
            </w:r>
            <w:proofErr w:type="spellStart"/>
            <w:r>
              <w:t>esketamine</w:t>
            </w:r>
            <w:proofErr w:type="spellEnd"/>
            <w:r>
              <w:t xml:space="preserve"> nasal spray.</w:t>
            </w:r>
          </w:p>
        </w:tc>
        <w:tc>
          <w:tcPr>
            <w:tcW w:w="1927" w:type="pct"/>
            <w:vAlign w:val="center"/>
          </w:tcPr>
          <w:p w14:paraId="7B1758C6" w14:textId="77777777" w:rsidR="00674B1E" w:rsidRPr="0096290C" w:rsidRDefault="00674B1E" w:rsidP="00A65564">
            <w:pPr>
              <w:pStyle w:val="TableText"/>
              <w:keepNext w:val="0"/>
            </w:pPr>
            <w:r w:rsidRPr="0096290C">
              <w:t xml:space="preserve">The rate of new referrals may be substantially higher given that </w:t>
            </w:r>
            <w:proofErr w:type="spellStart"/>
            <w:r w:rsidRPr="0096290C">
              <w:t>esketamine</w:t>
            </w:r>
            <w:proofErr w:type="spellEnd"/>
            <w:r w:rsidRPr="0096290C">
              <w:t xml:space="preserve"> is a novel treatment for a disorder that is resistant to standard therapies. However, the number of treated patients is likely to be constrained by the availability of psychiatrists to provide treatment, given the logistical issues associated with delivery of </w:t>
            </w:r>
            <w:proofErr w:type="spellStart"/>
            <w:r w:rsidRPr="0096290C">
              <w:t>esketamine</w:t>
            </w:r>
            <w:proofErr w:type="spellEnd"/>
            <w:r w:rsidRPr="0096290C">
              <w:t>, the need for post-administration monitoring, and the ability to comply with Schedule 8 medicine handling requirements.</w:t>
            </w:r>
          </w:p>
        </w:tc>
      </w:tr>
      <w:tr w:rsidR="00674B1E" w14:paraId="78F77952" w14:textId="77777777" w:rsidTr="007522DE">
        <w:trPr>
          <w:cantSplit/>
        </w:trPr>
        <w:tc>
          <w:tcPr>
            <w:tcW w:w="988" w:type="pct"/>
            <w:vAlign w:val="center"/>
          </w:tcPr>
          <w:p w14:paraId="597A889C" w14:textId="77777777" w:rsidR="00674B1E" w:rsidRDefault="00674B1E" w:rsidP="00A65564">
            <w:pPr>
              <w:pStyle w:val="TableText"/>
              <w:keepNext w:val="0"/>
            </w:pPr>
            <w:r>
              <w:lastRenderedPageBreak/>
              <w:t>Grandfathered patients</w:t>
            </w:r>
          </w:p>
        </w:tc>
        <w:tc>
          <w:tcPr>
            <w:tcW w:w="2085" w:type="pct"/>
            <w:vAlign w:val="center"/>
          </w:tcPr>
          <w:p w14:paraId="603839CA" w14:textId="01D34703" w:rsidR="00674B1E" w:rsidRDefault="00674B1E" w:rsidP="00A65564">
            <w:pPr>
              <w:pStyle w:val="TableText"/>
              <w:keepNext w:val="0"/>
            </w:pPr>
            <w:r>
              <w:t xml:space="preserve">Estimated number of patients enrolled in the </w:t>
            </w:r>
            <w:r w:rsidR="00575D10" w:rsidRPr="00D60B48">
              <w:t>sponsor</w:t>
            </w:r>
            <w:r w:rsidR="00A77145">
              <w:t>’s</w:t>
            </w:r>
            <w:r>
              <w:t xml:space="preserve"> early access program and self-funded (</w:t>
            </w:r>
            <w:r w:rsidR="00B143EB">
              <w:t>N</w:t>
            </w:r>
            <w:r w:rsidR="006A200D" w:rsidRPr="00D60B48">
              <w:t>=</w:t>
            </w:r>
            <w:r>
              <w:t xml:space="preserve">300), with time to treatment discontinuation extrapolation in the </w:t>
            </w:r>
            <w:r w:rsidR="00216E6F">
              <w:t xml:space="preserve">July 2021 </w:t>
            </w:r>
            <w:r>
              <w:t>economic model applied to estimate numbers in subsequent years.</w:t>
            </w:r>
          </w:p>
        </w:tc>
        <w:tc>
          <w:tcPr>
            <w:tcW w:w="1927" w:type="pct"/>
            <w:vAlign w:val="center"/>
          </w:tcPr>
          <w:p w14:paraId="680DEAD9" w14:textId="75CCB558" w:rsidR="00674B1E" w:rsidRPr="0096290C" w:rsidRDefault="004F5E24" w:rsidP="00A65564">
            <w:pPr>
              <w:pStyle w:val="TableText"/>
              <w:keepNext w:val="0"/>
            </w:pPr>
            <w:r w:rsidRPr="0096290C">
              <w:t>The resubmission did not adequately justify the addition of the grandfathered patients to the estimated population. It is possible that these patients would already be accounted for in the resubmission’s estimates of eligible patients. Further, t</w:t>
            </w:r>
            <w:r w:rsidR="00674B1E" w:rsidRPr="0096290C">
              <w:t>he total number of patients who are self-funded and may be eligible for PBS treatment is unclear and may be greater than that estimated by the sponsor.</w:t>
            </w:r>
          </w:p>
        </w:tc>
      </w:tr>
      <w:tr w:rsidR="00674B1E" w14:paraId="1B12C768" w14:textId="77777777" w:rsidTr="007522DE">
        <w:trPr>
          <w:cantSplit/>
        </w:trPr>
        <w:tc>
          <w:tcPr>
            <w:tcW w:w="988" w:type="pct"/>
            <w:vAlign w:val="center"/>
          </w:tcPr>
          <w:p w14:paraId="7162718A" w14:textId="77777777" w:rsidR="00674B1E" w:rsidRDefault="00674B1E" w:rsidP="00A65564">
            <w:pPr>
              <w:pStyle w:val="TableText"/>
              <w:keepNext w:val="0"/>
            </w:pPr>
            <w:r>
              <w:t>Uptake rate (psychiatry setting)</w:t>
            </w:r>
          </w:p>
        </w:tc>
        <w:tc>
          <w:tcPr>
            <w:tcW w:w="2085" w:type="pct"/>
            <w:vMerge w:val="restart"/>
            <w:vAlign w:val="center"/>
          </w:tcPr>
          <w:p w14:paraId="55042B26" w14:textId="5535E021" w:rsidR="00674B1E" w:rsidRDefault="00674B1E" w:rsidP="00A65564">
            <w:pPr>
              <w:pStyle w:val="TableText"/>
              <w:keepNext w:val="0"/>
            </w:pPr>
            <w:r>
              <w:t xml:space="preserve">30% in year 1 to 50% in year 6 in the psychiatry setting; 2% in year 1 to 7% in year 6 in the GP setting. </w:t>
            </w:r>
            <w:r w:rsidRPr="002530A2">
              <w:t>Sponsor assumption based on expert opinion.</w:t>
            </w:r>
            <w:r>
              <w:t xml:space="preserve"> Uptake rate in GP setting includes those referred to the care of a psychiatrist.</w:t>
            </w:r>
          </w:p>
        </w:tc>
        <w:tc>
          <w:tcPr>
            <w:tcW w:w="1927" w:type="pct"/>
            <w:vMerge w:val="restart"/>
            <w:vAlign w:val="center"/>
          </w:tcPr>
          <w:p w14:paraId="1BF82E3E" w14:textId="6ADEE4D6" w:rsidR="00674B1E" w:rsidRPr="009E445C" w:rsidRDefault="00674B1E" w:rsidP="00A65564">
            <w:pPr>
              <w:pStyle w:val="TableText"/>
              <w:keepNext w:val="0"/>
            </w:pPr>
            <w:r w:rsidRPr="0096290C">
              <w:t xml:space="preserve">The uptake of </w:t>
            </w:r>
            <w:proofErr w:type="spellStart"/>
            <w:r w:rsidRPr="0096290C">
              <w:t>esketamine</w:t>
            </w:r>
            <w:proofErr w:type="spellEnd"/>
            <w:r w:rsidRPr="0096290C">
              <w:t xml:space="preserve"> is considered highly uncertain, particularly in the GP setting where the majority of MDD is managed. </w:t>
            </w:r>
            <w:proofErr w:type="spellStart"/>
            <w:r w:rsidRPr="0096290C">
              <w:t>Esketamine</w:t>
            </w:r>
            <w:proofErr w:type="spellEnd"/>
            <w:r w:rsidRPr="0096290C">
              <w:t xml:space="preserve"> represents a novel treatment for a disorder that is resistant to standard therapies. However, uptake is likely to be constrained by the ability of treatment sites comply with </w:t>
            </w:r>
            <w:proofErr w:type="spellStart"/>
            <w:r w:rsidRPr="0096290C">
              <w:t>esketamine</w:t>
            </w:r>
            <w:proofErr w:type="spellEnd"/>
            <w:r w:rsidRPr="0096290C">
              <w:t xml:space="preserve"> delivery, handling and monitoring requirements. </w:t>
            </w:r>
            <w:r w:rsidR="00111852">
              <w:t xml:space="preserve">The PBAC noted uptake in the GP setting should be removed from the financial estimates, given the recommendation to limit initiation to psychiatrists.  </w:t>
            </w:r>
          </w:p>
        </w:tc>
      </w:tr>
      <w:tr w:rsidR="00674B1E" w14:paraId="47BF02CC" w14:textId="77777777" w:rsidTr="007522DE">
        <w:trPr>
          <w:cantSplit/>
        </w:trPr>
        <w:tc>
          <w:tcPr>
            <w:tcW w:w="988" w:type="pct"/>
            <w:vAlign w:val="center"/>
          </w:tcPr>
          <w:p w14:paraId="3A78B42D" w14:textId="77777777" w:rsidR="00674B1E" w:rsidRDefault="00674B1E" w:rsidP="00A65564">
            <w:pPr>
              <w:pStyle w:val="TableText"/>
              <w:keepNext w:val="0"/>
            </w:pPr>
            <w:r>
              <w:t>Uptake rate (GP setting)</w:t>
            </w:r>
          </w:p>
        </w:tc>
        <w:tc>
          <w:tcPr>
            <w:tcW w:w="2085" w:type="pct"/>
            <w:vMerge/>
            <w:vAlign w:val="center"/>
          </w:tcPr>
          <w:p w14:paraId="64F0DFF3" w14:textId="77777777" w:rsidR="00674B1E" w:rsidRDefault="00674B1E" w:rsidP="00A65564">
            <w:pPr>
              <w:pStyle w:val="TableText"/>
              <w:keepNext w:val="0"/>
            </w:pPr>
          </w:p>
        </w:tc>
        <w:tc>
          <w:tcPr>
            <w:tcW w:w="1927" w:type="pct"/>
            <w:vMerge/>
            <w:vAlign w:val="center"/>
          </w:tcPr>
          <w:p w14:paraId="07CC6803" w14:textId="77777777" w:rsidR="00674B1E" w:rsidRPr="009E445C" w:rsidRDefault="00674B1E" w:rsidP="00A65564">
            <w:pPr>
              <w:pStyle w:val="TableText"/>
              <w:keepNext w:val="0"/>
            </w:pPr>
          </w:p>
        </w:tc>
      </w:tr>
      <w:tr w:rsidR="00674B1E" w14:paraId="336044F9" w14:textId="77777777" w:rsidTr="007522DE">
        <w:trPr>
          <w:cantSplit/>
        </w:trPr>
        <w:tc>
          <w:tcPr>
            <w:tcW w:w="988" w:type="pct"/>
            <w:vAlign w:val="center"/>
          </w:tcPr>
          <w:p w14:paraId="1C85CE1D" w14:textId="709421EA" w:rsidR="00674B1E" w:rsidRDefault="00674B1E" w:rsidP="00A65564">
            <w:pPr>
              <w:pStyle w:val="TableText"/>
              <w:keepNext w:val="0"/>
            </w:pPr>
            <w:r w:rsidRPr="00882B92">
              <w:t>Dose distribution between 56 mg and 84 mg dose</w:t>
            </w:r>
          </w:p>
        </w:tc>
        <w:tc>
          <w:tcPr>
            <w:tcW w:w="2085" w:type="pct"/>
            <w:vAlign w:val="center"/>
          </w:tcPr>
          <w:p w14:paraId="7B1CAA90" w14:textId="77777777" w:rsidR="00A46E49" w:rsidRDefault="00674B1E" w:rsidP="00B51978">
            <w:pPr>
              <w:pStyle w:val="TableText"/>
              <w:keepNext w:val="0"/>
            </w:pPr>
            <w:r w:rsidRPr="00A309CD">
              <w:t>Initial:  56 mg - 47.0%; 84 mg - 53.0%.</w:t>
            </w:r>
          </w:p>
          <w:p w14:paraId="3F0B35F6" w14:textId="77777777" w:rsidR="00A46E49" w:rsidRDefault="00674B1E" w:rsidP="00B51978">
            <w:pPr>
              <w:pStyle w:val="TableText"/>
              <w:keepNext w:val="0"/>
            </w:pPr>
            <w:r w:rsidRPr="00A309CD">
              <w:t>Continuing: 56 mg - 39.5%; 84 mg - 60.5%.</w:t>
            </w:r>
          </w:p>
          <w:p w14:paraId="5BCB91D6" w14:textId="4C942D6F" w:rsidR="00674B1E" w:rsidRPr="00D86E6C" w:rsidRDefault="00674B1E" w:rsidP="00A65564">
            <w:pPr>
              <w:pStyle w:val="TableText"/>
              <w:keepNext w:val="0"/>
            </w:pPr>
            <w:r w:rsidRPr="00DE7BE1">
              <w:t xml:space="preserve">Distribution derived from the mean daily dose of </w:t>
            </w:r>
            <w:proofErr w:type="spellStart"/>
            <w:r w:rsidRPr="00DE7BE1">
              <w:t>esketamine</w:t>
            </w:r>
            <w:proofErr w:type="spellEnd"/>
            <w:r w:rsidRPr="00DE7BE1">
              <w:t xml:space="preserve"> in the TRANSFORM-2 trial four-week initial treatment period (70.7 mg, equating to 2.5298 </w:t>
            </w:r>
            <w:proofErr w:type="spellStart"/>
            <w:r w:rsidRPr="00DE7BE1">
              <w:t>esketamine</w:t>
            </w:r>
            <w:proofErr w:type="spellEnd"/>
            <w:r w:rsidRPr="00DE7BE1">
              <w:t xml:space="preserve"> devices), and the average number of </w:t>
            </w:r>
            <w:proofErr w:type="spellStart"/>
            <w:r w:rsidRPr="00DE7BE1">
              <w:t>esketamine</w:t>
            </w:r>
            <w:proofErr w:type="spellEnd"/>
            <w:r w:rsidRPr="00DE7BE1">
              <w:t xml:space="preserve"> devices used per session in the SUSTAIN-1 maintenance phase (2.605). Assumed that patients received either 2 x 28 mg devices for a 56 mg dose or 3 x 28 mg devices for an 84 mg dose.</w:t>
            </w:r>
          </w:p>
        </w:tc>
        <w:tc>
          <w:tcPr>
            <w:tcW w:w="1927" w:type="pct"/>
            <w:vAlign w:val="center"/>
          </w:tcPr>
          <w:p w14:paraId="2BA6A6F8" w14:textId="2C66A742" w:rsidR="00674B1E" w:rsidRPr="009E445C" w:rsidRDefault="00674B1E" w:rsidP="00A65564">
            <w:pPr>
              <w:pStyle w:val="TableText"/>
              <w:keepNext w:val="0"/>
            </w:pPr>
            <w:r w:rsidRPr="0096290C">
              <w:t>The submission did not account for use of a 28</w:t>
            </w:r>
            <w:r w:rsidR="001D6184">
              <w:t> </w:t>
            </w:r>
            <w:r w:rsidRPr="0096290C">
              <w:t xml:space="preserve"> mg dose among elderly patients. The dose distribution among the PBS population may differ from the distribution in the clinical trial setting. The recommended dose for patients aged ≥65 years is 28 mg, however, patients ≥65 years were excluded from the trials informing dose distribution.</w:t>
            </w:r>
            <w:r w:rsidR="002A777F">
              <w:t xml:space="preserve"> The PBAC considered</w:t>
            </w:r>
            <w:r w:rsidR="00BB6A2C">
              <w:t xml:space="preserve"> assumptions regarding</w:t>
            </w:r>
            <w:r w:rsidR="002A777F">
              <w:t xml:space="preserve"> dose frequency w</w:t>
            </w:r>
            <w:r w:rsidR="00786BC0">
              <w:t>ere</w:t>
            </w:r>
            <w:r w:rsidR="002A777F">
              <w:t xml:space="preserve"> also important</w:t>
            </w:r>
            <w:r w:rsidR="00BB6A2C">
              <w:t xml:space="preserve">, particularly given the tendency to extend treatment interval (refer para 2.3). </w:t>
            </w:r>
            <w:r w:rsidR="002A777F">
              <w:t xml:space="preserve"> </w:t>
            </w:r>
          </w:p>
        </w:tc>
      </w:tr>
      <w:tr w:rsidR="00674B1E" w14:paraId="2050DDDF" w14:textId="77777777" w:rsidTr="007522DE">
        <w:trPr>
          <w:cantSplit/>
        </w:trPr>
        <w:tc>
          <w:tcPr>
            <w:tcW w:w="988" w:type="pct"/>
            <w:vAlign w:val="center"/>
          </w:tcPr>
          <w:p w14:paraId="4F0AAB2F" w14:textId="77777777" w:rsidR="00674B1E" w:rsidRDefault="00674B1E" w:rsidP="00A65564">
            <w:pPr>
              <w:pStyle w:val="TableText"/>
              <w:keepNext w:val="0"/>
            </w:pPr>
            <w:r w:rsidRPr="002530A2">
              <w:t>Persistence</w:t>
            </w:r>
          </w:p>
        </w:tc>
        <w:tc>
          <w:tcPr>
            <w:tcW w:w="2085" w:type="pct"/>
            <w:vAlign w:val="center"/>
          </w:tcPr>
          <w:p w14:paraId="6628F892" w14:textId="0518E8BF" w:rsidR="00674B1E" w:rsidRDefault="00674B1E" w:rsidP="00A65564">
            <w:pPr>
              <w:pStyle w:val="TableText"/>
              <w:keepNext w:val="0"/>
            </w:pPr>
            <w:r w:rsidRPr="00E23A72">
              <w:t>48.4% in year 1 to 58.05% in year 6.</w:t>
            </w:r>
            <w:r>
              <w:t xml:space="preserve"> </w:t>
            </w:r>
            <w:r w:rsidRPr="002530A2">
              <w:t xml:space="preserve">Derived from the proportion of patients remaining on treatment each year in the </w:t>
            </w:r>
            <w:r w:rsidR="00216E6F">
              <w:t>July 2021</w:t>
            </w:r>
            <w:r w:rsidR="00575D10" w:rsidRPr="00D60B48">
              <w:t xml:space="preserve"> </w:t>
            </w:r>
            <w:r w:rsidRPr="002530A2">
              <w:t>economic model.</w:t>
            </w:r>
          </w:p>
        </w:tc>
        <w:tc>
          <w:tcPr>
            <w:tcW w:w="1927" w:type="pct"/>
            <w:vAlign w:val="center"/>
          </w:tcPr>
          <w:p w14:paraId="4CD4F1E6" w14:textId="77777777" w:rsidR="00674B1E" w:rsidRPr="009E445C" w:rsidRDefault="00674B1E" w:rsidP="00A65564">
            <w:pPr>
              <w:pStyle w:val="TableText"/>
              <w:keepNext w:val="0"/>
            </w:pPr>
            <w:r w:rsidRPr="0096290C">
              <w:t xml:space="preserve">Differences between the clinical trial setting and Australian clinical practice may result in differences in persistence. The proposed restriction does not preclude repeat courses of </w:t>
            </w:r>
            <w:proofErr w:type="spellStart"/>
            <w:r w:rsidRPr="0096290C">
              <w:t>esketamine</w:t>
            </w:r>
            <w:proofErr w:type="spellEnd"/>
            <w:r w:rsidRPr="0096290C">
              <w:t>, which were not accounted for in the financial estimates.</w:t>
            </w:r>
          </w:p>
        </w:tc>
      </w:tr>
      <w:tr w:rsidR="00674B1E" w14:paraId="7E663029" w14:textId="77777777" w:rsidTr="007522DE">
        <w:trPr>
          <w:cantSplit/>
        </w:trPr>
        <w:tc>
          <w:tcPr>
            <w:tcW w:w="988" w:type="pct"/>
            <w:vAlign w:val="center"/>
          </w:tcPr>
          <w:p w14:paraId="595C7B44" w14:textId="476FC6B5" w:rsidR="00674B1E" w:rsidRDefault="000C0EBC" w:rsidP="00A65564">
            <w:pPr>
              <w:pStyle w:val="TableText"/>
              <w:keepNext w:val="0"/>
            </w:pPr>
            <w:r>
              <w:t>Adherence</w:t>
            </w:r>
          </w:p>
        </w:tc>
        <w:tc>
          <w:tcPr>
            <w:tcW w:w="2085" w:type="pct"/>
            <w:vAlign w:val="center"/>
          </w:tcPr>
          <w:p w14:paraId="17A94A28" w14:textId="23742691" w:rsidR="00674B1E" w:rsidRDefault="00674B1E" w:rsidP="00A65564">
            <w:pPr>
              <w:pStyle w:val="TableText"/>
              <w:keepNext w:val="0"/>
            </w:pPr>
            <w:r w:rsidRPr="004615B1">
              <w:t xml:space="preserve">92.5% for initial treatment, 73.8% for continuing treatment in the initiation year, and 67.5% in subsequent years. </w:t>
            </w:r>
            <w:r w:rsidRPr="002530A2">
              <w:t>Derived from TRANSFORM-2 (initial treatment) and SUSTAIN-1 (maintenance) trial data.</w:t>
            </w:r>
          </w:p>
        </w:tc>
        <w:tc>
          <w:tcPr>
            <w:tcW w:w="1927" w:type="pct"/>
            <w:vAlign w:val="center"/>
          </w:tcPr>
          <w:p w14:paraId="548E9E92" w14:textId="4703C82C" w:rsidR="00674B1E" w:rsidRPr="009E445C" w:rsidRDefault="00674B1E" w:rsidP="00A65564">
            <w:pPr>
              <w:pStyle w:val="TableText"/>
              <w:keepNext w:val="0"/>
            </w:pPr>
            <w:r w:rsidRPr="0096290C">
              <w:t xml:space="preserve">Differences between the clinical trial setting and Australian clinical practice may result in differences in </w:t>
            </w:r>
            <w:r w:rsidR="000C0EBC" w:rsidRPr="0096290C">
              <w:t>adherence</w:t>
            </w:r>
            <w:r w:rsidR="00575D10" w:rsidRPr="0096290C">
              <w:t>.</w:t>
            </w:r>
            <w:r w:rsidRPr="0096290C">
              <w:t xml:space="preserve"> Difficulty in accessing supervised administration, the burden of twice weekly, weekly, or fortnightly appointments for administration, and the inability to drive for the rest of the day following treatment, may impact </w:t>
            </w:r>
            <w:r w:rsidR="000C0EBC" w:rsidRPr="0096290C">
              <w:t>adherence</w:t>
            </w:r>
            <w:r w:rsidR="00575D10" w:rsidRPr="0096290C">
              <w:t>.</w:t>
            </w:r>
          </w:p>
        </w:tc>
      </w:tr>
    </w:tbl>
    <w:p w14:paraId="54811858" w14:textId="77777777" w:rsidR="00575D10" w:rsidRPr="00B1011F" w:rsidRDefault="00575D10" w:rsidP="00575D10">
      <w:pPr>
        <w:pStyle w:val="TableFigureFooter"/>
        <w:rPr>
          <w:sz w:val="20"/>
        </w:rPr>
      </w:pPr>
      <w:r>
        <w:t xml:space="preserve">Source: Section 4.2, p.234-237; Section 4.3, p.237-243 of the resubmission; </w:t>
      </w:r>
      <w:r w:rsidRPr="00CF18E9">
        <w:t xml:space="preserve">Utilisation cost model – </w:t>
      </w:r>
      <w:proofErr w:type="spellStart"/>
      <w:r w:rsidRPr="00CF18E9">
        <w:t>esketamine</w:t>
      </w:r>
      <w:proofErr w:type="spellEnd"/>
      <w:r w:rsidRPr="00CF18E9">
        <w:t xml:space="preserve"> TRD’ Excel workbook</w:t>
      </w:r>
    </w:p>
    <w:p w14:paraId="220DA9D9" w14:textId="339B4B2C" w:rsidR="007925DF" w:rsidRPr="00575D10" w:rsidRDefault="00575D10" w:rsidP="00575D10">
      <w:pPr>
        <w:pStyle w:val="TableFigureFooter"/>
      </w:pPr>
      <w:r w:rsidRPr="002530A2">
        <w:t xml:space="preserve">Abbreviations: AEMP, approved ex-manufacturer price; GP, general practitioner; MDD, major depressive disorder; TRD, treatment-resistant depression; </w:t>
      </w:r>
      <w:proofErr w:type="spellStart"/>
      <w:r w:rsidRPr="002530A2">
        <w:t>Yr</w:t>
      </w:r>
      <w:proofErr w:type="spellEnd"/>
      <w:r w:rsidRPr="002530A2">
        <w:t>, Year.</w:t>
      </w:r>
    </w:p>
    <w:p w14:paraId="26FB6670" w14:textId="0EAD1F40" w:rsidR="00B505C8" w:rsidRPr="001F49F8" w:rsidRDefault="001F49F8" w:rsidP="00B505C8">
      <w:pPr>
        <w:pStyle w:val="ExecSumBodyText"/>
      </w:pPr>
      <w:r w:rsidRPr="001F49F8">
        <w:t xml:space="preserve">The estimated net cost of listing </w:t>
      </w:r>
      <w:proofErr w:type="spellStart"/>
      <w:r w:rsidRPr="001F49F8">
        <w:t>esketamine</w:t>
      </w:r>
      <w:proofErr w:type="spellEnd"/>
      <w:r w:rsidRPr="001F49F8">
        <w:t xml:space="preserve"> on the PBS/RPBS for TRD is summarised in the table below.</w:t>
      </w:r>
    </w:p>
    <w:p w14:paraId="3019CD47" w14:textId="370D4696" w:rsidR="00C63763" w:rsidRPr="000A6039" w:rsidRDefault="00C63763" w:rsidP="00C50DC8">
      <w:pPr>
        <w:pStyle w:val="Caption"/>
      </w:pPr>
      <w:r w:rsidRPr="000A6039">
        <w:lastRenderedPageBreak/>
        <w:t xml:space="preserve">Table </w:t>
      </w:r>
      <w:r w:rsidR="002030D0">
        <w:fldChar w:fldCharType="begin"/>
      </w:r>
      <w:r w:rsidR="002030D0">
        <w:instrText xml:space="preserve"> SEQ Table \* ARABIC </w:instrText>
      </w:r>
      <w:r w:rsidR="002030D0">
        <w:fldChar w:fldCharType="separate"/>
      </w:r>
      <w:r w:rsidR="008E3D7A">
        <w:rPr>
          <w:noProof/>
        </w:rPr>
        <w:t>19</w:t>
      </w:r>
      <w:r w:rsidR="002030D0">
        <w:rPr>
          <w:noProof/>
        </w:rPr>
        <w:fldChar w:fldCharType="end"/>
      </w:r>
      <w:r w:rsidRPr="00D60B48">
        <w:t>:</w:t>
      </w:r>
      <w:r w:rsidRPr="000A6039">
        <w:t xml:space="preserve"> Estimation of </w:t>
      </w:r>
      <w:r>
        <w:t>use and financial implications</w:t>
      </w:r>
    </w:p>
    <w:tbl>
      <w:tblPr>
        <w:tblStyle w:val="TableGrid"/>
        <w:tblW w:w="5000" w:type="pct"/>
        <w:tblLayout w:type="fixed"/>
        <w:tblCellMar>
          <w:left w:w="28" w:type="dxa"/>
          <w:right w:w="28" w:type="dxa"/>
        </w:tblCellMar>
        <w:tblLook w:val="04A0" w:firstRow="1" w:lastRow="0" w:firstColumn="1" w:lastColumn="0" w:noHBand="0" w:noVBand="1"/>
      </w:tblPr>
      <w:tblGrid>
        <w:gridCol w:w="2547"/>
        <w:gridCol w:w="1079"/>
        <w:gridCol w:w="1079"/>
        <w:gridCol w:w="1078"/>
        <w:gridCol w:w="1078"/>
        <w:gridCol w:w="1078"/>
        <w:gridCol w:w="1078"/>
      </w:tblGrid>
      <w:tr w:rsidR="00C63763" w:rsidRPr="000A6039" w14:paraId="67BF6F4F" w14:textId="77777777" w:rsidTr="00936DDC">
        <w:tc>
          <w:tcPr>
            <w:tcW w:w="1412" w:type="pct"/>
          </w:tcPr>
          <w:p w14:paraId="68E4F415" w14:textId="77777777" w:rsidR="00C63763" w:rsidRPr="00B1351E" w:rsidRDefault="00C63763" w:rsidP="00C50DC8">
            <w:pPr>
              <w:keepNext/>
              <w:rPr>
                <w:rFonts w:ascii="Arial Narrow" w:hAnsi="Arial Narrow"/>
                <w:color w:val="3366FF"/>
                <w:sz w:val="20"/>
                <w:szCs w:val="20"/>
              </w:rPr>
            </w:pPr>
          </w:p>
        </w:tc>
        <w:tc>
          <w:tcPr>
            <w:tcW w:w="598" w:type="pct"/>
            <w:shd w:val="clear" w:color="auto" w:fill="auto"/>
            <w:vAlign w:val="center"/>
          </w:tcPr>
          <w:p w14:paraId="3274BAEC" w14:textId="77777777" w:rsidR="00C63763" w:rsidRPr="000A6039" w:rsidRDefault="00C63763" w:rsidP="00A65564">
            <w:pPr>
              <w:pStyle w:val="TableFigureCaption"/>
              <w:jc w:val="center"/>
            </w:pPr>
            <w:r w:rsidRPr="000A6039">
              <w:t>Year 1</w:t>
            </w:r>
          </w:p>
        </w:tc>
        <w:tc>
          <w:tcPr>
            <w:tcW w:w="598" w:type="pct"/>
            <w:shd w:val="clear" w:color="auto" w:fill="auto"/>
            <w:vAlign w:val="center"/>
          </w:tcPr>
          <w:p w14:paraId="4333BBC9" w14:textId="77777777" w:rsidR="00C63763" w:rsidRPr="000A6039" w:rsidRDefault="00C63763" w:rsidP="00A65564">
            <w:pPr>
              <w:pStyle w:val="TableFigureCaption"/>
              <w:jc w:val="center"/>
            </w:pPr>
            <w:r w:rsidRPr="000A6039">
              <w:t>Year 2</w:t>
            </w:r>
          </w:p>
        </w:tc>
        <w:tc>
          <w:tcPr>
            <w:tcW w:w="598" w:type="pct"/>
            <w:shd w:val="clear" w:color="auto" w:fill="auto"/>
            <w:vAlign w:val="center"/>
          </w:tcPr>
          <w:p w14:paraId="32B7F5DF" w14:textId="77777777" w:rsidR="00C63763" w:rsidRPr="000A6039" w:rsidRDefault="00C63763" w:rsidP="00A65564">
            <w:pPr>
              <w:pStyle w:val="TableFigureCaption"/>
              <w:jc w:val="center"/>
            </w:pPr>
            <w:r w:rsidRPr="000A6039">
              <w:t>Year 3</w:t>
            </w:r>
          </w:p>
        </w:tc>
        <w:tc>
          <w:tcPr>
            <w:tcW w:w="598" w:type="pct"/>
            <w:shd w:val="clear" w:color="auto" w:fill="auto"/>
            <w:vAlign w:val="center"/>
          </w:tcPr>
          <w:p w14:paraId="56603C69" w14:textId="77777777" w:rsidR="00C63763" w:rsidRPr="000A6039" w:rsidRDefault="00C63763" w:rsidP="00A65564">
            <w:pPr>
              <w:pStyle w:val="TableFigureCaption"/>
              <w:jc w:val="center"/>
            </w:pPr>
            <w:r w:rsidRPr="000A6039">
              <w:t>Year 4</w:t>
            </w:r>
          </w:p>
        </w:tc>
        <w:tc>
          <w:tcPr>
            <w:tcW w:w="598" w:type="pct"/>
            <w:shd w:val="clear" w:color="auto" w:fill="auto"/>
            <w:vAlign w:val="center"/>
          </w:tcPr>
          <w:p w14:paraId="44FA5E2A" w14:textId="77777777" w:rsidR="00C63763" w:rsidRPr="000A6039" w:rsidRDefault="00C63763" w:rsidP="00A65564">
            <w:pPr>
              <w:pStyle w:val="TableFigureCaption"/>
              <w:jc w:val="center"/>
            </w:pPr>
            <w:r w:rsidRPr="000A6039">
              <w:t>Year 5</w:t>
            </w:r>
          </w:p>
        </w:tc>
        <w:tc>
          <w:tcPr>
            <w:tcW w:w="598" w:type="pct"/>
            <w:shd w:val="clear" w:color="auto" w:fill="auto"/>
            <w:vAlign w:val="center"/>
          </w:tcPr>
          <w:p w14:paraId="53FB38D0" w14:textId="77777777" w:rsidR="00C63763" w:rsidRPr="000A6039" w:rsidRDefault="00C63763" w:rsidP="00A65564">
            <w:pPr>
              <w:pStyle w:val="TableFigureCaption"/>
              <w:jc w:val="center"/>
            </w:pPr>
            <w:r w:rsidRPr="000A6039">
              <w:t>Year 6</w:t>
            </w:r>
          </w:p>
        </w:tc>
      </w:tr>
      <w:tr w:rsidR="00C63763" w:rsidRPr="00911822" w14:paraId="54BCF3E2" w14:textId="77777777" w:rsidTr="00936DDC">
        <w:tc>
          <w:tcPr>
            <w:tcW w:w="1412" w:type="pct"/>
          </w:tcPr>
          <w:p w14:paraId="361E0B2F" w14:textId="0BFFE218" w:rsidR="00C63763" w:rsidRPr="00890CC3" w:rsidRDefault="00C50DC8" w:rsidP="00A65564">
            <w:pPr>
              <w:pStyle w:val="TableText"/>
              <w:rPr>
                <w:vertAlign w:val="superscript"/>
              </w:rPr>
            </w:pPr>
            <w:r>
              <w:t>N</w:t>
            </w:r>
            <w:r w:rsidR="00C63763" w:rsidRPr="00D60B48">
              <w:t>umber</w:t>
            </w:r>
            <w:r w:rsidR="00C63763" w:rsidRPr="00911822">
              <w:t xml:space="preserve"> of patients with TRD</w:t>
            </w:r>
            <w:r w:rsidR="00C63763">
              <w:rPr>
                <w:vertAlign w:val="superscript"/>
              </w:rPr>
              <w:t>1</w:t>
            </w:r>
          </w:p>
        </w:tc>
        <w:tc>
          <w:tcPr>
            <w:tcW w:w="598" w:type="pct"/>
            <w:shd w:val="clear" w:color="auto" w:fill="auto"/>
            <w:vAlign w:val="center"/>
          </w:tcPr>
          <w:p w14:paraId="399FC99D" w14:textId="2CBF8AC3" w:rsidR="00C63763" w:rsidRPr="004D3863" w:rsidRDefault="00B9195B" w:rsidP="00C50DC8">
            <w:pPr>
              <w:pStyle w:val="Tabletext0"/>
              <w:keepNext/>
              <w:jc w:val="center"/>
              <w:rPr>
                <w:highlight w:val="darkGray"/>
                <w:vertAlign w:val="superscript"/>
              </w:rPr>
            </w:pPr>
            <w:r w:rsidRPr="00B9195B">
              <w:rPr>
                <w:rFonts w:hint="eastAsia"/>
                <w:color w:val="000000"/>
                <w:w w:val="15"/>
                <w:shd w:val="solid" w:color="000000" w:fill="000000"/>
                <w:fitText w:val="70" w:id="-1436330744"/>
                <w14:textFill>
                  <w14:solidFill>
                    <w14:srgbClr w14:val="000000">
                      <w14:alpha w14:val="100000"/>
                    </w14:srgbClr>
                  </w14:solidFill>
                </w14:textFill>
              </w:rPr>
              <w:t xml:space="preserve">　</w:t>
            </w:r>
            <w:r w:rsidRPr="00B9195B">
              <w:rPr>
                <w:color w:val="000000"/>
                <w:w w:val="15"/>
                <w:shd w:val="solid" w:color="000000" w:fill="000000"/>
                <w:fitText w:val="70" w:id="-1436330744"/>
                <w14:textFill>
                  <w14:solidFill>
                    <w14:srgbClr w14:val="000000">
                      <w14:alpha w14:val="100000"/>
                    </w14:srgbClr>
                  </w14:solidFill>
                </w14:textFill>
              </w:rPr>
              <w:t>|</w:t>
            </w:r>
            <w:r w:rsidRPr="00B9195B">
              <w:rPr>
                <w:rFonts w:hint="eastAsia"/>
                <w:color w:val="000000"/>
                <w:spacing w:val="4"/>
                <w:w w:val="15"/>
                <w:shd w:val="solid" w:color="000000" w:fill="000000"/>
                <w:fitText w:val="70" w:id="-1436330744"/>
                <w14:textFill>
                  <w14:solidFill>
                    <w14:srgbClr w14:val="000000">
                      <w14:alpha w14:val="100000"/>
                    </w14:srgbClr>
                  </w14:solidFill>
                </w14:textFill>
              </w:rPr>
              <w:t xml:space="preserve">　</w:t>
            </w:r>
            <w:r w:rsidR="00186D0B">
              <w:rPr>
                <w:vertAlign w:val="superscript"/>
              </w:rPr>
              <w:t>4</w:t>
            </w:r>
          </w:p>
        </w:tc>
        <w:tc>
          <w:tcPr>
            <w:tcW w:w="598" w:type="pct"/>
            <w:shd w:val="clear" w:color="auto" w:fill="auto"/>
            <w:vAlign w:val="center"/>
          </w:tcPr>
          <w:p w14:paraId="42066713" w14:textId="66BEEA5E"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43"/>
                <w14:textFill>
                  <w14:solidFill>
                    <w14:srgbClr w14:val="000000">
                      <w14:alpha w14:val="100000"/>
                    </w14:srgbClr>
                  </w14:solidFill>
                </w14:textFill>
              </w:rPr>
              <w:t xml:space="preserve">　</w:t>
            </w:r>
            <w:r w:rsidRPr="00B9195B">
              <w:rPr>
                <w:color w:val="000000"/>
                <w:w w:val="15"/>
                <w:shd w:val="solid" w:color="000000" w:fill="000000"/>
                <w:fitText w:val="70" w:id="-1436330743"/>
                <w14:textFill>
                  <w14:solidFill>
                    <w14:srgbClr w14:val="000000">
                      <w14:alpha w14:val="100000"/>
                    </w14:srgbClr>
                  </w14:solidFill>
                </w14:textFill>
              </w:rPr>
              <w:t>|</w:t>
            </w:r>
            <w:r w:rsidRPr="00B9195B">
              <w:rPr>
                <w:rFonts w:hint="eastAsia"/>
                <w:color w:val="000000"/>
                <w:spacing w:val="4"/>
                <w:w w:val="15"/>
                <w:shd w:val="solid" w:color="000000" w:fill="000000"/>
                <w:fitText w:val="70" w:id="-1436330743"/>
                <w14:textFill>
                  <w14:solidFill>
                    <w14:srgbClr w14:val="000000">
                      <w14:alpha w14:val="100000"/>
                    </w14:srgbClr>
                  </w14:solidFill>
                </w14:textFill>
              </w:rPr>
              <w:t xml:space="preserve">　</w:t>
            </w:r>
            <w:r w:rsidR="00186D0B">
              <w:rPr>
                <w:vertAlign w:val="superscript"/>
              </w:rPr>
              <w:t>4</w:t>
            </w:r>
          </w:p>
        </w:tc>
        <w:tc>
          <w:tcPr>
            <w:tcW w:w="598" w:type="pct"/>
            <w:shd w:val="clear" w:color="auto" w:fill="auto"/>
            <w:vAlign w:val="center"/>
          </w:tcPr>
          <w:p w14:paraId="0AAD11FB" w14:textId="4F21ABB3"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42"/>
                <w14:textFill>
                  <w14:solidFill>
                    <w14:srgbClr w14:val="000000">
                      <w14:alpha w14:val="100000"/>
                    </w14:srgbClr>
                  </w14:solidFill>
                </w14:textFill>
              </w:rPr>
              <w:t xml:space="preserve">　</w:t>
            </w:r>
            <w:r w:rsidRPr="00B9195B">
              <w:rPr>
                <w:color w:val="000000"/>
                <w:w w:val="15"/>
                <w:shd w:val="solid" w:color="000000" w:fill="000000"/>
                <w:fitText w:val="70" w:id="-1436330742"/>
                <w14:textFill>
                  <w14:solidFill>
                    <w14:srgbClr w14:val="000000">
                      <w14:alpha w14:val="100000"/>
                    </w14:srgbClr>
                  </w14:solidFill>
                </w14:textFill>
              </w:rPr>
              <w:t>|</w:t>
            </w:r>
            <w:r w:rsidRPr="00B9195B">
              <w:rPr>
                <w:rFonts w:hint="eastAsia"/>
                <w:color w:val="000000"/>
                <w:spacing w:val="4"/>
                <w:w w:val="15"/>
                <w:shd w:val="solid" w:color="000000" w:fill="000000"/>
                <w:fitText w:val="70" w:id="-1436330742"/>
                <w14:textFill>
                  <w14:solidFill>
                    <w14:srgbClr w14:val="000000">
                      <w14:alpha w14:val="100000"/>
                    </w14:srgbClr>
                  </w14:solidFill>
                </w14:textFill>
              </w:rPr>
              <w:t xml:space="preserve">　</w:t>
            </w:r>
            <w:r w:rsidR="00186D0B">
              <w:rPr>
                <w:vertAlign w:val="superscript"/>
              </w:rPr>
              <w:t>4</w:t>
            </w:r>
          </w:p>
        </w:tc>
        <w:tc>
          <w:tcPr>
            <w:tcW w:w="598" w:type="pct"/>
            <w:shd w:val="clear" w:color="auto" w:fill="auto"/>
            <w:vAlign w:val="center"/>
          </w:tcPr>
          <w:p w14:paraId="2C978800" w14:textId="65C92EC1"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41"/>
                <w14:textFill>
                  <w14:solidFill>
                    <w14:srgbClr w14:val="000000">
                      <w14:alpha w14:val="100000"/>
                    </w14:srgbClr>
                  </w14:solidFill>
                </w14:textFill>
              </w:rPr>
              <w:t xml:space="preserve">　</w:t>
            </w:r>
            <w:r w:rsidRPr="00B9195B">
              <w:rPr>
                <w:color w:val="000000"/>
                <w:w w:val="15"/>
                <w:shd w:val="solid" w:color="000000" w:fill="000000"/>
                <w:fitText w:val="69" w:id="-1436330741"/>
                <w14:textFill>
                  <w14:solidFill>
                    <w14:srgbClr w14:val="000000">
                      <w14:alpha w14:val="100000"/>
                    </w14:srgbClr>
                  </w14:solidFill>
                </w14:textFill>
              </w:rPr>
              <w:t>|</w:t>
            </w:r>
            <w:r w:rsidRPr="00B9195B">
              <w:rPr>
                <w:rFonts w:hint="eastAsia"/>
                <w:color w:val="000000"/>
                <w:spacing w:val="3"/>
                <w:w w:val="15"/>
                <w:shd w:val="solid" w:color="000000" w:fill="000000"/>
                <w:fitText w:val="69" w:id="-1436330741"/>
                <w14:textFill>
                  <w14:solidFill>
                    <w14:srgbClr w14:val="000000">
                      <w14:alpha w14:val="100000"/>
                    </w14:srgbClr>
                  </w14:solidFill>
                </w14:textFill>
              </w:rPr>
              <w:t xml:space="preserve">　</w:t>
            </w:r>
            <w:r w:rsidR="00186D0B">
              <w:rPr>
                <w:vertAlign w:val="superscript"/>
              </w:rPr>
              <w:t>4</w:t>
            </w:r>
          </w:p>
        </w:tc>
        <w:tc>
          <w:tcPr>
            <w:tcW w:w="598" w:type="pct"/>
            <w:shd w:val="clear" w:color="auto" w:fill="auto"/>
            <w:vAlign w:val="center"/>
          </w:tcPr>
          <w:p w14:paraId="4C493C38" w14:textId="2332B6E9"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40"/>
                <w14:textFill>
                  <w14:solidFill>
                    <w14:srgbClr w14:val="000000">
                      <w14:alpha w14:val="100000"/>
                    </w14:srgbClr>
                  </w14:solidFill>
                </w14:textFill>
              </w:rPr>
              <w:t xml:space="preserve">　</w:t>
            </w:r>
            <w:r w:rsidRPr="00B9195B">
              <w:rPr>
                <w:color w:val="000000"/>
                <w:w w:val="15"/>
                <w:shd w:val="solid" w:color="000000" w:fill="000000"/>
                <w:fitText w:val="69" w:id="-1436330740"/>
                <w14:textFill>
                  <w14:solidFill>
                    <w14:srgbClr w14:val="000000">
                      <w14:alpha w14:val="100000"/>
                    </w14:srgbClr>
                  </w14:solidFill>
                </w14:textFill>
              </w:rPr>
              <w:t>|</w:t>
            </w:r>
            <w:r w:rsidRPr="00B9195B">
              <w:rPr>
                <w:rFonts w:hint="eastAsia"/>
                <w:color w:val="000000"/>
                <w:spacing w:val="3"/>
                <w:w w:val="15"/>
                <w:shd w:val="solid" w:color="000000" w:fill="000000"/>
                <w:fitText w:val="69" w:id="-1436330740"/>
                <w14:textFill>
                  <w14:solidFill>
                    <w14:srgbClr w14:val="000000">
                      <w14:alpha w14:val="100000"/>
                    </w14:srgbClr>
                  </w14:solidFill>
                </w14:textFill>
              </w:rPr>
              <w:t xml:space="preserve">　</w:t>
            </w:r>
            <w:r w:rsidR="00186D0B">
              <w:rPr>
                <w:vertAlign w:val="superscript"/>
              </w:rPr>
              <w:t>4</w:t>
            </w:r>
          </w:p>
        </w:tc>
        <w:tc>
          <w:tcPr>
            <w:tcW w:w="598" w:type="pct"/>
            <w:shd w:val="clear" w:color="auto" w:fill="auto"/>
            <w:vAlign w:val="center"/>
          </w:tcPr>
          <w:p w14:paraId="3098107A" w14:textId="19F9A03F" w:rsidR="00C63763" w:rsidRPr="004D3863" w:rsidRDefault="00B9195B" w:rsidP="00C50DC8">
            <w:pPr>
              <w:pStyle w:val="Tabletext0"/>
              <w:keepNext/>
              <w:jc w:val="center"/>
              <w:rPr>
                <w:highlight w:val="darkGray"/>
              </w:rPr>
            </w:pPr>
            <w:r w:rsidRPr="00B9195B">
              <w:rPr>
                <w:rFonts w:hint="eastAsia"/>
                <w:color w:val="000000"/>
                <w:w w:val="22"/>
                <w:shd w:val="solid" w:color="000000" w:fill="000000"/>
                <w:fitText w:val="100" w:id="-1436330739"/>
                <w14:textFill>
                  <w14:solidFill>
                    <w14:srgbClr w14:val="000000">
                      <w14:alpha w14:val="100000"/>
                    </w14:srgbClr>
                  </w14:solidFill>
                </w14:textFill>
              </w:rPr>
              <w:t xml:space="preserve">　</w:t>
            </w:r>
            <w:r w:rsidRPr="00B9195B">
              <w:rPr>
                <w:color w:val="000000"/>
                <w:w w:val="22"/>
                <w:shd w:val="solid" w:color="000000" w:fill="000000"/>
                <w:fitText w:val="100" w:id="-1436330739"/>
                <w14:textFill>
                  <w14:solidFill>
                    <w14:srgbClr w14:val="000000">
                      <w14:alpha w14:val="100000"/>
                    </w14:srgbClr>
                  </w14:solidFill>
                </w14:textFill>
              </w:rPr>
              <w:t>|</w:t>
            </w:r>
            <w:r w:rsidRPr="00B9195B">
              <w:rPr>
                <w:rFonts w:hint="eastAsia"/>
                <w:color w:val="000000"/>
                <w:spacing w:val="3"/>
                <w:w w:val="22"/>
                <w:shd w:val="solid" w:color="000000" w:fill="000000"/>
                <w:fitText w:val="100" w:id="-1436330739"/>
                <w14:textFill>
                  <w14:solidFill>
                    <w14:srgbClr w14:val="000000">
                      <w14:alpha w14:val="100000"/>
                    </w14:srgbClr>
                  </w14:solidFill>
                </w14:textFill>
              </w:rPr>
              <w:t xml:space="preserve">　</w:t>
            </w:r>
            <w:r w:rsidR="00186D0B">
              <w:rPr>
                <w:vertAlign w:val="superscript"/>
              </w:rPr>
              <w:t>13</w:t>
            </w:r>
          </w:p>
        </w:tc>
      </w:tr>
      <w:tr w:rsidR="00C63763" w:rsidRPr="00911822" w14:paraId="7CCB4D8F" w14:textId="77777777" w:rsidTr="00936DDC">
        <w:tc>
          <w:tcPr>
            <w:tcW w:w="1412" w:type="pct"/>
          </w:tcPr>
          <w:p w14:paraId="6FE4FD97" w14:textId="77777777" w:rsidR="00C63763" w:rsidRPr="00911822" w:rsidRDefault="00C63763" w:rsidP="00A65564">
            <w:pPr>
              <w:pStyle w:val="TableText"/>
            </w:pPr>
            <w:r w:rsidRPr="00911822">
              <w:t>Proportion treated in psychiatry setting (22%)</w:t>
            </w:r>
          </w:p>
        </w:tc>
        <w:tc>
          <w:tcPr>
            <w:tcW w:w="598" w:type="pct"/>
            <w:shd w:val="clear" w:color="auto" w:fill="auto"/>
            <w:vAlign w:val="center"/>
          </w:tcPr>
          <w:p w14:paraId="3EE1778D" w14:textId="43DAA192"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38"/>
                <w14:textFill>
                  <w14:solidFill>
                    <w14:srgbClr w14:val="000000">
                      <w14:alpha w14:val="100000"/>
                    </w14:srgbClr>
                  </w14:solidFill>
                </w14:textFill>
              </w:rPr>
              <w:t xml:space="preserve">　</w:t>
            </w:r>
            <w:r w:rsidRPr="00B9195B">
              <w:rPr>
                <w:color w:val="000000"/>
                <w:w w:val="15"/>
                <w:shd w:val="solid" w:color="000000" w:fill="000000"/>
                <w:fitText w:val="70" w:id="-1436330738"/>
                <w14:textFill>
                  <w14:solidFill>
                    <w14:srgbClr w14:val="000000">
                      <w14:alpha w14:val="100000"/>
                    </w14:srgbClr>
                  </w14:solidFill>
                </w14:textFill>
              </w:rPr>
              <w:t>|</w:t>
            </w:r>
            <w:r w:rsidRPr="00B9195B">
              <w:rPr>
                <w:rFonts w:hint="eastAsia"/>
                <w:color w:val="000000"/>
                <w:spacing w:val="4"/>
                <w:w w:val="15"/>
                <w:shd w:val="solid" w:color="000000" w:fill="000000"/>
                <w:fitText w:val="70" w:id="-1436330738"/>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6AB43310" w14:textId="2C77CC3E"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37"/>
                <w14:textFill>
                  <w14:solidFill>
                    <w14:srgbClr w14:val="000000">
                      <w14:alpha w14:val="100000"/>
                    </w14:srgbClr>
                  </w14:solidFill>
                </w14:textFill>
              </w:rPr>
              <w:t xml:space="preserve">　</w:t>
            </w:r>
            <w:r w:rsidRPr="00B9195B">
              <w:rPr>
                <w:color w:val="000000"/>
                <w:w w:val="15"/>
                <w:shd w:val="solid" w:color="000000" w:fill="000000"/>
                <w:fitText w:val="70" w:id="-1436330737"/>
                <w14:textFill>
                  <w14:solidFill>
                    <w14:srgbClr w14:val="000000">
                      <w14:alpha w14:val="100000"/>
                    </w14:srgbClr>
                  </w14:solidFill>
                </w14:textFill>
              </w:rPr>
              <w:t>|</w:t>
            </w:r>
            <w:r w:rsidRPr="00B9195B">
              <w:rPr>
                <w:rFonts w:hint="eastAsia"/>
                <w:color w:val="000000"/>
                <w:spacing w:val="4"/>
                <w:w w:val="15"/>
                <w:shd w:val="solid" w:color="000000" w:fill="000000"/>
                <w:fitText w:val="70" w:id="-1436330737"/>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1E17DAA9" w14:textId="76201592"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36"/>
                <w14:textFill>
                  <w14:solidFill>
                    <w14:srgbClr w14:val="000000">
                      <w14:alpha w14:val="100000"/>
                    </w14:srgbClr>
                  </w14:solidFill>
                </w14:textFill>
              </w:rPr>
              <w:t xml:space="preserve">　</w:t>
            </w:r>
            <w:r w:rsidRPr="00B9195B">
              <w:rPr>
                <w:color w:val="000000"/>
                <w:w w:val="15"/>
                <w:shd w:val="solid" w:color="000000" w:fill="000000"/>
                <w:fitText w:val="70" w:id="-1436330736"/>
                <w14:textFill>
                  <w14:solidFill>
                    <w14:srgbClr w14:val="000000">
                      <w14:alpha w14:val="100000"/>
                    </w14:srgbClr>
                  </w14:solidFill>
                </w14:textFill>
              </w:rPr>
              <w:t>|</w:t>
            </w:r>
            <w:r w:rsidRPr="00B9195B">
              <w:rPr>
                <w:rFonts w:hint="eastAsia"/>
                <w:color w:val="000000"/>
                <w:spacing w:val="4"/>
                <w:w w:val="15"/>
                <w:shd w:val="solid" w:color="000000" w:fill="000000"/>
                <w:fitText w:val="70" w:id="-1436330736"/>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142C43D0" w14:textId="544B0720"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52"/>
                <w14:textFill>
                  <w14:solidFill>
                    <w14:srgbClr w14:val="000000">
                      <w14:alpha w14:val="100000"/>
                    </w14:srgbClr>
                  </w14:solidFill>
                </w14:textFill>
              </w:rPr>
              <w:t xml:space="preserve">　</w:t>
            </w:r>
            <w:r w:rsidRPr="00B9195B">
              <w:rPr>
                <w:color w:val="000000"/>
                <w:w w:val="15"/>
                <w:shd w:val="solid" w:color="000000" w:fill="000000"/>
                <w:fitText w:val="69" w:id="-1436330752"/>
                <w14:textFill>
                  <w14:solidFill>
                    <w14:srgbClr w14:val="000000">
                      <w14:alpha w14:val="100000"/>
                    </w14:srgbClr>
                  </w14:solidFill>
                </w14:textFill>
              </w:rPr>
              <w:t>|</w:t>
            </w:r>
            <w:r w:rsidRPr="00B9195B">
              <w:rPr>
                <w:rFonts w:hint="eastAsia"/>
                <w:color w:val="000000"/>
                <w:spacing w:val="3"/>
                <w:w w:val="15"/>
                <w:shd w:val="solid" w:color="000000" w:fill="000000"/>
                <w:fitText w:val="69" w:id="-1436330752"/>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013241CE" w14:textId="4B1EA517"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51"/>
                <w14:textFill>
                  <w14:solidFill>
                    <w14:srgbClr w14:val="000000">
                      <w14:alpha w14:val="100000"/>
                    </w14:srgbClr>
                  </w14:solidFill>
                </w14:textFill>
              </w:rPr>
              <w:t xml:space="preserve">　</w:t>
            </w:r>
            <w:r w:rsidRPr="00B9195B">
              <w:rPr>
                <w:color w:val="000000"/>
                <w:w w:val="15"/>
                <w:shd w:val="solid" w:color="000000" w:fill="000000"/>
                <w:fitText w:val="69" w:id="-1436330751"/>
                <w14:textFill>
                  <w14:solidFill>
                    <w14:srgbClr w14:val="000000">
                      <w14:alpha w14:val="100000"/>
                    </w14:srgbClr>
                  </w14:solidFill>
                </w14:textFill>
              </w:rPr>
              <w:t>|</w:t>
            </w:r>
            <w:r w:rsidRPr="00B9195B">
              <w:rPr>
                <w:rFonts w:hint="eastAsia"/>
                <w:color w:val="000000"/>
                <w:spacing w:val="3"/>
                <w:w w:val="15"/>
                <w:shd w:val="solid" w:color="000000" w:fill="000000"/>
                <w:fitText w:val="69" w:id="-1436330751"/>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00133B01" w14:textId="7B01816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50"/>
                <w14:textFill>
                  <w14:solidFill>
                    <w14:srgbClr w14:val="000000">
                      <w14:alpha w14:val="100000"/>
                    </w14:srgbClr>
                  </w14:solidFill>
                </w14:textFill>
              </w:rPr>
              <w:t xml:space="preserve">　</w:t>
            </w:r>
            <w:r w:rsidRPr="00B9195B">
              <w:rPr>
                <w:color w:val="000000"/>
                <w:w w:val="15"/>
                <w:shd w:val="solid" w:color="000000" w:fill="000000"/>
                <w:fitText w:val="69" w:id="-1436330750"/>
                <w14:textFill>
                  <w14:solidFill>
                    <w14:srgbClr w14:val="000000">
                      <w14:alpha w14:val="100000"/>
                    </w14:srgbClr>
                  </w14:solidFill>
                </w14:textFill>
              </w:rPr>
              <w:t>|</w:t>
            </w:r>
            <w:r w:rsidRPr="00B9195B">
              <w:rPr>
                <w:rFonts w:hint="eastAsia"/>
                <w:color w:val="000000"/>
                <w:spacing w:val="3"/>
                <w:w w:val="15"/>
                <w:shd w:val="solid" w:color="000000" w:fill="000000"/>
                <w:fitText w:val="69" w:id="-1436330750"/>
                <w14:textFill>
                  <w14:solidFill>
                    <w14:srgbClr w14:val="000000">
                      <w14:alpha w14:val="100000"/>
                    </w14:srgbClr>
                  </w14:solidFill>
                </w14:textFill>
              </w:rPr>
              <w:t xml:space="preserve">　</w:t>
            </w:r>
            <w:r w:rsidR="00186D0B">
              <w:rPr>
                <w:vertAlign w:val="superscript"/>
              </w:rPr>
              <w:t>5</w:t>
            </w:r>
          </w:p>
        </w:tc>
      </w:tr>
      <w:tr w:rsidR="00C63763" w:rsidRPr="00911822" w14:paraId="1BF12DE5" w14:textId="77777777" w:rsidTr="00936DDC">
        <w:tc>
          <w:tcPr>
            <w:tcW w:w="1412" w:type="pct"/>
          </w:tcPr>
          <w:p w14:paraId="1E6B5522" w14:textId="77777777" w:rsidR="00C63763" w:rsidRPr="00911822" w:rsidRDefault="00C63763" w:rsidP="00A65564">
            <w:pPr>
              <w:pStyle w:val="TableText"/>
            </w:pPr>
            <w:r w:rsidRPr="00911822">
              <w:t>Uptake rate in psychiatry setting</w:t>
            </w:r>
          </w:p>
        </w:tc>
        <w:tc>
          <w:tcPr>
            <w:tcW w:w="598" w:type="pct"/>
            <w:shd w:val="clear" w:color="auto" w:fill="auto"/>
            <w:vAlign w:val="center"/>
          </w:tcPr>
          <w:p w14:paraId="16ADAF3A" w14:textId="77777777" w:rsidR="00C63763" w:rsidRPr="00911822" w:rsidRDefault="00C63763" w:rsidP="00C50DC8">
            <w:pPr>
              <w:pStyle w:val="Tabletext0"/>
              <w:keepNext/>
              <w:jc w:val="center"/>
            </w:pPr>
            <w:r w:rsidRPr="008E7ECD">
              <w:t>30.0%</w:t>
            </w:r>
          </w:p>
        </w:tc>
        <w:tc>
          <w:tcPr>
            <w:tcW w:w="598" w:type="pct"/>
            <w:shd w:val="clear" w:color="auto" w:fill="auto"/>
            <w:vAlign w:val="center"/>
          </w:tcPr>
          <w:p w14:paraId="20280E8D" w14:textId="77777777" w:rsidR="00C63763" w:rsidRPr="00911822" w:rsidRDefault="00C63763" w:rsidP="00C50DC8">
            <w:pPr>
              <w:pStyle w:val="Tabletext0"/>
              <w:keepNext/>
              <w:jc w:val="center"/>
            </w:pPr>
            <w:r w:rsidRPr="008E7ECD">
              <w:t>40.0%</w:t>
            </w:r>
          </w:p>
        </w:tc>
        <w:tc>
          <w:tcPr>
            <w:tcW w:w="598" w:type="pct"/>
            <w:shd w:val="clear" w:color="auto" w:fill="auto"/>
            <w:vAlign w:val="center"/>
          </w:tcPr>
          <w:p w14:paraId="3BC2FFD4" w14:textId="77777777" w:rsidR="00C63763" w:rsidRPr="00911822" w:rsidRDefault="00C63763" w:rsidP="00C50DC8">
            <w:pPr>
              <w:pStyle w:val="Tabletext0"/>
              <w:keepNext/>
              <w:jc w:val="center"/>
            </w:pPr>
            <w:r w:rsidRPr="008E7ECD">
              <w:t>48.0%</w:t>
            </w:r>
          </w:p>
        </w:tc>
        <w:tc>
          <w:tcPr>
            <w:tcW w:w="598" w:type="pct"/>
            <w:shd w:val="clear" w:color="auto" w:fill="auto"/>
            <w:vAlign w:val="center"/>
          </w:tcPr>
          <w:p w14:paraId="42DD423B" w14:textId="77777777" w:rsidR="00C63763" w:rsidRPr="00911822" w:rsidRDefault="00C63763" w:rsidP="00C50DC8">
            <w:pPr>
              <w:pStyle w:val="Tabletext0"/>
              <w:keepNext/>
              <w:jc w:val="center"/>
            </w:pPr>
            <w:r w:rsidRPr="008E7ECD">
              <w:t>49.0%</w:t>
            </w:r>
          </w:p>
        </w:tc>
        <w:tc>
          <w:tcPr>
            <w:tcW w:w="598" w:type="pct"/>
            <w:shd w:val="clear" w:color="auto" w:fill="auto"/>
            <w:vAlign w:val="center"/>
          </w:tcPr>
          <w:p w14:paraId="3D429F96" w14:textId="77777777" w:rsidR="00C63763" w:rsidRPr="00911822" w:rsidRDefault="00C63763" w:rsidP="00C50DC8">
            <w:pPr>
              <w:pStyle w:val="Tabletext0"/>
              <w:keepNext/>
              <w:jc w:val="center"/>
            </w:pPr>
            <w:r w:rsidRPr="008E7ECD">
              <w:t>50.0%</w:t>
            </w:r>
          </w:p>
        </w:tc>
        <w:tc>
          <w:tcPr>
            <w:tcW w:w="598" w:type="pct"/>
            <w:shd w:val="clear" w:color="auto" w:fill="auto"/>
            <w:vAlign w:val="center"/>
          </w:tcPr>
          <w:p w14:paraId="3FF10247" w14:textId="77777777" w:rsidR="00C63763" w:rsidRPr="00911822" w:rsidRDefault="00C63763" w:rsidP="00C50DC8">
            <w:pPr>
              <w:pStyle w:val="Tabletext0"/>
              <w:keepNext/>
              <w:jc w:val="center"/>
            </w:pPr>
            <w:r w:rsidRPr="008E7ECD">
              <w:t>50.0%</w:t>
            </w:r>
          </w:p>
        </w:tc>
      </w:tr>
      <w:tr w:rsidR="00C63763" w:rsidRPr="00911822" w14:paraId="1DD4BF97" w14:textId="77777777" w:rsidTr="00936DDC">
        <w:tc>
          <w:tcPr>
            <w:tcW w:w="1412" w:type="pct"/>
          </w:tcPr>
          <w:p w14:paraId="0E7A6457" w14:textId="77777777" w:rsidR="00C63763" w:rsidRPr="00911822" w:rsidRDefault="00C63763" w:rsidP="00A65564">
            <w:pPr>
              <w:pStyle w:val="TableText"/>
            </w:pPr>
            <w:r>
              <w:t>Treated patients in psychiatry setting</w:t>
            </w:r>
          </w:p>
        </w:tc>
        <w:tc>
          <w:tcPr>
            <w:tcW w:w="598" w:type="pct"/>
            <w:shd w:val="clear" w:color="auto" w:fill="auto"/>
            <w:vAlign w:val="center"/>
          </w:tcPr>
          <w:p w14:paraId="08680F49" w14:textId="7038EA2D"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49"/>
                <w14:textFill>
                  <w14:solidFill>
                    <w14:srgbClr w14:val="000000">
                      <w14:alpha w14:val="100000"/>
                    </w14:srgbClr>
                  </w14:solidFill>
                </w14:textFill>
              </w:rPr>
              <w:t xml:space="preserve">　</w:t>
            </w:r>
            <w:r w:rsidRPr="00B9195B">
              <w:rPr>
                <w:color w:val="000000"/>
                <w:w w:val="15"/>
                <w:shd w:val="solid" w:color="000000" w:fill="000000"/>
                <w:fitText w:val="70" w:id="-1436330749"/>
                <w14:textFill>
                  <w14:solidFill>
                    <w14:srgbClr w14:val="000000">
                      <w14:alpha w14:val="100000"/>
                    </w14:srgbClr>
                  </w14:solidFill>
                </w14:textFill>
              </w:rPr>
              <w:t>|</w:t>
            </w:r>
            <w:r w:rsidRPr="00B9195B">
              <w:rPr>
                <w:rFonts w:hint="eastAsia"/>
                <w:color w:val="000000"/>
                <w:spacing w:val="4"/>
                <w:w w:val="15"/>
                <w:shd w:val="solid" w:color="000000" w:fill="000000"/>
                <w:fitText w:val="70" w:id="-1436330749"/>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1B1F2768" w14:textId="76ECDC93"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48"/>
                <w14:textFill>
                  <w14:solidFill>
                    <w14:srgbClr w14:val="000000">
                      <w14:alpha w14:val="100000"/>
                    </w14:srgbClr>
                  </w14:solidFill>
                </w14:textFill>
              </w:rPr>
              <w:t xml:space="preserve">　</w:t>
            </w:r>
            <w:r w:rsidRPr="00B9195B">
              <w:rPr>
                <w:color w:val="000000"/>
                <w:w w:val="15"/>
                <w:shd w:val="solid" w:color="000000" w:fill="000000"/>
                <w:fitText w:val="70" w:id="-1436330748"/>
                <w14:textFill>
                  <w14:solidFill>
                    <w14:srgbClr w14:val="000000">
                      <w14:alpha w14:val="100000"/>
                    </w14:srgbClr>
                  </w14:solidFill>
                </w14:textFill>
              </w:rPr>
              <w:t>|</w:t>
            </w:r>
            <w:r w:rsidRPr="00B9195B">
              <w:rPr>
                <w:rFonts w:hint="eastAsia"/>
                <w:color w:val="000000"/>
                <w:spacing w:val="4"/>
                <w:w w:val="15"/>
                <w:shd w:val="solid" w:color="000000" w:fill="000000"/>
                <w:fitText w:val="70" w:id="-1436330748"/>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153789FD" w14:textId="70AF57DD"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47"/>
                <w14:textFill>
                  <w14:solidFill>
                    <w14:srgbClr w14:val="000000">
                      <w14:alpha w14:val="100000"/>
                    </w14:srgbClr>
                  </w14:solidFill>
                </w14:textFill>
              </w:rPr>
              <w:t xml:space="preserve">　</w:t>
            </w:r>
            <w:r w:rsidRPr="00B9195B">
              <w:rPr>
                <w:color w:val="000000"/>
                <w:w w:val="15"/>
                <w:shd w:val="solid" w:color="000000" w:fill="000000"/>
                <w:fitText w:val="70" w:id="-1436330747"/>
                <w14:textFill>
                  <w14:solidFill>
                    <w14:srgbClr w14:val="000000">
                      <w14:alpha w14:val="100000"/>
                    </w14:srgbClr>
                  </w14:solidFill>
                </w14:textFill>
              </w:rPr>
              <w:t>|</w:t>
            </w:r>
            <w:r w:rsidRPr="00B9195B">
              <w:rPr>
                <w:rFonts w:hint="eastAsia"/>
                <w:color w:val="000000"/>
                <w:spacing w:val="4"/>
                <w:w w:val="15"/>
                <w:shd w:val="solid" w:color="000000" w:fill="000000"/>
                <w:fitText w:val="70" w:id="-1436330747"/>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0EB57426" w14:textId="2C440D82"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46"/>
                <w14:textFill>
                  <w14:solidFill>
                    <w14:srgbClr w14:val="000000">
                      <w14:alpha w14:val="100000"/>
                    </w14:srgbClr>
                  </w14:solidFill>
                </w14:textFill>
              </w:rPr>
              <w:t xml:space="preserve">　</w:t>
            </w:r>
            <w:r w:rsidRPr="00B9195B">
              <w:rPr>
                <w:color w:val="000000"/>
                <w:w w:val="15"/>
                <w:shd w:val="solid" w:color="000000" w:fill="000000"/>
                <w:fitText w:val="69" w:id="-1436330746"/>
                <w14:textFill>
                  <w14:solidFill>
                    <w14:srgbClr w14:val="000000">
                      <w14:alpha w14:val="100000"/>
                    </w14:srgbClr>
                  </w14:solidFill>
                </w14:textFill>
              </w:rPr>
              <w:t>|</w:t>
            </w:r>
            <w:r w:rsidRPr="00B9195B">
              <w:rPr>
                <w:rFonts w:hint="eastAsia"/>
                <w:color w:val="000000"/>
                <w:spacing w:val="3"/>
                <w:w w:val="15"/>
                <w:shd w:val="solid" w:color="000000" w:fill="000000"/>
                <w:fitText w:val="69" w:id="-1436330746"/>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623582FC" w14:textId="2AAAD94D"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45"/>
                <w14:textFill>
                  <w14:solidFill>
                    <w14:srgbClr w14:val="000000">
                      <w14:alpha w14:val="100000"/>
                    </w14:srgbClr>
                  </w14:solidFill>
                </w14:textFill>
              </w:rPr>
              <w:t xml:space="preserve">　</w:t>
            </w:r>
            <w:r w:rsidRPr="00B9195B">
              <w:rPr>
                <w:color w:val="000000"/>
                <w:w w:val="15"/>
                <w:shd w:val="solid" w:color="000000" w:fill="000000"/>
                <w:fitText w:val="69" w:id="-1436330745"/>
                <w14:textFill>
                  <w14:solidFill>
                    <w14:srgbClr w14:val="000000">
                      <w14:alpha w14:val="100000"/>
                    </w14:srgbClr>
                  </w14:solidFill>
                </w14:textFill>
              </w:rPr>
              <w:t>|</w:t>
            </w:r>
            <w:r w:rsidRPr="00B9195B">
              <w:rPr>
                <w:rFonts w:hint="eastAsia"/>
                <w:color w:val="000000"/>
                <w:spacing w:val="3"/>
                <w:w w:val="15"/>
                <w:shd w:val="solid" w:color="000000" w:fill="000000"/>
                <w:fitText w:val="69" w:id="-1436330745"/>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39EEEBB1" w14:textId="74A5EEBA"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44"/>
                <w14:textFill>
                  <w14:solidFill>
                    <w14:srgbClr w14:val="000000">
                      <w14:alpha w14:val="100000"/>
                    </w14:srgbClr>
                  </w14:solidFill>
                </w14:textFill>
              </w:rPr>
              <w:t xml:space="preserve">　</w:t>
            </w:r>
            <w:r w:rsidRPr="00B9195B">
              <w:rPr>
                <w:color w:val="000000"/>
                <w:w w:val="15"/>
                <w:shd w:val="solid" w:color="000000" w:fill="000000"/>
                <w:fitText w:val="69" w:id="-1436330744"/>
                <w14:textFill>
                  <w14:solidFill>
                    <w14:srgbClr w14:val="000000">
                      <w14:alpha w14:val="100000"/>
                    </w14:srgbClr>
                  </w14:solidFill>
                </w14:textFill>
              </w:rPr>
              <w:t>|</w:t>
            </w:r>
            <w:r w:rsidRPr="00B9195B">
              <w:rPr>
                <w:rFonts w:hint="eastAsia"/>
                <w:color w:val="000000"/>
                <w:spacing w:val="3"/>
                <w:w w:val="15"/>
                <w:shd w:val="solid" w:color="000000" w:fill="000000"/>
                <w:fitText w:val="69" w:id="-1436330744"/>
                <w14:textFill>
                  <w14:solidFill>
                    <w14:srgbClr w14:val="000000">
                      <w14:alpha w14:val="100000"/>
                    </w14:srgbClr>
                  </w14:solidFill>
                </w14:textFill>
              </w:rPr>
              <w:t xml:space="preserve">　</w:t>
            </w:r>
            <w:r w:rsidR="00186D0B">
              <w:rPr>
                <w:vertAlign w:val="superscript"/>
              </w:rPr>
              <w:t>6</w:t>
            </w:r>
          </w:p>
        </w:tc>
      </w:tr>
      <w:tr w:rsidR="00C63763" w:rsidRPr="00911822" w14:paraId="171B0D0F" w14:textId="77777777" w:rsidTr="00936DDC">
        <w:tc>
          <w:tcPr>
            <w:tcW w:w="1412" w:type="pct"/>
          </w:tcPr>
          <w:p w14:paraId="05C6D8FA" w14:textId="77777777" w:rsidR="00C63763" w:rsidRPr="00911822" w:rsidRDefault="00C63763" w:rsidP="00A65564">
            <w:pPr>
              <w:pStyle w:val="TableText"/>
            </w:pPr>
            <w:r w:rsidRPr="00911822">
              <w:t>Proportion treated in GP</w:t>
            </w:r>
            <w:r>
              <w:t xml:space="preserve"> </w:t>
            </w:r>
            <w:r w:rsidRPr="00911822">
              <w:t>setting (78%</w:t>
            </w:r>
            <w:r>
              <w:t>)</w:t>
            </w:r>
          </w:p>
        </w:tc>
        <w:tc>
          <w:tcPr>
            <w:tcW w:w="598" w:type="pct"/>
            <w:shd w:val="clear" w:color="auto" w:fill="auto"/>
            <w:vAlign w:val="center"/>
          </w:tcPr>
          <w:p w14:paraId="387EAF7C" w14:textId="3EB21220"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43"/>
                <w14:textFill>
                  <w14:solidFill>
                    <w14:srgbClr w14:val="000000">
                      <w14:alpha w14:val="100000"/>
                    </w14:srgbClr>
                  </w14:solidFill>
                </w14:textFill>
              </w:rPr>
              <w:t xml:space="preserve">　</w:t>
            </w:r>
            <w:r w:rsidRPr="00B9195B">
              <w:rPr>
                <w:color w:val="000000"/>
                <w:w w:val="15"/>
                <w:shd w:val="solid" w:color="000000" w:fill="000000"/>
                <w:fitText w:val="70" w:id="-1436330743"/>
                <w14:textFill>
                  <w14:solidFill>
                    <w14:srgbClr w14:val="000000">
                      <w14:alpha w14:val="100000"/>
                    </w14:srgbClr>
                  </w14:solidFill>
                </w14:textFill>
              </w:rPr>
              <w:t>|</w:t>
            </w:r>
            <w:r w:rsidRPr="00B9195B">
              <w:rPr>
                <w:rFonts w:hint="eastAsia"/>
                <w:color w:val="000000"/>
                <w:spacing w:val="4"/>
                <w:w w:val="15"/>
                <w:shd w:val="solid" w:color="000000" w:fill="000000"/>
                <w:fitText w:val="70" w:id="-1436330743"/>
                <w14:textFill>
                  <w14:solidFill>
                    <w14:srgbClr w14:val="000000">
                      <w14:alpha w14:val="100000"/>
                    </w14:srgbClr>
                  </w14:solidFill>
                </w14:textFill>
              </w:rPr>
              <w:t xml:space="preserve">　</w:t>
            </w:r>
            <w:r w:rsidR="00186D0B">
              <w:rPr>
                <w:vertAlign w:val="superscript"/>
              </w:rPr>
              <w:t>7</w:t>
            </w:r>
          </w:p>
        </w:tc>
        <w:tc>
          <w:tcPr>
            <w:tcW w:w="598" w:type="pct"/>
            <w:shd w:val="clear" w:color="auto" w:fill="auto"/>
            <w:vAlign w:val="center"/>
          </w:tcPr>
          <w:p w14:paraId="6F1EF884" w14:textId="1F636465"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42"/>
                <w14:textFill>
                  <w14:solidFill>
                    <w14:srgbClr w14:val="000000">
                      <w14:alpha w14:val="100000"/>
                    </w14:srgbClr>
                  </w14:solidFill>
                </w14:textFill>
              </w:rPr>
              <w:t xml:space="preserve">　</w:t>
            </w:r>
            <w:r w:rsidRPr="00B9195B">
              <w:rPr>
                <w:color w:val="000000"/>
                <w:w w:val="15"/>
                <w:shd w:val="solid" w:color="000000" w:fill="000000"/>
                <w:fitText w:val="70" w:id="-1436330742"/>
                <w14:textFill>
                  <w14:solidFill>
                    <w14:srgbClr w14:val="000000">
                      <w14:alpha w14:val="100000"/>
                    </w14:srgbClr>
                  </w14:solidFill>
                </w14:textFill>
              </w:rPr>
              <w:t>|</w:t>
            </w:r>
            <w:r w:rsidRPr="00B9195B">
              <w:rPr>
                <w:rFonts w:hint="eastAsia"/>
                <w:color w:val="000000"/>
                <w:spacing w:val="4"/>
                <w:w w:val="15"/>
                <w:shd w:val="solid" w:color="000000" w:fill="000000"/>
                <w:fitText w:val="70" w:id="-1436330742"/>
                <w14:textFill>
                  <w14:solidFill>
                    <w14:srgbClr w14:val="000000">
                      <w14:alpha w14:val="100000"/>
                    </w14:srgbClr>
                  </w14:solidFill>
                </w14:textFill>
              </w:rPr>
              <w:t xml:space="preserve">　</w:t>
            </w:r>
            <w:r w:rsidR="00186D0B">
              <w:rPr>
                <w:vertAlign w:val="superscript"/>
              </w:rPr>
              <w:t>7</w:t>
            </w:r>
          </w:p>
        </w:tc>
        <w:tc>
          <w:tcPr>
            <w:tcW w:w="598" w:type="pct"/>
            <w:shd w:val="clear" w:color="auto" w:fill="auto"/>
            <w:vAlign w:val="center"/>
          </w:tcPr>
          <w:p w14:paraId="1230E34E" w14:textId="7FAD99CA"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41"/>
                <w14:textFill>
                  <w14:solidFill>
                    <w14:srgbClr w14:val="000000">
                      <w14:alpha w14:val="100000"/>
                    </w14:srgbClr>
                  </w14:solidFill>
                </w14:textFill>
              </w:rPr>
              <w:t xml:space="preserve">　</w:t>
            </w:r>
            <w:r w:rsidRPr="00B9195B">
              <w:rPr>
                <w:color w:val="000000"/>
                <w:w w:val="15"/>
                <w:shd w:val="solid" w:color="000000" w:fill="000000"/>
                <w:fitText w:val="70" w:id="-1436330741"/>
                <w14:textFill>
                  <w14:solidFill>
                    <w14:srgbClr w14:val="000000">
                      <w14:alpha w14:val="100000"/>
                    </w14:srgbClr>
                  </w14:solidFill>
                </w14:textFill>
              </w:rPr>
              <w:t>|</w:t>
            </w:r>
            <w:r w:rsidRPr="00B9195B">
              <w:rPr>
                <w:rFonts w:hint="eastAsia"/>
                <w:color w:val="000000"/>
                <w:spacing w:val="4"/>
                <w:w w:val="15"/>
                <w:shd w:val="solid" w:color="000000" w:fill="000000"/>
                <w:fitText w:val="70" w:id="-1436330741"/>
                <w14:textFill>
                  <w14:solidFill>
                    <w14:srgbClr w14:val="000000">
                      <w14:alpha w14:val="100000"/>
                    </w14:srgbClr>
                  </w14:solidFill>
                </w14:textFill>
              </w:rPr>
              <w:t xml:space="preserve">　</w:t>
            </w:r>
            <w:r w:rsidR="00186D0B">
              <w:rPr>
                <w:vertAlign w:val="superscript"/>
              </w:rPr>
              <w:t>7</w:t>
            </w:r>
          </w:p>
        </w:tc>
        <w:tc>
          <w:tcPr>
            <w:tcW w:w="598" w:type="pct"/>
            <w:shd w:val="clear" w:color="auto" w:fill="auto"/>
            <w:vAlign w:val="center"/>
          </w:tcPr>
          <w:p w14:paraId="788CEAD8" w14:textId="4DFF4FFC"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40"/>
                <w14:textFill>
                  <w14:solidFill>
                    <w14:srgbClr w14:val="000000">
                      <w14:alpha w14:val="100000"/>
                    </w14:srgbClr>
                  </w14:solidFill>
                </w14:textFill>
              </w:rPr>
              <w:t xml:space="preserve">　</w:t>
            </w:r>
            <w:r w:rsidRPr="00B9195B">
              <w:rPr>
                <w:color w:val="000000"/>
                <w:w w:val="15"/>
                <w:shd w:val="solid" w:color="000000" w:fill="000000"/>
                <w:fitText w:val="69" w:id="-1436330740"/>
                <w14:textFill>
                  <w14:solidFill>
                    <w14:srgbClr w14:val="000000">
                      <w14:alpha w14:val="100000"/>
                    </w14:srgbClr>
                  </w14:solidFill>
                </w14:textFill>
              </w:rPr>
              <w:t>|</w:t>
            </w:r>
            <w:r w:rsidRPr="00B9195B">
              <w:rPr>
                <w:rFonts w:hint="eastAsia"/>
                <w:color w:val="000000"/>
                <w:spacing w:val="3"/>
                <w:w w:val="15"/>
                <w:shd w:val="solid" w:color="000000" w:fill="000000"/>
                <w:fitText w:val="69" w:id="-1436330740"/>
                <w14:textFill>
                  <w14:solidFill>
                    <w14:srgbClr w14:val="000000">
                      <w14:alpha w14:val="100000"/>
                    </w14:srgbClr>
                  </w14:solidFill>
                </w14:textFill>
              </w:rPr>
              <w:t xml:space="preserve">　</w:t>
            </w:r>
            <w:r w:rsidR="00186D0B">
              <w:rPr>
                <w:vertAlign w:val="superscript"/>
              </w:rPr>
              <w:t>7</w:t>
            </w:r>
          </w:p>
        </w:tc>
        <w:tc>
          <w:tcPr>
            <w:tcW w:w="598" w:type="pct"/>
            <w:shd w:val="clear" w:color="auto" w:fill="auto"/>
            <w:vAlign w:val="center"/>
          </w:tcPr>
          <w:p w14:paraId="511A538F" w14:textId="465BD59A"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39"/>
                <w14:textFill>
                  <w14:solidFill>
                    <w14:srgbClr w14:val="000000">
                      <w14:alpha w14:val="100000"/>
                    </w14:srgbClr>
                  </w14:solidFill>
                </w14:textFill>
              </w:rPr>
              <w:t xml:space="preserve">　</w:t>
            </w:r>
            <w:r w:rsidRPr="00B9195B">
              <w:rPr>
                <w:color w:val="000000"/>
                <w:w w:val="15"/>
                <w:shd w:val="solid" w:color="000000" w:fill="000000"/>
                <w:fitText w:val="69" w:id="-1436330739"/>
                <w14:textFill>
                  <w14:solidFill>
                    <w14:srgbClr w14:val="000000">
                      <w14:alpha w14:val="100000"/>
                    </w14:srgbClr>
                  </w14:solidFill>
                </w14:textFill>
              </w:rPr>
              <w:t>|</w:t>
            </w:r>
            <w:r w:rsidRPr="00B9195B">
              <w:rPr>
                <w:rFonts w:hint="eastAsia"/>
                <w:color w:val="000000"/>
                <w:spacing w:val="3"/>
                <w:w w:val="15"/>
                <w:shd w:val="solid" w:color="000000" w:fill="000000"/>
                <w:fitText w:val="69" w:id="-1436330739"/>
                <w14:textFill>
                  <w14:solidFill>
                    <w14:srgbClr w14:val="000000">
                      <w14:alpha w14:val="100000"/>
                    </w14:srgbClr>
                  </w14:solidFill>
                </w14:textFill>
              </w:rPr>
              <w:t xml:space="preserve">　</w:t>
            </w:r>
            <w:r w:rsidR="00186D0B">
              <w:rPr>
                <w:vertAlign w:val="superscript"/>
              </w:rPr>
              <w:t>4</w:t>
            </w:r>
          </w:p>
        </w:tc>
        <w:tc>
          <w:tcPr>
            <w:tcW w:w="598" w:type="pct"/>
            <w:shd w:val="clear" w:color="auto" w:fill="auto"/>
            <w:vAlign w:val="center"/>
          </w:tcPr>
          <w:p w14:paraId="7A046EC9" w14:textId="15BEF7D1"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738"/>
                <w14:textFill>
                  <w14:solidFill>
                    <w14:srgbClr w14:val="000000">
                      <w14:alpha w14:val="100000"/>
                    </w14:srgbClr>
                  </w14:solidFill>
                </w14:textFill>
              </w:rPr>
              <w:t xml:space="preserve">　</w:t>
            </w:r>
            <w:r w:rsidRPr="00B9195B">
              <w:rPr>
                <w:color w:val="000000"/>
                <w:w w:val="15"/>
                <w:shd w:val="solid" w:color="000000" w:fill="000000"/>
                <w:fitText w:val="69" w:id="-1436330738"/>
                <w14:textFill>
                  <w14:solidFill>
                    <w14:srgbClr w14:val="000000">
                      <w14:alpha w14:val="100000"/>
                    </w14:srgbClr>
                  </w14:solidFill>
                </w14:textFill>
              </w:rPr>
              <w:t>|</w:t>
            </w:r>
            <w:r w:rsidRPr="00B9195B">
              <w:rPr>
                <w:rFonts w:hint="eastAsia"/>
                <w:color w:val="000000"/>
                <w:spacing w:val="3"/>
                <w:w w:val="15"/>
                <w:shd w:val="solid" w:color="000000" w:fill="000000"/>
                <w:fitText w:val="69" w:id="-1436330738"/>
                <w14:textFill>
                  <w14:solidFill>
                    <w14:srgbClr w14:val="000000">
                      <w14:alpha w14:val="100000"/>
                    </w14:srgbClr>
                  </w14:solidFill>
                </w14:textFill>
              </w:rPr>
              <w:t xml:space="preserve">　</w:t>
            </w:r>
            <w:r w:rsidR="00186D0B">
              <w:rPr>
                <w:vertAlign w:val="superscript"/>
              </w:rPr>
              <w:t>4</w:t>
            </w:r>
          </w:p>
        </w:tc>
      </w:tr>
      <w:tr w:rsidR="00C63763" w:rsidRPr="00911822" w14:paraId="54FE8EAC" w14:textId="77777777" w:rsidTr="00936DDC">
        <w:trPr>
          <w:trHeight w:val="245"/>
        </w:trPr>
        <w:tc>
          <w:tcPr>
            <w:tcW w:w="1412" w:type="pct"/>
          </w:tcPr>
          <w:p w14:paraId="03D0ABA1" w14:textId="0FC10737" w:rsidR="00C63763" w:rsidRPr="00911822" w:rsidRDefault="00C63763" w:rsidP="00A65564">
            <w:pPr>
              <w:pStyle w:val="TableText"/>
            </w:pPr>
            <w:r w:rsidRPr="00911822">
              <w:t>Uptake rate in GP setting</w:t>
            </w:r>
          </w:p>
        </w:tc>
        <w:tc>
          <w:tcPr>
            <w:tcW w:w="598" w:type="pct"/>
            <w:shd w:val="clear" w:color="auto" w:fill="auto"/>
            <w:vAlign w:val="center"/>
          </w:tcPr>
          <w:p w14:paraId="7754F549" w14:textId="77777777" w:rsidR="00C63763" w:rsidRPr="00A4646F" w:rsidRDefault="00C63763" w:rsidP="00C50DC8">
            <w:pPr>
              <w:pStyle w:val="Tabletext0"/>
              <w:keepNext/>
              <w:jc w:val="center"/>
            </w:pPr>
            <w:r w:rsidRPr="00A4646F">
              <w:t>2.0%</w:t>
            </w:r>
          </w:p>
        </w:tc>
        <w:tc>
          <w:tcPr>
            <w:tcW w:w="598" w:type="pct"/>
            <w:shd w:val="clear" w:color="auto" w:fill="auto"/>
            <w:vAlign w:val="center"/>
          </w:tcPr>
          <w:p w14:paraId="1152DB65" w14:textId="77777777" w:rsidR="00C63763" w:rsidRPr="00A4646F" w:rsidRDefault="00C63763" w:rsidP="00C50DC8">
            <w:pPr>
              <w:pStyle w:val="Tabletext0"/>
              <w:keepNext/>
              <w:jc w:val="center"/>
            </w:pPr>
            <w:r w:rsidRPr="00A4646F">
              <w:t>5.0%</w:t>
            </w:r>
          </w:p>
        </w:tc>
        <w:tc>
          <w:tcPr>
            <w:tcW w:w="598" w:type="pct"/>
            <w:shd w:val="clear" w:color="auto" w:fill="auto"/>
            <w:vAlign w:val="center"/>
          </w:tcPr>
          <w:p w14:paraId="32B77E7E" w14:textId="77777777" w:rsidR="00C63763" w:rsidRPr="00A4646F" w:rsidRDefault="00C63763" w:rsidP="00C50DC8">
            <w:pPr>
              <w:pStyle w:val="Tabletext0"/>
              <w:keepNext/>
              <w:jc w:val="center"/>
            </w:pPr>
            <w:r w:rsidRPr="00A4646F">
              <w:t>6.5%</w:t>
            </w:r>
          </w:p>
        </w:tc>
        <w:tc>
          <w:tcPr>
            <w:tcW w:w="598" w:type="pct"/>
            <w:shd w:val="clear" w:color="auto" w:fill="auto"/>
            <w:vAlign w:val="center"/>
          </w:tcPr>
          <w:p w14:paraId="447C8895" w14:textId="77777777" w:rsidR="00C63763" w:rsidRPr="00A4646F" w:rsidRDefault="00C63763" w:rsidP="00C50DC8">
            <w:pPr>
              <w:pStyle w:val="Tabletext0"/>
              <w:keepNext/>
              <w:jc w:val="center"/>
            </w:pPr>
            <w:r w:rsidRPr="00A4646F">
              <w:t>7.0%</w:t>
            </w:r>
          </w:p>
        </w:tc>
        <w:tc>
          <w:tcPr>
            <w:tcW w:w="598" w:type="pct"/>
            <w:shd w:val="clear" w:color="auto" w:fill="auto"/>
            <w:vAlign w:val="center"/>
          </w:tcPr>
          <w:p w14:paraId="789089AD" w14:textId="77777777" w:rsidR="00C63763" w:rsidRPr="00A4646F" w:rsidRDefault="00C63763" w:rsidP="00C50DC8">
            <w:pPr>
              <w:pStyle w:val="Tabletext0"/>
              <w:keepNext/>
              <w:jc w:val="center"/>
            </w:pPr>
            <w:r w:rsidRPr="00A4646F">
              <w:t>7.0%</w:t>
            </w:r>
          </w:p>
        </w:tc>
        <w:tc>
          <w:tcPr>
            <w:tcW w:w="598" w:type="pct"/>
            <w:shd w:val="clear" w:color="auto" w:fill="auto"/>
            <w:vAlign w:val="center"/>
          </w:tcPr>
          <w:p w14:paraId="5BFEB1F9" w14:textId="77777777" w:rsidR="00C63763" w:rsidRPr="00A4646F" w:rsidRDefault="00C63763" w:rsidP="00C50DC8">
            <w:pPr>
              <w:pStyle w:val="Tabletext0"/>
              <w:keepNext/>
              <w:jc w:val="center"/>
            </w:pPr>
            <w:r w:rsidRPr="00A4646F">
              <w:t>7.0%</w:t>
            </w:r>
          </w:p>
        </w:tc>
      </w:tr>
      <w:tr w:rsidR="00C63763" w:rsidRPr="00911822" w14:paraId="755FFC24" w14:textId="77777777" w:rsidTr="00936DDC">
        <w:trPr>
          <w:trHeight w:val="135"/>
        </w:trPr>
        <w:tc>
          <w:tcPr>
            <w:tcW w:w="1412" w:type="pct"/>
          </w:tcPr>
          <w:p w14:paraId="44B447EE" w14:textId="77777777" w:rsidR="00C63763" w:rsidRPr="00911822" w:rsidRDefault="00C63763" w:rsidP="00A65564">
            <w:pPr>
              <w:pStyle w:val="TableText"/>
            </w:pPr>
            <w:r>
              <w:t>Treated patients in GP setting</w:t>
            </w:r>
          </w:p>
        </w:tc>
        <w:tc>
          <w:tcPr>
            <w:tcW w:w="598" w:type="pct"/>
            <w:shd w:val="clear" w:color="auto" w:fill="auto"/>
            <w:vAlign w:val="center"/>
          </w:tcPr>
          <w:p w14:paraId="5338616F" w14:textId="1CEFC1F0"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37"/>
                <w14:textFill>
                  <w14:solidFill>
                    <w14:srgbClr w14:val="000000">
                      <w14:alpha w14:val="100000"/>
                    </w14:srgbClr>
                  </w14:solidFill>
                </w14:textFill>
              </w:rPr>
              <w:t xml:space="preserve">　</w:t>
            </w:r>
            <w:r w:rsidRPr="00B9195B">
              <w:rPr>
                <w:color w:val="000000"/>
                <w:w w:val="15"/>
                <w:shd w:val="solid" w:color="000000" w:fill="000000"/>
                <w:fitText w:val="70" w:id="-1436330737"/>
                <w14:textFill>
                  <w14:solidFill>
                    <w14:srgbClr w14:val="000000">
                      <w14:alpha w14:val="100000"/>
                    </w14:srgbClr>
                  </w14:solidFill>
                </w14:textFill>
              </w:rPr>
              <w:t>|</w:t>
            </w:r>
            <w:r w:rsidRPr="00B9195B">
              <w:rPr>
                <w:rFonts w:hint="eastAsia"/>
                <w:color w:val="000000"/>
                <w:spacing w:val="4"/>
                <w:w w:val="15"/>
                <w:shd w:val="solid" w:color="000000" w:fill="000000"/>
                <w:fitText w:val="70" w:id="-1436330737"/>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34FEAF59" w14:textId="56BC5FE2"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736"/>
                <w14:textFill>
                  <w14:solidFill>
                    <w14:srgbClr w14:val="000000">
                      <w14:alpha w14:val="100000"/>
                    </w14:srgbClr>
                  </w14:solidFill>
                </w14:textFill>
              </w:rPr>
              <w:t xml:space="preserve">　</w:t>
            </w:r>
            <w:r w:rsidRPr="00B9195B">
              <w:rPr>
                <w:color w:val="000000"/>
                <w:w w:val="15"/>
                <w:shd w:val="solid" w:color="000000" w:fill="000000"/>
                <w:fitText w:val="70" w:id="-1436330736"/>
                <w14:textFill>
                  <w14:solidFill>
                    <w14:srgbClr w14:val="000000">
                      <w14:alpha w14:val="100000"/>
                    </w14:srgbClr>
                  </w14:solidFill>
                </w14:textFill>
              </w:rPr>
              <w:t>|</w:t>
            </w:r>
            <w:r w:rsidRPr="00B9195B">
              <w:rPr>
                <w:rFonts w:hint="eastAsia"/>
                <w:color w:val="000000"/>
                <w:spacing w:val="4"/>
                <w:w w:val="15"/>
                <w:shd w:val="solid" w:color="000000" w:fill="000000"/>
                <w:fitText w:val="70" w:id="-1436330736"/>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2999C2DF" w14:textId="6A573AFB"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6"/>
                <w14:textFill>
                  <w14:solidFill>
                    <w14:srgbClr w14:val="000000">
                      <w14:alpha w14:val="100000"/>
                    </w14:srgbClr>
                  </w14:solidFill>
                </w14:textFill>
              </w:rPr>
              <w:t xml:space="preserve">　</w:t>
            </w:r>
            <w:r w:rsidRPr="00B9195B">
              <w:rPr>
                <w:color w:val="000000"/>
                <w:w w:val="15"/>
                <w:shd w:val="solid" w:color="000000" w:fill="000000"/>
                <w:fitText w:val="70" w:id="-1436330496"/>
                <w14:textFill>
                  <w14:solidFill>
                    <w14:srgbClr w14:val="000000">
                      <w14:alpha w14:val="100000"/>
                    </w14:srgbClr>
                  </w14:solidFill>
                </w14:textFill>
              </w:rPr>
              <w:t>|</w:t>
            </w:r>
            <w:r w:rsidRPr="00B9195B">
              <w:rPr>
                <w:rFonts w:hint="eastAsia"/>
                <w:color w:val="000000"/>
                <w:spacing w:val="4"/>
                <w:w w:val="15"/>
                <w:shd w:val="solid" w:color="000000" w:fill="000000"/>
                <w:fitText w:val="70" w:id="-1436330496"/>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0AD5C12D" w14:textId="5A9079D4"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5"/>
                <w14:textFill>
                  <w14:solidFill>
                    <w14:srgbClr w14:val="000000">
                      <w14:alpha w14:val="100000"/>
                    </w14:srgbClr>
                  </w14:solidFill>
                </w14:textFill>
              </w:rPr>
              <w:t xml:space="preserve">　</w:t>
            </w:r>
            <w:r w:rsidRPr="00B9195B">
              <w:rPr>
                <w:color w:val="000000"/>
                <w:w w:val="15"/>
                <w:shd w:val="solid" w:color="000000" w:fill="000000"/>
                <w:fitText w:val="69" w:id="-1436330495"/>
                <w14:textFill>
                  <w14:solidFill>
                    <w14:srgbClr w14:val="000000">
                      <w14:alpha w14:val="100000"/>
                    </w14:srgbClr>
                  </w14:solidFill>
                </w14:textFill>
              </w:rPr>
              <w:t>|</w:t>
            </w:r>
            <w:r w:rsidRPr="00B9195B">
              <w:rPr>
                <w:rFonts w:hint="eastAsia"/>
                <w:color w:val="000000"/>
                <w:spacing w:val="3"/>
                <w:w w:val="15"/>
                <w:shd w:val="solid" w:color="000000" w:fill="000000"/>
                <w:fitText w:val="69" w:id="-1436330495"/>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45609EDC" w14:textId="2CB00988"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4"/>
                <w14:textFill>
                  <w14:solidFill>
                    <w14:srgbClr w14:val="000000">
                      <w14:alpha w14:val="100000"/>
                    </w14:srgbClr>
                  </w14:solidFill>
                </w14:textFill>
              </w:rPr>
              <w:t xml:space="preserve">　</w:t>
            </w:r>
            <w:r w:rsidRPr="00B9195B">
              <w:rPr>
                <w:color w:val="000000"/>
                <w:w w:val="15"/>
                <w:shd w:val="solid" w:color="000000" w:fill="000000"/>
                <w:fitText w:val="69" w:id="-1436330494"/>
                <w14:textFill>
                  <w14:solidFill>
                    <w14:srgbClr w14:val="000000">
                      <w14:alpha w14:val="100000"/>
                    </w14:srgbClr>
                  </w14:solidFill>
                </w14:textFill>
              </w:rPr>
              <w:t>|</w:t>
            </w:r>
            <w:r w:rsidRPr="00B9195B">
              <w:rPr>
                <w:rFonts w:hint="eastAsia"/>
                <w:color w:val="000000"/>
                <w:spacing w:val="3"/>
                <w:w w:val="15"/>
                <w:shd w:val="solid" w:color="000000" w:fill="000000"/>
                <w:fitText w:val="69" w:id="-1436330494"/>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26BB2AA6" w14:textId="76574EA5"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3"/>
                <w14:textFill>
                  <w14:solidFill>
                    <w14:srgbClr w14:val="000000">
                      <w14:alpha w14:val="100000"/>
                    </w14:srgbClr>
                  </w14:solidFill>
                </w14:textFill>
              </w:rPr>
              <w:t xml:space="preserve">　</w:t>
            </w:r>
            <w:r w:rsidRPr="00B9195B">
              <w:rPr>
                <w:color w:val="000000"/>
                <w:w w:val="15"/>
                <w:shd w:val="solid" w:color="000000" w:fill="000000"/>
                <w:fitText w:val="69" w:id="-1436330493"/>
                <w14:textFill>
                  <w14:solidFill>
                    <w14:srgbClr w14:val="000000">
                      <w14:alpha w14:val="100000"/>
                    </w14:srgbClr>
                  </w14:solidFill>
                </w14:textFill>
              </w:rPr>
              <w:t>|</w:t>
            </w:r>
            <w:r w:rsidRPr="00B9195B">
              <w:rPr>
                <w:rFonts w:hint="eastAsia"/>
                <w:color w:val="000000"/>
                <w:spacing w:val="3"/>
                <w:w w:val="15"/>
                <w:shd w:val="solid" w:color="000000" w:fill="000000"/>
                <w:fitText w:val="69" w:id="-1436330493"/>
                <w14:textFill>
                  <w14:solidFill>
                    <w14:srgbClr w14:val="000000">
                      <w14:alpha w14:val="100000"/>
                    </w14:srgbClr>
                  </w14:solidFill>
                </w14:textFill>
              </w:rPr>
              <w:t xml:space="preserve">　</w:t>
            </w:r>
            <w:r w:rsidR="00186D0B">
              <w:rPr>
                <w:vertAlign w:val="superscript"/>
              </w:rPr>
              <w:t>6</w:t>
            </w:r>
          </w:p>
        </w:tc>
      </w:tr>
      <w:tr w:rsidR="00C63763" w:rsidRPr="00911822" w14:paraId="33F3D713" w14:textId="77777777" w:rsidTr="00936DDC">
        <w:trPr>
          <w:trHeight w:val="135"/>
        </w:trPr>
        <w:tc>
          <w:tcPr>
            <w:tcW w:w="5000" w:type="pct"/>
            <w:gridSpan w:val="7"/>
          </w:tcPr>
          <w:p w14:paraId="7E58E91C" w14:textId="77777777" w:rsidR="00C63763" w:rsidRPr="00CB14F4" w:rsidRDefault="00C63763" w:rsidP="00C50DC8">
            <w:pPr>
              <w:pStyle w:val="Tabletext0"/>
              <w:keepNext/>
              <w:rPr>
                <w:b/>
                <w:bCs/>
              </w:rPr>
            </w:pPr>
            <w:r>
              <w:rPr>
                <w:b/>
                <w:bCs/>
              </w:rPr>
              <w:t>Initiating scripts</w:t>
            </w:r>
          </w:p>
        </w:tc>
      </w:tr>
      <w:tr w:rsidR="00C63763" w:rsidRPr="00911822" w14:paraId="48BB24E6" w14:textId="77777777" w:rsidTr="00936DDC">
        <w:tc>
          <w:tcPr>
            <w:tcW w:w="1412" w:type="pct"/>
            <w:shd w:val="clear" w:color="auto" w:fill="FFFFFF" w:themeFill="background1"/>
            <w:vAlign w:val="bottom"/>
          </w:tcPr>
          <w:p w14:paraId="2C8ED024" w14:textId="77777777" w:rsidR="00C63763" w:rsidRPr="00911822" w:rsidRDefault="00C63763" w:rsidP="00A65564">
            <w:pPr>
              <w:pStyle w:val="TableText"/>
            </w:pPr>
            <w:r>
              <w:t>I</w:t>
            </w:r>
            <w:r w:rsidRPr="00911822">
              <w:t>nitiating patients</w:t>
            </w:r>
          </w:p>
        </w:tc>
        <w:tc>
          <w:tcPr>
            <w:tcW w:w="598" w:type="pct"/>
            <w:shd w:val="clear" w:color="auto" w:fill="auto"/>
            <w:vAlign w:val="center"/>
          </w:tcPr>
          <w:p w14:paraId="7DD3BF8E" w14:textId="6356D7D6"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2"/>
                <w14:textFill>
                  <w14:solidFill>
                    <w14:srgbClr w14:val="000000">
                      <w14:alpha w14:val="100000"/>
                    </w14:srgbClr>
                  </w14:solidFill>
                </w14:textFill>
              </w:rPr>
              <w:t xml:space="preserve">　</w:t>
            </w:r>
            <w:r w:rsidRPr="00B9195B">
              <w:rPr>
                <w:color w:val="000000"/>
                <w:w w:val="15"/>
                <w:shd w:val="solid" w:color="000000" w:fill="000000"/>
                <w:fitText w:val="70" w:id="-1436330492"/>
                <w14:textFill>
                  <w14:solidFill>
                    <w14:srgbClr w14:val="000000">
                      <w14:alpha w14:val="100000"/>
                    </w14:srgbClr>
                  </w14:solidFill>
                </w14:textFill>
              </w:rPr>
              <w:t>|</w:t>
            </w:r>
            <w:r w:rsidRPr="00B9195B">
              <w:rPr>
                <w:rFonts w:hint="eastAsia"/>
                <w:color w:val="000000"/>
                <w:spacing w:val="4"/>
                <w:w w:val="15"/>
                <w:shd w:val="solid" w:color="000000" w:fill="000000"/>
                <w:fitText w:val="70" w:id="-1436330492"/>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3F68998E" w14:textId="3E1C93D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1"/>
                <w14:textFill>
                  <w14:solidFill>
                    <w14:srgbClr w14:val="000000">
                      <w14:alpha w14:val="100000"/>
                    </w14:srgbClr>
                  </w14:solidFill>
                </w14:textFill>
              </w:rPr>
              <w:t xml:space="preserve">　</w:t>
            </w:r>
            <w:r w:rsidRPr="00B9195B">
              <w:rPr>
                <w:color w:val="000000"/>
                <w:w w:val="15"/>
                <w:shd w:val="solid" w:color="000000" w:fill="000000"/>
                <w:fitText w:val="70" w:id="-1436330491"/>
                <w14:textFill>
                  <w14:solidFill>
                    <w14:srgbClr w14:val="000000">
                      <w14:alpha w14:val="100000"/>
                    </w14:srgbClr>
                  </w14:solidFill>
                </w14:textFill>
              </w:rPr>
              <w:t>|</w:t>
            </w:r>
            <w:r w:rsidRPr="00B9195B">
              <w:rPr>
                <w:rFonts w:hint="eastAsia"/>
                <w:color w:val="000000"/>
                <w:spacing w:val="4"/>
                <w:w w:val="15"/>
                <w:shd w:val="solid" w:color="000000" w:fill="000000"/>
                <w:fitText w:val="70" w:id="-1436330491"/>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2AD7B6E0" w14:textId="623A7272"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0"/>
                <w14:textFill>
                  <w14:solidFill>
                    <w14:srgbClr w14:val="000000">
                      <w14:alpha w14:val="100000"/>
                    </w14:srgbClr>
                  </w14:solidFill>
                </w14:textFill>
              </w:rPr>
              <w:t xml:space="preserve">　</w:t>
            </w:r>
            <w:r w:rsidRPr="00B9195B">
              <w:rPr>
                <w:color w:val="000000"/>
                <w:w w:val="15"/>
                <w:shd w:val="solid" w:color="000000" w:fill="000000"/>
                <w:fitText w:val="70" w:id="-1436330490"/>
                <w14:textFill>
                  <w14:solidFill>
                    <w14:srgbClr w14:val="000000">
                      <w14:alpha w14:val="100000"/>
                    </w14:srgbClr>
                  </w14:solidFill>
                </w14:textFill>
              </w:rPr>
              <w:t>|</w:t>
            </w:r>
            <w:r w:rsidRPr="00B9195B">
              <w:rPr>
                <w:rFonts w:hint="eastAsia"/>
                <w:color w:val="000000"/>
                <w:spacing w:val="4"/>
                <w:w w:val="15"/>
                <w:shd w:val="solid" w:color="000000" w:fill="000000"/>
                <w:fitText w:val="70" w:id="-1436330490"/>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308F847F" w14:textId="4B91661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9"/>
                <w14:textFill>
                  <w14:solidFill>
                    <w14:srgbClr w14:val="000000">
                      <w14:alpha w14:val="100000"/>
                    </w14:srgbClr>
                  </w14:solidFill>
                </w14:textFill>
              </w:rPr>
              <w:t xml:space="preserve">　</w:t>
            </w:r>
            <w:r w:rsidRPr="00B9195B">
              <w:rPr>
                <w:color w:val="000000"/>
                <w:w w:val="15"/>
                <w:shd w:val="solid" w:color="000000" w:fill="000000"/>
                <w:fitText w:val="69" w:id="-1436330489"/>
                <w14:textFill>
                  <w14:solidFill>
                    <w14:srgbClr w14:val="000000">
                      <w14:alpha w14:val="100000"/>
                    </w14:srgbClr>
                  </w14:solidFill>
                </w14:textFill>
              </w:rPr>
              <w:t>|</w:t>
            </w:r>
            <w:r w:rsidRPr="00B9195B">
              <w:rPr>
                <w:rFonts w:hint="eastAsia"/>
                <w:color w:val="000000"/>
                <w:spacing w:val="3"/>
                <w:w w:val="15"/>
                <w:shd w:val="solid" w:color="000000" w:fill="000000"/>
                <w:fitText w:val="69" w:id="-1436330489"/>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0CDABCCE" w14:textId="6199E55B"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8"/>
                <w14:textFill>
                  <w14:solidFill>
                    <w14:srgbClr w14:val="000000">
                      <w14:alpha w14:val="100000"/>
                    </w14:srgbClr>
                  </w14:solidFill>
                </w14:textFill>
              </w:rPr>
              <w:t xml:space="preserve">　</w:t>
            </w:r>
            <w:r w:rsidRPr="00B9195B">
              <w:rPr>
                <w:color w:val="000000"/>
                <w:w w:val="15"/>
                <w:shd w:val="solid" w:color="000000" w:fill="000000"/>
                <w:fitText w:val="69" w:id="-1436330488"/>
                <w14:textFill>
                  <w14:solidFill>
                    <w14:srgbClr w14:val="000000">
                      <w14:alpha w14:val="100000"/>
                    </w14:srgbClr>
                  </w14:solidFill>
                </w14:textFill>
              </w:rPr>
              <w:t>|</w:t>
            </w:r>
            <w:r w:rsidRPr="00B9195B">
              <w:rPr>
                <w:rFonts w:hint="eastAsia"/>
                <w:color w:val="000000"/>
                <w:spacing w:val="3"/>
                <w:w w:val="15"/>
                <w:shd w:val="solid" w:color="000000" w:fill="000000"/>
                <w:fitText w:val="69" w:id="-1436330488"/>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3E89D4F2" w14:textId="41D7720B"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7"/>
                <w14:textFill>
                  <w14:solidFill>
                    <w14:srgbClr w14:val="000000">
                      <w14:alpha w14:val="100000"/>
                    </w14:srgbClr>
                  </w14:solidFill>
                </w14:textFill>
              </w:rPr>
              <w:t xml:space="preserve">　</w:t>
            </w:r>
            <w:r w:rsidRPr="00B9195B">
              <w:rPr>
                <w:color w:val="000000"/>
                <w:w w:val="15"/>
                <w:shd w:val="solid" w:color="000000" w:fill="000000"/>
                <w:fitText w:val="69" w:id="-1436330487"/>
                <w14:textFill>
                  <w14:solidFill>
                    <w14:srgbClr w14:val="000000">
                      <w14:alpha w14:val="100000"/>
                    </w14:srgbClr>
                  </w14:solidFill>
                </w14:textFill>
              </w:rPr>
              <w:t>|</w:t>
            </w:r>
            <w:r w:rsidRPr="00B9195B">
              <w:rPr>
                <w:rFonts w:hint="eastAsia"/>
                <w:color w:val="000000"/>
                <w:spacing w:val="3"/>
                <w:w w:val="15"/>
                <w:shd w:val="solid" w:color="000000" w:fill="000000"/>
                <w:fitText w:val="69" w:id="-1436330487"/>
                <w14:textFill>
                  <w14:solidFill>
                    <w14:srgbClr w14:val="000000">
                      <w14:alpha w14:val="100000"/>
                    </w14:srgbClr>
                  </w14:solidFill>
                </w14:textFill>
              </w:rPr>
              <w:t xml:space="preserve">　</w:t>
            </w:r>
            <w:r w:rsidR="00186D0B">
              <w:rPr>
                <w:vertAlign w:val="superscript"/>
              </w:rPr>
              <w:t>5</w:t>
            </w:r>
          </w:p>
        </w:tc>
      </w:tr>
      <w:tr w:rsidR="00C63763" w:rsidRPr="00911822" w14:paraId="2A8F6A2F" w14:textId="77777777" w:rsidTr="00936DDC">
        <w:tc>
          <w:tcPr>
            <w:tcW w:w="1412" w:type="pct"/>
            <w:shd w:val="clear" w:color="auto" w:fill="FFFFFF" w:themeFill="background1"/>
            <w:vAlign w:val="center"/>
          </w:tcPr>
          <w:p w14:paraId="4E83755A" w14:textId="7D93BA1A" w:rsidR="00C63763" w:rsidRPr="00E5709C" w:rsidRDefault="00C63763" w:rsidP="00A65564">
            <w:pPr>
              <w:pStyle w:val="TableText"/>
              <w:rPr>
                <w:vertAlign w:val="superscript"/>
              </w:rPr>
            </w:pPr>
            <w:r>
              <w:t xml:space="preserve">Initiating </w:t>
            </w:r>
            <w:r w:rsidR="00A55F8E">
              <w:t>scrip</w:t>
            </w:r>
            <w:r>
              <w:t>ts</w:t>
            </w:r>
            <w:r>
              <w:rPr>
                <w:vertAlign w:val="superscript"/>
              </w:rPr>
              <w:t>2</w:t>
            </w:r>
          </w:p>
        </w:tc>
        <w:tc>
          <w:tcPr>
            <w:tcW w:w="598" w:type="pct"/>
            <w:shd w:val="clear" w:color="auto" w:fill="auto"/>
            <w:vAlign w:val="center"/>
          </w:tcPr>
          <w:p w14:paraId="2439E9D2" w14:textId="77777777" w:rsidR="00C63763" w:rsidRPr="00911822" w:rsidRDefault="00C63763" w:rsidP="00C50DC8">
            <w:pPr>
              <w:pStyle w:val="Tabletext0"/>
              <w:keepNext/>
              <w:jc w:val="center"/>
            </w:pPr>
          </w:p>
        </w:tc>
        <w:tc>
          <w:tcPr>
            <w:tcW w:w="598" w:type="pct"/>
            <w:shd w:val="clear" w:color="auto" w:fill="auto"/>
            <w:vAlign w:val="center"/>
          </w:tcPr>
          <w:p w14:paraId="5CCBD4E2" w14:textId="77777777" w:rsidR="00C63763" w:rsidRPr="00911822" w:rsidRDefault="00C63763" w:rsidP="00C50DC8">
            <w:pPr>
              <w:pStyle w:val="Tabletext0"/>
              <w:keepNext/>
              <w:jc w:val="center"/>
            </w:pPr>
          </w:p>
        </w:tc>
        <w:tc>
          <w:tcPr>
            <w:tcW w:w="598" w:type="pct"/>
            <w:shd w:val="clear" w:color="auto" w:fill="auto"/>
            <w:vAlign w:val="center"/>
          </w:tcPr>
          <w:p w14:paraId="12B2D9C4" w14:textId="77777777" w:rsidR="00C63763" w:rsidRPr="00911822" w:rsidRDefault="00C63763" w:rsidP="00C50DC8">
            <w:pPr>
              <w:pStyle w:val="Tabletext0"/>
              <w:keepNext/>
              <w:jc w:val="center"/>
            </w:pPr>
          </w:p>
        </w:tc>
        <w:tc>
          <w:tcPr>
            <w:tcW w:w="598" w:type="pct"/>
            <w:shd w:val="clear" w:color="auto" w:fill="auto"/>
            <w:vAlign w:val="center"/>
          </w:tcPr>
          <w:p w14:paraId="7258EAC0" w14:textId="77777777" w:rsidR="00C63763" w:rsidRPr="00911822" w:rsidRDefault="00C63763" w:rsidP="00C50DC8">
            <w:pPr>
              <w:pStyle w:val="Tabletext0"/>
              <w:keepNext/>
              <w:jc w:val="center"/>
            </w:pPr>
          </w:p>
        </w:tc>
        <w:tc>
          <w:tcPr>
            <w:tcW w:w="598" w:type="pct"/>
            <w:shd w:val="clear" w:color="auto" w:fill="auto"/>
            <w:vAlign w:val="center"/>
          </w:tcPr>
          <w:p w14:paraId="5832AA94" w14:textId="77777777" w:rsidR="00C63763" w:rsidRPr="00911822" w:rsidRDefault="00C63763" w:rsidP="00C50DC8">
            <w:pPr>
              <w:pStyle w:val="Tabletext0"/>
              <w:keepNext/>
              <w:jc w:val="center"/>
            </w:pPr>
          </w:p>
        </w:tc>
        <w:tc>
          <w:tcPr>
            <w:tcW w:w="598" w:type="pct"/>
            <w:shd w:val="clear" w:color="auto" w:fill="auto"/>
            <w:vAlign w:val="center"/>
          </w:tcPr>
          <w:p w14:paraId="2AC6E016" w14:textId="77777777" w:rsidR="00C63763" w:rsidRPr="00911822" w:rsidRDefault="00C63763" w:rsidP="00C50DC8">
            <w:pPr>
              <w:pStyle w:val="Tabletext0"/>
              <w:keepNext/>
              <w:jc w:val="center"/>
            </w:pPr>
          </w:p>
        </w:tc>
      </w:tr>
      <w:tr w:rsidR="00C63763" w:rsidRPr="00911822" w14:paraId="7F5F6BFB" w14:textId="77777777" w:rsidTr="00936DDC">
        <w:tc>
          <w:tcPr>
            <w:tcW w:w="1412" w:type="pct"/>
            <w:shd w:val="clear" w:color="auto" w:fill="FFFFFF" w:themeFill="background1"/>
            <w:vAlign w:val="center"/>
          </w:tcPr>
          <w:p w14:paraId="5AE95DC5" w14:textId="77777777" w:rsidR="00C63763" w:rsidRPr="00911822" w:rsidRDefault="00C63763" w:rsidP="004D6A5C">
            <w:pPr>
              <w:pStyle w:val="TableText"/>
              <w:numPr>
                <w:ilvl w:val="0"/>
                <w:numId w:val="8"/>
              </w:numPr>
              <w:ind w:left="170" w:hanging="170"/>
            </w:pPr>
            <w:r w:rsidRPr="00911822">
              <w:t>56 mg</w:t>
            </w:r>
          </w:p>
        </w:tc>
        <w:tc>
          <w:tcPr>
            <w:tcW w:w="598" w:type="pct"/>
            <w:shd w:val="clear" w:color="auto" w:fill="auto"/>
            <w:vAlign w:val="center"/>
          </w:tcPr>
          <w:p w14:paraId="45BF4075" w14:textId="64413FB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6"/>
                <w14:textFill>
                  <w14:solidFill>
                    <w14:srgbClr w14:val="000000">
                      <w14:alpha w14:val="100000"/>
                    </w14:srgbClr>
                  </w14:solidFill>
                </w14:textFill>
              </w:rPr>
              <w:t xml:space="preserve">　</w:t>
            </w:r>
            <w:r w:rsidRPr="00B9195B">
              <w:rPr>
                <w:color w:val="000000"/>
                <w:w w:val="15"/>
                <w:shd w:val="solid" w:color="000000" w:fill="000000"/>
                <w:fitText w:val="70" w:id="-1436330486"/>
                <w14:textFill>
                  <w14:solidFill>
                    <w14:srgbClr w14:val="000000">
                      <w14:alpha w14:val="100000"/>
                    </w14:srgbClr>
                  </w14:solidFill>
                </w14:textFill>
              </w:rPr>
              <w:t>|</w:t>
            </w:r>
            <w:r w:rsidRPr="00B9195B">
              <w:rPr>
                <w:rFonts w:hint="eastAsia"/>
                <w:color w:val="000000"/>
                <w:spacing w:val="4"/>
                <w:w w:val="15"/>
                <w:shd w:val="solid" w:color="000000" w:fill="000000"/>
                <w:fitText w:val="70" w:id="-1436330486"/>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5518A5F0" w14:textId="221F9640"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5"/>
                <w14:textFill>
                  <w14:solidFill>
                    <w14:srgbClr w14:val="000000">
                      <w14:alpha w14:val="100000"/>
                    </w14:srgbClr>
                  </w14:solidFill>
                </w14:textFill>
              </w:rPr>
              <w:t xml:space="preserve">　</w:t>
            </w:r>
            <w:r w:rsidRPr="00B9195B">
              <w:rPr>
                <w:color w:val="000000"/>
                <w:w w:val="15"/>
                <w:shd w:val="solid" w:color="000000" w:fill="000000"/>
                <w:fitText w:val="70" w:id="-1436330485"/>
                <w14:textFill>
                  <w14:solidFill>
                    <w14:srgbClr w14:val="000000">
                      <w14:alpha w14:val="100000"/>
                    </w14:srgbClr>
                  </w14:solidFill>
                </w14:textFill>
              </w:rPr>
              <w:t>|</w:t>
            </w:r>
            <w:r w:rsidRPr="00B9195B">
              <w:rPr>
                <w:rFonts w:hint="eastAsia"/>
                <w:color w:val="000000"/>
                <w:spacing w:val="4"/>
                <w:w w:val="15"/>
                <w:shd w:val="solid" w:color="000000" w:fill="000000"/>
                <w:fitText w:val="70" w:id="-1436330485"/>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2DA2D56F" w14:textId="178AEAAD"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4"/>
                <w14:textFill>
                  <w14:solidFill>
                    <w14:srgbClr w14:val="000000">
                      <w14:alpha w14:val="100000"/>
                    </w14:srgbClr>
                  </w14:solidFill>
                </w14:textFill>
              </w:rPr>
              <w:t xml:space="preserve">　</w:t>
            </w:r>
            <w:r w:rsidRPr="00B9195B">
              <w:rPr>
                <w:color w:val="000000"/>
                <w:w w:val="15"/>
                <w:shd w:val="solid" w:color="000000" w:fill="000000"/>
                <w:fitText w:val="70" w:id="-1436330484"/>
                <w14:textFill>
                  <w14:solidFill>
                    <w14:srgbClr w14:val="000000">
                      <w14:alpha w14:val="100000"/>
                    </w14:srgbClr>
                  </w14:solidFill>
                </w14:textFill>
              </w:rPr>
              <w:t>|</w:t>
            </w:r>
            <w:r w:rsidRPr="00B9195B">
              <w:rPr>
                <w:rFonts w:hint="eastAsia"/>
                <w:color w:val="000000"/>
                <w:spacing w:val="4"/>
                <w:w w:val="15"/>
                <w:shd w:val="solid" w:color="000000" w:fill="000000"/>
                <w:fitText w:val="70" w:id="-1436330484"/>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5AE2D6B8" w14:textId="18E7B160"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3"/>
                <w14:textFill>
                  <w14:solidFill>
                    <w14:srgbClr w14:val="000000">
                      <w14:alpha w14:val="100000"/>
                    </w14:srgbClr>
                  </w14:solidFill>
                </w14:textFill>
              </w:rPr>
              <w:t xml:space="preserve">　</w:t>
            </w:r>
            <w:r w:rsidRPr="00B9195B">
              <w:rPr>
                <w:color w:val="000000"/>
                <w:w w:val="15"/>
                <w:shd w:val="solid" w:color="000000" w:fill="000000"/>
                <w:fitText w:val="69" w:id="-1436330483"/>
                <w14:textFill>
                  <w14:solidFill>
                    <w14:srgbClr w14:val="000000">
                      <w14:alpha w14:val="100000"/>
                    </w14:srgbClr>
                  </w14:solidFill>
                </w14:textFill>
              </w:rPr>
              <w:t>|</w:t>
            </w:r>
            <w:r w:rsidRPr="00B9195B">
              <w:rPr>
                <w:rFonts w:hint="eastAsia"/>
                <w:color w:val="000000"/>
                <w:spacing w:val="3"/>
                <w:w w:val="15"/>
                <w:shd w:val="solid" w:color="000000" w:fill="000000"/>
                <w:fitText w:val="69" w:id="-1436330483"/>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4B54310D" w14:textId="198B526A"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2"/>
                <w14:textFill>
                  <w14:solidFill>
                    <w14:srgbClr w14:val="000000">
                      <w14:alpha w14:val="100000"/>
                    </w14:srgbClr>
                  </w14:solidFill>
                </w14:textFill>
              </w:rPr>
              <w:t xml:space="preserve">　</w:t>
            </w:r>
            <w:r w:rsidRPr="00B9195B">
              <w:rPr>
                <w:color w:val="000000"/>
                <w:w w:val="15"/>
                <w:shd w:val="solid" w:color="000000" w:fill="000000"/>
                <w:fitText w:val="69" w:id="-1436330482"/>
                <w14:textFill>
                  <w14:solidFill>
                    <w14:srgbClr w14:val="000000">
                      <w14:alpha w14:val="100000"/>
                    </w14:srgbClr>
                  </w14:solidFill>
                </w14:textFill>
              </w:rPr>
              <w:t>|</w:t>
            </w:r>
            <w:r w:rsidRPr="00B9195B">
              <w:rPr>
                <w:rFonts w:hint="eastAsia"/>
                <w:color w:val="000000"/>
                <w:spacing w:val="3"/>
                <w:w w:val="15"/>
                <w:shd w:val="solid" w:color="000000" w:fill="000000"/>
                <w:fitText w:val="69" w:id="-1436330482"/>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77EAA240" w14:textId="4F89BFD9"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1"/>
                <w14:textFill>
                  <w14:solidFill>
                    <w14:srgbClr w14:val="000000">
                      <w14:alpha w14:val="100000"/>
                    </w14:srgbClr>
                  </w14:solidFill>
                </w14:textFill>
              </w:rPr>
              <w:t xml:space="preserve">　</w:t>
            </w:r>
            <w:r w:rsidRPr="00B9195B">
              <w:rPr>
                <w:color w:val="000000"/>
                <w:w w:val="15"/>
                <w:shd w:val="solid" w:color="000000" w:fill="000000"/>
                <w:fitText w:val="69" w:id="-1436330481"/>
                <w14:textFill>
                  <w14:solidFill>
                    <w14:srgbClr w14:val="000000">
                      <w14:alpha w14:val="100000"/>
                    </w14:srgbClr>
                  </w14:solidFill>
                </w14:textFill>
              </w:rPr>
              <w:t>|</w:t>
            </w:r>
            <w:r w:rsidRPr="00B9195B">
              <w:rPr>
                <w:rFonts w:hint="eastAsia"/>
                <w:color w:val="000000"/>
                <w:spacing w:val="3"/>
                <w:w w:val="15"/>
                <w:shd w:val="solid" w:color="000000" w:fill="000000"/>
                <w:fitText w:val="69" w:id="-1436330481"/>
                <w14:textFill>
                  <w14:solidFill>
                    <w14:srgbClr w14:val="000000">
                      <w14:alpha w14:val="100000"/>
                    </w14:srgbClr>
                  </w14:solidFill>
                </w14:textFill>
              </w:rPr>
              <w:t xml:space="preserve">　</w:t>
            </w:r>
            <w:r w:rsidR="00186D0B">
              <w:rPr>
                <w:vertAlign w:val="superscript"/>
              </w:rPr>
              <w:t>6</w:t>
            </w:r>
          </w:p>
        </w:tc>
      </w:tr>
      <w:tr w:rsidR="00C63763" w:rsidRPr="00911822" w14:paraId="2CD59123" w14:textId="77777777" w:rsidTr="00936DDC">
        <w:tc>
          <w:tcPr>
            <w:tcW w:w="1412" w:type="pct"/>
            <w:shd w:val="clear" w:color="auto" w:fill="FFFFFF" w:themeFill="background1"/>
            <w:vAlign w:val="center"/>
          </w:tcPr>
          <w:p w14:paraId="0ABE6A68" w14:textId="77777777" w:rsidR="00C63763" w:rsidRPr="00911822" w:rsidRDefault="00C63763" w:rsidP="004D6A5C">
            <w:pPr>
              <w:pStyle w:val="TableText"/>
              <w:numPr>
                <w:ilvl w:val="0"/>
                <w:numId w:val="8"/>
              </w:numPr>
              <w:ind w:left="170" w:hanging="170"/>
            </w:pPr>
            <w:r w:rsidRPr="00911822">
              <w:t>84 mg</w:t>
            </w:r>
          </w:p>
        </w:tc>
        <w:tc>
          <w:tcPr>
            <w:tcW w:w="598" w:type="pct"/>
            <w:shd w:val="clear" w:color="auto" w:fill="auto"/>
            <w:vAlign w:val="center"/>
          </w:tcPr>
          <w:p w14:paraId="4604D2C0" w14:textId="28518553"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0"/>
                <w14:textFill>
                  <w14:solidFill>
                    <w14:srgbClr w14:val="000000">
                      <w14:alpha w14:val="100000"/>
                    </w14:srgbClr>
                  </w14:solidFill>
                </w14:textFill>
              </w:rPr>
              <w:t xml:space="preserve">　</w:t>
            </w:r>
            <w:r w:rsidRPr="00B9195B">
              <w:rPr>
                <w:color w:val="000000"/>
                <w:w w:val="15"/>
                <w:shd w:val="solid" w:color="000000" w:fill="000000"/>
                <w:fitText w:val="70" w:id="-1436330480"/>
                <w14:textFill>
                  <w14:solidFill>
                    <w14:srgbClr w14:val="000000">
                      <w14:alpha w14:val="100000"/>
                    </w14:srgbClr>
                  </w14:solidFill>
                </w14:textFill>
              </w:rPr>
              <w:t>|</w:t>
            </w:r>
            <w:r w:rsidRPr="00B9195B">
              <w:rPr>
                <w:rFonts w:hint="eastAsia"/>
                <w:color w:val="000000"/>
                <w:spacing w:val="4"/>
                <w:w w:val="15"/>
                <w:shd w:val="solid" w:color="000000" w:fill="000000"/>
                <w:fitText w:val="70" w:id="-1436330480"/>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4215E7B7" w14:textId="07A94D5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6"/>
                <w14:textFill>
                  <w14:solidFill>
                    <w14:srgbClr w14:val="000000">
                      <w14:alpha w14:val="100000"/>
                    </w14:srgbClr>
                  </w14:solidFill>
                </w14:textFill>
              </w:rPr>
              <w:t xml:space="preserve">　</w:t>
            </w:r>
            <w:r w:rsidRPr="00B9195B">
              <w:rPr>
                <w:color w:val="000000"/>
                <w:w w:val="15"/>
                <w:shd w:val="solid" w:color="000000" w:fill="000000"/>
                <w:fitText w:val="70" w:id="-1436330496"/>
                <w14:textFill>
                  <w14:solidFill>
                    <w14:srgbClr w14:val="000000">
                      <w14:alpha w14:val="100000"/>
                    </w14:srgbClr>
                  </w14:solidFill>
                </w14:textFill>
              </w:rPr>
              <w:t>|</w:t>
            </w:r>
            <w:r w:rsidRPr="00B9195B">
              <w:rPr>
                <w:rFonts w:hint="eastAsia"/>
                <w:color w:val="000000"/>
                <w:spacing w:val="4"/>
                <w:w w:val="15"/>
                <w:shd w:val="solid" w:color="000000" w:fill="000000"/>
                <w:fitText w:val="70" w:id="-1436330496"/>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5D673AC2" w14:textId="4B20F977"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5"/>
                <w14:textFill>
                  <w14:solidFill>
                    <w14:srgbClr w14:val="000000">
                      <w14:alpha w14:val="100000"/>
                    </w14:srgbClr>
                  </w14:solidFill>
                </w14:textFill>
              </w:rPr>
              <w:t xml:space="preserve">　</w:t>
            </w:r>
            <w:r w:rsidRPr="00B9195B">
              <w:rPr>
                <w:color w:val="000000"/>
                <w:w w:val="15"/>
                <w:shd w:val="solid" w:color="000000" w:fill="000000"/>
                <w:fitText w:val="70" w:id="-1436330495"/>
                <w14:textFill>
                  <w14:solidFill>
                    <w14:srgbClr w14:val="000000">
                      <w14:alpha w14:val="100000"/>
                    </w14:srgbClr>
                  </w14:solidFill>
                </w14:textFill>
              </w:rPr>
              <w:t>|</w:t>
            </w:r>
            <w:r w:rsidRPr="00B9195B">
              <w:rPr>
                <w:rFonts w:hint="eastAsia"/>
                <w:color w:val="000000"/>
                <w:spacing w:val="4"/>
                <w:w w:val="15"/>
                <w:shd w:val="solid" w:color="000000" w:fill="000000"/>
                <w:fitText w:val="70" w:id="-1436330495"/>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5C46182A" w14:textId="7303EE77"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4"/>
                <w14:textFill>
                  <w14:solidFill>
                    <w14:srgbClr w14:val="000000">
                      <w14:alpha w14:val="100000"/>
                    </w14:srgbClr>
                  </w14:solidFill>
                </w14:textFill>
              </w:rPr>
              <w:t xml:space="preserve">　</w:t>
            </w:r>
            <w:r w:rsidRPr="00B9195B">
              <w:rPr>
                <w:color w:val="000000"/>
                <w:w w:val="15"/>
                <w:shd w:val="solid" w:color="000000" w:fill="000000"/>
                <w:fitText w:val="69" w:id="-1436330494"/>
                <w14:textFill>
                  <w14:solidFill>
                    <w14:srgbClr w14:val="000000">
                      <w14:alpha w14:val="100000"/>
                    </w14:srgbClr>
                  </w14:solidFill>
                </w14:textFill>
              </w:rPr>
              <w:t>|</w:t>
            </w:r>
            <w:r w:rsidRPr="00B9195B">
              <w:rPr>
                <w:rFonts w:hint="eastAsia"/>
                <w:color w:val="000000"/>
                <w:spacing w:val="3"/>
                <w:w w:val="15"/>
                <w:shd w:val="solid" w:color="000000" w:fill="000000"/>
                <w:fitText w:val="69" w:id="-1436330494"/>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0819EE7C" w14:textId="2A2555CC"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3"/>
                <w14:textFill>
                  <w14:solidFill>
                    <w14:srgbClr w14:val="000000">
                      <w14:alpha w14:val="100000"/>
                    </w14:srgbClr>
                  </w14:solidFill>
                </w14:textFill>
              </w:rPr>
              <w:t xml:space="preserve">　</w:t>
            </w:r>
            <w:r w:rsidRPr="00B9195B">
              <w:rPr>
                <w:color w:val="000000"/>
                <w:w w:val="15"/>
                <w:shd w:val="solid" w:color="000000" w:fill="000000"/>
                <w:fitText w:val="69" w:id="-1436330493"/>
                <w14:textFill>
                  <w14:solidFill>
                    <w14:srgbClr w14:val="000000">
                      <w14:alpha w14:val="100000"/>
                    </w14:srgbClr>
                  </w14:solidFill>
                </w14:textFill>
              </w:rPr>
              <w:t>|</w:t>
            </w:r>
            <w:r w:rsidRPr="00B9195B">
              <w:rPr>
                <w:rFonts w:hint="eastAsia"/>
                <w:color w:val="000000"/>
                <w:spacing w:val="3"/>
                <w:w w:val="15"/>
                <w:shd w:val="solid" w:color="000000" w:fill="000000"/>
                <w:fitText w:val="69" w:id="-1436330493"/>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65DEBBC0" w14:textId="24427B3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2"/>
                <w14:textFill>
                  <w14:solidFill>
                    <w14:srgbClr w14:val="000000">
                      <w14:alpha w14:val="100000"/>
                    </w14:srgbClr>
                  </w14:solidFill>
                </w14:textFill>
              </w:rPr>
              <w:t xml:space="preserve">　</w:t>
            </w:r>
            <w:r w:rsidRPr="00B9195B">
              <w:rPr>
                <w:color w:val="000000"/>
                <w:w w:val="15"/>
                <w:shd w:val="solid" w:color="000000" w:fill="000000"/>
                <w:fitText w:val="69" w:id="-1436330492"/>
                <w14:textFill>
                  <w14:solidFill>
                    <w14:srgbClr w14:val="000000">
                      <w14:alpha w14:val="100000"/>
                    </w14:srgbClr>
                  </w14:solidFill>
                </w14:textFill>
              </w:rPr>
              <w:t>|</w:t>
            </w:r>
            <w:r w:rsidRPr="00B9195B">
              <w:rPr>
                <w:rFonts w:hint="eastAsia"/>
                <w:color w:val="000000"/>
                <w:spacing w:val="3"/>
                <w:w w:val="15"/>
                <w:shd w:val="solid" w:color="000000" w:fill="000000"/>
                <w:fitText w:val="69" w:id="-1436330492"/>
                <w14:textFill>
                  <w14:solidFill>
                    <w14:srgbClr w14:val="000000">
                      <w14:alpha w14:val="100000"/>
                    </w14:srgbClr>
                  </w14:solidFill>
                </w14:textFill>
              </w:rPr>
              <w:t xml:space="preserve">　</w:t>
            </w:r>
            <w:r w:rsidR="00186D0B">
              <w:rPr>
                <w:vertAlign w:val="superscript"/>
              </w:rPr>
              <w:t>6</w:t>
            </w:r>
          </w:p>
        </w:tc>
      </w:tr>
      <w:tr w:rsidR="00C63763" w:rsidRPr="00911822" w14:paraId="2ECA0CB7" w14:textId="77777777" w:rsidTr="00936DDC">
        <w:tc>
          <w:tcPr>
            <w:tcW w:w="5000" w:type="pct"/>
            <w:gridSpan w:val="7"/>
            <w:shd w:val="clear" w:color="auto" w:fill="FFFFFF" w:themeFill="background1"/>
            <w:vAlign w:val="bottom"/>
          </w:tcPr>
          <w:p w14:paraId="182DC422" w14:textId="77777777" w:rsidR="00C63763" w:rsidRPr="00CB14F4" w:rsidRDefault="00C63763" w:rsidP="00C50DC8">
            <w:pPr>
              <w:pStyle w:val="Tabletext0"/>
              <w:keepNext/>
              <w:rPr>
                <w:b/>
                <w:bCs/>
              </w:rPr>
            </w:pPr>
            <w:r>
              <w:rPr>
                <w:b/>
                <w:bCs/>
              </w:rPr>
              <w:t>Continuing scripts- initiation year</w:t>
            </w:r>
          </w:p>
        </w:tc>
      </w:tr>
      <w:tr w:rsidR="00C63763" w:rsidRPr="00911822" w14:paraId="460DEDFB" w14:textId="77777777" w:rsidTr="00936DDC">
        <w:tc>
          <w:tcPr>
            <w:tcW w:w="1412" w:type="pct"/>
            <w:shd w:val="clear" w:color="auto" w:fill="FFFFFF" w:themeFill="background1"/>
            <w:vAlign w:val="bottom"/>
          </w:tcPr>
          <w:p w14:paraId="1856A372" w14:textId="5BA5E946" w:rsidR="00C63763" w:rsidRPr="00533783" w:rsidRDefault="00C63763" w:rsidP="00A65564">
            <w:pPr>
              <w:pStyle w:val="TableText"/>
              <w:rPr>
                <w:vertAlign w:val="superscript"/>
              </w:rPr>
            </w:pPr>
            <w:r w:rsidRPr="00911822">
              <w:t>Continuing patients</w:t>
            </w:r>
            <w:r>
              <w:t xml:space="preserve"> (</w:t>
            </w:r>
            <w:r w:rsidR="00654B2E">
              <w:t>48.4%</w:t>
            </w:r>
            <w:r>
              <w:t>)</w:t>
            </w:r>
            <w:r>
              <w:rPr>
                <w:vertAlign w:val="superscript"/>
              </w:rPr>
              <w:t>3</w:t>
            </w:r>
          </w:p>
        </w:tc>
        <w:tc>
          <w:tcPr>
            <w:tcW w:w="598" w:type="pct"/>
            <w:shd w:val="clear" w:color="auto" w:fill="auto"/>
            <w:vAlign w:val="center"/>
          </w:tcPr>
          <w:p w14:paraId="4EC91385" w14:textId="0F6A7846"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1"/>
                <w14:textFill>
                  <w14:solidFill>
                    <w14:srgbClr w14:val="000000">
                      <w14:alpha w14:val="100000"/>
                    </w14:srgbClr>
                  </w14:solidFill>
                </w14:textFill>
              </w:rPr>
              <w:t xml:space="preserve">　</w:t>
            </w:r>
            <w:r w:rsidRPr="00B9195B">
              <w:rPr>
                <w:color w:val="000000"/>
                <w:w w:val="15"/>
                <w:shd w:val="solid" w:color="000000" w:fill="000000"/>
                <w:fitText w:val="70" w:id="-1436330491"/>
                <w14:textFill>
                  <w14:solidFill>
                    <w14:srgbClr w14:val="000000">
                      <w14:alpha w14:val="100000"/>
                    </w14:srgbClr>
                  </w14:solidFill>
                </w14:textFill>
              </w:rPr>
              <w:t>|</w:t>
            </w:r>
            <w:r w:rsidRPr="00B9195B">
              <w:rPr>
                <w:rFonts w:hint="eastAsia"/>
                <w:color w:val="000000"/>
                <w:spacing w:val="4"/>
                <w:w w:val="15"/>
                <w:shd w:val="solid" w:color="000000" w:fill="000000"/>
                <w:fitText w:val="70" w:id="-1436330491"/>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12FEBD9F" w14:textId="51E14BC1"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0"/>
                <w14:textFill>
                  <w14:solidFill>
                    <w14:srgbClr w14:val="000000">
                      <w14:alpha w14:val="100000"/>
                    </w14:srgbClr>
                  </w14:solidFill>
                </w14:textFill>
              </w:rPr>
              <w:t xml:space="preserve">　</w:t>
            </w:r>
            <w:r w:rsidRPr="00B9195B">
              <w:rPr>
                <w:color w:val="000000"/>
                <w:w w:val="15"/>
                <w:shd w:val="solid" w:color="000000" w:fill="000000"/>
                <w:fitText w:val="70" w:id="-1436330490"/>
                <w14:textFill>
                  <w14:solidFill>
                    <w14:srgbClr w14:val="000000">
                      <w14:alpha w14:val="100000"/>
                    </w14:srgbClr>
                  </w14:solidFill>
                </w14:textFill>
              </w:rPr>
              <w:t>|</w:t>
            </w:r>
            <w:r w:rsidRPr="00B9195B">
              <w:rPr>
                <w:rFonts w:hint="eastAsia"/>
                <w:color w:val="000000"/>
                <w:spacing w:val="4"/>
                <w:w w:val="15"/>
                <w:shd w:val="solid" w:color="000000" w:fill="000000"/>
                <w:fitText w:val="70" w:id="-1436330490"/>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51BD2A3E" w14:textId="54B51BA5"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9"/>
                <w14:textFill>
                  <w14:solidFill>
                    <w14:srgbClr w14:val="000000">
                      <w14:alpha w14:val="100000"/>
                    </w14:srgbClr>
                  </w14:solidFill>
                </w14:textFill>
              </w:rPr>
              <w:t xml:space="preserve">　</w:t>
            </w:r>
            <w:r w:rsidRPr="00B9195B">
              <w:rPr>
                <w:color w:val="000000"/>
                <w:w w:val="15"/>
                <w:shd w:val="solid" w:color="000000" w:fill="000000"/>
                <w:fitText w:val="70" w:id="-1436330489"/>
                <w14:textFill>
                  <w14:solidFill>
                    <w14:srgbClr w14:val="000000">
                      <w14:alpha w14:val="100000"/>
                    </w14:srgbClr>
                  </w14:solidFill>
                </w14:textFill>
              </w:rPr>
              <w:t>|</w:t>
            </w:r>
            <w:r w:rsidRPr="00B9195B">
              <w:rPr>
                <w:rFonts w:hint="eastAsia"/>
                <w:color w:val="000000"/>
                <w:spacing w:val="4"/>
                <w:w w:val="15"/>
                <w:shd w:val="solid" w:color="000000" w:fill="000000"/>
                <w:fitText w:val="70" w:id="-1436330489"/>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610A702D" w14:textId="79273F95"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8"/>
                <w14:textFill>
                  <w14:solidFill>
                    <w14:srgbClr w14:val="000000">
                      <w14:alpha w14:val="100000"/>
                    </w14:srgbClr>
                  </w14:solidFill>
                </w14:textFill>
              </w:rPr>
              <w:t xml:space="preserve">　</w:t>
            </w:r>
            <w:r w:rsidRPr="00B9195B">
              <w:rPr>
                <w:color w:val="000000"/>
                <w:w w:val="15"/>
                <w:shd w:val="solid" w:color="000000" w:fill="000000"/>
                <w:fitText w:val="69" w:id="-1436330488"/>
                <w14:textFill>
                  <w14:solidFill>
                    <w14:srgbClr w14:val="000000">
                      <w14:alpha w14:val="100000"/>
                    </w14:srgbClr>
                  </w14:solidFill>
                </w14:textFill>
              </w:rPr>
              <w:t>|</w:t>
            </w:r>
            <w:r w:rsidRPr="00B9195B">
              <w:rPr>
                <w:rFonts w:hint="eastAsia"/>
                <w:color w:val="000000"/>
                <w:spacing w:val="3"/>
                <w:w w:val="15"/>
                <w:shd w:val="solid" w:color="000000" w:fill="000000"/>
                <w:fitText w:val="69" w:id="-1436330488"/>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687E5E83" w14:textId="6BB308AB"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7"/>
                <w14:textFill>
                  <w14:solidFill>
                    <w14:srgbClr w14:val="000000">
                      <w14:alpha w14:val="100000"/>
                    </w14:srgbClr>
                  </w14:solidFill>
                </w14:textFill>
              </w:rPr>
              <w:t xml:space="preserve">　</w:t>
            </w:r>
            <w:r w:rsidRPr="00B9195B">
              <w:rPr>
                <w:color w:val="000000"/>
                <w:w w:val="15"/>
                <w:shd w:val="solid" w:color="000000" w:fill="000000"/>
                <w:fitText w:val="69" w:id="-1436330487"/>
                <w14:textFill>
                  <w14:solidFill>
                    <w14:srgbClr w14:val="000000">
                      <w14:alpha w14:val="100000"/>
                    </w14:srgbClr>
                  </w14:solidFill>
                </w14:textFill>
              </w:rPr>
              <w:t>|</w:t>
            </w:r>
            <w:r w:rsidRPr="00B9195B">
              <w:rPr>
                <w:rFonts w:hint="eastAsia"/>
                <w:color w:val="000000"/>
                <w:spacing w:val="3"/>
                <w:w w:val="15"/>
                <w:shd w:val="solid" w:color="000000" w:fill="000000"/>
                <w:fitText w:val="69" w:id="-1436330487"/>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52FCC492" w14:textId="065266E8"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6"/>
                <w14:textFill>
                  <w14:solidFill>
                    <w14:srgbClr w14:val="000000">
                      <w14:alpha w14:val="100000"/>
                    </w14:srgbClr>
                  </w14:solidFill>
                </w14:textFill>
              </w:rPr>
              <w:t xml:space="preserve">　</w:t>
            </w:r>
            <w:r w:rsidRPr="00B9195B">
              <w:rPr>
                <w:color w:val="000000"/>
                <w:w w:val="15"/>
                <w:shd w:val="solid" w:color="000000" w:fill="000000"/>
                <w:fitText w:val="69" w:id="-1436330486"/>
                <w14:textFill>
                  <w14:solidFill>
                    <w14:srgbClr w14:val="000000">
                      <w14:alpha w14:val="100000"/>
                    </w14:srgbClr>
                  </w14:solidFill>
                </w14:textFill>
              </w:rPr>
              <w:t>|</w:t>
            </w:r>
            <w:r w:rsidRPr="00B9195B">
              <w:rPr>
                <w:rFonts w:hint="eastAsia"/>
                <w:color w:val="000000"/>
                <w:spacing w:val="3"/>
                <w:w w:val="15"/>
                <w:shd w:val="solid" w:color="000000" w:fill="000000"/>
                <w:fitText w:val="69" w:id="-1436330486"/>
                <w14:textFill>
                  <w14:solidFill>
                    <w14:srgbClr w14:val="000000">
                      <w14:alpha w14:val="100000"/>
                    </w14:srgbClr>
                  </w14:solidFill>
                </w14:textFill>
              </w:rPr>
              <w:t xml:space="preserve">　</w:t>
            </w:r>
            <w:r w:rsidR="00186D0B">
              <w:rPr>
                <w:vertAlign w:val="superscript"/>
              </w:rPr>
              <w:t>6</w:t>
            </w:r>
          </w:p>
        </w:tc>
      </w:tr>
      <w:tr w:rsidR="00AC630E" w:rsidRPr="00911822" w14:paraId="68AC2EB6" w14:textId="77777777" w:rsidTr="00936DDC">
        <w:tc>
          <w:tcPr>
            <w:tcW w:w="1412" w:type="pct"/>
            <w:shd w:val="clear" w:color="auto" w:fill="FFFFFF" w:themeFill="background1"/>
            <w:vAlign w:val="center"/>
          </w:tcPr>
          <w:p w14:paraId="1F6F80F7" w14:textId="27577494" w:rsidR="00C63763" w:rsidRPr="00532ACA" w:rsidRDefault="00C63763" w:rsidP="00C50DC8">
            <w:pPr>
              <w:pStyle w:val="Tabletext0"/>
              <w:keepNext/>
              <w:rPr>
                <w:vertAlign w:val="superscript"/>
              </w:rPr>
            </w:pPr>
            <w:r>
              <w:t>Continuing scripts</w:t>
            </w:r>
            <w:r>
              <w:rPr>
                <w:vertAlign w:val="superscript"/>
              </w:rPr>
              <w:t>2</w:t>
            </w:r>
          </w:p>
        </w:tc>
        <w:tc>
          <w:tcPr>
            <w:tcW w:w="598" w:type="pct"/>
            <w:shd w:val="clear" w:color="auto" w:fill="FFFFFF" w:themeFill="background1"/>
            <w:vAlign w:val="center"/>
          </w:tcPr>
          <w:p w14:paraId="13B341D9" w14:textId="77777777" w:rsidR="00C63763" w:rsidRPr="00911822" w:rsidRDefault="00C63763" w:rsidP="00C50DC8">
            <w:pPr>
              <w:pStyle w:val="Tabletext0"/>
              <w:keepNext/>
            </w:pPr>
          </w:p>
        </w:tc>
        <w:tc>
          <w:tcPr>
            <w:tcW w:w="598" w:type="pct"/>
            <w:shd w:val="clear" w:color="auto" w:fill="FFFFFF" w:themeFill="background1"/>
            <w:vAlign w:val="center"/>
          </w:tcPr>
          <w:p w14:paraId="5EF1EB8F" w14:textId="77777777" w:rsidR="00C63763" w:rsidRPr="00911822" w:rsidRDefault="00C63763" w:rsidP="00C50DC8">
            <w:pPr>
              <w:pStyle w:val="Tabletext0"/>
              <w:keepNext/>
            </w:pPr>
          </w:p>
        </w:tc>
        <w:tc>
          <w:tcPr>
            <w:tcW w:w="598" w:type="pct"/>
            <w:shd w:val="clear" w:color="auto" w:fill="FFFFFF" w:themeFill="background1"/>
            <w:vAlign w:val="center"/>
          </w:tcPr>
          <w:p w14:paraId="01E6C2F7" w14:textId="77777777" w:rsidR="00C63763" w:rsidRPr="00911822" w:rsidRDefault="00C63763" w:rsidP="00C50DC8">
            <w:pPr>
              <w:pStyle w:val="Tabletext0"/>
              <w:keepNext/>
            </w:pPr>
          </w:p>
        </w:tc>
        <w:tc>
          <w:tcPr>
            <w:tcW w:w="598" w:type="pct"/>
            <w:shd w:val="clear" w:color="auto" w:fill="FFFFFF" w:themeFill="background1"/>
            <w:vAlign w:val="center"/>
          </w:tcPr>
          <w:p w14:paraId="0CD2346E" w14:textId="77777777" w:rsidR="00C63763" w:rsidRPr="00911822" w:rsidRDefault="00C63763" w:rsidP="00C50DC8">
            <w:pPr>
              <w:pStyle w:val="Tabletext0"/>
              <w:keepNext/>
            </w:pPr>
          </w:p>
        </w:tc>
        <w:tc>
          <w:tcPr>
            <w:tcW w:w="598" w:type="pct"/>
            <w:shd w:val="clear" w:color="auto" w:fill="FFFFFF" w:themeFill="background1"/>
            <w:vAlign w:val="center"/>
          </w:tcPr>
          <w:p w14:paraId="77322A5D" w14:textId="77777777" w:rsidR="00C63763" w:rsidRPr="00911822" w:rsidRDefault="00C63763" w:rsidP="00C50DC8">
            <w:pPr>
              <w:pStyle w:val="Tabletext0"/>
              <w:keepNext/>
            </w:pPr>
          </w:p>
        </w:tc>
        <w:tc>
          <w:tcPr>
            <w:tcW w:w="598" w:type="pct"/>
            <w:shd w:val="clear" w:color="auto" w:fill="FFFFFF" w:themeFill="background1"/>
            <w:vAlign w:val="center"/>
          </w:tcPr>
          <w:p w14:paraId="5A9030C7" w14:textId="77777777" w:rsidR="00C63763" w:rsidRPr="00911822" w:rsidRDefault="00C63763" w:rsidP="00C50DC8">
            <w:pPr>
              <w:pStyle w:val="Tabletext0"/>
              <w:keepNext/>
            </w:pPr>
          </w:p>
        </w:tc>
      </w:tr>
      <w:tr w:rsidR="00C63763" w:rsidRPr="00911822" w14:paraId="79D5C3AA" w14:textId="77777777" w:rsidTr="00936DDC">
        <w:tc>
          <w:tcPr>
            <w:tcW w:w="1412" w:type="pct"/>
            <w:shd w:val="clear" w:color="auto" w:fill="FFFFFF" w:themeFill="background1"/>
            <w:vAlign w:val="center"/>
          </w:tcPr>
          <w:p w14:paraId="3088F5F4" w14:textId="77777777" w:rsidR="00C63763" w:rsidRDefault="00C63763" w:rsidP="004D6A5C">
            <w:pPr>
              <w:pStyle w:val="TableText"/>
              <w:numPr>
                <w:ilvl w:val="0"/>
                <w:numId w:val="8"/>
              </w:numPr>
              <w:ind w:left="170" w:hanging="170"/>
            </w:pPr>
            <w:r w:rsidRPr="00911822">
              <w:t>56 mg</w:t>
            </w:r>
          </w:p>
        </w:tc>
        <w:tc>
          <w:tcPr>
            <w:tcW w:w="598" w:type="pct"/>
            <w:shd w:val="clear" w:color="auto" w:fill="auto"/>
            <w:vAlign w:val="center"/>
          </w:tcPr>
          <w:p w14:paraId="11505275" w14:textId="38F034F1"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5"/>
                <w14:textFill>
                  <w14:solidFill>
                    <w14:srgbClr w14:val="000000">
                      <w14:alpha w14:val="100000"/>
                    </w14:srgbClr>
                  </w14:solidFill>
                </w14:textFill>
              </w:rPr>
              <w:t xml:space="preserve">　</w:t>
            </w:r>
            <w:r w:rsidRPr="00B9195B">
              <w:rPr>
                <w:color w:val="000000"/>
                <w:w w:val="15"/>
                <w:shd w:val="solid" w:color="000000" w:fill="000000"/>
                <w:fitText w:val="70" w:id="-1436330485"/>
                <w14:textFill>
                  <w14:solidFill>
                    <w14:srgbClr w14:val="000000">
                      <w14:alpha w14:val="100000"/>
                    </w14:srgbClr>
                  </w14:solidFill>
                </w14:textFill>
              </w:rPr>
              <w:t>|</w:t>
            </w:r>
            <w:r w:rsidRPr="00B9195B">
              <w:rPr>
                <w:rFonts w:hint="eastAsia"/>
                <w:color w:val="000000"/>
                <w:spacing w:val="4"/>
                <w:w w:val="15"/>
                <w:shd w:val="solid" w:color="000000" w:fill="000000"/>
                <w:fitText w:val="70" w:id="-1436330485"/>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51780A8D" w14:textId="71288FAC"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4"/>
                <w14:textFill>
                  <w14:solidFill>
                    <w14:srgbClr w14:val="000000">
                      <w14:alpha w14:val="100000"/>
                    </w14:srgbClr>
                  </w14:solidFill>
                </w14:textFill>
              </w:rPr>
              <w:t xml:space="preserve">　</w:t>
            </w:r>
            <w:r w:rsidRPr="00B9195B">
              <w:rPr>
                <w:color w:val="000000"/>
                <w:w w:val="15"/>
                <w:shd w:val="solid" w:color="000000" w:fill="000000"/>
                <w:fitText w:val="70" w:id="-1436330484"/>
                <w14:textFill>
                  <w14:solidFill>
                    <w14:srgbClr w14:val="000000">
                      <w14:alpha w14:val="100000"/>
                    </w14:srgbClr>
                  </w14:solidFill>
                </w14:textFill>
              </w:rPr>
              <w:t>|</w:t>
            </w:r>
            <w:r w:rsidRPr="00B9195B">
              <w:rPr>
                <w:rFonts w:hint="eastAsia"/>
                <w:color w:val="000000"/>
                <w:spacing w:val="4"/>
                <w:w w:val="15"/>
                <w:shd w:val="solid" w:color="000000" w:fill="000000"/>
                <w:fitText w:val="70" w:id="-1436330484"/>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053997F8" w14:textId="6DB79487"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3"/>
                <w14:textFill>
                  <w14:solidFill>
                    <w14:srgbClr w14:val="000000">
                      <w14:alpha w14:val="100000"/>
                    </w14:srgbClr>
                  </w14:solidFill>
                </w14:textFill>
              </w:rPr>
              <w:t xml:space="preserve">　</w:t>
            </w:r>
            <w:r w:rsidRPr="00B9195B">
              <w:rPr>
                <w:color w:val="000000"/>
                <w:w w:val="15"/>
                <w:shd w:val="solid" w:color="000000" w:fill="000000"/>
                <w:fitText w:val="70" w:id="-1436330483"/>
                <w14:textFill>
                  <w14:solidFill>
                    <w14:srgbClr w14:val="000000">
                      <w14:alpha w14:val="100000"/>
                    </w14:srgbClr>
                  </w14:solidFill>
                </w14:textFill>
              </w:rPr>
              <w:t>|</w:t>
            </w:r>
            <w:r w:rsidRPr="00B9195B">
              <w:rPr>
                <w:rFonts w:hint="eastAsia"/>
                <w:color w:val="000000"/>
                <w:spacing w:val="4"/>
                <w:w w:val="15"/>
                <w:shd w:val="solid" w:color="000000" w:fill="000000"/>
                <w:fitText w:val="70" w:id="-1436330483"/>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0D87C948" w14:textId="28AEE2D8"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2"/>
                <w14:textFill>
                  <w14:solidFill>
                    <w14:srgbClr w14:val="000000">
                      <w14:alpha w14:val="100000"/>
                    </w14:srgbClr>
                  </w14:solidFill>
                </w14:textFill>
              </w:rPr>
              <w:t xml:space="preserve">　</w:t>
            </w:r>
            <w:r w:rsidRPr="00B9195B">
              <w:rPr>
                <w:color w:val="000000"/>
                <w:w w:val="15"/>
                <w:shd w:val="solid" w:color="000000" w:fill="000000"/>
                <w:fitText w:val="69" w:id="-1436330482"/>
                <w14:textFill>
                  <w14:solidFill>
                    <w14:srgbClr w14:val="000000">
                      <w14:alpha w14:val="100000"/>
                    </w14:srgbClr>
                  </w14:solidFill>
                </w14:textFill>
              </w:rPr>
              <w:t>|</w:t>
            </w:r>
            <w:r w:rsidRPr="00B9195B">
              <w:rPr>
                <w:rFonts w:hint="eastAsia"/>
                <w:color w:val="000000"/>
                <w:spacing w:val="3"/>
                <w:w w:val="15"/>
                <w:shd w:val="solid" w:color="000000" w:fill="000000"/>
                <w:fitText w:val="69" w:id="-1436330482"/>
                <w14:textFill>
                  <w14:solidFill>
                    <w14:srgbClr w14:val="000000">
                      <w14:alpha w14:val="100000"/>
                    </w14:srgbClr>
                  </w14:solidFill>
                </w14:textFill>
              </w:rPr>
              <w:t xml:space="preserve">　</w:t>
            </w:r>
            <w:r w:rsidR="00186D0B">
              <w:rPr>
                <w:vertAlign w:val="superscript"/>
              </w:rPr>
              <w:t>9</w:t>
            </w:r>
          </w:p>
        </w:tc>
        <w:tc>
          <w:tcPr>
            <w:tcW w:w="598" w:type="pct"/>
            <w:shd w:val="clear" w:color="auto" w:fill="auto"/>
            <w:vAlign w:val="center"/>
          </w:tcPr>
          <w:p w14:paraId="2D418DDF" w14:textId="26BCDF5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1"/>
                <w14:textFill>
                  <w14:solidFill>
                    <w14:srgbClr w14:val="000000">
                      <w14:alpha w14:val="100000"/>
                    </w14:srgbClr>
                  </w14:solidFill>
                </w14:textFill>
              </w:rPr>
              <w:t xml:space="preserve">　</w:t>
            </w:r>
            <w:r w:rsidRPr="00B9195B">
              <w:rPr>
                <w:color w:val="000000"/>
                <w:w w:val="15"/>
                <w:shd w:val="solid" w:color="000000" w:fill="000000"/>
                <w:fitText w:val="69" w:id="-1436330481"/>
                <w14:textFill>
                  <w14:solidFill>
                    <w14:srgbClr w14:val="000000">
                      <w14:alpha w14:val="100000"/>
                    </w14:srgbClr>
                  </w14:solidFill>
                </w14:textFill>
              </w:rPr>
              <w:t>|</w:t>
            </w:r>
            <w:r w:rsidRPr="00B9195B">
              <w:rPr>
                <w:rFonts w:hint="eastAsia"/>
                <w:color w:val="000000"/>
                <w:spacing w:val="3"/>
                <w:w w:val="15"/>
                <w:shd w:val="solid" w:color="000000" w:fill="000000"/>
                <w:fitText w:val="69" w:id="-1436330481"/>
                <w14:textFill>
                  <w14:solidFill>
                    <w14:srgbClr w14:val="000000">
                      <w14:alpha w14:val="100000"/>
                    </w14:srgbClr>
                  </w14:solidFill>
                </w14:textFill>
              </w:rPr>
              <w:t xml:space="preserve">　</w:t>
            </w:r>
            <w:r w:rsidR="00186D0B">
              <w:rPr>
                <w:vertAlign w:val="superscript"/>
              </w:rPr>
              <w:t>9</w:t>
            </w:r>
          </w:p>
        </w:tc>
        <w:tc>
          <w:tcPr>
            <w:tcW w:w="598" w:type="pct"/>
            <w:shd w:val="clear" w:color="auto" w:fill="auto"/>
            <w:vAlign w:val="center"/>
          </w:tcPr>
          <w:p w14:paraId="46EC7F20" w14:textId="78A1564B"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0"/>
                <w14:textFill>
                  <w14:solidFill>
                    <w14:srgbClr w14:val="000000">
                      <w14:alpha w14:val="100000"/>
                    </w14:srgbClr>
                  </w14:solidFill>
                </w14:textFill>
              </w:rPr>
              <w:t xml:space="preserve">　</w:t>
            </w:r>
            <w:r w:rsidRPr="00B9195B">
              <w:rPr>
                <w:color w:val="000000"/>
                <w:w w:val="15"/>
                <w:shd w:val="solid" w:color="000000" w:fill="000000"/>
                <w:fitText w:val="69" w:id="-1436330480"/>
                <w14:textFill>
                  <w14:solidFill>
                    <w14:srgbClr w14:val="000000">
                      <w14:alpha w14:val="100000"/>
                    </w14:srgbClr>
                  </w14:solidFill>
                </w14:textFill>
              </w:rPr>
              <w:t>|</w:t>
            </w:r>
            <w:r w:rsidRPr="00B9195B">
              <w:rPr>
                <w:rFonts w:hint="eastAsia"/>
                <w:color w:val="000000"/>
                <w:spacing w:val="3"/>
                <w:w w:val="15"/>
                <w:shd w:val="solid" w:color="000000" w:fill="000000"/>
                <w:fitText w:val="69" w:id="-1436330480"/>
                <w14:textFill>
                  <w14:solidFill>
                    <w14:srgbClr w14:val="000000">
                      <w14:alpha w14:val="100000"/>
                    </w14:srgbClr>
                  </w14:solidFill>
                </w14:textFill>
              </w:rPr>
              <w:t xml:space="preserve">　</w:t>
            </w:r>
            <w:r w:rsidR="00186D0B">
              <w:rPr>
                <w:vertAlign w:val="superscript"/>
              </w:rPr>
              <w:t>9</w:t>
            </w:r>
          </w:p>
        </w:tc>
      </w:tr>
      <w:tr w:rsidR="00C63763" w:rsidRPr="00911822" w14:paraId="67F14C83" w14:textId="77777777" w:rsidTr="00936DDC">
        <w:tc>
          <w:tcPr>
            <w:tcW w:w="1412" w:type="pct"/>
            <w:shd w:val="clear" w:color="auto" w:fill="FFFFFF" w:themeFill="background1"/>
            <w:vAlign w:val="center"/>
          </w:tcPr>
          <w:p w14:paraId="18C0572F" w14:textId="77777777" w:rsidR="00C63763" w:rsidRDefault="00C63763" w:rsidP="004D6A5C">
            <w:pPr>
              <w:pStyle w:val="TableText"/>
              <w:numPr>
                <w:ilvl w:val="0"/>
                <w:numId w:val="8"/>
              </w:numPr>
              <w:ind w:left="170" w:hanging="170"/>
            </w:pPr>
            <w:r w:rsidRPr="00911822">
              <w:t>84 mg</w:t>
            </w:r>
          </w:p>
        </w:tc>
        <w:tc>
          <w:tcPr>
            <w:tcW w:w="598" w:type="pct"/>
            <w:shd w:val="clear" w:color="auto" w:fill="auto"/>
            <w:vAlign w:val="center"/>
          </w:tcPr>
          <w:p w14:paraId="25DD5475" w14:textId="042BB8A0"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6"/>
                <w14:textFill>
                  <w14:solidFill>
                    <w14:srgbClr w14:val="000000">
                      <w14:alpha w14:val="100000"/>
                    </w14:srgbClr>
                  </w14:solidFill>
                </w14:textFill>
              </w:rPr>
              <w:t xml:space="preserve">　</w:t>
            </w:r>
            <w:r w:rsidRPr="00B9195B">
              <w:rPr>
                <w:color w:val="000000"/>
                <w:w w:val="15"/>
                <w:shd w:val="solid" w:color="000000" w:fill="000000"/>
                <w:fitText w:val="70" w:id="-1436330496"/>
                <w14:textFill>
                  <w14:solidFill>
                    <w14:srgbClr w14:val="000000">
                      <w14:alpha w14:val="100000"/>
                    </w14:srgbClr>
                  </w14:solidFill>
                </w14:textFill>
              </w:rPr>
              <w:t>|</w:t>
            </w:r>
            <w:r w:rsidRPr="00B9195B">
              <w:rPr>
                <w:rFonts w:hint="eastAsia"/>
                <w:color w:val="000000"/>
                <w:spacing w:val="4"/>
                <w:w w:val="15"/>
                <w:shd w:val="solid" w:color="000000" w:fill="000000"/>
                <w:fitText w:val="70" w:id="-1436330496"/>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36FDD0B1" w14:textId="6F691865"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5"/>
                <w14:textFill>
                  <w14:solidFill>
                    <w14:srgbClr w14:val="000000">
                      <w14:alpha w14:val="100000"/>
                    </w14:srgbClr>
                  </w14:solidFill>
                </w14:textFill>
              </w:rPr>
              <w:t xml:space="preserve">　</w:t>
            </w:r>
            <w:r w:rsidRPr="00B9195B">
              <w:rPr>
                <w:color w:val="000000"/>
                <w:w w:val="15"/>
                <w:shd w:val="solid" w:color="000000" w:fill="000000"/>
                <w:fitText w:val="70" w:id="-1436330495"/>
                <w14:textFill>
                  <w14:solidFill>
                    <w14:srgbClr w14:val="000000">
                      <w14:alpha w14:val="100000"/>
                    </w14:srgbClr>
                  </w14:solidFill>
                </w14:textFill>
              </w:rPr>
              <w:t>|</w:t>
            </w:r>
            <w:r w:rsidRPr="00B9195B">
              <w:rPr>
                <w:rFonts w:hint="eastAsia"/>
                <w:color w:val="000000"/>
                <w:spacing w:val="4"/>
                <w:w w:val="15"/>
                <w:shd w:val="solid" w:color="000000" w:fill="000000"/>
                <w:fitText w:val="70" w:id="-1436330495"/>
                <w14:textFill>
                  <w14:solidFill>
                    <w14:srgbClr w14:val="000000">
                      <w14:alpha w14:val="100000"/>
                    </w14:srgbClr>
                  </w14:solidFill>
                </w14:textFill>
              </w:rPr>
              <w:t xml:space="preserve">　</w:t>
            </w:r>
            <w:r w:rsidR="00186D0B">
              <w:rPr>
                <w:vertAlign w:val="superscript"/>
              </w:rPr>
              <w:t>9</w:t>
            </w:r>
          </w:p>
        </w:tc>
        <w:tc>
          <w:tcPr>
            <w:tcW w:w="598" w:type="pct"/>
            <w:shd w:val="clear" w:color="auto" w:fill="auto"/>
            <w:vAlign w:val="center"/>
          </w:tcPr>
          <w:p w14:paraId="423BD504" w14:textId="660A00B8"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4"/>
                <w14:textFill>
                  <w14:solidFill>
                    <w14:srgbClr w14:val="000000">
                      <w14:alpha w14:val="100000"/>
                    </w14:srgbClr>
                  </w14:solidFill>
                </w14:textFill>
              </w:rPr>
              <w:t xml:space="preserve">　</w:t>
            </w:r>
            <w:r w:rsidRPr="00B9195B">
              <w:rPr>
                <w:color w:val="000000"/>
                <w:w w:val="15"/>
                <w:shd w:val="solid" w:color="000000" w:fill="000000"/>
                <w:fitText w:val="70" w:id="-1436330494"/>
                <w14:textFill>
                  <w14:solidFill>
                    <w14:srgbClr w14:val="000000">
                      <w14:alpha w14:val="100000"/>
                    </w14:srgbClr>
                  </w14:solidFill>
                </w14:textFill>
              </w:rPr>
              <w:t>|</w:t>
            </w:r>
            <w:r w:rsidRPr="00B9195B">
              <w:rPr>
                <w:rFonts w:hint="eastAsia"/>
                <w:color w:val="000000"/>
                <w:spacing w:val="4"/>
                <w:w w:val="15"/>
                <w:shd w:val="solid" w:color="000000" w:fill="000000"/>
                <w:fitText w:val="70" w:id="-1436330494"/>
                <w14:textFill>
                  <w14:solidFill>
                    <w14:srgbClr w14:val="000000">
                      <w14:alpha w14:val="100000"/>
                    </w14:srgbClr>
                  </w14:solidFill>
                </w14:textFill>
              </w:rPr>
              <w:t xml:space="preserve">　</w:t>
            </w:r>
            <w:r w:rsidR="00186D0B">
              <w:rPr>
                <w:vertAlign w:val="superscript"/>
              </w:rPr>
              <w:t>9</w:t>
            </w:r>
          </w:p>
        </w:tc>
        <w:tc>
          <w:tcPr>
            <w:tcW w:w="598" w:type="pct"/>
            <w:shd w:val="clear" w:color="auto" w:fill="auto"/>
            <w:vAlign w:val="center"/>
          </w:tcPr>
          <w:p w14:paraId="0C67D592" w14:textId="6F89CDD2"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3"/>
                <w14:textFill>
                  <w14:solidFill>
                    <w14:srgbClr w14:val="000000">
                      <w14:alpha w14:val="100000"/>
                    </w14:srgbClr>
                  </w14:solidFill>
                </w14:textFill>
              </w:rPr>
              <w:t xml:space="preserve">　</w:t>
            </w:r>
            <w:r w:rsidRPr="00B9195B">
              <w:rPr>
                <w:color w:val="000000"/>
                <w:w w:val="15"/>
                <w:shd w:val="solid" w:color="000000" w:fill="000000"/>
                <w:fitText w:val="69" w:id="-1436330493"/>
                <w14:textFill>
                  <w14:solidFill>
                    <w14:srgbClr w14:val="000000">
                      <w14:alpha w14:val="100000"/>
                    </w14:srgbClr>
                  </w14:solidFill>
                </w14:textFill>
              </w:rPr>
              <w:t>|</w:t>
            </w:r>
            <w:r w:rsidRPr="00B9195B">
              <w:rPr>
                <w:rFonts w:hint="eastAsia"/>
                <w:color w:val="000000"/>
                <w:spacing w:val="3"/>
                <w:w w:val="15"/>
                <w:shd w:val="solid" w:color="000000" w:fill="000000"/>
                <w:fitText w:val="69" w:id="-1436330493"/>
                <w14:textFill>
                  <w14:solidFill>
                    <w14:srgbClr w14:val="000000">
                      <w14:alpha w14:val="100000"/>
                    </w14:srgbClr>
                  </w14:solidFill>
                </w14:textFill>
              </w:rPr>
              <w:t xml:space="preserve">　</w:t>
            </w:r>
            <w:r w:rsidR="00186D0B">
              <w:rPr>
                <w:vertAlign w:val="superscript"/>
              </w:rPr>
              <w:t>9</w:t>
            </w:r>
          </w:p>
        </w:tc>
        <w:tc>
          <w:tcPr>
            <w:tcW w:w="598" w:type="pct"/>
            <w:shd w:val="clear" w:color="auto" w:fill="auto"/>
            <w:vAlign w:val="center"/>
          </w:tcPr>
          <w:p w14:paraId="0678F0B9" w14:textId="6EE4054A"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2"/>
                <w14:textFill>
                  <w14:solidFill>
                    <w14:srgbClr w14:val="000000">
                      <w14:alpha w14:val="100000"/>
                    </w14:srgbClr>
                  </w14:solidFill>
                </w14:textFill>
              </w:rPr>
              <w:t xml:space="preserve">　</w:t>
            </w:r>
            <w:r w:rsidRPr="00B9195B">
              <w:rPr>
                <w:color w:val="000000"/>
                <w:w w:val="15"/>
                <w:shd w:val="solid" w:color="000000" w:fill="000000"/>
                <w:fitText w:val="69" w:id="-1436330492"/>
                <w14:textFill>
                  <w14:solidFill>
                    <w14:srgbClr w14:val="000000">
                      <w14:alpha w14:val="100000"/>
                    </w14:srgbClr>
                  </w14:solidFill>
                </w14:textFill>
              </w:rPr>
              <w:t>|</w:t>
            </w:r>
            <w:r w:rsidRPr="00B9195B">
              <w:rPr>
                <w:rFonts w:hint="eastAsia"/>
                <w:color w:val="000000"/>
                <w:spacing w:val="3"/>
                <w:w w:val="15"/>
                <w:shd w:val="solid" w:color="000000" w:fill="000000"/>
                <w:fitText w:val="69" w:id="-1436330492"/>
                <w14:textFill>
                  <w14:solidFill>
                    <w14:srgbClr w14:val="000000">
                      <w14:alpha w14:val="100000"/>
                    </w14:srgbClr>
                  </w14:solidFill>
                </w14:textFill>
              </w:rPr>
              <w:t xml:space="preserve">　</w:t>
            </w:r>
            <w:r w:rsidR="00186D0B">
              <w:rPr>
                <w:vertAlign w:val="superscript"/>
              </w:rPr>
              <w:t>9</w:t>
            </w:r>
          </w:p>
        </w:tc>
        <w:tc>
          <w:tcPr>
            <w:tcW w:w="598" w:type="pct"/>
            <w:shd w:val="clear" w:color="auto" w:fill="auto"/>
            <w:vAlign w:val="center"/>
          </w:tcPr>
          <w:p w14:paraId="68B7A2E6" w14:textId="3BEC17A9"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1"/>
                <w14:textFill>
                  <w14:solidFill>
                    <w14:srgbClr w14:val="000000">
                      <w14:alpha w14:val="100000"/>
                    </w14:srgbClr>
                  </w14:solidFill>
                </w14:textFill>
              </w:rPr>
              <w:t xml:space="preserve">　</w:t>
            </w:r>
            <w:r w:rsidRPr="00B9195B">
              <w:rPr>
                <w:color w:val="000000"/>
                <w:w w:val="15"/>
                <w:shd w:val="solid" w:color="000000" w:fill="000000"/>
                <w:fitText w:val="69" w:id="-1436330491"/>
                <w14:textFill>
                  <w14:solidFill>
                    <w14:srgbClr w14:val="000000">
                      <w14:alpha w14:val="100000"/>
                    </w14:srgbClr>
                  </w14:solidFill>
                </w14:textFill>
              </w:rPr>
              <w:t>|</w:t>
            </w:r>
            <w:r w:rsidRPr="00B9195B">
              <w:rPr>
                <w:rFonts w:hint="eastAsia"/>
                <w:color w:val="000000"/>
                <w:spacing w:val="3"/>
                <w:w w:val="15"/>
                <w:shd w:val="solid" w:color="000000" w:fill="000000"/>
                <w:fitText w:val="69" w:id="-1436330491"/>
                <w14:textFill>
                  <w14:solidFill>
                    <w14:srgbClr w14:val="000000">
                      <w14:alpha w14:val="100000"/>
                    </w14:srgbClr>
                  </w14:solidFill>
                </w14:textFill>
              </w:rPr>
              <w:t xml:space="preserve">　</w:t>
            </w:r>
            <w:r w:rsidR="00186D0B">
              <w:rPr>
                <w:vertAlign w:val="superscript"/>
              </w:rPr>
              <w:t>9</w:t>
            </w:r>
          </w:p>
        </w:tc>
      </w:tr>
      <w:tr w:rsidR="00C63763" w:rsidRPr="00911822" w14:paraId="3E2703D9" w14:textId="77777777" w:rsidTr="00936DDC">
        <w:tc>
          <w:tcPr>
            <w:tcW w:w="5000" w:type="pct"/>
            <w:gridSpan w:val="7"/>
            <w:shd w:val="clear" w:color="auto" w:fill="FFFFFF" w:themeFill="background1"/>
            <w:vAlign w:val="bottom"/>
          </w:tcPr>
          <w:p w14:paraId="2F111A34" w14:textId="2401EA15" w:rsidR="00C63763" w:rsidRPr="007D2F7F" w:rsidRDefault="00C63763" w:rsidP="00C50DC8">
            <w:pPr>
              <w:pStyle w:val="Tabletext0"/>
              <w:keepNext/>
              <w:rPr>
                <w:b/>
                <w:bCs/>
              </w:rPr>
            </w:pPr>
            <w:r>
              <w:rPr>
                <w:b/>
                <w:bCs/>
              </w:rPr>
              <w:t>Continuing scripts- subsequent years</w:t>
            </w:r>
          </w:p>
        </w:tc>
      </w:tr>
      <w:tr w:rsidR="00C63763" w:rsidRPr="00911822" w14:paraId="1C696C8F" w14:textId="77777777" w:rsidTr="00936DDC">
        <w:tc>
          <w:tcPr>
            <w:tcW w:w="1412" w:type="pct"/>
            <w:shd w:val="clear" w:color="auto" w:fill="FFFFFF" w:themeFill="background1"/>
            <w:vAlign w:val="bottom"/>
          </w:tcPr>
          <w:p w14:paraId="684CAF0B" w14:textId="77777777" w:rsidR="00C63763" w:rsidRPr="00911822" w:rsidRDefault="00C63763" w:rsidP="00A65564">
            <w:pPr>
              <w:pStyle w:val="TableText"/>
            </w:pPr>
            <w:r>
              <w:t>Total c</w:t>
            </w:r>
            <w:r w:rsidRPr="00911822">
              <w:t>ontinuing patients in subsequent years</w:t>
            </w:r>
          </w:p>
        </w:tc>
        <w:tc>
          <w:tcPr>
            <w:tcW w:w="598" w:type="pct"/>
            <w:shd w:val="clear" w:color="auto" w:fill="auto"/>
            <w:vAlign w:val="center"/>
          </w:tcPr>
          <w:p w14:paraId="60E428DD" w14:textId="5D93ECEC"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0"/>
                <w14:textFill>
                  <w14:solidFill>
                    <w14:srgbClr w14:val="000000">
                      <w14:alpha w14:val="100000"/>
                    </w14:srgbClr>
                  </w14:solidFill>
                </w14:textFill>
              </w:rPr>
              <w:t xml:space="preserve">　</w:t>
            </w:r>
            <w:r w:rsidRPr="00B9195B">
              <w:rPr>
                <w:color w:val="000000"/>
                <w:w w:val="15"/>
                <w:shd w:val="solid" w:color="000000" w:fill="000000"/>
                <w:fitText w:val="70" w:id="-1436330490"/>
                <w14:textFill>
                  <w14:solidFill>
                    <w14:srgbClr w14:val="000000">
                      <w14:alpha w14:val="100000"/>
                    </w14:srgbClr>
                  </w14:solidFill>
                </w14:textFill>
              </w:rPr>
              <w:t>|</w:t>
            </w:r>
            <w:r w:rsidRPr="00B9195B">
              <w:rPr>
                <w:rFonts w:hint="eastAsia"/>
                <w:color w:val="000000"/>
                <w:spacing w:val="4"/>
                <w:w w:val="15"/>
                <w:shd w:val="solid" w:color="000000" w:fill="000000"/>
                <w:fitText w:val="70" w:id="-1436330490"/>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2C008765" w14:textId="437A5B5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9"/>
                <w14:textFill>
                  <w14:solidFill>
                    <w14:srgbClr w14:val="000000">
                      <w14:alpha w14:val="100000"/>
                    </w14:srgbClr>
                  </w14:solidFill>
                </w14:textFill>
              </w:rPr>
              <w:t xml:space="preserve">　</w:t>
            </w:r>
            <w:r w:rsidRPr="00B9195B">
              <w:rPr>
                <w:color w:val="000000"/>
                <w:w w:val="15"/>
                <w:shd w:val="solid" w:color="000000" w:fill="000000"/>
                <w:fitText w:val="70" w:id="-1436330489"/>
                <w14:textFill>
                  <w14:solidFill>
                    <w14:srgbClr w14:val="000000">
                      <w14:alpha w14:val="100000"/>
                    </w14:srgbClr>
                  </w14:solidFill>
                </w14:textFill>
              </w:rPr>
              <w:t>|</w:t>
            </w:r>
            <w:r w:rsidRPr="00B9195B">
              <w:rPr>
                <w:rFonts w:hint="eastAsia"/>
                <w:color w:val="000000"/>
                <w:spacing w:val="4"/>
                <w:w w:val="15"/>
                <w:shd w:val="solid" w:color="000000" w:fill="000000"/>
                <w:fitText w:val="70" w:id="-1436330489"/>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2B56F0C1" w14:textId="55DE963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8"/>
                <w14:textFill>
                  <w14:solidFill>
                    <w14:srgbClr w14:val="000000">
                      <w14:alpha w14:val="100000"/>
                    </w14:srgbClr>
                  </w14:solidFill>
                </w14:textFill>
              </w:rPr>
              <w:t xml:space="preserve">　</w:t>
            </w:r>
            <w:r w:rsidRPr="00B9195B">
              <w:rPr>
                <w:color w:val="000000"/>
                <w:w w:val="15"/>
                <w:shd w:val="solid" w:color="000000" w:fill="000000"/>
                <w:fitText w:val="70" w:id="-1436330488"/>
                <w14:textFill>
                  <w14:solidFill>
                    <w14:srgbClr w14:val="000000">
                      <w14:alpha w14:val="100000"/>
                    </w14:srgbClr>
                  </w14:solidFill>
                </w14:textFill>
              </w:rPr>
              <w:t>|</w:t>
            </w:r>
            <w:r w:rsidRPr="00B9195B">
              <w:rPr>
                <w:rFonts w:hint="eastAsia"/>
                <w:color w:val="000000"/>
                <w:spacing w:val="4"/>
                <w:w w:val="15"/>
                <w:shd w:val="solid" w:color="000000" w:fill="000000"/>
                <w:fitText w:val="70" w:id="-1436330488"/>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415EE565" w14:textId="7AB5A23B"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7"/>
                <w14:textFill>
                  <w14:solidFill>
                    <w14:srgbClr w14:val="000000">
                      <w14:alpha w14:val="100000"/>
                    </w14:srgbClr>
                  </w14:solidFill>
                </w14:textFill>
              </w:rPr>
              <w:t xml:space="preserve">　</w:t>
            </w:r>
            <w:r w:rsidRPr="00B9195B">
              <w:rPr>
                <w:color w:val="000000"/>
                <w:w w:val="15"/>
                <w:shd w:val="solid" w:color="000000" w:fill="000000"/>
                <w:fitText w:val="69" w:id="-1436330487"/>
                <w14:textFill>
                  <w14:solidFill>
                    <w14:srgbClr w14:val="000000">
                      <w14:alpha w14:val="100000"/>
                    </w14:srgbClr>
                  </w14:solidFill>
                </w14:textFill>
              </w:rPr>
              <w:t>|</w:t>
            </w:r>
            <w:r w:rsidRPr="00B9195B">
              <w:rPr>
                <w:rFonts w:hint="eastAsia"/>
                <w:color w:val="000000"/>
                <w:spacing w:val="3"/>
                <w:w w:val="15"/>
                <w:shd w:val="solid" w:color="000000" w:fill="000000"/>
                <w:fitText w:val="69" w:id="-1436330487"/>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70931FE4" w14:textId="6AB93449"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6"/>
                <w14:textFill>
                  <w14:solidFill>
                    <w14:srgbClr w14:val="000000">
                      <w14:alpha w14:val="100000"/>
                    </w14:srgbClr>
                  </w14:solidFill>
                </w14:textFill>
              </w:rPr>
              <w:t xml:space="preserve">　</w:t>
            </w:r>
            <w:r w:rsidRPr="00B9195B">
              <w:rPr>
                <w:color w:val="000000"/>
                <w:w w:val="15"/>
                <w:shd w:val="solid" w:color="000000" w:fill="000000"/>
                <w:fitText w:val="69" w:id="-1436330486"/>
                <w14:textFill>
                  <w14:solidFill>
                    <w14:srgbClr w14:val="000000">
                      <w14:alpha w14:val="100000"/>
                    </w14:srgbClr>
                  </w14:solidFill>
                </w14:textFill>
              </w:rPr>
              <w:t>|</w:t>
            </w:r>
            <w:r w:rsidRPr="00B9195B">
              <w:rPr>
                <w:rFonts w:hint="eastAsia"/>
                <w:color w:val="000000"/>
                <w:spacing w:val="3"/>
                <w:w w:val="15"/>
                <w:shd w:val="solid" w:color="000000" w:fill="000000"/>
                <w:fitText w:val="69" w:id="-1436330486"/>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573B639D" w14:textId="2E4C921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5"/>
                <w14:textFill>
                  <w14:solidFill>
                    <w14:srgbClr w14:val="000000">
                      <w14:alpha w14:val="100000"/>
                    </w14:srgbClr>
                  </w14:solidFill>
                </w14:textFill>
              </w:rPr>
              <w:t xml:space="preserve">　</w:t>
            </w:r>
            <w:r w:rsidRPr="00B9195B">
              <w:rPr>
                <w:color w:val="000000"/>
                <w:w w:val="15"/>
                <w:shd w:val="solid" w:color="000000" w:fill="000000"/>
                <w:fitText w:val="69" w:id="-1436330485"/>
                <w14:textFill>
                  <w14:solidFill>
                    <w14:srgbClr w14:val="000000">
                      <w14:alpha w14:val="100000"/>
                    </w14:srgbClr>
                  </w14:solidFill>
                </w14:textFill>
              </w:rPr>
              <w:t>|</w:t>
            </w:r>
            <w:r w:rsidRPr="00B9195B">
              <w:rPr>
                <w:rFonts w:hint="eastAsia"/>
                <w:color w:val="000000"/>
                <w:spacing w:val="3"/>
                <w:w w:val="15"/>
                <w:shd w:val="solid" w:color="000000" w:fill="000000"/>
                <w:fitText w:val="69" w:id="-1436330485"/>
                <w14:textFill>
                  <w14:solidFill>
                    <w14:srgbClr w14:val="000000">
                      <w14:alpha w14:val="100000"/>
                    </w14:srgbClr>
                  </w14:solidFill>
                </w14:textFill>
              </w:rPr>
              <w:t xml:space="preserve">　</w:t>
            </w:r>
            <w:r w:rsidR="00186D0B">
              <w:rPr>
                <w:vertAlign w:val="superscript"/>
              </w:rPr>
              <w:t>6</w:t>
            </w:r>
          </w:p>
        </w:tc>
      </w:tr>
      <w:tr w:rsidR="00C63763" w:rsidRPr="00911822" w14:paraId="1F77C881" w14:textId="77777777" w:rsidTr="00936DDC">
        <w:tc>
          <w:tcPr>
            <w:tcW w:w="1412" w:type="pct"/>
            <w:shd w:val="clear" w:color="auto" w:fill="FFFFFF" w:themeFill="background1"/>
            <w:vAlign w:val="center"/>
          </w:tcPr>
          <w:p w14:paraId="13765A5B" w14:textId="09A45048" w:rsidR="00C63763" w:rsidRPr="00C36EB9" w:rsidRDefault="00C63763" w:rsidP="00A65564">
            <w:pPr>
              <w:pStyle w:val="TableText"/>
              <w:rPr>
                <w:vertAlign w:val="superscript"/>
              </w:rPr>
            </w:pPr>
            <w:r>
              <w:t xml:space="preserve">Continuing </w:t>
            </w:r>
            <w:r w:rsidR="00A55F8E">
              <w:t>s</w:t>
            </w:r>
            <w:r>
              <w:t>cripts</w:t>
            </w:r>
            <w:r>
              <w:rPr>
                <w:vertAlign w:val="superscript"/>
              </w:rPr>
              <w:t>2</w:t>
            </w:r>
          </w:p>
        </w:tc>
        <w:tc>
          <w:tcPr>
            <w:tcW w:w="598" w:type="pct"/>
            <w:shd w:val="clear" w:color="auto" w:fill="auto"/>
            <w:vAlign w:val="center"/>
          </w:tcPr>
          <w:p w14:paraId="3E751593" w14:textId="77777777" w:rsidR="00C63763" w:rsidRPr="00911822" w:rsidRDefault="00C63763" w:rsidP="00C50DC8">
            <w:pPr>
              <w:pStyle w:val="Tabletext0"/>
              <w:keepNext/>
              <w:jc w:val="center"/>
            </w:pPr>
          </w:p>
        </w:tc>
        <w:tc>
          <w:tcPr>
            <w:tcW w:w="598" w:type="pct"/>
            <w:shd w:val="clear" w:color="auto" w:fill="auto"/>
            <w:vAlign w:val="center"/>
          </w:tcPr>
          <w:p w14:paraId="2CC96AF1" w14:textId="77777777" w:rsidR="00C63763" w:rsidRPr="00911822" w:rsidRDefault="00C63763" w:rsidP="00C50DC8">
            <w:pPr>
              <w:pStyle w:val="Tabletext0"/>
              <w:keepNext/>
              <w:jc w:val="center"/>
            </w:pPr>
          </w:p>
        </w:tc>
        <w:tc>
          <w:tcPr>
            <w:tcW w:w="598" w:type="pct"/>
            <w:shd w:val="clear" w:color="auto" w:fill="auto"/>
            <w:vAlign w:val="center"/>
          </w:tcPr>
          <w:p w14:paraId="46185E6A" w14:textId="77777777" w:rsidR="00C63763" w:rsidRPr="00911822" w:rsidRDefault="00C63763" w:rsidP="00C50DC8">
            <w:pPr>
              <w:pStyle w:val="Tabletext0"/>
              <w:keepNext/>
              <w:jc w:val="center"/>
            </w:pPr>
          </w:p>
        </w:tc>
        <w:tc>
          <w:tcPr>
            <w:tcW w:w="598" w:type="pct"/>
            <w:shd w:val="clear" w:color="auto" w:fill="auto"/>
            <w:vAlign w:val="center"/>
          </w:tcPr>
          <w:p w14:paraId="2FEAF18F" w14:textId="77777777" w:rsidR="00C63763" w:rsidRPr="00911822" w:rsidRDefault="00C63763" w:rsidP="00C50DC8">
            <w:pPr>
              <w:pStyle w:val="Tabletext0"/>
              <w:keepNext/>
              <w:jc w:val="center"/>
            </w:pPr>
          </w:p>
        </w:tc>
        <w:tc>
          <w:tcPr>
            <w:tcW w:w="598" w:type="pct"/>
            <w:shd w:val="clear" w:color="auto" w:fill="auto"/>
            <w:vAlign w:val="center"/>
          </w:tcPr>
          <w:p w14:paraId="6341C7C0" w14:textId="77777777" w:rsidR="00C63763" w:rsidRPr="00911822" w:rsidRDefault="00C63763" w:rsidP="00C50DC8">
            <w:pPr>
              <w:pStyle w:val="Tabletext0"/>
              <w:keepNext/>
              <w:jc w:val="center"/>
            </w:pPr>
          </w:p>
        </w:tc>
        <w:tc>
          <w:tcPr>
            <w:tcW w:w="598" w:type="pct"/>
            <w:shd w:val="clear" w:color="auto" w:fill="auto"/>
            <w:vAlign w:val="center"/>
          </w:tcPr>
          <w:p w14:paraId="6D98F18E" w14:textId="77777777" w:rsidR="00C63763" w:rsidRPr="00911822" w:rsidRDefault="00C63763" w:rsidP="00C50DC8">
            <w:pPr>
              <w:pStyle w:val="Tabletext0"/>
              <w:keepNext/>
              <w:jc w:val="center"/>
            </w:pPr>
          </w:p>
        </w:tc>
      </w:tr>
      <w:tr w:rsidR="00C63763" w:rsidRPr="00911822" w14:paraId="73B87D8A" w14:textId="77777777" w:rsidTr="00936DDC">
        <w:tc>
          <w:tcPr>
            <w:tcW w:w="1412" w:type="pct"/>
            <w:shd w:val="clear" w:color="auto" w:fill="FFFFFF" w:themeFill="background1"/>
            <w:vAlign w:val="center"/>
          </w:tcPr>
          <w:p w14:paraId="5153B057" w14:textId="77777777" w:rsidR="00C63763" w:rsidRPr="00911822" w:rsidRDefault="00C63763" w:rsidP="004D6A5C">
            <w:pPr>
              <w:pStyle w:val="TableText"/>
              <w:numPr>
                <w:ilvl w:val="0"/>
                <w:numId w:val="8"/>
              </w:numPr>
              <w:ind w:left="170" w:hanging="170"/>
            </w:pPr>
            <w:r w:rsidRPr="00911822">
              <w:t>56 mg</w:t>
            </w:r>
          </w:p>
        </w:tc>
        <w:tc>
          <w:tcPr>
            <w:tcW w:w="598" w:type="pct"/>
            <w:shd w:val="clear" w:color="auto" w:fill="auto"/>
            <w:vAlign w:val="center"/>
          </w:tcPr>
          <w:p w14:paraId="12A0CB48" w14:textId="56860921"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4"/>
                <w14:textFill>
                  <w14:solidFill>
                    <w14:srgbClr w14:val="000000">
                      <w14:alpha w14:val="100000"/>
                    </w14:srgbClr>
                  </w14:solidFill>
                </w14:textFill>
              </w:rPr>
              <w:t xml:space="preserve">　</w:t>
            </w:r>
            <w:r w:rsidRPr="00B9195B">
              <w:rPr>
                <w:color w:val="000000"/>
                <w:w w:val="15"/>
                <w:shd w:val="solid" w:color="000000" w:fill="000000"/>
                <w:fitText w:val="70" w:id="-1436330484"/>
                <w14:textFill>
                  <w14:solidFill>
                    <w14:srgbClr w14:val="000000">
                      <w14:alpha w14:val="100000"/>
                    </w14:srgbClr>
                  </w14:solidFill>
                </w14:textFill>
              </w:rPr>
              <w:t>|</w:t>
            </w:r>
            <w:r w:rsidRPr="00B9195B">
              <w:rPr>
                <w:rFonts w:hint="eastAsia"/>
                <w:color w:val="000000"/>
                <w:spacing w:val="4"/>
                <w:w w:val="15"/>
                <w:shd w:val="solid" w:color="000000" w:fill="000000"/>
                <w:fitText w:val="70" w:id="-1436330484"/>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3DA33C2F" w14:textId="3413F201"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3"/>
                <w14:textFill>
                  <w14:solidFill>
                    <w14:srgbClr w14:val="000000">
                      <w14:alpha w14:val="100000"/>
                    </w14:srgbClr>
                  </w14:solidFill>
                </w14:textFill>
              </w:rPr>
              <w:t xml:space="preserve">　</w:t>
            </w:r>
            <w:r w:rsidRPr="00B9195B">
              <w:rPr>
                <w:color w:val="000000"/>
                <w:w w:val="15"/>
                <w:shd w:val="solid" w:color="000000" w:fill="000000"/>
                <w:fitText w:val="70" w:id="-1436330483"/>
                <w14:textFill>
                  <w14:solidFill>
                    <w14:srgbClr w14:val="000000">
                      <w14:alpha w14:val="100000"/>
                    </w14:srgbClr>
                  </w14:solidFill>
                </w14:textFill>
              </w:rPr>
              <w:t>|</w:t>
            </w:r>
            <w:r w:rsidRPr="00B9195B">
              <w:rPr>
                <w:rFonts w:hint="eastAsia"/>
                <w:color w:val="000000"/>
                <w:spacing w:val="4"/>
                <w:w w:val="15"/>
                <w:shd w:val="solid" w:color="000000" w:fill="000000"/>
                <w:fitText w:val="70" w:id="-1436330483"/>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3A48A54D" w14:textId="4815535C"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2"/>
                <w14:textFill>
                  <w14:solidFill>
                    <w14:srgbClr w14:val="000000">
                      <w14:alpha w14:val="100000"/>
                    </w14:srgbClr>
                  </w14:solidFill>
                </w14:textFill>
              </w:rPr>
              <w:t xml:space="preserve">　</w:t>
            </w:r>
            <w:r w:rsidRPr="00B9195B">
              <w:rPr>
                <w:color w:val="000000"/>
                <w:w w:val="15"/>
                <w:shd w:val="solid" w:color="000000" w:fill="000000"/>
                <w:fitText w:val="70" w:id="-1436330482"/>
                <w14:textFill>
                  <w14:solidFill>
                    <w14:srgbClr w14:val="000000">
                      <w14:alpha w14:val="100000"/>
                    </w14:srgbClr>
                  </w14:solidFill>
                </w14:textFill>
              </w:rPr>
              <w:t>|</w:t>
            </w:r>
            <w:r w:rsidRPr="00B9195B">
              <w:rPr>
                <w:rFonts w:hint="eastAsia"/>
                <w:color w:val="000000"/>
                <w:spacing w:val="4"/>
                <w:w w:val="15"/>
                <w:shd w:val="solid" w:color="000000" w:fill="000000"/>
                <w:fitText w:val="70" w:id="-1436330482"/>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0FFA46BA" w14:textId="3B2C132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1"/>
                <w14:textFill>
                  <w14:solidFill>
                    <w14:srgbClr w14:val="000000">
                      <w14:alpha w14:val="100000"/>
                    </w14:srgbClr>
                  </w14:solidFill>
                </w14:textFill>
              </w:rPr>
              <w:t xml:space="preserve">　</w:t>
            </w:r>
            <w:r w:rsidRPr="00B9195B">
              <w:rPr>
                <w:color w:val="000000"/>
                <w:w w:val="15"/>
                <w:shd w:val="solid" w:color="000000" w:fill="000000"/>
                <w:fitText w:val="69" w:id="-1436330481"/>
                <w14:textFill>
                  <w14:solidFill>
                    <w14:srgbClr w14:val="000000">
                      <w14:alpha w14:val="100000"/>
                    </w14:srgbClr>
                  </w14:solidFill>
                </w14:textFill>
              </w:rPr>
              <w:t>|</w:t>
            </w:r>
            <w:r w:rsidRPr="00B9195B">
              <w:rPr>
                <w:rFonts w:hint="eastAsia"/>
                <w:color w:val="000000"/>
                <w:spacing w:val="3"/>
                <w:w w:val="15"/>
                <w:shd w:val="solid" w:color="000000" w:fill="000000"/>
                <w:fitText w:val="69" w:id="-1436330481"/>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0F78198D" w14:textId="6A1DE627"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0"/>
                <w14:textFill>
                  <w14:solidFill>
                    <w14:srgbClr w14:val="000000">
                      <w14:alpha w14:val="100000"/>
                    </w14:srgbClr>
                  </w14:solidFill>
                </w14:textFill>
              </w:rPr>
              <w:t xml:space="preserve">　</w:t>
            </w:r>
            <w:r w:rsidRPr="00B9195B">
              <w:rPr>
                <w:color w:val="000000"/>
                <w:w w:val="15"/>
                <w:shd w:val="solid" w:color="000000" w:fill="000000"/>
                <w:fitText w:val="69" w:id="-1436330480"/>
                <w14:textFill>
                  <w14:solidFill>
                    <w14:srgbClr w14:val="000000">
                      <w14:alpha w14:val="100000"/>
                    </w14:srgbClr>
                  </w14:solidFill>
                </w14:textFill>
              </w:rPr>
              <w:t>|</w:t>
            </w:r>
            <w:r w:rsidRPr="00B9195B">
              <w:rPr>
                <w:rFonts w:hint="eastAsia"/>
                <w:color w:val="000000"/>
                <w:spacing w:val="3"/>
                <w:w w:val="15"/>
                <w:shd w:val="solid" w:color="000000" w:fill="000000"/>
                <w:fitText w:val="69" w:id="-1436330480"/>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0D78F0BF" w14:textId="3B8979D3"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6"/>
                <w14:textFill>
                  <w14:solidFill>
                    <w14:srgbClr w14:val="000000">
                      <w14:alpha w14:val="100000"/>
                    </w14:srgbClr>
                  </w14:solidFill>
                </w14:textFill>
              </w:rPr>
              <w:t xml:space="preserve">　</w:t>
            </w:r>
            <w:r w:rsidRPr="00B9195B">
              <w:rPr>
                <w:color w:val="000000"/>
                <w:w w:val="15"/>
                <w:shd w:val="solid" w:color="000000" w:fill="000000"/>
                <w:fitText w:val="69" w:id="-1436330496"/>
                <w14:textFill>
                  <w14:solidFill>
                    <w14:srgbClr w14:val="000000">
                      <w14:alpha w14:val="100000"/>
                    </w14:srgbClr>
                  </w14:solidFill>
                </w14:textFill>
              </w:rPr>
              <w:t>|</w:t>
            </w:r>
            <w:r w:rsidRPr="00B9195B">
              <w:rPr>
                <w:rFonts w:hint="eastAsia"/>
                <w:color w:val="000000"/>
                <w:spacing w:val="3"/>
                <w:w w:val="15"/>
                <w:shd w:val="solid" w:color="000000" w:fill="000000"/>
                <w:fitText w:val="69" w:id="-1436330496"/>
                <w14:textFill>
                  <w14:solidFill>
                    <w14:srgbClr w14:val="000000">
                      <w14:alpha w14:val="100000"/>
                    </w14:srgbClr>
                  </w14:solidFill>
                </w14:textFill>
              </w:rPr>
              <w:t xml:space="preserve">　</w:t>
            </w:r>
            <w:r w:rsidR="00186D0B">
              <w:rPr>
                <w:vertAlign w:val="superscript"/>
              </w:rPr>
              <w:t>9</w:t>
            </w:r>
          </w:p>
        </w:tc>
      </w:tr>
      <w:tr w:rsidR="00C63763" w:rsidRPr="00911822" w14:paraId="5EA86DCA" w14:textId="77777777" w:rsidTr="00936DDC">
        <w:tc>
          <w:tcPr>
            <w:tcW w:w="1412" w:type="pct"/>
            <w:shd w:val="clear" w:color="auto" w:fill="FFFFFF" w:themeFill="background1"/>
            <w:vAlign w:val="center"/>
          </w:tcPr>
          <w:p w14:paraId="07B51325" w14:textId="77777777" w:rsidR="00C63763" w:rsidRPr="00911822" w:rsidRDefault="00C63763" w:rsidP="004D6A5C">
            <w:pPr>
              <w:pStyle w:val="TableText"/>
              <w:numPr>
                <w:ilvl w:val="0"/>
                <w:numId w:val="8"/>
              </w:numPr>
              <w:ind w:left="170" w:hanging="170"/>
            </w:pPr>
            <w:r w:rsidRPr="00911822">
              <w:t>84 mg</w:t>
            </w:r>
          </w:p>
        </w:tc>
        <w:tc>
          <w:tcPr>
            <w:tcW w:w="598" w:type="pct"/>
            <w:shd w:val="clear" w:color="auto" w:fill="auto"/>
            <w:vAlign w:val="center"/>
          </w:tcPr>
          <w:p w14:paraId="48AC173B" w14:textId="04EBFC76"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5"/>
                <w14:textFill>
                  <w14:solidFill>
                    <w14:srgbClr w14:val="000000">
                      <w14:alpha w14:val="100000"/>
                    </w14:srgbClr>
                  </w14:solidFill>
                </w14:textFill>
              </w:rPr>
              <w:t xml:space="preserve">　</w:t>
            </w:r>
            <w:r w:rsidRPr="00B9195B">
              <w:rPr>
                <w:color w:val="000000"/>
                <w:w w:val="15"/>
                <w:shd w:val="solid" w:color="000000" w:fill="000000"/>
                <w:fitText w:val="70" w:id="-1436330495"/>
                <w14:textFill>
                  <w14:solidFill>
                    <w14:srgbClr w14:val="000000">
                      <w14:alpha w14:val="100000"/>
                    </w14:srgbClr>
                  </w14:solidFill>
                </w14:textFill>
              </w:rPr>
              <w:t>|</w:t>
            </w:r>
            <w:r w:rsidRPr="00B9195B">
              <w:rPr>
                <w:rFonts w:hint="eastAsia"/>
                <w:color w:val="000000"/>
                <w:spacing w:val="4"/>
                <w:w w:val="15"/>
                <w:shd w:val="solid" w:color="000000" w:fill="000000"/>
                <w:fitText w:val="70" w:id="-1436330495"/>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0D041365" w14:textId="67C0B78A"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4"/>
                <w14:textFill>
                  <w14:solidFill>
                    <w14:srgbClr w14:val="000000">
                      <w14:alpha w14:val="100000"/>
                    </w14:srgbClr>
                  </w14:solidFill>
                </w14:textFill>
              </w:rPr>
              <w:t xml:space="preserve">　</w:t>
            </w:r>
            <w:r w:rsidRPr="00B9195B">
              <w:rPr>
                <w:color w:val="000000"/>
                <w:w w:val="15"/>
                <w:shd w:val="solid" w:color="000000" w:fill="000000"/>
                <w:fitText w:val="70" w:id="-1436330494"/>
                <w14:textFill>
                  <w14:solidFill>
                    <w14:srgbClr w14:val="000000">
                      <w14:alpha w14:val="100000"/>
                    </w14:srgbClr>
                  </w14:solidFill>
                </w14:textFill>
              </w:rPr>
              <w:t>|</w:t>
            </w:r>
            <w:r w:rsidRPr="00B9195B">
              <w:rPr>
                <w:rFonts w:hint="eastAsia"/>
                <w:color w:val="000000"/>
                <w:spacing w:val="4"/>
                <w:w w:val="15"/>
                <w:shd w:val="solid" w:color="000000" w:fill="000000"/>
                <w:fitText w:val="70" w:id="-1436330494"/>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7068BED0" w14:textId="08CEC1A8"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93"/>
                <w14:textFill>
                  <w14:solidFill>
                    <w14:srgbClr w14:val="000000">
                      <w14:alpha w14:val="100000"/>
                    </w14:srgbClr>
                  </w14:solidFill>
                </w14:textFill>
              </w:rPr>
              <w:t xml:space="preserve">　</w:t>
            </w:r>
            <w:r w:rsidRPr="00B9195B">
              <w:rPr>
                <w:color w:val="000000"/>
                <w:w w:val="15"/>
                <w:shd w:val="solid" w:color="000000" w:fill="000000"/>
                <w:fitText w:val="70" w:id="-1436330493"/>
                <w14:textFill>
                  <w14:solidFill>
                    <w14:srgbClr w14:val="000000">
                      <w14:alpha w14:val="100000"/>
                    </w14:srgbClr>
                  </w14:solidFill>
                </w14:textFill>
              </w:rPr>
              <w:t>|</w:t>
            </w:r>
            <w:r w:rsidRPr="00B9195B">
              <w:rPr>
                <w:rFonts w:hint="eastAsia"/>
                <w:color w:val="000000"/>
                <w:spacing w:val="4"/>
                <w:w w:val="15"/>
                <w:shd w:val="solid" w:color="000000" w:fill="000000"/>
                <w:fitText w:val="70" w:id="-1436330493"/>
                <w14:textFill>
                  <w14:solidFill>
                    <w14:srgbClr w14:val="000000">
                      <w14:alpha w14:val="100000"/>
                    </w14:srgbClr>
                  </w14:solidFill>
                </w14:textFill>
              </w:rPr>
              <w:t xml:space="preserve">　</w:t>
            </w:r>
            <w:r w:rsidR="00186D0B">
              <w:rPr>
                <w:vertAlign w:val="superscript"/>
              </w:rPr>
              <w:t>5</w:t>
            </w:r>
          </w:p>
        </w:tc>
        <w:tc>
          <w:tcPr>
            <w:tcW w:w="598" w:type="pct"/>
            <w:shd w:val="clear" w:color="auto" w:fill="auto"/>
            <w:vAlign w:val="center"/>
          </w:tcPr>
          <w:p w14:paraId="7D6D2972" w14:textId="3AC8945B"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2"/>
                <w14:textFill>
                  <w14:solidFill>
                    <w14:srgbClr w14:val="000000">
                      <w14:alpha w14:val="100000"/>
                    </w14:srgbClr>
                  </w14:solidFill>
                </w14:textFill>
              </w:rPr>
              <w:t xml:space="preserve">　</w:t>
            </w:r>
            <w:r w:rsidRPr="00B9195B">
              <w:rPr>
                <w:color w:val="000000"/>
                <w:w w:val="15"/>
                <w:shd w:val="solid" w:color="000000" w:fill="000000"/>
                <w:fitText w:val="69" w:id="-1436330492"/>
                <w14:textFill>
                  <w14:solidFill>
                    <w14:srgbClr w14:val="000000">
                      <w14:alpha w14:val="100000"/>
                    </w14:srgbClr>
                  </w14:solidFill>
                </w14:textFill>
              </w:rPr>
              <w:t>|</w:t>
            </w:r>
            <w:r w:rsidRPr="00B9195B">
              <w:rPr>
                <w:rFonts w:hint="eastAsia"/>
                <w:color w:val="000000"/>
                <w:spacing w:val="3"/>
                <w:w w:val="15"/>
                <w:shd w:val="solid" w:color="000000" w:fill="000000"/>
                <w:fitText w:val="69" w:id="-1436330492"/>
                <w14:textFill>
                  <w14:solidFill>
                    <w14:srgbClr w14:val="000000">
                      <w14:alpha w14:val="100000"/>
                    </w14:srgbClr>
                  </w14:solidFill>
                </w14:textFill>
              </w:rPr>
              <w:t xml:space="preserve">　</w:t>
            </w:r>
            <w:r w:rsidR="00186D0B">
              <w:rPr>
                <w:vertAlign w:val="superscript"/>
              </w:rPr>
              <w:t>9</w:t>
            </w:r>
          </w:p>
        </w:tc>
        <w:tc>
          <w:tcPr>
            <w:tcW w:w="598" w:type="pct"/>
            <w:shd w:val="clear" w:color="auto" w:fill="auto"/>
            <w:vAlign w:val="center"/>
          </w:tcPr>
          <w:p w14:paraId="5FDBEC3B" w14:textId="1ED0A06C"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1"/>
                <w14:textFill>
                  <w14:solidFill>
                    <w14:srgbClr w14:val="000000">
                      <w14:alpha w14:val="100000"/>
                    </w14:srgbClr>
                  </w14:solidFill>
                </w14:textFill>
              </w:rPr>
              <w:t xml:space="preserve">　</w:t>
            </w:r>
            <w:r w:rsidRPr="00B9195B">
              <w:rPr>
                <w:color w:val="000000"/>
                <w:w w:val="15"/>
                <w:shd w:val="solid" w:color="000000" w:fill="000000"/>
                <w:fitText w:val="69" w:id="-1436330491"/>
                <w14:textFill>
                  <w14:solidFill>
                    <w14:srgbClr w14:val="000000">
                      <w14:alpha w14:val="100000"/>
                    </w14:srgbClr>
                  </w14:solidFill>
                </w14:textFill>
              </w:rPr>
              <w:t>|</w:t>
            </w:r>
            <w:r w:rsidRPr="00B9195B">
              <w:rPr>
                <w:rFonts w:hint="eastAsia"/>
                <w:color w:val="000000"/>
                <w:spacing w:val="3"/>
                <w:w w:val="15"/>
                <w:shd w:val="solid" w:color="000000" w:fill="000000"/>
                <w:fitText w:val="69" w:id="-1436330491"/>
                <w14:textFill>
                  <w14:solidFill>
                    <w14:srgbClr w14:val="000000">
                      <w14:alpha w14:val="100000"/>
                    </w14:srgbClr>
                  </w14:solidFill>
                </w14:textFill>
              </w:rPr>
              <w:t xml:space="preserve">　</w:t>
            </w:r>
            <w:r w:rsidR="00186D0B">
              <w:rPr>
                <w:vertAlign w:val="superscript"/>
              </w:rPr>
              <w:t>9</w:t>
            </w:r>
          </w:p>
        </w:tc>
        <w:tc>
          <w:tcPr>
            <w:tcW w:w="598" w:type="pct"/>
            <w:shd w:val="clear" w:color="auto" w:fill="auto"/>
            <w:vAlign w:val="center"/>
          </w:tcPr>
          <w:p w14:paraId="130269FB" w14:textId="734B6CBA"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90"/>
                <w14:textFill>
                  <w14:solidFill>
                    <w14:srgbClr w14:val="000000">
                      <w14:alpha w14:val="100000"/>
                    </w14:srgbClr>
                  </w14:solidFill>
                </w14:textFill>
              </w:rPr>
              <w:t xml:space="preserve">　</w:t>
            </w:r>
            <w:r w:rsidRPr="00B9195B">
              <w:rPr>
                <w:color w:val="000000"/>
                <w:w w:val="15"/>
                <w:shd w:val="solid" w:color="000000" w:fill="000000"/>
                <w:fitText w:val="69" w:id="-1436330490"/>
                <w14:textFill>
                  <w14:solidFill>
                    <w14:srgbClr w14:val="000000">
                      <w14:alpha w14:val="100000"/>
                    </w14:srgbClr>
                  </w14:solidFill>
                </w14:textFill>
              </w:rPr>
              <w:t>|</w:t>
            </w:r>
            <w:r w:rsidRPr="00B9195B">
              <w:rPr>
                <w:rFonts w:hint="eastAsia"/>
                <w:color w:val="000000"/>
                <w:spacing w:val="3"/>
                <w:w w:val="15"/>
                <w:shd w:val="solid" w:color="000000" w:fill="000000"/>
                <w:fitText w:val="69" w:id="-1436330490"/>
                <w14:textFill>
                  <w14:solidFill>
                    <w14:srgbClr w14:val="000000">
                      <w14:alpha w14:val="100000"/>
                    </w14:srgbClr>
                  </w14:solidFill>
                </w14:textFill>
              </w:rPr>
              <w:t xml:space="preserve">　</w:t>
            </w:r>
            <w:r w:rsidR="00186D0B">
              <w:rPr>
                <w:vertAlign w:val="superscript"/>
              </w:rPr>
              <w:t>9</w:t>
            </w:r>
          </w:p>
        </w:tc>
      </w:tr>
      <w:tr w:rsidR="00C63763" w:rsidRPr="00911822" w14:paraId="622C450B" w14:textId="77777777" w:rsidTr="00936DDC">
        <w:tc>
          <w:tcPr>
            <w:tcW w:w="5000" w:type="pct"/>
            <w:gridSpan w:val="7"/>
            <w:shd w:val="clear" w:color="auto" w:fill="FFFFFF" w:themeFill="background1"/>
            <w:vAlign w:val="center"/>
          </w:tcPr>
          <w:p w14:paraId="7E88D3A4" w14:textId="77777777" w:rsidR="00C63763" w:rsidRPr="008B63B8" w:rsidRDefault="00C63763" w:rsidP="00C50DC8">
            <w:pPr>
              <w:pStyle w:val="Tabletext0"/>
              <w:keepNext/>
              <w:rPr>
                <w:b/>
                <w:bCs/>
              </w:rPr>
            </w:pPr>
            <w:r>
              <w:rPr>
                <w:b/>
                <w:bCs/>
              </w:rPr>
              <w:t>Grandfathered patients</w:t>
            </w:r>
          </w:p>
        </w:tc>
      </w:tr>
      <w:tr w:rsidR="00C63763" w:rsidRPr="00911822" w14:paraId="2EB37696" w14:textId="77777777" w:rsidTr="00936DDC">
        <w:tc>
          <w:tcPr>
            <w:tcW w:w="1412" w:type="pct"/>
            <w:shd w:val="clear" w:color="auto" w:fill="FFFFFF" w:themeFill="background1"/>
            <w:vAlign w:val="center"/>
          </w:tcPr>
          <w:p w14:paraId="5761AA9C" w14:textId="77777777" w:rsidR="00C63763" w:rsidRPr="00911822" w:rsidRDefault="00C63763" w:rsidP="00A65564">
            <w:pPr>
              <w:pStyle w:val="TableText"/>
            </w:pPr>
            <w:r w:rsidRPr="00911822">
              <w:t>Grandfathered patients</w:t>
            </w:r>
          </w:p>
        </w:tc>
        <w:tc>
          <w:tcPr>
            <w:tcW w:w="598" w:type="pct"/>
            <w:shd w:val="clear" w:color="auto" w:fill="auto"/>
            <w:vAlign w:val="center"/>
          </w:tcPr>
          <w:p w14:paraId="58DB06ED" w14:textId="54E1D5B9"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9"/>
                <w14:textFill>
                  <w14:solidFill>
                    <w14:srgbClr w14:val="000000">
                      <w14:alpha w14:val="100000"/>
                    </w14:srgbClr>
                  </w14:solidFill>
                </w14:textFill>
              </w:rPr>
              <w:t xml:space="preserve">　</w:t>
            </w:r>
            <w:r w:rsidRPr="00B9195B">
              <w:rPr>
                <w:color w:val="000000"/>
                <w:w w:val="15"/>
                <w:shd w:val="solid" w:color="000000" w:fill="000000"/>
                <w:fitText w:val="70" w:id="-1436330489"/>
                <w14:textFill>
                  <w14:solidFill>
                    <w14:srgbClr w14:val="000000">
                      <w14:alpha w14:val="100000"/>
                    </w14:srgbClr>
                  </w14:solidFill>
                </w14:textFill>
              </w:rPr>
              <w:t>|</w:t>
            </w:r>
            <w:r w:rsidRPr="00B9195B">
              <w:rPr>
                <w:rFonts w:hint="eastAsia"/>
                <w:color w:val="000000"/>
                <w:spacing w:val="4"/>
                <w:w w:val="15"/>
                <w:shd w:val="solid" w:color="000000" w:fill="000000"/>
                <w:fitText w:val="70" w:id="-1436330489"/>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65A58D49" w14:textId="4476C9EA"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8"/>
                <w14:textFill>
                  <w14:solidFill>
                    <w14:srgbClr w14:val="000000">
                      <w14:alpha w14:val="100000"/>
                    </w14:srgbClr>
                  </w14:solidFill>
                </w14:textFill>
              </w:rPr>
              <w:t xml:space="preserve">　</w:t>
            </w:r>
            <w:r w:rsidRPr="00B9195B">
              <w:rPr>
                <w:color w:val="000000"/>
                <w:w w:val="15"/>
                <w:shd w:val="solid" w:color="000000" w:fill="000000"/>
                <w:fitText w:val="70" w:id="-1436330488"/>
                <w14:textFill>
                  <w14:solidFill>
                    <w14:srgbClr w14:val="000000">
                      <w14:alpha w14:val="100000"/>
                    </w14:srgbClr>
                  </w14:solidFill>
                </w14:textFill>
              </w:rPr>
              <w:t>|</w:t>
            </w:r>
            <w:r w:rsidRPr="00B9195B">
              <w:rPr>
                <w:rFonts w:hint="eastAsia"/>
                <w:color w:val="000000"/>
                <w:spacing w:val="4"/>
                <w:w w:val="15"/>
                <w:shd w:val="solid" w:color="000000" w:fill="000000"/>
                <w:fitText w:val="70" w:id="-1436330488"/>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1B2A0589" w14:textId="75E01EBF"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70" w:id="-1436330487"/>
                <w14:textFill>
                  <w14:solidFill>
                    <w14:srgbClr w14:val="000000">
                      <w14:alpha w14:val="100000"/>
                    </w14:srgbClr>
                  </w14:solidFill>
                </w14:textFill>
              </w:rPr>
              <w:t xml:space="preserve">　</w:t>
            </w:r>
            <w:r w:rsidRPr="00B9195B">
              <w:rPr>
                <w:color w:val="000000"/>
                <w:w w:val="15"/>
                <w:shd w:val="solid" w:color="000000" w:fill="000000"/>
                <w:fitText w:val="70" w:id="-1436330487"/>
                <w14:textFill>
                  <w14:solidFill>
                    <w14:srgbClr w14:val="000000">
                      <w14:alpha w14:val="100000"/>
                    </w14:srgbClr>
                  </w14:solidFill>
                </w14:textFill>
              </w:rPr>
              <w:t>|</w:t>
            </w:r>
            <w:r w:rsidRPr="00B9195B">
              <w:rPr>
                <w:rFonts w:hint="eastAsia"/>
                <w:color w:val="000000"/>
                <w:spacing w:val="4"/>
                <w:w w:val="15"/>
                <w:shd w:val="solid" w:color="000000" w:fill="000000"/>
                <w:fitText w:val="70" w:id="-1436330487"/>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36230E58" w14:textId="10741E9C"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6"/>
                <w14:textFill>
                  <w14:solidFill>
                    <w14:srgbClr w14:val="000000">
                      <w14:alpha w14:val="100000"/>
                    </w14:srgbClr>
                  </w14:solidFill>
                </w14:textFill>
              </w:rPr>
              <w:t xml:space="preserve">　</w:t>
            </w:r>
            <w:r w:rsidRPr="00B9195B">
              <w:rPr>
                <w:color w:val="000000"/>
                <w:w w:val="15"/>
                <w:shd w:val="solid" w:color="000000" w:fill="000000"/>
                <w:fitText w:val="69" w:id="-1436330486"/>
                <w14:textFill>
                  <w14:solidFill>
                    <w14:srgbClr w14:val="000000">
                      <w14:alpha w14:val="100000"/>
                    </w14:srgbClr>
                  </w14:solidFill>
                </w14:textFill>
              </w:rPr>
              <w:t>|</w:t>
            </w:r>
            <w:r w:rsidRPr="00B9195B">
              <w:rPr>
                <w:rFonts w:hint="eastAsia"/>
                <w:color w:val="000000"/>
                <w:spacing w:val="3"/>
                <w:w w:val="15"/>
                <w:shd w:val="solid" w:color="000000" w:fill="000000"/>
                <w:fitText w:val="69" w:id="-1436330486"/>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79EA1AEF" w14:textId="61E70C84"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5"/>
                <w14:textFill>
                  <w14:solidFill>
                    <w14:srgbClr w14:val="000000">
                      <w14:alpha w14:val="100000"/>
                    </w14:srgbClr>
                  </w14:solidFill>
                </w14:textFill>
              </w:rPr>
              <w:t xml:space="preserve">　</w:t>
            </w:r>
            <w:r w:rsidRPr="00B9195B">
              <w:rPr>
                <w:color w:val="000000"/>
                <w:w w:val="15"/>
                <w:shd w:val="solid" w:color="000000" w:fill="000000"/>
                <w:fitText w:val="69" w:id="-1436330485"/>
                <w14:textFill>
                  <w14:solidFill>
                    <w14:srgbClr w14:val="000000">
                      <w14:alpha w14:val="100000"/>
                    </w14:srgbClr>
                  </w14:solidFill>
                </w14:textFill>
              </w:rPr>
              <w:t>|</w:t>
            </w:r>
            <w:r w:rsidRPr="00B9195B">
              <w:rPr>
                <w:rFonts w:hint="eastAsia"/>
                <w:color w:val="000000"/>
                <w:spacing w:val="3"/>
                <w:w w:val="15"/>
                <w:shd w:val="solid" w:color="000000" w:fill="000000"/>
                <w:fitText w:val="69" w:id="-1436330485"/>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25184247" w14:textId="4D7B44F5" w:rsidR="00C63763" w:rsidRPr="004D3863" w:rsidRDefault="00B9195B" w:rsidP="00C50DC8">
            <w:pPr>
              <w:pStyle w:val="Tabletext0"/>
              <w:keepNext/>
              <w:jc w:val="center"/>
              <w:rPr>
                <w:highlight w:val="darkGray"/>
              </w:rPr>
            </w:pPr>
            <w:r w:rsidRPr="00B9195B">
              <w:rPr>
                <w:rFonts w:hint="eastAsia"/>
                <w:color w:val="000000"/>
                <w:w w:val="15"/>
                <w:shd w:val="solid" w:color="000000" w:fill="000000"/>
                <w:fitText w:val="69" w:id="-1436330484"/>
                <w14:textFill>
                  <w14:solidFill>
                    <w14:srgbClr w14:val="000000">
                      <w14:alpha w14:val="100000"/>
                    </w14:srgbClr>
                  </w14:solidFill>
                </w14:textFill>
              </w:rPr>
              <w:t xml:space="preserve">　</w:t>
            </w:r>
            <w:r w:rsidRPr="00B9195B">
              <w:rPr>
                <w:color w:val="000000"/>
                <w:w w:val="15"/>
                <w:shd w:val="solid" w:color="000000" w:fill="000000"/>
                <w:fitText w:val="69" w:id="-1436330484"/>
                <w14:textFill>
                  <w14:solidFill>
                    <w14:srgbClr w14:val="000000">
                      <w14:alpha w14:val="100000"/>
                    </w14:srgbClr>
                  </w14:solidFill>
                </w14:textFill>
              </w:rPr>
              <w:t>|</w:t>
            </w:r>
            <w:r w:rsidRPr="00B9195B">
              <w:rPr>
                <w:rFonts w:hint="eastAsia"/>
                <w:color w:val="000000"/>
                <w:spacing w:val="3"/>
                <w:w w:val="15"/>
                <w:shd w:val="solid" w:color="000000" w:fill="000000"/>
                <w:fitText w:val="69" w:id="-1436330484"/>
                <w14:textFill>
                  <w14:solidFill>
                    <w14:srgbClr w14:val="000000">
                      <w14:alpha w14:val="100000"/>
                    </w14:srgbClr>
                  </w14:solidFill>
                </w14:textFill>
              </w:rPr>
              <w:t xml:space="preserve">　</w:t>
            </w:r>
            <w:r w:rsidR="00186D0B">
              <w:rPr>
                <w:vertAlign w:val="superscript"/>
              </w:rPr>
              <w:t>8</w:t>
            </w:r>
          </w:p>
        </w:tc>
      </w:tr>
      <w:tr w:rsidR="00C63763" w:rsidRPr="00911822" w14:paraId="1D637058" w14:textId="77777777" w:rsidTr="00936DDC">
        <w:tc>
          <w:tcPr>
            <w:tcW w:w="1412" w:type="pct"/>
            <w:shd w:val="clear" w:color="auto" w:fill="auto"/>
            <w:vAlign w:val="center"/>
          </w:tcPr>
          <w:p w14:paraId="35D91556" w14:textId="77777777" w:rsidR="00C63763" w:rsidRPr="00322C94" w:rsidRDefault="00C63763" w:rsidP="00A65564">
            <w:pPr>
              <w:pStyle w:val="TableText"/>
              <w:rPr>
                <w:vertAlign w:val="superscript"/>
              </w:rPr>
            </w:pPr>
            <w:r>
              <w:t>Grandfather scripts</w:t>
            </w:r>
            <w:r>
              <w:rPr>
                <w:vertAlign w:val="superscript"/>
              </w:rPr>
              <w:t>2</w:t>
            </w:r>
          </w:p>
        </w:tc>
        <w:tc>
          <w:tcPr>
            <w:tcW w:w="598" w:type="pct"/>
            <w:shd w:val="clear" w:color="auto" w:fill="auto"/>
            <w:vAlign w:val="center"/>
          </w:tcPr>
          <w:p w14:paraId="64144A99" w14:textId="77777777" w:rsidR="00C63763" w:rsidRPr="00C306B5" w:rsidRDefault="00C63763" w:rsidP="00A65564">
            <w:pPr>
              <w:pStyle w:val="TableText"/>
              <w:jc w:val="center"/>
            </w:pPr>
          </w:p>
        </w:tc>
        <w:tc>
          <w:tcPr>
            <w:tcW w:w="598" w:type="pct"/>
            <w:shd w:val="clear" w:color="auto" w:fill="auto"/>
            <w:vAlign w:val="center"/>
          </w:tcPr>
          <w:p w14:paraId="797EBEEC" w14:textId="77777777" w:rsidR="00C63763" w:rsidRPr="00C306B5" w:rsidRDefault="00C63763" w:rsidP="00A65564">
            <w:pPr>
              <w:pStyle w:val="TableText"/>
              <w:jc w:val="center"/>
            </w:pPr>
          </w:p>
        </w:tc>
        <w:tc>
          <w:tcPr>
            <w:tcW w:w="598" w:type="pct"/>
            <w:shd w:val="clear" w:color="auto" w:fill="auto"/>
            <w:vAlign w:val="center"/>
          </w:tcPr>
          <w:p w14:paraId="0E6F60CB" w14:textId="77777777" w:rsidR="00C63763" w:rsidRPr="00C306B5" w:rsidRDefault="00C63763" w:rsidP="00A65564">
            <w:pPr>
              <w:pStyle w:val="TableText"/>
              <w:jc w:val="center"/>
            </w:pPr>
          </w:p>
        </w:tc>
        <w:tc>
          <w:tcPr>
            <w:tcW w:w="598" w:type="pct"/>
            <w:shd w:val="clear" w:color="auto" w:fill="auto"/>
            <w:vAlign w:val="center"/>
          </w:tcPr>
          <w:p w14:paraId="61E1055D" w14:textId="77777777" w:rsidR="00C63763" w:rsidRPr="00C306B5" w:rsidRDefault="00C63763" w:rsidP="00A65564">
            <w:pPr>
              <w:pStyle w:val="TableText"/>
              <w:jc w:val="center"/>
            </w:pPr>
          </w:p>
        </w:tc>
        <w:tc>
          <w:tcPr>
            <w:tcW w:w="598" w:type="pct"/>
            <w:shd w:val="clear" w:color="auto" w:fill="auto"/>
            <w:vAlign w:val="center"/>
          </w:tcPr>
          <w:p w14:paraId="1097B4C7" w14:textId="77777777" w:rsidR="00C63763" w:rsidRPr="00C306B5" w:rsidRDefault="00C63763" w:rsidP="00A65564">
            <w:pPr>
              <w:pStyle w:val="TableText"/>
              <w:jc w:val="center"/>
            </w:pPr>
          </w:p>
        </w:tc>
        <w:tc>
          <w:tcPr>
            <w:tcW w:w="598" w:type="pct"/>
            <w:shd w:val="clear" w:color="auto" w:fill="auto"/>
            <w:vAlign w:val="center"/>
          </w:tcPr>
          <w:p w14:paraId="26FEF0AA" w14:textId="77777777" w:rsidR="00C63763" w:rsidRPr="00C306B5" w:rsidRDefault="00C63763" w:rsidP="00A65564">
            <w:pPr>
              <w:pStyle w:val="TableText"/>
              <w:jc w:val="center"/>
            </w:pPr>
          </w:p>
        </w:tc>
      </w:tr>
      <w:tr w:rsidR="00C63763" w:rsidRPr="00911822" w14:paraId="39308E03" w14:textId="77777777" w:rsidTr="00936DDC">
        <w:tc>
          <w:tcPr>
            <w:tcW w:w="1412" w:type="pct"/>
            <w:shd w:val="clear" w:color="auto" w:fill="auto"/>
            <w:vAlign w:val="center"/>
          </w:tcPr>
          <w:p w14:paraId="0AD9977F" w14:textId="77777777" w:rsidR="00C63763" w:rsidRPr="00911822" w:rsidRDefault="00C63763" w:rsidP="004D6A5C">
            <w:pPr>
              <w:pStyle w:val="TableText"/>
              <w:numPr>
                <w:ilvl w:val="0"/>
                <w:numId w:val="8"/>
              </w:numPr>
              <w:ind w:left="170" w:hanging="170"/>
            </w:pPr>
            <w:r w:rsidRPr="00911822">
              <w:t>56 mg</w:t>
            </w:r>
          </w:p>
        </w:tc>
        <w:tc>
          <w:tcPr>
            <w:tcW w:w="598" w:type="pct"/>
            <w:shd w:val="clear" w:color="auto" w:fill="auto"/>
            <w:vAlign w:val="center"/>
          </w:tcPr>
          <w:p w14:paraId="5895871A" w14:textId="7F3AE9E2" w:rsidR="00C63763" w:rsidRPr="004D3863" w:rsidRDefault="00B9195B" w:rsidP="00A65564">
            <w:pPr>
              <w:pStyle w:val="TableText"/>
              <w:jc w:val="center"/>
              <w:rPr>
                <w:highlight w:val="darkGray"/>
              </w:rPr>
            </w:pPr>
            <w:r w:rsidRPr="00B9195B">
              <w:rPr>
                <w:rFonts w:hint="eastAsia"/>
                <w:color w:val="000000"/>
                <w:w w:val="15"/>
                <w:shd w:val="solid" w:color="000000" w:fill="000000"/>
                <w:fitText w:val="70" w:id="-1436330483"/>
                <w14:textFill>
                  <w14:solidFill>
                    <w14:srgbClr w14:val="000000">
                      <w14:alpha w14:val="100000"/>
                    </w14:srgbClr>
                  </w14:solidFill>
                </w14:textFill>
              </w:rPr>
              <w:t xml:space="preserve">　</w:t>
            </w:r>
            <w:r w:rsidRPr="00B9195B">
              <w:rPr>
                <w:color w:val="000000"/>
                <w:w w:val="15"/>
                <w:shd w:val="solid" w:color="000000" w:fill="000000"/>
                <w:fitText w:val="70" w:id="-1436330483"/>
                <w14:textFill>
                  <w14:solidFill>
                    <w14:srgbClr w14:val="000000">
                      <w14:alpha w14:val="100000"/>
                    </w14:srgbClr>
                  </w14:solidFill>
                </w14:textFill>
              </w:rPr>
              <w:t>|</w:t>
            </w:r>
            <w:r w:rsidRPr="00B9195B">
              <w:rPr>
                <w:rFonts w:hint="eastAsia"/>
                <w:color w:val="000000"/>
                <w:spacing w:val="4"/>
                <w:w w:val="15"/>
                <w:shd w:val="solid" w:color="000000" w:fill="000000"/>
                <w:fitText w:val="70" w:id="-1436330483"/>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7B6CD179" w14:textId="43014BE1" w:rsidR="00C63763" w:rsidRPr="004D3863" w:rsidRDefault="00B9195B" w:rsidP="00A65564">
            <w:pPr>
              <w:pStyle w:val="TableText"/>
              <w:jc w:val="center"/>
              <w:rPr>
                <w:highlight w:val="darkGray"/>
              </w:rPr>
            </w:pPr>
            <w:r w:rsidRPr="00B9195B">
              <w:rPr>
                <w:rFonts w:hint="eastAsia"/>
                <w:color w:val="000000"/>
                <w:w w:val="15"/>
                <w:shd w:val="solid" w:color="000000" w:fill="000000"/>
                <w:fitText w:val="70" w:id="-1436330482"/>
                <w14:textFill>
                  <w14:solidFill>
                    <w14:srgbClr w14:val="000000">
                      <w14:alpha w14:val="100000"/>
                    </w14:srgbClr>
                  </w14:solidFill>
                </w14:textFill>
              </w:rPr>
              <w:t xml:space="preserve">　</w:t>
            </w:r>
            <w:r w:rsidRPr="00B9195B">
              <w:rPr>
                <w:color w:val="000000"/>
                <w:w w:val="15"/>
                <w:shd w:val="solid" w:color="000000" w:fill="000000"/>
                <w:fitText w:val="70" w:id="-1436330482"/>
                <w14:textFill>
                  <w14:solidFill>
                    <w14:srgbClr w14:val="000000">
                      <w14:alpha w14:val="100000"/>
                    </w14:srgbClr>
                  </w14:solidFill>
                </w14:textFill>
              </w:rPr>
              <w:t>|</w:t>
            </w:r>
            <w:r w:rsidRPr="00B9195B">
              <w:rPr>
                <w:rFonts w:hint="eastAsia"/>
                <w:color w:val="000000"/>
                <w:spacing w:val="4"/>
                <w:w w:val="15"/>
                <w:shd w:val="solid" w:color="000000" w:fill="000000"/>
                <w:fitText w:val="70" w:id="-1436330482"/>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18AD17C7" w14:textId="42B544E8" w:rsidR="00C63763" w:rsidRPr="004D3863" w:rsidRDefault="00B9195B" w:rsidP="00A65564">
            <w:pPr>
              <w:pStyle w:val="TableText"/>
              <w:jc w:val="center"/>
              <w:rPr>
                <w:highlight w:val="darkGray"/>
              </w:rPr>
            </w:pPr>
            <w:r w:rsidRPr="00B9195B">
              <w:rPr>
                <w:rFonts w:hint="eastAsia"/>
                <w:color w:val="000000"/>
                <w:w w:val="15"/>
                <w:shd w:val="solid" w:color="000000" w:fill="000000"/>
                <w:fitText w:val="70" w:id="-1436330481"/>
                <w14:textFill>
                  <w14:solidFill>
                    <w14:srgbClr w14:val="000000">
                      <w14:alpha w14:val="100000"/>
                    </w14:srgbClr>
                  </w14:solidFill>
                </w14:textFill>
              </w:rPr>
              <w:t xml:space="preserve">　</w:t>
            </w:r>
            <w:r w:rsidRPr="00B9195B">
              <w:rPr>
                <w:color w:val="000000"/>
                <w:w w:val="15"/>
                <w:shd w:val="solid" w:color="000000" w:fill="000000"/>
                <w:fitText w:val="70" w:id="-1436330481"/>
                <w14:textFill>
                  <w14:solidFill>
                    <w14:srgbClr w14:val="000000">
                      <w14:alpha w14:val="100000"/>
                    </w14:srgbClr>
                  </w14:solidFill>
                </w14:textFill>
              </w:rPr>
              <w:t>|</w:t>
            </w:r>
            <w:r w:rsidRPr="00B9195B">
              <w:rPr>
                <w:rFonts w:hint="eastAsia"/>
                <w:color w:val="000000"/>
                <w:spacing w:val="4"/>
                <w:w w:val="15"/>
                <w:shd w:val="solid" w:color="000000" w:fill="000000"/>
                <w:fitText w:val="70" w:id="-1436330481"/>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4375FAD8" w14:textId="7D6E2F1D" w:rsidR="00C63763" w:rsidRPr="004D3863" w:rsidRDefault="00B9195B" w:rsidP="00A65564">
            <w:pPr>
              <w:pStyle w:val="TableText"/>
              <w:jc w:val="center"/>
              <w:rPr>
                <w:highlight w:val="darkGray"/>
              </w:rPr>
            </w:pPr>
            <w:r w:rsidRPr="00B9195B">
              <w:rPr>
                <w:rFonts w:hint="eastAsia"/>
                <w:color w:val="000000"/>
                <w:w w:val="15"/>
                <w:shd w:val="solid" w:color="000000" w:fill="000000"/>
                <w:fitText w:val="69" w:id="-1436330480"/>
                <w14:textFill>
                  <w14:solidFill>
                    <w14:srgbClr w14:val="000000">
                      <w14:alpha w14:val="100000"/>
                    </w14:srgbClr>
                  </w14:solidFill>
                </w14:textFill>
              </w:rPr>
              <w:t xml:space="preserve">　</w:t>
            </w:r>
            <w:r w:rsidRPr="00B9195B">
              <w:rPr>
                <w:color w:val="000000"/>
                <w:w w:val="15"/>
                <w:shd w:val="solid" w:color="000000" w:fill="000000"/>
                <w:fitText w:val="69" w:id="-1436330480"/>
                <w14:textFill>
                  <w14:solidFill>
                    <w14:srgbClr w14:val="000000">
                      <w14:alpha w14:val="100000"/>
                    </w14:srgbClr>
                  </w14:solidFill>
                </w14:textFill>
              </w:rPr>
              <w:t>|</w:t>
            </w:r>
            <w:r w:rsidRPr="00B9195B">
              <w:rPr>
                <w:rFonts w:hint="eastAsia"/>
                <w:color w:val="000000"/>
                <w:spacing w:val="3"/>
                <w:w w:val="15"/>
                <w:shd w:val="solid" w:color="000000" w:fill="000000"/>
                <w:fitText w:val="69" w:id="-1436330480"/>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20250A3C" w14:textId="760E1787" w:rsidR="00C63763" w:rsidRPr="004D3863" w:rsidRDefault="00B9195B" w:rsidP="00A65564">
            <w:pPr>
              <w:pStyle w:val="TableText"/>
              <w:jc w:val="center"/>
              <w:rPr>
                <w:highlight w:val="darkGray"/>
              </w:rPr>
            </w:pPr>
            <w:r w:rsidRPr="00B9195B">
              <w:rPr>
                <w:rFonts w:hint="eastAsia"/>
                <w:color w:val="000000"/>
                <w:w w:val="15"/>
                <w:shd w:val="solid" w:color="000000" w:fill="000000"/>
                <w:fitText w:val="69" w:id="-1436330496"/>
                <w14:textFill>
                  <w14:solidFill>
                    <w14:srgbClr w14:val="000000">
                      <w14:alpha w14:val="100000"/>
                    </w14:srgbClr>
                  </w14:solidFill>
                </w14:textFill>
              </w:rPr>
              <w:t xml:space="preserve">　</w:t>
            </w:r>
            <w:r w:rsidRPr="00B9195B">
              <w:rPr>
                <w:color w:val="000000"/>
                <w:w w:val="15"/>
                <w:shd w:val="solid" w:color="000000" w:fill="000000"/>
                <w:fitText w:val="69" w:id="-1436330496"/>
                <w14:textFill>
                  <w14:solidFill>
                    <w14:srgbClr w14:val="000000">
                      <w14:alpha w14:val="100000"/>
                    </w14:srgbClr>
                  </w14:solidFill>
                </w14:textFill>
              </w:rPr>
              <w:t>|</w:t>
            </w:r>
            <w:r w:rsidRPr="00B9195B">
              <w:rPr>
                <w:rFonts w:hint="eastAsia"/>
                <w:color w:val="000000"/>
                <w:spacing w:val="3"/>
                <w:w w:val="15"/>
                <w:shd w:val="solid" w:color="000000" w:fill="000000"/>
                <w:fitText w:val="69" w:id="-1436330496"/>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48066A80" w14:textId="43E369C5" w:rsidR="00C63763" w:rsidRPr="004D3863" w:rsidRDefault="00B9195B" w:rsidP="00A65564">
            <w:pPr>
              <w:pStyle w:val="TableText"/>
              <w:jc w:val="center"/>
              <w:rPr>
                <w:highlight w:val="darkGray"/>
              </w:rPr>
            </w:pPr>
            <w:r w:rsidRPr="00B9195B">
              <w:rPr>
                <w:rFonts w:hint="eastAsia"/>
                <w:color w:val="000000"/>
                <w:w w:val="15"/>
                <w:shd w:val="solid" w:color="000000" w:fill="000000"/>
                <w:fitText w:val="69" w:id="-1436330495"/>
                <w14:textFill>
                  <w14:solidFill>
                    <w14:srgbClr w14:val="000000">
                      <w14:alpha w14:val="100000"/>
                    </w14:srgbClr>
                  </w14:solidFill>
                </w14:textFill>
              </w:rPr>
              <w:t xml:space="preserve">　</w:t>
            </w:r>
            <w:r w:rsidRPr="00B9195B">
              <w:rPr>
                <w:color w:val="000000"/>
                <w:w w:val="15"/>
                <w:shd w:val="solid" w:color="000000" w:fill="000000"/>
                <w:fitText w:val="69" w:id="-1436330495"/>
                <w14:textFill>
                  <w14:solidFill>
                    <w14:srgbClr w14:val="000000">
                      <w14:alpha w14:val="100000"/>
                    </w14:srgbClr>
                  </w14:solidFill>
                </w14:textFill>
              </w:rPr>
              <w:t>|</w:t>
            </w:r>
            <w:r w:rsidRPr="00B9195B">
              <w:rPr>
                <w:rFonts w:hint="eastAsia"/>
                <w:color w:val="000000"/>
                <w:spacing w:val="3"/>
                <w:w w:val="15"/>
                <w:shd w:val="solid" w:color="000000" w:fill="000000"/>
                <w:fitText w:val="69" w:id="-1436330495"/>
                <w14:textFill>
                  <w14:solidFill>
                    <w14:srgbClr w14:val="000000">
                      <w14:alpha w14:val="100000"/>
                    </w14:srgbClr>
                  </w14:solidFill>
                </w14:textFill>
              </w:rPr>
              <w:t xml:space="preserve">　</w:t>
            </w:r>
            <w:r w:rsidR="00186D0B">
              <w:rPr>
                <w:vertAlign w:val="superscript"/>
              </w:rPr>
              <w:t>8</w:t>
            </w:r>
          </w:p>
        </w:tc>
      </w:tr>
      <w:tr w:rsidR="00C63763" w:rsidRPr="000A6039" w14:paraId="2557E90D" w14:textId="77777777" w:rsidTr="00936DDC">
        <w:tc>
          <w:tcPr>
            <w:tcW w:w="1412" w:type="pct"/>
            <w:shd w:val="clear" w:color="auto" w:fill="auto"/>
            <w:vAlign w:val="center"/>
          </w:tcPr>
          <w:p w14:paraId="16C4D6F1" w14:textId="77777777" w:rsidR="00C63763" w:rsidRPr="00911822" w:rsidRDefault="00C63763" w:rsidP="004D6A5C">
            <w:pPr>
              <w:pStyle w:val="TableText"/>
              <w:numPr>
                <w:ilvl w:val="0"/>
                <w:numId w:val="8"/>
              </w:numPr>
              <w:ind w:left="170" w:hanging="170"/>
            </w:pPr>
            <w:r w:rsidRPr="00911822">
              <w:t>84 mg</w:t>
            </w:r>
          </w:p>
        </w:tc>
        <w:tc>
          <w:tcPr>
            <w:tcW w:w="598" w:type="pct"/>
            <w:shd w:val="clear" w:color="auto" w:fill="auto"/>
            <w:vAlign w:val="center"/>
          </w:tcPr>
          <w:p w14:paraId="1876AAD4" w14:textId="7182B6DC" w:rsidR="00C63763" w:rsidRPr="004D3863" w:rsidRDefault="00B9195B" w:rsidP="00A65564">
            <w:pPr>
              <w:pStyle w:val="TableText"/>
              <w:jc w:val="center"/>
              <w:rPr>
                <w:highlight w:val="darkGray"/>
              </w:rPr>
            </w:pPr>
            <w:r w:rsidRPr="00B9195B">
              <w:rPr>
                <w:rFonts w:hint="eastAsia"/>
                <w:color w:val="000000"/>
                <w:w w:val="15"/>
                <w:shd w:val="solid" w:color="000000" w:fill="000000"/>
                <w:fitText w:val="70" w:id="-1436330494"/>
                <w14:textFill>
                  <w14:solidFill>
                    <w14:srgbClr w14:val="000000">
                      <w14:alpha w14:val="100000"/>
                    </w14:srgbClr>
                  </w14:solidFill>
                </w14:textFill>
              </w:rPr>
              <w:t xml:space="preserve">　</w:t>
            </w:r>
            <w:r w:rsidRPr="00B9195B">
              <w:rPr>
                <w:color w:val="000000"/>
                <w:w w:val="15"/>
                <w:shd w:val="solid" w:color="000000" w:fill="000000"/>
                <w:fitText w:val="70" w:id="-1436330494"/>
                <w14:textFill>
                  <w14:solidFill>
                    <w14:srgbClr w14:val="000000">
                      <w14:alpha w14:val="100000"/>
                    </w14:srgbClr>
                  </w14:solidFill>
                </w14:textFill>
              </w:rPr>
              <w:t>|</w:t>
            </w:r>
            <w:r w:rsidRPr="00B9195B">
              <w:rPr>
                <w:rFonts w:hint="eastAsia"/>
                <w:color w:val="000000"/>
                <w:spacing w:val="4"/>
                <w:w w:val="15"/>
                <w:shd w:val="solid" w:color="000000" w:fill="000000"/>
                <w:fitText w:val="70" w:id="-1436330494"/>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1B84413D" w14:textId="50C03F49" w:rsidR="00C63763" w:rsidRPr="004D3863" w:rsidRDefault="00B9195B" w:rsidP="00A65564">
            <w:pPr>
              <w:pStyle w:val="TableText"/>
              <w:jc w:val="center"/>
              <w:rPr>
                <w:highlight w:val="darkGray"/>
              </w:rPr>
            </w:pPr>
            <w:r w:rsidRPr="00B9195B">
              <w:rPr>
                <w:rFonts w:hint="eastAsia"/>
                <w:color w:val="000000"/>
                <w:w w:val="15"/>
                <w:shd w:val="solid" w:color="000000" w:fill="000000"/>
                <w:fitText w:val="70" w:id="-1436330493"/>
                <w14:textFill>
                  <w14:solidFill>
                    <w14:srgbClr w14:val="000000">
                      <w14:alpha w14:val="100000"/>
                    </w14:srgbClr>
                  </w14:solidFill>
                </w14:textFill>
              </w:rPr>
              <w:t xml:space="preserve">　</w:t>
            </w:r>
            <w:r w:rsidRPr="00B9195B">
              <w:rPr>
                <w:color w:val="000000"/>
                <w:w w:val="15"/>
                <w:shd w:val="solid" w:color="000000" w:fill="000000"/>
                <w:fitText w:val="70" w:id="-1436330493"/>
                <w14:textFill>
                  <w14:solidFill>
                    <w14:srgbClr w14:val="000000">
                      <w14:alpha w14:val="100000"/>
                    </w14:srgbClr>
                  </w14:solidFill>
                </w14:textFill>
              </w:rPr>
              <w:t>|</w:t>
            </w:r>
            <w:r w:rsidRPr="00B9195B">
              <w:rPr>
                <w:rFonts w:hint="eastAsia"/>
                <w:color w:val="000000"/>
                <w:spacing w:val="4"/>
                <w:w w:val="15"/>
                <w:shd w:val="solid" w:color="000000" w:fill="000000"/>
                <w:fitText w:val="70" w:id="-1436330493"/>
                <w14:textFill>
                  <w14:solidFill>
                    <w14:srgbClr w14:val="000000">
                      <w14:alpha w14:val="100000"/>
                    </w14:srgbClr>
                  </w14:solidFill>
                </w14:textFill>
              </w:rPr>
              <w:t xml:space="preserve">　</w:t>
            </w:r>
            <w:r w:rsidR="00186D0B">
              <w:rPr>
                <w:vertAlign w:val="superscript"/>
              </w:rPr>
              <w:t>6</w:t>
            </w:r>
          </w:p>
        </w:tc>
        <w:tc>
          <w:tcPr>
            <w:tcW w:w="598" w:type="pct"/>
            <w:shd w:val="clear" w:color="auto" w:fill="auto"/>
            <w:vAlign w:val="center"/>
          </w:tcPr>
          <w:p w14:paraId="3BC779CE" w14:textId="28E46D50" w:rsidR="00C63763" w:rsidRPr="004D3863" w:rsidRDefault="00B9195B" w:rsidP="00A65564">
            <w:pPr>
              <w:pStyle w:val="TableText"/>
              <w:jc w:val="center"/>
              <w:rPr>
                <w:highlight w:val="darkGray"/>
              </w:rPr>
            </w:pPr>
            <w:r w:rsidRPr="00B9195B">
              <w:rPr>
                <w:rFonts w:hint="eastAsia"/>
                <w:color w:val="000000"/>
                <w:w w:val="15"/>
                <w:shd w:val="solid" w:color="000000" w:fill="000000"/>
                <w:fitText w:val="70" w:id="-1436330492"/>
                <w14:textFill>
                  <w14:solidFill>
                    <w14:srgbClr w14:val="000000">
                      <w14:alpha w14:val="100000"/>
                    </w14:srgbClr>
                  </w14:solidFill>
                </w14:textFill>
              </w:rPr>
              <w:t xml:space="preserve">　</w:t>
            </w:r>
            <w:r w:rsidRPr="00B9195B">
              <w:rPr>
                <w:color w:val="000000"/>
                <w:w w:val="15"/>
                <w:shd w:val="solid" w:color="000000" w:fill="000000"/>
                <w:fitText w:val="70" w:id="-1436330492"/>
                <w14:textFill>
                  <w14:solidFill>
                    <w14:srgbClr w14:val="000000">
                      <w14:alpha w14:val="100000"/>
                    </w14:srgbClr>
                  </w14:solidFill>
                </w14:textFill>
              </w:rPr>
              <w:t>|</w:t>
            </w:r>
            <w:r w:rsidRPr="00B9195B">
              <w:rPr>
                <w:rFonts w:hint="eastAsia"/>
                <w:color w:val="000000"/>
                <w:spacing w:val="4"/>
                <w:w w:val="15"/>
                <w:shd w:val="solid" w:color="000000" w:fill="000000"/>
                <w:fitText w:val="70" w:id="-1436330492"/>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6E98B9F6" w14:textId="3ABC43DC" w:rsidR="00C63763" w:rsidRPr="004D3863" w:rsidRDefault="00B9195B" w:rsidP="00A65564">
            <w:pPr>
              <w:pStyle w:val="TableText"/>
              <w:jc w:val="center"/>
              <w:rPr>
                <w:highlight w:val="darkGray"/>
              </w:rPr>
            </w:pPr>
            <w:r w:rsidRPr="00B9195B">
              <w:rPr>
                <w:rFonts w:hint="eastAsia"/>
                <w:color w:val="000000"/>
                <w:w w:val="15"/>
                <w:shd w:val="solid" w:color="000000" w:fill="000000"/>
                <w:fitText w:val="69" w:id="-1436330491"/>
                <w14:textFill>
                  <w14:solidFill>
                    <w14:srgbClr w14:val="000000">
                      <w14:alpha w14:val="100000"/>
                    </w14:srgbClr>
                  </w14:solidFill>
                </w14:textFill>
              </w:rPr>
              <w:t xml:space="preserve">　</w:t>
            </w:r>
            <w:r w:rsidRPr="00B9195B">
              <w:rPr>
                <w:color w:val="000000"/>
                <w:w w:val="15"/>
                <w:shd w:val="solid" w:color="000000" w:fill="000000"/>
                <w:fitText w:val="69" w:id="-1436330491"/>
                <w14:textFill>
                  <w14:solidFill>
                    <w14:srgbClr w14:val="000000">
                      <w14:alpha w14:val="100000"/>
                    </w14:srgbClr>
                  </w14:solidFill>
                </w14:textFill>
              </w:rPr>
              <w:t>|</w:t>
            </w:r>
            <w:r w:rsidRPr="00B9195B">
              <w:rPr>
                <w:rFonts w:hint="eastAsia"/>
                <w:color w:val="000000"/>
                <w:spacing w:val="3"/>
                <w:w w:val="15"/>
                <w:shd w:val="solid" w:color="000000" w:fill="000000"/>
                <w:fitText w:val="69" w:id="-1436330491"/>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7423024F" w14:textId="12B20F55" w:rsidR="00C63763" w:rsidRPr="004D3863" w:rsidRDefault="00B9195B" w:rsidP="00A65564">
            <w:pPr>
              <w:pStyle w:val="TableText"/>
              <w:jc w:val="center"/>
              <w:rPr>
                <w:highlight w:val="darkGray"/>
              </w:rPr>
            </w:pPr>
            <w:r w:rsidRPr="00B9195B">
              <w:rPr>
                <w:rFonts w:hint="eastAsia"/>
                <w:color w:val="000000"/>
                <w:w w:val="15"/>
                <w:shd w:val="solid" w:color="000000" w:fill="000000"/>
                <w:fitText w:val="69" w:id="-1436330490"/>
                <w14:textFill>
                  <w14:solidFill>
                    <w14:srgbClr w14:val="000000">
                      <w14:alpha w14:val="100000"/>
                    </w14:srgbClr>
                  </w14:solidFill>
                </w14:textFill>
              </w:rPr>
              <w:t xml:space="preserve">　</w:t>
            </w:r>
            <w:r w:rsidRPr="00B9195B">
              <w:rPr>
                <w:color w:val="000000"/>
                <w:w w:val="15"/>
                <w:shd w:val="solid" w:color="000000" w:fill="000000"/>
                <w:fitText w:val="69" w:id="-1436330490"/>
                <w14:textFill>
                  <w14:solidFill>
                    <w14:srgbClr w14:val="000000">
                      <w14:alpha w14:val="100000"/>
                    </w14:srgbClr>
                  </w14:solidFill>
                </w14:textFill>
              </w:rPr>
              <w:t>|</w:t>
            </w:r>
            <w:r w:rsidRPr="00B9195B">
              <w:rPr>
                <w:rFonts w:hint="eastAsia"/>
                <w:color w:val="000000"/>
                <w:spacing w:val="3"/>
                <w:w w:val="15"/>
                <w:shd w:val="solid" w:color="000000" w:fill="000000"/>
                <w:fitText w:val="69" w:id="-1436330490"/>
                <w14:textFill>
                  <w14:solidFill>
                    <w14:srgbClr w14:val="000000">
                      <w14:alpha w14:val="100000"/>
                    </w14:srgbClr>
                  </w14:solidFill>
                </w14:textFill>
              </w:rPr>
              <w:t xml:space="preserve">　</w:t>
            </w:r>
            <w:r w:rsidR="00186D0B">
              <w:rPr>
                <w:vertAlign w:val="superscript"/>
              </w:rPr>
              <w:t>8</w:t>
            </w:r>
          </w:p>
        </w:tc>
        <w:tc>
          <w:tcPr>
            <w:tcW w:w="598" w:type="pct"/>
            <w:shd w:val="clear" w:color="auto" w:fill="auto"/>
            <w:vAlign w:val="center"/>
          </w:tcPr>
          <w:p w14:paraId="7E1C78EC" w14:textId="37753E47" w:rsidR="00C63763" w:rsidRPr="004D3863" w:rsidRDefault="00B9195B" w:rsidP="00A65564">
            <w:pPr>
              <w:pStyle w:val="TableText"/>
              <w:jc w:val="center"/>
              <w:rPr>
                <w:highlight w:val="darkGray"/>
              </w:rPr>
            </w:pPr>
            <w:r w:rsidRPr="00B9195B">
              <w:rPr>
                <w:rFonts w:hint="eastAsia"/>
                <w:color w:val="000000"/>
                <w:w w:val="15"/>
                <w:shd w:val="solid" w:color="000000" w:fill="000000"/>
                <w:fitText w:val="69" w:id="-1436330489"/>
                <w14:textFill>
                  <w14:solidFill>
                    <w14:srgbClr w14:val="000000">
                      <w14:alpha w14:val="100000"/>
                    </w14:srgbClr>
                  </w14:solidFill>
                </w14:textFill>
              </w:rPr>
              <w:t xml:space="preserve">　</w:t>
            </w:r>
            <w:r w:rsidRPr="00B9195B">
              <w:rPr>
                <w:color w:val="000000"/>
                <w:w w:val="15"/>
                <w:shd w:val="solid" w:color="000000" w:fill="000000"/>
                <w:fitText w:val="69" w:id="-1436330489"/>
                <w14:textFill>
                  <w14:solidFill>
                    <w14:srgbClr w14:val="000000">
                      <w14:alpha w14:val="100000"/>
                    </w14:srgbClr>
                  </w14:solidFill>
                </w14:textFill>
              </w:rPr>
              <w:t>|</w:t>
            </w:r>
            <w:r w:rsidRPr="00B9195B">
              <w:rPr>
                <w:rFonts w:hint="eastAsia"/>
                <w:color w:val="000000"/>
                <w:spacing w:val="3"/>
                <w:w w:val="15"/>
                <w:shd w:val="solid" w:color="000000" w:fill="000000"/>
                <w:fitText w:val="69" w:id="-1436330489"/>
                <w14:textFill>
                  <w14:solidFill>
                    <w14:srgbClr w14:val="000000">
                      <w14:alpha w14:val="100000"/>
                    </w14:srgbClr>
                  </w14:solidFill>
                </w14:textFill>
              </w:rPr>
              <w:t xml:space="preserve">　</w:t>
            </w:r>
            <w:r w:rsidR="00186D0B">
              <w:rPr>
                <w:vertAlign w:val="superscript"/>
              </w:rPr>
              <w:t>8</w:t>
            </w:r>
          </w:p>
        </w:tc>
      </w:tr>
      <w:tr w:rsidR="00C63763" w:rsidRPr="000A6039" w14:paraId="2F3A90FD" w14:textId="77777777" w:rsidTr="00936DDC">
        <w:tc>
          <w:tcPr>
            <w:tcW w:w="5000" w:type="pct"/>
            <w:gridSpan w:val="7"/>
            <w:shd w:val="clear" w:color="auto" w:fill="auto"/>
            <w:vAlign w:val="center"/>
          </w:tcPr>
          <w:p w14:paraId="3894602E" w14:textId="77777777" w:rsidR="00C63763" w:rsidRPr="008C5079" w:rsidRDefault="00C63763" w:rsidP="00A65564">
            <w:pPr>
              <w:pStyle w:val="TableText"/>
              <w:rPr>
                <w:b/>
                <w:bCs w:val="0"/>
              </w:rPr>
            </w:pPr>
            <w:r>
              <w:rPr>
                <w:b/>
                <w:bCs w:val="0"/>
              </w:rPr>
              <w:t>Net cost to PBS/RPBS</w:t>
            </w:r>
          </w:p>
        </w:tc>
      </w:tr>
      <w:tr w:rsidR="00AC630E" w:rsidRPr="000A6039" w14:paraId="1005F9B2" w14:textId="77777777" w:rsidTr="00936DDC">
        <w:tc>
          <w:tcPr>
            <w:tcW w:w="1412" w:type="pct"/>
            <w:shd w:val="clear" w:color="auto" w:fill="auto"/>
            <w:vAlign w:val="center"/>
          </w:tcPr>
          <w:p w14:paraId="74D9104D" w14:textId="77777777" w:rsidR="00C63763" w:rsidRPr="000A6039" w:rsidRDefault="00C63763" w:rsidP="00A65564">
            <w:pPr>
              <w:pStyle w:val="TableText"/>
            </w:pPr>
            <w:r>
              <w:t>Total scripts</w:t>
            </w:r>
          </w:p>
        </w:tc>
        <w:tc>
          <w:tcPr>
            <w:tcW w:w="598" w:type="pct"/>
            <w:shd w:val="clear" w:color="000000" w:fill="FFFFFF"/>
            <w:vAlign w:val="center"/>
          </w:tcPr>
          <w:p w14:paraId="4653445F" w14:textId="5F5FCB62" w:rsidR="00C63763" w:rsidRPr="004D3863" w:rsidRDefault="00B9195B" w:rsidP="00A65564">
            <w:pPr>
              <w:pStyle w:val="TableText"/>
              <w:jc w:val="center"/>
              <w:rPr>
                <w:highlight w:val="darkGray"/>
              </w:rPr>
            </w:pPr>
            <w:r w:rsidRPr="00B9195B">
              <w:rPr>
                <w:rFonts w:hint="eastAsia"/>
                <w:color w:val="000000"/>
                <w:w w:val="15"/>
                <w:shd w:val="solid" w:color="000000" w:fill="000000"/>
                <w:fitText w:val="70" w:id="-1436330488"/>
                <w14:textFill>
                  <w14:solidFill>
                    <w14:srgbClr w14:val="000000">
                      <w14:alpha w14:val="100000"/>
                    </w14:srgbClr>
                  </w14:solidFill>
                </w14:textFill>
              </w:rPr>
              <w:t xml:space="preserve">　</w:t>
            </w:r>
            <w:r w:rsidRPr="00B9195B">
              <w:rPr>
                <w:color w:val="000000"/>
                <w:w w:val="15"/>
                <w:shd w:val="solid" w:color="000000" w:fill="000000"/>
                <w:fitText w:val="70" w:id="-1436330488"/>
                <w14:textFill>
                  <w14:solidFill>
                    <w14:srgbClr w14:val="000000">
                      <w14:alpha w14:val="100000"/>
                    </w14:srgbClr>
                  </w14:solidFill>
                </w14:textFill>
              </w:rPr>
              <w:t>|</w:t>
            </w:r>
            <w:r w:rsidRPr="00B9195B">
              <w:rPr>
                <w:rFonts w:hint="eastAsia"/>
                <w:color w:val="000000"/>
                <w:spacing w:val="4"/>
                <w:w w:val="15"/>
                <w:shd w:val="solid" w:color="000000" w:fill="000000"/>
                <w:fitText w:val="70" w:id="-1436330488"/>
                <w14:textFill>
                  <w14:solidFill>
                    <w14:srgbClr w14:val="000000">
                      <w14:alpha w14:val="100000"/>
                    </w14:srgbClr>
                  </w14:solidFill>
                </w14:textFill>
              </w:rPr>
              <w:t xml:space="preserve">　</w:t>
            </w:r>
            <w:r w:rsidR="00186D0B">
              <w:rPr>
                <w:vertAlign w:val="superscript"/>
              </w:rPr>
              <w:t>9</w:t>
            </w:r>
          </w:p>
        </w:tc>
        <w:tc>
          <w:tcPr>
            <w:tcW w:w="598" w:type="pct"/>
            <w:shd w:val="clear" w:color="000000" w:fill="FFFFFF"/>
            <w:vAlign w:val="center"/>
          </w:tcPr>
          <w:p w14:paraId="0372C7A8" w14:textId="695FEFCC" w:rsidR="00C63763" w:rsidRPr="004D3863" w:rsidRDefault="00B9195B" w:rsidP="00A65564">
            <w:pPr>
              <w:pStyle w:val="TableText"/>
              <w:jc w:val="center"/>
              <w:rPr>
                <w:highlight w:val="darkGray"/>
              </w:rPr>
            </w:pPr>
            <w:r w:rsidRPr="00B9195B">
              <w:rPr>
                <w:rFonts w:hint="eastAsia"/>
                <w:color w:val="000000"/>
                <w:w w:val="15"/>
                <w:shd w:val="solid" w:color="000000" w:fill="000000"/>
                <w:fitText w:val="70" w:id="-1436330487"/>
                <w14:textFill>
                  <w14:solidFill>
                    <w14:srgbClr w14:val="000000">
                      <w14:alpha w14:val="100000"/>
                    </w14:srgbClr>
                  </w14:solidFill>
                </w14:textFill>
              </w:rPr>
              <w:t xml:space="preserve">　</w:t>
            </w:r>
            <w:r w:rsidRPr="00B9195B">
              <w:rPr>
                <w:color w:val="000000"/>
                <w:w w:val="15"/>
                <w:shd w:val="solid" w:color="000000" w:fill="000000"/>
                <w:fitText w:val="70" w:id="-1436330487"/>
                <w14:textFill>
                  <w14:solidFill>
                    <w14:srgbClr w14:val="000000">
                      <w14:alpha w14:val="100000"/>
                    </w14:srgbClr>
                  </w14:solidFill>
                </w14:textFill>
              </w:rPr>
              <w:t>|</w:t>
            </w:r>
            <w:r w:rsidRPr="00B9195B">
              <w:rPr>
                <w:rFonts w:hint="eastAsia"/>
                <w:color w:val="000000"/>
                <w:spacing w:val="4"/>
                <w:w w:val="15"/>
                <w:shd w:val="solid" w:color="000000" w:fill="000000"/>
                <w:fitText w:val="70" w:id="-1436330487"/>
                <w14:textFill>
                  <w14:solidFill>
                    <w14:srgbClr w14:val="000000">
                      <w14:alpha w14:val="100000"/>
                    </w14:srgbClr>
                  </w14:solidFill>
                </w14:textFill>
              </w:rPr>
              <w:t xml:space="preserve">　</w:t>
            </w:r>
            <w:r w:rsidR="00186D0B">
              <w:rPr>
                <w:vertAlign w:val="superscript"/>
              </w:rPr>
              <w:t>7</w:t>
            </w:r>
          </w:p>
        </w:tc>
        <w:tc>
          <w:tcPr>
            <w:tcW w:w="598" w:type="pct"/>
            <w:shd w:val="clear" w:color="000000" w:fill="FFFFFF"/>
            <w:vAlign w:val="center"/>
          </w:tcPr>
          <w:p w14:paraId="65623505" w14:textId="7D5042E1" w:rsidR="00C63763" w:rsidRPr="004D3863" w:rsidRDefault="00B9195B" w:rsidP="00A65564">
            <w:pPr>
              <w:pStyle w:val="TableText"/>
              <w:jc w:val="center"/>
              <w:rPr>
                <w:highlight w:val="darkGray"/>
              </w:rPr>
            </w:pPr>
            <w:r w:rsidRPr="00B9195B">
              <w:rPr>
                <w:rFonts w:hint="eastAsia"/>
                <w:color w:val="000000"/>
                <w:w w:val="22"/>
                <w:shd w:val="solid" w:color="000000" w:fill="000000"/>
                <w:fitText w:val="100" w:id="-1436330486"/>
                <w14:textFill>
                  <w14:solidFill>
                    <w14:srgbClr w14:val="000000">
                      <w14:alpha w14:val="100000"/>
                    </w14:srgbClr>
                  </w14:solidFill>
                </w14:textFill>
              </w:rPr>
              <w:t xml:space="preserve">　</w:t>
            </w:r>
            <w:r w:rsidRPr="00B9195B">
              <w:rPr>
                <w:color w:val="000000"/>
                <w:w w:val="22"/>
                <w:shd w:val="solid" w:color="000000" w:fill="000000"/>
                <w:fitText w:val="100" w:id="-1436330486"/>
                <w14:textFill>
                  <w14:solidFill>
                    <w14:srgbClr w14:val="000000">
                      <w14:alpha w14:val="100000"/>
                    </w14:srgbClr>
                  </w14:solidFill>
                </w14:textFill>
              </w:rPr>
              <w:t>|</w:t>
            </w:r>
            <w:r w:rsidRPr="00B9195B">
              <w:rPr>
                <w:rFonts w:hint="eastAsia"/>
                <w:color w:val="000000"/>
                <w:spacing w:val="3"/>
                <w:w w:val="22"/>
                <w:shd w:val="solid" w:color="000000" w:fill="000000"/>
                <w:fitText w:val="100" w:id="-1436330486"/>
                <w14:textFill>
                  <w14:solidFill>
                    <w14:srgbClr w14:val="000000">
                      <w14:alpha w14:val="100000"/>
                    </w14:srgbClr>
                  </w14:solidFill>
                </w14:textFill>
              </w:rPr>
              <w:t xml:space="preserve">　</w:t>
            </w:r>
            <w:r w:rsidR="00186D0B">
              <w:rPr>
                <w:vertAlign w:val="superscript"/>
              </w:rPr>
              <w:t>13</w:t>
            </w:r>
          </w:p>
        </w:tc>
        <w:tc>
          <w:tcPr>
            <w:tcW w:w="598" w:type="pct"/>
            <w:shd w:val="clear" w:color="000000" w:fill="FFFFFF"/>
            <w:vAlign w:val="center"/>
          </w:tcPr>
          <w:p w14:paraId="0398FB7A" w14:textId="681D01BA" w:rsidR="00C63763" w:rsidRPr="004D3863" w:rsidRDefault="00B9195B" w:rsidP="00A65564">
            <w:pPr>
              <w:pStyle w:val="TableText"/>
              <w:jc w:val="center"/>
              <w:rPr>
                <w:highlight w:val="darkGray"/>
              </w:rPr>
            </w:pPr>
            <w:r w:rsidRPr="00B9195B">
              <w:rPr>
                <w:rFonts w:hint="eastAsia"/>
                <w:color w:val="000000"/>
                <w:w w:val="22"/>
                <w:shd w:val="solid" w:color="000000" w:fill="000000"/>
                <w:fitText w:val="100" w:id="-1436330485"/>
                <w14:textFill>
                  <w14:solidFill>
                    <w14:srgbClr w14:val="000000">
                      <w14:alpha w14:val="100000"/>
                    </w14:srgbClr>
                  </w14:solidFill>
                </w14:textFill>
              </w:rPr>
              <w:t xml:space="preserve">　</w:t>
            </w:r>
            <w:r w:rsidRPr="00B9195B">
              <w:rPr>
                <w:color w:val="000000"/>
                <w:w w:val="22"/>
                <w:shd w:val="solid" w:color="000000" w:fill="000000"/>
                <w:fitText w:val="100" w:id="-1436330485"/>
                <w14:textFill>
                  <w14:solidFill>
                    <w14:srgbClr w14:val="000000">
                      <w14:alpha w14:val="100000"/>
                    </w14:srgbClr>
                  </w14:solidFill>
                </w14:textFill>
              </w:rPr>
              <w:t>|</w:t>
            </w:r>
            <w:r w:rsidRPr="00B9195B">
              <w:rPr>
                <w:rFonts w:hint="eastAsia"/>
                <w:color w:val="000000"/>
                <w:spacing w:val="3"/>
                <w:w w:val="22"/>
                <w:shd w:val="solid" w:color="000000" w:fill="000000"/>
                <w:fitText w:val="100" w:id="-1436330485"/>
                <w14:textFill>
                  <w14:solidFill>
                    <w14:srgbClr w14:val="000000">
                      <w14:alpha w14:val="100000"/>
                    </w14:srgbClr>
                  </w14:solidFill>
                </w14:textFill>
              </w:rPr>
              <w:t xml:space="preserve">　</w:t>
            </w:r>
            <w:r w:rsidR="009C707A">
              <w:rPr>
                <w:vertAlign w:val="superscript"/>
              </w:rPr>
              <w:t>16</w:t>
            </w:r>
          </w:p>
        </w:tc>
        <w:tc>
          <w:tcPr>
            <w:tcW w:w="598" w:type="pct"/>
            <w:shd w:val="clear" w:color="000000" w:fill="FFFFFF"/>
            <w:vAlign w:val="center"/>
          </w:tcPr>
          <w:p w14:paraId="1EF43810" w14:textId="01D93089" w:rsidR="00C63763" w:rsidRPr="004D3863" w:rsidRDefault="00B9195B" w:rsidP="00A65564">
            <w:pPr>
              <w:pStyle w:val="TableText"/>
              <w:jc w:val="center"/>
              <w:rPr>
                <w:highlight w:val="darkGray"/>
              </w:rPr>
            </w:pPr>
            <w:r w:rsidRPr="00B9195B">
              <w:rPr>
                <w:rFonts w:hint="eastAsia"/>
                <w:color w:val="000000"/>
                <w:w w:val="22"/>
                <w:shd w:val="solid" w:color="000000" w:fill="000000"/>
                <w:fitText w:val="100" w:id="-1436330484"/>
                <w14:textFill>
                  <w14:solidFill>
                    <w14:srgbClr w14:val="000000">
                      <w14:alpha w14:val="100000"/>
                    </w14:srgbClr>
                  </w14:solidFill>
                </w14:textFill>
              </w:rPr>
              <w:t xml:space="preserve">　</w:t>
            </w:r>
            <w:r w:rsidRPr="00B9195B">
              <w:rPr>
                <w:color w:val="000000"/>
                <w:w w:val="22"/>
                <w:shd w:val="solid" w:color="000000" w:fill="000000"/>
                <w:fitText w:val="100" w:id="-1436330484"/>
                <w14:textFill>
                  <w14:solidFill>
                    <w14:srgbClr w14:val="000000">
                      <w14:alpha w14:val="100000"/>
                    </w14:srgbClr>
                  </w14:solidFill>
                </w14:textFill>
              </w:rPr>
              <w:t>|</w:t>
            </w:r>
            <w:r w:rsidRPr="00B9195B">
              <w:rPr>
                <w:rFonts w:hint="eastAsia"/>
                <w:color w:val="000000"/>
                <w:spacing w:val="3"/>
                <w:w w:val="22"/>
                <w:shd w:val="solid" w:color="000000" w:fill="000000"/>
                <w:fitText w:val="100" w:id="-1436330484"/>
                <w14:textFill>
                  <w14:solidFill>
                    <w14:srgbClr w14:val="000000">
                      <w14:alpha w14:val="100000"/>
                    </w14:srgbClr>
                  </w14:solidFill>
                </w14:textFill>
              </w:rPr>
              <w:t xml:space="preserve">　</w:t>
            </w:r>
            <w:r w:rsidR="009C707A">
              <w:rPr>
                <w:vertAlign w:val="superscript"/>
              </w:rPr>
              <w:t>16</w:t>
            </w:r>
          </w:p>
        </w:tc>
        <w:tc>
          <w:tcPr>
            <w:tcW w:w="598" w:type="pct"/>
            <w:shd w:val="clear" w:color="000000" w:fill="FFFFFF"/>
            <w:vAlign w:val="center"/>
          </w:tcPr>
          <w:p w14:paraId="1A176EE5" w14:textId="63C40C4E" w:rsidR="00C63763" w:rsidRPr="004D3863" w:rsidRDefault="00B9195B" w:rsidP="00A65564">
            <w:pPr>
              <w:pStyle w:val="TableText"/>
              <w:jc w:val="center"/>
              <w:rPr>
                <w:highlight w:val="darkGray"/>
              </w:rPr>
            </w:pPr>
            <w:r w:rsidRPr="00B9195B">
              <w:rPr>
                <w:rFonts w:hint="eastAsia"/>
                <w:color w:val="000000"/>
                <w:w w:val="22"/>
                <w:shd w:val="solid" w:color="000000" w:fill="000000"/>
                <w:fitText w:val="100" w:id="-1436330483"/>
                <w14:textFill>
                  <w14:solidFill>
                    <w14:srgbClr w14:val="000000">
                      <w14:alpha w14:val="100000"/>
                    </w14:srgbClr>
                  </w14:solidFill>
                </w14:textFill>
              </w:rPr>
              <w:t xml:space="preserve">　</w:t>
            </w:r>
            <w:r w:rsidRPr="00B9195B">
              <w:rPr>
                <w:color w:val="000000"/>
                <w:w w:val="22"/>
                <w:shd w:val="solid" w:color="000000" w:fill="000000"/>
                <w:fitText w:val="100" w:id="-1436330483"/>
                <w14:textFill>
                  <w14:solidFill>
                    <w14:srgbClr w14:val="000000">
                      <w14:alpha w14:val="100000"/>
                    </w14:srgbClr>
                  </w14:solidFill>
                </w14:textFill>
              </w:rPr>
              <w:t>|</w:t>
            </w:r>
            <w:r w:rsidRPr="00B9195B">
              <w:rPr>
                <w:rFonts w:hint="eastAsia"/>
                <w:color w:val="000000"/>
                <w:spacing w:val="3"/>
                <w:w w:val="22"/>
                <w:shd w:val="solid" w:color="000000" w:fill="000000"/>
                <w:fitText w:val="100" w:id="-1436330483"/>
                <w14:textFill>
                  <w14:solidFill>
                    <w14:srgbClr w14:val="000000">
                      <w14:alpha w14:val="100000"/>
                    </w14:srgbClr>
                  </w14:solidFill>
                </w14:textFill>
              </w:rPr>
              <w:t xml:space="preserve">　</w:t>
            </w:r>
            <w:r w:rsidR="009C707A">
              <w:rPr>
                <w:vertAlign w:val="superscript"/>
              </w:rPr>
              <w:t>17</w:t>
            </w:r>
          </w:p>
        </w:tc>
      </w:tr>
      <w:tr w:rsidR="00AC630E" w:rsidRPr="000A6039" w14:paraId="6BC7B5D9" w14:textId="77777777" w:rsidTr="00936DDC">
        <w:tc>
          <w:tcPr>
            <w:tcW w:w="1412" w:type="pct"/>
            <w:shd w:val="clear" w:color="auto" w:fill="auto"/>
            <w:vAlign w:val="center"/>
          </w:tcPr>
          <w:p w14:paraId="76C3FA47" w14:textId="77777777" w:rsidR="00C63763" w:rsidRPr="000A6039" w:rsidRDefault="00C63763" w:rsidP="00A65564">
            <w:pPr>
              <w:pStyle w:val="TableText"/>
            </w:pPr>
            <w:r>
              <w:t>Total cost to PBS/RPBS</w:t>
            </w:r>
          </w:p>
        </w:tc>
        <w:tc>
          <w:tcPr>
            <w:tcW w:w="598" w:type="pct"/>
            <w:shd w:val="clear" w:color="000000" w:fill="FFFFFF"/>
            <w:vAlign w:val="center"/>
          </w:tcPr>
          <w:p w14:paraId="57657FE2" w14:textId="00EC6B9C" w:rsidR="00C63763" w:rsidRPr="00C306B5" w:rsidRDefault="00C63763" w:rsidP="00A65564">
            <w:pPr>
              <w:pStyle w:val="TableText"/>
              <w:jc w:val="center"/>
            </w:pPr>
            <w:r>
              <w:t>$</w:t>
            </w:r>
            <w:r w:rsidR="00B9195B" w:rsidRPr="00B9195B">
              <w:rPr>
                <w:rFonts w:hint="eastAsia"/>
                <w:color w:val="000000"/>
                <w:w w:val="32"/>
                <w:shd w:val="solid" w:color="000000" w:fill="000000"/>
                <w:fitText w:val="146" w:id="-1436330482"/>
                <w14:textFill>
                  <w14:solidFill>
                    <w14:srgbClr w14:val="000000">
                      <w14:alpha w14:val="100000"/>
                    </w14:srgbClr>
                  </w14:solidFill>
                </w14:textFill>
              </w:rPr>
              <w:t xml:space="preserve">　</w:t>
            </w:r>
            <w:r w:rsidR="00B9195B" w:rsidRPr="00B9195B">
              <w:rPr>
                <w:color w:val="000000"/>
                <w:w w:val="32"/>
                <w:shd w:val="solid" w:color="000000" w:fill="000000"/>
                <w:fitText w:val="146" w:id="-1436330482"/>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482"/>
                <w14:textFill>
                  <w14:solidFill>
                    <w14:srgbClr w14:val="000000">
                      <w14:alpha w14:val="100000"/>
                    </w14:srgbClr>
                  </w14:solidFill>
                </w14:textFill>
              </w:rPr>
              <w:t xml:space="preserve">　</w:t>
            </w:r>
            <w:r w:rsidR="00186D0B">
              <w:rPr>
                <w:vertAlign w:val="superscript"/>
              </w:rPr>
              <w:t>10</w:t>
            </w:r>
          </w:p>
        </w:tc>
        <w:tc>
          <w:tcPr>
            <w:tcW w:w="598" w:type="pct"/>
            <w:shd w:val="clear" w:color="000000" w:fill="FFFFFF"/>
            <w:vAlign w:val="center"/>
          </w:tcPr>
          <w:p w14:paraId="6BE7F84F" w14:textId="74BFAAB6" w:rsidR="00C63763" w:rsidRPr="00C306B5" w:rsidRDefault="00C63763" w:rsidP="00A65564">
            <w:pPr>
              <w:pStyle w:val="TableText"/>
              <w:jc w:val="center"/>
            </w:pPr>
            <w:r>
              <w:t>$</w:t>
            </w:r>
            <w:r w:rsidR="00B9195B" w:rsidRPr="00B9195B">
              <w:rPr>
                <w:rFonts w:hint="eastAsia"/>
                <w:color w:val="000000"/>
                <w:w w:val="32"/>
                <w:shd w:val="solid" w:color="000000" w:fill="000000"/>
                <w:fitText w:val="146" w:id="-1436330481"/>
                <w14:textFill>
                  <w14:solidFill>
                    <w14:srgbClr w14:val="000000">
                      <w14:alpha w14:val="100000"/>
                    </w14:srgbClr>
                  </w14:solidFill>
                </w14:textFill>
              </w:rPr>
              <w:t xml:space="preserve">　</w:t>
            </w:r>
            <w:r w:rsidR="00B9195B" w:rsidRPr="00B9195B">
              <w:rPr>
                <w:color w:val="000000"/>
                <w:w w:val="32"/>
                <w:shd w:val="solid" w:color="000000" w:fill="000000"/>
                <w:fitText w:val="146" w:id="-1436330481"/>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481"/>
                <w14:textFill>
                  <w14:solidFill>
                    <w14:srgbClr w14:val="000000">
                      <w14:alpha w14:val="100000"/>
                    </w14:srgbClr>
                  </w14:solidFill>
                </w14:textFill>
              </w:rPr>
              <w:t xml:space="preserve">　</w:t>
            </w:r>
            <w:r w:rsidR="00186D0B">
              <w:rPr>
                <w:vertAlign w:val="superscript"/>
              </w:rPr>
              <w:t>12</w:t>
            </w:r>
          </w:p>
        </w:tc>
        <w:tc>
          <w:tcPr>
            <w:tcW w:w="598" w:type="pct"/>
            <w:shd w:val="clear" w:color="000000" w:fill="FFFFFF"/>
            <w:vAlign w:val="center"/>
          </w:tcPr>
          <w:p w14:paraId="3D2DEE87" w14:textId="7567FBAF" w:rsidR="00C63763" w:rsidRPr="00C306B5" w:rsidRDefault="00C63763" w:rsidP="00A65564">
            <w:pPr>
              <w:pStyle w:val="TableText"/>
              <w:jc w:val="center"/>
            </w:pPr>
            <w:r>
              <w:t>$</w:t>
            </w:r>
            <w:r w:rsidR="00B9195B" w:rsidRPr="00B9195B">
              <w:rPr>
                <w:rFonts w:hint="eastAsia"/>
                <w:color w:val="000000"/>
                <w:w w:val="32"/>
                <w:shd w:val="solid" w:color="000000" w:fill="000000"/>
                <w:fitText w:val="146" w:id="-1436330480"/>
                <w14:textFill>
                  <w14:solidFill>
                    <w14:srgbClr w14:val="000000">
                      <w14:alpha w14:val="100000"/>
                    </w14:srgbClr>
                  </w14:solidFill>
                </w14:textFill>
              </w:rPr>
              <w:t xml:space="preserve">　</w:t>
            </w:r>
            <w:r w:rsidR="00B9195B" w:rsidRPr="00B9195B">
              <w:rPr>
                <w:color w:val="000000"/>
                <w:w w:val="32"/>
                <w:shd w:val="solid" w:color="000000" w:fill="000000"/>
                <w:fitText w:val="146" w:id="-1436330480"/>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480"/>
                <w14:textFill>
                  <w14:solidFill>
                    <w14:srgbClr w14:val="000000">
                      <w14:alpha w14:val="100000"/>
                    </w14:srgbClr>
                  </w14:solidFill>
                </w14:textFill>
              </w:rPr>
              <w:t xml:space="preserve">　</w:t>
            </w:r>
            <w:r w:rsidR="00186D0B">
              <w:rPr>
                <w:vertAlign w:val="superscript"/>
              </w:rPr>
              <w:t>14</w:t>
            </w:r>
          </w:p>
        </w:tc>
        <w:tc>
          <w:tcPr>
            <w:tcW w:w="598" w:type="pct"/>
            <w:shd w:val="clear" w:color="000000" w:fill="FFFFFF"/>
            <w:vAlign w:val="center"/>
          </w:tcPr>
          <w:p w14:paraId="26248663" w14:textId="5DC4B5BF" w:rsidR="00C63763" w:rsidRPr="00C306B5" w:rsidRDefault="00C63763" w:rsidP="00A65564">
            <w:pPr>
              <w:pStyle w:val="TableText"/>
              <w:jc w:val="center"/>
            </w:pPr>
            <w:r>
              <w:t>$</w:t>
            </w:r>
            <w:r w:rsidR="00B9195B" w:rsidRPr="00B9195B">
              <w:rPr>
                <w:rFonts w:hint="eastAsia"/>
                <w:color w:val="000000"/>
                <w:w w:val="32"/>
                <w:shd w:val="solid" w:color="000000" w:fill="000000"/>
                <w:fitText w:val="146" w:id="-1436330496"/>
                <w14:textFill>
                  <w14:solidFill>
                    <w14:srgbClr w14:val="000000">
                      <w14:alpha w14:val="100000"/>
                    </w14:srgbClr>
                  </w14:solidFill>
                </w14:textFill>
              </w:rPr>
              <w:t xml:space="preserve">　</w:t>
            </w:r>
            <w:r w:rsidR="00B9195B" w:rsidRPr="00B9195B">
              <w:rPr>
                <w:color w:val="000000"/>
                <w:w w:val="32"/>
                <w:shd w:val="solid" w:color="000000" w:fill="000000"/>
                <w:fitText w:val="146" w:id="-1436330496"/>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496"/>
                <w14:textFill>
                  <w14:solidFill>
                    <w14:srgbClr w14:val="000000">
                      <w14:alpha w14:val="100000"/>
                    </w14:srgbClr>
                  </w14:solidFill>
                </w14:textFill>
              </w:rPr>
              <w:t xml:space="preserve">　</w:t>
            </w:r>
            <w:r w:rsidR="00186D0B">
              <w:rPr>
                <w:vertAlign w:val="superscript"/>
              </w:rPr>
              <w:t>15</w:t>
            </w:r>
          </w:p>
        </w:tc>
        <w:tc>
          <w:tcPr>
            <w:tcW w:w="598" w:type="pct"/>
            <w:shd w:val="clear" w:color="auto" w:fill="auto"/>
            <w:vAlign w:val="center"/>
          </w:tcPr>
          <w:p w14:paraId="62445988" w14:textId="6533D553" w:rsidR="00C63763" w:rsidRPr="00C306B5" w:rsidRDefault="00C63763" w:rsidP="00A65564">
            <w:pPr>
              <w:pStyle w:val="TableText"/>
              <w:jc w:val="center"/>
            </w:pPr>
            <w:r>
              <w:t>$</w:t>
            </w:r>
            <w:r w:rsidR="00B9195B" w:rsidRPr="00B9195B">
              <w:rPr>
                <w:rFonts w:hint="eastAsia"/>
                <w:color w:val="000000"/>
                <w:w w:val="32"/>
                <w:shd w:val="solid" w:color="000000" w:fill="000000"/>
                <w:fitText w:val="146" w:id="-1436330495"/>
                <w14:textFill>
                  <w14:solidFill>
                    <w14:srgbClr w14:val="000000">
                      <w14:alpha w14:val="100000"/>
                    </w14:srgbClr>
                  </w14:solidFill>
                </w14:textFill>
              </w:rPr>
              <w:t xml:space="preserve">　</w:t>
            </w:r>
            <w:r w:rsidR="00B9195B" w:rsidRPr="00B9195B">
              <w:rPr>
                <w:color w:val="000000"/>
                <w:w w:val="32"/>
                <w:shd w:val="solid" w:color="000000" w:fill="000000"/>
                <w:fitText w:val="146" w:id="-1436330495"/>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495"/>
                <w14:textFill>
                  <w14:solidFill>
                    <w14:srgbClr w14:val="000000">
                      <w14:alpha w14:val="100000"/>
                    </w14:srgbClr>
                  </w14:solidFill>
                </w14:textFill>
              </w:rPr>
              <w:t xml:space="preserve">　</w:t>
            </w:r>
            <w:r w:rsidR="00186D0B">
              <w:rPr>
                <w:vertAlign w:val="superscript"/>
              </w:rPr>
              <w:t>15</w:t>
            </w:r>
          </w:p>
        </w:tc>
        <w:tc>
          <w:tcPr>
            <w:tcW w:w="598" w:type="pct"/>
            <w:shd w:val="clear" w:color="auto" w:fill="auto"/>
            <w:vAlign w:val="center"/>
          </w:tcPr>
          <w:p w14:paraId="732BA0E0" w14:textId="04C6A32C" w:rsidR="00C63763" w:rsidRPr="009D4039" w:rsidRDefault="00C63763" w:rsidP="00A65564">
            <w:pPr>
              <w:pStyle w:val="TableText"/>
              <w:jc w:val="center"/>
            </w:pPr>
            <w:r>
              <w:t>$</w:t>
            </w:r>
            <w:r w:rsidR="00B9195B" w:rsidRPr="00B9195B">
              <w:rPr>
                <w:rFonts w:hint="eastAsia"/>
                <w:color w:val="000000"/>
                <w:w w:val="32"/>
                <w:shd w:val="solid" w:color="000000" w:fill="000000"/>
                <w:fitText w:val="146" w:id="-1436330494"/>
                <w14:textFill>
                  <w14:solidFill>
                    <w14:srgbClr w14:val="000000">
                      <w14:alpha w14:val="100000"/>
                    </w14:srgbClr>
                  </w14:solidFill>
                </w14:textFill>
              </w:rPr>
              <w:t xml:space="preserve">　</w:t>
            </w:r>
            <w:r w:rsidR="00B9195B" w:rsidRPr="00B9195B">
              <w:rPr>
                <w:color w:val="000000"/>
                <w:w w:val="32"/>
                <w:shd w:val="solid" w:color="000000" w:fill="000000"/>
                <w:fitText w:val="146" w:id="-1436330494"/>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494"/>
                <w14:textFill>
                  <w14:solidFill>
                    <w14:srgbClr w14:val="000000">
                      <w14:alpha w14:val="100000"/>
                    </w14:srgbClr>
                  </w14:solidFill>
                </w14:textFill>
              </w:rPr>
              <w:t xml:space="preserve">　</w:t>
            </w:r>
            <w:r w:rsidR="00186D0B">
              <w:rPr>
                <w:vertAlign w:val="superscript"/>
              </w:rPr>
              <w:t>15</w:t>
            </w:r>
          </w:p>
        </w:tc>
      </w:tr>
      <w:tr w:rsidR="00AC630E" w:rsidRPr="000A6039" w14:paraId="36C7EE1C" w14:textId="77777777" w:rsidTr="00936DDC">
        <w:tc>
          <w:tcPr>
            <w:tcW w:w="1412" w:type="pct"/>
            <w:shd w:val="clear" w:color="auto" w:fill="auto"/>
            <w:vAlign w:val="center"/>
          </w:tcPr>
          <w:p w14:paraId="732BF273" w14:textId="77777777" w:rsidR="00C63763" w:rsidRPr="000A6039" w:rsidRDefault="00C63763" w:rsidP="00A65564">
            <w:pPr>
              <w:pStyle w:val="TableText"/>
            </w:pPr>
            <w:r>
              <w:t xml:space="preserve">Patient </w:t>
            </w:r>
            <w:proofErr w:type="spellStart"/>
            <w:r>
              <w:t>copayments</w:t>
            </w:r>
            <w:proofErr w:type="spellEnd"/>
          </w:p>
        </w:tc>
        <w:tc>
          <w:tcPr>
            <w:tcW w:w="598" w:type="pct"/>
            <w:shd w:val="clear" w:color="000000" w:fill="FFFFFF"/>
            <w:vAlign w:val="center"/>
          </w:tcPr>
          <w:p w14:paraId="78010888" w14:textId="4A3469B6" w:rsidR="00C63763" w:rsidRPr="00A54315" w:rsidRDefault="00C63763" w:rsidP="00A65564">
            <w:pPr>
              <w:pStyle w:val="TableText"/>
              <w:jc w:val="center"/>
            </w:pPr>
            <w:r w:rsidRPr="00A54315">
              <w:t>-$</w:t>
            </w:r>
            <w:r w:rsidR="00B9195B" w:rsidRPr="00B9195B">
              <w:rPr>
                <w:color w:val="000000"/>
                <w:spacing w:val="83"/>
                <w:shd w:val="solid" w:color="000000" w:fill="000000"/>
                <w:fitText w:val="169" w:id="-1436330493"/>
                <w14:textFill>
                  <w14:solidFill>
                    <w14:srgbClr w14:val="000000">
                      <w14:alpha w14:val="100000"/>
                    </w14:srgbClr>
                  </w14:solidFill>
                </w14:textFill>
              </w:rPr>
              <w:t>|</w:t>
            </w:r>
            <w:r w:rsidR="00B9195B" w:rsidRPr="00B9195B">
              <w:rPr>
                <w:color w:val="000000"/>
                <w:spacing w:val="1"/>
                <w:shd w:val="solid" w:color="000000" w:fill="000000"/>
                <w:fitText w:val="169" w:id="-1436330493"/>
                <w14:textFill>
                  <w14:solidFill>
                    <w14:srgbClr w14:val="000000">
                      <w14:alpha w14:val="100000"/>
                    </w14:srgbClr>
                  </w14:solidFill>
                </w14:textFill>
              </w:rPr>
              <w:t>|</w:t>
            </w:r>
            <w:r w:rsidR="00186D0B">
              <w:rPr>
                <w:vertAlign w:val="superscript"/>
              </w:rPr>
              <w:t>11</w:t>
            </w:r>
          </w:p>
        </w:tc>
        <w:tc>
          <w:tcPr>
            <w:tcW w:w="598" w:type="pct"/>
            <w:shd w:val="clear" w:color="000000" w:fill="FFFFFF"/>
            <w:vAlign w:val="center"/>
          </w:tcPr>
          <w:p w14:paraId="5AB132D4" w14:textId="300120EC" w:rsidR="00C63763" w:rsidRPr="00A54315" w:rsidRDefault="00C63763" w:rsidP="00A65564">
            <w:pPr>
              <w:pStyle w:val="TableText"/>
              <w:jc w:val="center"/>
            </w:pPr>
            <w:r w:rsidRPr="00A54315">
              <w:t>-$</w:t>
            </w:r>
            <w:r w:rsidR="00B9195B" w:rsidRPr="00B9195B">
              <w:rPr>
                <w:color w:val="000000"/>
                <w:spacing w:val="83"/>
                <w:shd w:val="solid" w:color="000000" w:fill="000000"/>
                <w:fitText w:val="169" w:id="-1436330492"/>
                <w14:textFill>
                  <w14:solidFill>
                    <w14:srgbClr w14:val="000000">
                      <w14:alpha w14:val="100000"/>
                    </w14:srgbClr>
                  </w14:solidFill>
                </w14:textFill>
              </w:rPr>
              <w:t>|</w:t>
            </w:r>
            <w:r w:rsidR="00B9195B" w:rsidRPr="00B9195B">
              <w:rPr>
                <w:color w:val="000000"/>
                <w:spacing w:val="1"/>
                <w:shd w:val="solid" w:color="000000" w:fill="000000"/>
                <w:fitText w:val="169" w:id="-1436330492"/>
                <w14:textFill>
                  <w14:solidFill>
                    <w14:srgbClr w14:val="000000">
                      <w14:alpha w14:val="100000"/>
                    </w14:srgbClr>
                  </w14:solidFill>
                </w14:textFill>
              </w:rPr>
              <w:t>|</w:t>
            </w:r>
            <w:r w:rsidR="00186D0B">
              <w:rPr>
                <w:vertAlign w:val="superscript"/>
              </w:rPr>
              <w:t>11</w:t>
            </w:r>
          </w:p>
        </w:tc>
        <w:tc>
          <w:tcPr>
            <w:tcW w:w="598" w:type="pct"/>
            <w:shd w:val="clear" w:color="000000" w:fill="FFFFFF"/>
            <w:vAlign w:val="center"/>
          </w:tcPr>
          <w:p w14:paraId="5AF7DEBB" w14:textId="4F6FF116" w:rsidR="00C63763" w:rsidRPr="00A54315" w:rsidRDefault="00C63763" w:rsidP="00A65564">
            <w:pPr>
              <w:pStyle w:val="TableText"/>
              <w:jc w:val="center"/>
            </w:pPr>
            <w:r w:rsidRPr="00A54315">
              <w:t>-$</w:t>
            </w:r>
            <w:r w:rsidR="00B9195B" w:rsidRPr="00B9195B">
              <w:rPr>
                <w:color w:val="000000"/>
                <w:spacing w:val="83"/>
                <w:shd w:val="solid" w:color="000000" w:fill="000000"/>
                <w:fitText w:val="169" w:id="-1436330491"/>
                <w14:textFill>
                  <w14:solidFill>
                    <w14:srgbClr w14:val="000000">
                      <w14:alpha w14:val="100000"/>
                    </w14:srgbClr>
                  </w14:solidFill>
                </w14:textFill>
              </w:rPr>
              <w:t>|</w:t>
            </w:r>
            <w:r w:rsidR="00B9195B" w:rsidRPr="00B9195B">
              <w:rPr>
                <w:color w:val="000000"/>
                <w:spacing w:val="1"/>
                <w:shd w:val="solid" w:color="000000" w:fill="000000"/>
                <w:fitText w:val="169" w:id="-1436330491"/>
                <w14:textFill>
                  <w14:solidFill>
                    <w14:srgbClr w14:val="000000">
                      <w14:alpha w14:val="100000"/>
                    </w14:srgbClr>
                  </w14:solidFill>
                </w14:textFill>
              </w:rPr>
              <w:t>|</w:t>
            </w:r>
            <w:r w:rsidR="00186D0B">
              <w:rPr>
                <w:vertAlign w:val="superscript"/>
              </w:rPr>
              <w:t>11</w:t>
            </w:r>
          </w:p>
        </w:tc>
        <w:tc>
          <w:tcPr>
            <w:tcW w:w="598" w:type="pct"/>
            <w:shd w:val="clear" w:color="000000" w:fill="FFFFFF"/>
            <w:vAlign w:val="center"/>
          </w:tcPr>
          <w:p w14:paraId="7228A577" w14:textId="481A768D" w:rsidR="00C63763" w:rsidRPr="00A54315" w:rsidRDefault="00C63763" w:rsidP="00A65564">
            <w:pPr>
              <w:pStyle w:val="TableText"/>
              <w:jc w:val="center"/>
            </w:pPr>
            <w:r w:rsidRPr="00A54315">
              <w:t>-$</w:t>
            </w:r>
            <w:r w:rsidR="00B9195B" w:rsidRPr="00B9195B">
              <w:rPr>
                <w:color w:val="000000"/>
                <w:spacing w:val="83"/>
                <w:shd w:val="solid" w:color="000000" w:fill="000000"/>
                <w:fitText w:val="169" w:id="-1436330490"/>
                <w14:textFill>
                  <w14:solidFill>
                    <w14:srgbClr w14:val="000000">
                      <w14:alpha w14:val="100000"/>
                    </w14:srgbClr>
                  </w14:solidFill>
                </w14:textFill>
              </w:rPr>
              <w:t>|</w:t>
            </w:r>
            <w:r w:rsidR="00B9195B" w:rsidRPr="00B9195B">
              <w:rPr>
                <w:color w:val="000000"/>
                <w:spacing w:val="1"/>
                <w:shd w:val="solid" w:color="000000" w:fill="000000"/>
                <w:fitText w:val="169" w:id="-1436330490"/>
                <w14:textFill>
                  <w14:solidFill>
                    <w14:srgbClr w14:val="000000">
                      <w14:alpha w14:val="100000"/>
                    </w14:srgbClr>
                  </w14:solidFill>
                </w14:textFill>
              </w:rPr>
              <w:t>|</w:t>
            </w:r>
            <w:r w:rsidR="00186D0B">
              <w:rPr>
                <w:vertAlign w:val="superscript"/>
              </w:rPr>
              <w:t>11</w:t>
            </w:r>
          </w:p>
        </w:tc>
        <w:tc>
          <w:tcPr>
            <w:tcW w:w="598" w:type="pct"/>
            <w:shd w:val="clear" w:color="000000" w:fill="FFFFFF"/>
            <w:vAlign w:val="center"/>
          </w:tcPr>
          <w:p w14:paraId="1C60B7E6" w14:textId="0AC32617" w:rsidR="00C63763" w:rsidRPr="00A54315" w:rsidRDefault="00C63763" w:rsidP="00A65564">
            <w:pPr>
              <w:pStyle w:val="TableText"/>
              <w:jc w:val="center"/>
            </w:pPr>
            <w:r w:rsidRPr="00A54315">
              <w:t>-$</w:t>
            </w:r>
            <w:r w:rsidR="00B9195B" w:rsidRPr="00B9195B">
              <w:rPr>
                <w:color w:val="000000"/>
                <w:spacing w:val="83"/>
                <w:shd w:val="solid" w:color="000000" w:fill="000000"/>
                <w:fitText w:val="169" w:id="-1436330489"/>
                <w14:textFill>
                  <w14:solidFill>
                    <w14:srgbClr w14:val="000000">
                      <w14:alpha w14:val="100000"/>
                    </w14:srgbClr>
                  </w14:solidFill>
                </w14:textFill>
              </w:rPr>
              <w:t>|</w:t>
            </w:r>
            <w:r w:rsidR="00B9195B" w:rsidRPr="00B9195B">
              <w:rPr>
                <w:color w:val="000000"/>
                <w:spacing w:val="1"/>
                <w:shd w:val="solid" w:color="000000" w:fill="000000"/>
                <w:fitText w:val="169" w:id="-1436330489"/>
                <w14:textFill>
                  <w14:solidFill>
                    <w14:srgbClr w14:val="000000">
                      <w14:alpha w14:val="100000"/>
                    </w14:srgbClr>
                  </w14:solidFill>
                </w14:textFill>
              </w:rPr>
              <w:t>|</w:t>
            </w:r>
            <w:r w:rsidR="00186D0B">
              <w:rPr>
                <w:vertAlign w:val="superscript"/>
              </w:rPr>
              <w:t>11</w:t>
            </w:r>
          </w:p>
        </w:tc>
        <w:tc>
          <w:tcPr>
            <w:tcW w:w="598" w:type="pct"/>
            <w:shd w:val="clear" w:color="000000" w:fill="FFFFFF"/>
            <w:vAlign w:val="center"/>
          </w:tcPr>
          <w:p w14:paraId="457BBB29" w14:textId="361EAA9C" w:rsidR="00C63763" w:rsidRPr="00A54315" w:rsidRDefault="00C63763" w:rsidP="00A65564">
            <w:pPr>
              <w:pStyle w:val="TableText"/>
              <w:jc w:val="center"/>
            </w:pPr>
            <w:r w:rsidRPr="00A54315">
              <w:t>-$</w:t>
            </w:r>
            <w:r w:rsidR="00B9195B" w:rsidRPr="00B9195B">
              <w:rPr>
                <w:color w:val="000000"/>
                <w:spacing w:val="83"/>
                <w:shd w:val="solid" w:color="000000" w:fill="000000"/>
                <w:fitText w:val="169" w:id="-1436330488"/>
                <w14:textFill>
                  <w14:solidFill>
                    <w14:srgbClr w14:val="000000">
                      <w14:alpha w14:val="100000"/>
                    </w14:srgbClr>
                  </w14:solidFill>
                </w14:textFill>
              </w:rPr>
              <w:t>|</w:t>
            </w:r>
            <w:r w:rsidR="00B9195B" w:rsidRPr="00B9195B">
              <w:rPr>
                <w:color w:val="000000"/>
                <w:spacing w:val="1"/>
                <w:shd w:val="solid" w:color="000000" w:fill="000000"/>
                <w:fitText w:val="169" w:id="-1436330488"/>
                <w14:textFill>
                  <w14:solidFill>
                    <w14:srgbClr w14:val="000000">
                      <w14:alpha w14:val="100000"/>
                    </w14:srgbClr>
                  </w14:solidFill>
                </w14:textFill>
              </w:rPr>
              <w:t>|</w:t>
            </w:r>
            <w:r w:rsidR="00186D0B">
              <w:rPr>
                <w:vertAlign w:val="superscript"/>
              </w:rPr>
              <w:t>11</w:t>
            </w:r>
          </w:p>
        </w:tc>
      </w:tr>
      <w:tr w:rsidR="00C63763" w:rsidRPr="000A6039" w14:paraId="768A64A5" w14:textId="77777777" w:rsidTr="00936DDC">
        <w:tc>
          <w:tcPr>
            <w:tcW w:w="1412" w:type="pct"/>
            <w:shd w:val="clear" w:color="auto" w:fill="auto"/>
            <w:vAlign w:val="center"/>
          </w:tcPr>
          <w:p w14:paraId="2F067653" w14:textId="59FDF0B6" w:rsidR="00C63763" w:rsidRPr="008C5659" w:rsidRDefault="00C63763" w:rsidP="00A65564">
            <w:pPr>
              <w:pStyle w:val="TableText"/>
              <w:rPr>
                <w:b/>
                <w:bCs w:val="0"/>
              </w:rPr>
            </w:pPr>
            <w:r w:rsidRPr="008C5659">
              <w:rPr>
                <w:b/>
                <w:bCs w:val="0"/>
              </w:rPr>
              <w:t>Net cost to PBS/RPBS</w:t>
            </w:r>
          </w:p>
        </w:tc>
        <w:tc>
          <w:tcPr>
            <w:tcW w:w="598" w:type="pct"/>
            <w:shd w:val="clear" w:color="auto" w:fill="auto"/>
            <w:vAlign w:val="center"/>
          </w:tcPr>
          <w:p w14:paraId="25F612F0" w14:textId="607A9113" w:rsidR="00C63763" w:rsidRPr="00C306B5" w:rsidRDefault="00C63763" w:rsidP="00A65564">
            <w:pPr>
              <w:pStyle w:val="TableText"/>
              <w:jc w:val="center"/>
            </w:pPr>
            <w:r>
              <w:rPr>
                <w:b/>
              </w:rPr>
              <w:t>$</w:t>
            </w:r>
            <w:r w:rsidR="00B9195B" w:rsidRPr="00B9195B">
              <w:rPr>
                <w:b/>
                <w:color w:val="000000"/>
                <w:spacing w:val="93"/>
                <w:shd w:val="solid" w:color="000000" w:fill="000000"/>
                <w:fitText w:val="185" w:id="-1436330487"/>
                <w14:textFill>
                  <w14:solidFill>
                    <w14:srgbClr w14:val="000000">
                      <w14:alpha w14:val="100000"/>
                    </w14:srgbClr>
                  </w14:solidFill>
                </w14:textFill>
              </w:rPr>
              <w:t>|</w:t>
            </w:r>
            <w:r w:rsidR="00B9195B" w:rsidRPr="00B9195B">
              <w:rPr>
                <w:b/>
                <w:color w:val="000000"/>
                <w:spacing w:val="1"/>
                <w:shd w:val="solid" w:color="000000" w:fill="000000"/>
                <w:fitText w:val="185" w:id="-1436330487"/>
                <w14:textFill>
                  <w14:solidFill>
                    <w14:srgbClr w14:val="000000">
                      <w14:alpha w14:val="100000"/>
                    </w14:srgbClr>
                  </w14:solidFill>
                </w14:textFill>
              </w:rPr>
              <w:t>|</w:t>
            </w:r>
            <w:r w:rsidR="00186D0B">
              <w:rPr>
                <w:vertAlign w:val="superscript"/>
              </w:rPr>
              <w:t>10</w:t>
            </w:r>
          </w:p>
        </w:tc>
        <w:tc>
          <w:tcPr>
            <w:tcW w:w="598" w:type="pct"/>
            <w:shd w:val="clear" w:color="auto" w:fill="auto"/>
            <w:vAlign w:val="center"/>
          </w:tcPr>
          <w:p w14:paraId="6C415149" w14:textId="28C913D0" w:rsidR="00C63763" w:rsidRPr="00C306B5" w:rsidRDefault="00C63763" w:rsidP="00A65564">
            <w:pPr>
              <w:pStyle w:val="TableText"/>
              <w:jc w:val="center"/>
            </w:pPr>
            <w:r>
              <w:rPr>
                <w:b/>
              </w:rPr>
              <w:t>$</w:t>
            </w:r>
            <w:r w:rsidR="00B9195B" w:rsidRPr="00B9195B">
              <w:rPr>
                <w:b/>
                <w:color w:val="000000"/>
                <w:spacing w:val="93"/>
                <w:shd w:val="solid" w:color="000000" w:fill="000000"/>
                <w:fitText w:val="185" w:id="-1436330486"/>
                <w14:textFill>
                  <w14:solidFill>
                    <w14:srgbClr w14:val="000000">
                      <w14:alpha w14:val="100000"/>
                    </w14:srgbClr>
                  </w14:solidFill>
                </w14:textFill>
              </w:rPr>
              <w:t>|</w:t>
            </w:r>
            <w:r w:rsidR="00B9195B" w:rsidRPr="00B9195B">
              <w:rPr>
                <w:b/>
                <w:color w:val="000000"/>
                <w:spacing w:val="1"/>
                <w:shd w:val="solid" w:color="000000" w:fill="000000"/>
                <w:fitText w:val="185" w:id="-1436330486"/>
                <w14:textFill>
                  <w14:solidFill>
                    <w14:srgbClr w14:val="000000">
                      <w14:alpha w14:val="100000"/>
                    </w14:srgbClr>
                  </w14:solidFill>
                </w14:textFill>
              </w:rPr>
              <w:t>|</w:t>
            </w:r>
            <w:r w:rsidR="00186D0B">
              <w:rPr>
                <w:vertAlign w:val="superscript"/>
              </w:rPr>
              <w:t>12</w:t>
            </w:r>
          </w:p>
        </w:tc>
        <w:tc>
          <w:tcPr>
            <w:tcW w:w="598" w:type="pct"/>
            <w:shd w:val="clear" w:color="auto" w:fill="auto"/>
            <w:vAlign w:val="center"/>
          </w:tcPr>
          <w:p w14:paraId="20D83E08" w14:textId="60AD8661" w:rsidR="00C63763" w:rsidRPr="00C306B5" w:rsidRDefault="00C63763" w:rsidP="00A65564">
            <w:pPr>
              <w:pStyle w:val="TableText"/>
              <w:jc w:val="center"/>
            </w:pPr>
            <w:r>
              <w:rPr>
                <w:b/>
              </w:rPr>
              <w:t>$</w:t>
            </w:r>
            <w:r w:rsidR="00B9195B" w:rsidRPr="00B9195B">
              <w:rPr>
                <w:b/>
                <w:color w:val="000000"/>
                <w:spacing w:val="93"/>
                <w:shd w:val="solid" w:color="000000" w:fill="000000"/>
                <w:fitText w:val="185" w:id="-1436330485"/>
                <w14:textFill>
                  <w14:solidFill>
                    <w14:srgbClr w14:val="000000">
                      <w14:alpha w14:val="100000"/>
                    </w14:srgbClr>
                  </w14:solidFill>
                </w14:textFill>
              </w:rPr>
              <w:t>|</w:t>
            </w:r>
            <w:r w:rsidR="00B9195B" w:rsidRPr="00B9195B">
              <w:rPr>
                <w:b/>
                <w:color w:val="000000"/>
                <w:spacing w:val="1"/>
                <w:shd w:val="solid" w:color="000000" w:fill="000000"/>
                <w:fitText w:val="185" w:id="-1436330485"/>
                <w14:textFill>
                  <w14:solidFill>
                    <w14:srgbClr w14:val="000000">
                      <w14:alpha w14:val="100000"/>
                    </w14:srgbClr>
                  </w14:solidFill>
                </w14:textFill>
              </w:rPr>
              <w:t>|</w:t>
            </w:r>
            <w:r w:rsidR="00186D0B">
              <w:rPr>
                <w:vertAlign w:val="superscript"/>
              </w:rPr>
              <w:t>14</w:t>
            </w:r>
          </w:p>
        </w:tc>
        <w:tc>
          <w:tcPr>
            <w:tcW w:w="598" w:type="pct"/>
            <w:shd w:val="clear" w:color="auto" w:fill="auto"/>
            <w:vAlign w:val="center"/>
          </w:tcPr>
          <w:p w14:paraId="22D06A96" w14:textId="66AE59BF" w:rsidR="00C63763" w:rsidRPr="00C306B5" w:rsidRDefault="00C63763" w:rsidP="00A65564">
            <w:pPr>
              <w:pStyle w:val="TableText"/>
              <w:jc w:val="center"/>
            </w:pPr>
            <w:r>
              <w:rPr>
                <w:b/>
              </w:rPr>
              <w:t>$</w:t>
            </w:r>
            <w:r w:rsidR="00B9195B" w:rsidRPr="00B9195B">
              <w:rPr>
                <w:b/>
                <w:color w:val="000000"/>
                <w:spacing w:val="93"/>
                <w:shd w:val="solid" w:color="000000" w:fill="000000"/>
                <w:fitText w:val="185" w:id="-1436330484"/>
                <w14:textFill>
                  <w14:solidFill>
                    <w14:srgbClr w14:val="000000">
                      <w14:alpha w14:val="100000"/>
                    </w14:srgbClr>
                  </w14:solidFill>
                </w14:textFill>
              </w:rPr>
              <w:t>|</w:t>
            </w:r>
            <w:r w:rsidR="00B9195B" w:rsidRPr="00B9195B">
              <w:rPr>
                <w:b/>
                <w:color w:val="000000"/>
                <w:spacing w:val="1"/>
                <w:shd w:val="solid" w:color="000000" w:fill="000000"/>
                <w:fitText w:val="185" w:id="-1436330484"/>
                <w14:textFill>
                  <w14:solidFill>
                    <w14:srgbClr w14:val="000000">
                      <w14:alpha w14:val="100000"/>
                    </w14:srgbClr>
                  </w14:solidFill>
                </w14:textFill>
              </w:rPr>
              <w:t>|</w:t>
            </w:r>
            <w:r w:rsidR="00186D0B">
              <w:rPr>
                <w:vertAlign w:val="superscript"/>
              </w:rPr>
              <w:t>15</w:t>
            </w:r>
          </w:p>
        </w:tc>
        <w:tc>
          <w:tcPr>
            <w:tcW w:w="598" w:type="pct"/>
            <w:shd w:val="clear" w:color="auto" w:fill="auto"/>
            <w:vAlign w:val="center"/>
          </w:tcPr>
          <w:p w14:paraId="3095C061" w14:textId="0D0A8F7D" w:rsidR="00C63763" w:rsidRPr="00C306B5" w:rsidRDefault="00C63763" w:rsidP="00A65564">
            <w:pPr>
              <w:pStyle w:val="TableText"/>
              <w:jc w:val="center"/>
            </w:pPr>
            <w:r>
              <w:rPr>
                <w:b/>
              </w:rPr>
              <w:t>$</w:t>
            </w:r>
            <w:r w:rsidR="00B9195B" w:rsidRPr="00B9195B">
              <w:rPr>
                <w:b/>
                <w:color w:val="000000"/>
                <w:spacing w:val="93"/>
                <w:shd w:val="solid" w:color="000000" w:fill="000000"/>
                <w:fitText w:val="185" w:id="-1436330483"/>
                <w14:textFill>
                  <w14:solidFill>
                    <w14:srgbClr w14:val="000000">
                      <w14:alpha w14:val="100000"/>
                    </w14:srgbClr>
                  </w14:solidFill>
                </w14:textFill>
              </w:rPr>
              <w:t>|</w:t>
            </w:r>
            <w:r w:rsidR="00B9195B" w:rsidRPr="00B9195B">
              <w:rPr>
                <w:b/>
                <w:color w:val="000000"/>
                <w:spacing w:val="1"/>
                <w:shd w:val="solid" w:color="000000" w:fill="000000"/>
                <w:fitText w:val="185" w:id="-1436330483"/>
                <w14:textFill>
                  <w14:solidFill>
                    <w14:srgbClr w14:val="000000">
                      <w14:alpha w14:val="100000"/>
                    </w14:srgbClr>
                  </w14:solidFill>
                </w14:textFill>
              </w:rPr>
              <w:t>|</w:t>
            </w:r>
            <w:r w:rsidR="00186D0B">
              <w:rPr>
                <w:vertAlign w:val="superscript"/>
              </w:rPr>
              <w:t>15</w:t>
            </w:r>
          </w:p>
        </w:tc>
        <w:tc>
          <w:tcPr>
            <w:tcW w:w="598" w:type="pct"/>
            <w:shd w:val="clear" w:color="auto" w:fill="auto"/>
            <w:vAlign w:val="center"/>
          </w:tcPr>
          <w:p w14:paraId="7C021271" w14:textId="07C0C21D" w:rsidR="00C63763" w:rsidRPr="00C306B5" w:rsidRDefault="00C63763" w:rsidP="00A65564">
            <w:pPr>
              <w:pStyle w:val="TableText"/>
              <w:jc w:val="center"/>
            </w:pPr>
            <w:r>
              <w:rPr>
                <w:b/>
              </w:rPr>
              <w:t>$</w:t>
            </w:r>
            <w:r w:rsidR="00B9195B" w:rsidRPr="00B9195B">
              <w:rPr>
                <w:b/>
                <w:color w:val="000000"/>
                <w:spacing w:val="93"/>
                <w:shd w:val="solid" w:color="000000" w:fill="000000"/>
                <w:fitText w:val="185" w:id="-1436330482"/>
                <w14:textFill>
                  <w14:solidFill>
                    <w14:srgbClr w14:val="000000">
                      <w14:alpha w14:val="100000"/>
                    </w14:srgbClr>
                  </w14:solidFill>
                </w14:textFill>
              </w:rPr>
              <w:t>|</w:t>
            </w:r>
            <w:r w:rsidR="00B9195B" w:rsidRPr="00B9195B">
              <w:rPr>
                <w:b/>
                <w:color w:val="000000"/>
                <w:spacing w:val="1"/>
                <w:shd w:val="solid" w:color="000000" w:fill="000000"/>
                <w:fitText w:val="185" w:id="-1436330482"/>
                <w14:textFill>
                  <w14:solidFill>
                    <w14:srgbClr w14:val="000000">
                      <w14:alpha w14:val="100000"/>
                    </w14:srgbClr>
                  </w14:solidFill>
                </w14:textFill>
              </w:rPr>
              <w:t>|</w:t>
            </w:r>
            <w:r w:rsidR="00186D0B">
              <w:rPr>
                <w:vertAlign w:val="superscript"/>
              </w:rPr>
              <w:t>15</w:t>
            </w:r>
          </w:p>
        </w:tc>
      </w:tr>
      <w:tr w:rsidR="001B66E3" w:rsidRPr="000A6039" w14:paraId="5B4CD299" w14:textId="77777777" w:rsidTr="00486D82">
        <w:tc>
          <w:tcPr>
            <w:tcW w:w="5000" w:type="pct"/>
            <w:gridSpan w:val="7"/>
            <w:shd w:val="clear" w:color="auto" w:fill="B6DDE8" w:themeFill="accent5" w:themeFillTint="66"/>
            <w:vAlign w:val="center"/>
          </w:tcPr>
          <w:p w14:paraId="59C7A68A" w14:textId="7144D304" w:rsidR="001B66E3" w:rsidRDefault="001B66E3" w:rsidP="001B66E3">
            <w:pPr>
              <w:pStyle w:val="TableText"/>
              <w:rPr>
                <w:b/>
              </w:rPr>
            </w:pPr>
            <w:bookmarkStart w:id="49" w:name="_Hlk103334277"/>
            <w:r>
              <w:rPr>
                <w:b/>
                <w:bCs w:val="0"/>
              </w:rPr>
              <w:t>Net cost to PBS/RPBS (July 2021 submission)</w:t>
            </w:r>
          </w:p>
        </w:tc>
      </w:tr>
      <w:tr w:rsidR="00A4646F" w:rsidRPr="000A6039" w14:paraId="304B37D3" w14:textId="77777777" w:rsidTr="00873314">
        <w:tc>
          <w:tcPr>
            <w:tcW w:w="1412" w:type="pct"/>
            <w:shd w:val="clear" w:color="auto" w:fill="B6DDE8" w:themeFill="accent5" w:themeFillTint="66"/>
            <w:vAlign w:val="center"/>
          </w:tcPr>
          <w:p w14:paraId="7D1F1B4B" w14:textId="4AA954E9" w:rsidR="00A4646F" w:rsidRPr="002530A2" w:rsidRDefault="00A4646F" w:rsidP="00A4646F">
            <w:pPr>
              <w:pStyle w:val="TableText"/>
              <w:keepNext w:val="0"/>
            </w:pPr>
            <w:r>
              <w:t xml:space="preserve">Initiating patients </w:t>
            </w:r>
          </w:p>
        </w:tc>
        <w:tc>
          <w:tcPr>
            <w:tcW w:w="598" w:type="pct"/>
            <w:shd w:val="clear" w:color="auto" w:fill="B6DDE8" w:themeFill="accent5" w:themeFillTint="66"/>
          </w:tcPr>
          <w:p w14:paraId="2D66FAC4" w14:textId="3F757DA8" w:rsidR="00A4646F" w:rsidRPr="004D3863" w:rsidRDefault="00B9195B" w:rsidP="00A4646F">
            <w:pPr>
              <w:pStyle w:val="TableText"/>
              <w:keepNext w:val="0"/>
              <w:jc w:val="center"/>
              <w:rPr>
                <w:highlight w:val="darkGray"/>
              </w:rPr>
            </w:pPr>
            <w:r w:rsidRPr="00B9195B">
              <w:rPr>
                <w:rFonts w:hint="eastAsia"/>
                <w:color w:val="000000"/>
                <w:w w:val="15"/>
                <w:shd w:val="solid" w:color="000000" w:fill="000000"/>
                <w:fitText w:val="70" w:id="-1436330481"/>
                <w14:textFill>
                  <w14:solidFill>
                    <w14:srgbClr w14:val="000000">
                      <w14:alpha w14:val="100000"/>
                    </w14:srgbClr>
                  </w14:solidFill>
                </w14:textFill>
              </w:rPr>
              <w:t xml:space="preserve">　</w:t>
            </w:r>
            <w:r w:rsidRPr="00B9195B">
              <w:rPr>
                <w:color w:val="000000"/>
                <w:w w:val="15"/>
                <w:shd w:val="solid" w:color="000000" w:fill="000000"/>
                <w:fitText w:val="70" w:id="-1436330481"/>
                <w14:textFill>
                  <w14:solidFill>
                    <w14:srgbClr w14:val="000000">
                      <w14:alpha w14:val="100000"/>
                    </w14:srgbClr>
                  </w14:solidFill>
                </w14:textFill>
              </w:rPr>
              <w:t>|</w:t>
            </w:r>
            <w:r w:rsidRPr="00B9195B">
              <w:rPr>
                <w:rFonts w:hint="eastAsia"/>
                <w:color w:val="000000"/>
                <w:spacing w:val="4"/>
                <w:w w:val="15"/>
                <w:shd w:val="solid" w:color="000000" w:fill="000000"/>
                <w:fitText w:val="70" w:id="-1436330481"/>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tcPr>
          <w:p w14:paraId="62AF080B" w14:textId="1998AEFB" w:rsidR="00A4646F" w:rsidRPr="004D3863" w:rsidRDefault="00B9195B" w:rsidP="00A4646F">
            <w:pPr>
              <w:pStyle w:val="TableText"/>
              <w:keepNext w:val="0"/>
              <w:jc w:val="center"/>
              <w:rPr>
                <w:highlight w:val="darkGray"/>
              </w:rPr>
            </w:pPr>
            <w:r w:rsidRPr="00B9195B">
              <w:rPr>
                <w:rFonts w:hint="eastAsia"/>
                <w:color w:val="000000"/>
                <w:w w:val="15"/>
                <w:shd w:val="solid" w:color="000000" w:fill="000000"/>
                <w:fitText w:val="70" w:id="-1436330480"/>
                <w14:textFill>
                  <w14:solidFill>
                    <w14:srgbClr w14:val="000000">
                      <w14:alpha w14:val="100000"/>
                    </w14:srgbClr>
                  </w14:solidFill>
                </w14:textFill>
              </w:rPr>
              <w:t xml:space="preserve">　</w:t>
            </w:r>
            <w:r w:rsidRPr="00B9195B">
              <w:rPr>
                <w:color w:val="000000"/>
                <w:w w:val="15"/>
                <w:shd w:val="solid" w:color="000000" w:fill="000000"/>
                <w:fitText w:val="70" w:id="-1436330480"/>
                <w14:textFill>
                  <w14:solidFill>
                    <w14:srgbClr w14:val="000000">
                      <w14:alpha w14:val="100000"/>
                    </w14:srgbClr>
                  </w14:solidFill>
                </w14:textFill>
              </w:rPr>
              <w:t>|</w:t>
            </w:r>
            <w:r w:rsidRPr="00B9195B">
              <w:rPr>
                <w:rFonts w:hint="eastAsia"/>
                <w:color w:val="000000"/>
                <w:spacing w:val="4"/>
                <w:w w:val="15"/>
                <w:shd w:val="solid" w:color="000000" w:fill="000000"/>
                <w:fitText w:val="70" w:id="-1436330480"/>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tcPr>
          <w:p w14:paraId="6FD47BD7" w14:textId="06C626FF" w:rsidR="00A4646F" w:rsidRPr="004D3863" w:rsidRDefault="00B9195B" w:rsidP="00A4646F">
            <w:pPr>
              <w:pStyle w:val="TableText"/>
              <w:keepNext w:val="0"/>
              <w:jc w:val="center"/>
              <w:rPr>
                <w:highlight w:val="darkGray"/>
              </w:rPr>
            </w:pPr>
            <w:r w:rsidRPr="00B9195B">
              <w:rPr>
                <w:rFonts w:hint="eastAsia"/>
                <w:color w:val="000000"/>
                <w:w w:val="15"/>
                <w:shd w:val="solid" w:color="000000" w:fill="000000"/>
                <w:fitText w:val="70" w:id="-1436330496"/>
                <w14:textFill>
                  <w14:solidFill>
                    <w14:srgbClr w14:val="000000">
                      <w14:alpha w14:val="100000"/>
                    </w14:srgbClr>
                  </w14:solidFill>
                </w14:textFill>
              </w:rPr>
              <w:t xml:space="preserve">　</w:t>
            </w:r>
            <w:r w:rsidRPr="00B9195B">
              <w:rPr>
                <w:color w:val="000000"/>
                <w:w w:val="15"/>
                <w:shd w:val="solid" w:color="000000" w:fill="000000"/>
                <w:fitText w:val="70" w:id="-1436330496"/>
                <w14:textFill>
                  <w14:solidFill>
                    <w14:srgbClr w14:val="000000">
                      <w14:alpha w14:val="100000"/>
                    </w14:srgbClr>
                  </w14:solidFill>
                </w14:textFill>
              </w:rPr>
              <w:t>|</w:t>
            </w:r>
            <w:r w:rsidRPr="00B9195B">
              <w:rPr>
                <w:rFonts w:hint="eastAsia"/>
                <w:color w:val="000000"/>
                <w:spacing w:val="4"/>
                <w:w w:val="15"/>
                <w:shd w:val="solid" w:color="000000" w:fill="000000"/>
                <w:fitText w:val="70" w:id="-1436330496"/>
                <w14:textFill>
                  <w14:solidFill>
                    <w14:srgbClr w14:val="000000">
                      <w14:alpha w14:val="100000"/>
                    </w14:srgbClr>
                  </w14:solidFill>
                </w14:textFill>
              </w:rPr>
              <w:t xml:space="preserve">　</w:t>
            </w:r>
            <w:r w:rsidR="00186D0B">
              <w:rPr>
                <w:vertAlign w:val="superscript"/>
              </w:rPr>
              <w:t>5</w:t>
            </w:r>
          </w:p>
        </w:tc>
        <w:tc>
          <w:tcPr>
            <w:tcW w:w="598" w:type="pct"/>
            <w:shd w:val="clear" w:color="auto" w:fill="B6DDE8" w:themeFill="accent5" w:themeFillTint="66"/>
          </w:tcPr>
          <w:p w14:paraId="459FCBE2" w14:textId="51B0C06C" w:rsidR="00A4646F" w:rsidRPr="004D3863" w:rsidRDefault="00B9195B" w:rsidP="00A4646F">
            <w:pPr>
              <w:pStyle w:val="TableText"/>
              <w:keepNext w:val="0"/>
              <w:jc w:val="center"/>
              <w:rPr>
                <w:highlight w:val="darkGray"/>
              </w:rPr>
            </w:pPr>
            <w:r w:rsidRPr="00B9195B">
              <w:rPr>
                <w:rFonts w:hint="eastAsia"/>
                <w:color w:val="000000"/>
                <w:w w:val="15"/>
                <w:shd w:val="solid" w:color="000000" w:fill="000000"/>
                <w:fitText w:val="69" w:id="-1436330495"/>
                <w14:textFill>
                  <w14:solidFill>
                    <w14:srgbClr w14:val="000000">
                      <w14:alpha w14:val="100000"/>
                    </w14:srgbClr>
                  </w14:solidFill>
                </w14:textFill>
              </w:rPr>
              <w:t xml:space="preserve">　</w:t>
            </w:r>
            <w:r w:rsidRPr="00B9195B">
              <w:rPr>
                <w:color w:val="000000"/>
                <w:w w:val="15"/>
                <w:shd w:val="solid" w:color="000000" w:fill="000000"/>
                <w:fitText w:val="69" w:id="-1436330495"/>
                <w14:textFill>
                  <w14:solidFill>
                    <w14:srgbClr w14:val="000000">
                      <w14:alpha w14:val="100000"/>
                    </w14:srgbClr>
                  </w14:solidFill>
                </w14:textFill>
              </w:rPr>
              <w:t>|</w:t>
            </w:r>
            <w:r w:rsidRPr="00B9195B">
              <w:rPr>
                <w:rFonts w:hint="eastAsia"/>
                <w:color w:val="000000"/>
                <w:spacing w:val="3"/>
                <w:w w:val="15"/>
                <w:shd w:val="solid" w:color="000000" w:fill="000000"/>
                <w:fitText w:val="69" w:id="-1436330495"/>
                <w14:textFill>
                  <w14:solidFill>
                    <w14:srgbClr w14:val="000000">
                      <w14:alpha w14:val="100000"/>
                    </w14:srgbClr>
                  </w14:solidFill>
                </w14:textFill>
              </w:rPr>
              <w:t xml:space="preserve">　</w:t>
            </w:r>
            <w:r w:rsidR="00186D0B">
              <w:rPr>
                <w:vertAlign w:val="superscript"/>
              </w:rPr>
              <w:t>5</w:t>
            </w:r>
          </w:p>
        </w:tc>
        <w:tc>
          <w:tcPr>
            <w:tcW w:w="598" w:type="pct"/>
            <w:shd w:val="clear" w:color="auto" w:fill="B6DDE8" w:themeFill="accent5" w:themeFillTint="66"/>
          </w:tcPr>
          <w:p w14:paraId="1E5D82C8" w14:textId="171B3427" w:rsidR="00A4646F" w:rsidRPr="004D3863" w:rsidRDefault="00B9195B" w:rsidP="00A4646F">
            <w:pPr>
              <w:pStyle w:val="TableText"/>
              <w:keepNext w:val="0"/>
              <w:jc w:val="center"/>
              <w:rPr>
                <w:highlight w:val="darkGray"/>
              </w:rPr>
            </w:pPr>
            <w:r w:rsidRPr="00B9195B">
              <w:rPr>
                <w:rFonts w:hint="eastAsia"/>
                <w:color w:val="000000"/>
                <w:w w:val="15"/>
                <w:shd w:val="solid" w:color="000000" w:fill="000000"/>
                <w:fitText w:val="69" w:id="-1436330494"/>
                <w14:textFill>
                  <w14:solidFill>
                    <w14:srgbClr w14:val="000000">
                      <w14:alpha w14:val="100000"/>
                    </w14:srgbClr>
                  </w14:solidFill>
                </w14:textFill>
              </w:rPr>
              <w:t xml:space="preserve">　</w:t>
            </w:r>
            <w:r w:rsidRPr="00B9195B">
              <w:rPr>
                <w:color w:val="000000"/>
                <w:w w:val="15"/>
                <w:shd w:val="solid" w:color="000000" w:fill="000000"/>
                <w:fitText w:val="69" w:id="-1436330494"/>
                <w14:textFill>
                  <w14:solidFill>
                    <w14:srgbClr w14:val="000000">
                      <w14:alpha w14:val="100000"/>
                    </w14:srgbClr>
                  </w14:solidFill>
                </w14:textFill>
              </w:rPr>
              <w:t>|</w:t>
            </w:r>
            <w:r w:rsidRPr="00B9195B">
              <w:rPr>
                <w:rFonts w:hint="eastAsia"/>
                <w:color w:val="000000"/>
                <w:spacing w:val="3"/>
                <w:w w:val="15"/>
                <w:shd w:val="solid" w:color="000000" w:fill="000000"/>
                <w:fitText w:val="69" w:id="-1436330494"/>
                <w14:textFill>
                  <w14:solidFill>
                    <w14:srgbClr w14:val="000000">
                      <w14:alpha w14:val="100000"/>
                    </w14:srgbClr>
                  </w14:solidFill>
                </w14:textFill>
              </w:rPr>
              <w:t xml:space="preserve">　</w:t>
            </w:r>
            <w:r w:rsidR="00186D0B">
              <w:rPr>
                <w:vertAlign w:val="superscript"/>
              </w:rPr>
              <w:t>5</w:t>
            </w:r>
          </w:p>
        </w:tc>
        <w:tc>
          <w:tcPr>
            <w:tcW w:w="598" w:type="pct"/>
            <w:shd w:val="clear" w:color="auto" w:fill="B6DDE8" w:themeFill="accent5" w:themeFillTint="66"/>
          </w:tcPr>
          <w:p w14:paraId="046EF8CB" w14:textId="44808C97" w:rsidR="00A4646F" w:rsidRPr="004D3863" w:rsidRDefault="00B9195B" w:rsidP="00A4646F">
            <w:pPr>
              <w:pStyle w:val="TableText"/>
              <w:keepNext w:val="0"/>
              <w:jc w:val="center"/>
              <w:rPr>
                <w:highlight w:val="darkGray"/>
              </w:rPr>
            </w:pPr>
            <w:r w:rsidRPr="00B9195B">
              <w:rPr>
                <w:rFonts w:hint="eastAsia"/>
                <w:color w:val="000000"/>
                <w:w w:val="15"/>
                <w:shd w:val="solid" w:color="000000" w:fill="000000"/>
                <w:fitText w:val="69" w:id="-1436330493"/>
                <w14:textFill>
                  <w14:solidFill>
                    <w14:srgbClr w14:val="000000">
                      <w14:alpha w14:val="100000"/>
                    </w14:srgbClr>
                  </w14:solidFill>
                </w14:textFill>
              </w:rPr>
              <w:t xml:space="preserve">　</w:t>
            </w:r>
            <w:r w:rsidRPr="00B9195B">
              <w:rPr>
                <w:color w:val="000000"/>
                <w:w w:val="15"/>
                <w:shd w:val="solid" w:color="000000" w:fill="000000"/>
                <w:fitText w:val="69" w:id="-1436330493"/>
                <w14:textFill>
                  <w14:solidFill>
                    <w14:srgbClr w14:val="000000">
                      <w14:alpha w14:val="100000"/>
                    </w14:srgbClr>
                  </w14:solidFill>
                </w14:textFill>
              </w:rPr>
              <w:t>|</w:t>
            </w:r>
            <w:r w:rsidRPr="00B9195B">
              <w:rPr>
                <w:rFonts w:hint="eastAsia"/>
                <w:color w:val="000000"/>
                <w:spacing w:val="3"/>
                <w:w w:val="15"/>
                <w:shd w:val="solid" w:color="000000" w:fill="000000"/>
                <w:fitText w:val="69" w:id="-1436330493"/>
                <w14:textFill>
                  <w14:solidFill>
                    <w14:srgbClr w14:val="000000">
                      <w14:alpha w14:val="100000"/>
                    </w14:srgbClr>
                  </w14:solidFill>
                </w14:textFill>
              </w:rPr>
              <w:t xml:space="preserve">　</w:t>
            </w:r>
            <w:r w:rsidR="00186D0B">
              <w:rPr>
                <w:vertAlign w:val="superscript"/>
              </w:rPr>
              <w:t>5</w:t>
            </w:r>
          </w:p>
        </w:tc>
      </w:tr>
      <w:tr w:rsidR="00454434" w:rsidRPr="000A6039" w14:paraId="622F00C0" w14:textId="77777777" w:rsidTr="00873314">
        <w:tc>
          <w:tcPr>
            <w:tcW w:w="1412" w:type="pct"/>
            <w:shd w:val="clear" w:color="auto" w:fill="B6DDE8" w:themeFill="accent5" w:themeFillTint="66"/>
            <w:vAlign w:val="center"/>
          </w:tcPr>
          <w:p w14:paraId="0BF11FB6" w14:textId="0BA61086" w:rsidR="00454434" w:rsidRDefault="00454434" w:rsidP="00454434">
            <w:pPr>
              <w:pStyle w:val="TableText"/>
              <w:keepNext w:val="0"/>
            </w:pPr>
            <w:r>
              <w:t>Continuing patients- initiation year</w:t>
            </w:r>
          </w:p>
        </w:tc>
        <w:tc>
          <w:tcPr>
            <w:tcW w:w="598" w:type="pct"/>
            <w:shd w:val="clear" w:color="auto" w:fill="B6DDE8" w:themeFill="accent5" w:themeFillTint="66"/>
            <w:vAlign w:val="center"/>
          </w:tcPr>
          <w:p w14:paraId="3C5A528C" w14:textId="05A9393F" w:rsidR="00454434" w:rsidRPr="004D3863" w:rsidRDefault="00B9195B" w:rsidP="00454434">
            <w:pPr>
              <w:pStyle w:val="TableText"/>
              <w:keepNext w:val="0"/>
              <w:jc w:val="center"/>
              <w:rPr>
                <w:highlight w:val="darkGray"/>
              </w:rPr>
            </w:pPr>
            <w:r w:rsidRPr="00B9195B">
              <w:rPr>
                <w:rFonts w:hint="eastAsia"/>
                <w:color w:val="000000"/>
                <w:w w:val="15"/>
                <w:shd w:val="solid" w:color="000000" w:fill="000000"/>
                <w:fitText w:val="70" w:id="-1436330492"/>
                <w14:textFill>
                  <w14:solidFill>
                    <w14:srgbClr w14:val="000000">
                      <w14:alpha w14:val="100000"/>
                    </w14:srgbClr>
                  </w14:solidFill>
                </w14:textFill>
              </w:rPr>
              <w:t xml:space="preserve">　</w:t>
            </w:r>
            <w:r w:rsidRPr="00B9195B">
              <w:rPr>
                <w:color w:val="000000"/>
                <w:w w:val="15"/>
                <w:shd w:val="solid" w:color="000000" w:fill="000000"/>
                <w:fitText w:val="70" w:id="-1436330492"/>
                <w14:textFill>
                  <w14:solidFill>
                    <w14:srgbClr w14:val="000000">
                      <w14:alpha w14:val="100000"/>
                    </w14:srgbClr>
                  </w14:solidFill>
                </w14:textFill>
              </w:rPr>
              <w:t>|</w:t>
            </w:r>
            <w:r w:rsidRPr="00B9195B">
              <w:rPr>
                <w:rFonts w:hint="eastAsia"/>
                <w:color w:val="000000"/>
                <w:spacing w:val="4"/>
                <w:w w:val="15"/>
                <w:shd w:val="solid" w:color="000000" w:fill="000000"/>
                <w:fitText w:val="70" w:id="-1436330492"/>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vAlign w:val="center"/>
          </w:tcPr>
          <w:p w14:paraId="701D9EFF" w14:textId="6062D1BE" w:rsidR="00454434" w:rsidRPr="004D3863" w:rsidRDefault="00B9195B" w:rsidP="00454434">
            <w:pPr>
              <w:pStyle w:val="TableText"/>
              <w:keepNext w:val="0"/>
              <w:jc w:val="center"/>
              <w:rPr>
                <w:highlight w:val="darkGray"/>
              </w:rPr>
            </w:pPr>
            <w:r w:rsidRPr="00B9195B">
              <w:rPr>
                <w:rFonts w:hint="eastAsia"/>
                <w:color w:val="000000"/>
                <w:w w:val="15"/>
                <w:shd w:val="solid" w:color="000000" w:fill="000000"/>
                <w:fitText w:val="70" w:id="-1436330491"/>
                <w14:textFill>
                  <w14:solidFill>
                    <w14:srgbClr w14:val="000000">
                      <w14:alpha w14:val="100000"/>
                    </w14:srgbClr>
                  </w14:solidFill>
                </w14:textFill>
              </w:rPr>
              <w:t xml:space="preserve">　</w:t>
            </w:r>
            <w:r w:rsidRPr="00B9195B">
              <w:rPr>
                <w:color w:val="000000"/>
                <w:w w:val="15"/>
                <w:shd w:val="solid" w:color="000000" w:fill="000000"/>
                <w:fitText w:val="70" w:id="-1436330491"/>
                <w14:textFill>
                  <w14:solidFill>
                    <w14:srgbClr w14:val="000000">
                      <w14:alpha w14:val="100000"/>
                    </w14:srgbClr>
                  </w14:solidFill>
                </w14:textFill>
              </w:rPr>
              <w:t>|</w:t>
            </w:r>
            <w:r w:rsidRPr="00B9195B">
              <w:rPr>
                <w:rFonts w:hint="eastAsia"/>
                <w:color w:val="000000"/>
                <w:spacing w:val="4"/>
                <w:w w:val="15"/>
                <w:shd w:val="solid" w:color="000000" w:fill="000000"/>
                <w:fitText w:val="70" w:id="-1436330491"/>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vAlign w:val="center"/>
          </w:tcPr>
          <w:p w14:paraId="3B698A2F" w14:textId="6DC4DB14" w:rsidR="00454434" w:rsidRPr="004D3863" w:rsidRDefault="00B9195B" w:rsidP="00454434">
            <w:pPr>
              <w:pStyle w:val="TableText"/>
              <w:keepNext w:val="0"/>
              <w:jc w:val="center"/>
              <w:rPr>
                <w:highlight w:val="darkGray"/>
              </w:rPr>
            </w:pPr>
            <w:r w:rsidRPr="00B9195B">
              <w:rPr>
                <w:rFonts w:hint="eastAsia"/>
                <w:color w:val="000000"/>
                <w:w w:val="15"/>
                <w:shd w:val="solid" w:color="000000" w:fill="000000"/>
                <w:fitText w:val="70" w:id="-1436330490"/>
                <w14:textFill>
                  <w14:solidFill>
                    <w14:srgbClr w14:val="000000">
                      <w14:alpha w14:val="100000"/>
                    </w14:srgbClr>
                  </w14:solidFill>
                </w14:textFill>
              </w:rPr>
              <w:t xml:space="preserve">　</w:t>
            </w:r>
            <w:r w:rsidRPr="00B9195B">
              <w:rPr>
                <w:color w:val="000000"/>
                <w:w w:val="15"/>
                <w:shd w:val="solid" w:color="000000" w:fill="000000"/>
                <w:fitText w:val="70" w:id="-1436330490"/>
                <w14:textFill>
                  <w14:solidFill>
                    <w14:srgbClr w14:val="000000">
                      <w14:alpha w14:val="100000"/>
                    </w14:srgbClr>
                  </w14:solidFill>
                </w14:textFill>
              </w:rPr>
              <w:t>|</w:t>
            </w:r>
            <w:r w:rsidRPr="00B9195B">
              <w:rPr>
                <w:rFonts w:hint="eastAsia"/>
                <w:color w:val="000000"/>
                <w:spacing w:val="4"/>
                <w:w w:val="15"/>
                <w:shd w:val="solid" w:color="000000" w:fill="000000"/>
                <w:fitText w:val="70" w:id="-1436330490"/>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vAlign w:val="center"/>
          </w:tcPr>
          <w:p w14:paraId="5AE6F621" w14:textId="50B0ACC9" w:rsidR="00454434" w:rsidRPr="004D3863" w:rsidRDefault="00B9195B" w:rsidP="00454434">
            <w:pPr>
              <w:pStyle w:val="TableText"/>
              <w:keepNext w:val="0"/>
              <w:jc w:val="center"/>
              <w:rPr>
                <w:highlight w:val="darkGray"/>
              </w:rPr>
            </w:pPr>
            <w:r w:rsidRPr="00B9195B">
              <w:rPr>
                <w:rFonts w:hint="eastAsia"/>
                <w:color w:val="000000"/>
                <w:w w:val="15"/>
                <w:shd w:val="solid" w:color="000000" w:fill="000000"/>
                <w:fitText w:val="69" w:id="-1436330489"/>
                <w14:textFill>
                  <w14:solidFill>
                    <w14:srgbClr w14:val="000000">
                      <w14:alpha w14:val="100000"/>
                    </w14:srgbClr>
                  </w14:solidFill>
                </w14:textFill>
              </w:rPr>
              <w:t xml:space="preserve">　</w:t>
            </w:r>
            <w:r w:rsidRPr="00B9195B">
              <w:rPr>
                <w:color w:val="000000"/>
                <w:w w:val="15"/>
                <w:shd w:val="solid" w:color="000000" w:fill="000000"/>
                <w:fitText w:val="69" w:id="-1436330489"/>
                <w14:textFill>
                  <w14:solidFill>
                    <w14:srgbClr w14:val="000000">
                      <w14:alpha w14:val="100000"/>
                    </w14:srgbClr>
                  </w14:solidFill>
                </w14:textFill>
              </w:rPr>
              <w:t>|</w:t>
            </w:r>
            <w:r w:rsidRPr="00B9195B">
              <w:rPr>
                <w:rFonts w:hint="eastAsia"/>
                <w:color w:val="000000"/>
                <w:spacing w:val="3"/>
                <w:w w:val="15"/>
                <w:shd w:val="solid" w:color="000000" w:fill="000000"/>
                <w:fitText w:val="69" w:id="-1436330489"/>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vAlign w:val="center"/>
          </w:tcPr>
          <w:p w14:paraId="697D2DA5" w14:textId="0A622F6C" w:rsidR="00454434" w:rsidRPr="004D3863" w:rsidRDefault="00B9195B" w:rsidP="00454434">
            <w:pPr>
              <w:pStyle w:val="TableText"/>
              <w:keepNext w:val="0"/>
              <w:jc w:val="center"/>
              <w:rPr>
                <w:highlight w:val="darkGray"/>
              </w:rPr>
            </w:pPr>
            <w:r w:rsidRPr="00B9195B">
              <w:rPr>
                <w:rFonts w:hint="eastAsia"/>
                <w:color w:val="000000"/>
                <w:w w:val="15"/>
                <w:shd w:val="solid" w:color="000000" w:fill="000000"/>
                <w:fitText w:val="69" w:id="-1436330488"/>
                <w14:textFill>
                  <w14:solidFill>
                    <w14:srgbClr w14:val="000000">
                      <w14:alpha w14:val="100000"/>
                    </w14:srgbClr>
                  </w14:solidFill>
                </w14:textFill>
              </w:rPr>
              <w:t xml:space="preserve">　</w:t>
            </w:r>
            <w:r w:rsidRPr="00B9195B">
              <w:rPr>
                <w:color w:val="000000"/>
                <w:w w:val="15"/>
                <w:shd w:val="solid" w:color="000000" w:fill="000000"/>
                <w:fitText w:val="69" w:id="-1436330488"/>
                <w14:textFill>
                  <w14:solidFill>
                    <w14:srgbClr w14:val="000000">
                      <w14:alpha w14:val="100000"/>
                    </w14:srgbClr>
                  </w14:solidFill>
                </w14:textFill>
              </w:rPr>
              <w:t>|</w:t>
            </w:r>
            <w:r w:rsidRPr="00B9195B">
              <w:rPr>
                <w:rFonts w:hint="eastAsia"/>
                <w:color w:val="000000"/>
                <w:spacing w:val="3"/>
                <w:w w:val="15"/>
                <w:shd w:val="solid" w:color="000000" w:fill="000000"/>
                <w:fitText w:val="69" w:id="-1436330488"/>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vAlign w:val="center"/>
          </w:tcPr>
          <w:p w14:paraId="024D1519" w14:textId="4D0CF414" w:rsidR="00454434" w:rsidRPr="004D3863" w:rsidRDefault="00B9195B" w:rsidP="00454434">
            <w:pPr>
              <w:pStyle w:val="TableText"/>
              <w:keepNext w:val="0"/>
              <w:jc w:val="center"/>
              <w:rPr>
                <w:highlight w:val="darkGray"/>
              </w:rPr>
            </w:pPr>
            <w:r w:rsidRPr="00B9195B">
              <w:rPr>
                <w:rFonts w:hint="eastAsia"/>
                <w:color w:val="000000"/>
                <w:w w:val="15"/>
                <w:shd w:val="solid" w:color="000000" w:fill="000000"/>
                <w:fitText w:val="69" w:id="-1436330487"/>
                <w14:textFill>
                  <w14:solidFill>
                    <w14:srgbClr w14:val="000000">
                      <w14:alpha w14:val="100000"/>
                    </w14:srgbClr>
                  </w14:solidFill>
                </w14:textFill>
              </w:rPr>
              <w:t xml:space="preserve">　</w:t>
            </w:r>
            <w:r w:rsidRPr="00B9195B">
              <w:rPr>
                <w:color w:val="000000"/>
                <w:w w:val="15"/>
                <w:shd w:val="solid" w:color="000000" w:fill="000000"/>
                <w:fitText w:val="69" w:id="-1436330487"/>
                <w14:textFill>
                  <w14:solidFill>
                    <w14:srgbClr w14:val="000000">
                      <w14:alpha w14:val="100000"/>
                    </w14:srgbClr>
                  </w14:solidFill>
                </w14:textFill>
              </w:rPr>
              <w:t>|</w:t>
            </w:r>
            <w:r w:rsidRPr="00B9195B">
              <w:rPr>
                <w:rFonts w:hint="eastAsia"/>
                <w:color w:val="000000"/>
                <w:spacing w:val="3"/>
                <w:w w:val="15"/>
                <w:shd w:val="solid" w:color="000000" w:fill="000000"/>
                <w:fitText w:val="69" w:id="-1436330487"/>
                <w14:textFill>
                  <w14:solidFill>
                    <w14:srgbClr w14:val="000000">
                      <w14:alpha w14:val="100000"/>
                    </w14:srgbClr>
                  </w14:solidFill>
                </w14:textFill>
              </w:rPr>
              <w:t xml:space="preserve">　</w:t>
            </w:r>
            <w:r w:rsidR="00186D0B">
              <w:rPr>
                <w:vertAlign w:val="superscript"/>
              </w:rPr>
              <w:t>6</w:t>
            </w:r>
          </w:p>
        </w:tc>
      </w:tr>
      <w:tr w:rsidR="00454434" w:rsidRPr="000A6039" w14:paraId="252A42FB" w14:textId="77777777" w:rsidTr="00873314">
        <w:tc>
          <w:tcPr>
            <w:tcW w:w="1412" w:type="pct"/>
            <w:shd w:val="clear" w:color="auto" w:fill="B6DDE8" w:themeFill="accent5" w:themeFillTint="66"/>
            <w:vAlign w:val="center"/>
          </w:tcPr>
          <w:p w14:paraId="3AAAD986" w14:textId="152C4524" w:rsidR="00454434" w:rsidRDefault="00454434" w:rsidP="00454434">
            <w:pPr>
              <w:pStyle w:val="TableText"/>
              <w:keepNext w:val="0"/>
            </w:pPr>
            <w:r>
              <w:t>Continuing patients- subsequent years</w:t>
            </w:r>
          </w:p>
        </w:tc>
        <w:tc>
          <w:tcPr>
            <w:tcW w:w="598" w:type="pct"/>
            <w:shd w:val="clear" w:color="auto" w:fill="B6DDE8" w:themeFill="accent5" w:themeFillTint="66"/>
            <w:vAlign w:val="center"/>
          </w:tcPr>
          <w:p w14:paraId="4767AD91" w14:textId="4C15BC65" w:rsidR="00454434" w:rsidRPr="004D3863" w:rsidRDefault="00B9195B">
            <w:pPr>
              <w:pStyle w:val="TableText"/>
              <w:keepNext w:val="0"/>
              <w:jc w:val="center"/>
              <w:rPr>
                <w:highlight w:val="darkGray"/>
              </w:rPr>
            </w:pPr>
            <w:r w:rsidRPr="00B9195B">
              <w:rPr>
                <w:rFonts w:hint="eastAsia"/>
                <w:color w:val="000000"/>
                <w:w w:val="15"/>
                <w:shd w:val="solid" w:color="000000" w:fill="000000"/>
                <w:fitText w:val="70" w:id="-1436330486"/>
                <w14:textFill>
                  <w14:solidFill>
                    <w14:srgbClr w14:val="000000">
                      <w14:alpha w14:val="100000"/>
                    </w14:srgbClr>
                  </w14:solidFill>
                </w14:textFill>
              </w:rPr>
              <w:t xml:space="preserve">　</w:t>
            </w:r>
            <w:r w:rsidRPr="00B9195B">
              <w:rPr>
                <w:color w:val="000000"/>
                <w:w w:val="15"/>
                <w:shd w:val="solid" w:color="000000" w:fill="000000"/>
                <w:fitText w:val="70" w:id="-1436330486"/>
                <w14:textFill>
                  <w14:solidFill>
                    <w14:srgbClr w14:val="000000">
                      <w14:alpha w14:val="100000"/>
                    </w14:srgbClr>
                  </w14:solidFill>
                </w14:textFill>
              </w:rPr>
              <w:t>|</w:t>
            </w:r>
            <w:r w:rsidRPr="00B9195B">
              <w:rPr>
                <w:rFonts w:hint="eastAsia"/>
                <w:color w:val="000000"/>
                <w:spacing w:val="4"/>
                <w:w w:val="15"/>
                <w:shd w:val="solid" w:color="000000" w:fill="000000"/>
                <w:fitText w:val="70" w:id="-1436330486"/>
                <w14:textFill>
                  <w14:solidFill>
                    <w14:srgbClr w14:val="000000">
                      <w14:alpha w14:val="100000"/>
                    </w14:srgbClr>
                  </w14:solidFill>
                </w14:textFill>
              </w:rPr>
              <w:t xml:space="preserve">　</w:t>
            </w:r>
            <w:r w:rsidR="00186D0B">
              <w:rPr>
                <w:vertAlign w:val="superscript"/>
              </w:rPr>
              <w:t>8</w:t>
            </w:r>
          </w:p>
        </w:tc>
        <w:tc>
          <w:tcPr>
            <w:tcW w:w="598" w:type="pct"/>
            <w:shd w:val="clear" w:color="auto" w:fill="B6DDE8" w:themeFill="accent5" w:themeFillTint="66"/>
            <w:vAlign w:val="center"/>
          </w:tcPr>
          <w:p w14:paraId="6F7A5CE1" w14:textId="4A794656" w:rsidR="00454434" w:rsidRPr="004D3863" w:rsidRDefault="00B9195B">
            <w:pPr>
              <w:pStyle w:val="TableText"/>
              <w:keepNext w:val="0"/>
              <w:jc w:val="center"/>
              <w:rPr>
                <w:highlight w:val="darkGray"/>
              </w:rPr>
            </w:pPr>
            <w:r w:rsidRPr="00B9195B">
              <w:rPr>
                <w:rFonts w:hint="eastAsia"/>
                <w:color w:val="000000"/>
                <w:w w:val="15"/>
                <w:shd w:val="solid" w:color="000000" w:fill="000000"/>
                <w:fitText w:val="70" w:id="-1436330485"/>
                <w14:textFill>
                  <w14:solidFill>
                    <w14:srgbClr w14:val="000000">
                      <w14:alpha w14:val="100000"/>
                    </w14:srgbClr>
                  </w14:solidFill>
                </w14:textFill>
              </w:rPr>
              <w:t xml:space="preserve">　</w:t>
            </w:r>
            <w:r w:rsidRPr="00B9195B">
              <w:rPr>
                <w:color w:val="000000"/>
                <w:w w:val="15"/>
                <w:shd w:val="solid" w:color="000000" w:fill="000000"/>
                <w:fitText w:val="70" w:id="-1436330485"/>
                <w14:textFill>
                  <w14:solidFill>
                    <w14:srgbClr w14:val="000000">
                      <w14:alpha w14:val="100000"/>
                    </w14:srgbClr>
                  </w14:solidFill>
                </w14:textFill>
              </w:rPr>
              <w:t>|</w:t>
            </w:r>
            <w:r w:rsidRPr="00B9195B">
              <w:rPr>
                <w:rFonts w:hint="eastAsia"/>
                <w:color w:val="000000"/>
                <w:spacing w:val="4"/>
                <w:w w:val="15"/>
                <w:shd w:val="solid" w:color="000000" w:fill="000000"/>
                <w:fitText w:val="70" w:id="-1436330485"/>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vAlign w:val="center"/>
          </w:tcPr>
          <w:p w14:paraId="444A0F56" w14:textId="4FE94E26" w:rsidR="00454434" w:rsidRPr="004D3863" w:rsidRDefault="00B9195B">
            <w:pPr>
              <w:pStyle w:val="TableText"/>
              <w:keepNext w:val="0"/>
              <w:jc w:val="center"/>
              <w:rPr>
                <w:highlight w:val="darkGray"/>
              </w:rPr>
            </w:pPr>
            <w:r w:rsidRPr="00B9195B">
              <w:rPr>
                <w:rFonts w:hint="eastAsia"/>
                <w:color w:val="000000"/>
                <w:w w:val="15"/>
                <w:shd w:val="solid" w:color="000000" w:fill="000000"/>
                <w:fitText w:val="70" w:id="-1436330484"/>
                <w14:textFill>
                  <w14:solidFill>
                    <w14:srgbClr w14:val="000000">
                      <w14:alpha w14:val="100000"/>
                    </w14:srgbClr>
                  </w14:solidFill>
                </w14:textFill>
              </w:rPr>
              <w:t xml:space="preserve">　</w:t>
            </w:r>
            <w:r w:rsidRPr="00B9195B">
              <w:rPr>
                <w:color w:val="000000"/>
                <w:w w:val="15"/>
                <w:shd w:val="solid" w:color="000000" w:fill="000000"/>
                <w:fitText w:val="70" w:id="-1436330484"/>
                <w14:textFill>
                  <w14:solidFill>
                    <w14:srgbClr w14:val="000000">
                      <w14:alpha w14:val="100000"/>
                    </w14:srgbClr>
                  </w14:solidFill>
                </w14:textFill>
              </w:rPr>
              <w:t>|</w:t>
            </w:r>
            <w:r w:rsidRPr="00B9195B">
              <w:rPr>
                <w:rFonts w:hint="eastAsia"/>
                <w:color w:val="000000"/>
                <w:spacing w:val="4"/>
                <w:w w:val="15"/>
                <w:shd w:val="solid" w:color="000000" w:fill="000000"/>
                <w:fitText w:val="70" w:id="-1436330484"/>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vAlign w:val="center"/>
          </w:tcPr>
          <w:p w14:paraId="683B29C9" w14:textId="0C7B3A33" w:rsidR="00454434" w:rsidRPr="004D3863" w:rsidRDefault="00B9195B">
            <w:pPr>
              <w:pStyle w:val="TableText"/>
              <w:keepNext w:val="0"/>
              <w:jc w:val="center"/>
              <w:rPr>
                <w:highlight w:val="darkGray"/>
              </w:rPr>
            </w:pPr>
            <w:r w:rsidRPr="00B9195B">
              <w:rPr>
                <w:rFonts w:hint="eastAsia"/>
                <w:color w:val="000000"/>
                <w:w w:val="15"/>
                <w:shd w:val="solid" w:color="000000" w:fill="000000"/>
                <w:fitText w:val="69" w:id="-1436330483"/>
                <w14:textFill>
                  <w14:solidFill>
                    <w14:srgbClr w14:val="000000">
                      <w14:alpha w14:val="100000"/>
                    </w14:srgbClr>
                  </w14:solidFill>
                </w14:textFill>
              </w:rPr>
              <w:t xml:space="preserve">　</w:t>
            </w:r>
            <w:r w:rsidRPr="00B9195B">
              <w:rPr>
                <w:color w:val="000000"/>
                <w:w w:val="15"/>
                <w:shd w:val="solid" w:color="000000" w:fill="000000"/>
                <w:fitText w:val="69" w:id="-1436330483"/>
                <w14:textFill>
                  <w14:solidFill>
                    <w14:srgbClr w14:val="000000">
                      <w14:alpha w14:val="100000"/>
                    </w14:srgbClr>
                  </w14:solidFill>
                </w14:textFill>
              </w:rPr>
              <w:t>|</w:t>
            </w:r>
            <w:r w:rsidRPr="00B9195B">
              <w:rPr>
                <w:rFonts w:hint="eastAsia"/>
                <w:color w:val="000000"/>
                <w:spacing w:val="3"/>
                <w:w w:val="15"/>
                <w:shd w:val="solid" w:color="000000" w:fill="000000"/>
                <w:fitText w:val="69" w:id="-1436330483"/>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vAlign w:val="center"/>
          </w:tcPr>
          <w:p w14:paraId="40BEF22A" w14:textId="02223E29" w:rsidR="00454434" w:rsidRPr="004D3863" w:rsidRDefault="00B9195B">
            <w:pPr>
              <w:pStyle w:val="TableText"/>
              <w:keepNext w:val="0"/>
              <w:jc w:val="center"/>
              <w:rPr>
                <w:highlight w:val="darkGray"/>
              </w:rPr>
            </w:pPr>
            <w:r w:rsidRPr="00B9195B">
              <w:rPr>
                <w:rFonts w:hint="eastAsia"/>
                <w:color w:val="000000"/>
                <w:w w:val="15"/>
                <w:shd w:val="solid" w:color="000000" w:fill="000000"/>
                <w:fitText w:val="69" w:id="-1436330482"/>
                <w14:textFill>
                  <w14:solidFill>
                    <w14:srgbClr w14:val="000000">
                      <w14:alpha w14:val="100000"/>
                    </w14:srgbClr>
                  </w14:solidFill>
                </w14:textFill>
              </w:rPr>
              <w:t xml:space="preserve">　</w:t>
            </w:r>
            <w:r w:rsidRPr="00B9195B">
              <w:rPr>
                <w:color w:val="000000"/>
                <w:w w:val="15"/>
                <w:shd w:val="solid" w:color="000000" w:fill="000000"/>
                <w:fitText w:val="69" w:id="-1436330482"/>
                <w14:textFill>
                  <w14:solidFill>
                    <w14:srgbClr w14:val="000000">
                      <w14:alpha w14:val="100000"/>
                    </w14:srgbClr>
                  </w14:solidFill>
                </w14:textFill>
              </w:rPr>
              <w:t>|</w:t>
            </w:r>
            <w:r w:rsidRPr="00B9195B">
              <w:rPr>
                <w:rFonts w:hint="eastAsia"/>
                <w:color w:val="000000"/>
                <w:spacing w:val="3"/>
                <w:w w:val="15"/>
                <w:shd w:val="solid" w:color="000000" w:fill="000000"/>
                <w:fitText w:val="69" w:id="-1436330482"/>
                <w14:textFill>
                  <w14:solidFill>
                    <w14:srgbClr w14:val="000000">
                      <w14:alpha w14:val="100000"/>
                    </w14:srgbClr>
                  </w14:solidFill>
                </w14:textFill>
              </w:rPr>
              <w:t xml:space="preserve">　</w:t>
            </w:r>
            <w:r w:rsidR="00186D0B">
              <w:rPr>
                <w:vertAlign w:val="superscript"/>
              </w:rPr>
              <w:t>6</w:t>
            </w:r>
          </w:p>
        </w:tc>
        <w:tc>
          <w:tcPr>
            <w:tcW w:w="598" w:type="pct"/>
            <w:shd w:val="clear" w:color="auto" w:fill="B6DDE8" w:themeFill="accent5" w:themeFillTint="66"/>
            <w:vAlign w:val="center"/>
          </w:tcPr>
          <w:p w14:paraId="785D0F8B" w14:textId="5E99E07C" w:rsidR="00454434" w:rsidRPr="004D3863" w:rsidRDefault="00B9195B">
            <w:pPr>
              <w:pStyle w:val="TableText"/>
              <w:keepNext w:val="0"/>
              <w:jc w:val="center"/>
              <w:rPr>
                <w:highlight w:val="darkGray"/>
              </w:rPr>
            </w:pPr>
            <w:r w:rsidRPr="00B9195B">
              <w:rPr>
                <w:rFonts w:hint="eastAsia"/>
                <w:color w:val="000000"/>
                <w:w w:val="15"/>
                <w:shd w:val="solid" w:color="000000" w:fill="000000"/>
                <w:fitText w:val="69" w:id="-1436330481"/>
                <w14:textFill>
                  <w14:solidFill>
                    <w14:srgbClr w14:val="000000">
                      <w14:alpha w14:val="100000"/>
                    </w14:srgbClr>
                  </w14:solidFill>
                </w14:textFill>
              </w:rPr>
              <w:t xml:space="preserve">　</w:t>
            </w:r>
            <w:r w:rsidRPr="00B9195B">
              <w:rPr>
                <w:color w:val="000000"/>
                <w:w w:val="15"/>
                <w:shd w:val="solid" w:color="000000" w:fill="000000"/>
                <w:fitText w:val="69" w:id="-1436330481"/>
                <w14:textFill>
                  <w14:solidFill>
                    <w14:srgbClr w14:val="000000">
                      <w14:alpha w14:val="100000"/>
                    </w14:srgbClr>
                  </w14:solidFill>
                </w14:textFill>
              </w:rPr>
              <w:t>|</w:t>
            </w:r>
            <w:r w:rsidRPr="00B9195B">
              <w:rPr>
                <w:rFonts w:hint="eastAsia"/>
                <w:color w:val="000000"/>
                <w:spacing w:val="3"/>
                <w:w w:val="15"/>
                <w:shd w:val="solid" w:color="000000" w:fill="000000"/>
                <w:fitText w:val="69" w:id="-1436330481"/>
                <w14:textFill>
                  <w14:solidFill>
                    <w14:srgbClr w14:val="000000">
                      <w14:alpha w14:val="100000"/>
                    </w14:srgbClr>
                  </w14:solidFill>
                </w14:textFill>
              </w:rPr>
              <w:t xml:space="preserve">　</w:t>
            </w:r>
            <w:r w:rsidR="00186D0B">
              <w:rPr>
                <w:vertAlign w:val="superscript"/>
              </w:rPr>
              <w:t>6</w:t>
            </w:r>
          </w:p>
        </w:tc>
      </w:tr>
      <w:tr w:rsidR="00454434" w:rsidRPr="000A6039" w14:paraId="64807DE9" w14:textId="77777777" w:rsidTr="00486D82">
        <w:tc>
          <w:tcPr>
            <w:tcW w:w="1412" w:type="pct"/>
            <w:shd w:val="clear" w:color="auto" w:fill="B6DDE8" w:themeFill="accent5" w:themeFillTint="66"/>
            <w:vAlign w:val="center"/>
          </w:tcPr>
          <w:p w14:paraId="5E6A7302" w14:textId="152A6C68" w:rsidR="00454434" w:rsidRPr="00BE1A9C" w:rsidRDefault="00454434" w:rsidP="00454434">
            <w:pPr>
              <w:pStyle w:val="TableText"/>
              <w:keepNext w:val="0"/>
            </w:pPr>
            <w:r w:rsidRPr="002530A2">
              <w:t>Total scripts</w:t>
            </w:r>
          </w:p>
        </w:tc>
        <w:tc>
          <w:tcPr>
            <w:tcW w:w="598" w:type="pct"/>
            <w:shd w:val="clear" w:color="auto" w:fill="B6DDE8" w:themeFill="accent5" w:themeFillTint="66"/>
          </w:tcPr>
          <w:p w14:paraId="34CB0611" w14:textId="2BFD9931" w:rsidR="00454434" w:rsidRPr="004D3863" w:rsidRDefault="00B9195B" w:rsidP="00454434">
            <w:pPr>
              <w:pStyle w:val="TableText"/>
              <w:keepNext w:val="0"/>
              <w:jc w:val="center"/>
              <w:rPr>
                <w:highlight w:val="darkGray"/>
              </w:rPr>
            </w:pPr>
            <w:r w:rsidRPr="00B9195B">
              <w:rPr>
                <w:rFonts w:hint="eastAsia"/>
                <w:color w:val="000000"/>
                <w:w w:val="15"/>
                <w:shd w:val="solid" w:color="000000" w:fill="000000"/>
                <w:fitText w:val="70" w:id="-1436330480"/>
                <w14:textFill>
                  <w14:solidFill>
                    <w14:srgbClr w14:val="000000">
                      <w14:alpha w14:val="100000"/>
                    </w14:srgbClr>
                  </w14:solidFill>
                </w14:textFill>
              </w:rPr>
              <w:t xml:space="preserve">　</w:t>
            </w:r>
            <w:r w:rsidRPr="00B9195B">
              <w:rPr>
                <w:color w:val="000000"/>
                <w:w w:val="15"/>
                <w:shd w:val="solid" w:color="000000" w:fill="000000"/>
                <w:fitText w:val="70" w:id="-1436330480"/>
                <w14:textFill>
                  <w14:solidFill>
                    <w14:srgbClr w14:val="000000">
                      <w14:alpha w14:val="100000"/>
                    </w14:srgbClr>
                  </w14:solidFill>
                </w14:textFill>
              </w:rPr>
              <w:t>|</w:t>
            </w:r>
            <w:r w:rsidRPr="00B9195B">
              <w:rPr>
                <w:rFonts w:hint="eastAsia"/>
                <w:color w:val="000000"/>
                <w:spacing w:val="4"/>
                <w:w w:val="15"/>
                <w:shd w:val="solid" w:color="000000" w:fill="000000"/>
                <w:fitText w:val="70" w:id="-1436330480"/>
                <w14:textFill>
                  <w14:solidFill>
                    <w14:srgbClr w14:val="000000">
                      <w14:alpha w14:val="100000"/>
                    </w14:srgbClr>
                  </w14:solidFill>
                </w14:textFill>
              </w:rPr>
              <w:t xml:space="preserve">　</w:t>
            </w:r>
            <w:r w:rsidR="00186D0B">
              <w:rPr>
                <w:vertAlign w:val="superscript"/>
              </w:rPr>
              <w:t>9</w:t>
            </w:r>
          </w:p>
        </w:tc>
        <w:tc>
          <w:tcPr>
            <w:tcW w:w="598" w:type="pct"/>
            <w:shd w:val="clear" w:color="auto" w:fill="B6DDE8" w:themeFill="accent5" w:themeFillTint="66"/>
          </w:tcPr>
          <w:p w14:paraId="6BB49B0E" w14:textId="4EC7939E" w:rsidR="00454434" w:rsidRPr="004D3863" w:rsidRDefault="00B9195B" w:rsidP="00454434">
            <w:pPr>
              <w:pStyle w:val="TableText"/>
              <w:keepNext w:val="0"/>
              <w:jc w:val="center"/>
              <w:rPr>
                <w:highlight w:val="darkGray"/>
              </w:rPr>
            </w:pPr>
            <w:r w:rsidRPr="00B9195B">
              <w:rPr>
                <w:rFonts w:hint="eastAsia"/>
                <w:color w:val="000000"/>
                <w:w w:val="15"/>
                <w:shd w:val="solid" w:color="000000" w:fill="000000"/>
                <w:fitText w:val="70" w:id="-1436330496"/>
                <w14:textFill>
                  <w14:solidFill>
                    <w14:srgbClr w14:val="000000">
                      <w14:alpha w14:val="100000"/>
                    </w14:srgbClr>
                  </w14:solidFill>
                </w14:textFill>
              </w:rPr>
              <w:t xml:space="preserve">　</w:t>
            </w:r>
            <w:r w:rsidRPr="00B9195B">
              <w:rPr>
                <w:color w:val="000000"/>
                <w:w w:val="15"/>
                <w:shd w:val="solid" w:color="000000" w:fill="000000"/>
                <w:fitText w:val="70" w:id="-1436330496"/>
                <w14:textFill>
                  <w14:solidFill>
                    <w14:srgbClr w14:val="000000">
                      <w14:alpha w14:val="100000"/>
                    </w14:srgbClr>
                  </w14:solidFill>
                </w14:textFill>
              </w:rPr>
              <w:t>|</w:t>
            </w:r>
            <w:r w:rsidRPr="00B9195B">
              <w:rPr>
                <w:rFonts w:hint="eastAsia"/>
                <w:color w:val="000000"/>
                <w:spacing w:val="4"/>
                <w:w w:val="15"/>
                <w:shd w:val="solid" w:color="000000" w:fill="000000"/>
                <w:fitText w:val="70" w:id="-1436330496"/>
                <w14:textFill>
                  <w14:solidFill>
                    <w14:srgbClr w14:val="000000">
                      <w14:alpha w14:val="100000"/>
                    </w14:srgbClr>
                  </w14:solidFill>
                </w14:textFill>
              </w:rPr>
              <w:t xml:space="preserve">　</w:t>
            </w:r>
            <w:r w:rsidR="00186D0B">
              <w:rPr>
                <w:vertAlign w:val="superscript"/>
              </w:rPr>
              <w:t>7</w:t>
            </w:r>
            <w:r w:rsidR="00585A07" w:rsidRPr="00585A07">
              <w:t xml:space="preserve"> </w:t>
            </w:r>
          </w:p>
        </w:tc>
        <w:tc>
          <w:tcPr>
            <w:tcW w:w="598" w:type="pct"/>
            <w:shd w:val="clear" w:color="auto" w:fill="B6DDE8" w:themeFill="accent5" w:themeFillTint="66"/>
          </w:tcPr>
          <w:p w14:paraId="0AAD62F9" w14:textId="4BF32A3B" w:rsidR="00454434" w:rsidRPr="004D3863" w:rsidRDefault="00B9195B" w:rsidP="00454434">
            <w:pPr>
              <w:pStyle w:val="TableText"/>
              <w:keepNext w:val="0"/>
              <w:jc w:val="center"/>
              <w:rPr>
                <w:highlight w:val="darkGray"/>
              </w:rPr>
            </w:pPr>
            <w:r w:rsidRPr="00B9195B">
              <w:rPr>
                <w:rFonts w:hint="eastAsia"/>
                <w:color w:val="000000"/>
                <w:w w:val="22"/>
                <w:shd w:val="solid" w:color="000000" w:fill="000000"/>
                <w:fitText w:val="100" w:id="-1436330495"/>
                <w14:textFill>
                  <w14:solidFill>
                    <w14:srgbClr w14:val="000000">
                      <w14:alpha w14:val="100000"/>
                    </w14:srgbClr>
                  </w14:solidFill>
                </w14:textFill>
              </w:rPr>
              <w:t xml:space="preserve">　</w:t>
            </w:r>
            <w:r w:rsidRPr="00B9195B">
              <w:rPr>
                <w:color w:val="000000"/>
                <w:w w:val="22"/>
                <w:shd w:val="solid" w:color="000000" w:fill="000000"/>
                <w:fitText w:val="100" w:id="-1436330495"/>
                <w14:textFill>
                  <w14:solidFill>
                    <w14:srgbClr w14:val="000000">
                      <w14:alpha w14:val="100000"/>
                    </w14:srgbClr>
                  </w14:solidFill>
                </w14:textFill>
              </w:rPr>
              <w:t>|</w:t>
            </w:r>
            <w:r w:rsidRPr="00B9195B">
              <w:rPr>
                <w:rFonts w:hint="eastAsia"/>
                <w:color w:val="000000"/>
                <w:spacing w:val="3"/>
                <w:w w:val="22"/>
                <w:shd w:val="solid" w:color="000000" w:fill="000000"/>
                <w:fitText w:val="100" w:id="-1436330495"/>
                <w14:textFill>
                  <w14:solidFill>
                    <w14:srgbClr w14:val="000000">
                      <w14:alpha w14:val="100000"/>
                    </w14:srgbClr>
                  </w14:solidFill>
                </w14:textFill>
              </w:rPr>
              <w:t xml:space="preserve">　</w:t>
            </w:r>
            <w:r w:rsidR="00186D0B">
              <w:rPr>
                <w:vertAlign w:val="superscript"/>
              </w:rPr>
              <w:t>13</w:t>
            </w:r>
          </w:p>
        </w:tc>
        <w:tc>
          <w:tcPr>
            <w:tcW w:w="598" w:type="pct"/>
            <w:shd w:val="clear" w:color="auto" w:fill="B6DDE8" w:themeFill="accent5" w:themeFillTint="66"/>
          </w:tcPr>
          <w:p w14:paraId="38BA99BD" w14:textId="04B542ED" w:rsidR="00454434" w:rsidRPr="004D3863" w:rsidRDefault="00B9195B" w:rsidP="00454434">
            <w:pPr>
              <w:pStyle w:val="TableText"/>
              <w:keepNext w:val="0"/>
              <w:jc w:val="center"/>
              <w:rPr>
                <w:highlight w:val="darkGray"/>
              </w:rPr>
            </w:pPr>
            <w:r w:rsidRPr="00B9195B">
              <w:rPr>
                <w:rFonts w:hint="eastAsia"/>
                <w:color w:val="000000"/>
                <w:w w:val="22"/>
                <w:shd w:val="solid" w:color="000000" w:fill="000000"/>
                <w:fitText w:val="100" w:id="-1436330494"/>
                <w14:textFill>
                  <w14:solidFill>
                    <w14:srgbClr w14:val="000000">
                      <w14:alpha w14:val="100000"/>
                    </w14:srgbClr>
                  </w14:solidFill>
                </w14:textFill>
              </w:rPr>
              <w:t xml:space="preserve">　</w:t>
            </w:r>
            <w:r w:rsidRPr="00B9195B">
              <w:rPr>
                <w:color w:val="000000"/>
                <w:w w:val="22"/>
                <w:shd w:val="solid" w:color="000000" w:fill="000000"/>
                <w:fitText w:val="100" w:id="-1436330494"/>
                <w14:textFill>
                  <w14:solidFill>
                    <w14:srgbClr w14:val="000000">
                      <w14:alpha w14:val="100000"/>
                    </w14:srgbClr>
                  </w14:solidFill>
                </w14:textFill>
              </w:rPr>
              <w:t>|</w:t>
            </w:r>
            <w:r w:rsidRPr="00B9195B">
              <w:rPr>
                <w:rFonts w:hint="eastAsia"/>
                <w:color w:val="000000"/>
                <w:spacing w:val="3"/>
                <w:w w:val="22"/>
                <w:shd w:val="solid" w:color="000000" w:fill="000000"/>
                <w:fitText w:val="100" w:id="-1436330494"/>
                <w14:textFill>
                  <w14:solidFill>
                    <w14:srgbClr w14:val="000000">
                      <w14:alpha w14:val="100000"/>
                    </w14:srgbClr>
                  </w14:solidFill>
                </w14:textFill>
              </w:rPr>
              <w:t xml:space="preserve">　</w:t>
            </w:r>
            <w:r w:rsidR="009C707A">
              <w:rPr>
                <w:vertAlign w:val="superscript"/>
              </w:rPr>
              <w:t>16</w:t>
            </w:r>
            <w:r w:rsidR="00585A07" w:rsidRPr="00585A07">
              <w:t xml:space="preserve"> </w:t>
            </w:r>
          </w:p>
        </w:tc>
        <w:tc>
          <w:tcPr>
            <w:tcW w:w="598" w:type="pct"/>
            <w:shd w:val="clear" w:color="auto" w:fill="B6DDE8" w:themeFill="accent5" w:themeFillTint="66"/>
          </w:tcPr>
          <w:p w14:paraId="69A8B2BC" w14:textId="32C1B102" w:rsidR="00454434" w:rsidRPr="004D3863" w:rsidRDefault="00B9195B" w:rsidP="00454434">
            <w:pPr>
              <w:pStyle w:val="TableText"/>
              <w:keepNext w:val="0"/>
              <w:jc w:val="center"/>
              <w:rPr>
                <w:highlight w:val="darkGray"/>
              </w:rPr>
            </w:pPr>
            <w:r w:rsidRPr="00B9195B">
              <w:rPr>
                <w:rFonts w:hint="eastAsia"/>
                <w:color w:val="000000"/>
                <w:w w:val="22"/>
                <w:shd w:val="solid" w:color="000000" w:fill="000000"/>
                <w:fitText w:val="100" w:id="-1436330493"/>
                <w14:textFill>
                  <w14:solidFill>
                    <w14:srgbClr w14:val="000000">
                      <w14:alpha w14:val="100000"/>
                    </w14:srgbClr>
                  </w14:solidFill>
                </w14:textFill>
              </w:rPr>
              <w:t xml:space="preserve">　</w:t>
            </w:r>
            <w:r w:rsidRPr="00B9195B">
              <w:rPr>
                <w:color w:val="000000"/>
                <w:w w:val="22"/>
                <w:shd w:val="solid" w:color="000000" w:fill="000000"/>
                <w:fitText w:val="100" w:id="-1436330493"/>
                <w14:textFill>
                  <w14:solidFill>
                    <w14:srgbClr w14:val="000000">
                      <w14:alpha w14:val="100000"/>
                    </w14:srgbClr>
                  </w14:solidFill>
                </w14:textFill>
              </w:rPr>
              <w:t>|</w:t>
            </w:r>
            <w:r w:rsidRPr="00B9195B">
              <w:rPr>
                <w:rFonts w:hint="eastAsia"/>
                <w:color w:val="000000"/>
                <w:spacing w:val="3"/>
                <w:w w:val="22"/>
                <w:shd w:val="solid" w:color="000000" w:fill="000000"/>
                <w:fitText w:val="100" w:id="-1436330493"/>
                <w14:textFill>
                  <w14:solidFill>
                    <w14:srgbClr w14:val="000000">
                      <w14:alpha w14:val="100000"/>
                    </w14:srgbClr>
                  </w14:solidFill>
                </w14:textFill>
              </w:rPr>
              <w:t xml:space="preserve">　</w:t>
            </w:r>
            <w:r w:rsidR="009C707A">
              <w:rPr>
                <w:vertAlign w:val="superscript"/>
              </w:rPr>
              <w:t>17</w:t>
            </w:r>
          </w:p>
        </w:tc>
        <w:tc>
          <w:tcPr>
            <w:tcW w:w="598" w:type="pct"/>
            <w:shd w:val="clear" w:color="auto" w:fill="B6DDE8" w:themeFill="accent5" w:themeFillTint="66"/>
          </w:tcPr>
          <w:p w14:paraId="07DDD6A7" w14:textId="031ACC39" w:rsidR="00454434" w:rsidRPr="004D3863" w:rsidRDefault="00B9195B" w:rsidP="00454434">
            <w:pPr>
              <w:pStyle w:val="TableText"/>
              <w:keepNext w:val="0"/>
              <w:jc w:val="center"/>
              <w:rPr>
                <w:highlight w:val="darkGray"/>
              </w:rPr>
            </w:pPr>
            <w:r w:rsidRPr="00B9195B">
              <w:rPr>
                <w:rFonts w:hint="eastAsia"/>
                <w:color w:val="000000"/>
                <w:w w:val="22"/>
                <w:shd w:val="solid" w:color="000000" w:fill="000000"/>
                <w:fitText w:val="100" w:id="-1436330492"/>
                <w14:textFill>
                  <w14:solidFill>
                    <w14:srgbClr w14:val="000000">
                      <w14:alpha w14:val="100000"/>
                    </w14:srgbClr>
                  </w14:solidFill>
                </w14:textFill>
              </w:rPr>
              <w:t xml:space="preserve">　</w:t>
            </w:r>
            <w:r w:rsidRPr="00B9195B">
              <w:rPr>
                <w:color w:val="000000"/>
                <w:w w:val="22"/>
                <w:shd w:val="solid" w:color="000000" w:fill="000000"/>
                <w:fitText w:val="100" w:id="-1436330492"/>
                <w14:textFill>
                  <w14:solidFill>
                    <w14:srgbClr w14:val="000000">
                      <w14:alpha w14:val="100000"/>
                    </w14:srgbClr>
                  </w14:solidFill>
                </w14:textFill>
              </w:rPr>
              <w:t>|</w:t>
            </w:r>
            <w:r w:rsidRPr="00B9195B">
              <w:rPr>
                <w:rFonts w:hint="eastAsia"/>
                <w:color w:val="000000"/>
                <w:spacing w:val="3"/>
                <w:w w:val="22"/>
                <w:shd w:val="solid" w:color="000000" w:fill="000000"/>
                <w:fitText w:val="100" w:id="-1436330492"/>
                <w14:textFill>
                  <w14:solidFill>
                    <w14:srgbClr w14:val="000000">
                      <w14:alpha w14:val="100000"/>
                    </w14:srgbClr>
                  </w14:solidFill>
                </w14:textFill>
              </w:rPr>
              <w:t xml:space="preserve">　</w:t>
            </w:r>
            <w:r w:rsidR="009C707A">
              <w:rPr>
                <w:vertAlign w:val="superscript"/>
              </w:rPr>
              <w:t>17</w:t>
            </w:r>
          </w:p>
        </w:tc>
      </w:tr>
      <w:tr w:rsidR="00454434" w:rsidRPr="000A6039" w14:paraId="48F00244" w14:textId="77777777" w:rsidTr="00486D82">
        <w:tc>
          <w:tcPr>
            <w:tcW w:w="1412" w:type="pct"/>
            <w:shd w:val="clear" w:color="auto" w:fill="B6DDE8" w:themeFill="accent5" w:themeFillTint="66"/>
            <w:vAlign w:val="center"/>
          </w:tcPr>
          <w:p w14:paraId="13CCA08E" w14:textId="45853D94" w:rsidR="00454434" w:rsidRPr="00224AC7" w:rsidRDefault="00454434" w:rsidP="00454434">
            <w:pPr>
              <w:pStyle w:val="TableText"/>
              <w:keepNext w:val="0"/>
            </w:pPr>
            <w:r w:rsidRPr="002530A2">
              <w:t xml:space="preserve">Total PBS/RPBS cost </w:t>
            </w:r>
          </w:p>
        </w:tc>
        <w:tc>
          <w:tcPr>
            <w:tcW w:w="598" w:type="pct"/>
            <w:shd w:val="clear" w:color="auto" w:fill="B6DDE8" w:themeFill="accent5" w:themeFillTint="66"/>
          </w:tcPr>
          <w:p w14:paraId="2C382029" w14:textId="2C37A820" w:rsidR="00454434" w:rsidRPr="00224AC7" w:rsidRDefault="00454434" w:rsidP="00454434">
            <w:pPr>
              <w:pStyle w:val="TableText"/>
              <w:jc w:val="center"/>
            </w:pPr>
            <w:r w:rsidRPr="00224AC7">
              <w:t>$</w:t>
            </w:r>
            <w:r w:rsidR="00B9195B" w:rsidRPr="00B9195B">
              <w:rPr>
                <w:rFonts w:hint="eastAsia"/>
                <w:color w:val="000000"/>
                <w:w w:val="32"/>
                <w:shd w:val="solid" w:color="000000" w:fill="000000"/>
                <w:fitText w:val="146" w:id="-1436330240"/>
                <w14:textFill>
                  <w14:solidFill>
                    <w14:srgbClr w14:val="000000">
                      <w14:alpha w14:val="100000"/>
                    </w14:srgbClr>
                  </w14:solidFill>
                </w14:textFill>
              </w:rPr>
              <w:t xml:space="preserve">　</w:t>
            </w:r>
            <w:r w:rsidR="00B9195B" w:rsidRPr="00B9195B">
              <w:rPr>
                <w:color w:val="000000"/>
                <w:w w:val="32"/>
                <w:shd w:val="solid" w:color="000000" w:fill="000000"/>
                <w:fitText w:val="146" w:id="-1436330240"/>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40"/>
                <w14:textFill>
                  <w14:solidFill>
                    <w14:srgbClr w14:val="000000">
                      <w14:alpha w14:val="100000"/>
                    </w14:srgbClr>
                  </w14:solidFill>
                </w14:textFill>
              </w:rPr>
              <w:t xml:space="preserve">　</w:t>
            </w:r>
            <w:r w:rsidR="00186D0B">
              <w:rPr>
                <w:vertAlign w:val="superscript"/>
              </w:rPr>
              <w:t>10</w:t>
            </w:r>
          </w:p>
        </w:tc>
        <w:tc>
          <w:tcPr>
            <w:tcW w:w="598" w:type="pct"/>
            <w:shd w:val="clear" w:color="auto" w:fill="B6DDE8" w:themeFill="accent5" w:themeFillTint="66"/>
          </w:tcPr>
          <w:p w14:paraId="00367DB2" w14:textId="74FC4481" w:rsidR="00454434" w:rsidRPr="00224AC7" w:rsidRDefault="00454434" w:rsidP="00454434">
            <w:pPr>
              <w:pStyle w:val="TableText"/>
              <w:jc w:val="center"/>
            </w:pPr>
            <w:r w:rsidRPr="00224AC7">
              <w:t>$</w:t>
            </w:r>
            <w:r w:rsidR="00B9195B" w:rsidRPr="00B9195B">
              <w:rPr>
                <w:rFonts w:hint="eastAsia"/>
                <w:color w:val="000000"/>
                <w:w w:val="32"/>
                <w:shd w:val="solid" w:color="000000" w:fill="000000"/>
                <w:fitText w:val="146" w:id="-1436330239"/>
                <w14:textFill>
                  <w14:solidFill>
                    <w14:srgbClr w14:val="000000">
                      <w14:alpha w14:val="100000"/>
                    </w14:srgbClr>
                  </w14:solidFill>
                </w14:textFill>
              </w:rPr>
              <w:t xml:space="preserve">　</w:t>
            </w:r>
            <w:r w:rsidR="00B9195B" w:rsidRPr="00B9195B">
              <w:rPr>
                <w:color w:val="000000"/>
                <w:w w:val="32"/>
                <w:shd w:val="solid" w:color="000000" w:fill="000000"/>
                <w:fitText w:val="146" w:id="-1436330239"/>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39"/>
                <w14:textFill>
                  <w14:solidFill>
                    <w14:srgbClr w14:val="000000">
                      <w14:alpha w14:val="100000"/>
                    </w14:srgbClr>
                  </w14:solidFill>
                </w14:textFill>
              </w:rPr>
              <w:t xml:space="preserve">　</w:t>
            </w:r>
            <w:r w:rsidR="00186D0B">
              <w:rPr>
                <w:vertAlign w:val="superscript"/>
              </w:rPr>
              <w:t>12</w:t>
            </w:r>
          </w:p>
        </w:tc>
        <w:tc>
          <w:tcPr>
            <w:tcW w:w="598" w:type="pct"/>
            <w:shd w:val="clear" w:color="auto" w:fill="B6DDE8" w:themeFill="accent5" w:themeFillTint="66"/>
          </w:tcPr>
          <w:p w14:paraId="4580BD00" w14:textId="1FEE3372" w:rsidR="00454434" w:rsidRPr="00224AC7" w:rsidRDefault="00454434" w:rsidP="00454434">
            <w:pPr>
              <w:pStyle w:val="TableText"/>
              <w:jc w:val="center"/>
            </w:pPr>
            <w:r w:rsidRPr="00224AC7">
              <w:t>$</w:t>
            </w:r>
            <w:r w:rsidR="00B9195B" w:rsidRPr="00B9195B">
              <w:rPr>
                <w:rFonts w:hint="eastAsia"/>
                <w:color w:val="000000"/>
                <w:w w:val="32"/>
                <w:shd w:val="solid" w:color="000000" w:fill="000000"/>
                <w:fitText w:val="146" w:id="-1436330238"/>
                <w14:textFill>
                  <w14:solidFill>
                    <w14:srgbClr w14:val="000000">
                      <w14:alpha w14:val="100000"/>
                    </w14:srgbClr>
                  </w14:solidFill>
                </w14:textFill>
              </w:rPr>
              <w:t xml:space="preserve">　</w:t>
            </w:r>
            <w:r w:rsidR="00B9195B" w:rsidRPr="00B9195B">
              <w:rPr>
                <w:color w:val="000000"/>
                <w:w w:val="32"/>
                <w:shd w:val="solid" w:color="000000" w:fill="000000"/>
                <w:fitText w:val="146" w:id="-1436330238"/>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38"/>
                <w14:textFill>
                  <w14:solidFill>
                    <w14:srgbClr w14:val="000000">
                      <w14:alpha w14:val="100000"/>
                    </w14:srgbClr>
                  </w14:solidFill>
                </w14:textFill>
              </w:rPr>
              <w:t xml:space="preserve">　</w:t>
            </w:r>
            <w:r w:rsidR="00186D0B">
              <w:rPr>
                <w:vertAlign w:val="superscript"/>
              </w:rPr>
              <w:t>15</w:t>
            </w:r>
          </w:p>
        </w:tc>
        <w:tc>
          <w:tcPr>
            <w:tcW w:w="598" w:type="pct"/>
            <w:shd w:val="clear" w:color="auto" w:fill="B6DDE8" w:themeFill="accent5" w:themeFillTint="66"/>
          </w:tcPr>
          <w:p w14:paraId="76DF90B3" w14:textId="3AC99BDC" w:rsidR="00454434" w:rsidRPr="004D3863" w:rsidRDefault="00454434" w:rsidP="00454434">
            <w:pPr>
              <w:pStyle w:val="TableText"/>
              <w:jc w:val="center"/>
              <w:rPr>
                <w:highlight w:val="darkGray"/>
              </w:rPr>
            </w:pPr>
            <w:r w:rsidRPr="00D57D5A">
              <w:t>$</w:t>
            </w:r>
            <w:r w:rsidR="00B9195B" w:rsidRPr="00B9195B">
              <w:rPr>
                <w:rFonts w:hint="eastAsia"/>
                <w:color w:val="000000"/>
                <w:w w:val="32"/>
                <w:shd w:val="solid" w:color="000000" w:fill="000000"/>
                <w:fitText w:val="146" w:id="-1436330237"/>
                <w14:textFill>
                  <w14:solidFill>
                    <w14:srgbClr w14:val="000000">
                      <w14:alpha w14:val="100000"/>
                    </w14:srgbClr>
                  </w14:solidFill>
                </w14:textFill>
              </w:rPr>
              <w:t xml:space="preserve">　</w:t>
            </w:r>
            <w:r w:rsidR="00B9195B" w:rsidRPr="00B9195B">
              <w:rPr>
                <w:color w:val="000000"/>
                <w:w w:val="32"/>
                <w:shd w:val="solid" w:color="000000" w:fill="000000"/>
                <w:fitText w:val="146" w:id="-1436330237"/>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37"/>
                <w14:textFill>
                  <w14:solidFill>
                    <w14:srgbClr w14:val="000000">
                      <w14:alpha w14:val="100000"/>
                    </w14:srgbClr>
                  </w14:solidFill>
                </w14:textFill>
              </w:rPr>
              <w:t xml:space="preserve">　</w:t>
            </w:r>
            <w:r w:rsidR="00186D0B">
              <w:rPr>
                <w:vertAlign w:val="superscript"/>
              </w:rPr>
              <w:t>15</w:t>
            </w:r>
          </w:p>
        </w:tc>
        <w:tc>
          <w:tcPr>
            <w:tcW w:w="598" w:type="pct"/>
            <w:shd w:val="clear" w:color="auto" w:fill="B6DDE8" w:themeFill="accent5" w:themeFillTint="66"/>
          </w:tcPr>
          <w:p w14:paraId="79BF1A3C" w14:textId="455113FC" w:rsidR="00454434" w:rsidRPr="004D3863" w:rsidRDefault="00454434" w:rsidP="00454434">
            <w:pPr>
              <w:pStyle w:val="TableText"/>
              <w:jc w:val="center"/>
              <w:rPr>
                <w:highlight w:val="darkGray"/>
              </w:rPr>
            </w:pPr>
            <w:r w:rsidRPr="00D57D5A">
              <w:t>$</w:t>
            </w:r>
            <w:r w:rsidR="00B9195B" w:rsidRPr="00B9195B">
              <w:rPr>
                <w:rFonts w:hint="eastAsia"/>
                <w:color w:val="000000"/>
                <w:w w:val="32"/>
                <w:shd w:val="solid" w:color="000000" w:fill="000000"/>
                <w:fitText w:val="146" w:id="-1436330236"/>
                <w14:textFill>
                  <w14:solidFill>
                    <w14:srgbClr w14:val="000000">
                      <w14:alpha w14:val="100000"/>
                    </w14:srgbClr>
                  </w14:solidFill>
                </w14:textFill>
              </w:rPr>
              <w:t xml:space="preserve">　</w:t>
            </w:r>
            <w:r w:rsidR="00B9195B" w:rsidRPr="00B9195B">
              <w:rPr>
                <w:color w:val="000000"/>
                <w:w w:val="32"/>
                <w:shd w:val="solid" w:color="000000" w:fill="000000"/>
                <w:fitText w:val="146" w:id="-1436330236"/>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36"/>
                <w14:textFill>
                  <w14:solidFill>
                    <w14:srgbClr w14:val="000000">
                      <w14:alpha w14:val="100000"/>
                    </w14:srgbClr>
                  </w14:solidFill>
                </w14:textFill>
              </w:rPr>
              <w:t xml:space="preserve">　</w:t>
            </w:r>
            <w:r w:rsidR="00186D0B">
              <w:rPr>
                <w:vertAlign w:val="superscript"/>
              </w:rPr>
              <w:t>15</w:t>
            </w:r>
          </w:p>
        </w:tc>
        <w:tc>
          <w:tcPr>
            <w:tcW w:w="598" w:type="pct"/>
            <w:shd w:val="clear" w:color="auto" w:fill="B6DDE8" w:themeFill="accent5" w:themeFillTint="66"/>
          </w:tcPr>
          <w:p w14:paraId="335E6FB3" w14:textId="3F1C82D1" w:rsidR="00454434" w:rsidRPr="00224AC7" w:rsidRDefault="00454434" w:rsidP="00454434">
            <w:pPr>
              <w:pStyle w:val="TableText"/>
              <w:jc w:val="center"/>
            </w:pPr>
            <w:r w:rsidRPr="00224AC7">
              <w:t>$</w:t>
            </w:r>
            <w:r w:rsidR="00B9195B" w:rsidRPr="00B9195B">
              <w:rPr>
                <w:rFonts w:hint="eastAsia"/>
                <w:color w:val="000000"/>
                <w:w w:val="32"/>
                <w:shd w:val="solid" w:color="000000" w:fill="000000"/>
                <w:fitText w:val="146" w:id="-1436330235"/>
                <w14:textFill>
                  <w14:solidFill>
                    <w14:srgbClr w14:val="000000">
                      <w14:alpha w14:val="100000"/>
                    </w14:srgbClr>
                  </w14:solidFill>
                </w14:textFill>
              </w:rPr>
              <w:t xml:space="preserve">　</w:t>
            </w:r>
            <w:r w:rsidR="00B9195B" w:rsidRPr="00B9195B">
              <w:rPr>
                <w:color w:val="000000"/>
                <w:w w:val="32"/>
                <w:shd w:val="solid" w:color="000000" w:fill="000000"/>
                <w:fitText w:val="146" w:id="-1436330235"/>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35"/>
                <w14:textFill>
                  <w14:solidFill>
                    <w14:srgbClr w14:val="000000">
                      <w14:alpha w14:val="100000"/>
                    </w14:srgbClr>
                  </w14:solidFill>
                </w14:textFill>
              </w:rPr>
              <w:t xml:space="preserve">　</w:t>
            </w:r>
            <w:r w:rsidR="00186D0B">
              <w:rPr>
                <w:vertAlign w:val="superscript"/>
              </w:rPr>
              <w:t>15</w:t>
            </w:r>
          </w:p>
        </w:tc>
      </w:tr>
      <w:tr w:rsidR="00454434" w:rsidRPr="000A6039" w14:paraId="709DC016" w14:textId="77777777" w:rsidTr="00486D82">
        <w:tc>
          <w:tcPr>
            <w:tcW w:w="1412" w:type="pct"/>
            <w:shd w:val="clear" w:color="auto" w:fill="B6DDE8" w:themeFill="accent5" w:themeFillTint="66"/>
            <w:vAlign w:val="center"/>
          </w:tcPr>
          <w:p w14:paraId="0A4A1405" w14:textId="6A5AB89E" w:rsidR="00454434" w:rsidRPr="008C5659" w:rsidRDefault="00454434" w:rsidP="00454434">
            <w:pPr>
              <w:pStyle w:val="TableText"/>
              <w:rPr>
                <w:b/>
                <w:bCs w:val="0"/>
              </w:rPr>
            </w:pPr>
            <w:r w:rsidRPr="002530A2">
              <w:t xml:space="preserve">Patient </w:t>
            </w:r>
            <w:proofErr w:type="spellStart"/>
            <w:r w:rsidRPr="002530A2">
              <w:t>copayments</w:t>
            </w:r>
            <w:proofErr w:type="spellEnd"/>
          </w:p>
        </w:tc>
        <w:tc>
          <w:tcPr>
            <w:tcW w:w="598" w:type="pct"/>
            <w:shd w:val="clear" w:color="auto" w:fill="B6DDE8" w:themeFill="accent5" w:themeFillTint="66"/>
          </w:tcPr>
          <w:p w14:paraId="56EEC78D" w14:textId="4EC1A5AF" w:rsidR="00454434" w:rsidRDefault="00454434" w:rsidP="00454434">
            <w:pPr>
              <w:pStyle w:val="TableText"/>
              <w:jc w:val="center"/>
              <w:rPr>
                <w:b/>
              </w:rPr>
            </w:pPr>
            <w:r w:rsidRPr="002530A2">
              <w:t>$</w:t>
            </w:r>
            <w:r w:rsidR="00B9195B" w:rsidRPr="00B9195B">
              <w:rPr>
                <w:rFonts w:hint="eastAsia"/>
                <w:color w:val="000000"/>
                <w:w w:val="32"/>
                <w:shd w:val="solid" w:color="000000" w:fill="000000"/>
                <w:fitText w:val="146" w:id="-1436330234"/>
                <w14:textFill>
                  <w14:solidFill>
                    <w14:srgbClr w14:val="000000">
                      <w14:alpha w14:val="100000"/>
                    </w14:srgbClr>
                  </w14:solidFill>
                </w14:textFill>
              </w:rPr>
              <w:t xml:space="preserve">　</w:t>
            </w:r>
            <w:r w:rsidR="00B9195B" w:rsidRPr="00B9195B">
              <w:rPr>
                <w:color w:val="000000"/>
                <w:w w:val="32"/>
                <w:shd w:val="solid" w:color="000000" w:fill="000000"/>
                <w:fitText w:val="146" w:id="-1436330234"/>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34"/>
                <w14:textFill>
                  <w14:solidFill>
                    <w14:srgbClr w14:val="000000">
                      <w14:alpha w14:val="100000"/>
                    </w14:srgbClr>
                  </w14:solidFill>
                </w14:textFill>
              </w:rPr>
              <w:t xml:space="preserve">　</w:t>
            </w:r>
            <w:r w:rsidR="00186D0B">
              <w:rPr>
                <w:vertAlign w:val="superscript"/>
              </w:rPr>
              <w:t>11</w:t>
            </w:r>
          </w:p>
        </w:tc>
        <w:tc>
          <w:tcPr>
            <w:tcW w:w="598" w:type="pct"/>
            <w:shd w:val="clear" w:color="auto" w:fill="B6DDE8" w:themeFill="accent5" w:themeFillTint="66"/>
          </w:tcPr>
          <w:p w14:paraId="216A4DDB" w14:textId="2D283EDE" w:rsidR="00454434" w:rsidRDefault="00454434" w:rsidP="00454434">
            <w:pPr>
              <w:pStyle w:val="TableText"/>
              <w:jc w:val="center"/>
              <w:rPr>
                <w:b/>
              </w:rPr>
            </w:pPr>
            <w:r w:rsidRPr="002530A2">
              <w:t>$</w:t>
            </w:r>
            <w:r w:rsidR="00B9195B" w:rsidRPr="00B9195B">
              <w:rPr>
                <w:rFonts w:hint="eastAsia"/>
                <w:color w:val="000000"/>
                <w:w w:val="32"/>
                <w:shd w:val="solid" w:color="000000" w:fill="000000"/>
                <w:fitText w:val="146" w:id="-1436330233"/>
                <w14:textFill>
                  <w14:solidFill>
                    <w14:srgbClr w14:val="000000">
                      <w14:alpha w14:val="100000"/>
                    </w14:srgbClr>
                  </w14:solidFill>
                </w14:textFill>
              </w:rPr>
              <w:t xml:space="preserve">　</w:t>
            </w:r>
            <w:r w:rsidR="00B9195B" w:rsidRPr="00B9195B">
              <w:rPr>
                <w:color w:val="000000"/>
                <w:w w:val="32"/>
                <w:shd w:val="solid" w:color="000000" w:fill="000000"/>
                <w:fitText w:val="146" w:id="-1436330233"/>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33"/>
                <w14:textFill>
                  <w14:solidFill>
                    <w14:srgbClr w14:val="000000">
                      <w14:alpha w14:val="100000"/>
                    </w14:srgbClr>
                  </w14:solidFill>
                </w14:textFill>
              </w:rPr>
              <w:t xml:space="preserve">　</w:t>
            </w:r>
            <w:r w:rsidR="00186D0B">
              <w:rPr>
                <w:vertAlign w:val="superscript"/>
              </w:rPr>
              <w:t>11</w:t>
            </w:r>
          </w:p>
        </w:tc>
        <w:tc>
          <w:tcPr>
            <w:tcW w:w="598" w:type="pct"/>
            <w:shd w:val="clear" w:color="auto" w:fill="B6DDE8" w:themeFill="accent5" w:themeFillTint="66"/>
          </w:tcPr>
          <w:p w14:paraId="0639980A" w14:textId="5DDF84DB" w:rsidR="00454434" w:rsidRDefault="00454434" w:rsidP="00454434">
            <w:pPr>
              <w:pStyle w:val="TableText"/>
              <w:jc w:val="center"/>
              <w:rPr>
                <w:b/>
              </w:rPr>
            </w:pPr>
            <w:r w:rsidRPr="002530A2">
              <w:t>$</w:t>
            </w:r>
            <w:r w:rsidR="00B9195B" w:rsidRPr="00B9195B">
              <w:rPr>
                <w:rFonts w:hint="eastAsia"/>
                <w:color w:val="000000"/>
                <w:w w:val="32"/>
                <w:shd w:val="solid" w:color="000000" w:fill="000000"/>
                <w:fitText w:val="146" w:id="-1436330232"/>
                <w14:textFill>
                  <w14:solidFill>
                    <w14:srgbClr w14:val="000000">
                      <w14:alpha w14:val="100000"/>
                    </w14:srgbClr>
                  </w14:solidFill>
                </w14:textFill>
              </w:rPr>
              <w:t xml:space="preserve">　</w:t>
            </w:r>
            <w:r w:rsidR="00B9195B" w:rsidRPr="00B9195B">
              <w:rPr>
                <w:color w:val="000000"/>
                <w:w w:val="32"/>
                <w:shd w:val="solid" w:color="000000" w:fill="000000"/>
                <w:fitText w:val="146" w:id="-1436330232"/>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32"/>
                <w14:textFill>
                  <w14:solidFill>
                    <w14:srgbClr w14:val="000000">
                      <w14:alpha w14:val="100000"/>
                    </w14:srgbClr>
                  </w14:solidFill>
                </w14:textFill>
              </w:rPr>
              <w:t xml:space="preserve">　</w:t>
            </w:r>
            <w:r w:rsidR="00186D0B">
              <w:rPr>
                <w:vertAlign w:val="superscript"/>
              </w:rPr>
              <w:t>11</w:t>
            </w:r>
          </w:p>
        </w:tc>
        <w:tc>
          <w:tcPr>
            <w:tcW w:w="598" w:type="pct"/>
            <w:shd w:val="clear" w:color="auto" w:fill="B6DDE8" w:themeFill="accent5" w:themeFillTint="66"/>
          </w:tcPr>
          <w:p w14:paraId="6A8A6410" w14:textId="6A2A960C" w:rsidR="00454434" w:rsidRDefault="00454434" w:rsidP="00454434">
            <w:pPr>
              <w:pStyle w:val="TableText"/>
              <w:jc w:val="center"/>
              <w:rPr>
                <w:b/>
              </w:rPr>
            </w:pPr>
            <w:r w:rsidRPr="002530A2">
              <w:t>$</w:t>
            </w:r>
            <w:r w:rsidR="00B9195B" w:rsidRPr="00B9195B">
              <w:rPr>
                <w:rFonts w:hint="eastAsia"/>
                <w:color w:val="000000"/>
                <w:w w:val="32"/>
                <w:shd w:val="solid" w:color="000000" w:fill="000000"/>
                <w:fitText w:val="146" w:id="-1436330231"/>
                <w14:textFill>
                  <w14:solidFill>
                    <w14:srgbClr w14:val="000000">
                      <w14:alpha w14:val="100000"/>
                    </w14:srgbClr>
                  </w14:solidFill>
                </w14:textFill>
              </w:rPr>
              <w:t xml:space="preserve">　</w:t>
            </w:r>
            <w:r w:rsidR="00B9195B" w:rsidRPr="00B9195B">
              <w:rPr>
                <w:color w:val="000000"/>
                <w:w w:val="32"/>
                <w:shd w:val="solid" w:color="000000" w:fill="000000"/>
                <w:fitText w:val="146" w:id="-1436330231"/>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31"/>
                <w14:textFill>
                  <w14:solidFill>
                    <w14:srgbClr w14:val="000000">
                      <w14:alpha w14:val="100000"/>
                    </w14:srgbClr>
                  </w14:solidFill>
                </w14:textFill>
              </w:rPr>
              <w:t xml:space="preserve">　</w:t>
            </w:r>
            <w:r w:rsidR="00186D0B">
              <w:rPr>
                <w:vertAlign w:val="superscript"/>
              </w:rPr>
              <w:t>11</w:t>
            </w:r>
          </w:p>
        </w:tc>
        <w:tc>
          <w:tcPr>
            <w:tcW w:w="598" w:type="pct"/>
            <w:shd w:val="clear" w:color="auto" w:fill="B6DDE8" w:themeFill="accent5" w:themeFillTint="66"/>
          </w:tcPr>
          <w:p w14:paraId="5A2DAF00" w14:textId="7BF52168" w:rsidR="00454434" w:rsidRDefault="00454434" w:rsidP="00454434">
            <w:pPr>
              <w:pStyle w:val="TableText"/>
              <w:jc w:val="center"/>
              <w:rPr>
                <w:b/>
              </w:rPr>
            </w:pPr>
            <w:r w:rsidRPr="002530A2">
              <w:t>$</w:t>
            </w:r>
            <w:r w:rsidR="00B9195B" w:rsidRPr="00B9195B">
              <w:rPr>
                <w:rFonts w:hint="eastAsia"/>
                <w:color w:val="000000"/>
                <w:w w:val="32"/>
                <w:shd w:val="solid" w:color="000000" w:fill="000000"/>
                <w:fitText w:val="146" w:id="-1436330230"/>
                <w14:textFill>
                  <w14:solidFill>
                    <w14:srgbClr w14:val="000000">
                      <w14:alpha w14:val="100000"/>
                    </w14:srgbClr>
                  </w14:solidFill>
                </w14:textFill>
              </w:rPr>
              <w:t xml:space="preserve">　</w:t>
            </w:r>
            <w:r w:rsidR="00B9195B" w:rsidRPr="00B9195B">
              <w:rPr>
                <w:color w:val="000000"/>
                <w:w w:val="32"/>
                <w:shd w:val="solid" w:color="000000" w:fill="000000"/>
                <w:fitText w:val="146" w:id="-1436330230"/>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30"/>
                <w14:textFill>
                  <w14:solidFill>
                    <w14:srgbClr w14:val="000000">
                      <w14:alpha w14:val="100000"/>
                    </w14:srgbClr>
                  </w14:solidFill>
                </w14:textFill>
              </w:rPr>
              <w:t xml:space="preserve">　</w:t>
            </w:r>
            <w:r w:rsidR="00186D0B">
              <w:rPr>
                <w:vertAlign w:val="superscript"/>
              </w:rPr>
              <w:t>11</w:t>
            </w:r>
          </w:p>
        </w:tc>
        <w:tc>
          <w:tcPr>
            <w:tcW w:w="598" w:type="pct"/>
            <w:shd w:val="clear" w:color="auto" w:fill="B6DDE8" w:themeFill="accent5" w:themeFillTint="66"/>
          </w:tcPr>
          <w:p w14:paraId="259F7023" w14:textId="03E394E4" w:rsidR="00454434" w:rsidRDefault="00454434" w:rsidP="00454434">
            <w:pPr>
              <w:pStyle w:val="TableText"/>
              <w:jc w:val="center"/>
              <w:rPr>
                <w:b/>
              </w:rPr>
            </w:pPr>
            <w:r w:rsidRPr="002530A2">
              <w:t>$</w:t>
            </w:r>
            <w:r w:rsidR="00B9195B" w:rsidRPr="00B9195B">
              <w:rPr>
                <w:rFonts w:hint="eastAsia"/>
                <w:color w:val="000000"/>
                <w:w w:val="32"/>
                <w:shd w:val="solid" w:color="000000" w:fill="000000"/>
                <w:fitText w:val="146" w:id="-1436330229"/>
                <w14:textFill>
                  <w14:solidFill>
                    <w14:srgbClr w14:val="000000">
                      <w14:alpha w14:val="100000"/>
                    </w14:srgbClr>
                  </w14:solidFill>
                </w14:textFill>
              </w:rPr>
              <w:t xml:space="preserve">　</w:t>
            </w:r>
            <w:r w:rsidR="00B9195B" w:rsidRPr="00B9195B">
              <w:rPr>
                <w:color w:val="000000"/>
                <w:w w:val="32"/>
                <w:shd w:val="solid" w:color="000000" w:fill="000000"/>
                <w:fitText w:val="146" w:id="-1436330229"/>
                <w14:textFill>
                  <w14:solidFill>
                    <w14:srgbClr w14:val="000000">
                      <w14:alpha w14:val="100000"/>
                    </w14:srgbClr>
                  </w14:solidFill>
                </w14:textFill>
              </w:rPr>
              <w:t>|</w:t>
            </w:r>
            <w:r w:rsidR="00B9195B" w:rsidRPr="00B9195B">
              <w:rPr>
                <w:rFonts w:hint="eastAsia"/>
                <w:color w:val="000000"/>
                <w:spacing w:val="7"/>
                <w:w w:val="32"/>
                <w:shd w:val="solid" w:color="000000" w:fill="000000"/>
                <w:fitText w:val="146" w:id="-1436330229"/>
                <w14:textFill>
                  <w14:solidFill>
                    <w14:srgbClr w14:val="000000">
                      <w14:alpha w14:val="100000"/>
                    </w14:srgbClr>
                  </w14:solidFill>
                </w14:textFill>
              </w:rPr>
              <w:t xml:space="preserve">　</w:t>
            </w:r>
            <w:r w:rsidR="00186D0B">
              <w:rPr>
                <w:vertAlign w:val="superscript"/>
              </w:rPr>
              <w:t>11</w:t>
            </w:r>
          </w:p>
        </w:tc>
      </w:tr>
      <w:tr w:rsidR="00454434" w:rsidRPr="000A6039" w14:paraId="3659D904" w14:textId="77777777" w:rsidTr="00486D82">
        <w:tc>
          <w:tcPr>
            <w:tcW w:w="1412" w:type="pct"/>
            <w:shd w:val="clear" w:color="auto" w:fill="B6DDE8" w:themeFill="accent5" w:themeFillTint="66"/>
            <w:vAlign w:val="center"/>
          </w:tcPr>
          <w:p w14:paraId="56F62101" w14:textId="0A884A3A" w:rsidR="00454434" w:rsidRPr="008C5659" w:rsidRDefault="00454434" w:rsidP="00454434">
            <w:pPr>
              <w:pStyle w:val="TableText"/>
              <w:rPr>
                <w:b/>
                <w:bCs w:val="0"/>
              </w:rPr>
            </w:pPr>
            <w:r w:rsidRPr="002530A2">
              <w:rPr>
                <w:b/>
                <w:bCs w:val="0"/>
              </w:rPr>
              <w:t xml:space="preserve">Net PBS/RPBS cost </w:t>
            </w:r>
          </w:p>
        </w:tc>
        <w:tc>
          <w:tcPr>
            <w:tcW w:w="598" w:type="pct"/>
            <w:shd w:val="clear" w:color="auto" w:fill="B6DDE8" w:themeFill="accent5" w:themeFillTint="66"/>
          </w:tcPr>
          <w:p w14:paraId="3B5D005A" w14:textId="1CDCC295" w:rsidR="00454434" w:rsidRDefault="00454434" w:rsidP="00454434">
            <w:pPr>
              <w:pStyle w:val="TableText"/>
              <w:jc w:val="center"/>
              <w:rPr>
                <w:b/>
              </w:rPr>
            </w:pPr>
            <w:r w:rsidRPr="002530A2">
              <w:rPr>
                <w:b/>
                <w:bCs w:val="0"/>
              </w:rPr>
              <w:t>$</w:t>
            </w:r>
            <w:r w:rsidR="00B9195B" w:rsidRPr="00B9195B">
              <w:rPr>
                <w:b/>
                <w:bCs w:val="0"/>
                <w:color w:val="000000"/>
                <w:spacing w:val="93"/>
                <w:shd w:val="solid" w:color="000000" w:fill="000000"/>
                <w:fitText w:val="185" w:id="-1436330228"/>
                <w14:textFill>
                  <w14:solidFill>
                    <w14:srgbClr w14:val="000000">
                      <w14:alpha w14:val="100000"/>
                    </w14:srgbClr>
                  </w14:solidFill>
                </w14:textFill>
              </w:rPr>
              <w:t>|</w:t>
            </w:r>
            <w:r w:rsidR="00B9195B" w:rsidRPr="00B9195B">
              <w:rPr>
                <w:b/>
                <w:bCs w:val="0"/>
                <w:color w:val="000000"/>
                <w:spacing w:val="1"/>
                <w:shd w:val="solid" w:color="000000" w:fill="000000"/>
                <w:fitText w:val="185" w:id="-1436330228"/>
                <w14:textFill>
                  <w14:solidFill>
                    <w14:srgbClr w14:val="000000">
                      <w14:alpha w14:val="100000"/>
                    </w14:srgbClr>
                  </w14:solidFill>
                </w14:textFill>
              </w:rPr>
              <w:t>|</w:t>
            </w:r>
            <w:r w:rsidR="00186D0B">
              <w:rPr>
                <w:vertAlign w:val="superscript"/>
              </w:rPr>
              <w:t>10</w:t>
            </w:r>
          </w:p>
        </w:tc>
        <w:tc>
          <w:tcPr>
            <w:tcW w:w="598" w:type="pct"/>
            <w:shd w:val="clear" w:color="auto" w:fill="B6DDE8" w:themeFill="accent5" w:themeFillTint="66"/>
          </w:tcPr>
          <w:p w14:paraId="79E34021" w14:textId="7B4E8482" w:rsidR="00454434" w:rsidRDefault="00454434" w:rsidP="00454434">
            <w:pPr>
              <w:pStyle w:val="TableText"/>
              <w:jc w:val="center"/>
              <w:rPr>
                <w:b/>
              </w:rPr>
            </w:pPr>
            <w:r w:rsidRPr="002530A2">
              <w:rPr>
                <w:b/>
                <w:bCs w:val="0"/>
              </w:rPr>
              <w:t>$</w:t>
            </w:r>
            <w:r w:rsidR="00B9195B" w:rsidRPr="00B9195B">
              <w:rPr>
                <w:b/>
                <w:bCs w:val="0"/>
                <w:color w:val="000000"/>
                <w:spacing w:val="93"/>
                <w:shd w:val="solid" w:color="000000" w:fill="000000"/>
                <w:fitText w:val="185" w:id="-1436330227"/>
                <w14:textFill>
                  <w14:solidFill>
                    <w14:srgbClr w14:val="000000">
                      <w14:alpha w14:val="100000"/>
                    </w14:srgbClr>
                  </w14:solidFill>
                </w14:textFill>
              </w:rPr>
              <w:t>|</w:t>
            </w:r>
            <w:r w:rsidR="00B9195B" w:rsidRPr="00B9195B">
              <w:rPr>
                <w:b/>
                <w:bCs w:val="0"/>
                <w:color w:val="000000"/>
                <w:spacing w:val="1"/>
                <w:shd w:val="solid" w:color="000000" w:fill="000000"/>
                <w:fitText w:val="185" w:id="-1436330227"/>
                <w14:textFill>
                  <w14:solidFill>
                    <w14:srgbClr w14:val="000000">
                      <w14:alpha w14:val="100000"/>
                    </w14:srgbClr>
                  </w14:solidFill>
                </w14:textFill>
              </w:rPr>
              <w:t>|</w:t>
            </w:r>
            <w:r w:rsidR="00186D0B">
              <w:rPr>
                <w:vertAlign w:val="superscript"/>
              </w:rPr>
              <w:t>12</w:t>
            </w:r>
          </w:p>
        </w:tc>
        <w:tc>
          <w:tcPr>
            <w:tcW w:w="598" w:type="pct"/>
            <w:shd w:val="clear" w:color="auto" w:fill="B6DDE8" w:themeFill="accent5" w:themeFillTint="66"/>
          </w:tcPr>
          <w:p w14:paraId="1E201E1D" w14:textId="46F083C8" w:rsidR="00454434" w:rsidRDefault="00454434" w:rsidP="00454434">
            <w:pPr>
              <w:pStyle w:val="TableText"/>
              <w:jc w:val="center"/>
              <w:rPr>
                <w:b/>
              </w:rPr>
            </w:pPr>
            <w:r w:rsidRPr="002530A2">
              <w:rPr>
                <w:b/>
                <w:bCs w:val="0"/>
              </w:rPr>
              <w:t>$</w:t>
            </w:r>
            <w:r w:rsidR="00B9195B" w:rsidRPr="00B9195B">
              <w:rPr>
                <w:b/>
                <w:bCs w:val="0"/>
                <w:color w:val="000000"/>
                <w:spacing w:val="93"/>
                <w:shd w:val="solid" w:color="000000" w:fill="000000"/>
                <w:fitText w:val="185" w:id="-1436330226"/>
                <w14:textFill>
                  <w14:solidFill>
                    <w14:srgbClr w14:val="000000">
                      <w14:alpha w14:val="100000"/>
                    </w14:srgbClr>
                  </w14:solidFill>
                </w14:textFill>
              </w:rPr>
              <w:t>|</w:t>
            </w:r>
            <w:r w:rsidR="00B9195B" w:rsidRPr="00B9195B">
              <w:rPr>
                <w:b/>
                <w:bCs w:val="0"/>
                <w:color w:val="000000"/>
                <w:spacing w:val="1"/>
                <w:shd w:val="solid" w:color="000000" w:fill="000000"/>
                <w:fitText w:val="185" w:id="-1436330226"/>
                <w14:textFill>
                  <w14:solidFill>
                    <w14:srgbClr w14:val="000000">
                      <w14:alpha w14:val="100000"/>
                    </w14:srgbClr>
                  </w14:solidFill>
                </w14:textFill>
              </w:rPr>
              <w:t>|</w:t>
            </w:r>
            <w:r w:rsidR="00186D0B">
              <w:rPr>
                <w:vertAlign w:val="superscript"/>
              </w:rPr>
              <w:t>15</w:t>
            </w:r>
          </w:p>
        </w:tc>
        <w:tc>
          <w:tcPr>
            <w:tcW w:w="598" w:type="pct"/>
            <w:shd w:val="clear" w:color="auto" w:fill="B6DDE8" w:themeFill="accent5" w:themeFillTint="66"/>
          </w:tcPr>
          <w:p w14:paraId="512FF635" w14:textId="02179E10" w:rsidR="00454434" w:rsidRDefault="00454434" w:rsidP="00454434">
            <w:pPr>
              <w:pStyle w:val="TableText"/>
              <w:jc w:val="center"/>
              <w:rPr>
                <w:b/>
              </w:rPr>
            </w:pPr>
            <w:r w:rsidRPr="002530A2">
              <w:rPr>
                <w:b/>
                <w:bCs w:val="0"/>
              </w:rPr>
              <w:t>$</w:t>
            </w:r>
            <w:r w:rsidR="00B9195B" w:rsidRPr="00B9195B">
              <w:rPr>
                <w:b/>
                <w:bCs w:val="0"/>
                <w:color w:val="000000"/>
                <w:spacing w:val="93"/>
                <w:shd w:val="solid" w:color="000000" w:fill="000000"/>
                <w:fitText w:val="185" w:id="-1436330225"/>
                <w14:textFill>
                  <w14:solidFill>
                    <w14:srgbClr w14:val="000000">
                      <w14:alpha w14:val="100000"/>
                    </w14:srgbClr>
                  </w14:solidFill>
                </w14:textFill>
              </w:rPr>
              <w:t>|</w:t>
            </w:r>
            <w:r w:rsidR="00B9195B" w:rsidRPr="00B9195B">
              <w:rPr>
                <w:b/>
                <w:bCs w:val="0"/>
                <w:color w:val="000000"/>
                <w:spacing w:val="1"/>
                <w:shd w:val="solid" w:color="000000" w:fill="000000"/>
                <w:fitText w:val="185" w:id="-1436330225"/>
                <w14:textFill>
                  <w14:solidFill>
                    <w14:srgbClr w14:val="000000">
                      <w14:alpha w14:val="100000"/>
                    </w14:srgbClr>
                  </w14:solidFill>
                </w14:textFill>
              </w:rPr>
              <w:t>|</w:t>
            </w:r>
            <w:r w:rsidR="00186D0B">
              <w:rPr>
                <w:vertAlign w:val="superscript"/>
              </w:rPr>
              <w:t>15</w:t>
            </w:r>
          </w:p>
        </w:tc>
        <w:tc>
          <w:tcPr>
            <w:tcW w:w="598" w:type="pct"/>
            <w:shd w:val="clear" w:color="auto" w:fill="B6DDE8" w:themeFill="accent5" w:themeFillTint="66"/>
          </w:tcPr>
          <w:p w14:paraId="38052785" w14:textId="30E1B03C" w:rsidR="00454434" w:rsidRDefault="00454434" w:rsidP="00454434">
            <w:pPr>
              <w:pStyle w:val="TableText"/>
              <w:jc w:val="center"/>
              <w:rPr>
                <w:b/>
              </w:rPr>
            </w:pPr>
            <w:r w:rsidRPr="002530A2">
              <w:rPr>
                <w:b/>
                <w:bCs w:val="0"/>
              </w:rPr>
              <w:t>$</w:t>
            </w:r>
            <w:r w:rsidR="00B9195B" w:rsidRPr="00B9195B">
              <w:rPr>
                <w:b/>
                <w:bCs w:val="0"/>
                <w:color w:val="000000"/>
                <w:spacing w:val="93"/>
                <w:shd w:val="solid" w:color="000000" w:fill="000000"/>
                <w:fitText w:val="185" w:id="-1436330224"/>
                <w14:textFill>
                  <w14:solidFill>
                    <w14:srgbClr w14:val="000000">
                      <w14:alpha w14:val="100000"/>
                    </w14:srgbClr>
                  </w14:solidFill>
                </w14:textFill>
              </w:rPr>
              <w:t>|</w:t>
            </w:r>
            <w:r w:rsidR="00B9195B" w:rsidRPr="00B9195B">
              <w:rPr>
                <w:b/>
                <w:bCs w:val="0"/>
                <w:color w:val="000000"/>
                <w:spacing w:val="1"/>
                <w:shd w:val="solid" w:color="000000" w:fill="000000"/>
                <w:fitText w:val="185" w:id="-1436330224"/>
                <w14:textFill>
                  <w14:solidFill>
                    <w14:srgbClr w14:val="000000">
                      <w14:alpha w14:val="100000"/>
                    </w14:srgbClr>
                  </w14:solidFill>
                </w14:textFill>
              </w:rPr>
              <w:t>|</w:t>
            </w:r>
            <w:r w:rsidR="00186D0B">
              <w:rPr>
                <w:vertAlign w:val="superscript"/>
              </w:rPr>
              <w:t>15</w:t>
            </w:r>
          </w:p>
        </w:tc>
        <w:tc>
          <w:tcPr>
            <w:tcW w:w="598" w:type="pct"/>
            <w:shd w:val="clear" w:color="auto" w:fill="B6DDE8" w:themeFill="accent5" w:themeFillTint="66"/>
          </w:tcPr>
          <w:p w14:paraId="38C9F21B" w14:textId="22536318" w:rsidR="00454434" w:rsidRDefault="00454434" w:rsidP="00454434">
            <w:pPr>
              <w:pStyle w:val="TableText"/>
              <w:jc w:val="center"/>
              <w:rPr>
                <w:b/>
              </w:rPr>
            </w:pPr>
            <w:r w:rsidRPr="002530A2">
              <w:rPr>
                <w:b/>
                <w:bCs w:val="0"/>
              </w:rPr>
              <w:t>$</w:t>
            </w:r>
            <w:r w:rsidR="00B9195B" w:rsidRPr="00B9195B">
              <w:rPr>
                <w:b/>
                <w:bCs w:val="0"/>
                <w:color w:val="000000"/>
                <w:spacing w:val="93"/>
                <w:shd w:val="solid" w:color="000000" w:fill="000000"/>
                <w:fitText w:val="185" w:id="-1436330240"/>
                <w14:textFill>
                  <w14:solidFill>
                    <w14:srgbClr w14:val="000000">
                      <w14:alpha w14:val="100000"/>
                    </w14:srgbClr>
                  </w14:solidFill>
                </w14:textFill>
              </w:rPr>
              <w:t>|</w:t>
            </w:r>
            <w:r w:rsidR="00B9195B" w:rsidRPr="00B9195B">
              <w:rPr>
                <w:b/>
                <w:bCs w:val="0"/>
                <w:color w:val="000000"/>
                <w:spacing w:val="1"/>
                <w:shd w:val="solid" w:color="000000" w:fill="000000"/>
                <w:fitText w:val="185" w:id="-1436330240"/>
                <w14:textFill>
                  <w14:solidFill>
                    <w14:srgbClr w14:val="000000">
                      <w14:alpha w14:val="100000"/>
                    </w14:srgbClr>
                  </w14:solidFill>
                </w14:textFill>
              </w:rPr>
              <w:t>|</w:t>
            </w:r>
            <w:r w:rsidR="00186D0B">
              <w:rPr>
                <w:vertAlign w:val="superscript"/>
              </w:rPr>
              <w:t>15</w:t>
            </w:r>
          </w:p>
        </w:tc>
      </w:tr>
    </w:tbl>
    <w:bookmarkEnd w:id="49"/>
    <w:p w14:paraId="364407DA" w14:textId="2BDA61C9" w:rsidR="00C63763" w:rsidRDefault="00C63763" w:rsidP="00C63763">
      <w:pPr>
        <w:pStyle w:val="TableFigureFooter"/>
      </w:pPr>
      <w:r w:rsidRPr="000A6039">
        <w:t xml:space="preserve">Source: </w:t>
      </w:r>
      <w:r w:rsidR="008C1918">
        <w:t>Table 4-2, p.240; Table 4-4, p.242; Table 4-5, p.243; Table 4-6, p.244</w:t>
      </w:r>
      <w:r w:rsidR="008C1918" w:rsidRPr="000A6039">
        <w:t xml:space="preserve"> of the </w:t>
      </w:r>
      <w:r w:rsidR="008C1918">
        <w:t>re</w:t>
      </w:r>
      <w:r w:rsidR="008C1918" w:rsidRPr="000A6039">
        <w:t>submission</w:t>
      </w:r>
    </w:p>
    <w:p w14:paraId="6AEDFE0D" w14:textId="77777777" w:rsidR="00C63763" w:rsidRPr="00890CC3" w:rsidRDefault="00C63763" w:rsidP="00C63763">
      <w:pPr>
        <w:pStyle w:val="TableFigureFooter"/>
      </w:pPr>
      <w:r>
        <w:rPr>
          <w:vertAlign w:val="superscript"/>
        </w:rPr>
        <w:t xml:space="preserve">1 </w:t>
      </w:r>
      <w:r>
        <w:t xml:space="preserve">Based on the </w:t>
      </w:r>
      <w:r w:rsidRPr="00890CC3">
        <w:t>10% PBS sample</w:t>
      </w:r>
      <w:r>
        <w:t xml:space="preserve"> estimated to have TRD,</w:t>
      </w:r>
      <w:r w:rsidRPr="00890CC3">
        <w:t xml:space="preserve"> with 5.3% growth rate applied per annum based on </w:t>
      </w:r>
      <w:r>
        <w:t>the National Mental Health Survey data</w:t>
      </w:r>
    </w:p>
    <w:p w14:paraId="473819FB" w14:textId="48ABB02F" w:rsidR="00C63763" w:rsidRPr="002530A2" w:rsidRDefault="00C63763" w:rsidP="00C63763">
      <w:pPr>
        <w:pStyle w:val="TableFigureFooter"/>
      </w:pPr>
      <w:r>
        <w:rPr>
          <w:vertAlign w:val="superscript"/>
        </w:rPr>
        <w:t>2</w:t>
      </w:r>
      <w:r w:rsidRPr="002530A2">
        <w:t xml:space="preserve"> Includes </w:t>
      </w:r>
      <w:r w:rsidR="008A2F51">
        <w:t>adherence</w:t>
      </w:r>
      <w:r w:rsidRPr="002530A2">
        <w:t xml:space="preserve"> of 92.5% for initiating patients, 73.8% for patients continuing in initiation year, and 67.5% in subsequent years.</w:t>
      </w:r>
    </w:p>
    <w:p w14:paraId="3885F045" w14:textId="6BC6975C" w:rsidR="00C63763" w:rsidRDefault="009C707A" w:rsidP="004D3863">
      <w:pPr>
        <w:pStyle w:val="TableFigureFooter"/>
        <w:spacing w:after="0"/>
      </w:pPr>
      <w:r w:rsidRPr="00F87B63">
        <w:rPr>
          <w:vertAlign w:val="superscript"/>
        </w:rPr>
        <w:t>3</w:t>
      </w:r>
      <w:r>
        <w:rPr>
          <w:vertAlign w:val="superscript"/>
        </w:rPr>
        <w:t xml:space="preserve"> </w:t>
      </w:r>
      <w:r w:rsidR="00C63763" w:rsidRPr="002530A2">
        <w:t>Average proportion of initiated patients receiving continuing treatment, derived based on the treatment persistence in the</w:t>
      </w:r>
      <w:r w:rsidR="00C63763">
        <w:t xml:space="preserve"> July 2021</w:t>
      </w:r>
      <w:r w:rsidR="00C63763" w:rsidRPr="002530A2">
        <w:t xml:space="preserve"> economic model</w:t>
      </w:r>
      <w:r w:rsidR="00C63763">
        <w:t xml:space="preserve"> (</w:t>
      </w:r>
      <w:r w:rsidR="00C63763" w:rsidRPr="004F78B9">
        <w:t>derived from the TRANSFORM-2 and SUSTAIN-1 trial data</w:t>
      </w:r>
      <w:r w:rsidR="00C63763">
        <w:t>)</w:t>
      </w:r>
      <w:r w:rsidR="00C63763" w:rsidRPr="002530A2">
        <w:t>.</w:t>
      </w:r>
    </w:p>
    <w:p w14:paraId="23694C98" w14:textId="77777777" w:rsidR="009C707A" w:rsidRPr="009A6D58" w:rsidRDefault="009C707A" w:rsidP="009C707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92C930D" w14:textId="16008A23" w:rsidR="009C707A" w:rsidRDefault="009C707A" w:rsidP="009C707A">
      <w:pPr>
        <w:rPr>
          <w:rFonts w:ascii="Arial Narrow" w:hAnsi="Arial Narrow"/>
          <w:i/>
          <w:sz w:val="18"/>
          <w:szCs w:val="18"/>
        </w:rPr>
      </w:pPr>
      <w:r>
        <w:rPr>
          <w:rFonts w:ascii="Arial Narrow" w:hAnsi="Arial Narrow"/>
          <w:i/>
          <w:sz w:val="18"/>
          <w:szCs w:val="18"/>
          <w:vertAlign w:val="superscript"/>
        </w:rPr>
        <w:lastRenderedPageBreak/>
        <w:t>4</w:t>
      </w:r>
      <w:r>
        <w:rPr>
          <w:rFonts w:ascii="Arial Narrow" w:hAnsi="Arial Narrow"/>
          <w:i/>
          <w:sz w:val="18"/>
          <w:szCs w:val="18"/>
        </w:rPr>
        <w:t xml:space="preserve"> </w:t>
      </w:r>
      <w:r w:rsidRPr="009C707A">
        <w:rPr>
          <w:rFonts w:ascii="Arial Narrow" w:hAnsi="Arial Narrow"/>
          <w:i/>
          <w:sz w:val="18"/>
          <w:szCs w:val="18"/>
        </w:rPr>
        <w:t>30,000 to &lt; 40,000</w:t>
      </w:r>
    </w:p>
    <w:p w14:paraId="7E122FD0" w14:textId="0111678E" w:rsidR="009C707A" w:rsidRDefault="009C707A" w:rsidP="009C707A">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9C707A">
        <w:rPr>
          <w:rFonts w:ascii="Arial Narrow" w:hAnsi="Arial Narrow"/>
          <w:i/>
          <w:sz w:val="18"/>
          <w:szCs w:val="18"/>
        </w:rPr>
        <w:t>5,000 to &lt; 10,000</w:t>
      </w:r>
    </w:p>
    <w:p w14:paraId="1AC13374" w14:textId="4CA5D59E" w:rsidR="009C707A" w:rsidRDefault="009C707A" w:rsidP="009C707A">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9C707A">
        <w:rPr>
          <w:rFonts w:ascii="Arial Narrow" w:hAnsi="Arial Narrow"/>
          <w:i/>
          <w:sz w:val="18"/>
          <w:szCs w:val="18"/>
        </w:rPr>
        <w:t>500 to &lt; 5,000</w:t>
      </w:r>
    </w:p>
    <w:p w14:paraId="2ACDCA9A" w14:textId="77777777" w:rsidR="009C707A" w:rsidRPr="009C707A" w:rsidRDefault="009C707A" w:rsidP="009C707A">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9C707A">
        <w:rPr>
          <w:rFonts w:ascii="Arial Narrow" w:hAnsi="Arial Narrow"/>
          <w:i/>
          <w:sz w:val="18"/>
          <w:szCs w:val="18"/>
        </w:rPr>
        <w:t>20,000 to &lt; 30,000</w:t>
      </w:r>
    </w:p>
    <w:p w14:paraId="175234E9" w14:textId="33E23FD3" w:rsidR="009C707A" w:rsidRPr="009A6D58" w:rsidRDefault="009C707A" w:rsidP="009C707A">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&lt; 500</w:t>
      </w:r>
    </w:p>
    <w:p w14:paraId="47C49441" w14:textId="0C462EAE" w:rsidR="009C707A" w:rsidRDefault="009C707A" w:rsidP="009C707A">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9C707A">
        <w:rPr>
          <w:rFonts w:ascii="Arial Narrow" w:hAnsi="Arial Narrow"/>
          <w:i/>
          <w:sz w:val="18"/>
          <w:szCs w:val="18"/>
        </w:rPr>
        <w:t>10,000 to &lt; 20,000</w:t>
      </w:r>
    </w:p>
    <w:p w14:paraId="5B7851A3" w14:textId="540BC801" w:rsidR="009C707A" w:rsidRPr="009A6D58" w:rsidRDefault="009C707A" w:rsidP="009C707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vertAlign w:val="superscript"/>
        </w:rPr>
        <w:t>0</w:t>
      </w:r>
      <w:r>
        <w:rPr>
          <w:rFonts w:ascii="Arial Narrow" w:hAnsi="Arial Narrow"/>
          <w:i/>
          <w:sz w:val="18"/>
          <w:szCs w:val="18"/>
        </w:rPr>
        <w:t xml:space="preserve"> </w:t>
      </w:r>
      <w:r w:rsidRPr="009C707A">
        <w:rPr>
          <w:rFonts w:ascii="Arial Narrow" w:hAnsi="Arial Narrow"/>
          <w:i/>
          <w:sz w:val="18"/>
          <w:szCs w:val="18"/>
        </w:rPr>
        <w:t>$30 million to &lt; $40 million</w:t>
      </w:r>
    </w:p>
    <w:p w14:paraId="31E0B3C1" w14:textId="3B6F3EFF" w:rsidR="009C707A" w:rsidRPr="009A6D58" w:rsidRDefault="009C707A" w:rsidP="009C707A">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Pr="009C707A">
        <w:rPr>
          <w:rFonts w:ascii="Arial Narrow" w:hAnsi="Arial Narrow"/>
          <w:i/>
          <w:sz w:val="18"/>
          <w:szCs w:val="18"/>
        </w:rPr>
        <w:t>$0 to &lt; $10 million</w:t>
      </w:r>
    </w:p>
    <w:p w14:paraId="145CCF47" w14:textId="0076AE7E" w:rsidR="009C707A" w:rsidRDefault="009C707A" w:rsidP="009C707A">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Pr="009C707A">
        <w:rPr>
          <w:rFonts w:ascii="Arial Narrow" w:hAnsi="Arial Narrow"/>
          <w:i/>
          <w:sz w:val="18"/>
          <w:szCs w:val="18"/>
        </w:rPr>
        <w:t>$60 million to &lt; $70 million</w:t>
      </w:r>
    </w:p>
    <w:p w14:paraId="4A606EFD" w14:textId="7187CDD2" w:rsidR="009C707A" w:rsidRPr="009A6D58" w:rsidRDefault="009C707A" w:rsidP="009C707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vertAlign w:val="superscript"/>
        </w:rPr>
        <w:t>3</w:t>
      </w:r>
      <w:r>
        <w:rPr>
          <w:rFonts w:ascii="Arial Narrow" w:hAnsi="Arial Narrow"/>
          <w:i/>
          <w:sz w:val="18"/>
          <w:szCs w:val="18"/>
        </w:rPr>
        <w:t xml:space="preserve"> </w:t>
      </w:r>
      <w:r w:rsidRPr="009C707A">
        <w:rPr>
          <w:rFonts w:ascii="Arial Narrow" w:hAnsi="Arial Narrow"/>
          <w:i/>
          <w:sz w:val="18"/>
          <w:szCs w:val="18"/>
        </w:rPr>
        <w:t>40,000 to &lt; 50,000</w:t>
      </w:r>
    </w:p>
    <w:p w14:paraId="708EB28E" w14:textId="1EFFC304" w:rsidR="009C707A" w:rsidRPr="009A6D58" w:rsidRDefault="009C707A" w:rsidP="009C707A">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Pr="009C707A">
        <w:rPr>
          <w:rFonts w:ascii="Arial Narrow" w:hAnsi="Arial Narrow"/>
          <w:i/>
          <w:sz w:val="18"/>
          <w:szCs w:val="18"/>
        </w:rPr>
        <w:t>$90 million to &lt; $100 million</w:t>
      </w:r>
    </w:p>
    <w:p w14:paraId="2D64D8D7" w14:textId="0008F6D6" w:rsidR="009C707A" w:rsidRDefault="009C707A" w:rsidP="009C707A">
      <w:pPr>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w:t>
      </w:r>
      <w:r w:rsidRPr="009C707A">
        <w:rPr>
          <w:rFonts w:ascii="Arial Narrow" w:hAnsi="Arial Narrow"/>
          <w:i/>
          <w:sz w:val="18"/>
          <w:szCs w:val="18"/>
        </w:rPr>
        <w:t>$100 million to &lt; $200 million</w:t>
      </w:r>
    </w:p>
    <w:p w14:paraId="0C6A0699" w14:textId="0B733A96" w:rsidR="009C707A" w:rsidRPr="009A6D58" w:rsidRDefault="009C707A" w:rsidP="009C707A">
      <w:pPr>
        <w:rPr>
          <w:rFonts w:ascii="Arial Narrow" w:hAnsi="Arial Narrow"/>
          <w:i/>
          <w:sz w:val="18"/>
          <w:szCs w:val="18"/>
        </w:rPr>
      </w:pPr>
      <w:r>
        <w:rPr>
          <w:rFonts w:ascii="Arial Narrow" w:hAnsi="Arial Narrow"/>
          <w:i/>
          <w:sz w:val="18"/>
          <w:szCs w:val="18"/>
          <w:vertAlign w:val="superscript"/>
        </w:rPr>
        <w:t>16</w:t>
      </w:r>
      <w:r>
        <w:rPr>
          <w:rFonts w:ascii="Arial Narrow" w:hAnsi="Arial Narrow"/>
          <w:i/>
          <w:sz w:val="18"/>
          <w:szCs w:val="18"/>
        </w:rPr>
        <w:t xml:space="preserve"> </w:t>
      </w:r>
      <w:r w:rsidRPr="009C707A">
        <w:rPr>
          <w:rFonts w:ascii="Arial Narrow" w:hAnsi="Arial Narrow"/>
          <w:i/>
          <w:sz w:val="18"/>
          <w:szCs w:val="18"/>
        </w:rPr>
        <w:t>50,000 to &lt; 60,000</w:t>
      </w:r>
    </w:p>
    <w:p w14:paraId="5A8BCEE8" w14:textId="2780BE0D" w:rsidR="009C707A" w:rsidRDefault="009C707A" w:rsidP="009C707A">
      <w:pPr>
        <w:rPr>
          <w:rFonts w:ascii="Arial Narrow" w:hAnsi="Arial Narrow"/>
          <w:i/>
          <w:sz w:val="18"/>
          <w:szCs w:val="18"/>
        </w:rPr>
      </w:pPr>
      <w:r>
        <w:rPr>
          <w:rFonts w:ascii="Arial Narrow" w:hAnsi="Arial Narrow"/>
          <w:i/>
          <w:sz w:val="18"/>
          <w:szCs w:val="18"/>
          <w:vertAlign w:val="superscript"/>
        </w:rPr>
        <w:t>17</w:t>
      </w:r>
      <w:r>
        <w:rPr>
          <w:rFonts w:ascii="Arial Narrow" w:hAnsi="Arial Narrow"/>
          <w:i/>
          <w:sz w:val="18"/>
          <w:szCs w:val="18"/>
        </w:rPr>
        <w:t xml:space="preserve"> </w:t>
      </w:r>
      <w:r w:rsidRPr="009C707A">
        <w:rPr>
          <w:rFonts w:ascii="Arial Narrow" w:hAnsi="Arial Narrow"/>
          <w:i/>
          <w:sz w:val="18"/>
          <w:szCs w:val="18"/>
        </w:rPr>
        <w:t>60,000 to &lt; 70,000</w:t>
      </w:r>
    </w:p>
    <w:p w14:paraId="6086C153" w14:textId="77777777" w:rsidR="009C707A" w:rsidRPr="002530A2" w:rsidRDefault="009C707A">
      <w:pPr>
        <w:pStyle w:val="TableFigureFooter"/>
      </w:pPr>
    </w:p>
    <w:p w14:paraId="5DE6BC03" w14:textId="3F20BF58" w:rsidR="00C63763" w:rsidRDefault="00C63763" w:rsidP="00C63763">
      <w:pPr>
        <w:pStyle w:val="ExecSumBodyText"/>
      </w:pPr>
      <w:r>
        <w:t xml:space="preserve">The estimated net cost to the PBS/RPBS based on the proposed effective price was </w:t>
      </w:r>
      <w:r w:rsidR="009C707A" w:rsidRPr="009C707A">
        <w:t>$30 million</w:t>
      </w:r>
      <w:r w:rsidR="009C707A">
        <w:t xml:space="preserve"> </w:t>
      </w:r>
      <w:r w:rsidR="009C707A" w:rsidRPr="009C707A">
        <w:t>to</w:t>
      </w:r>
      <w:r w:rsidR="009C707A">
        <w:t xml:space="preserve"> </w:t>
      </w:r>
      <w:r w:rsidR="009C707A" w:rsidRPr="009C707A">
        <w:t>&lt; $40 million</w:t>
      </w:r>
      <w:r w:rsidR="009C707A" w:rsidRPr="009C707A" w:rsidDel="009C707A">
        <w:t xml:space="preserve"> </w:t>
      </w:r>
      <w:r>
        <w:t xml:space="preserve">in Year 1 of listing, increasing to </w:t>
      </w:r>
      <w:r w:rsidR="009C707A" w:rsidRPr="009C707A">
        <w:t>$100 million</w:t>
      </w:r>
      <w:r w:rsidR="009C707A">
        <w:t xml:space="preserve"> </w:t>
      </w:r>
      <w:r w:rsidR="009C707A" w:rsidRPr="009C707A">
        <w:t>to</w:t>
      </w:r>
      <w:r w:rsidR="009C707A">
        <w:t xml:space="preserve"> </w:t>
      </w:r>
      <w:r w:rsidR="009C707A" w:rsidRPr="009C707A">
        <w:t>&lt; $200 million</w:t>
      </w:r>
      <w:r w:rsidR="009C707A" w:rsidRPr="009C707A" w:rsidDel="009C707A">
        <w:t xml:space="preserve"> </w:t>
      </w:r>
      <w:r>
        <w:t xml:space="preserve">in Year 6, an estimated net cost of </w:t>
      </w:r>
      <w:r w:rsidR="00F87B63" w:rsidRPr="00F87B63">
        <w:t>$500 million</w:t>
      </w:r>
      <w:r w:rsidR="00F87B63">
        <w:t xml:space="preserve"> </w:t>
      </w:r>
      <w:r w:rsidR="00F87B63" w:rsidRPr="00F87B63">
        <w:t>to</w:t>
      </w:r>
      <w:r w:rsidR="00F87B63">
        <w:t xml:space="preserve"> </w:t>
      </w:r>
      <w:r w:rsidR="00F87B63" w:rsidRPr="00F87B63">
        <w:t>&lt; $600 million</w:t>
      </w:r>
      <w:r w:rsidR="00F87B63" w:rsidRPr="00F87B63" w:rsidDel="00F87B63">
        <w:t xml:space="preserve"> </w:t>
      </w:r>
      <w:r>
        <w:t xml:space="preserve">over the first six years of listing. In the July 2021 submission, the estimated net cost to the PBS/RPBS based on the proposed effective price was </w:t>
      </w:r>
      <w:r w:rsidR="00F87B63" w:rsidRPr="00F87B63">
        <w:t>$600 million</w:t>
      </w:r>
      <w:r w:rsidR="00F87B63">
        <w:t xml:space="preserve"> </w:t>
      </w:r>
      <w:r w:rsidR="00F87B63" w:rsidRPr="00F87B63">
        <w:t>to</w:t>
      </w:r>
      <w:r w:rsidR="00F87B63">
        <w:t xml:space="preserve"> </w:t>
      </w:r>
      <w:r w:rsidR="00F87B63" w:rsidRPr="00F87B63">
        <w:t>&lt; $700 million</w:t>
      </w:r>
      <w:r w:rsidR="00F87B63" w:rsidRPr="00F87B63" w:rsidDel="00F87B63">
        <w:t xml:space="preserve"> </w:t>
      </w:r>
      <w:r>
        <w:t xml:space="preserve">over the first six years of listing. </w:t>
      </w:r>
    </w:p>
    <w:p w14:paraId="141640B9" w14:textId="0776CDCC" w:rsidR="00C63763" w:rsidRPr="00E06F7E" w:rsidRDefault="00C63763" w:rsidP="009B70A1">
      <w:pPr>
        <w:pStyle w:val="ExecSumBodyText"/>
        <w:contextualSpacing/>
      </w:pPr>
      <w:bookmarkStart w:id="50" w:name="_Ref106396879"/>
      <w:r w:rsidRPr="00E06F7E">
        <w:t>The</w:t>
      </w:r>
      <w:r w:rsidR="00AE3B5A">
        <w:t xml:space="preserve"> </w:t>
      </w:r>
      <w:r w:rsidR="00AE3B5A" w:rsidRPr="00F51785">
        <w:t xml:space="preserve">ESC </w:t>
      </w:r>
      <w:r w:rsidR="00AE3B5A" w:rsidRPr="00D30B7F">
        <w:t>considered there</w:t>
      </w:r>
      <w:r w:rsidRPr="00E06F7E">
        <w:t xml:space="preserve"> were </w:t>
      </w:r>
      <w:proofErr w:type="gramStart"/>
      <w:r w:rsidRPr="00E06F7E">
        <w:t>a number of</w:t>
      </w:r>
      <w:proofErr w:type="gramEnd"/>
      <w:r w:rsidRPr="00E06F7E">
        <w:t xml:space="preserve"> potential issues associated with the estimation of use and financial impact of PBS listing </w:t>
      </w:r>
      <w:proofErr w:type="spellStart"/>
      <w:r w:rsidRPr="00E06F7E">
        <w:t>esketamine</w:t>
      </w:r>
      <w:proofErr w:type="spellEnd"/>
      <w:r w:rsidRPr="00E06F7E">
        <w:t>:</w:t>
      </w:r>
      <w:bookmarkEnd w:id="50"/>
    </w:p>
    <w:p w14:paraId="6F4DFC70" w14:textId="6874EB86" w:rsidR="00C63763" w:rsidRPr="00E06F7E" w:rsidRDefault="00C63763" w:rsidP="004D6A5C">
      <w:pPr>
        <w:pStyle w:val="ExecSumBodyText"/>
        <w:numPr>
          <w:ilvl w:val="1"/>
          <w:numId w:val="14"/>
        </w:numPr>
        <w:ind w:left="1077" w:hanging="357"/>
        <w:contextualSpacing/>
      </w:pPr>
      <w:r>
        <w:t xml:space="preserve">The estimated eligible patient population is entirely based on a pharmacological definition of TRD based on 2 prior treatment failures. </w:t>
      </w:r>
      <w:r w:rsidRPr="00E06F7E">
        <w:t xml:space="preserve">This may either underestimate (by neglecting to include people with TRD who may have switched to other therapy types such as physical therapies or psychotherapy), or overestimate (by identifying patients earlier than they will be treated in clinical </w:t>
      </w:r>
      <w:proofErr w:type="gramStart"/>
      <w:r w:rsidRPr="00E06F7E">
        <w:t>practice, and</w:t>
      </w:r>
      <w:proofErr w:type="gramEnd"/>
      <w:r w:rsidRPr="00E06F7E">
        <w:t xml:space="preserve"> including patients with mild major depressive episodes who would not be eligible under the proposed restriction) the eligible population.</w:t>
      </w:r>
      <w:r>
        <w:t xml:space="preserve"> </w:t>
      </w:r>
    </w:p>
    <w:p w14:paraId="58B30622" w14:textId="59B802A4" w:rsidR="00C63763" w:rsidRPr="00E06F7E" w:rsidRDefault="00C63763" w:rsidP="004D6A5C">
      <w:pPr>
        <w:pStyle w:val="ExecSumBodyText"/>
        <w:numPr>
          <w:ilvl w:val="1"/>
          <w:numId w:val="14"/>
        </w:numPr>
        <w:ind w:left="1077" w:hanging="357"/>
        <w:contextualSpacing/>
      </w:pPr>
      <w:r>
        <w:t xml:space="preserve">The financial impacts incorporated </w:t>
      </w:r>
      <w:r w:rsidR="008A2F51">
        <w:t>adherence</w:t>
      </w:r>
      <w:r>
        <w:t xml:space="preserve">, persistence and dose distribution estimates derived from the TRANSFORM-2 and SUSTAIN-1 clinical trials, and the DUSC previously considered the applicability of the trial-based estimates to Australian clinical practice is unclear. The DUSC noted the submission did not account for patients receiving the 28 mg dose of </w:t>
      </w:r>
      <w:proofErr w:type="spellStart"/>
      <w:r>
        <w:t>esketamine</w:t>
      </w:r>
      <w:proofErr w:type="spellEnd"/>
      <w:r>
        <w:t xml:space="preserve"> (para 6.66, </w:t>
      </w:r>
      <w:proofErr w:type="spellStart"/>
      <w:r w:rsidR="00D46C2D">
        <w:t>esketamine</w:t>
      </w:r>
      <w:proofErr w:type="spellEnd"/>
      <w:r w:rsidR="00D46C2D">
        <w:t xml:space="preserve"> P</w:t>
      </w:r>
      <w:r>
        <w:t xml:space="preserve">SD, July 2021 PBAC meeting). </w:t>
      </w:r>
      <w:r w:rsidRPr="00E06F7E">
        <w:t>These estimates were not revised in the resubmission.</w:t>
      </w:r>
    </w:p>
    <w:p w14:paraId="65EFD90C" w14:textId="02914814" w:rsidR="00C63763" w:rsidRPr="00E06F7E" w:rsidRDefault="00C63763" w:rsidP="004D6A5C">
      <w:pPr>
        <w:pStyle w:val="ExecSumBodyText"/>
        <w:numPr>
          <w:ilvl w:val="1"/>
          <w:numId w:val="14"/>
        </w:numPr>
        <w:ind w:left="1077" w:hanging="357"/>
        <w:contextualSpacing/>
      </w:pPr>
      <w:r w:rsidRPr="00E06F7E">
        <w:t xml:space="preserve">A proportion of patients included in the model remain on treatment for 6 years; given that most treatment guidelines which include treatment with </w:t>
      </w:r>
      <w:proofErr w:type="spellStart"/>
      <w:r w:rsidRPr="00E06F7E">
        <w:t>esketamine</w:t>
      </w:r>
      <w:proofErr w:type="spellEnd"/>
      <w:r w:rsidRPr="00E06F7E">
        <w:t xml:space="preserve"> nasal spray recommend it for short term use only, it may not be appropriate for patients to be maintained on treatment for multiple years.</w:t>
      </w:r>
    </w:p>
    <w:p w14:paraId="41758384" w14:textId="5285DB20" w:rsidR="00090769" w:rsidRPr="00E06F7E" w:rsidRDefault="00C63763" w:rsidP="004D6A5C">
      <w:pPr>
        <w:pStyle w:val="ExecSumBodyText"/>
        <w:numPr>
          <w:ilvl w:val="1"/>
          <w:numId w:val="14"/>
        </w:numPr>
        <w:ind w:left="1077" w:hanging="357"/>
        <w:contextualSpacing/>
      </w:pPr>
      <w:r>
        <w:t xml:space="preserve">The DUSC previously noted that difficulty in accessing supervised administration, the burden of twice weekly, weekly, or fortnightly appointments for administration, and the inability to drive for the rest of the day following treatment, may impact compliance (para 6.66, </w:t>
      </w:r>
      <w:proofErr w:type="spellStart"/>
      <w:r w:rsidR="00D46C2D">
        <w:t>esketamine</w:t>
      </w:r>
      <w:proofErr w:type="spellEnd"/>
      <w:r w:rsidR="00D46C2D">
        <w:t xml:space="preserve"> P</w:t>
      </w:r>
      <w:r>
        <w:t xml:space="preserve">SD, July 2021 PBAC meeting). </w:t>
      </w:r>
      <w:r w:rsidRPr="00E06F7E">
        <w:t>This was not addressed in the resubmission.</w:t>
      </w:r>
    </w:p>
    <w:p w14:paraId="41F02D90" w14:textId="4389E89D" w:rsidR="001671A0" w:rsidRPr="00090769" w:rsidRDefault="00C63763" w:rsidP="004D6A5C">
      <w:pPr>
        <w:pStyle w:val="ExecSumBodyText"/>
        <w:numPr>
          <w:ilvl w:val="1"/>
          <w:numId w:val="14"/>
        </w:numPr>
        <w:ind w:left="1077" w:hanging="357"/>
        <w:contextualSpacing/>
      </w:pPr>
      <w:r>
        <w:lastRenderedPageBreak/>
        <w:t xml:space="preserve">The DUSC previously noted that there is a significant risk of use outside the proposed restriction in patients with: depression that is not treatment resistant, post-traumatic stress disorder (PTSD), anxiety, chronic pain, insomnia, fibromyalgia, suicidality and other conditions with ketamine currently used in many of these additional indications. The DUSC considered there is the potential for a large cohort of patients currently being treated with ketamine infusions to move to </w:t>
      </w:r>
      <w:proofErr w:type="spellStart"/>
      <w:r>
        <w:t>esketamine</w:t>
      </w:r>
      <w:proofErr w:type="spellEnd"/>
      <w:r>
        <w:t xml:space="preserve"> nasal spray (para 6.66, </w:t>
      </w:r>
      <w:proofErr w:type="spellStart"/>
      <w:r w:rsidR="00D46C2D">
        <w:t>esketamine</w:t>
      </w:r>
      <w:proofErr w:type="spellEnd"/>
      <w:r w:rsidR="00D46C2D">
        <w:t xml:space="preserve"> P</w:t>
      </w:r>
      <w:r>
        <w:t xml:space="preserve">SD, July 2021 PBAC meeting). </w:t>
      </w:r>
    </w:p>
    <w:p w14:paraId="4100D9EC" w14:textId="77777777" w:rsidR="004A5800" w:rsidRPr="00C9624D" w:rsidRDefault="004A5800" w:rsidP="009D409F">
      <w:pPr>
        <w:pStyle w:val="3-SubsectionHeading"/>
        <w:keepLines/>
      </w:pPr>
      <w:r w:rsidRPr="00C9624D">
        <w:t>Quality Use of Medicines</w:t>
      </w:r>
    </w:p>
    <w:p w14:paraId="3623D6FB" w14:textId="29739F19" w:rsidR="00D92CC2" w:rsidRDefault="00994EB6" w:rsidP="009D409F">
      <w:pPr>
        <w:pStyle w:val="ExecSumBodyText"/>
        <w:keepNext/>
        <w:keepLines/>
      </w:pPr>
      <w:r w:rsidRPr="0026754D">
        <w:t xml:space="preserve">The resubmission stated that a controlled access program has been created in which the supply of </w:t>
      </w:r>
      <w:proofErr w:type="spellStart"/>
      <w:r w:rsidRPr="0026754D">
        <w:t>esketamine</w:t>
      </w:r>
      <w:proofErr w:type="spellEnd"/>
      <w:r w:rsidRPr="0026754D">
        <w:t xml:space="preserve"> will be restricted to sponsor-accredited </w:t>
      </w:r>
      <w:proofErr w:type="spellStart"/>
      <w:r w:rsidRPr="0026754D">
        <w:t>esketamine</w:t>
      </w:r>
      <w:proofErr w:type="spellEnd"/>
      <w:r w:rsidRPr="0026754D">
        <w:t xml:space="preserve"> treatment sites where a health care professional is trained to administer </w:t>
      </w:r>
      <w:proofErr w:type="spellStart"/>
      <w:r w:rsidRPr="0026754D">
        <w:t>esketamine</w:t>
      </w:r>
      <w:proofErr w:type="spellEnd"/>
      <w:r w:rsidRPr="0026754D">
        <w:t xml:space="preserve"> and monitor patients in accordance with the product information. The submission stated that the program has been developed to mitigate the potential risk of drug abuse, misuse and diversion. </w:t>
      </w:r>
    </w:p>
    <w:p w14:paraId="18E88F9F" w14:textId="4C8AA51E" w:rsidR="00AE3B5A" w:rsidRPr="00F64AF6" w:rsidRDefault="00AE3B5A" w:rsidP="00994EB6">
      <w:pPr>
        <w:pStyle w:val="ExecSumBodyText"/>
      </w:pPr>
      <w:bookmarkStart w:id="51" w:name="_Ref105670856"/>
      <w:bookmarkStart w:id="52" w:name="_Ref105668795"/>
      <w:r w:rsidRPr="00F64AF6">
        <w:t xml:space="preserve">The PSCR acknowledged there may be out of pocket costs to patients, mainly relating to the absence of a Medicare Benefits Schedule (MBS) item for monitoring requirements, however reiterated it had previously been advised the MBS was not an appropriate funding mechanism for the monitoring of adverse events. The PSCR also noted the </w:t>
      </w:r>
      <w:r w:rsidR="00114D67" w:rsidRPr="00F64AF6">
        <w:t>s</w:t>
      </w:r>
      <w:r w:rsidRPr="00F64AF6">
        <w:t>ponsor was amenable to further discussions with the Department to discuss the app</w:t>
      </w:r>
      <w:r w:rsidR="000E49FB" w:rsidRPr="00F64AF6">
        <w:t>r</w:t>
      </w:r>
      <w:r w:rsidRPr="00F64AF6">
        <w:t>opriat</w:t>
      </w:r>
      <w:r w:rsidR="000E49FB" w:rsidRPr="00F64AF6">
        <w:t>e</w:t>
      </w:r>
      <w:r w:rsidRPr="00F64AF6">
        <w:t xml:space="preserve">ness of an MBS item for the administration and monitoring of </w:t>
      </w:r>
      <w:proofErr w:type="spellStart"/>
      <w:r w:rsidRPr="00F64AF6">
        <w:t>esketamine</w:t>
      </w:r>
      <w:proofErr w:type="spellEnd"/>
      <w:r w:rsidRPr="00F64AF6">
        <w:t xml:space="preserve"> treatment.</w:t>
      </w:r>
      <w:bookmarkEnd w:id="51"/>
    </w:p>
    <w:p w14:paraId="3138CAAF" w14:textId="14892EF4" w:rsidR="00114D67" w:rsidRDefault="00D92CC2" w:rsidP="00994EB6">
      <w:pPr>
        <w:pStyle w:val="ExecSumBodyText"/>
      </w:pPr>
      <w:bookmarkStart w:id="53" w:name="_Ref105670876"/>
      <w:r w:rsidRPr="00D30B7F">
        <w:t xml:space="preserve">The ESC was concerned the proposed model of care for the administration and monitoring of </w:t>
      </w:r>
      <w:proofErr w:type="spellStart"/>
      <w:r w:rsidRPr="00D30B7F">
        <w:t>esketamine</w:t>
      </w:r>
      <w:proofErr w:type="spellEnd"/>
      <w:r w:rsidRPr="00D30B7F">
        <w:t xml:space="preserve"> would lead to substantial socio-economic and geographical equity of access issues</w:t>
      </w:r>
      <w:r w:rsidR="00A5667C" w:rsidRPr="00D30B7F">
        <w:t>.</w:t>
      </w:r>
      <w:r w:rsidRPr="00D30B7F">
        <w:t xml:space="preserve"> The ESC noted no information was available to estimate what the expected out of pocket costs may be</w:t>
      </w:r>
      <w:r w:rsidR="000E49FB" w:rsidRPr="00D30B7F">
        <w:t>.</w:t>
      </w:r>
      <w:r w:rsidRPr="00D30B7F">
        <w:t xml:space="preserve"> The ESC also considered</w:t>
      </w:r>
      <w:r w:rsidR="00A5667C" w:rsidRPr="00D30B7F">
        <w:t xml:space="preserve"> that</w:t>
      </w:r>
      <w:r w:rsidR="00114D67" w:rsidRPr="00D30B7F">
        <w:t xml:space="preserve"> </w:t>
      </w:r>
      <w:r w:rsidRPr="00D30B7F">
        <w:t xml:space="preserve">the risk of substantial out of pocket costs to patients was </w:t>
      </w:r>
      <w:r w:rsidR="00A5667C" w:rsidRPr="00D30B7F">
        <w:t>of</w:t>
      </w:r>
      <w:r w:rsidRPr="00D30B7F">
        <w:t xml:space="preserve"> concern</w:t>
      </w:r>
      <w:r w:rsidR="00AE3B5A" w:rsidRPr="00D30B7F">
        <w:t xml:space="preserve"> and should be addressed to achieve equitable access to </w:t>
      </w:r>
      <w:proofErr w:type="spellStart"/>
      <w:r w:rsidR="00AE3B5A" w:rsidRPr="00D30B7F">
        <w:t>esketamine</w:t>
      </w:r>
      <w:proofErr w:type="spellEnd"/>
      <w:r w:rsidR="00AE3B5A" w:rsidRPr="00D30B7F">
        <w:t xml:space="preserve"> treatment in TRD.</w:t>
      </w:r>
      <w:bookmarkEnd w:id="52"/>
      <w:bookmarkEnd w:id="53"/>
      <w:r w:rsidR="00A5667C" w:rsidRPr="00D30B7F">
        <w:t xml:space="preserve"> </w:t>
      </w:r>
      <w:r w:rsidR="001A43B3">
        <w:t xml:space="preserve">The Pre-PBAC Response acknowledged there was a cost associated with health care professional monitoring of patients following administration of </w:t>
      </w:r>
      <w:proofErr w:type="spellStart"/>
      <w:r w:rsidR="001A43B3">
        <w:t>esketamine</w:t>
      </w:r>
      <w:proofErr w:type="spellEnd"/>
      <w:r w:rsidR="001A43B3">
        <w:t xml:space="preserve"> and that no funding mechanism currently existed to cover these costs, meaning they would often be passed on to patients, some of whom will not to be able to afford </w:t>
      </w:r>
      <w:proofErr w:type="spellStart"/>
      <w:r w:rsidR="001A43B3">
        <w:t>esket</w:t>
      </w:r>
      <w:r w:rsidR="00610E3C">
        <w:t>a</w:t>
      </w:r>
      <w:r w:rsidR="001A43B3">
        <w:t>mine</w:t>
      </w:r>
      <w:proofErr w:type="spellEnd"/>
      <w:r w:rsidR="001A43B3">
        <w:t xml:space="preserve"> treatment as a result. The sponsor advised they were amenable to further discussions on the management and funding of </w:t>
      </w:r>
      <w:proofErr w:type="gramStart"/>
      <w:r w:rsidR="001A43B3">
        <w:t>out of pocket</w:t>
      </w:r>
      <w:proofErr w:type="gramEnd"/>
      <w:r w:rsidR="001A43B3">
        <w:t xml:space="preserve"> costs for patient monitoring. </w:t>
      </w:r>
      <w:r w:rsidR="00FD5971">
        <w:t xml:space="preserve">In terms of geographical access issues, the sponsor argued that the number of accredited treatment sites was increasing, with </w:t>
      </w:r>
      <w:r w:rsidR="00B9195B" w:rsidRPr="002030D0">
        <w:rPr>
          <w:color w:val="000000"/>
          <w:w w:val="15"/>
          <w:shd w:val="solid" w:color="000000" w:fill="000000"/>
          <w:fitText w:val="-20" w:id="-1436330239"/>
          <w14:textFill>
            <w14:solidFill>
              <w14:srgbClr w14:val="000000">
                <w14:alpha w14:val="100000"/>
              </w14:srgbClr>
            </w14:solidFill>
          </w14:textFill>
        </w:rPr>
        <w:t xml:space="preserve">|  </w:t>
      </w:r>
      <w:r w:rsidR="00B9195B" w:rsidRPr="002030D0">
        <w:rPr>
          <w:color w:val="000000"/>
          <w:spacing w:val="-69"/>
          <w:w w:val="15"/>
          <w:shd w:val="solid" w:color="000000" w:fill="000000"/>
          <w:fitText w:val="-20" w:id="-1436330239"/>
          <w14:textFill>
            <w14:solidFill>
              <w14:srgbClr w14:val="000000">
                <w14:alpha w14:val="100000"/>
              </w14:srgbClr>
            </w14:solidFill>
          </w14:textFill>
        </w:rPr>
        <w:t>|</w:t>
      </w:r>
      <w:r w:rsidR="00FD5971">
        <w:t xml:space="preserve"> sites expected by the end of 2022, with planned sites across metropolitan, regional and rural areas in both the public and private sectors. The sponsor argued that issues with access to treatment were more likely to be caused by the shortage of psychiatrists and difficulties accessing psychiatric services in Australia.</w:t>
      </w:r>
    </w:p>
    <w:p w14:paraId="29670CB5" w14:textId="77777777" w:rsidR="00813F9B" w:rsidRDefault="00813F9B" w:rsidP="00813F9B">
      <w:pPr>
        <w:pStyle w:val="ExecSumBodyText"/>
      </w:pPr>
      <w:r w:rsidRPr="00DA2512">
        <w:lastRenderedPageBreak/>
        <w:t>The PBAC noted that</w:t>
      </w:r>
      <w:r>
        <w:t xml:space="preserve"> of the 30 sites currently accredited, 3 were in the public treatment setting, 7 were in regional areas (5 in NSW and 2 in Queensland) and 3 were in rural areas (1 in NSW and 2 in South Australia). </w:t>
      </w:r>
    </w:p>
    <w:p w14:paraId="715F3FF0" w14:textId="77777777" w:rsidR="00813F9B" w:rsidRPr="008C337D" w:rsidRDefault="00813F9B" w:rsidP="00813F9B">
      <w:pPr>
        <w:pStyle w:val="ExecSumBodyText"/>
        <w:spacing w:after="0"/>
        <w:rPr>
          <w:rFonts w:cstheme="minorHAnsi"/>
        </w:rPr>
      </w:pPr>
      <w:r>
        <w:t xml:space="preserve">The PBAC noted that, as outlined in the TGA Risk Management Plan Australian Specific </w:t>
      </w:r>
      <w:r w:rsidRPr="008C337D">
        <w:rPr>
          <w:rFonts w:cstheme="minorHAnsi"/>
        </w:rPr>
        <w:t>Annex, treatment centres will be identified and established based on</w:t>
      </w:r>
      <w:r>
        <w:rPr>
          <w:rFonts w:cstheme="minorHAnsi"/>
        </w:rPr>
        <w:t>:</w:t>
      </w:r>
    </w:p>
    <w:p w14:paraId="6E24BF43" w14:textId="77777777" w:rsidR="00813F9B" w:rsidRPr="008C337D" w:rsidRDefault="00813F9B" w:rsidP="00813F9B">
      <w:pPr>
        <w:pStyle w:val="ListParagraph"/>
        <w:numPr>
          <w:ilvl w:val="0"/>
          <w:numId w:val="39"/>
        </w:numPr>
        <w:spacing w:after="0" w:line="240" w:lineRule="auto"/>
        <w:ind w:left="1134"/>
        <w:rPr>
          <w:rFonts w:asciiTheme="minorHAnsi" w:hAnsiTheme="minorHAnsi" w:cstheme="minorHAnsi"/>
          <w:sz w:val="24"/>
          <w:szCs w:val="24"/>
        </w:rPr>
      </w:pPr>
      <w:r w:rsidRPr="008C337D">
        <w:rPr>
          <w:rFonts w:asciiTheme="minorHAnsi" w:hAnsiTheme="minorHAnsi" w:cstheme="minorHAnsi"/>
          <w:sz w:val="24"/>
          <w:szCs w:val="24"/>
        </w:rPr>
        <w:t>Prescribers must be licensed to prescribe S8 Controlled Drug in accordance with their state or territory requirements</w:t>
      </w:r>
      <w:r>
        <w:rPr>
          <w:rFonts w:asciiTheme="minorHAnsi" w:hAnsiTheme="minorHAnsi" w:cstheme="minorHAnsi"/>
          <w:sz w:val="24"/>
          <w:szCs w:val="24"/>
        </w:rPr>
        <w:t>.</w:t>
      </w:r>
    </w:p>
    <w:p w14:paraId="12CA6EE5" w14:textId="77777777" w:rsidR="00813F9B" w:rsidRPr="008C337D" w:rsidRDefault="00813F9B" w:rsidP="00813F9B">
      <w:pPr>
        <w:pStyle w:val="ListParagraph"/>
        <w:numPr>
          <w:ilvl w:val="0"/>
          <w:numId w:val="39"/>
        </w:numPr>
        <w:spacing w:after="0" w:line="240" w:lineRule="auto"/>
        <w:ind w:left="1134"/>
        <w:rPr>
          <w:rFonts w:asciiTheme="minorHAnsi" w:hAnsiTheme="minorHAnsi" w:cstheme="minorHAnsi"/>
          <w:sz w:val="24"/>
          <w:szCs w:val="24"/>
        </w:rPr>
      </w:pPr>
      <w:r w:rsidRPr="008C337D">
        <w:rPr>
          <w:rFonts w:asciiTheme="minorHAnsi" w:hAnsiTheme="minorHAnsi" w:cstheme="minorHAnsi"/>
          <w:sz w:val="24"/>
          <w:szCs w:val="24"/>
        </w:rPr>
        <w:t xml:space="preserve">Treatment centres will not be able to order </w:t>
      </w:r>
      <w:proofErr w:type="spellStart"/>
      <w:r w:rsidRPr="008C337D">
        <w:rPr>
          <w:rFonts w:asciiTheme="minorHAnsi" w:hAnsiTheme="minorHAnsi" w:cstheme="minorHAnsi"/>
          <w:sz w:val="24"/>
          <w:szCs w:val="24"/>
        </w:rPr>
        <w:t>esketamine</w:t>
      </w:r>
      <w:proofErr w:type="spellEnd"/>
      <w:r w:rsidRPr="008C337D">
        <w:rPr>
          <w:rFonts w:asciiTheme="minorHAnsi" w:hAnsiTheme="minorHAnsi" w:cstheme="minorHAnsi"/>
          <w:sz w:val="24"/>
          <w:szCs w:val="24"/>
        </w:rPr>
        <w:t xml:space="preserve"> unless the primary healthcare professionals (responsible or lead psychiatrist, responsible or lead nurse and lead/dispensing pharmacist) at the centre have been trained by the Sponsor and passed a knowledge test</w:t>
      </w:r>
      <w:r>
        <w:rPr>
          <w:rFonts w:asciiTheme="minorHAnsi" w:hAnsiTheme="minorHAnsi" w:cstheme="minorHAnsi"/>
          <w:sz w:val="24"/>
          <w:szCs w:val="24"/>
        </w:rPr>
        <w:t>.</w:t>
      </w:r>
    </w:p>
    <w:p w14:paraId="7B0CFCE9" w14:textId="77777777" w:rsidR="00813F9B" w:rsidRPr="008C337D" w:rsidRDefault="00813F9B" w:rsidP="00813F9B">
      <w:pPr>
        <w:pStyle w:val="ListParagraph"/>
        <w:numPr>
          <w:ilvl w:val="0"/>
          <w:numId w:val="39"/>
        </w:numPr>
        <w:spacing w:after="0" w:line="240" w:lineRule="auto"/>
        <w:ind w:left="1134" w:hanging="357"/>
        <w:rPr>
          <w:rFonts w:asciiTheme="minorHAnsi" w:hAnsiTheme="minorHAnsi" w:cstheme="minorHAnsi"/>
          <w:sz w:val="24"/>
          <w:szCs w:val="24"/>
        </w:rPr>
      </w:pPr>
      <w:r w:rsidRPr="008C337D">
        <w:rPr>
          <w:rFonts w:asciiTheme="minorHAnsi" w:hAnsiTheme="minorHAnsi" w:cstheme="minorHAnsi"/>
          <w:sz w:val="24"/>
          <w:szCs w:val="24"/>
        </w:rPr>
        <w:t xml:space="preserve">Treatment centres will need to have access to appropriate storage (such as a lockable safe) for storage of </w:t>
      </w:r>
      <w:proofErr w:type="spellStart"/>
      <w:r w:rsidRPr="008C337D">
        <w:rPr>
          <w:rFonts w:asciiTheme="minorHAnsi" w:hAnsiTheme="minorHAnsi" w:cstheme="minorHAnsi"/>
          <w:sz w:val="24"/>
          <w:szCs w:val="24"/>
        </w:rPr>
        <w:t>esketamine</w:t>
      </w:r>
      <w:proofErr w:type="spellEnd"/>
      <w:r w:rsidRPr="008C337D">
        <w:rPr>
          <w:rFonts w:asciiTheme="minorHAnsi" w:hAnsiTheme="minorHAnsi" w:cstheme="minorHAnsi"/>
          <w:sz w:val="24"/>
          <w:szCs w:val="24"/>
        </w:rPr>
        <w:t xml:space="preserve"> prior to patient treatment and any other measures required by their state or territory requirements for storage of S8 controlled drugs</w:t>
      </w:r>
      <w:r>
        <w:rPr>
          <w:rFonts w:asciiTheme="minorHAnsi" w:hAnsiTheme="minorHAnsi" w:cstheme="minorHAnsi"/>
          <w:sz w:val="24"/>
          <w:szCs w:val="24"/>
        </w:rPr>
        <w:t>.</w:t>
      </w:r>
    </w:p>
    <w:p w14:paraId="3C4F7FEA" w14:textId="77777777" w:rsidR="00813F9B" w:rsidRPr="008C337D" w:rsidRDefault="00813F9B" w:rsidP="00813F9B">
      <w:pPr>
        <w:pStyle w:val="ListParagraph"/>
        <w:numPr>
          <w:ilvl w:val="0"/>
          <w:numId w:val="39"/>
        </w:numPr>
        <w:spacing w:after="0" w:line="240" w:lineRule="auto"/>
        <w:ind w:left="1134"/>
        <w:rPr>
          <w:rFonts w:asciiTheme="minorHAnsi" w:hAnsiTheme="minorHAnsi" w:cstheme="minorHAnsi"/>
        </w:rPr>
      </w:pPr>
      <w:r w:rsidRPr="008C337D">
        <w:rPr>
          <w:rFonts w:asciiTheme="minorHAnsi" w:hAnsiTheme="minorHAnsi" w:cstheme="minorHAnsi"/>
          <w:sz w:val="24"/>
          <w:szCs w:val="24"/>
        </w:rPr>
        <w:t>Treatment centres will need to have a suitable patient area for monitoring the patient pre</w:t>
      </w:r>
      <w:r>
        <w:rPr>
          <w:rFonts w:asciiTheme="minorHAnsi" w:hAnsiTheme="minorHAnsi" w:cstheme="minorHAnsi"/>
          <w:sz w:val="24"/>
          <w:szCs w:val="24"/>
        </w:rPr>
        <w:t xml:space="preserve"> </w:t>
      </w:r>
      <w:r w:rsidRPr="008C337D">
        <w:rPr>
          <w:rFonts w:asciiTheme="minorHAnsi" w:hAnsiTheme="minorHAnsi" w:cstheme="minorHAnsi"/>
          <w:sz w:val="24"/>
          <w:szCs w:val="24"/>
        </w:rPr>
        <w:t>and post treatment</w:t>
      </w:r>
      <w:r>
        <w:rPr>
          <w:rFonts w:asciiTheme="minorHAnsi" w:hAnsiTheme="minorHAnsi" w:cstheme="minorHAnsi"/>
          <w:sz w:val="24"/>
          <w:szCs w:val="24"/>
        </w:rPr>
        <w:t>.</w:t>
      </w:r>
    </w:p>
    <w:p w14:paraId="50EB04DB" w14:textId="77777777" w:rsidR="00813F9B" w:rsidRPr="008C337D" w:rsidRDefault="00813F9B" w:rsidP="00813F9B">
      <w:pPr>
        <w:pStyle w:val="ListParagraph"/>
        <w:numPr>
          <w:ilvl w:val="0"/>
          <w:numId w:val="39"/>
        </w:numPr>
        <w:spacing w:after="0" w:line="240" w:lineRule="auto"/>
        <w:ind w:left="1134"/>
        <w:rPr>
          <w:rFonts w:asciiTheme="minorHAnsi" w:hAnsiTheme="minorHAnsi" w:cstheme="minorHAnsi"/>
        </w:rPr>
      </w:pPr>
      <w:r w:rsidRPr="008C337D">
        <w:rPr>
          <w:rFonts w:asciiTheme="minorHAnsi" w:hAnsiTheme="minorHAnsi" w:cstheme="minorHAnsi"/>
          <w:sz w:val="24"/>
          <w:szCs w:val="24"/>
        </w:rPr>
        <w:t xml:space="preserve">Treatment centres will need to have an arrangement with a supplying pharmacy to provide </w:t>
      </w:r>
      <w:proofErr w:type="spellStart"/>
      <w:r w:rsidRPr="008C337D">
        <w:rPr>
          <w:rFonts w:asciiTheme="minorHAnsi" w:hAnsiTheme="minorHAnsi" w:cstheme="minorHAnsi"/>
          <w:sz w:val="24"/>
          <w:szCs w:val="24"/>
        </w:rPr>
        <w:t>esketamine</w:t>
      </w:r>
      <w:proofErr w:type="spellEnd"/>
      <w:r w:rsidRPr="008C337D">
        <w:rPr>
          <w:rFonts w:asciiTheme="minorHAnsi" w:hAnsiTheme="minorHAnsi" w:cstheme="minorHAnsi"/>
          <w:sz w:val="24"/>
          <w:szCs w:val="24"/>
        </w:rPr>
        <w:t xml:space="preserve"> directly to the treatment room so that the patient is unable to obtain</w:t>
      </w:r>
      <w:r>
        <w:rPr>
          <w:rFonts w:asciiTheme="minorHAnsi" w:hAnsiTheme="minorHAnsi" w:cstheme="minorHAnsi"/>
          <w:sz w:val="24"/>
          <w:szCs w:val="24"/>
        </w:rPr>
        <w:t xml:space="preserve"> </w:t>
      </w:r>
      <w:proofErr w:type="spellStart"/>
      <w:r>
        <w:rPr>
          <w:rFonts w:asciiTheme="minorHAnsi" w:hAnsiTheme="minorHAnsi" w:cstheme="minorHAnsi"/>
          <w:sz w:val="24"/>
          <w:szCs w:val="24"/>
        </w:rPr>
        <w:t>esketamine</w:t>
      </w:r>
      <w:proofErr w:type="spellEnd"/>
      <w:r>
        <w:rPr>
          <w:rFonts w:asciiTheme="minorHAnsi" w:hAnsiTheme="minorHAnsi" w:cstheme="minorHAnsi"/>
          <w:sz w:val="24"/>
          <w:szCs w:val="24"/>
        </w:rPr>
        <w:t xml:space="preserve"> </w:t>
      </w:r>
      <w:r w:rsidRPr="008C337D">
        <w:rPr>
          <w:rFonts w:asciiTheme="minorHAnsi" w:hAnsiTheme="minorHAnsi" w:cstheme="minorHAnsi"/>
          <w:sz w:val="24"/>
          <w:szCs w:val="24"/>
        </w:rPr>
        <w:t>themselves from the pharmacy nor take it away from the treatment centre.</w:t>
      </w:r>
    </w:p>
    <w:p w14:paraId="63261F05" w14:textId="77777777" w:rsidR="00813F9B" w:rsidRPr="008C337D" w:rsidRDefault="00813F9B" w:rsidP="00813F9B">
      <w:pPr>
        <w:pStyle w:val="ListParagraph"/>
        <w:numPr>
          <w:ilvl w:val="0"/>
          <w:numId w:val="39"/>
        </w:numPr>
        <w:spacing w:line="240" w:lineRule="auto"/>
        <w:ind w:left="1134"/>
        <w:rPr>
          <w:rFonts w:asciiTheme="minorHAnsi" w:hAnsiTheme="minorHAnsi" w:cstheme="minorHAnsi"/>
          <w:sz w:val="24"/>
          <w:szCs w:val="24"/>
        </w:rPr>
      </w:pPr>
      <w:r w:rsidRPr="008C337D">
        <w:rPr>
          <w:rFonts w:asciiTheme="minorHAnsi" w:hAnsiTheme="minorHAnsi" w:cstheme="minorHAnsi"/>
          <w:sz w:val="24"/>
          <w:szCs w:val="24"/>
        </w:rPr>
        <w:t xml:space="preserve">Disposal of </w:t>
      </w:r>
      <w:proofErr w:type="spellStart"/>
      <w:r w:rsidRPr="008C337D">
        <w:rPr>
          <w:rFonts w:asciiTheme="minorHAnsi" w:hAnsiTheme="minorHAnsi" w:cstheme="minorHAnsi"/>
          <w:sz w:val="24"/>
          <w:szCs w:val="24"/>
        </w:rPr>
        <w:t>esketamine</w:t>
      </w:r>
      <w:proofErr w:type="spellEnd"/>
      <w:r w:rsidRPr="008C337D">
        <w:rPr>
          <w:rFonts w:asciiTheme="minorHAnsi" w:hAnsiTheme="minorHAnsi" w:cstheme="minorHAnsi"/>
          <w:sz w:val="24"/>
          <w:szCs w:val="24"/>
        </w:rPr>
        <w:t xml:space="preserve"> will follow normal pharmacy practice to dispose of S8 Controlled Drugs as per their state or territory requirements.</w:t>
      </w:r>
    </w:p>
    <w:p w14:paraId="3DA85D80" w14:textId="09AF35AE" w:rsidR="00D754C9" w:rsidRPr="0026754D" w:rsidRDefault="00D754C9" w:rsidP="00F2402D">
      <w:pPr>
        <w:pStyle w:val="ExecSumBodyText"/>
        <w:contextualSpacing/>
      </w:pPr>
      <w:r w:rsidRPr="0026754D">
        <w:t xml:space="preserve">The resubmission noted that the PBAC requested additional guidance for a number of quality use of medicines </w:t>
      </w:r>
      <w:proofErr w:type="gramStart"/>
      <w:r w:rsidRPr="0026754D">
        <w:t>issues</w:t>
      </w:r>
      <w:r w:rsidR="00D1376D" w:rsidRPr="0026754D">
        <w:t>, and</w:t>
      </w:r>
      <w:proofErr w:type="gramEnd"/>
      <w:r w:rsidRPr="0026754D">
        <w:t xml:space="preserve"> provided additional quality use of medicines activities in order to address these. The commissioned quality use of medicines strategy included recommendations for mechanisms such as enhanced consent for patients, care coordination, ongoing monitoring of risks, and clinician education around safety and place in therapy. The consultant recommended educational resources already developed by the sponsor be enhanced by including a clinical consensus statement or guideline for prescribers and a guide for clinician-led enhanced consent process. These guidelines should include (but are not limited to):</w:t>
      </w:r>
    </w:p>
    <w:p w14:paraId="7F17CE30" w14:textId="77777777" w:rsidR="00D754C9" w:rsidRPr="0026754D" w:rsidRDefault="00D754C9" w:rsidP="004D6A5C">
      <w:pPr>
        <w:pStyle w:val="ExecSumBodyText"/>
        <w:numPr>
          <w:ilvl w:val="1"/>
          <w:numId w:val="15"/>
        </w:numPr>
        <w:ind w:left="1077" w:hanging="357"/>
        <w:contextualSpacing/>
      </w:pPr>
      <w:r w:rsidRPr="0026754D">
        <w:t xml:space="preserve">Place of </w:t>
      </w:r>
      <w:proofErr w:type="spellStart"/>
      <w:r w:rsidRPr="0026754D">
        <w:t>esketamine</w:t>
      </w:r>
      <w:proofErr w:type="spellEnd"/>
      <w:r w:rsidRPr="0026754D">
        <w:t xml:space="preserve"> in therapy with respect to physical therapies;</w:t>
      </w:r>
    </w:p>
    <w:p w14:paraId="4F4E0DB5" w14:textId="77777777" w:rsidR="00D754C9" w:rsidRPr="0026754D" w:rsidRDefault="00D754C9" w:rsidP="004D6A5C">
      <w:pPr>
        <w:pStyle w:val="ExecSumBodyText"/>
        <w:numPr>
          <w:ilvl w:val="1"/>
          <w:numId w:val="15"/>
        </w:numPr>
        <w:ind w:left="1077" w:hanging="357"/>
        <w:contextualSpacing/>
      </w:pPr>
      <w:r w:rsidRPr="0026754D">
        <w:t>Choice and timing of third line antidepressant;</w:t>
      </w:r>
    </w:p>
    <w:p w14:paraId="0070C5C7" w14:textId="77777777" w:rsidR="00D754C9" w:rsidRPr="0026754D" w:rsidRDefault="00D754C9" w:rsidP="004D6A5C">
      <w:pPr>
        <w:pStyle w:val="ExecSumBodyText"/>
        <w:numPr>
          <w:ilvl w:val="1"/>
          <w:numId w:val="15"/>
        </w:numPr>
        <w:ind w:left="1077" w:hanging="357"/>
        <w:contextualSpacing/>
      </w:pPr>
      <w:r w:rsidRPr="0026754D">
        <w:t>Contraindications and drug interactions;</w:t>
      </w:r>
    </w:p>
    <w:p w14:paraId="016021CA" w14:textId="77777777" w:rsidR="00D754C9" w:rsidRPr="0026754D" w:rsidRDefault="00D754C9" w:rsidP="004D6A5C">
      <w:pPr>
        <w:pStyle w:val="ExecSumBodyText"/>
        <w:numPr>
          <w:ilvl w:val="1"/>
          <w:numId w:val="15"/>
        </w:numPr>
        <w:ind w:left="1077" w:hanging="357"/>
        <w:contextualSpacing/>
      </w:pPr>
      <w:r w:rsidRPr="0026754D">
        <w:t xml:space="preserve">Best tool(s) to assess eligibility and effectiveness of </w:t>
      </w:r>
      <w:proofErr w:type="spellStart"/>
      <w:r w:rsidRPr="0026754D">
        <w:t>esketamine</w:t>
      </w:r>
      <w:proofErr w:type="spellEnd"/>
      <w:r w:rsidRPr="0026754D">
        <w:t>;</w:t>
      </w:r>
    </w:p>
    <w:p w14:paraId="5FFCE23A" w14:textId="77777777" w:rsidR="00D754C9" w:rsidRPr="0026754D" w:rsidRDefault="00D754C9" w:rsidP="004D6A5C">
      <w:pPr>
        <w:pStyle w:val="ExecSumBodyText"/>
        <w:numPr>
          <w:ilvl w:val="1"/>
          <w:numId w:val="15"/>
        </w:numPr>
        <w:ind w:left="1077" w:hanging="357"/>
        <w:contextualSpacing/>
      </w:pPr>
      <w:r w:rsidRPr="0026754D">
        <w:t>Management of acute and delayed adverse events and</w:t>
      </w:r>
    </w:p>
    <w:p w14:paraId="55C1C870" w14:textId="6547F706" w:rsidR="00D754C9" w:rsidRPr="0026754D" w:rsidRDefault="00D754C9" w:rsidP="004D6A5C">
      <w:pPr>
        <w:pStyle w:val="ExecSumBodyText"/>
        <w:numPr>
          <w:ilvl w:val="1"/>
          <w:numId w:val="15"/>
        </w:numPr>
        <w:ind w:left="1077" w:hanging="357"/>
      </w:pPr>
      <w:r w:rsidRPr="0026754D">
        <w:t>Criteria for cessation of therapy.</w:t>
      </w:r>
    </w:p>
    <w:p w14:paraId="3397AE4E" w14:textId="6BE9CB2D" w:rsidR="004A5800" w:rsidRDefault="004A5800" w:rsidP="008D1D60">
      <w:pPr>
        <w:pStyle w:val="ExecSumBodyText"/>
      </w:pPr>
      <w:r>
        <w:t xml:space="preserve">The PBAC noted any educational resources (as outlined in the paragraph above) would need to be consistent with the restriction criteria.  </w:t>
      </w:r>
    </w:p>
    <w:p w14:paraId="6015A395" w14:textId="2EDB6A4E" w:rsidR="00576972" w:rsidRPr="00C9624D" w:rsidRDefault="00576972" w:rsidP="00606FBA">
      <w:pPr>
        <w:pStyle w:val="3-SubsectionHeading"/>
      </w:pPr>
      <w:bookmarkStart w:id="54" w:name="_Toc22897649"/>
      <w:bookmarkStart w:id="55" w:name="_Toc103767199"/>
      <w:r w:rsidRPr="00C9624D">
        <w:lastRenderedPageBreak/>
        <w:t xml:space="preserve">Financial Management – </w:t>
      </w:r>
      <w:r w:rsidRPr="00C76585">
        <w:t>Risk Sharing</w:t>
      </w:r>
      <w:r w:rsidRPr="00C9624D">
        <w:t xml:space="preserve"> Arrangements</w:t>
      </w:r>
      <w:bookmarkEnd w:id="54"/>
      <w:bookmarkEnd w:id="55"/>
    </w:p>
    <w:p w14:paraId="5A1DC64B" w14:textId="0D7167B8" w:rsidR="00B91ED4" w:rsidRPr="00A5667C" w:rsidRDefault="00B91ED4" w:rsidP="00B91ED4">
      <w:pPr>
        <w:pStyle w:val="ExecSumBodyText"/>
        <w:rPr>
          <w:i/>
          <w:iCs/>
        </w:rPr>
      </w:pPr>
      <w:r w:rsidRPr="00B91ED4">
        <w:t xml:space="preserve">The resubmission noted potential uncertainty in the utilisation of </w:t>
      </w:r>
      <w:proofErr w:type="spellStart"/>
      <w:r w:rsidRPr="00B91ED4">
        <w:t>esketamine</w:t>
      </w:r>
      <w:proofErr w:type="spellEnd"/>
      <w:r w:rsidRPr="00B91ED4">
        <w:t xml:space="preserve">, including the number of patients eligible for treatment, and the number of treated patients. The resubmission proposed a </w:t>
      </w:r>
      <w:r w:rsidRPr="00C76585">
        <w:t xml:space="preserve">risk-sharing arrangement consisting of annual subsidisation caps set at the estimated annual Commonwealth Payment (net cost) of </w:t>
      </w:r>
      <w:proofErr w:type="spellStart"/>
      <w:r w:rsidRPr="00C76585">
        <w:t>esketamine</w:t>
      </w:r>
      <w:proofErr w:type="spellEnd"/>
      <w:r w:rsidRPr="00C76585">
        <w:t xml:space="preserve"> nasal spray at the requested effective prices.</w:t>
      </w:r>
      <w:r w:rsidRPr="00B91ED4">
        <w:t xml:space="preserve"> In addition, the resubmission proposed a reimbursement of </w:t>
      </w:r>
      <w:r w:rsidR="00B9195B" w:rsidRPr="002030D0">
        <w:rPr>
          <w:color w:val="000000"/>
          <w:w w:val="15"/>
          <w:shd w:val="solid" w:color="000000" w:fill="000000"/>
          <w:fitText w:val="-20" w:id="-1436330238"/>
          <w14:textFill>
            <w14:solidFill>
              <w14:srgbClr w14:val="000000">
                <w14:alpha w14:val="100000"/>
              </w14:srgbClr>
            </w14:solidFill>
          </w14:textFill>
        </w:rPr>
        <w:t xml:space="preserve">|  </w:t>
      </w:r>
      <w:r w:rsidR="00B9195B" w:rsidRPr="002030D0">
        <w:rPr>
          <w:color w:val="000000"/>
          <w:spacing w:val="-69"/>
          <w:w w:val="15"/>
          <w:shd w:val="solid" w:color="000000" w:fill="000000"/>
          <w:fitText w:val="-20" w:id="-1436330238"/>
          <w14:textFill>
            <w14:solidFill>
              <w14:srgbClr w14:val="000000">
                <w14:alpha w14:val="100000"/>
              </w14:srgbClr>
            </w14:solidFill>
          </w14:textFill>
        </w:rPr>
        <w:t>|</w:t>
      </w:r>
      <w:r w:rsidRPr="00B91ED4">
        <w:t>% for any potential use above specified subsidisation caps. The proposed subsidisation caps were set according to the estimated financial impacts over the first five years of listing.</w:t>
      </w:r>
      <w:r w:rsidR="000E49FB">
        <w:t xml:space="preserve"> </w:t>
      </w:r>
      <w:r w:rsidR="000E49FB" w:rsidRPr="00D30B7F">
        <w:t xml:space="preserve">The ESC noted the significant uncertainties associated with the financial estimates and considered a </w:t>
      </w:r>
      <w:r w:rsidR="00B9195B" w:rsidRPr="002030D0">
        <w:rPr>
          <w:color w:val="000000"/>
          <w:w w:val="15"/>
          <w:shd w:val="solid" w:color="000000" w:fill="000000"/>
          <w:fitText w:val="-20" w:id="-1436330237"/>
          <w14:textFill>
            <w14:solidFill>
              <w14:srgbClr w14:val="000000">
                <w14:alpha w14:val="100000"/>
              </w14:srgbClr>
            </w14:solidFill>
          </w14:textFill>
        </w:rPr>
        <w:t xml:space="preserve">|  </w:t>
      </w:r>
      <w:r w:rsidR="00B9195B" w:rsidRPr="002030D0">
        <w:rPr>
          <w:color w:val="000000"/>
          <w:spacing w:val="-69"/>
          <w:w w:val="15"/>
          <w:shd w:val="solid" w:color="000000" w:fill="000000"/>
          <w:fitText w:val="-20" w:id="-1436330237"/>
          <w14:textFill>
            <w14:solidFill>
              <w14:srgbClr w14:val="000000">
                <w14:alpha w14:val="100000"/>
              </w14:srgbClr>
            </w14:solidFill>
          </w14:textFill>
        </w:rPr>
        <w:t>|</w:t>
      </w:r>
      <w:r w:rsidR="000E49FB" w:rsidRPr="00D30B7F">
        <w:t>% rebate was inadequate to manage the risk to the Commonwealth.</w:t>
      </w:r>
      <w:r w:rsidR="000E49FB">
        <w:rPr>
          <w:i/>
          <w:iCs/>
        </w:rPr>
        <w:t xml:space="preserve">  </w:t>
      </w:r>
    </w:p>
    <w:p w14:paraId="7240A352" w14:textId="7DFB8F86" w:rsidR="00B91ED4" w:rsidRPr="00B91ED4" w:rsidRDefault="00B91ED4" w:rsidP="00B91ED4">
      <w:pPr>
        <w:pStyle w:val="ExecSumBodyText"/>
      </w:pPr>
      <w:r w:rsidRPr="00D60B48">
        <w:t>T</w:t>
      </w:r>
      <w:r w:rsidR="00C50DC8">
        <w:t>he t</w:t>
      </w:r>
      <w:r w:rsidRPr="00D60B48">
        <w:t xml:space="preserve">able </w:t>
      </w:r>
      <w:r w:rsidR="00C50DC8">
        <w:t>below</w:t>
      </w:r>
      <w:r w:rsidRPr="00B91ED4">
        <w:t xml:space="preserve"> presents the subsidisation caps proposed in the resubmission. </w:t>
      </w:r>
    </w:p>
    <w:p w14:paraId="6AF54866" w14:textId="6B30C6C8" w:rsidR="00B91ED4" w:rsidRPr="00D60B48" w:rsidRDefault="00B91ED4" w:rsidP="00C50DC8">
      <w:pPr>
        <w:pStyle w:val="Caption"/>
      </w:pPr>
      <w:r w:rsidRPr="00D60B48">
        <w:t xml:space="preserve">Table </w:t>
      </w:r>
      <w:r w:rsidR="002030D0">
        <w:fldChar w:fldCharType="begin"/>
      </w:r>
      <w:r w:rsidR="002030D0">
        <w:instrText xml:space="preserve"> SEQ Table \* ARABIC </w:instrText>
      </w:r>
      <w:r w:rsidR="002030D0">
        <w:fldChar w:fldCharType="separate"/>
      </w:r>
      <w:r w:rsidR="008E3D7A">
        <w:rPr>
          <w:noProof/>
        </w:rPr>
        <w:t>20</w:t>
      </w:r>
      <w:r w:rsidR="002030D0">
        <w:rPr>
          <w:noProof/>
        </w:rPr>
        <w:fldChar w:fldCharType="end"/>
      </w:r>
      <w:r w:rsidRPr="00D60B48">
        <w:t>: Proposed risk-sharing arrangement subsidisation caps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4A0" w:firstRow="1" w:lastRow="0" w:firstColumn="1" w:lastColumn="0" w:noHBand="0" w:noVBand="1"/>
      </w:tblPr>
      <w:tblGrid>
        <w:gridCol w:w="2886"/>
        <w:gridCol w:w="1227"/>
        <w:gridCol w:w="1226"/>
        <w:gridCol w:w="1226"/>
        <w:gridCol w:w="1226"/>
        <w:gridCol w:w="1226"/>
      </w:tblGrid>
      <w:tr w:rsidR="00B91ED4" w:rsidRPr="002530A2" w14:paraId="7E6A6CBD" w14:textId="77777777" w:rsidTr="00A65564">
        <w:trPr>
          <w:tblHeader/>
        </w:trPr>
        <w:tc>
          <w:tcPr>
            <w:tcW w:w="1600" w:type="pct"/>
            <w:shd w:val="clear" w:color="auto" w:fill="auto"/>
            <w:vAlign w:val="center"/>
          </w:tcPr>
          <w:p w14:paraId="5EE75AC7" w14:textId="77777777" w:rsidR="00B91ED4" w:rsidRPr="002530A2" w:rsidRDefault="00B91ED4" w:rsidP="00A65564">
            <w:pPr>
              <w:pStyle w:val="Tableheadingrow"/>
              <w:rPr>
                <w:lang w:val="en-AU"/>
              </w:rPr>
            </w:pPr>
          </w:p>
        </w:tc>
        <w:tc>
          <w:tcPr>
            <w:tcW w:w="680" w:type="pct"/>
            <w:shd w:val="clear" w:color="auto" w:fill="auto"/>
            <w:vAlign w:val="center"/>
          </w:tcPr>
          <w:p w14:paraId="6C926985" w14:textId="77777777" w:rsidR="00B91ED4" w:rsidRPr="002530A2" w:rsidRDefault="00B91ED4" w:rsidP="00A65564">
            <w:pPr>
              <w:pStyle w:val="Tableheadingrow"/>
              <w:jc w:val="center"/>
              <w:rPr>
                <w:lang w:val="en-AU"/>
              </w:rPr>
            </w:pPr>
            <w:r w:rsidRPr="002530A2">
              <w:rPr>
                <w:lang w:val="en-AU"/>
              </w:rPr>
              <w:t xml:space="preserve">Year 1 </w:t>
            </w:r>
          </w:p>
        </w:tc>
        <w:tc>
          <w:tcPr>
            <w:tcW w:w="680" w:type="pct"/>
            <w:shd w:val="clear" w:color="auto" w:fill="auto"/>
            <w:vAlign w:val="center"/>
          </w:tcPr>
          <w:p w14:paraId="47E6FC5E" w14:textId="77777777" w:rsidR="00B91ED4" w:rsidRPr="002530A2" w:rsidRDefault="00B91ED4" w:rsidP="00A65564">
            <w:pPr>
              <w:pStyle w:val="Tableheadingrow"/>
              <w:jc w:val="center"/>
              <w:rPr>
                <w:lang w:val="en-AU"/>
              </w:rPr>
            </w:pPr>
            <w:r w:rsidRPr="002530A2">
              <w:rPr>
                <w:lang w:val="en-AU"/>
              </w:rPr>
              <w:t xml:space="preserve">Year 2 </w:t>
            </w:r>
          </w:p>
        </w:tc>
        <w:tc>
          <w:tcPr>
            <w:tcW w:w="680" w:type="pct"/>
            <w:shd w:val="clear" w:color="auto" w:fill="auto"/>
            <w:vAlign w:val="center"/>
          </w:tcPr>
          <w:p w14:paraId="036C6F1B" w14:textId="77777777" w:rsidR="00B91ED4" w:rsidRPr="002530A2" w:rsidRDefault="00B91ED4" w:rsidP="00A65564">
            <w:pPr>
              <w:pStyle w:val="Tableheadingrow"/>
              <w:jc w:val="center"/>
              <w:rPr>
                <w:lang w:val="en-AU"/>
              </w:rPr>
            </w:pPr>
            <w:r w:rsidRPr="002530A2">
              <w:rPr>
                <w:lang w:val="en-AU"/>
              </w:rPr>
              <w:t xml:space="preserve">Year 3 </w:t>
            </w:r>
          </w:p>
        </w:tc>
        <w:tc>
          <w:tcPr>
            <w:tcW w:w="680" w:type="pct"/>
            <w:shd w:val="clear" w:color="auto" w:fill="auto"/>
            <w:vAlign w:val="center"/>
          </w:tcPr>
          <w:p w14:paraId="71EF00D3" w14:textId="77777777" w:rsidR="00B91ED4" w:rsidRPr="002530A2" w:rsidRDefault="00B91ED4" w:rsidP="00A65564">
            <w:pPr>
              <w:pStyle w:val="Tableheadingrow"/>
              <w:jc w:val="center"/>
              <w:rPr>
                <w:lang w:val="en-AU"/>
              </w:rPr>
            </w:pPr>
            <w:r w:rsidRPr="002530A2">
              <w:rPr>
                <w:lang w:val="en-AU"/>
              </w:rPr>
              <w:t xml:space="preserve">Year 4 </w:t>
            </w:r>
          </w:p>
        </w:tc>
        <w:tc>
          <w:tcPr>
            <w:tcW w:w="680" w:type="pct"/>
            <w:shd w:val="clear" w:color="auto" w:fill="auto"/>
            <w:vAlign w:val="center"/>
          </w:tcPr>
          <w:p w14:paraId="78FF8A52" w14:textId="77777777" w:rsidR="00B91ED4" w:rsidRPr="002530A2" w:rsidRDefault="00B91ED4" w:rsidP="00A65564">
            <w:pPr>
              <w:pStyle w:val="Tableheadingrow"/>
              <w:jc w:val="center"/>
              <w:rPr>
                <w:lang w:val="en-AU"/>
              </w:rPr>
            </w:pPr>
            <w:r w:rsidRPr="002530A2">
              <w:rPr>
                <w:lang w:val="en-AU"/>
              </w:rPr>
              <w:t xml:space="preserve">Year 5 </w:t>
            </w:r>
          </w:p>
        </w:tc>
      </w:tr>
      <w:tr w:rsidR="00B91ED4" w:rsidRPr="002530A2" w14:paraId="122C046F" w14:textId="77777777" w:rsidTr="00A65564">
        <w:tc>
          <w:tcPr>
            <w:tcW w:w="1600" w:type="pct"/>
            <w:shd w:val="clear" w:color="auto" w:fill="auto"/>
            <w:vAlign w:val="center"/>
          </w:tcPr>
          <w:p w14:paraId="53DA7FBA" w14:textId="77777777" w:rsidR="00B91ED4" w:rsidRPr="002530A2" w:rsidRDefault="00B91ED4" w:rsidP="00A65564">
            <w:pPr>
              <w:pStyle w:val="TableText"/>
            </w:pPr>
            <w:r w:rsidRPr="002530A2">
              <w:t>Value of subsidisation caps</w:t>
            </w:r>
          </w:p>
        </w:tc>
        <w:tc>
          <w:tcPr>
            <w:tcW w:w="680" w:type="pct"/>
            <w:tcBorders>
              <w:top w:val="nil"/>
              <w:left w:val="nil"/>
              <w:bottom w:val="single" w:sz="4" w:space="0" w:color="auto"/>
              <w:right w:val="single" w:sz="4" w:space="0" w:color="auto"/>
            </w:tcBorders>
            <w:shd w:val="clear" w:color="auto" w:fill="auto"/>
            <w:vAlign w:val="center"/>
          </w:tcPr>
          <w:p w14:paraId="0062E029" w14:textId="4969D40E" w:rsidR="00B91ED4" w:rsidRPr="004D3863" w:rsidRDefault="00B91ED4" w:rsidP="00A65564">
            <w:pPr>
              <w:pStyle w:val="TableText"/>
              <w:jc w:val="center"/>
              <w:rPr>
                <w:vertAlign w:val="superscript"/>
              </w:rPr>
            </w:pPr>
            <w:r w:rsidRPr="00D60B48">
              <w:rPr>
                <w:rFonts w:cs="Arial"/>
                <w:color w:val="000000"/>
                <w:szCs w:val="20"/>
              </w:rPr>
              <w:t>$</w:t>
            </w:r>
            <w:r w:rsidR="00B9195B" w:rsidRPr="00B9195B">
              <w:rPr>
                <w:rFonts w:cs="Arial" w:hint="eastAsia"/>
                <w:color w:val="000000"/>
                <w:w w:val="15"/>
                <w:szCs w:val="20"/>
                <w:shd w:val="solid" w:color="000000" w:fill="000000"/>
                <w:fitText w:val="31" w:id="-1436330236"/>
                <w14:textFill>
                  <w14:solidFill>
                    <w14:srgbClr w14:val="000000">
                      <w14:alpha w14:val="100000"/>
                    </w14:srgbClr>
                  </w14:solidFill>
                </w14:textFill>
              </w:rPr>
              <w:t xml:space="preserve">　</w:t>
            </w:r>
            <w:r w:rsidR="00B9195B" w:rsidRPr="00B9195B">
              <w:rPr>
                <w:rFonts w:cs="Arial"/>
                <w:color w:val="000000"/>
                <w:w w:val="15"/>
                <w:szCs w:val="20"/>
                <w:shd w:val="solid" w:color="000000" w:fill="000000"/>
                <w:fitText w:val="31" w:id="-1436330236"/>
                <w14:textFill>
                  <w14:solidFill>
                    <w14:srgbClr w14:val="000000">
                      <w14:alpha w14:val="100000"/>
                    </w14:srgbClr>
                  </w14:solidFill>
                </w14:textFill>
              </w:rPr>
              <w:t>|</w:t>
            </w:r>
            <w:r w:rsidR="00B9195B" w:rsidRPr="00B9195B">
              <w:rPr>
                <w:rFonts w:cs="Arial" w:hint="eastAsia"/>
                <w:color w:val="000000"/>
                <w:spacing w:val="-34"/>
                <w:w w:val="15"/>
                <w:szCs w:val="20"/>
                <w:shd w:val="solid" w:color="000000" w:fill="000000"/>
                <w:fitText w:val="31" w:id="-1436330236"/>
                <w14:textFill>
                  <w14:solidFill>
                    <w14:srgbClr w14:val="000000">
                      <w14:alpha w14:val="100000"/>
                    </w14:srgbClr>
                  </w14:solidFill>
                </w14:textFill>
              </w:rPr>
              <w:t xml:space="preserve">　</w:t>
            </w:r>
            <w:r w:rsidR="00FA24EF">
              <w:rPr>
                <w:rFonts w:cs="Arial"/>
                <w:color w:val="000000"/>
                <w:szCs w:val="20"/>
                <w:vertAlign w:val="superscript"/>
              </w:rPr>
              <w:t>1</w:t>
            </w:r>
          </w:p>
        </w:tc>
        <w:tc>
          <w:tcPr>
            <w:tcW w:w="680" w:type="pct"/>
            <w:tcBorders>
              <w:top w:val="nil"/>
              <w:left w:val="nil"/>
              <w:bottom w:val="single" w:sz="4" w:space="0" w:color="auto"/>
              <w:right w:val="single" w:sz="4" w:space="0" w:color="auto"/>
            </w:tcBorders>
            <w:shd w:val="clear" w:color="auto" w:fill="auto"/>
            <w:vAlign w:val="center"/>
          </w:tcPr>
          <w:p w14:paraId="6C3E3359" w14:textId="53305674" w:rsidR="00B91ED4" w:rsidRPr="002530A2" w:rsidRDefault="00B91ED4" w:rsidP="00A65564">
            <w:pPr>
              <w:pStyle w:val="TableText"/>
              <w:jc w:val="center"/>
            </w:pPr>
            <w:r w:rsidRPr="00D60B48">
              <w:rPr>
                <w:rFonts w:cs="Arial"/>
                <w:color w:val="000000"/>
                <w:szCs w:val="20"/>
              </w:rPr>
              <w:t>$</w:t>
            </w:r>
            <w:r w:rsidR="00B9195B" w:rsidRPr="00B9195B">
              <w:rPr>
                <w:rFonts w:cs="Arial" w:hint="eastAsia"/>
                <w:color w:val="000000"/>
                <w:w w:val="15"/>
                <w:szCs w:val="20"/>
                <w:shd w:val="solid" w:color="000000" w:fill="000000"/>
                <w:fitText w:val="31" w:id="-1436330235"/>
                <w14:textFill>
                  <w14:solidFill>
                    <w14:srgbClr w14:val="000000">
                      <w14:alpha w14:val="100000"/>
                    </w14:srgbClr>
                  </w14:solidFill>
                </w14:textFill>
              </w:rPr>
              <w:t xml:space="preserve">　</w:t>
            </w:r>
            <w:r w:rsidR="00B9195B" w:rsidRPr="00B9195B">
              <w:rPr>
                <w:rFonts w:cs="Arial"/>
                <w:color w:val="000000"/>
                <w:w w:val="15"/>
                <w:szCs w:val="20"/>
                <w:shd w:val="solid" w:color="000000" w:fill="000000"/>
                <w:fitText w:val="31" w:id="-1436330235"/>
                <w14:textFill>
                  <w14:solidFill>
                    <w14:srgbClr w14:val="000000">
                      <w14:alpha w14:val="100000"/>
                    </w14:srgbClr>
                  </w14:solidFill>
                </w14:textFill>
              </w:rPr>
              <w:t>|</w:t>
            </w:r>
            <w:r w:rsidR="00B9195B" w:rsidRPr="00B9195B">
              <w:rPr>
                <w:rFonts w:cs="Arial" w:hint="eastAsia"/>
                <w:color w:val="000000"/>
                <w:spacing w:val="-34"/>
                <w:w w:val="15"/>
                <w:szCs w:val="20"/>
                <w:shd w:val="solid" w:color="000000" w:fill="000000"/>
                <w:fitText w:val="31" w:id="-1436330235"/>
                <w14:textFill>
                  <w14:solidFill>
                    <w14:srgbClr w14:val="000000">
                      <w14:alpha w14:val="100000"/>
                    </w14:srgbClr>
                  </w14:solidFill>
                </w14:textFill>
              </w:rPr>
              <w:t xml:space="preserve">　</w:t>
            </w:r>
            <w:r w:rsidR="00FA24EF">
              <w:rPr>
                <w:rFonts w:cs="Arial"/>
                <w:color w:val="000000"/>
                <w:szCs w:val="20"/>
                <w:vertAlign w:val="superscript"/>
              </w:rPr>
              <w:t>2</w:t>
            </w:r>
          </w:p>
        </w:tc>
        <w:tc>
          <w:tcPr>
            <w:tcW w:w="680" w:type="pct"/>
            <w:tcBorders>
              <w:top w:val="nil"/>
              <w:left w:val="nil"/>
              <w:bottom w:val="single" w:sz="4" w:space="0" w:color="auto"/>
              <w:right w:val="single" w:sz="4" w:space="0" w:color="auto"/>
            </w:tcBorders>
            <w:shd w:val="clear" w:color="auto" w:fill="auto"/>
            <w:vAlign w:val="center"/>
          </w:tcPr>
          <w:p w14:paraId="2944CEDA" w14:textId="5ADCC660" w:rsidR="00B91ED4" w:rsidRPr="004D3863" w:rsidRDefault="00B91ED4" w:rsidP="00A65564">
            <w:pPr>
              <w:pStyle w:val="TableText"/>
              <w:jc w:val="center"/>
              <w:rPr>
                <w:vertAlign w:val="superscript"/>
              </w:rPr>
            </w:pPr>
            <w:r w:rsidRPr="00D60B48">
              <w:rPr>
                <w:rFonts w:cs="Arial"/>
                <w:color w:val="000000"/>
                <w:szCs w:val="20"/>
              </w:rPr>
              <w:t>$</w:t>
            </w:r>
            <w:r w:rsidR="00B9195B" w:rsidRPr="00B9195B">
              <w:rPr>
                <w:rFonts w:cs="Arial" w:hint="eastAsia"/>
                <w:color w:val="000000"/>
                <w:w w:val="15"/>
                <w:szCs w:val="20"/>
                <w:shd w:val="solid" w:color="000000" w:fill="000000"/>
                <w:fitText w:val="31" w:id="-1436330234"/>
                <w14:textFill>
                  <w14:solidFill>
                    <w14:srgbClr w14:val="000000">
                      <w14:alpha w14:val="100000"/>
                    </w14:srgbClr>
                  </w14:solidFill>
                </w14:textFill>
              </w:rPr>
              <w:t xml:space="preserve">　</w:t>
            </w:r>
            <w:r w:rsidR="00B9195B" w:rsidRPr="00B9195B">
              <w:rPr>
                <w:rFonts w:cs="Arial"/>
                <w:color w:val="000000"/>
                <w:w w:val="15"/>
                <w:szCs w:val="20"/>
                <w:shd w:val="solid" w:color="000000" w:fill="000000"/>
                <w:fitText w:val="31" w:id="-1436330234"/>
                <w14:textFill>
                  <w14:solidFill>
                    <w14:srgbClr w14:val="000000">
                      <w14:alpha w14:val="100000"/>
                    </w14:srgbClr>
                  </w14:solidFill>
                </w14:textFill>
              </w:rPr>
              <w:t>|</w:t>
            </w:r>
            <w:r w:rsidR="00B9195B" w:rsidRPr="00B9195B">
              <w:rPr>
                <w:rFonts w:cs="Arial" w:hint="eastAsia"/>
                <w:color w:val="000000"/>
                <w:spacing w:val="-34"/>
                <w:w w:val="15"/>
                <w:szCs w:val="20"/>
                <w:shd w:val="solid" w:color="000000" w:fill="000000"/>
                <w:fitText w:val="31" w:id="-1436330234"/>
                <w14:textFill>
                  <w14:solidFill>
                    <w14:srgbClr w14:val="000000">
                      <w14:alpha w14:val="100000"/>
                    </w14:srgbClr>
                  </w14:solidFill>
                </w14:textFill>
              </w:rPr>
              <w:t xml:space="preserve">　</w:t>
            </w:r>
            <w:r w:rsidR="00FA24EF">
              <w:rPr>
                <w:rFonts w:cs="Arial"/>
                <w:color w:val="000000"/>
                <w:szCs w:val="20"/>
                <w:vertAlign w:val="superscript"/>
              </w:rPr>
              <w:t>3</w:t>
            </w:r>
          </w:p>
        </w:tc>
        <w:tc>
          <w:tcPr>
            <w:tcW w:w="680" w:type="pct"/>
            <w:tcBorders>
              <w:top w:val="nil"/>
              <w:left w:val="nil"/>
              <w:bottom w:val="single" w:sz="4" w:space="0" w:color="auto"/>
              <w:right w:val="single" w:sz="4" w:space="0" w:color="auto"/>
            </w:tcBorders>
            <w:shd w:val="clear" w:color="auto" w:fill="auto"/>
            <w:vAlign w:val="center"/>
          </w:tcPr>
          <w:p w14:paraId="4FC04A40" w14:textId="7FC72584" w:rsidR="00B91ED4" w:rsidRPr="002530A2" w:rsidRDefault="00B91ED4" w:rsidP="00A65564">
            <w:pPr>
              <w:pStyle w:val="TableText"/>
              <w:jc w:val="center"/>
            </w:pPr>
            <w:r w:rsidRPr="00D60B48">
              <w:rPr>
                <w:rFonts w:cs="Arial"/>
                <w:color w:val="000000"/>
                <w:szCs w:val="20"/>
              </w:rPr>
              <w:t>$</w:t>
            </w:r>
            <w:r w:rsidR="00B9195B" w:rsidRPr="00B9195B">
              <w:rPr>
                <w:rFonts w:cs="Arial" w:hint="eastAsia"/>
                <w:color w:val="000000"/>
                <w:w w:val="15"/>
                <w:szCs w:val="20"/>
                <w:shd w:val="solid" w:color="000000" w:fill="000000"/>
                <w:fitText w:val="31" w:id="-1436330233"/>
                <w14:textFill>
                  <w14:solidFill>
                    <w14:srgbClr w14:val="000000">
                      <w14:alpha w14:val="100000"/>
                    </w14:srgbClr>
                  </w14:solidFill>
                </w14:textFill>
              </w:rPr>
              <w:t xml:space="preserve">　</w:t>
            </w:r>
            <w:r w:rsidR="00B9195B" w:rsidRPr="00B9195B">
              <w:rPr>
                <w:rFonts w:cs="Arial"/>
                <w:color w:val="000000"/>
                <w:w w:val="15"/>
                <w:szCs w:val="20"/>
                <w:shd w:val="solid" w:color="000000" w:fill="000000"/>
                <w:fitText w:val="31" w:id="-1436330233"/>
                <w14:textFill>
                  <w14:solidFill>
                    <w14:srgbClr w14:val="000000">
                      <w14:alpha w14:val="100000"/>
                    </w14:srgbClr>
                  </w14:solidFill>
                </w14:textFill>
              </w:rPr>
              <w:t>|</w:t>
            </w:r>
            <w:r w:rsidR="00B9195B" w:rsidRPr="00B9195B">
              <w:rPr>
                <w:rFonts w:cs="Arial" w:hint="eastAsia"/>
                <w:color w:val="000000"/>
                <w:spacing w:val="-34"/>
                <w:w w:val="15"/>
                <w:szCs w:val="20"/>
                <w:shd w:val="solid" w:color="000000" w:fill="000000"/>
                <w:fitText w:val="31" w:id="-1436330233"/>
                <w14:textFill>
                  <w14:solidFill>
                    <w14:srgbClr w14:val="000000">
                      <w14:alpha w14:val="100000"/>
                    </w14:srgbClr>
                  </w14:solidFill>
                </w14:textFill>
              </w:rPr>
              <w:t xml:space="preserve">　</w:t>
            </w:r>
            <w:r w:rsidR="00FA24EF">
              <w:rPr>
                <w:vertAlign w:val="superscript"/>
              </w:rPr>
              <w:t>4</w:t>
            </w:r>
          </w:p>
        </w:tc>
        <w:tc>
          <w:tcPr>
            <w:tcW w:w="680" w:type="pct"/>
            <w:tcBorders>
              <w:top w:val="nil"/>
              <w:left w:val="nil"/>
              <w:bottom w:val="single" w:sz="4" w:space="0" w:color="auto"/>
              <w:right w:val="single" w:sz="4" w:space="0" w:color="auto"/>
            </w:tcBorders>
            <w:shd w:val="clear" w:color="auto" w:fill="auto"/>
            <w:vAlign w:val="center"/>
          </w:tcPr>
          <w:p w14:paraId="1EED56EA" w14:textId="0F7CD2EC" w:rsidR="00B91ED4" w:rsidRPr="002530A2" w:rsidRDefault="00B91ED4" w:rsidP="00A65564">
            <w:pPr>
              <w:pStyle w:val="TableText"/>
              <w:jc w:val="center"/>
            </w:pPr>
            <w:r w:rsidRPr="00D60B48">
              <w:rPr>
                <w:rFonts w:cs="Arial"/>
                <w:color w:val="000000"/>
                <w:szCs w:val="20"/>
              </w:rPr>
              <w:t>$</w:t>
            </w:r>
            <w:r w:rsidR="00B9195B" w:rsidRPr="00B9195B">
              <w:rPr>
                <w:rFonts w:cs="Arial" w:hint="eastAsia"/>
                <w:color w:val="000000"/>
                <w:w w:val="15"/>
                <w:szCs w:val="20"/>
                <w:shd w:val="solid" w:color="000000" w:fill="000000"/>
                <w:fitText w:val="30" w:id="-1436330232"/>
                <w14:textFill>
                  <w14:solidFill>
                    <w14:srgbClr w14:val="000000">
                      <w14:alpha w14:val="100000"/>
                    </w14:srgbClr>
                  </w14:solidFill>
                </w14:textFill>
              </w:rPr>
              <w:t xml:space="preserve">　</w:t>
            </w:r>
            <w:r w:rsidR="00B9195B" w:rsidRPr="00B9195B">
              <w:rPr>
                <w:rFonts w:cs="Arial"/>
                <w:color w:val="000000"/>
                <w:w w:val="15"/>
                <w:szCs w:val="20"/>
                <w:shd w:val="solid" w:color="000000" w:fill="000000"/>
                <w:fitText w:val="30" w:id="-1436330232"/>
                <w14:textFill>
                  <w14:solidFill>
                    <w14:srgbClr w14:val="000000">
                      <w14:alpha w14:val="100000"/>
                    </w14:srgbClr>
                  </w14:solidFill>
                </w14:textFill>
              </w:rPr>
              <w:t>|</w:t>
            </w:r>
            <w:r w:rsidR="00B9195B" w:rsidRPr="00B9195B">
              <w:rPr>
                <w:rFonts w:cs="Arial" w:hint="eastAsia"/>
                <w:color w:val="000000"/>
                <w:spacing w:val="-35"/>
                <w:w w:val="15"/>
                <w:szCs w:val="20"/>
                <w:shd w:val="solid" w:color="000000" w:fill="000000"/>
                <w:fitText w:val="30" w:id="-1436330232"/>
                <w14:textFill>
                  <w14:solidFill>
                    <w14:srgbClr w14:val="000000">
                      <w14:alpha w14:val="100000"/>
                    </w14:srgbClr>
                  </w14:solidFill>
                </w14:textFill>
              </w:rPr>
              <w:t xml:space="preserve">　</w:t>
            </w:r>
            <w:r w:rsidR="00FA24EF">
              <w:rPr>
                <w:vertAlign w:val="superscript"/>
              </w:rPr>
              <w:t>4</w:t>
            </w:r>
          </w:p>
        </w:tc>
      </w:tr>
      <w:tr w:rsidR="00B91ED4" w:rsidRPr="002530A2" w14:paraId="25E83595" w14:textId="77777777" w:rsidTr="00A65564">
        <w:trPr>
          <w:trHeight w:val="197"/>
        </w:trPr>
        <w:tc>
          <w:tcPr>
            <w:tcW w:w="1600" w:type="pct"/>
            <w:shd w:val="clear" w:color="auto" w:fill="auto"/>
            <w:vAlign w:val="center"/>
          </w:tcPr>
          <w:p w14:paraId="3DB2DD5B" w14:textId="77777777" w:rsidR="00B91ED4" w:rsidRPr="002530A2" w:rsidRDefault="00B91ED4" w:rsidP="00A65564">
            <w:pPr>
              <w:pStyle w:val="TableText"/>
            </w:pPr>
            <w:r w:rsidRPr="002530A2">
              <w:t>Proposed rebate for spend above cap</w:t>
            </w:r>
          </w:p>
        </w:tc>
        <w:tc>
          <w:tcPr>
            <w:tcW w:w="680" w:type="pct"/>
            <w:shd w:val="clear" w:color="auto" w:fill="auto"/>
            <w:vAlign w:val="center"/>
          </w:tcPr>
          <w:p w14:paraId="11E2CD65" w14:textId="725ED373" w:rsidR="00B91ED4" w:rsidRPr="002530A2" w:rsidRDefault="00B9195B" w:rsidP="00A65564">
            <w:pPr>
              <w:pStyle w:val="TableText"/>
              <w:jc w:val="center"/>
            </w:pPr>
            <w:r w:rsidRPr="002030D0">
              <w:rPr>
                <w:rFonts w:hint="eastAsia"/>
                <w:color w:val="000000"/>
                <w:w w:val="15"/>
                <w:shd w:val="solid" w:color="000000" w:fill="000000"/>
                <w:fitText w:val="15" w:id="-1436330231"/>
                <w14:textFill>
                  <w14:solidFill>
                    <w14:srgbClr w14:val="000000">
                      <w14:alpha w14:val="100000"/>
                    </w14:srgbClr>
                  </w14:solidFill>
                </w14:textFill>
              </w:rPr>
              <w:t xml:space="preserve">　</w:t>
            </w:r>
            <w:r w:rsidRPr="002030D0">
              <w:rPr>
                <w:color w:val="000000"/>
                <w:w w:val="15"/>
                <w:shd w:val="solid" w:color="000000" w:fill="000000"/>
                <w:fitText w:val="15" w:id="-1436330231"/>
                <w14:textFill>
                  <w14:solidFill>
                    <w14:srgbClr w14:val="000000">
                      <w14:alpha w14:val="100000"/>
                    </w14:srgbClr>
                  </w14:solidFill>
                </w14:textFill>
              </w:rPr>
              <w:t>|</w:t>
            </w:r>
            <w:r w:rsidRPr="002030D0">
              <w:rPr>
                <w:rFonts w:hint="eastAsia"/>
                <w:color w:val="000000"/>
                <w:spacing w:val="-51"/>
                <w:w w:val="15"/>
                <w:shd w:val="solid" w:color="000000" w:fill="000000"/>
                <w:fitText w:val="15" w:id="-1436330231"/>
                <w14:textFill>
                  <w14:solidFill>
                    <w14:srgbClr w14:val="000000">
                      <w14:alpha w14:val="100000"/>
                    </w14:srgbClr>
                  </w14:solidFill>
                </w14:textFill>
              </w:rPr>
              <w:t xml:space="preserve">　</w:t>
            </w:r>
            <w:r w:rsidR="00B91ED4" w:rsidRPr="002530A2">
              <w:t>%</w:t>
            </w:r>
          </w:p>
        </w:tc>
        <w:tc>
          <w:tcPr>
            <w:tcW w:w="680" w:type="pct"/>
            <w:shd w:val="clear" w:color="auto" w:fill="auto"/>
            <w:vAlign w:val="center"/>
          </w:tcPr>
          <w:p w14:paraId="44EE4D4B" w14:textId="0849F52D" w:rsidR="00B91ED4" w:rsidRPr="002530A2" w:rsidRDefault="00B9195B" w:rsidP="00A65564">
            <w:pPr>
              <w:pStyle w:val="TableText"/>
              <w:jc w:val="center"/>
            </w:pPr>
            <w:r w:rsidRPr="002030D0">
              <w:rPr>
                <w:rFonts w:hint="eastAsia"/>
                <w:color w:val="000000"/>
                <w:w w:val="15"/>
                <w:shd w:val="solid" w:color="000000" w:fill="000000"/>
                <w:fitText w:val="15" w:id="-1436330230"/>
                <w14:textFill>
                  <w14:solidFill>
                    <w14:srgbClr w14:val="000000">
                      <w14:alpha w14:val="100000"/>
                    </w14:srgbClr>
                  </w14:solidFill>
                </w14:textFill>
              </w:rPr>
              <w:t xml:space="preserve">　</w:t>
            </w:r>
            <w:r w:rsidRPr="002030D0">
              <w:rPr>
                <w:color w:val="000000"/>
                <w:w w:val="15"/>
                <w:shd w:val="solid" w:color="000000" w:fill="000000"/>
                <w:fitText w:val="15" w:id="-1436330230"/>
                <w14:textFill>
                  <w14:solidFill>
                    <w14:srgbClr w14:val="000000">
                      <w14:alpha w14:val="100000"/>
                    </w14:srgbClr>
                  </w14:solidFill>
                </w14:textFill>
              </w:rPr>
              <w:t>|</w:t>
            </w:r>
            <w:r w:rsidRPr="002030D0">
              <w:rPr>
                <w:rFonts w:hint="eastAsia"/>
                <w:color w:val="000000"/>
                <w:spacing w:val="-51"/>
                <w:w w:val="15"/>
                <w:shd w:val="solid" w:color="000000" w:fill="000000"/>
                <w:fitText w:val="15" w:id="-1436330230"/>
                <w14:textFill>
                  <w14:solidFill>
                    <w14:srgbClr w14:val="000000">
                      <w14:alpha w14:val="100000"/>
                    </w14:srgbClr>
                  </w14:solidFill>
                </w14:textFill>
              </w:rPr>
              <w:t xml:space="preserve">　</w:t>
            </w:r>
            <w:r w:rsidR="00B91ED4" w:rsidRPr="002530A2">
              <w:t>%</w:t>
            </w:r>
          </w:p>
        </w:tc>
        <w:tc>
          <w:tcPr>
            <w:tcW w:w="680" w:type="pct"/>
            <w:shd w:val="clear" w:color="auto" w:fill="auto"/>
            <w:vAlign w:val="center"/>
          </w:tcPr>
          <w:p w14:paraId="05181988" w14:textId="1492A341" w:rsidR="00B91ED4" w:rsidRPr="002530A2" w:rsidRDefault="00B9195B" w:rsidP="00A65564">
            <w:pPr>
              <w:pStyle w:val="TableText"/>
              <w:jc w:val="center"/>
            </w:pPr>
            <w:r w:rsidRPr="002030D0">
              <w:rPr>
                <w:rFonts w:hint="eastAsia"/>
                <w:color w:val="000000"/>
                <w:w w:val="15"/>
                <w:shd w:val="solid" w:color="000000" w:fill="000000"/>
                <w:fitText w:val="16" w:id="-1436330229"/>
                <w14:textFill>
                  <w14:solidFill>
                    <w14:srgbClr w14:val="000000">
                      <w14:alpha w14:val="100000"/>
                    </w14:srgbClr>
                  </w14:solidFill>
                </w14:textFill>
              </w:rPr>
              <w:t xml:space="preserve">　</w:t>
            </w:r>
            <w:r w:rsidRPr="002030D0">
              <w:rPr>
                <w:color w:val="000000"/>
                <w:w w:val="15"/>
                <w:shd w:val="solid" w:color="000000" w:fill="000000"/>
                <w:fitText w:val="16" w:id="-1436330229"/>
                <w14:textFill>
                  <w14:solidFill>
                    <w14:srgbClr w14:val="000000">
                      <w14:alpha w14:val="100000"/>
                    </w14:srgbClr>
                  </w14:solidFill>
                </w14:textFill>
              </w:rPr>
              <w:t>|</w:t>
            </w:r>
            <w:r w:rsidRPr="002030D0">
              <w:rPr>
                <w:rFonts w:hint="eastAsia"/>
                <w:color w:val="000000"/>
                <w:spacing w:val="-50"/>
                <w:w w:val="15"/>
                <w:shd w:val="solid" w:color="000000" w:fill="000000"/>
                <w:fitText w:val="16" w:id="-1436330229"/>
                <w14:textFill>
                  <w14:solidFill>
                    <w14:srgbClr w14:val="000000">
                      <w14:alpha w14:val="100000"/>
                    </w14:srgbClr>
                  </w14:solidFill>
                </w14:textFill>
              </w:rPr>
              <w:t xml:space="preserve">　</w:t>
            </w:r>
            <w:r w:rsidR="00B91ED4" w:rsidRPr="002530A2">
              <w:t>%</w:t>
            </w:r>
          </w:p>
        </w:tc>
        <w:tc>
          <w:tcPr>
            <w:tcW w:w="680" w:type="pct"/>
            <w:shd w:val="clear" w:color="auto" w:fill="auto"/>
            <w:vAlign w:val="center"/>
          </w:tcPr>
          <w:p w14:paraId="08981D5F" w14:textId="7A475187" w:rsidR="00B91ED4" w:rsidRPr="002530A2" w:rsidRDefault="00B9195B" w:rsidP="00A65564">
            <w:pPr>
              <w:pStyle w:val="TableText"/>
              <w:jc w:val="center"/>
            </w:pPr>
            <w:r w:rsidRPr="002030D0">
              <w:rPr>
                <w:rFonts w:hint="eastAsia"/>
                <w:color w:val="000000"/>
                <w:w w:val="15"/>
                <w:shd w:val="solid" w:color="000000" w:fill="000000"/>
                <w:fitText w:val="15" w:id="-1436330228"/>
                <w14:textFill>
                  <w14:solidFill>
                    <w14:srgbClr w14:val="000000">
                      <w14:alpha w14:val="100000"/>
                    </w14:srgbClr>
                  </w14:solidFill>
                </w14:textFill>
              </w:rPr>
              <w:t xml:space="preserve">　</w:t>
            </w:r>
            <w:r w:rsidRPr="002030D0">
              <w:rPr>
                <w:color w:val="000000"/>
                <w:w w:val="15"/>
                <w:shd w:val="solid" w:color="000000" w:fill="000000"/>
                <w:fitText w:val="15" w:id="-1436330228"/>
                <w14:textFill>
                  <w14:solidFill>
                    <w14:srgbClr w14:val="000000">
                      <w14:alpha w14:val="100000"/>
                    </w14:srgbClr>
                  </w14:solidFill>
                </w14:textFill>
              </w:rPr>
              <w:t>|</w:t>
            </w:r>
            <w:r w:rsidRPr="002030D0">
              <w:rPr>
                <w:rFonts w:hint="eastAsia"/>
                <w:color w:val="000000"/>
                <w:spacing w:val="-51"/>
                <w:w w:val="15"/>
                <w:shd w:val="solid" w:color="000000" w:fill="000000"/>
                <w:fitText w:val="15" w:id="-1436330228"/>
                <w14:textFill>
                  <w14:solidFill>
                    <w14:srgbClr w14:val="000000">
                      <w14:alpha w14:val="100000"/>
                    </w14:srgbClr>
                  </w14:solidFill>
                </w14:textFill>
              </w:rPr>
              <w:t xml:space="preserve">　</w:t>
            </w:r>
            <w:r w:rsidR="00B91ED4" w:rsidRPr="002530A2">
              <w:t>%</w:t>
            </w:r>
          </w:p>
        </w:tc>
        <w:tc>
          <w:tcPr>
            <w:tcW w:w="680" w:type="pct"/>
            <w:shd w:val="clear" w:color="auto" w:fill="auto"/>
            <w:vAlign w:val="center"/>
          </w:tcPr>
          <w:p w14:paraId="4EAB8A5F" w14:textId="6AA87404" w:rsidR="00B91ED4" w:rsidRPr="002530A2" w:rsidRDefault="00B9195B" w:rsidP="00A65564">
            <w:pPr>
              <w:pStyle w:val="TableText"/>
              <w:jc w:val="center"/>
            </w:pPr>
            <w:r w:rsidRPr="002030D0">
              <w:rPr>
                <w:rFonts w:hint="eastAsia"/>
                <w:color w:val="000000"/>
                <w:w w:val="15"/>
                <w:shd w:val="solid" w:color="000000" w:fill="000000"/>
                <w:fitText w:val="15" w:id="-1436330227"/>
                <w14:textFill>
                  <w14:solidFill>
                    <w14:srgbClr w14:val="000000">
                      <w14:alpha w14:val="100000"/>
                    </w14:srgbClr>
                  </w14:solidFill>
                </w14:textFill>
              </w:rPr>
              <w:t xml:space="preserve">　</w:t>
            </w:r>
            <w:r w:rsidRPr="002030D0">
              <w:rPr>
                <w:color w:val="000000"/>
                <w:w w:val="15"/>
                <w:shd w:val="solid" w:color="000000" w:fill="000000"/>
                <w:fitText w:val="15" w:id="-1436330227"/>
                <w14:textFill>
                  <w14:solidFill>
                    <w14:srgbClr w14:val="000000">
                      <w14:alpha w14:val="100000"/>
                    </w14:srgbClr>
                  </w14:solidFill>
                </w14:textFill>
              </w:rPr>
              <w:t>|</w:t>
            </w:r>
            <w:r w:rsidRPr="002030D0">
              <w:rPr>
                <w:rFonts w:hint="eastAsia"/>
                <w:color w:val="000000"/>
                <w:spacing w:val="-51"/>
                <w:w w:val="15"/>
                <w:shd w:val="solid" w:color="000000" w:fill="000000"/>
                <w:fitText w:val="15" w:id="-1436330227"/>
                <w14:textFill>
                  <w14:solidFill>
                    <w14:srgbClr w14:val="000000">
                      <w14:alpha w14:val="100000"/>
                    </w14:srgbClr>
                  </w14:solidFill>
                </w14:textFill>
              </w:rPr>
              <w:t xml:space="preserve">　</w:t>
            </w:r>
            <w:r w:rsidR="00B91ED4" w:rsidRPr="002530A2">
              <w:t>%</w:t>
            </w:r>
          </w:p>
        </w:tc>
      </w:tr>
      <w:tr w:rsidR="00B91ED4" w:rsidRPr="002530A2" w14:paraId="5D1C94A2" w14:textId="77777777" w:rsidTr="00A65564">
        <w:trPr>
          <w:trHeight w:val="197"/>
        </w:trPr>
        <w:tc>
          <w:tcPr>
            <w:tcW w:w="1600" w:type="pct"/>
            <w:shd w:val="clear" w:color="auto" w:fill="auto"/>
            <w:vAlign w:val="center"/>
          </w:tcPr>
          <w:p w14:paraId="585C4B27" w14:textId="77777777" w:rsidR="00B91ED4" w:rsidRPr="002530A2" w:rsidRDefault="00B91ED4" w:rsidP="00A65564">
            <w:pPr>
              <w:pStyle w:val="TableText"/>
            </w:pPr>
            <w:r>
              <w:t>July 2021 subsidisation caps</w:t>
            </w:r>
          </w:p>
        </w:tc>
        <w:tc>
          <w:tcPr>
            <w:tcW w:w="680" w:type="pct"/>
            <w:shd w:val="clear" w:color="auto" w:fill="auto"/>
          </w:tcPr>
          <w:p w14:paraId="67BBEF95" w14:textId="6939692D" w:rsidR="00B91ED4" w:rsidRPr="002530A2" w:rsidRDefault="00B91ED4" w:rsidP="00A65564">
            <w:pPr>
              <w:pStyle w:val="TableText"/>
              <w:jc w:val="center"/>
            </w:pPr>
            <w:r w:rsidRPr="002530A2">
              <w:t>$</w:t>
            </w:r>
            <w:r w:rsidR="00B9195B" w:rsidRPr="00B9195B">
              <w:rPr>
                <w:rFonts w:hint="eastAsia"/>
                <w:color w:val="000000"/>
                <w:w w:val="15"/>
                <w:shd w:val="solid" w:color="000000" w:fill="000000"/>
                <w:fitText w:val="31" w:id="-1436330226"/>
                <w14:textFill>
                  <w14:solidFill>
                    <w14:srgbClr w14:val="000000">
                      <w14:alpha w14:val="100000"/>
                    </w14:srgbClr>
                  </w14:solidFill>
                </w14:textFill>
              </w:rPr>
              <w:t xml:space="preserve">　</w:t>
            </w:r>
            <w:r w:rsidR="00B9195B" w:rsidRPr="00B9195B">
              <w:rPr>
                <w:color w:val="000000"/>
                <w:w w:val="15"/>
                <w:shd w:val="solid" w:color="000000" w:fill="000000"/>
                <w:fitText w:val="31" w:id="-1436330226"/>
                <w14:textFill>
                  <w14:solidFill>
                    <w14:srgbClr w14:val="000000">
                      <w14:alpha w14:val="100000"/>
                    </w14:srgbClr>
                  </w14:solidFill>
                </w14:textFill>
              </w:rPr>
              <w:t>|</w:t>
            </w:r>
            <w:r w:rsidR="00B9195B" w:rsidRPr="00B9195B">
              <w:rPr>
                <w:rFonts w:hint="eastAsia"/>
                <w:color w:val="000000"/>
                <w:spacing w:val="-34"/>
                <w:w w:val="15"/>
                <w:shd w:val="solid" w:color="000000" w:fill="000000"/>
                <w:fitText w:val="31" w:id="-1436330226"/>
                <w14:textFill>
                  <w14:solidFill>
                    <w14:srgbClr w14:val="000000">
                      <w14:alpha w14:val="100000"/>
                    </w14:srgbClr>
                  </w14:solidFill>
                </w14:textFill>
              </w:rPr>
              <w:t xml:space="preserve">　</w:t>
            </w:r>
            <w:r w:rsidR="00FA24EF">
              <w:rPr>
                <w:rFonts w:cs="Arial"/>
                <w:color w:val="000000"/>
                <w:szCs w:val="20"/>
                <w:vertAlign w:val="superscript"/>
              </w:rPr>
              <w:t>1</w:t>
            </w:r>
          </w:p>
        </w:tc>
        <w:tc>
          <w:tcPr>
            <w:tcW w:w="680" w:type="pct"/>
            <w:shd w:val="clear" w:color="auto" w:fill="auto"/>
          </w:tcPr>
          <w:p w14:paraId="2FE30DDB" w14:textId="20AE6920" w:rsidR="00B91ED4" w:rsidRPr="002530A2" w:rsidRDefault="00B91ED4" w:rsidP="00A65564">
            <w:pPr>
              <w:pStyle w:val="TableText"/>
              <w:jc w:val="center"/>
            </w:pPr>
            <w:r w:rsidRPr="002530A2">
              <w:t>$</w:t>
            </w:r>
            <w:r w:rsidR="00B9195B" w:rsidRPr="00B9195B">
              <w:rPr>
                <w:rFonts w:hint="eastAsia"/>
                <w:color w:val="000000"/>
                <w:w w:val="15"/>
                <w:shd w:val="solid" w:color="000000" w:fill="000000"/>
                <w:fitText w:val="31" w:id="-1436330225"/>
                <w14:textFill>
                  <w14:solidFill>
                    <w14:srgbClr w14:val="000000">
                      <w14:alpha w14:val="100000"/>
                    </w14:srgbClr>
                  </w14:solidFill>
                </w14:textFill>
              </w:rPr>
              <w:t xml:space="preserve">　</w:t>
            </w:r>
            <w:r w:rsidR="00B9195B" w:rsidRPr="00B9195B">
              <w:rPr>
                <w:color w:val="000000"/>
                <w:w w:val="15"/>
                <w:shd w:val="solid" w:color="000000" w:fill="000000"/>
                <w:fitText w:val="31" w:id="-1436330225"/>
                <w14:textFill>
                  <w14:solidFill>
                    <w14:srgbClr w14:val="000000">
                      <w14:alpha w14:val="100000"/>
                    </w14:srgbClr>
                  </w14:solidFill>
                </w14:textFill>
              </w:rPr>
              <w:t>|</w:t>
            </w:r>
            <w:r w:rsidR="00B9195B" w:rsidRPr="00B9195B">
              <w:rPr>
                <w:rFonts w:hint="eastAsia"/>
                <w:color w:val="000000"/>
                <w:spacing w:val="-34"/>
                <w:w w:val="15"/>
                <w:shd w:val="solid" w:color="000000" w:fill="000000"/>
                <w:fitText w:val="31" w:id="-1436330225"/>
                <w14:textFill>
                  <w14:solidFill>
                    <w14:srgbClr w14:val="000000">
                      <w14:alpha w14:val="100000"/>
                    </w14:srgbClr>
                  </w14:solidFill>
                </w14:textFill>
              </w:rPr>
              <w:t xml:space="preserve">　</w:t>
            </w:r>
            <w:r w:rsidR="00FA24EF">
              <w:rPr>
                <w:rFonts w:cs="Arial"/>
                <w:color w:val="000000"/>
                <w:szCs w:val="20"/>
                <w:vertAlign w:val="superscript"/>
              </w:rPr>
              <w:t>2</w:t>
            </w:r>
          </w:p>
        </w:tc>
        <w:tc>
          <w:tcPr>
            <w:tcW w:w="680" w:type="pct"/>
            <w:shd w:val="clear" w:color="auto" w:fill="auto"/>
          </w:tcPr>
          <w:p w14:paraId="34976586" w14:textId="09AC7CDD" w:rsidR="00B91ED4" w:rsidRPr="004D3863" w:rsidRDefault="00B91ED4" w:rsidP="00A65564">
            <w:pPr>
              <w:pStyle w:val="TableText"/>
              <w:jc w:val="center"/>
              <w:rPr>
                <w:vertAlign w:val="superscript"/>
              </w:rPr>
            </w:pPr>
            <w:r w:rsidRPr="002530A2">
              <w:t>$</w:t>
            </w:r>
            <w:r w:rsidR="00B9195B" w:rsidRPr="00B9195B">
              <w:rPr>
                <w:rFonts w:hint="eastAsia"/>
                <w:color w:val="000000"/>
                <w:w w:val="15"/>
                <w:shd w:val="solid" w:color="000000" w:fill="000000"/>
                <w:fitText w:val="31" w:id="-1436330224"/>
                <w14:textFill>
                  <w14:solidFill>
                    <w14:srgbClr w14:val="000000">
                      <w14:alpha w14:val="100000"/>
                    </w14:srgbClr>
                  </w14:solidFill>
                </w14:textFill>
              </w:rPr>
              <w:t xml:space="preserve">　</w:t>
            </w:r>
            <w:r w:rsidR="00B9195B" w:rsidRPr="00B9195B">
              <w:rPr>
                <w:color w:val="000000"/>
                <w:w w:val="15"/>
                <w:shd w:val="solid" w:color="000000" w:fill="000000"/>
                <w:fitText w:val="31" w:id="-1436330224"/>
                <w14:textFill>
                  <w14:solidFill>
                    <w14:srgbClr w14:val="000000">
                      <w14:alpha w14:val="100000"/>
                    </w14:srgbClr>
                  </w14:solidFill>
                </w14:textFill>
              </w:rPr>
              <w:t>|</w:t>
            </w:r>
            <w:r w:rsidR="00B9195B" w:rsidRPr="00B9195B">
              <w:rPr>
                <w:rFonts w:hint="eastAsia"/>
                <w:color w:val="000000"/>
                <w:spacing w:val="-34"/>
                <w:w w:val="15"/>
                <w:shd w:val="solid" w:color="000000" w:fill="000000"/>
                <w:fitText w:val="31" w:id="-1436330224"/>
                <w14:textFill>
                  <w14:solidFill>
                    <w14:srgbClr w14:val="000000">
                      <w14:alpha w14:val="100000"/>
                    </w14:srgbClr>
                  </w14:solidFill>
                </w14:textFill>
              </w:rPr>
              <w:t xml:space="preserve">　</w:t>
            </w:r>
            <w:r w:rsidR="00FA24EF">
              <w:rPr>
                <w:vertAlign w:val="superscript"/>
              </w:rPr>
              <w:t>4</w:t>
            </w:r>
          </w:p>
        </w:tc>
        <w:tc>
          <w:tcPr>
            <w:tcW w:w="680" w:type="pct"/>
            <w:shd w:val="clear" w:color="auto" w:fill="auto"/>
          </w:tcPr>
          <w:p w14:paraId="2F1E8CCA" w14:textId="68601C03" w:rsidR="00B91ED4" w:rsidRPr="002530A2" w:rsidRDefault="00B91ED4" w:rsidP="00A65564">
            <w:pPr>
              <w:pStyle w:val="TableText"/>
              <w:jc w:val="center"/>
            </w:pPr>
            <w:r w:rsidRPr="002530A2">
              <w:t>$</w:t>
            </w:r>
            <w:r w:rsidR="00B9195B" w:rsidRPr="00B9195B">
              <w:rPr>
                <w:rFonts w:hint="eastAsia"/>
                <w:color w:val="000000"/>
                <w:w w:val="15"/>
                <w:shd w:val="solid" w:color="000000" w:fill="000000"/>
                <w:fitText w:val="31" w:id="-1436330240"/>
                <w14:textFill>
                  <w14:solidFill>
                    <w14:srgbClr w14:val="000000">
                      <w14:alpha w14:val="100000"/>
                    </w14:srgbClr>
                  </w14:solidFill>
                </w14:textFill>
              </w:rPr>
              <w:t xml:space="preserve">　</w:t>
            </w:r>
            <w:r w:rsidR="00B9195B" w:rsidRPr="00B9195B">
              <w:rPr>
                <w:color w:val="000000"/>
                <w:w w:val="15"/>
                <w:shd w:val="solid" w:color="000000" w:fill="000000"/>
                <w:fitText w:val="31" w:id="-1436330240"/>
                <w14:textFill>
                  <w14:solidFill>
                    <w14:srgbClr w14:val="000000">
                      <w14:alpha w14:val="100000"/>
                    </w14:srgbClr>
                  </w14:solidFill>
                </w14:textFill>
              </w:rPr>
              <w:t>|</w:t>
            </w:r>
            <w:r w:rsidR="00B9195B" w:rsidRPr="00B9195B">
              <w:rPr>
                <w:rFonts w:hint="eastAsia"/>
                <w:color w:val="000000"/>
                <w:spacing w:val="-34"/>
                <w:w w:val="15"/>
                <w:shd w:val="solid" w:color="000000" w:fill="000000"/>
                <w:fitText w:val="31" w:id="-1436330240"/>
                <w14:textFill>
                  <w14:solidFill>
                    <w14:srgbClr w14:val="000000">
                      <w14:alpha w14:val="100000"/>
                    </w14:srgbClr>
                  </w14:solidFill>
                </w14:textFill>
              </w:rPr>
              <w:t xml:space="preserve">　</w:t>
            </w:r>
            <w:r w:rsidR="00FA24EF">
              <w:rPr>
                <w:vertAlign w:val="superscript"/>
              </w:rPr>
              <w:t>4</w:t>
            </w:r>
          </w:p>
        </w:tc>
        <w:tc>
          <w:tcPr>
            <w:tcW w:w="680" w:type="pct"/>
            <w:shd w:val="clear" w:color="auto" w:fill="auto"/>
          </w:tcPr>
          <w:p w14:paraId="420BE352" w14:textId="687792E1" w:rsidR="00B91ED4" w:rsidRPr="004D3863" w:rsidRDefault="00B91ED4" w:rsidP="00A65564">
            <w:pPr>
              <w:pStyle w:val="TableText"/>
              <w:jc w:val="center"/>
              <w:rPr>
                <w:vertAlign w:val="superscript"/>
              </w:rPr>
            </w:pPr>
            <w:r w:rsidRPr="002530A2">
              <w:t>$</w:t>
            </w:r>
            <w:r w:rsidR="00B9195B" w:rsidRPr="00B9195B">
              <w:rPr>
                <w:rFonts w:hint="eastAsia"/>
                <w:color w:val="000000"/>
                <w:w w:val="15"/>
                <w:shd w:val="solid" w:color="000000" w:fill="000000"/>
                <w:fitText w:val="30" w:id="-1436330239"/>
                <w14:textFill>
                  <w14:solidFill>
                    <w14:srgbClr w14:val="000000">
                      <w14:alpha w14:val="100000"/>
                    </w14:srgbClr>
                  </w14:solidFill>
                </w14:textFill>
              </w:rPr>
              <w:t xml:space="preserve">　</w:t>
            </w:r>
            <w:r w:rsidR="00B9195B" w:rsidRPr="00B9195B">
              <w:rPr>
                <w:color w:val="000000"/>
                <w:w w:val="15"/>
                <w:shd w:val="solid" w:color="000000" w:fill="000000"/>
                <w:fitText w:val="30" w:id="-1436330239"/>
                <w14:textFill>
                  <w14:solidFill>
                    <w14:srgbClr w14:val="000000">
                      <w14:alpha w14:val="100000"/>
                    </w14:srgbClr>
                  </w14:solidFill>
                </w14:textFill>
              </w:rPr>
              <w:t>|</w:t>
            </w:r>
            <w:r w:rsidR="00B9195B" w:rsidRPr="00B9195B">
              <w:rPr>
                <w:rFonts w:hint="eastAsia"/>
                <w:color w:val="000000"/>
                <w:spacing w:val="-35"/>
                <w:w w:val="15"/>
                <w:shd w:val="solid" w:color="000000" w:fill="000000"/>
                <w:fitText w:val="30" w:id="-1436330239"/>
                <w14:textFill>
                  <w14:solidFill>
                    <w14:srgbClr w14:val="000000">
                      <w14:alpha w14:val="100000"/>
                    </w14:srgbClr>
                  </w14:solidFill>
                </w14:textFill>
              </w:rPr>
              <w:t xml:space="preserve">　</w:t>
            </w:r>
            <w:r w:rsidR="00FA24EF">
              <w:rPr>
                <w:vertAlign w:val="superscript"/>
              </w:rPr>
              <w:t>4</w:t>
            </w:r>
          </w:p>
        </w:tc>
      </w:tr>
    </w:tbl>
    <w:p w14:paraId="0EBC8B54" w14:textId="0455CAAB" w:rsidR="00576972" w:rsidRDefault="00B91ED4" w:rsidP="004D3863">
      <w:pPr>
        <w:pStyle w:val="TableFigureFooter"/>
        <w:spacing w:after="0"/>
      </w:pPr>
      <w:r w:rsidRPr="002530A2">
        <w:t>Source: Table 4-1</w:t>
      </w:r>
      <w:r>
        <w:t>3</w:t>
      </w:r>
      <w:r w:rsidRPr="002530A2">
        <w:t>, p.2</w:t>
      </w:r>
      <w:r>
        <w:t>50</w:t>
      </w:r>
      <w:r w:rsidRPr="002530A2">
        <w:t xml:space="preserve"> of the submission</w:t>
      </w:r>
      <w:r>
        <w:t xml:space="preserve">; </w:t>
      </w:r>
      <w:r w:rsidRPr="002530A2">
        <w:t xml:space="preserve">Table 4-14, p.273 of the </w:t>
      </w:r>
      <w:r>
        <w:t xml:space="preserve">July 2021 </w:t>
      </w:r>
      <w:r w:rsidRPr="002530A2">
        <w:t>submission</w:t>
      </w:r>
    </w:p>
    <w:p w14:paraId="1E5503EF" w14:textId="77777777" w:rsidR="00FA24EF" w:rsidRPr="009A6D58" w:rsidRDefault="00FA24EF" w:rsidP="00FA24E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E84AD0F" w14:textId="4DB999E1" w:rsidR="00FA24EF" w:rsidRPr="009A6D58" w:rsidRDefault="00FA24EF" w:rsidP="00FA24EF">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A24EF">
        <w:rPr>
          <w:rFonts w:ascii="Arial Narrow" w:hAnsi="Arial Narrow"/>
          <w:i/>
          <w:sz w:val="18"/>
          <w:szCs w:val="18"/>
        </w:rPr>
        <w:t>$30 million to &lt; $40 million</w:t>
      </w:r>
    </w:p>
    <w:p w14:paraId="02EFEC00" w14:textId="2D6EF89D" w:rsidR="00FA24EF" w:rsidRPr="009A6D58" w:rsidRDefault="00FA24EF" w:rsidP="00FA24EF">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A24EF">
        <w:rPr>
          <w:rFonts w:ascii="Arial Narrow" w:hAnsi="Arial Narrow"/>
          <w:i/>
          <w:sz w:val="18"/>
          <w:szCs w:val="18"/>
        </w:rPr>
        <w:t>$60 million to &lt; $70 million</w:t>
      </w:r>
    </w:p>
    <w:p w14:paraId="493D5D6B" w14:textId="204D80C0" w:rsidR="00FA24EF" w:rsidRDefault="00FA24EF" w:rsidP="00FA24EF">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A24EF">
        <w:rPr>
          <w:rFonts w:ascii="Arial Narrow" w:hAnsi="Arial Narrow"/>
          <w:i/>
          <w:sz w:val="18"/>
          <w:szCs w:val="18"/>
        </w:rPr>
        <w:t>$90 million to &lt; $100 million</w:t>
      </w:r>
    </w:p>
    <w:p w14:paraId="5235AC29" w14:textId="286EF837" w:rsidR="00FA24EF" w:rsidRDefault="00FA24EF" w:rsidP="00FA24EF">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FA24EF">
        <w:rPr>
          <w:rFonts w:ascii="Arial Narrow" w:hAnsi="Arial Narrow"/>
          <w:i/>
          <w:sz w:val="18"/>
          <w:szCs w:val="18"/>
        </w:rPr>
        <w:t>$100 million to &lt; $200 million</w:t>
      </w:r>
    </w:p>
    <w:p w14:paraId="6A4CC601" w14:textId="77777777" w:rsidR="00FA24EF" w:rsidRPr="00B91ED4" w:rsidRDefault="00FA24EF" w:rsidP="00B91ED4">
      <w:pPr>
        <w:pStyle w:val="TableFigureFooter"/>
      </w:pPr>
    </w:p>
    <w:p w14:paraId="0375ADA1" w14:textId="62F3078B" w:rsidR="00D30B7F" w:rsidRPr="009D409F" w:rsidRDefault="00D30B7F" w:rsidP="009D409F">
      <w:pPr>
        <w:ind w:firstLine="709"/>
        <w:rPr>
          <w:rFonts w:asciiTheme="minorHAnsi" w:hAnsiTheme="minorHAnsi"/>
          <w:i/>
        </w:rPr>
      </w:pPr>
      <w:r w:rsidRPr="00C33D30">
        <w:rPr>
          <w:rFonts w:asciiTheme="minorHAnsi" w:hAnsiTheme="minorHAnsi"/>
          <w:i/>
        </w:rPr>
        <w:t>For more detail on PBAC’s view, see section 7 PBAC outcome.</w:t>
      </w:r>
    </w:p>
    <w:p w14:paraId="7B521DF5" w14:textId="77777777" w:rsidR="00D30B7F" w:rsidRPr="0090150D" w:rsidRDefault="00D30B7F" w:rsidP="00F84F1D">
      <w:pPr>
        <w:pStyle w:val="2-SectionHeading"/>
      </w:pPr>
      <w:bookmarkStart w:id="56" w:name="_Hlk76381249"/>
      <w:bookmarkStart w:id="57" w:name="_Hlk76377955"/>
      <w:r w:rsidRPr="0090150D">
        <w:t>PBAC Outcome</w:t>
      </w:r>
    </w:p>
    <w:p w14:paraId="18542EAD" w14:textId="161B3F49" w:rsidR="00D30B7F" w:rsidRPr="00F84F1D" w:rsidRDefault="001230DF" w:rsidP="00CA40DC">
      <w:pPr>
        <w:pStyle w:val="ExecSumBodyText"/>
        <w:rPr>
          <w:lang w:val="en-GB"/>
        </w:rPr>
      </w:pPr>
      <w:r>
        <w:rPr>
          <w:lang w:val="en-GB"/>
        </w:rPr>
        <w:t xml:space="preserve">The PBAC did not recommend the PBS listing of </w:t>
      </w:r>
      <w:proofErr w:type="spellStart"/>
      <w:r>
        <w:rPr>
          <w:lang w:val="en-GB"/>
        </w:rPr>
        <w:t>esketamine</w:t>
      </w:r>
      <w:proofErr w:type="spellEnd"/>
      <w:r>
        <w:rPr>
          <w:lang w:val="en-GB"/>
        </w:rPr>
        <w:t xml:space="preserve"> for the treatment of treatment-resistant depression (TRD), in patients </w:t>
      </w:r>
      <w:r w:rsidR="0009688D">
        <w:rPr>
          <w:lang w:val="en-GB"/>
        </w:rPr>
        <w:t>who have</w:t>
      </w:r>
      <w:r w:rsidR="002A57A5">
        <w:rPr>
          <w:lang w:val="en-GB"/>
        </w:rPr>
        <w:t xml:space="preserve"> not responded adequately to at least</w:t>
      </w:r>
      <w:r w:rsidR="0009688D">
        <w:rPr>
          <w:lang w:val="en-GB"/>
        </w:rPr>
        <w:t xml:space="preserve"> two prior oral antidepressants (OADs). </w:t>
      </w:r>
      <w:r w:rsidR="0009688D" w:rsidRPr="000E4162">
        <w:rPr>
          <w:lang w:val="en-GB"/>
        </w:rPr>
        <w:t>The Committee considered there was a</w:t>
      </w:r>
      <w:r w:rsidR="00C8227A" w:rsidRPr="000E4162">
        <w:rPr>
          <w:lang w:val="en-GB"/>
        </w:rPr>
        <w:t xml:space="preserve"> moderate</w:t>
      </w:r>
      <w:r w:rsidR="00597B2B" w:rsidRPr="000E4162">
        <w:rPr>
          <w:lang w:val="en-GB"/>
        </w:rPr>
        <w:t xml:space="preserve"> to high</w:t>
      </w:r>
      <w:r w:rsidR="0009688D" w:rsidRPr="000E4162">
        <w:rPr>
          <w:lang w:val="en-GB"/>
        </w:rPr>
        <w:t xml:space="preserve"> clinical need for </w:t>
      </w:r>
      <w:r w:rsidR="00786BC0" w:rsidRPr="000E4162">
        <w:rPr>
          <w:lang w:val="en-GB"/>
        </w:rPr>
        <w:t>alternative</w:t>
      </w:r>
      <w:r w:rsidR="0009688D" w:rsidRPr="000E4162">
        <w:rPr>
          <w:lang w:val="en-GB"/>
        </w:rPr>
        <w:t xml:space="preserve"> treatment</w:t>
      </w:r>
      <w:r w:rsidR="00786BC0" w:rsidRPr="000E4162">
        <w:rPr>
          <w:lang w:val="en-GB"/>
        </w:rPr>
        <w:t xml:space="preserve"> options </w:t>
      </w:r>
      <w:r w:rsidR="0009688D" w:rsidRPr="000E4162">
        <w:rPr>
          <w:lang w:val="en-GB"/>
        </w:rPr>
        <w:t xml:space="preserve">for TRD, however considered </w:t>
      </w:r>
      <w:proofErr w:type="gramStart"/>
      <w:r w:rsidR="000E4162">
        <w:rPr>
          <w:lang w:val="en-GB"/>
        </w:rPr>
        <w:t>a number of</w:t>
      </w:r>
      <w:proofErr w:type="gramEnd"/>
      <w:r w:rsidR="000E4162">
        <w:rPr>
          <w:lang w:val="en-GB"/>
        </w:rPr>
        <w:t xml:space="preserve"> </w:t>
      </w:r>
      <w:r w:rsidR="0009688D" w:rsidRPr="000E4162">
        <w:rPr>
          <w:lang w:val="en-GB"/>
        </w:rPr>
        <w:t>issues remained unresolve</w:t>
      </w:r>
      <w:r w:rsidR="00786BC0" w:rsidRPr="000E4162">
        <w:rPr>
          <w:lang w:val="en-GB"/>
        </w:rPr>
        <w:t>d in the resubmission</w:t>
      </w:r>
      <w:r w:rsidR="00FD0B78">
        <w:rPr>
          <w:lang w:val="en-GB"/>
        </w:rPr>
        <w:t>. This include</w:t>
      </w:r>
      <w:r w:rsidR="00D53ABA">
        <w:rPr>
          <w:lang w:val="en-GB"/>
        </w:rPr>
        <w:t>d</w:t>
      </w:r>
      <w:r w:rsidR="0009688D" w:rsidRPr="000E4162">
        <w:rPr>
          <w:lang w:val="en-GB"/>
        </w:rPr>
        <w:t xml:space="preserve"> </w:t>
      </w:r>
      <w:r w:rsidR="006D540C" w:rsidRPr="000E4162">
        <w:rPr>
          <w:lang w:val="en-GB"/>
        </w:rPr>
        <w:t xml:space="preserve">the </w:t>
      </w:r>
      <w:r w:rsidR="00E653A4" w:rsidRPr="000E4162">
        <w:rPr>
          <w:lang w:val="en-GB"/>
        </w:rPr>
        <w:t xml:space="preserve">wording of the </w:t>
      </w:r>
      <w:r w:rsidR="006D540C" w:rsidRPr="007A04E1">
        <w:rPr>
          <w:lang w:val="en-GB"/>
        </w:rPr>
        <w:t>restriction</w:t>
      </w:r>
      <w:bookmarkStart w:id="58" w:name="_Hlk110862864"/>
      <w:r w:rsidR="006D540C" w:rsidRPr="007A04E1">
        <w:rPr>
          <w:lang w:val="en-GB"/>
        </w:rPr>
        <w:t xml:space="preserve">, </w:t>
      </w:r>
      <w:r w:rsidR="000519CC" w:rsidRPr="009D2790">
        <w:t>when it would be appropriate to reduce or discontinue treatment</w:t>
      </w:r>
      <w:bookmarkEnd w:id="58"/>
      <w:r w:rsidR="006D540C" w:rsidRPr="00F83437">
        <w:rPr>
          <w:lang w:val="en-GB"/>
        </w:rPr>
        <w:t xml:space="preserve">, structure and inputs to the economic model and </w:t>
      </w:r>
      <w:r w:rsidR="006E2A1A" w:rsidRPr="00F83437">
        <w:rPr>
          <w:lang w:val="en-GB"/>
        </w:rPr>
        <w:t xml:space="preserve">substantially </w:t>
      </w:r>
      <w:r w:rsidR="00E96496" w:rsidRPr="00F84F1D">
        <w:rPr>
          <w:lang w:val="en-GB"/>
        </w:rPr>
        <w:t xml:space="preserve">overestimated </w:t>
      </w:r>
      <w:r w:rsidR="006D540C" w:rsidRPr="00F84F1D">
        <w:rPr>
          <w:lang w:val="en-GB"/>
        </w:rPr>
        <w:t xml:space="preserve">financial </w:t>
      </w:r>
      <w:r w:rsidR="00E96496" w:rsidRPr="00F84F1D">
        <w:rPr>
          <w:lang w:val="en-GB"/>
        </w:rPr>
        <w:t>impact</w:t>
      </w:r>
      <w:r w:rsidR="006D540C" w:rsidRPr="00F84F1D">
        <w:rPr>
          <w:lang w:val="en-GB"/>
        </w:rPr>
        <w:t>.</w:t>
      </w:r>
    </w:p>
    <w:p w14:paraId="708F6143" w14:textId="1D9A6534" w:rsidR="00D30B7F" w:rsidRPr="00CE42B4" w:rsidRDefault="006D540C" w:rsidP="00CA40DC">
      <w:pPr>
        <w:pStyle w:val="ExecSumBodyText"/>
        <w:rPr>
          <w:lang w:val="en-GB"/>
        </w:rPr>
      </w:pPr>
      <w:r>
        <w:rPr>
          <w:lang w:val="en-GB"/>
        </w:rPr>
        <w:t>The</w:t>
      </w:r>
      <w:r w:rsidR="001A6E92">
        <w:rPr>
          <w:lang w:val="en-GB"/>
        </w:rPr>
        <w:t xml:space="preserve"> PBAC</w:t>
      </w:r>
      <w:r>
        <w:rPr>
          <w:lang w:val="en-GB"/>
        </w:rPr>
        <w:t xml:space="preserve"> noted and welcomed the input</w:t>
      </w:r>
      <w:r w:rsidR="00235804">
        <w:rPr>
          <w:lang w:val="en-GB"/>
        </w:rPr>
        <w:t xml:space="preserve"> from</w:t>
      </w:r>
      <w:r w:rsidR="008316CE">
        <w:rPr>
          <w:lang w:val="en-GB"/>
        </w:rPr>
        <w:t xml:space="preserve"> individuals</w:t>
      </w:r>
      <w:r w:rsidR="00235804">
        <w:rPr>
          <w:lang w:val="en-GB"/>
        </w:rPr>
        <w:t xml:space="preserve">, </w:t>
      </w:r>
      <w:proofErr w:type="gramStart"/>
      <w:r w:rsidR="00235804">
        <w:rPr>
          <w:lang w:val="en-GB"/>
        </w:rPr>
        <w:t>clinicians</w:t>
      </w:r>
      <w:proofErr w:type="gramEnd"/>
      <w:r w:rsidR="00235804">
        <w:rPr>
          <w:lang w:val="en-GB"/>
        </w:rPr>
        <w:t xml:space="preserve"> and organisations, which highlighted the severe impact of TRD on daily life. T</w:t>
      </w:r>
      <w:r w:rsidR="009C159E">
        <w:rPr>
          <w:lang w:val="en-GB"/>
        </w:rPr>
        <w:t>he PBAC also noted the experience of</w:t>
      </w:r>
      <w:r w:rsidR="008316CE">
        <w:rPr>
          <w:lang w:val="en-GB"/>
        </w:rPr>
        <w:t xml:space="preserve"> individuals</w:t>
      </w:r>
      <w:r w:rsidR="009C159E">
        <w:rPr>
          <w:lang w:val="en-GB"/>
        </w:rPr>
        <w:t xml:space="preserve"> and clinicians with using and providing </w:t>
      </w:r>
      <w:proofErr w:type="spellStart"/>
      <w:r w:rsidR="009C159E">
        <w:rPr>
          <w:lang w:val="en-GB"/>
        </w:rPr>
        <w:t>esketamine</w:t>
      </w:r>
      <w:proofErr w:type="spellEnd"/>
      <w:r w:rsidR="00786BC0">
        <w:rPr>
          <w:lang w:val="en-GB"/>
        </w:rPr>
        <w:t xml:space="preserve"> and ketamine</w:t>
      </w:r>
      <w:r w:rsidR="009C159E">
        <w:rPr>
          <w:lang w:val="en-GB"/>
        </w:rPr>
        <w:t xml:space="preserve">, who described the </w:t>
      </w:r>
      <w:r w:rsidR="00554EA4">
        <w:rPr>
          <w:lang w:val="en-GB"/>
        </w:rPr>
        <w:t>treatment</w:t>
      </w:r>
      <w:r w:rsidR="00786BC0">
        <w:rPr>
          <w:lang w:val="en-GB"/>
        </w:rPr>
        <w:t>s</w:t>
      </w:r>
      <w:r w:rsidR="00554EA4">
        <w:rPr>
          <w:lang w:val="en-GB"/>
        </w:rPr>
        <w:t xml:space="preserve"> as being able to restore hope to patients,</w:t>
      </w:r>
      <w:r w:rsidR="009C159E">
        <w:rPr>
          <w:lang w:val="en-GB"/>
        </w:rPr>
        <w:t xml:space="preserve"> when other options had failed. </w:t>
      </w:r>
    </w:p>
    <w:p w14:paraId="08CC930E" w14:textId="17E087BC" w:rsidR="00A24EAD" w:rsidRDefault="002A5E27" w:rsidP="00CA40DC">
      <w:pPr>
        <w:pStyle w:val="ExecSumBodyText"/>
        <w:rPr>
          <w:lang w:val="en-GB"/>
        </w:rPr>
      </w:pPr>
      <w:bookmarkStart w:id="59" w:name="_Ref110854833"/>
      <w:r>
        <w:rPr>
          <w:lang w:val="en-GB"/>
        </w:rPr>
        <w:t>The PBAC</w:t>
      </w:r>
      <w:r w:rsidR="00554EA4">
        <w:rPr>
          <w:lang w:val="en-GB"/>
        </w:rPr>
        <w:t xml:space="preserve"> also</w:t>
      </w:r>
      <w:r>
        <w:rPr>
          <w:lang w:val="en-GB"/>
        </w:rPr>
        <w:t xml:space="preserve"> noted and welcomed the input from clinicians through the clinical consensus statement provided alongside the resubmission.</w:t>
      </w:r>
      <w:r w:rsidR="00B26A14">
        <w:rPr>
          <w:lang w:val="en-GB"/>
        </w:rPr>
        <w:t xml:space="preserve"> The Committee noted the statement</w:t>
      </w:r>
      <w:r w:rsidR="00B26A14" w:rsidRPr="00B26A14">
        <w:rPr>
          <w:lang w:val="en-GB"/>
        </w:rPr>
        <w:t xml:space="preserve"> supported </w:t>
      </w:r>
      <w:r w:rsidR="00CA40DC">
        <w:rPr>
          <w:lang w:val="en-GB"/>
        </w:rPr>
        <w:t xml:space="preserve">the </w:t>
      </w:r>
      <w:r w:rsidR="00B26A14" w:rsidRPr="00B26A14">
        <w:rPr>
          <w:lang w:val="en-GB"/>
        </w:rPr>
        <w:t xml:space="preserve">listing </w:t>
      </w:r>
      <w:r w:rsidR="009674AE">
        <w:rPr>
          <w:lang w:val="en-GB"/>
        </w:rPr>
        <w:t xml:space="preserve">of </w:t>
      </w:r>
      <w:proofErr w:type="spellStart"/>
      <w:r w:rsidR="009674AE">
        <w:rPr>
          <w:lang w:val="en-GB"/>
        </w:rPr>
        <w:t>esketamine</w:t>
      </w:r>
      <w:proofErr w:type="spellEnd"/>
      <w:r w:rsidR="009674AE">
        <w:rPr>
          <w:lang w:val="en-GB"/>
        </w:rPr>
        <w:t xml:space="preserve"> for TRD </w:t>
      </w:r>
      <w:r w:rsidR="00CA40DC">
        <w:rPr>
          <w:lang w:val="en-GB"/>
        </w:rPr>
        <w:t xml:space="preserve">and considered </w:t>
      </w:r>
      <w:r w:rsidR="009674AE">
        <w:rPr>
          <w:lang w:val="en-GB"/>
        </w:rPr>
        <w:t xml:space="preserve">exposure to </w:t>
      </w:r>
      <w:r w:rsidR="009674AE" w:rsidRPr="00AB37C2">
        <w:t>2-</w:t>
      </w:r>
      <w:r w:rsidR="009674AE" w:rsidRPr="00AB37C2">
        <w:lastRenderedPageBreak/>
        <w:t>5 prior treatments in the current episode a reasonable representation of TRD in Australia</w:t>
      </w:r>
      <w:r w:rsidR="009674AE">
        <w:t xml:space="preserve">. </w:t>
      </w:r>
      <w:r w:rsidR="009674AE">
        <w:rPr>
          <w:lang w:val="en-GB"/>
        </w:rPr>
        <w:t xml:space="preserve">The clinical consensus statement </w:t>
      </w:r>
      <w:r w:rsidR="00B26A14" w:rsidRPr="00B26A14">
        <w:rPr>
          <w:lang w:val="en-GB"/>
        </w:rPr>
        <w:t xml:space="preserve">recommended the duration of therapy </w:t>
      </w:r>
      <w:r w:rsidR="009674AE">
        <w:rPr>
          <w:lang w:val="en-GB"/>
        </w:rPr>
        <w:t xml:space="preserve">with </w:t>
      </w:r>
      <w:proofErr w:type="spellStart"/>
      <w:r w:rsidR="009674AE">
        <w:rPr>
          <w:lang w:val="en-GB"/>
        </w:rPr>
        <w:t>esketamine</w:t>
      </w:r>
      <w:proofErr w:type="spellEnd"/>
      <w:r w:rsidR="009674AE">
        <w:rPr>
          <w:lang w:val="en-GB"/>
        </w:rPr>
        <w:t xml:space="preserve"> </w:t>
      </w:r>
      <w:r w:rsidR="00B26A14" w:rsidRPr="00B26A14">
        <w:rPr>
          <w:lang w:val="en-GB"/>
        </w:rPr>
        <w:t>should be up to 6 months, followed by an assessment of the need to continue therapy</w:t>
      </w:r>
      <w:r w:rsidR="00597B2B">
        <w:rPr>
          <w:lang w:val="en-GB"/>
        </w:rPr>
        <w:t xml:space="preserve"> and advocated</w:t>
      </w:r>
      <w:r w:rsidR="00B26A14" w:rsidRPr="00B26A14">
        <w:rPr>
          <w:lang w:val="en-GB"/>
        </w:rPr>
        <w:t xml:space="preserve"> for flexibility with the requirement to initiate a new OAD.</w:t>
      </w:r>
      <w:r w:rsidR="00B26A14">
        <w:rPr>
          <w:lang w:val="en-GB"/>
        </w:rPr>
        <w:t xml:space="preserve"> </w:t>
      </w:r>
      <w:r w:rsidR="00A24EAD">
        <w:rPr>
          <w:lang w:val="en-GB"/>
        </w:rPr>
        <w:t xml:space="preserve">While the advice in the clinical consensus statement was somewhat inconsistent with </w:t>
      </w:r>
      <w:r w:rsidR="00B57350">
        <w:rPr>
          <w:lang w:val="en-GB"/>
        </w:rPr>
        <w:t xml:space="preserve">clinical </w:t>
      </w:r>
      <w:r w:rsidR="00A24EAD">
        <w:rPr>
          <w:lang w:val="en-GB"/>
        </w:rPr>
        <w:t xml:space="preserve">advice previously received (paragraph 2.5, </w:t>
      </w:r>
      <w:proofErr w:type="spellStart"/>
      <w:r w:rsidR="00A24EAD">
        <w:rPr>
          <w:lang w:val="en-GB"/>
        </w:rPr>
        <w:t>esketamine</w:t>
      </w:r>
      <w:proofErr w:type="spellEnd"/>
      <w:r w:rsidR="00A24EAD">
        <w:rPr>
          <w:lang w:val="en-GB"/>
        </w:rPr>
        <w:t xml:space="preserve"> PSD</w:t>
      </w:r>
      <w:r w:rsidR="00597B2B">
        <w:rPr>
          <w:lang w:val="en-GB"/>
        </w:rPr>
        <w:t>,</w:t>
      </w:r>
      <w:r w:rsidR="00A24EAD">
        <w:rPr>
          <w:lang w:val="en-GB"/>
        </w:rPr>
        <w:t xml:space="preserve"> July 2021), </w:t>
      </w:r>
      <w:r w:rsidR="009674AE">
        <w:rPr>
          <w:lang w:val="en-GB"/>
        </w:rPr>
        <w:t>t</w:t>
      </w:r>
      <w:r w:rsidR="00554EA4">
        <w:rPr>
          <w:lang w:val="en-GB"/>
        </w:rPr>
        <w:t xml:space="preserve">he PBAC recognised that the management of TRD is complex and </w:t>
      </w:r>
      <w:r w:rsidR="00EF6AB8">
        <w:rPr>
          <w:lang w:val="en-GB"/>
        </w:rPr>
        <w:t xml:space="preserve">variable depending on many </w:t>
      </w:r>
      <w:proofErr w:type="gramStart"/>
      <w:r w:rsidR="00EF6AB8">
        <w:rPr>
          <w:lang w:val="en-GB"/>
        </w:rPr>
        <w:t>patient</w:t>
      </w:r>
      <w:proofErr w:type="gramEnd"/>
      <w:r w:rsidR="00EF6AB8">
        <w:rPr>
          <w:lang w:val="en-GB"/>
        </w:rPr>
        <w:t xml:space="preserve"> and health system factors.</w:t>
      </w:r>
      <w:bookmarkEnd w:id="59"/>
      <w:r w:rsidR="00EF6AB8">
        <w:rPr>
          <w:lang w:val="en-GB"/>
        </w:rPr>
        <w:t xml:space="preserve"> </w:t>
      </w:r>
    </w:p>
    <w:p w14:paraId="4A9D0A1A" w14:textId="4D271820" w:rsidR="00A24EAD" w:rsidRDefault="00A24EAD" w:rsidP="00CA40DC">
      <w:pPr>
        <w:pStyle w:val="ExecSumBodyText"/>
        <w:rPr>
          <w:lang w:val="en-GB"/>
        </w:rPr>
      </w:pPr>
      <w:r w:rsidRPr="00211EEF">
        <w:t xml:space="preserve">The PBAC </w:t>
      </w:r>
      <w:r>
        <w:t xml:space="preserve">noted the information provided by </w:t>
      </w:r>
      <w:r w:rsidR="004E788F">
        <w:t xml:space="preserve">the </w:t>
      </w:r>
      <w:r>
        <w:t>D</w:t>
      </w:r>
      <w:r w:rsidR="004E788F">
        <w:t xml:space="preserve">epartment of </w:t>
      </w:r>
      <w:r>
        <w:t>V</w:t>
      </w:r>
      <w:r w:rsidR="004E788F">
        <w:t xml:space="preserve">eterans </w:t>
      </w:r>
      <w:r>
        <w:t>A</w:t>
      </w:r>
      <w:r w:rsidR="004E788F">
        <w:t>ffairs</w:t>
      </w:r>
      <w:r w:rsidR="005E0EB4">
        <w:t>’</w:t>
      </w:r>
      <w:r w:rsidR="004E788F">
        <w:t xml:space="preserve"> (DVA)</w:t>
      </w:r>
      <w:r>
        <w:t xml:space="preserve"> (paragraph </w:t>
      </w:r>
      <w:r>
        <w:fldChar w:fldCharType="begin"/>
      </w:r>
      <w:r>
        <w:instrText xml:space="preserve"> REF _Ref110326524 \r \h </w:instrText>
      </w:r>
      <w:r>
        <w:fldChar w:fldCharType="separate"/>
      </w:r>
      <w:r w:rsidR="008E3D7A">
        <w:t>2.3</w:t>
      </w:r>
      <w:r>
        <w:fldChar w:fldCharType="end"/>
      </w:r>
      <w:r>
        <w:t xml:space="preserve">) </w:t>
      </w:r>
      <w:r w:rsidR="007125C4">
        <w:t xml:space="preserve">regarding the use of </w:t>
      </w:r>
      <w:proofErr w:type="spellStart"/>
      <w:r w:rsidR="007125C4">
        <w:t>esketamine</w:t>
      </w:r>
      <w:proofErr w:type="spellEnd"/>
      <w:r w:rsidR="007125C4">
        <w:t xml:space="preserve"> and ketamine</w:t>
      </w:r>
      <w:r w:rsidR="004E788F">
        <w:t xml:space="preserve"> to treat</w:t>
      </w:r>
      <w:r w:rsidR="007125C4">
        <w:t xml:space="preserve"> TRD (and other conditions </w:t>
      </w:r>
      <w:r w:rsidR="007125C4" w:rsidRPr="00F2404B">
        <w:t xml:space="preserve">including PTSD and anxiety) in clinical practice </w:t>
      </w:r>
      <w:r w:rsidRPr="00F2404B">
        <w:t>and considered the advice was informative</w:t>
      </w:r>
      <w:r w:rsidR="007125C4" w:rsidRPr="00F2404B">
        <w:t>.</w:t>
      </w:r>
      <w:r w:rsidRPr="00F2404B">
        <w:t xml:space="preserve"> </w:t>
      </w:r>
      <w:r w:rsidR="007125C4" w:rsidRPr="00F2404B">
        <w:t xml:space="preserve">The PBAC considered some additional information should be </w:t>
      </w:r>
      <w:r w:rsidR="005E0EB4" w:rsidRPr="00F2404B">
        <w:t xml:space="preserve">sought from </w:t>
      </w:r>
      <w:r w:rsidR="007125C4" w:rsidRPr="00F2404B">
        <w:t xml:space="preserve">the DVA, </w:t>
      </w:r>
      <w:r w:rsidR="00E7212D" w:rsidRPr="00F2404B">
        <w:t xml:space="preserve">as outlined in para </w:t>
      </w:r>
      <w:r w:rsidR="00F2404B" w:rsidRPr="00F2404B">
        <w:fldChar w:fldCharType="begin"/>
      </w:r>
      <w:r w:rsidR="00F2404B" w:rsidRPr="00F2404B">
        <w:instrText xml:space="preserve"> REF _Ref110931526 \r \h </w:instrText>
      </w:r>
      <w:r w:rsidR="00F2404B">
        <w:instrText xml:space="preserve"> \* MERGEFORMAT </w:instrText>
      </w:r>
      <w:r w:rsidR="00F2404B" w:rsidRPr="00F2404B">
        <w:fldChar w:fldCharType="separate"/>
      </w:r>
      <w:r w:rsidR="008E3D7A">
        <w:t>7.11</w:t>
      </w:r>
      <w:r w:rsidR="00F2404B" w:rsidRPr="00F2404B">
        <w:fldChar w:fldCharType="end"/>
      </w:r>
      <w:r w:rsidR="00F2404B" w:rsidRPr="00F2404B">
        <w:t>.</w:t>
      </w:r>
    </w:p>
    <w:p w14:paraId="2A844224" w14:textId="53FEAC7D" w:rsidR="002A5E27" w:rsidRPr="00CE1E1A" w:rsidRDefault="00554EA4" w:rsidP="00CA40DC">
      <w:pPr>
        <w:pStyle w:val="ExecSumBodyText"/>
        <w:rPr>
          <w:lang w:val="en-GB"/>
        </w:rPr>
      </w:pPr>
      <w:bookmarkStart w:id="60" w:name="_Ref110852886"/>
      <w:r>
        <w:rPr>
          <w:lang w:val="en-GB"/>
        </w:rPr>
        <w:t xml:space="preserve">The PBAC </w:t>
      </w:r>
      <w:r w:rsidR="00B57350">
        <w:rPr>
          <w:lang w:val="en-GB"/>
        </w:rPr>
        <w:t xml:space="preserve">acknowledged that </w:t>
      </w:r>
      <w:proofErr w:type="spellStart"/>
      <w:r w:rsidR="00D32557">
        <w:rPr>
          <w:lang w:val="en-GB"/>
        </w:rPr>
        <w:t>esketamine</w:t>
      </w:r>
      <w:proofErr w:type="spellEnd"/>
      <w:r w:rsidR="00D32557">
        <w:rPr>
          <w:lang w:val="en-GB"/>
        </w:rPr>
        <w:t xml:space="preserve"> may be an appropriate treatment option</w:t>
      </w:r>
      <w:r>
        <w:rPr>
          <w:lang w:val="en-GB"/>
        </w:rPr>
        <w:t xml:space="preserve"> </w:t>
      </w:r>
      <w:r w:rsidR="001A6E92">
        <w:rPr>
          <w:lang w:val="en-GB"/>
        </w:rPr>
        <w:t xml:space="preserve">after an </w:t>
      </w:r>
      <w:r w:rsidR="00B57350">
        <w:rPr>
          <w:lang w:val="en-GB"/>
        </w:rPr>
        <w:t xml:space="preserve">inadequate response to </w:t>
      </w:r>
      <w:r w:rsidR="00C11008">
        <w:rPr>
          <w:lang w:val="en-GB"/>
        </w:rPr>
        <w:t xml:space="preserve">only </w:t>
      </w:r>
      <w:r>
        <w:rPr>
          <w:lang w:val="en-GB"/>
        </w:rPr>
        <w:t xml:space="preserve">two prior OADs for a subset of patients, such as those with severe symptoms, imminent risk of self-harm </w:t>
      </w:r>
      <w:r w:rsidR="00786BC0">
        <w:rPr>
          <w:lang w:val="en-GB"/>
        </w:rPr>
        <w:t xml:space="preserve">or </w:t>
      </w:r>
      <w:r>
        <w:rPr>
          <w:lang w:val="en-GB"/>
        </w:rPr>
        <w:t>no response to prior treatment</w:t>
      </w:r>
      <w:r w:rsidR="00D32557">
        <w:rPr>
          <w:lang w:val="en-GB"/>
        </w:rPr>
        <w:t>. H</w:t>
      </w:r>
      <w:r>
        <w:rPr>
          <w:lang w:val="en-GB"/>
        </w:rPr>
        <w:t>owever</w:t>
      </w:r>
      <w:r w:rsidR="00D32557">
        <w:rPr>
          <w:lang w:val="en-GB"/>
        </w:rPr>
        <w:t xml:space="preserve">, the PBAC </w:t>
      </w:r>
      <w:r>
        <w:rPr>
          <w:lang w:val="en-GB"/>
        </w:rPr>
        <w:t xml:space="preserve">considered that for most patients, </w:t>
      </w:r>
      <w:proofErr w:type="spellStart"/>
      <w:r>
        <w:rPr>
          <w:lang w:val="en-GB"/>
        </w:rPr>
        <w:t>esketamine</w:t>
      </w:r>
      <w:proofErr w:type="spellEnd"/>
      <w:r>
        <w:rPr>
          <w:lang w:val="en-GB"/>
        </w:rPr>
        <w:t xml:space="preserve"> should be</w:t>
      </w:r>
      <w:r w:rsidR="00D32557">
        <w:rPr>
          <w:lang w:val="en-GB"/>
        </w:rPr>
        <w:t xml:space="preserve"> initiated</w:t>
      </w:r>
      <w:r>
        <w:rPr>
          <w:lang w:val="en-GB"/>
        </w:rPr>
        <w:t xml:space="preserve"> after additional </w:t>
      </w:r>
      <w:r w:rsidR="00D32557">
        <w:rPr>
          <w:lang w:val="en-GB"/>
        </w:rPr>
        <w:t xml:space="preserve">treatment </w:t>
      </w:r>
      <w:r>
        <w:rPr>
          <w:lang w:val="en-GB"/>
        </w:rPr>
        <w:t xml:space="preserve">options </w:t>
      </w:r>
      <w:r w:rsidR="008D1D60">
        <w:rPr>
          <w:lang w:val="en-GB"/>
        </w:rPr>
        <w:t xml:space="preserve">that have </w:t>
      </w:r>
      <w:r>
        <w:rPr>
          <w:lang w:val="en-GB"/>
        </w:rPr>
        <w:t xml:space="preserve">longer-term safety and effectiveness data </w:t>
      </w:r>
      <w:r w:rsidR="008D1D60">
        <w:rPr>
          <w:lang w:val="en-GB"/>
        </w:rPr>
        <w:t xml:space="preserve">and </w:t>
      </w:r>
      <w:r w:rsidR="009F4A36">
        <w:rPr>
          <w:lang w:val="en-GB"/>
        </w:rPr>
        <w:t>are</w:t>
      </w:r>
      <w:r w:rsidR="004E788F">
        <w:rPr>
          <w:lang w:val="en-GB"/>
        </w:rPr>
        <w:t xml:space="preserve"> more</w:t>
      </w:r>
      <w:r w:rsidR="009F4A36">
        <w:rPr>
          <w:lang w:val="en-GB"/>
        </w:rPr>
        <w:t xml:space="preserve"> </w:t>
      </w:r>
      <w:r w:rsidR="004E788F">
        <w:rPr>
          <w:lang w:val="en-GB"/>
        </w:rPr>
        <w:t xml:space="preserve">established in clinical practice </w:t>
      </w:r>
      <w:r w:rsidR="001A6E92">
        <w:rPr>
          <w:lang w:val="en-GB"/>
        </w:rPr>
        <w:t>(for example, combination therapy, augmentation with lithium or other agent</w:t>
      </w:r>
      <w:r w:rsidR="00D908FF">
        <w:rPr>
          <w:lang w:val="en-GB"/>
        </w:rPr>
        <w:t>s</w:t>
      </w:r>
      <w:r w:rsidR="001A6E92">
        <w:rPr>
          <w:lang w:val="en-GB"/>
        </w:rPr>
        <w:t xml:space="preserve"> and physical treatments</w:t>
      </w:r>
      <w:r w:rsidR="001A67A5">
        <w:rPr>
          <w:lang w:val="en-GB"/>
        </w:rPr>
        <w:t xml:space="preserve"> such as ECT and </w:t>
      </w:r>
      <w:proofErr w:type="spellStart"/>
      <w:r w:rsidR="001A67A5">
        <w:rPr>
          <w:lang w:val="en-GB"/>
        </w:rPr>
        <w:t>rTMS</w:t>
      </w:r>
      <w:proofErr w:type="spellEnd"/>
      <w:r w:rsidR="001A6E92">
        <w:rPr>
          <w:lang w:val="en-GB"/>
        </w:rPr>
        <w:t>)</w:t>
      </w:r>
      <w:r w:rsidR="004E788F">
        <w:rPr>
          <w:lang w:val="en-GB"/>
        </w:rPr>
        <w:t xml:space="preserve"> have been trialled or at least considered</w:t>
      </w:r>
      <w:r w:rsidR="00C65910">
        <w:rPr>
          <w:lang w:val="en-GB"/>
        </w:rPr>
        <w:t>.</w:t>
      </w:r>
      <w:r w:rsidR="00C96F3B">
        <w:rPr>
          <w:lang w:val="en-GB"/>
        </w:rPr>
        <w:t xml:space="preserve"> </w:t>
      </w:r>
      <w:r w:rsidR="00154515">
        <w:rPr>
          <w:lang w:val="en-GB"/>
        </w:rPr>
        <w:t xml:space="preserve">The PBAC noted this was consistent with the consensus statement which considered patients appropriate for </w:t>
      </w:r>
      <w:proofErr w:type="spellStart"/>
      <w:r w:rsidR="00154515">
        <w:rPr>
          <w:lang w:val="en-GB"/>
        </w:rPr>
        <w:t>esk</w:t>
      </w:r>
      <w:r w:rsidR="00D908FF">
        <w:rPr>
          <w:lang w:val="en-GB"/>
        </w:rPr>
        <w:t>e</w:t>
      </w:r>
      <w:r w:rsidR="00154515">
        <w:rPr>
          <w:lang w:val="en-GB"/>
        </w:rPr>
        <w:t>t</w:t>
      </w:r>
      <w:r w:rsidR="00D908FF">
        <w:rPr>
          <w:lang w:val="en-GB"/>
        </w:rPr>
        <w:t>a</w:t>
      </w:r>
      <w:r w:rsidR="00154515">
        <w:rPr>
          <w:lang w:val="en-GB"/>
        </w:rPr>
        <w:t>mine</w:t>
      </w:r>
      <w:proofErr w:type="spellEnd"/>
      <w:r w:rsidR="00154515">
        <w:rPr>
          <w:lang w:val="en-GB"/>
        </w:rPr>
        <w:t xml:space="preserve"> would have received prior treatment with </w:t>
      </w:r>
      <w:r w:rsidR="009F4A36">
        <w:rPr>
          <w:lang w:val="en-GB"/>
        </w:rPr>
        <w:t>two</w:t>
      </w:r>
      <w:r w:rsidR="00154515">
        <w:rPr>
          <w:lang w:val="en-GB"/>
        </w:rPr>
        <w:t xml:space="preserve"> to </w:t>
      </w:r>
      <w:r w:rsidR="009F4A36">
        <w:rPr>
          <w:lang w:val="en-GB"/>
        </w:rPr>
        <w:t>five</w:t>
      </w:r>
      <w:r w:rsidR="00154515">
        <w:rPr>
          <w:lang w:val="en-GB"/>
        </w:rPr>
        <w:t xml:space="preserve"> OADs. </w:t>
      </w:r>
      <w:r w:rsidR="00C96F3B">
        <w:rPr>
          <w:lang w:val="en-GB"/>
        </w:rPr>
        <w:t xml:space="preserve">The PBAC considered that, given the severity of TRD and to ensure </w:t>
      </w:r>
      <w:proofErr w:type="spellStart"/>
      <w:r w:rsidR="00C96F3B">
        <w:rPr>
          <w:lang w:val="en-GB"/>
        </w:rPr>
        <w:t>esketamine</w:t>
      </w:r>
      <w:proofErr w:type="spellEnd"/>
      <w:r w:rsidR="00C96F3B">
        <w:rPr>
          <w:lang w:val="en-GB"/>
        </w:rPr>
        <w:t xml:space="preserve"> is used in appropriate </w:t>
      </w:r>
      <w:r w:rsidR="00847750">
        <w:rPr>
          <w:lang w:val="en-GB"/>
        </w:rPr>
        <w:t>patients</w:t>
      </w:r>
      <w:r w:rsidR="009F4A36">
        <w:rPr>
          <w:lang w:val="en-GB"/>
        </w:rPr>
        <w:t>,</w:t>
      </w:r>
      <w:r w:rsidR="00C96F3B">
        <w:rPr>
          <w:lang w:val="en-GB"/>
        </w:rPr>
        <w:t xml:space="preserve"> the decision to initiate </w:t>
      </w:r>
      <w:proofErr w:type="spellStart"/>
      <w:r w:rsidR="00C96F3B">
        <w:rPr>
          <w:lang w:val="en-GB"/>
        </w:rPr>
        <w:t>esketamine</w:t>
      </w:r>
      <w:proofErr w:type="spellEnd"/>
      <w:r w:rsidR="00C96F3B">
        <w:rPr>
          <w:lang w:val="en-GB"/>
        </w:rPr>
        <w:t xml:space="preserve"> should be limited to </w:t>
      </w:r>
      <w:r w:rsidR="00C96F3B" w:rsidRPr="009F4A36">
        <w:rPr>
          <w:lang w:val="en-GB"/>
        </w:rPr>
        <w:t>psychiatris</w:t>
      </w:r>
      <w:r w:rsidR="00C96F3B" w:rsidRPr="00B160D6">
        <w:rPr>
          <w:lang w:val="en-GB"/>
        </w:rPr>
        <w:t>ts.</w:t>
      </w:r>
      <w:bookmarkEnd w:id="60"/>
      <w:r w:rsidR="00C96F3B" w:rsidRPr="00B160D6">
        <w:rPr>
          <w:lang w:val="en-GB"/>
        </w:rPr>
        <w:t xml:space="preserve">  </w:t>
      </w:r>
    </w:p>
    <w:p w14:paraId="402FBD6B" w14:textId="147F0CCA" w:rsidR="001A6E92" w:rsidRPr="00B160D6" w:rsidRDefault="009F4A36" w:rsidP="00CA40DC">
      <w:pPr>
        <w:pStyle w:val="ExecSumBodyText"/>
        <w:rPr>
          <w:lang w:val="en-GB"/>
        </w:rPr>
      </w:pPr>
      <w:r w:rsidRPr="00B160D6">
        <w:rPr>
          <w:lang w:val="en-GB"/>
        </w:rPr>
        <w:t xml:space="preserve">The PBAC advised the restriction </w:t>
      </w:r>
      <w:r w:rsidR="00F11C07">
        <w:rPr>
          <w:lang w:val="en-GB"/>
        </w:rPr>
        <w:t xml:space="preserve">criteria </w:t>
      </w:r>
      <w:r w:rsidRPr="00B160D6">
        <w:rPr>
          <w:lang w:val="en-GB"/>
        </w:rPr>
        <w:t xml:space="preserve">for </w:t>
      </w:r>
      <w:proofErr w:type="spellStart"/>
      <w:r w:rsidRPr="00B160D6">
        <w:rPr>
          <w:lang w:val="en-GB"/>
        </w:rPr>
        <w:t>esketamine</w:t>
      </w:r>
      <w:proofErr w:type="spellEnd"/>
      <w:r w:rsidRPr="00B160D6">
        <w:rPr>
          <w:lang w:val="en-GB"/>
        </w:rPr>
        <w:t xml:space="preserve"> would require </w:t>
      </w:r>
      <w:proofErr w:type="gramStart"/>
      <w:r w:rsidR="00270A73">
        <w:rPr>
          <w:lang w:val="en-GB"/>
        </w:rPr>
        <w:t>a number</w:t>
      </w:r>
      <w:r w:rsidR="001A67A5">
        <w:rPr>
          <w:lang w:val="en-GB"/>
        </w:rPr>
        <w:t xml:space="preserve"> </w:t>
      </w:r>
      <w:r w:rsidR="00270A73">
        <w:rPr>
          <w:lang w:val="en-GB"/>
        </w:rPr>
        <w:t>of</w:t>
      </w:r>
      <w:proofErr w:type="gramEnd"/>
      <w:r w:rsidR="00270A73">
        <w:rPr>
          <w:lang w:val="en-GB"/>
        </w:rPr>
        <w:t xml:space="preserve"> amendments, including </w:t>
      </w:r>
      <w:r w:rsidR="00847750">
        <w:rPr>
          <w:lang w:val="en-GB"/>
        </w:rPr>
        <w:t>the following</w:t>
      </w:r>
      <w:r w:rsidR="006F0BEE">
        <w:rPr>
          <w:lang w:val="en-GB"/>
        </w:rPr>
        <w:t>:</w:t>
      </w:r>
    </w:p>
    <w:p w14:paraId="55AB6546" w14:textId="0F834EBD" w:rsidR="009F4A36" w:rsidRDefault="00DE1014" w:rsidP="009F4A36">
      <w:pPr>
        <w:pStyle w:val="ExecSumBodyText"/>
        <w:numPr>
          <w:ilvl w:val="0"/>
          <w:numId w:val="37"/>
        </w:numPr>
        <w:ind w:left="993" w:hanging="284"/>
        <w:rPr>
          <w:lang w:val="en-GB"/>
        </w:rPr>
      </w:pPr>
      <w:r>
        <w:rPr>
          <w:lang w:val="en-GB"/>
        </w:rPr>
        <w:t>I</w:t>
      </w:r>
      <w:r w:rsidR="006F0BEE">
        <w:rPr>
          <w:lang w:val="en-GB"/>
        </w:rPr>
        <w:t xml:space="preserve">nitial prescribing </w:t>
      </w:r>
      <w:r>
        <w:rPr>
          <w:lang w:val="en-GB"/>
        </w:rPr>
        <w:t xml:space="preserve">should </w:t>
      </w:r>
      <w:r w:rsidR="006F0BEE">
        <w:rPr>
          <w:lang w:val="en-GB"/>
        </w:rPr>
        <w:t xml:space="preserve">be limited to psychiatrists </w:t>
      </w:r>
      <w:r w:rsidR="00B61E8B">
        <w:rPr>
          <w:lang w:val="en-GB"/>
        </w:rPr>
        <w:t>rather than ‘psychiatrists or under the supervision of a psychiatrist’</w:t>
      </w:r>
      <w:r w:rsidR="00F9342C">
        <w:rPr>
          <w:lang w:val="en-GB"/>
        </w:rPr>
        <w:t xml:space="preserve"> (as </w:t>
      </w:r>
      <w:r w:rsidR="00EC1DB1">
        <w:rPr>
          <w:lang w:val="en-GB"/>
        </w:rPr>
        <w:t xml:space="preserve">discussed </w:t>
      </w:r>
      <w:r w:rsidR="00F9342C">
        <w:rPr>
          <w:lang w:val="en-GB"/>
        </w:rPr>
        <w:t>in the para above)</w:t>
      </w:r>
      <w:r w:rsidR="006F0BEE">
        <w:rPr>
          <w:lang w:val="en-GB"/>
        </w:rPr>
        <w:t>.</w:t>
      </w:r>
    </w:p>
    <w:p w14:paraId="23119155" w14:textId="40E424BE" w:rsidR="00F9342C" w:rsidRDefault="00F9342C" w:rsidP="009F4A36">
      <w:pPr>
        <w:pStyle w:val="ExecSumBodyText"/>
        <w:numPr>
          <w:ilvl w:val="0"/>
          <w:numId w:val="37"/>
        </w:numPr>
        <w:ind w:left="993" w:hanging="284"/>
        <w:rPr>
          <w:lang w:val="en-GB"/>
        </w:rPr>
      </w:pPr>
      <w:r>
        <w:rPr>
          <w:lang w:val="en-GB"/>
        </w:rPr>
        <w:t>Amend the clinical criteria ‘</w:t>
      </w:r>
      <w:r w:rsidRPr="00F9342C">
        <w:rPr>
          <w:lang w:val="en-GB"/>
        </w:rPr>
        <w:t>Patient must have received and not achieved an adequate response to at least two different antidepressant medications at adequate doses and duration to treat the current depressive episode</w:t>
      </w:r>
      <w:r>
        <w:rPr>
          <w:lang w:val="en-GB"/>
        </w:rPr>
        <w:t xml:space="preserve">’ to </w:t>
      </w:r>
      <w:r w:rsidR="003938B4">
        <w:rPr>
          <w:lang w:val="en-GB"/>
        </w:rPr>
        <w:t>better describe</w:t>
      </w:r>
      <w:r>
        <w:rPr>
          <w:lang w:val="en-GB"/>
        </w:rPr>
        <w:t xml:space="preserve"> the intended patient population</w:t>
      </w:r>
      <w:r w:rsidR="00EC1DB1">
        <w:rPr>
          <w:lang w:val="en-GB"/>
        </w:rPr>
        <w:t xml:space="preserve"> (as discussed in the para above)</w:t>
      </w:r>
      <w:r w:rsidRPr="00F9342C">
        <w:rPr>
          <w:lang w:val="en-GB"/>
        </w:rPr>
        <w:t>.</w:t>
      </w:r>
    </w:p>
    <w:p w14:paraId="57C3F531" w14:textId="6A18B140" w:rsidR="009F4A36" w:rsidRDefault="006F0BEE" w:rsidP="009F4A36">
      <w:pPr>
        <w:pStyle w:val="ExecSumBodyText"/>
        <w:numPr>
          <w:ilvl w:val="0"/>
          <w:numId w:val="37"/>
        </w:numPr>
        <w:ind w:left="993" w:hanging="284"/>
        <w:rPr>
          <w:lang w:val="en-GB"/>
        </w:rPr>
      </w:pPr>
      <w:r>
        <w:rPr>
          <w:lang w:val="en-GB"/>
        </w:rPr>
        <w:t xml:space="preserve">Include </w:t>
      </w:r>
      <w:r w:rsidR="002E1646">
        <w:rPr>
          <w:lang w:val="en-GB"/>
        </w:rPr>
        <w:t xml:space="preserve">a </w:t>
      </w:r>
      <w:proofErr w:type="gramStart"/>
      <w:r w:rsidR="002E1646">
        <w:rPr>
          <w:lang w:val="en-GB"/>
        </w:rPr>
        <w:t>clinical</w:t>
      </w:r>
      <w:r w:rsidR="00EA6E54">
        <w:rPr>
          <w:lang w:val="en-GB"/>
        </w:rPr>
        <w:t xml:space="preserve"> </w:t>
      </w:r>
      <w:r w:rsidR="002E1646">
        <w:rPr>
          <w:lang w:val="en-GB"/>
        </w:rPr>
        <w:t>criteria</w:t>
      </w:r>
      <w:proofErr w:type="gramEnd"/>
      <w:r w:rsidR="002E1646">
        <w:rPr>
          <w:lang w:val="en-GB"/>
        </w:rPr>
        <w:t xml:space="preserve"> that provides </w:t>
      </w:r>
      <w:r w:rsidR="00F9342C">
        <w:rPr>
          <w:lang w:val="en-GB"/>
        </w:rPr>
        <w:t xml:space="preserve">clarity on an appropriate interpretation of </w:t>
      </w:r>
      <w:r w:rsidR="002E1646">
        <w:rPr>
          <w:lang w:val="en-GB"/>
        </w:rPr>
        <w:t>‘</w:t>
      </w:r>
      <w:r w:rsidRPr="00F9342C">
        <w:rPr>
          <w:lang w:val="en-GB"/>
        </w:rPr>
        <w:t>newly initiated</w:t>
      </w:r>
      <w:r w:rsidR="002E1646" w:rsidRPr="00F9342C">
        <w:rPr>
          <w:lang w:val="en-GB"/>
        </w:rPr>
        <w:t>’ OAD</w:t>
      </w:r>
      <w:r w:rsidR="00F9342C" w:rsidRPr="00F9342C">
        <w:rPr>
          <w:lang w:val="en-GB"/>
        </w:rPr>
        <w:t xml:space="preserve"> (as discussed in para </w:t>
      </w:r>
      <w:r w:rsidR="00F9342C" w:rsidRPr="00F9342C">
        <w:rPr>
          <w:lang w:val="en-GB"/>
        </w:rPr>
        <w:fldChar w:fldCharType="begin"/>
      </w:r>
      <w:r w:rsidR="00F9342C" w:rsidRPr="00330081">
        <w:rPr>
          <w:lang w:val="en-GB"/>
        </w:rPr>
        <w:instrText xml:space="preserve"> REF _Ref110853638 \r \h </w:instrText>
      </w:r>
      <w:r w:rsidR="00F9342C">
        <w:rPr>
          <w:lang w:val="en-GB"/>
        </w:rPr>
        <w:instrText xml:space="preserve"> \* MERGEFORMAT </w:instrText>
      </w:r>
      <w:r w:rsidR="00F9342C" w:rsidRPr="00F9342C">
        <w:rPr>
          <w:lang w:val="en-GB"/>
        </w:rPr>
      </w:r>
      <w:r w:rsidR="00F9342C" w:rsidRPr="00F9342C">
        <w:rPr>
          <w:lang w:val="en-GB"/>
        </w:rPr>
        <w:fldChar w:fldCharType="separate"/>
      </w:r>
      <w:r w:rsidR="008E3D7A">
        <w:rPr>
          <w:lang w:val="en-GB"/>
        </w:rPr>
        <w:t>3.6</w:t>
      </w:r>
      <w:r w:rsidR="00F9342C" w:rsidRPr="00F9342C">
        <w:rPr>
          <w:lang w:val="en-GB"/>
        </w:rPr>
        <w:fldChar w:fldCharType="end"/>
      </w:r>
      <w:r w:rsidR="00F9342C" w:rsidRPr="00F9342C">
        <w:rPr>
          <w:lang w:val="en-GB"/>
        </w:rPr>
        <w:t xml:space="preserve">). </w:t>
      </w:r>
    </w:p>
    <w:p w14:paraId="624FB16B" w14:textId="1BC4066C" w:rsidR="00EC1DB1" w:rsidRPr="00F9342C" w:rsidRDefault="00EC1DB1" w:rsidP="009F4A36">
      <w:pPr>
        <w:pStyle w:val="ExecSumBodyText"/>
        <w:numPr>
          <w:ilvl w:val="0"/>
          <w:numId w:val="37"/>
        </w:numPr>
        <w:ind w:left="993" w:hanging="284"/>
        <w:rPr>
          <w:lang w:val="en-GB"/>
        </w:rPr>
      </w:pPr>
      <w:r>
        <w:rPr>
          <w:lang w:val="en-GB"/>
        </w:rPr>
        <w:t xml:space="preserve">Provide for assessment by a psychiatrist after 6 months of treatment to determine the benefit of ongoing treatment </w:t>
      </w:r>
      <w:r w:rsidRPr="00F9342C">
        <w:rPr>
          <w:lang w:val="en-GB"/>
        </w:rPr>
        <w:t>(as</w:t>
      </w:r>
      <w:r>
        <w:rPr>
          <w:lang w:val="en-GB"/>
        </w:rPr>
        <w:t xml:space="preserve"> discussed in para </w:t>
      </w:r>
      <w:r>
        <w:rPr>
          <w:lang w:val="en-GB"/>
        </w:rPr>
        <w:fldChar w:fldCharType="begin"/>
      </w:r>
      <w:r>
        <w:rPr>
          <w:lang w:val="en-GB"/>
        </w:rPr>
        <w:instrText xml:space="preserve"> REF _Ref110854833 \r \h </w:instrText>
      </w:r>
      <w:r>
        <w:rPr>
          <w:lang w:val="en-GB"/>
        </w:rPr>
      </w:r>
      <w:r>
        <w:rPr>
          <w:lang w:val="en-GB"/>
        </w:rPr>
        <w:fldChar w:fldCharType="separate"/>
      </w:r>
      <w:r w:rsidR="008E3D7A">
        <w:rPr>
          <w:lang w:val="en-GB"/>
        </w:rPr>
        <w:t>7.3</w:t>
      </w:r>
      <w:r>
        <w:rPr>
          <w:lang w:val="en-GB"/>
        </w:rPr>
        <w:fldChar w:fldCharType="end"/>
      </w:r>
      <w:r w:rsidRPr="00F9342C">
        <w:rPr>
          <w:lang w:val="en-GB"/>
        </w:rPr>
        <w:t>)</w:t>
      </w:r>
      <w:r>
        <w:rPr>
          <w:lang w:val="en-GB"/>
        </w:rPr>
        <w:t xml:space="preserve">.  </w:t>
      </w:r>
    </w:p>
    <w:p w14:paraId="1B564999" w14:textId="6248951B" w:rsidR="009F4A36" w:rsidRPr="00330081" w:rsidRDefault="00F9342C" w:rsidP="009F4A36">
      <w:pPr>
        <w:pStyle w:val="ExecSumBodyText"/>
        <w:numPr>
          <w:ilvl w:val="0"/>
          <w:numId w:val="37"/>
        </w:numPr>
        <w:ind w:left="993" w:hanging="284"/>
        <w:rPr>
          <w:lang w:val="en-GB"/>
        </w:rPr>
      </w:pPr>
      <w:r w:rsidRPr="00330081">
        <w:rPr>
          <w:lang w:val="en-GB"/>
        </w:rPr>
        <w:t>Amend the continuing and grandfather restriction</w:t>
      </w:r>
      <w:r w:rsidR="00EC1DB1">
        <w:rPr>
          <w:lang w:val="en-GB"/>
        </w:rPr>
        <w:t>s</w:t>
      </w:r>
      <w:r w:rsidRPr="00330081">
        <w:rPr>
          <w:lang w:val="en-GB"/>
        </w:rPr>
        <w:t xml:space="preserve"> to specify that treatment with </w:t>
      </w:r>
      <w:proofErr w:type="spellStart"/>
      <w:r w:rsidRPr="00330081">
        <w:rPr>
          <w:lang w:val="en-GB"/>
        </w:rPr>
        <w:t>esketamine</w:t>
      </w:r>
      <w:proofErr w:type="spellEnd"/>
      <w:r w:rsidRPr="00330081">
        <w:rPr>
          <w:lang w:val="en-GB"/>
        </w:rPr>
        <w:t xml:space="preserve"> must be in combination with a</w:t>
      </w:r>
      <w:r w:rsidR="00EC1DB1">
        <w:rPr>
          <w:lang w:val="en-GB"/>
        </w:rPr>
        <w:t>n</w:t>
      </w:r>
      <w:r w:rsidRPr="00330081">
        <w:rPr>
          <w:lang w:val="en-GB"/>
        </w:rPr>
        <w:t xml:space="preserve"> OAD (as discussed in para 3.6).</w:t>
      </w:r>
    </w:p>
    <w:p w14:paraId="40BA5ACC" w14:textId="231CB3A7" w:rsidR="00143AEB" w:rsidRPr="00143AEB" w:rsidRDefault="00B57350" w:rsidP="00CA40DC">
      <w:pPr>
        <w:pStyle w:val="ExecSumBodyText"/>
        <w:rPr>
          <w:lang w:val="en-GB"/>
        </w:rPr>
      </w:pPr>
      <w:r>
        <w:rPr>
          <w:lang w:val="en-GB"/>
        </w:rPr>
        <w:lastRenderedPageBreak/>
        <w:t xml:space="preserve">The PBAC reaffirmed its previously expressed view the nominated comparator of a newly initiated OAD alone was reasonable (para 7.6, </w:t>
      </w:r>
      <w:proofErr w:type="spellStart"/>
      <w:r>
        <w:rPr>
          <w:lang w:val="en-GB"/>
        </w:rPr>
        <w:t>esketamine</w:t>
      </w:r>
      <w:proofErr w:type="spellEnd"/>
      <w:r>
        <w:rPr>
          <w:lang w:val="en-GB"/>
        </w:rPr>
        <w:t xml:space="preserve"> PSD, July 2021).</w:t>
      </w:r>
    </w:p>
    <w:p w14:paraId="47932CF1" w14:textId="2042AC9B" w:rsidR="00D30B7F" w:rsidRPr="00786BC0" w:rsidRDefault="00AF0ACA" w:rsidP="00CA40DC">
      <w:pPr>
        <w:pStyle w:val="ExecSumBodyText"/>
        <w:rPr>
          <w:lang w:val="en-GB"/>
        </w:rPr>
      </w:pPr>
      <w:r>
        <w:rPr>
          <w:lang w:val="en-GB"/>
        </w:rPr>
        <w:t xml:space="preserve">The PBAC noted no new clinical evidence was provided in the resubmission, and the clinical claim remained primarily based upon the results of TRANSFORM-2 for induction therapy and </w:t>
      </w:r>
      <w:r w:rsidR="00AE5D7A">
        <w:rPr>
          <w:lang w:val="en-GB"/>
        </w:rPr>
        <w:t>SUSTAIN-1 for maintenance therapy</w:t>
      </w:r>
      <w:r w:rsidR="009C3DB1">
        <w:rPr>
          <w:lang w:val="en-GB"/>
        </w:rPr>
        <w:t>. The PBAC</w:t>
      </w:r>
      <w:r w:rsidR="00AE5D7A">
        <w:rPr>
          <w:lang w:val="en-GB"/>
        </w:rPr>
        <w:t xml:space="preserve"> reiterated its </w:t>
      </w:r>
      <w:proofErr w:type="gramStart"/>
      <w:r w:rsidR="00AE5D7A">
        <w:rPr>
          <w:lang w:val="en-GB"/>
        </w:rPr>
        <w:t>previously-expressed</w:t>
      </w:r>
      <w:proofErr w:type="gramEnd"/>
      <w:r w:rsidR="00AE5D7A">
        <w:rPr>
          <w:lang w:val="en-GB"/>
        </w:rPr>
        <w:t xml:space="preserve"> view that the TRANSFORM-1 and TRANSFORM-3 </w:t>
      </w:r>
      <w:r w:rsidR="006C1133">
        <w:rPr>
          <w:lang w:val="en-GB"/>
        </w:rPr>
        <w:t xml:space="preserve">induction </w:t>
      </w:r>
      <w:r w:rsidR="00AE5D7A">
        <w:rPr>
          <w:lang w:val="en-GB"/>
        </w:rPr>
        <w:t>trials also provided relevant information, despite being limited to a fixed dose regimen (TRANSFORM-1) or only includ</w:t>
      </w:r>
      <w:r w:rsidR="00532715">
        <w:rPr>
          <w:lang w:val="en-GB"/>
        </w:rPr>
        <w:t>ing</w:t>
      </w:r>
      <w:r w:rsidR="00AE5D7A">
        <w:rPr>
          <w:lang w:val="en-GB"/>
        </w:rPr>
        <w:t xml:space="preserve"> patients aged 65 years or over (TRANSFORM-3)</w:t>
      </w:r>
      <w:r w:rsidR="00532715">
        <w:rPr>
          <w:lang w:val="en-GB"/>
        </w:rPr>
        <w:t>.</w:t>
      </w:r>
      <w:r w:rsidR="006C1133">
        <w:rPr>
          <w:lang w:val="en-GB"/>
        </w:rPr>
        <w:t xml:space="preserve"> The PBAC noted that</w:t>
      </w:r>
      <w:r w:rsidR="00AE5D7A">
        <w:rPr>
          <w:lang w:val="en-GB"/>
        </w:rPr>
        <w:t xml:space="preserve"> </w:t>
      </w:r>
      <w:r w:rsidR="006C1133">
        <w:rPr>
          <w:snapToGrid/>
        </w:rPr>
        <w:t>o</w:t>
      </w:r>
      <w:r w:rsidR="006C1133" w:rsidRPr="009610E6">
        <w:rPr>
          <w:snapToGrid/>
        </w:rPr>
        <w:t xml:space="preserve">f the three short-term induction trials, only TRANSFORM-2 showed a statistically significant treatment effect with </w:t>
      </w:r>
      <w:proofErr w:type="spellStart"/>
      <w:r w:rsidR="006C1133" w:rsidRPr="009610E6">
        <w:rPr>
          <w:snapToGrid/>
        </w:rPr>
        <w:t>esketamine</w:t>
      </w:r>
      <w:proofErr w:type="spellEnd"/>
      <w:r w:rsidR="006C1133" w:rsidRPr="009610E6">
        <w:rPr>
          <w:snapToGrid/>
        </w:rPr>
        <w:t xml:space="preserve"> nasal spray compared with placebo</w:t>
      </w:r>
      <w:r w:rsidR="006C1133">
        <w:rPr>
          <w:snapToGrid/>
        </w:rPr>
        <w:t>.</w:t>
      </w:r>
      <w:r w:rsidR="00D93588">
        <w:rPr>
          <w:snapToGrid/>
        </w:rPr>
        <w:t xml:space="preserve"> The PBAC</w:t>
      </w:r>
      <w:r w:rsidR="00163471">
        <w:rPr>
          <w:snapToGrid/>
        </w:rPr>
        <w:t xml:space="preserve"> also</w:t>
      </w:r>
      <w:r w:rsidR="00D93588">
        <w:rPr>
          <w:snapToGrid/>
        </w:rPr>
        <w:t xml:space="preserve"> acknowledged the arguments included in the PSCR regarding the difficulties in assessing the effectiveness of treatments for TRD and the need to consider a range of outcomes.</w:t>
      </w:r>
      <w:r w:rsidR="006C1133">
        <w:rPr>
          <w:snapToGrid/>
        </w:rPr>
        <w:t xml:space="preserve"> </w:t>
      </w:r>
      <w:r w:rsidR="00D93588">
        <w:rPr>
          <w:snapToGrid/>
        </w:rPr>
        <w:t>Overall t</w:t>
      </w:r>
      <w:r w:rsidR="003938B4" w:rsidRPr="00DC73B0">
        <w:t xml:space="preserve">he PBAC </w:t>
      </w:r>
      <w:r w:rsidR="00D93588">
        <w:t>considered</w:t>
      </w:r>
      <w:r w:rsidR="00786BC0">
        <w:t xml:space="preserve"> that</w:t>
      </w:r>
      <w:r w:rsidR="00163471">
        <w:t xml:space="preserve">, consistent with its view in July 2021, </w:t>
      </w:r>
      <w:r w:rsidR="003938B4" w:rsidRPr="00DC73B0">
        <w:t xml:space="preserve">the claim of superior comparative effectiveness may be reasonable, </w:t>
      </w:r>
      <w:r w:rsidR="00D93588">
        <w:t>although</w:t>
      </w:r>
      <w:r w:rsidR="003938B4" w:rsidRPr="00DC73B0">
        <w:t xml:space="preserve"> the magnitude and clinical importance of the observed benefits was uncertain.</w:t>
      </w:r>
      <w:r w:rsidR="00786BC0" w:rsidRPr="00786BC0">
        <w:rPr>
          <w:lang w:val="en-GB"/>
        </w:rPr>
        <w:t xml:space="preserve"> </w:t>
      </w:r>
      <w:r w:rsidR="00786BC0">
        <w:rPr>
          <w:lang w:val="en-GB"/>
        </w:rPr>
        <w:t xml:space="preserve">The PBAC considered </w:t>
      </w:r>
      <w:proofErr w:type="spellStart"/>
      <w:r w:rsidR="00786BC0">
        <w:rPr>
          <w:lang w:val="en-GB"/>
        </w:rPr>
        <w:t>esketamine</w:t>
      </w:r>
      <w:proofErr w:type="spellEnd"/>
      <w:r w:rsidR="00786BC0">
        <w:rPr>
          <w:lang w:val="en-GB"/>
        </w:rPr>
        <w:t xml:space="preserve"> likely provided a</w:t>
      </w:r>
      <w:r w:rsidR="00D53ABA">
        <w:rPr>
          <w:lang w:val="en-GB"/>
        </w:rPr>
        <w:t>t least a</w:t>
      </w:r>
      <w:r w:rsidR="00786BC0">
        <w:rPr>
          <w:lang w:val="en-GB"/>
        </w:rPr>
        <w:t xml:space="preserve"> moderate</w:t>
      </w:r>
      <w:r w:rsidR="00F8160B">
        <w:rPr>
          <w:lang w:val="en-GB"/>
        </w:rPr>
        <w:t xml:space="preserve"> </w:t>
      </w:r>
      <w:r w:rsidR="00786BC0">
        <w:rPr>
          <w:lang w:val="en-GB"/>
        </w:rPr>
        <w:t xml:space="preserve">benefit for some patients, however considered </w:t>
      </w:r>
      <w:r w:rsidR="00786BC0">
        <w:t xml:space="preserve">that for a proportion of patients there may be no clinical benefit from treatment with </w:t>
      </w:r>
      <w:proofErr w:type="spellStart"/>
      <w:r w:rsidR="00786BC0">
        <w:t>esketamine</w:t>
      </w:r>
      <w:proofErr w:type="spellEnd"/>
      <w:r w:rsidR="00786BC0">
        <w:t>, with added toxicity</w:t>
      </w:r>
      <w:r w:rsidR="00786BC0">
        <w:rPr>
          <w:lang w:val="en-GB"/>
        </w:rPr>
        <w:t>.</w:t>
      </w:r>
    </w:p>
    <w:p w14:paraId="129A5D9E" w14:textId="36F4C4E5" w:rsidR="00143AEB" w:rsidRPr="00143AEB" w:rsidRDefault="00143AEB" w:rsidP="00CA40DC">
      <w:pPr>
        <w:pStyle w:val="ExecSumBodyText"/>
        <w:rPr>
          <w:lang w:val="en-GB"/>
        </w:rPr>
      </w:pPr>
      <w:r>
        <w:rPr>
          <w:lang w:val="en-GB"/>
        </w:rPr>
        <w:t xml:space="preserve">The PBAC reaffirmed its previously expressed view that the claim </w:t>
      </w:r>
      <w:proofErr w:type="spellStart"/>
      <w:r>
        <w:rPr>
          <w:lang w:val="en-GB"/>
        </w:rPr>
        <w:t>esketamine</w:t>
      </w:r>
      <w:proofErr w:type="spellEnd"/>
      <w:r>
        <w:rPr>
          <w:lang w:val="en-GB"/>
        </w:rPr>
        <w:t xml:space="preserve"> is of inferior comparative safety to a new OAD alone was reasonable</w:t>
      </w:r>
      <w:r w:rsidR="00A43287">
        <w:rPr>
          <w:lang w:val="en-GB"/>
        </w:rPr>
        <w:t xml:space="preserve"> </w:t>
      </w:r>
      <w:r>
        <w:rPr>
          <w:lang w:val="en-GB"/>
        </w:rPr>
        <w:t xml:space="preserve">(para 7.10, </w:t>
      </w:r>
      <w:proofErr w:type="spellStart"/>
      <w:r>
        <w:rPr>
          <w:lang w:val="en-GB"/>
        </w:rPr>
        <w:t>esketamine</w:t>
      </w:r>
      <w:proofErr w:type="spellEnd"/>
      <w:r w:rsidR="00257E37">
        <w:rPr>
          <w:lang w:val="en-GB"/>
        </w:rPr>
        <w:t xml:space="preserve"> PSD,</w:t>
      </w:r>
      <w:r>
        <w:rPr>
          <w:lang w:val="en-GB"/>
        </w:rPr>
        <w:t xml:space="preserve"> July 2021</w:t>
      </w:r>
      <w:r w:rsidR="00257E37">
        <w:rPr>
          <w:lang w:val="en-GB"/>
        </w:rPr>
        <w:t xml:space="preserve"> PBAC meeting</w:t>
      </w:r>
      <w:r>
        <w:rPr>
          <w:lang w:val="en-GB"/>
        </w:rPr>
        <w:t xml:space="preserve">). The Committee remained concerned there was limited long-term safety data for </w:t>
      </w:r>
      <w:proofErr w:type="spellStart"/>
      <w:r>
        <w:rPr>
          <w:lang w:val="en-GB"/>
        </w:rPr>
        <w:t>esketamine</w:t>
      </w:r>
      <w:proofErr w:type="spellEnd"/>
      <w:r>
        <w:rPr>
          <w:lang w:val="en-GB"/>
        </w:rPr>
        <w:t xml:space="preserve">, including </w:t>
      </w:r>
      <w:r w:rsidR="00163471">
        <w:rPr>
          <w:lang w:val="en-GB"/>
        </w:rPr>
        <w:t xml:space="preserve">data assessing </w:t>
      </w:r>
      <w:r>
        <w:rPr>
          <w:lang w:val="en-GB"/>
        </w:rPr>
        <w:t xml:space="preserve">the potential for developing dependence, especially in the context that some patients may use </w:t>
      </w:r>
      <w:proofErr w:type="spellStart"/>
      <w:r>
        <w:rPr>
          <w:lang w:val="en-GB"/>
        </w:rPr>
        <w:t>esketamine</w:t>
      </w:r>
      <w:proofErr w:type="spellEnd"/>
      <w:r>
        <w:rPr>
          <w:lang w:val="en-GB"/>
        </w:rPr>
        <w:t xml:space="preserve"> continuously or for long periods.</w:t>
      </w:r>
    </w:p>
    <w:p w14:paraId="59AA720C" w14:textId="21E82BDB" w:rsidR="00483FA2" w:rsidRDefault="00823332" w:rsidP="00200F97">
      <w:pPr>
        <w:pStyle w:val="ExecSumBodyText"/>
        <w:rPr>
          <w:lang w:val="en-GB"/>
        </w:rPr>
      </w:pPr>
      <w:r>
        <w:rPr>
          <w:lang w:val="en-GB"/>
        </w:rPr>
        <w:t xml:space="preserve">The PBAC noted </w:t>
      </w:r>
      <w:proofErr w:type="gramStart"/>
      <w:r>
        <w:rPr>
          <w:lang w:val="en-GB"/>
        </w:rPr>
        <w:t>a number of</w:t>
      </w:r>
      <w:proofErr w:type="gramEnd"/>
      <w:r>
        <w:rPr>
          <w:lang w:val="en-GB"/>
        </w:rPr>
        <w:t xml:space="preserve"> key changes were made to the economic model based on </w:t>
      </w:r>
      <w:r w:rsidR="00163471">
        <w:rPr>
          <w:lang w:val="en-GB"/>
        </w:rPr>
        <w:t xml:space="preserve">the </w:t>
      </w:r>
      <w:r>
        <w:rPr>
          <w:lang w:val="en-GB"/>
        </w:rPr>
        <w:t xml:space="preserve">previous consideration by the ESC (as outlined in paragraph </w:t>
      </w:r>
      <w:r>
        <w:rPr>
          <w:lang w:val="en-GB"/>
        </w:rPr>
        <w:fldChar w:fldCharType="begin"/>
      </w:r>
      <w:r>
        <w:rPr>
          <w:lang w:val="en-GB"/>
        </w:rPr>
        <w:instrText xml:space="preserve"> REF _Ref110341796 \r \h </w:instrText>
      </w:r>
      <w:r>
        <w:rPr>
          <w:lang w:val="en-GB"/>
        </w:rPr>
      </w:r>
      <w:r>
        <w:rPr>
          <w:lang w:val="en-GB"/>
        </w:rPr>
        <w:fldChar w:fldCharType="separate"/>
      </w:r>
      <w:r w:rsidR="008E3D7A">
        <w:rPr>
          <w:lang w:val="en-GB"/>
        </w:rPr>
        <w:t>6.46</w:t>
      </w:r>
      <w:r>
        <w:rPr>
          <w:lang w:val="en-GB"/>
        </w:rPr>
        <w:fldChar w:fldCharType="end"/>
      </w:r>
      <w:r>
        <w:rPr>
          <w:lang w:val="en-GB"/>
        </w:rPr>
        <w:t xml:space="preserve">) but a number of issues remained outstanding (as outlined in paragraph </w:t>
      </w:r>
      <w:r>
        <w:rPr>
          <w:lang w:val="en-GB"/>
        </w:rPr>
        <w:fldChar w:fldCharType="begin"/>
      </w:r>
      <w:r>
        <w:rPr>
          <w:lang w:val="en-GB"/>
        </w:rPr>
        <w:instrText xml:space="preserve"> REF _Ref106604509 \r \h </w:instrText>
      </w:r>
      <w:r>
        <w:rPr>
          <w:lang w:val="en-GB"/>
        </w:rPr>
      </w:r>
      <w:r>
        <w:rPr>
          <w:lang w:val="en-GB"/>
        </w:rPr>
        <w:fldChar w:fldCharType="separate"/>
      </w:r>
      <w:r w:rsidR="008E3D7A">
        <w:rPr>
          <w:lang w:val="en-GB"/>
        </w:rPr>
        <w:t>6.62</w:t>
      </w:r>
      <w:r>
        <w:rPr>
          <w:lang w:val="en-GB"/>
        </w:rPr>
        <w:fldChar w:fldCharType="end"/>
      </w:r>
      <w:r>
        <w:rPr>
          <w:lang w:val="en-GB"/>
        </w:rPr>
        <w:t xml:space="preserve">). </w:t>
      </w:r>
      <w:r w:rsidR="00483FA2">
        <w:rPr>
          <w:lang w:val="en-GB"/>
        </w:rPr>
        <w:t xml:space="preserve">The PBAC noted the base case economic model in the resubmission resulted in an ICER of </w:t>
      </w:r>
      <w:r w:rsidR="00F87B63" w:rsidRPr="00F87B63">
        <w:t>$45,000</w:t>
      </w:r>
      <w:r w:rsidR="00F87B63">
        <w:t xml:space="preserve"> </w:t>
      </w:r>
      <w:r w:rsidR="00F87B63" w:rsidRPr="00F87B63">
        <w:t>to</w:t>
      </w:r>
      <w:r w:rsidR="00F87B63">
        <w:t xml:space="preserve"> </w:t>
      </w:r>
      <w:r w:rsidR="00F87B63" w:rsidRPr="00F87B63">
        <w:t>&lt; $55,000</w:t>
      </w:r>
      <w:r w:rsidR="00F87B63">
        <w:t xml:space="preserve"> </w:t>
      </w:r>
      <w:r w:rsidR="00483FA2">
        <w:rPr>
          <w:lang w:val="en-GB"/>
        </w:rPr>
        <w:t>per QALY gained. The PBAC noted th</w:t>
      </w:r>
      <w:r w:rsidR="00483FA2" w:rsidRPr="00483FA2">
        <w:rPr>
          <w:lang w:val="en-GB"/>
        </w:rPr>
        <w:t xml:space="preserve">e results were sensitive to </w:t>
      </w:r>
      <w:proofErr w:type="gramStart"/>
      <w:r w:rsidR="00483FA2">
        <w:rPr>
          <w:lang w:val="en-GB"/>
        </w:rPr>
        <w:t>a number of</w:t>
      </w:r>
      <w:proofErr w:type="gramEnd"/>
      <w:r w:rsidR="00483FA2">
        <w:rPr>
          <w:lang w:val="en-GB"/>
        </w:rPr>
        <w:t xml:space="preserve"> inputs and assumptions, including </w:t>
      </w:r>
      <w:r w:rsidR="00483FA2" w:rsidRPr="00483FA2">
        <w:rPr>
          <w:lang w:val="en-GB"/>
        </w:rPr>
        <w:t xml:space="preserve">the probability of achieving remission at treatment induction, transition probabilities in the maintenance period, the effectiveness of the subsequent treatment mix, the probability of recurrence from the recovery state, the </w:t>
      </w:r>
      <w:proofErr w:type="spellStart"/>
      <w:r w:rsidR="00483FA2" w:rsidRPr="00483FA2">
        <w:rPr>
          <w:lang w:val="en-GB"/>
        </w:rPr>
        <w:t>esketamine</w:t>
      </w:r>
      <w:proofErr w:type="spellEnd"/>
      <w:r w:rsidR="00483FA2" w:rsidRPr="00483FA2">
        <w:rPr>
          <w:lang w:val="en-GB"/>
        </w:rPr>
        <w:t xml:space="preserve"> dosing schedule in the maintenance period, the costs of administration and monitoring, treatment discontinuations and hospitalisation days. </w:t>
      </w:r>
      <w:r w:rsidR="00483FA2">
        <w:rPr>
          <w:lang w:val="en-GB"/>
        </w:rPr>
        <w:t xml:space="preserve">The PBAC noted one way sensitivity analyses resulted in </w:t>
      </w:r>
      <w:r w:rsidR="00FD24CC">
        <w:rPr>
          <w:lang w:val="en-GB"/>
        </w:rPr>
        <w:t xml:space="preserve">a very wide range of </w:t>
      </w:r>
      <w:r w:rsidR="00483FA2">
        <w:rPr>
          <w:lang w:val="en-GB"/>
        </w:rPr>
        <w:t xml:space="preserve">ICERs </w:t>
      </w:r>
      <w:r w:rsidR="00FD24CC">
        <w:rPr>
          <w:lang w:val="en-GB"/>
        </w:rPr>
        <w:t xml:space="preserve">(see </w:t>
      </w:r>
      <w:r w:rsidR="00FD24CC">
        <w:rPr>
          <w:lang w:val="en-GB"/>
        </w:rPr>
        <w:fldChar w:fldCharType="begin"/>
      </w:r>
      <w:r w:rsidR="00FD24CC">
        <w:rPr>
          <w:lang w:val="en-GB"/>
        </w:rPr>
        <w:instrText xml:space="preserve"> REF _Ref110345624 \h </w:instrText>
      </w:r>
      <w:r w:rsidR="00FD24CC">
        <w:rPr>
          <w:lang w:val="en-GB"/>
        </w:rPr>
      </w:r>
      <w:r w:rsidR="00FD24CC">
        <w:rPr>
          <w:lang w:val="en-GB"/>
        </w:rPr>
        <w:fldChar w:fldCharType="separate"/>
      </w:r>
      <w:r w:rsidR="008E3D7A" w:rsidRPr="002530A2">
        <w:t xml:space="preserve">Table </w:t>
      </w:r>
      <w:r w:rsidR="008E3D7A">
        <w:rPr>
          <w:noProof/>
        </w:rPr>
        <w:t>16</w:t>
      </w:r>
      <w:r w:rsidR="00FD24CC">
        <w:rPr>
          <w:lang w:val="en-GB"/>
        </w:rPr>
        <w:fldChar w:fldCharType="end"/>
      </w:r>
      <w:r w:rsidR="00FD24CC">
        <w:rPr>
          <w:lang w:val="en-GB"/>
        </w:rPr>
        <w:t xml:space="preserve">) and considered the cost effectiveness of </w:t>
      </w:r>
      <w:proofErr w:type="spellStart"/>
      <w:r w:rsidR="00FD24CC">
        <w:rPr>
          <w:lang w:val="en-GB"/>
        </w:rPr>
        <w:t>esketamine</w:t>
      </w:r>
      <w:proofErr w:type="spellEnd"/>
      <w:r w:rsidR="00FD24CC">
        <w:rPr>
          <w:lang w:val="en-GB"/>
        </w:rPr>
        <w:t xml:space="preserve"> remained highly uncertain.  </w:t>
      </w:r>
    </w:p>
    <w:p w14:paraId="12690819" w14:textId="06EC5B21" w:rsidR="00F8160B" w:rsidRPr="008D1D60" w:rsidRDefault="008D1D60" w:rsidP="008D1D60">
      <w:pPr>
        <w:pStyle w:val="ExecSumBodyText"/>
        <w:rPr>
          <w:lang w:val="en-GB"/>
        </w:rPr>
      </w:pPr>
      <w:bookmarkStart w:id="61" w:name="_Ref110931526"/>
      <w:r w:rsidRPr="008D1D60">
        <w:rPr>
          <w:lang w:val="en-GB"/>
        </w:rPr>
        <w:t>The</w:t>
      </w:r>
      <w:r>
        <w:rPr>
          <w:lang w:val="en-GB"/>
        </w:rPr>
        <w:t xml:space="preserve"> PBAC noted the</w:t>
      </w:r>
      <w:r w:rsidRPr="008D1D60">
        <w:rPr>
          <w:lang w:val="en-GB"/>
        </w:rPr>
        <w:t xml:space="preserve"> cost</w:t>
      </w:r>
      <w:r>
        <w:rPr>
          <w:lang w:val="en-GB"/>
        </w:rPr>
        <w:t xml:space="preserve"> </w:t>
      </w:r>
      <w:r w:rsidRPr="008D1D60">
        <w:rPr>
          <w:lang w:val="en-GB"/>
        </w:rPr>
        <w:t xml:space="preserve">of administration </w:t>
      </w:r>
      <w:r>
        <w:rPr>
          <w:lang w:val="en-GB"/>
        </w:rPr>
        <w:t xml:space="preserve">of </w:t>
      </w:r>
      <w:proofErr w:type="spellStart"/>
      <w:r>
        <w:rPr>
          <w:lang w:val="en-GB"/>
        </w:rPr>
        <w:t>e</w:t>
      </w:r>
      <w:r w:rsidR="00EC74F1">
        <w:rPr>
          <w:lang w:val="en-GB"/>
        </w:rPr>
        <w:t>s</w:t>
      </w:r>
      <w:r>
        <w:rPr>
          <w:lang w:val="en-GB"/>
        </w:rPr>
        <w:t>ket</w:t>
      </w:r>
      <w:r w:rsidR="00610E3C">
        <w:rPr>
          <w:lang w:val="en-GB"/>
        </w:rPr>
        <w:t>a</w:t>
      </w:r>
      <w:r>
        <w:rPr>
          <w:lang w:val="en-GB"/>
        </w:rPr>
        <w:t>mine</w:t>
      </w:r>
      <w:proofErr w:type="spellEnd"/>
      <w:r>
        <w:rPr>
          <w:lang w:val="en-GB"/>
        </w:rPr>
        <w:t xml:space="preserve"> </w:t>
      </w:r>
      <w:r w:rsidRPr="008D1D60">
        <w:rPr>
          <w:lang w:val="en-GB"/>
        </w:rPr>
        <w:t>remained highly uncertain, particularly in the absence of an MBS item or alternative method to estimate the cost of administration and monitoring in practice.</w:t>
      </w:r>
      <w:r>
        <w:rPr>
          <w:lang w:val="en-GB"/>
        </w:rPr>
        <w:t xml:space="preserve"> The PBAC </w:t>
      </w:r>
      <w:r w:rsidR="00F2404B">
        <w:rPr>
          <w:lang w:val="en-GB"/>
        </w:rPr>
        <w:t xml:space="preserve">also </w:t>
      </w:r>
      <w:r>
        <w:rPr>
          <w:lang w:val="en-GB"/>
        </w:rPr>
        <w:t xml:space="preserve">noted the </w:t>
      </w:r>
      <w:r w:rsidRPr="008D1D60">
        <w:rPr>
          <w:lang w:val="en-GB"/>
        </w:rPr>
        <w:t>model included administration costs for the placebo plus OAD arm</w:t>
      </w:r>
      <w:r>
        <w:rPr>
          <w:lang w:val="en-GB"/>
        </w:rPr>
        <w:t xml:space="preserve"> which was not</w:t>
      </w:r>
      <w:r w:rsidR="00F2404B">
        <w:rPr>
          <w:lang w:val="en-GB"/>
        </w:rPr>
        <w:t xml:space="preserve"> appropriate</w:t>
      </w:r>
      <w:r w:rsidRPr="008D1D60">
        <w:rPr>
          <w:lang w:val="en-GB"/>
        </w:rPr>
        <w:t xml:space="preserve">. </w:t>
      </w:r>
      <w:r w:rsidR="00F8160B" w:rsidRPr="008D1D60">
        <w:rPr>
          <w:lang w:val="en-GB"/>
        </w:rPr>
        <w:t xml:space="preserve">The PBAC noted that removing administration costs from the placebo treatment arm increased the ICER from </w:t>
      </w:r>
      <w:r w:rsidR="00F87B63">
        <w:rPr>
          <w:lang w:val="en-GB"/>
        </w:rPr>
        <w:t xml:space="preserve">of </w:t>
      </w:r>
      <w:r w:rsidR="00F87B63" w:rsidRPr="00F87B63">
        <w:t>$45,000</w:t>
      </w:r>
      <w:r w:rsidR="00F87B63">
        <w:t xml:space="preserve"> </w:t>
      </w:r>
      <w:r w:rsidR="00F87B63" w:rsidRPr="00F87B63">
        <w:t>to</w:t>
      </w:r>
      <w:r w:rsidR="00F87B63">
        <w:t xml:space="preserve"> </w:t>
      </w:r>
      <w:r w:rsidR="00F87B63" w:rsidRPr="00F87B63">
        <w:t>&lt; $55,000</w:t>
      </w:r>
      <w:r w:rsidR="00F87B63">
        <w:t xml:space="preserve"> </w:t>
      </w:r>
      <w:r w:rsidR="00F8160B" w:rsidRPr="008D1D60">
        <w:rPr>
          <w:lang w:val="en-GB"/>
        </w:rPr>
        <w:t xml:space="preserve">per QALY gained to between </w:t>
      </w:r>
      <w:r w:rsidR="00F87B63">
        <w:rPr>
          <w:lang w:val="en-GB"/>
        </w:rPr>
        <w:t xml:space="preserve">of </w:t>
      </w:r>
      <w:r w:rsidR="00F87B63" w:rsidRPr="00F87B63">
        <w:lastRenderedPageBreak/>
        <w:t>$45,000</w:t>
      </w:r>
      <w:r w:rsidR="00F87B63">
        <w:t xml:space="preserve"> </w:t>
      </w:r>
      <w:r w:rsidR="00F87B63" w:rsidRPr="00F87B63">
        <w:t>to</w:t>
      </w:r>
      <w:r w:rsidR="00F87B63">
        <w:t xml:space="preserve"> </w:t>
      </w:r>
      <w:r w:rsidR="00F87B63" w:rsidRPr="00F87B63">
        <w:t>&lt; $55,000</w:t>
      </w:r>
      <w:r w:rsidR="00F87B63">
        <w:t xml:space="preserve"> </w:t>
      </w:r>
      <w:r w:rsidR="00F8160B" w:rsidRPr="008D1D60">
        <w:rPr>
          <w:lang w:val="en-GB"/>
        </w:rPr>
        <w:t xml:space="preserve">and </w:t>
      </w:r>
      <w:r w:rsidR="00F87B63">
        <w:rPr>
          <w:lang w:val="en-GB"/>
        </w:rPr>
        <w:t xml:space="preserve">of </w:t>
      </w:r>
      <w:r w:rsidR="00F87B63" w:rsidRPr="00F87B63">
        <w:t>$</w:t>
      </w:r>
      <w:r w:rsidR="00F87B63">
        <w:t>5</w:t>
      </w:r>
      <w:r w:rsidR="00F87B63" w:rsidRPr="00F87B63">
        <w:t>5,000</w:t>
      </w:r>
      <w:r w:rsidR="00F87B63">
        <w:t xml:space="preserve"> </w:t>
      </w:r>
      <w:r w:rsidR="00F87B63" w:rsidRPr="00F87B63">
        <w:t>to</w:t>
      </w:r>
      <w:r w:rsidR="00F87B63">
        <w:t xml:space="preserve"> </w:t>
      </w:r>
      <w:r w:rsidR="00F87B63" w:rsidRPr="00F87B63">
        <w:t>&lt; $</w:t>
      </w:r>
      <w:r w:rsidR="00F87B63">
        <w:t>7</w:t>
      </w:r>
      <w:r w:rsidR="00F87B63" w:rsidRPr="00F87B63">
        <w:t>5,000</w:t>
      </w:r>
      <w:r w:rsidR="00F87B63">
        <w:t xml:space="preserve"> </w:t>
      </w:r>
      <w:r w:rsidR="006B2FCF" w:rsidRPr="008D1D60">
        <w:rPr>
          <w:lang w:val="en-GB"/>
        </w:rPr>
        <w:t>per QALY gained,</w:t>
      </w:r>
      <w:r w:rsidR="00F8160B" w:rsidRPr="008D1D60">
        <w:rPr>
          <w:lang w:val="en-GB"/>
        </w:rPr>
        <w:t xml:space="preserve"> depending on the </w:t>
      </w:r>
      <w:r>
        <w:rPr>
          <w:lang w:val="en-GB"/>
        </w:rPr>
        <w:t>MBS</w:t>
      </w:r>
      <w:r w:rsidR="00F2404B">
        <w:rPr>
          <w:lang w:val="en-GB"/>
        </w:rPr>
        <w:t xml:space="preserve"> item</w:t>
      </w:r>
      <w:r>
        <w:rPr>
          <w:lang w:val="en-GB"/>
        </w:rPr>
        <w:t xml:space="preserve"> code</w:t>
      </w:r>
      <w:r w:rsidR="00F2404B">
        <w:rPr>
          <w:lang w:val="en-GB"/>
        </w:rPr>
        <w:t xml:space="preserve"> used</w:t>
      </w:r>
      <w:r w:rsidR="00F8160B" w:rsidRPr="008D1D60">
        <w:rPr>
          <w:lang w:val="en-GB"/>
        </w:rPr>
        <w:t>.</w:t>
      </w:r>
      <w:r>
        <w:rPr>
          <w:lang w:val="en-GB"/>
        </w:rPr>
        <w:t xml:space="preserve"> The PBAC noted the MBS </w:t>
      </w:r>
      <w:r w:rsidR="00F2404B">
        <w:rPr>
          <w:lang w:val="en-GB"/>
        </w:rPr>
        <w:t xml:space="preserve">item </w:t>
      </w:r>
      <w:r>
        <w:rPr>
          <w:lang w:val="en-GB"/>
        </w:rPr>
        <w:t xml:space="preserve">code </w:t>
      </w:r>
      <w:r w:rsidR="00D53ABA">
        <w:rPr>
          <w:lang w:val="en-GB"/>
        </w:rPr>
        <w:t xml:space="preserve">(which was for professional attendance by a psychiatrist) </w:t>
      </w:r>
      <w:r>
        <w:rPr>
          <w:lang w:val="en-GB"/>
        </w:rPr>
        <w:t xml:space="preserve">may not capture all costs associated with the administration and monitoring of </w:t>
      </w:r>
      <w:proofErr w:type="spellStart"/>
      <w:r>
        <w:rPr>
          <w:lang w:val="en-GB"/>
        </w:rPr>
        <w:t>esketamine</w:t>
      </w:r>
      <w:proofErr w:type="spellEnd"/>
      <w:r>
        <w:rPr>
          <w:lang w:val="en-GB"/>
        </w:rPr>
        <w:t xml:space="preserve"> and out of pocket costs may be incurred by patients. </w:t>
      </w:r>
      <w:r w:rsidR="00F8160B" w:rsidRPr="008D1D60">
        <w:rPr>
          <w:lang w:val="en-GB"/>
        </w:rPr>
        <w:t>The PBAC noted DVA may</w:t>
      </w:r>
      <w:r w:rsidR="00F8160B" w:rsidRPr="00F8160B">
        <w:t xml:space="preserve"> </w:t>
      </w:r>
      <w:r w:rsidR="00F8160B">
        <w:t xml:space="preserve">be able to provide information regarding </w:t>
      </w:r>
      <w:r w:rsidR="006B2FCF">
        <w:t xml:space="preserve">the </w:t>
      </w:r>
      <w:r w:rsidR="00F8160B">
        <w:t xml:space="preserve">costs associated with </w:t>
      </w:r>
      <w:r w:rsidR="006B2FCF">
        <w:t xml:space="preserve">the </w:t>
      </w:r>
      <w:r w:rsidR="00F8160B">
        <w:t xml:space="preserve">administration and monitoring </w:t>
      </w:r>
      <w:r w:rsidR="006B2FCF">
        <w:t xml:space="preserve">of </w:t>
      </w:r>
      <w:proofErr w:type="spellStart"/>
      <w:r w:rsidR="006B2FCF">
        <w:t>esketamine</w:t>
      </w:r>
      <w:proofErr w:type="spellEnd"/>
      <w:r w:rsidR="006B2FCF">
        <w:t xml:space="preserve"> to </w:t>
      </w:r>
      <w:r w:rsidR="00F8160B">
        <w:t>inform this input.</w:t>
      </w:r>
      <w:bookmarkEnd w:id="61"/>
      <w:r w:rsidR="00F8160B">
        <w:t xml:space="preserve">  </w:t>
      </w:r>
    </w:p>
    <w:p w14:paraId="583FB517" w14:textId="3A357C0A" w:rsidR="00111852" w:rsidRPr="00111852" w:rsidRDefault="00F51785" w:rsidP="006E2A1A">
      <w:pPr>
        <w:pStyle w:val="ExecSumBodyText"/>
        <w:rPr>
          <w:rFonts w:ascii="Calibri" w:hAnsi="Calibri"/>
          <w:snapToGrid/>
        </w:rPr>
      </w:pPr>
      <w:r>
        <w:rPr>
          <w:lang w:val="en-GB"/>
        </w:rPr>
        <w:t xml:space="preserve">The </w:t>
      </w:r>
      <w:r w:rsidR="008E4310">
        <w:rPr>
          <w:lang w:val="en-GB"/>
        </w:rPr>
        <w:t xml:space="preserve">PBAC noted the net cost to the PBS/ RPBS of listing </w:t>
      </w:r>
      <w:proofErr w:type="spellStart"/>
      <w:r w:rsidR="008E4310">
        <w:rPr>
          <w:lang w:val="en-GB"/>
        </w:rPr>
        <w:t>esketamine</w:t>
      </w:r>
      <w:proofErr w:type="spellEnd"/>
      <w:r w:rsidR="008E4310">
        <w:rPr>
          <w:lang w:val="en-GB"/>
        </w:rPr>
        <w:t xml:space="preserve"> was estimated to be </w:t>
      </w:r>
      <w:r w:rsidR="00F87B63" w:rsidRPr="00F87B63">
        <w:t>$500 million</w:t>
      </w:r>
      <w:r w:rsidR="00F87B63">
        <w:t xml:space="preserve"> </w:t>
      </w:r>
      <w:r w:rsidR="00F87B63" w:rsidRPr="00F87B63">
        <w:t>to</w:t>
      </w:r>
      <w:r w:rsidR="00F87B63">
        <w:t xml:space="preserve"> </w:t>
      </w:r>
      <w:r w:rsidR="00F87B63" w:rsidRPr="00F87B63">
        <w:t>&lt; $600 million</w:t>
      </w:r>
      <w:r w:rsidR="00F87B63" w:rsidRPr="00F87B63" w:rsidDel="00F87B63">
        <w:rPr>
          <w:lang w:val="en-GB"/>
        </w:rPr>
        <w:t xml:space="preserve"> </w:t>
      </w:r>
      <w:r w:rsidR="002E667B">
        <w:rPr>
          <w:lang w:val="en-GB"/>
        </w:rPr>
        <w:t xml:space="preserve">over the first six years of listing. The PBAC </w:t>
      </w:r>
      <w:r w:rsidR="00200A8F">
        <w:rPr>
          <w:lang w:val="en-GB"/>
        </w:rPr>
        <w:t xml:space="preserve">noted the key inputs used to estimate the net cost to the PBS/ RPBS as outlined in </w:t>
      </w:r>
      <w:r w:rsidR="00200A8F">
        <w:rPr>
          <w:lang w:val="en-GB"/>
        </w:rPr>
        <w:fldChar w:fldCharType="begin"/>
      </w:r>
      <w:r w:rsidR="00200A8F">
        <w:rPr>
          <w:lang w:val="en-GB"/>
        </w:rPr>
        <w:instrText xml:space="preserve"> REF _Ref110348153 \h </w:instrText>
      </w:r>
      <w:r w:rsidR="00200A8F">
        <w:rPr>
          <w:lang w:val="en-GB"/>
        </w:rPr>
      </w:r>
      <w:r w:rsidR="00200A8F">
        <w:rPr>
          <w:lang w:val="en-GB"/>
        </w:rPr>
        <w:fldChar w:fldCharType="separate"/>
      </w:r>
      <w:r w:rsidR="008E3D7A" w:rsidRPr="007925DF">
        <w:t xml:space="preserve">Table </w:t>
      </w:r>
      <w:r w:rsidR="008E3D7A">
        <w:rPr>
          <w:noProof/>
        </w:rPr>
        <w:t>18</w:t>
      </w:r>
      <w:r w:rsidR="00200A8F">
        <w:rPr>
          <w:lang w:val="en-GB"/>
        </w:rPr>
        <w:fldChar w:fldCharType="end"/>
      </w:r>
      <w:r w:rsidR="00200A8F">
        <w:rPr>
          <w:lang w:val="en-GB"/>
        </w:rPr>
        <w:t xml:space="preserve"> </w:t>
      </w:r>
      <w:r w:rsidR="0079620F">
        <w:rPr>
          <w:lang w:val="en-GB"/>
        </w:rPr>
        <w:t xml:space="preserve">and discussed in paragraph </w:t>
      </w:r>
      <w:r w:rsidR="0079620F">
        <w:rPr>
          <w:lang w:val="en-GB"/>
        </w:rPr>
        <w:fldChar w:fldCharType="begin"/>
      </w:r>
      <w:r w:rsidR="0079620F">
        <w:rPr>
          <w:lang w:val="en-GB"/>
        </w:rPr>
        <w:instrText xml:space="preserve"> REF _Ref106396879 \r \h </w:instrText>
      </w:r>
      <w:r w:rsidR="0079620F">
        <w:rPr>
          <w:lang w:val="en-GB"/>
        </w:rPr>
      </w:r>
      <w:r w:rsidR="0079620F">
        <w:rPr>
          <w:lang w:val="en-GB"/>
        </w:rPr>
        <w:fldChar w:fldCharType="separate"/>
      </w:r>
      <w:r w:rsidR="008E3D7A">
        <w:rPr>
          <w:lang w:val="en-GB"/>
        </w:rPr>
        <w:t>6.68</w:t>
      </w:r>
      <w:r w:rsidR="0079620F">
        <w:rPr>
          <w:lang w:val="en-GB"/>
        </w:rPr>
        <w:fldChar w:fldCharType="end"/>
      </w:r>
      <w:r w:rsidR="0079620F">
        <w:rPr>
          <w:lang w:val="en-GB"/>
        </w:rPr>
        <w:t xml:space="preserve"> </w:t>
      </w:r>
      <w:r w:rsidR="00200A8F">
        <w:rPr>
          <w:lang w:val="en-GB"/>
        </w:rPr>
        <w:t xml:space="preserve">and </w:t>
      </w:r>
      <w:r>
        <w:rPr>
          <w:lang w:val="en-GB"/>
        </w:rPr>
        <w:t>considered the</w:t>
      </w:r>
      <w:r w:rsidR="002E667B">
        <w:rPr>
          <w:lang w:val="en-GB"/>
        </w:rPr>
        <w:t xml:space="preserve"> </w:t>
      </w:r>
      <w:r>
        <w:rPr>
          <w:lang w:val="en-GB"/>
        </w:rPr>
        <w:t xml:space="preserve">utilisation and financial estimates </w:t>
      </w:r>
      <w:r w:rsidR="00200A8F">
        <w:rPr>
          <w:lang w:val="en-GB"/>
        </w:rPr>
        <w:t xml:space="preserve">in the resubmission </w:t>
      </w:r>
      <w:r>
        <w:rPr>
          <w:lang w:val="en-GB"/>
        </w:rPr>
        <w:t>were highly uncertain</w:t>
      </w:r>
      <w:r w:rsidR="00A74EB8">
        <w:rPr>
          <w:lang w:val="en-GB"/>
        </w:rPr>
        <w:t xml:space="preserve"> and likely substantially overestimate</w:t>
      </w:r>
      <w:r w:rsidR="006E2A1A">
        <w:rPr>
          <w:lang w:val="en-GB"/>
        </w:rPr>
        <w:t>d</w:t>
      </w:r>
      <w:r w:rsidR="002E667B">
        <w:rPr>
          <w:lang w:val="en-GB"/>
        </w:rPr>
        <w:t xml:space="preserve">. </w:t>
      </w:r>
    </w:p>
    <w:p w14:paraId="213CA8AD" w14:textId="7ECF4F9B" w:rsidR="002E667B" w:rsidRPr="00111852" w:rsidRDefault="00086DA0" w:rsidP="006E2A1A">
      <w:pPr>
        <w:pStyle w:val="ExecSumBodyText"/>
        <w:rPr>
          <w:rFonts w:ascii="Calibri" w:hAnsi="Calibri"/>
          <w:snapToGrid/>
        </w:rPr>
      </w:pPr>
      <w:r>
        <w:rPr>
          <w:lang w:val="en-GB"/>
        </w:rPr>
        <w:t xml:space="preserve">The PBAC noted the resubmission estimated </w:t>
      </w:r>
      <w:r w:rsidR="00F87B63" w:rsidRPr="00F87B63">
        <w:t>500</w:t>
      </w:r>
      <w:r w:rsidR="00F87B63">
        <w:t xml:space="preserve"> </w:t>
      </w:r>
      <w:r w:rsidR="00F87B63" w:rsidRPr="00F87B63">
        <w:t>to</w:t>
      </w:r>
      <w:r w:rsidR="00F87B63">
        <w:t xml:space="preserve"> </w:t>
      </w:r>
      <w:r w:rsidR="00F87B63" w:rsidRPr="00F87B63">
        <w:t>&lt; 5,000</w:t>
      </w:r>
      <w:r w:rsidR="00F87B63">
        <w:t xml:space="preserve"> </w:t>
      </w:r>
      <w:r>
        <w:rPr>
          <w:lang w:val="en-GB"/>
        </w:rPr>
        <w:t xml:space="preserve">patients would initiate treatment with </w:t>
      </w:r>
      <w:proofErr w:type="spellStart"/>
      <w:r>
        <w:rPr>
          <w:lang w:val="en-GB"/>
        </w:rPr>
        <w:t>esketamine</w:t>
      </w:r>
      <w:proofErr w:type="spellEnd"/>
      <w:r>
        <w:rPr>
          <w:lang w:val="en-GB"/>
        </w:rPr>
        <w:t xml:space="preserve"> in year 1, increasing to </w:t>
      </w:r>
      <w:r w:rsidR="00F87B63" w:rsidRPr="00F87B63">
        <w:t>500</w:t>
      </w:r>
      <w:r w:rsidR="00F87B63">
        <w:t xml:space="preserve"> </w:t>
      </w:r>
      <w:r w:rsidR="00F87B63" w:rsidRPr="00F87B63">
        <w:t>to</w:t>
      </w:r>
      <w:r w:rsidR="00F87B63">
        <w:t xml:space="preserve"> </w:t>
      </w:r>
      <w:r w:rsidR="00F87B63" w:rsidRPr="00F87B63">
        <w:t>&lt; 5,000</w:t>
      </w:r>
      <w:r w:rsidR="00F87B63">
        <w:t xml:space="preserve"> </w:t>
      </w:r>
      <w:r>
        <w:rPr>
          <w:lang w:val="en-GB"/>
        </w:rPr>
        <w:t xml:space="preserve">in year 2 and </w:t>
      </w:r>
      <w:r w:rsidR="00F87B63" w:rsidRPr="00F87B63">
        <w:t>5,000</w:t>
      </w:r>
      <w:r w:rsidR="00F87B63">
        <w:t xml:space="preserve"> </w:t>
      </w:r>
      <w:r w:rsidR="00F87B63" w:rsidRPr="00F87B63">
        <w:t>to</w:t>
      </w:r>
      <w:r w:rsidR="00F87B63">
        <w:t xml:space="preserve"> </w:t>
      </w:r>
      <w:r w:rsidR="00F87B63" w:rsidRPr="00F87B63">
        <w:t>&lt; 10,000</w:t>
      </w:r>
      <w:r w:rsidR="00F87B63">
        <w:t xml:space="preserve"> </w:t>
      </w:r>
      <w:r>
        <w:rPr>
          <w:lang w:val="en-GB"/>
        </w:rPr>
        <w:t xml:space="preserve">in year 6. </w:t>
      </w:r>
      <w:r w:rsidR="00D53ABA">
        <w:rPr>
          <w:lang w:val="en-GB"/>
        </w:rPr>
        <w:t xml:space="preserve">The PBAC noted </w:t>
      </w:r>
      <w:proofErr w:type="gramStart"/>
      <w:r w:rsidR="00D53ABA">
        <w:rPr>
          <w:lang w:val="en-GB"/>
        </w:rPr>
        <w:t>thi</w:t>
      </w:r>
      <w:r w:rsidR="008E3D7A">
        <w:rPr>
          <w:lang w:val="en-GB"/>
        </w:rPr>
        <w:t>s</w:t>
      </w:r>
      <w:r w:rsidR="00693C02">
        <w:rPr>
          <w:lang w:val="en-GB"/>
        </w:rPr>
        <w:t xml:space="preserve"> </w:t>
      </w:r>
      <w:r w:rsidR="008E3D7A">
        <w:rPr>
          <w:lang w:val="en-GB"/>
        </w:rPr>
        <w:t>included</w:t>
      </w:r>
      <w:r w:rsidR="00693C02">
        <w:rPr>
          <w:lang w:val="en-GB"/>
        </w:rPr>
        <w:t xml:space="preserve"> </w:t>
      </w:r>
      <w:r w:rsidR="00D53ABA">
        <w:rPr>
          <w:lang w:val="en-GB"/>
        </w:rPr>
        <w:t>patients</w:t>
      </w:r>
      <w:proofErr w:type="gramEnd"/>
      <w:r w:rsidR="00D53ABA">
        <w:rPr>
          <w:lang w:val="en-GB"/>
        </w:rPr>
        <w:t xml:space="preserve"> </w:t>
      </w:r>
      <w:r w:rsidR="008E3D7A">
        <w:rPr>
          <w:lang w:val="en-GB"/>
        </w:rPr>
        <w:t xml:space="preserve">initiating treatment </w:t>
      </w:r>
      <w:r w:rsidR="00D53ABA">
        <w:rPr>
          <w:lang w:val="en-GB"/>
        </w:rPr>
        <w:t xml:space="preserve">in the GP setting </w:t>
      </w:r>
      <w:r w:rsidR="008E3D7A">
        <w:rPr>
          <w:lang w:val="en-GB"/>
        </w:rPr>
        <w:t>(</w:t>
      </w:r>
      <w:r w:rsidR="00F87B63">
        <w:rPr>
          <w:lang w:val="en-GB"/>
        </w:rPr>
        <w:t xml:space="preserve">&lt; 500 </w:t>
      </w:r>
      <w:r w:rsidR="008E3D7A">
        <w:rPr>
          <w:lang w:val="en-GB"/>
        </w:rPr>
        <w:t xml:space="preserve">in year 2, increasing to </w:t>
      </w:r>
      <w:r w:rsidR="00F87B63" w:rsidRPr="00F87B63">
        <w:t>500</w:t>
      </w:r>
      <w:r w:rsidR="00F87B63">
        <w:t xml:space="preserve"> </w:t>
      </w:r>
      <w:r w:rsidR="00F87B63" w:rsidRPr="00F87B63">
        <w:t>to</w:t>
      </w:r>
      <w:r w:rsidR="00F87B63">
        <w:t xml:space="preserve"> </w:t>
      </w:r>
      <w:r w:rsidR="00F87B63" w:rsidRPr="00F87B63">
        <w:t>&lt; 5,000</w:t>
      </w:r>
      <w:r w:rsidR="00F87B63">
        <w:t xml:space="preserve"> </w:t>
      </w:r>
      <w:r w:rsidR="008E3D7A">
        <w:rPr>
          <w:lang w:val="en-GB"/>
        </w:rPr>
        <w:t xml:space="preserve">in year 6) </w:t>
      </w:r>
      <w:r w:rsidR="00D53ABA">
        <w:rPr>
          <w:lang w:val="en-GB"/>
        </w:rPr>
        <w:t xml:space="preserve">and considered this was not appropriate, given the recommendation to limit </w:t>
      </w:r>
      <w:r w:rsidR="008E3D7A">
        <w:rPr>
          <w:lang w:val="en-GB"/>
        </w:rPr>
        <w:t>init</w:t>
      </w:r>
      <w:r w:rsidR="00610E3C">
        <w:rPr>
          <w:lang w:val="en-GB"/>
        </w:rPr>
        <w:t>i</w:t>
      </w:r>
      <w:r w:rsidR="008E3D7A">
        <w:rPr>
          <w:lang w:val="en-GB"/>
        </w:rPr>
        <w:t xml:space="preserve">ation </w:t>
      </w:r>
      <w:r w:rsidR="00D53ABA">
        <w:rPr>
          <w:lang w:val="en-GB"/>
        </w:rPr>
        <w:t>to psychiatrists</w:t>
      </w:r>
      <w:r w:rsidR="008E3D7A">
        <w:rPr>
          <w:lang w:val="en-GB"/>
        </w:rPr>
        <w:t xml:space="preserve"> (as discussed in para </w:t>
      </w:r>
      <w:r w:rsidR="008E3D7A">
        <w:rPr>
          <w:lang w:val="en-GB"/>
        </w:rPr>
        <w:fldChar w:fldCharType="begin"/>
      </w:r>
      <w:r w:rsidR="008E3D7A">
        <w:rPr>
          <w:lang w:val="en-GB"/>
        </w:rPr>
        <w:instrText xml:space="preserve"> REF _Ref110852886 \r \h </w:instrText>
      </w:r>
      <w:r w:rsidR="008E3D7A">
        <w:rPr>
          <w:lang w:val="en-GB"/>
        </w:rPr>
      </w:r>
      <w:r w:rsidR="008E3D7A">
        <w:rPr>
          <w:lang w:val="en-GB"/>
        </w:rPr>
        <w:fldChar w:fldCharType="separate"/>
      </w:r>
      <w:r w:rsidR="008E3D7A">
        <w:rPr>
          <w:lang w:val="en-GB"/>
        </w:rPr>
        <w:t>7.5</w:t>
      </w:r>
      <w:r w:rsidR="008E3D7A">
        <w:rPr>
          <w:lang w:val="en-GB"/>
        </w:rPr>
        <w:fldChar w:fldCharType="end"/>
      </w:r>
      <w:r w:rsidR="00693C02">
        <w:rPr>
          <w:lang w:val="en-GB"/>
        </w:rPr>
        <w:t>)</w:t>
      </w:r>
      <w:r w:rsidR="008E3D7A">
        <w:rPr>
          <w:lang w:val="en-GB"/>
        </w:rPr>
        <w:t xml:space="preserve">. </w:t>
      </w:r>
      <w:r>
        <w:rPr>
          <w:lang w:val="en-GB"/>
        </w:rPr>
        <w:t xml:space="preserve">The PBAC noted </w:t>
      </w:r>
      <w:proofErr w:type="gramStart"/>
      <w:r>
        <w:rPr>
          <w:lang w:val="en-GB"/>
        </w:rPr>
        <w:t>a number of</w:t>
      </w:r>
      <w:proofErr w:type="gramEnd"/>
      <w:r>
        <w:rPr>
          <w:lang w:val="en-GB"/>
        </w:rPr>
        <w:t xml:space="preserve"> aspects of treatment, including access to psychiatrists, access to accredited treatment centres,</w:t>
      </w:r>
      <w:r w:rsidR="006B2FCF" w:rsidRPr="006B2FCF">
        <w:t xml:space="preserve"> </w:t>
      </w:r>
      <w:r w:rsidR="006B2FCF">
        <w:rPr>
          <w:lang w:val="en-GB"/>
        </w:rPr>
        <w:t>p</w:t>
      </w:r>
      <w:r w:rsidR="006B2FCF" w:rsidRPr="006B2FCF">
        <w:rPr>
          <w:lang w:val="en-GB"/>
        </w:rPr>
        <w:t>atient reluctance given the monitoring requir</w:t>
      </w:r>
      <w:r w:rsidR="00081C17">
        <w:rPr>
          <w:lang w:val="en-GB"/>
        </w:rPr>
        <w:t>e</w:t>
      </w:r>
      <w:r w:rsidR="006B2FCF" w:rsidRPr="006B2FCF">
        <w:rPr>
          <w:lang w:val="en-GB"/>
        </w:rPr>
        <w:t>ments and nature of the treatment</w:t>
      </w:r>
      <w:r>
        <w:rPr>
          <w:lang w:val="en-GB"/>
        </w:rPr>
        <w:t xml:space="preserve"> and out of pocket costs, may limit the uptake of </w:t>
      </w:r>
      <w:proofErr w:type="spellStart"/>
      <w:r>
        <w:rPr>
          <w:lang w:val="en-GB"/>
        </w:rPr>
        <w:t>esketamine</w:t>
      </w:r>
      <w:proofErr w:type="spellEnd"/>
      <w:r>
        <w:rPr>
          <w:lang w:val="en-GB"/>
        </w:rPr>
        <w:t xml:space="preserve">. </w:t>
      </w:r>
      <w:r w:rsidR="00B75DF3">
        <w:rPr>
          <w:lang w:val="en-GB"/>
        </w:rPr>
        <w:t xml:space="preserve">Additionally, the PBAC noted the estimated eligible patient population was based on the minimum prior exposure (i.e., at least two prior OADs) rather than the </w:t>
      </w:r>
      <w:r w:rsidR="00EE6FB9">
        <w:rPr>
          <w:lang w:val="en-GB"/>
        </w:rPr>
        <w:t>expected prior exposure</w:t>
      </w:r>
      <w:r w:rsidR="006B2FCF">
        <w:rPr>
          <w:lang w:val="en-GB"/>
        </w:rPr>
        <w:t xml:space="preserve"> </w:t>
      </w:r>
      <w:r w:rsidR="00B75DF3">
        <w:rPr>
          <w:lang w:val="en-GB"/>
        </w:rPr>
        <w:t>(</w:t>
      </w:r>
      <w:r w:rsidR="00EE6FB9">
        <w:rPr>
          <w:lang w:val="en-GB"/>
        </w:rPr>
        <w:t>i.e.,</w:t>
      </w:r>
      <w:r w:rsidR="006A5CA6">
        <w:rPr>
          <w:lang w:val="en-GB"/>
        </w:rPr>
        <w:t xml:space="preserve"> </w:t>
      </w:r>
      <w:r w:rsidR="00B75DF3">
        <w:rPr>
          <w:lang w:val="en-GB"/>
        </w:rPr>
        <w:t xml:space="preserve">two to five prior OADs) which would overestimate the eligible population. </w:t>
      </w:r>
      <w:r>
        <w:rPr>
          <w:lang w:val="en-GB"/>
        </w:rPr>
        <w:t xml:space="preserve">The PBAC considered the estimated number of patients likely to initiate </w:t>
      </w:r>
      <w:r w:rsidR="00B75DF3">
        <w:rPr>
          <w:lang w:val="en-GB"/>
        </w:rPr>
        <w:t xml:space="preserve">treatment with </w:t>
      </w:r>
      <w:proofErr w:type="spellStart"/>
      <w:r>
        <w:rPr>
          <w:lang w:val="en-GB"/>
        </w:rPr>
        <w:t>esketamine</w:t>
      </w:r>
      <w:proofErr w:type="spellEnd"/>
      <w:r>
        <w:rPr>
          <w:lang w:val="en-GB"/>
        </w:rPr>
        <w:t xml:space="preserve"> </w:t>
      </w:r>
      <w:r w:rsidR="00B75DF3">
        <w:rPr>
          <w:lang w:val="en-GB"/>
        </w:rPr>
        <w:t xml:space="preserve">was not well justified and likely to be substantially overestimated.   </w:t>
      </w:r>
      <w:r>
        <w:rPr>
          <w:lang w:val="en-GB"/>
        </w:rPr>
        <w:t xml:space="preserve"> </w:t>
      </w:r>
    </w:p>
    <w:p w14:paraId="31FE9CE6" w14:textId="147C752D" w:rsidR="00D30B7F" w:rsidRPr="002F0427" w:rsidRDefault="004B5C39" w:rsidP="006E2A1A">
      <w:pPr>
        <w:pStyle w:val="ExecSumBodyText"/>
      </w:pPr>
      <w:r>
        <w:rPr>
          <w:lang w:val="en-GB"/>
        </w:rPr>
        <w:t xml:space="preserve">The PBAC noted the resubmission proposed a risk share arrangement with a </w:t>
      </w:r>
      <w:r w:rsidR="00B9195B" w:rsidRPr="00B9195B">
        <w:rPr>
          <w:color w:val="000000"/>
          <w:w w:val="61"/>
          <w:shd w:val="solid" w:color="000000" w:fill="000000"/>
          <w:fitText w:val="473" w:id="-1436330238"/>
          <w:lang w:val="en-GB"/>
          <w14:textFill>
            <w14:solidFill>
              <w14:srgbClr w14:val="000000">
                <w14:alpha w14:val="100000"/>
              </w14:srgbClr>
            </w14:solidFill>
          </w14:textFill>
        </w:rPr>
        <w:t>||</w:t>
      </w:r>
      <w:proofErr w:type="gramStart"/>
      <w:r w:rsidR="00B9195B" w:rsidRPr="00B9195B">
        <w:rPr>
          <w:color w:val="000000"/>
          <w:w w:val="61"/>
          <w:shd w:val="solid" w:color="000000" w:fill="000000"/>
          <w:fitText w:val="473" w:id="-1436330238"/>
          <w:lang w:val="en-GB"/>
          <w14:textFill>
            <w14:solidFill>
              <w14:srgbClr w14:val="000000">
                <w14:alpha w14:val="100000"/>
              </w14:srgbClr>
            </w14:solidFill>
          </w14:textFill>
        </w:rPr>
        <w:t>|  |</w:t>
      </w:r>
      <w:proofErr w:type="gramEnd"/>
      <w:r w:rsidR="00B9195B" w:rsidRPr="00B9195B">
        <w:rPr>
          <w:color w:val="000000"/>
          <w:w w:val="61"/>
          <w:shd w:val="solid" w:color="000000" w:fill="000000"/>
          <w:fitText w:val="473" w:id="-1436330238"/>
          <w:lang w:val="en-GB"/>
          <w14:textFill>
            <w14:solidFill>
              <w14:srgbClr w14:val="000000">
                <w14:alpha w14:val="100000"/>
              </w14:srgbClr>
            </w14:solidFill>
          </w14:textFill>
        </w:rPr>
        <w:t>|</w:t>
      </w:r>
      <w:r w:rsidR="00B9195B" w:rsidRPr="00B9195B">
        <w:rPr>
          <w:color w:val="000000"/>
          <w:spacing w:val="3"/>
          <w:w w:val="61"/>
          <w:shd w:val="solid" w:color="000000" w:fill="000000"/>
          <w:fitText w:val="473" w:id="-1436330238"/>
          <w:lang w:val="en-GB"/>
          <w14:textFill>
            <w14:solidFill>
              <w14:srgbClr w14:val="000000">
                <w14:alpha w14:val="100000"/>
              </w14:srgbClr>
            </w14:solidFill>
          </w14:textFill>
        </w:rPr>
        <w:t>|</w:t>
      </w:r>
      <w:r>
        <w:rPr>
          <w:lang w:val="en-GB"/>
        </w:rPr>
        <w:t>% rebate of any expenditure over the caps. The PBAC considered a</w:t>
      </w:r>
      <w:r w:rsidR="00FF367D">
        <w:rPr>
          <w:lang w:val="en-GB"/>
        </w:rPr>
        <w:t xml:space="preserve"> risk share arrangement</w:t>
      </w:r>
      <w:r>
        <w:rPr>
          <w:lang w:val="en-GB"/>
        </w:rPr>
        <w:t xml:space="preserve"> was appropriate due to the uncertainty regarding patient numbers, dose</w:t>
      </w:r>
      <w:r w:rsidR="006A5CA6">
        <w:rPr>
          <w:lang w:val="en-GB"/>
        </w:rPr>
        <w:t>, dosing interval</w:t>
      </w:r>
      <w:r>
        <w:rPr>
          <w:lang w:val="en-GB"/>
        </w:rPr>
        <w:t xml:space="preserve"> and duration of treatment and the high risk of use in other mental health conditions, such as bipolar disorder</w:t>
      </w:r>
      <w:r w:rsidR="006E2A1A">
        <w:rPr>
          <w:lang w:val="en-GB"/>
        </w:rPr>
        <w:t xml:space="preserve">, </w:t>
      </w:r>
      <w:proofErr w:type="gramStart"/>
      <w:r w:rsidR="006E2A1A">
        <w:rPr>
          <w:lang w:val="en-GB"/>
        </w:rPr>
        <w:t>anxiety</w:t>
      </w:r>
      <w:proofErr w:type="gramEnd"/>
      <w:r>
        <w:rPr>
          <w:lang w:val="en-GB"/>
        </w:rPr>
        <w:t xml:space="preserve"> and PTSD. However, the PBAC agreed with the ESC that a </w:t>
      </w:r>
      <w:proofErr w:type="gramStart"/>
      <w:r w:rsidR="00B9195B" w:rsidRPr="002030D0">
        <w:rPr>
          <w:color w:val="000000"/>
          <w:w w:val="15"/>
          <w:shd w:val="solid" w:color="000000" w:fill="000000"/>
          <w:fitText w:val="-20" w:id="-1436330237"/>
          <w:lang w:val="en-GB"/>
          <w14:textFill>
            <w14:solidFill>
              <w14:srgbClr w14:val="000000">
                <w14:alpha w14:val="100000"/>
              </w14:srgbClr>
            </w14:solidFill>
          </w14:textFill>
        </w:rPr>
        <w:t xml:space="preserve">|  </w:t>
      </w:r>
      <w:r w:rsidR="00B9195B" w:rsidRPr="002030D0">
        <w:rPr>
          <w:color w:val="000000"/>
          <w:spacing w:val="-69"/>
          <w:w w:val="15"/>
          <w:shd w:val="solid" w:color="000000" w:fill="000000"/>
          <w:fitText w:val="-20" w:id="-1436330237"/>
          <w:lang w:val="en-GB"/>
          <w14:textFill>
            <w14:solidFill>
              <w14:srgbClr w14:val="000000">
                <w14:alpha w14:val="100000"/>
              </w14:srgbClr>
            </w14:solidFill>
          </w14:textFill>
        </w:rPr>
        <w:t>|</w:t>
      </w:r>
      <w:proofErr w:type="gramEnd"/>
      <w:r>
        <w:rPr>
          <w:lang w:val="en-GB"/>
        </w:rPr>
        <w:t>% rebate was inadequate to manage</w:t>
      </w:r>
      <w:r w:rsidR="006B2FCF">
        <w:rPr>
          <w:lang w:val="en-GB"/>
        </w:rPr>
        <w:t xml:space="preserve"> the</w:t>
      </w:r>
      <w:r>
        <w:rPr>
          <w:lang w:val="en-GB"/>
        </w:rPr>
        <w:t xml:space="preserve"> </w:t>
      </w:r>
      <w:r w:rsidR="00EE6FB9">
        <w:rPr>
          <w:lang w:val="en-GB"/>
        </w:rPr>
        <w:t>range of</w:t>
      </w:r>
      <w:r>
        <w:rPr>
          <w:lang w:val="en-GB"/>
        </w:rPr>
        <w:t xml:space="preserve"> risk</w:t>
      </w:r>
      <w:r w:rsidR="00EE6FB9">
        <w:rPr>
          <w:lang w:val="en-GB"/>
        </w:rPr>
        <w:t>s</w:t>
      </w:r>
      <w:r>
        <w:rPr>
          <w:lang w:val="en-GB"/>
        </w:rPr>
        <w:t xml:space="preserve"> to the Commonwealth</w:t>
      </w:r>
      <w:r w:rsidR="00597B2B">
        <w:rPr>
          <w:lang w:val="en-GB"/>
        </w:rPr>
        <w:t xml:space="preserve"> and a </w:t>
      </w:r>
      <w:r w:rsidR="00B9195B" w:rsidRPr="002030D0">
        <w:rPr>
          <w:color w:val="000000"/>
          <w:w w:val="15"/>
          <w:shd w:val="solid" w:color="000000" w:fill="000000"/>
          <w:fitText w:val="-20" w:id="-1436330236"/>
          <w:lang w:val="en-GB"/>
          <w14:textFill>
            <w14:solidFill>
              <w14:srgbClr w14:val="000000">
                <w14:alpha w14:val="100000"/>
              </w14:srgbClr>
            </w14:solidFill>
          </w14:textFill>
        </w:rPr>
        <w:t xml:space="preserve">|  </w:t>
      </w:r>
      <w:r w:rsidR="00B9195B" w:rsidRPr="002030D0">
        <w:rPr>
          <w:color w:val="000000"/>
          <w:spacing w:val="-69"/>
          <w:w w:val="15"/>
          <w:shd w:val="solid" w:color="000000" w:fill="000000"/>
          <w:fitText w:val="-20" w:id="-1436330236"/>
          <w:lang w:val="en-GB"/>
          <w14:textFill>
            <w14:solidFill>
              <w14:srgbClr w14:val="000000">
                <w14:alpha w14:val="100000"/>
              </w14:srgbClr>
            </w14:solidFill>
          </w14:textFill>
        </w:rPr>
        <w:t>|</w:t>
      </w:r>
      <w:r w:rsidR="008E3D7A" w:rsidRPr="00233A7B">
        <w:rPr>
          <w:lang w:val="en-GB"/>
        </w:rPr>
        <w:t xml:space="preserve">% reimbursement over </w:t>
      </w:r>
      <w:r w:rsidR="008E3D7A">
        <w:rPr>
          <w:lang w:val="en-GB"/>
        </w:rPr>
        <w:t xml:space="preserve">risk-sharing </w:t>
      </w:r>
      <w:r w:rsidR="008E3D7A" w:rsidRPr="00233A7B">
        <w:rPr>
          <w:lang w:val="en-GB"/>
        </w:rPr>
        <w:t>subsidisation caps would provide greater certainty around the substantially high proposed cost to government</w:t>
      </w:r>
      <w:r w:rsidR="008E3D7A">
        <w:rPr>
          <w:lang w:val="en-GB"/>
        </w:rPr>
        <w:t xml:space="preserve">. </w:t>
      </w:r>
      <w:r>
        <w:rPr>
          <w:lang w:val="en-GB"/>
        </w:rPr>
        <w:t xml:space="preserve"> </w:t>
      </w:r>
    </w:p>
    <w:p w14:paraId="1E7E41E0" w14:textId="5AD2C444" w:rsidR="006E2A1A" w:rsidRDefault="006E2A1A" w:rsidP="006E2A1A">
      <w:pPr>
        <w:pStyle w:val="ExecSumBodyText"/>
      </w:pPr>
      <w:r>
        <w:t xml:space="preserve">The PBAC noted that the TGA Risk Management Plan stated that the sponsor is proposing to implement a Controlled Access Program to mitigate the risk of drug abuse, misuse and diversion. The PBAC further noted </w:t>
      </w:r>
      <w:r w:rsidR="002F0427">
        <w:t xml:space="preserve">the </w:t>
      </w:r>
      <w:r>
        <w:t>PSCR proposed the addition of a prescriber instruction to the restriction stating “</w:t>
      </w:r>
      <w:proofErr w:type="spellStart"/>
      <w:r>
        <w:t>Esketamine</w:t>
      </w:r>
      <w:proofErr w:type="spellEnd"/>
      <w:r>
        <w:t xml:space="preserve"> can only be administered in a Janssen accredited treatment facility, which has appropriate facilities for patient administration and monitoring, access to emergency care and pharmacy”. Although the PSCR stated the accredited sites include metropolitan, </w:t>
      </w:r>
      <w:r>
        <w:lastRenderedPageBreak/>
        <w:t xml:space="preserve">regional and rural sites and the number of sites is expected to increase to </w:t>
      </w:r>
      <w:r w:rsidR="00B9195B" w:rsidRPr="002030D0">
        <w:rPr>
          <w:color w:val="000000"/>
          <w:w w:val="15"/>
          <w:shd w:val="solid" w:color="000000" w:fill="000000"/>
          <w:fitText w:val="-20" w:id="-1436330235"/>
          <w14:textFill>
            <w14:solidFill>
              <w14:srgbClr w14:val="000000">
                <w14:alpha w14:val="100000"/>
              </w14:srgbClr>
            </w14:solidFill>
          </w14:textFill>
        </w:rPr>
        <w:t xml:space="preserve">|  </w:t>
      </w:r>
      <w:r w:rsidR="00B9195B" w:rsidRPr="002030D0">
        <w:rPr>
          <w:color w:val="000000"/>
          <w:spacing w:val="-69"/>
          <w:w w:val="15"/>
          <w:shd w:val="solid" w:color="000000" w:fill="000000"/>
          <w:fitText w:val="-20" w:id="-1436330235"/>
          <w14:textFill>
            <w14:solidFill>
              <w14:srgbClr w14:val="000000">
                <w14:alpha w14:val="100000"/>
              </w14:srgbClr>
            </w14:solidFill>
          </w14:textFill>
        </w:rPr>
        <w:t>|</w:t>
      </w:r>
      <w:r>
        <w:t xml:space="preserve"> by the end of 2022, the PBAC considered the impact of the program on access to esketamine remained unclear.</w:t>
      </w:r>
    </w:p>
    <w:p w14:paraId="488888F9" w14:textId="5E411F5B" w:rsidR="00C067FB" w:rsidRPr="00EB5F4F" w:rsidRDefault="00C067FB" w:rsidP="006E2A1A">
      <w:pPr>
        <w:pStyle w:val="ExecSumBodyText"/>
        <w:rPr>
          <w:lang w:val="en-GB"/>
        </w:rPr>
      </w:pPr>
      <w:r>
        <w:t>The PBAC considered it would be appropriate for a stakeholder meeting to be convened to further refine the PBS restriction, discuss potential issues related to access</w:t>
      </w:r>
      <w:r w:rsidR="00EC74F1">
        <w:t xml:space="preserve">, </w:t>
      </w:r>
      <w:r>
        <w:t>discuss the likely extent of use</w:t>
      </w:r>
      <w:r w:rsidR="00EC74F1">
        <w:t xml:space="preserve"> and discuss what additional</w:t>
      </w:r>
      <w:r w:rsidR="00E567E7">
        <w:t xml:space="preserve"> information</w:t>
      </w:r>
      <w:r w:rsidR="00EC74F1">
        <w:t xml:space="preserve"> might be required to support the PBS listing of esketamine.</w:t>
      </w:r>
      <w:r>
        <w:t xml:space="preserve"> </w:t>
      </w:r>
    </w:p>
    <w:p w14:paraId="138A8623" w14:textId="2B02903D" w:rsidR="00D30B7F" w:rsidRDefault="00E651F3" w:rsidP="006E2A1A">
      <w:pPr>
        <w:pStyle w:val="ExecSumBodyText"/>
        <w:rPr>
          <w:lang w:val="en-GB"/>
        </w:rPr>
      </w:pPr>
      <w:r>
        <w:rPr>
          <w:lang w:val="en-GB"/>
        </w:rPr>
        <w:t xml:space="preserve">The PBAC considered a resubmission for esketamine </w:t>
      </w:r>
      <w:r w:rsidR="006E2A1A">
        <w:rPr>
          <w:lang w:val="en-GB"/>
        </w:rPr>
        <w:t xml:space="preserve">addressing outstanding issues </w:t>
      </w:r>
      <w:r>
        <w:rPr>
          <w:lang w:val="en-GB"/>
        </w:rPr>
        <w:t>may be lodged at any future standard due date for PBAC submissions using the standard re-entry pathway.</w:t>
      </w:r>
    </w:p>
    <w:p w14:paraId="52AE1ED5" w14:textId="06128BC0" w:rsidR="00D30B7F" w:rsidRDefault="00D30B7F" w:rsidP="006E2A1A">
      <w:pPr>
        <w:pStyle w:val="ExecSumBodyText"/>
        <w:rPr>
          <w:bCs/>
          <w:i/>
          <w:lang w:val="en-GB"/>
        </w:rPr>
      </w:pPr>
      <w:r w:rsidRPr="00525B39">
        <w:rPr>
          <w:bCs/>
          <w:lang w:val="en-GB"/>
        </w:rPr>
        <w:t xml:space="preserve">The PBAC noted that this submission is eligible for an Independent Review. </w:t>
      </w:r>
    </w:p>
    <w:p w14:paraId="7A1BC1DF" w14:textId="77777777" w:rsidR="00D30B7F" w:rsidRPr="00525B39" w:rsidRDefault="00D30B7F" w:rsidP="00D30B7F">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5E98BD0" w14:textId="54F946A2" w:rsidR="00D30B7F" w:rsidRDefault="00D30B7F" w:rsidP="00D30B7F">
      <w:pPr>
        <w:rPr>
          <w:rFonts w:asciiTheme="minorHAnsi" w:hAnsiTheme="minorHAnsi"/>
          <w:bCs/>
          <w:snapToGrid w:val="0"/>
          <w:lang w:val="en-GB"/>
        </w:rPr>
      </w:pPr>
      <w:r>
        <w:rPr>
          <w:rFonts w:asciiTheme="minorHAnsi" w:hAnsiTheme="minorHAnsi"/>
          <w:bCs/>
          <w:snapToGrid w:val="0"/>
          <w:lang w:val="en-GB"/>
        </w:rPr>
        <w:t>Not recommended</w:t>
      </w:r>
    </w:p>
    <w:p w14:paraId="7A1798E1" w14:textId="77777777" w:rsidR="00FA24EF" w:rsidRPr="00525B39" w:rsidRDefault="00FA24EF" w:rsidP="00D30B7F">
      <w:pPr>
        <w:rPr>
          <w:rFonts w:asciiTheme="minorHAnsi" w:hAnsiTheme="minorHAnsi"/>
          <w:bCs/>
          <w:snapToGrid w:val="0"/>
          <w:lang w:val="en-GB"/>
        </w:rPr>
      </w:pPr>
    </w:p>
    <w:bookmarkEnd w:id="56"/>
    <w:bookmarkEnd w:id="57"/>
    <w:p w14:paraId="423524A5" w14:textId="77777777" w:rsidR="00FA24EF" w:rsidRDefault="00FA24EF" w:rsidP="004D3863">
      <w:pPr>
        <w:pStyle w:val="2-SectionHeading"/>
        <w:rPr>
          <w:bCs/>
          <w:lang w:val="en-GB"/>
        </w:rPr>
      </w:pPr>
      <w:r w:rsidRPr="00C07617">
        <w:t>Context for Decision</w:t>
      </w:r>
    </w:p>
    <w:p w14:paraId="0BCB9640" w14:textId="77777777" w:rsidR="00FA24EF" w:rsidRPr="007129F2" w:rsidRDefault="00FA24EF" w:rsidP="00FA24EF">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C4FD398" w14:textId="5D98DB8D" w:rsidR="00FA24EF" w:rsidRPr="00C07617" w:rsidRDefault="00FA24EF" w:rsidP="004D3863">
      <w:pPr>
        <w:pStyle w:val="2-SectionHeading"/>
      </w:pPr>
      <w:r>
        <w:t>Sponsor’s Comment</w:t>
      </w:r>
    </w:p>
    <w:p w14:paraId="066A5E98" w14:textId="77777777" w:rsidR="00307949" w:rsidRPr="004D3863" w:rsidRDefault="00307949" w:rsidP="004D3863">
      <w:pPr>
        <w:ind w:left="426"/>
        <w:rPr>
          <w:rFonts w:asciiTheme="minorHAnsi" w:hAnsiTheme="minorHAnsi" w:cstheme="minorHAnsi"/>
          <w:lang w:eastAsia="en-US"/>
        </w:rPr>
      </w:pPr>
      <w:r w:rsidRPr="004D3863">
        <w:rPr>
          <w:rFonts w:asciiTheme="minorHAnsi" w:hAnsiTheme="minorHAnsi" w:cstheme="minorHAnsi"/>
          <w:lang w:eastAsia="en-US"/>
        </w:rPr>
        <w:t>Janssen are disappointed that the PBAC did not recommend esketamine but welcome the PBAC’s consideration that there is a need for treatment options for treatment resistant depression, their understanding of the severe impact of treatment resistant depression on daily life and their acceptance of the clinically meaningful benefits of esketamine. Janssen agree with the PBAC that a Stakeholder meeting would be useful to help discuss some of the remaining issues and help move towards reimbursement of this important treatment for patients. Janssen looks forward to working with the PBAC to bring SPRAVATO® (esketamine hydrochloride) to Australian patients in a timely way.</w:t>
      </w:r>
    </w:p>
    <w:p w14:paraId="55A90C74" w14:textId="18BC927B" w:rsidR="002F4496" w:rsidRPr="000C7302" w:rsidRDefault="002F4496" w:rsidP="004D3863">
      <w:pPr>
        <w:widowControl w:val="0"/>
        <w:ind w:left="426"/>
        <w:rPr>
          <w:rFonts w:cs="Calibri"/>
        </w:rPr>
      </w:pPr>
    </w:p>
    <w:sectPr w:rsidR="002F4496" w:rsidRPr="000C7302" w:rsidSect="000C730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AEF6" w14:textId="77777777" w:rsidR="00B33A4E" w:rsidRDefault="00B33A4E" w:rsidP="00124A51">
      <w:r>
        <w:separator/>
      </w:r>
    </w:p>
    <w:p w14:paraId="3E1DF96C" w14:textId="77777777" w:rsidR="00B33A4E" w:rsidRDefault="00B33A4E"/>
  </w:endnote>
  <w:endnote w:type="continuationSeparator" w:id="0">
    <w:p w14:paraId="6DD458AA" w14:textId="77777777" w:rsidR="00B33A4E" w:rsidRDefault="00B33A4E" w:rsidP="00124A51">
      <w:r>
        <w:continuationSeparator/>
      </w:r>
    </w:p>
    <w:p w14:paraId="065A56B1" w14:textId="77777777" w:rsidR="00B33A4E" w:rsidRDefault="00B33A4E"/>
  </w:endnote>
  <w:endnote w:type="continuationNotice" w:id="1">
    <w:p w14:paraId="2168F4B2" w14:textId="77777777" w:rsidR="00B33A4E" w:rsidRDefault="00B33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charset w:val="88"/>
    <w:family w:val="auto"/>
    <w:pitch w:val="default"/>
    <w:sig w:usb0="00002A87" w:usb1="08080000" w:usb2="00000010" w:usb3="00000000" w:csb0="001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7852" w14:textId="77777777" w:rsidR="00B9195B" w:rsidRDefault="00B91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4868" w14:textId="77777777" w:rsidR="00B33A4E" w:rsidRPr="00D13A3E" w:rsidRDefault="00B33A4E" w:rsidP="00015886">
    <w:pPr>
      <w:ind w:right="360"/>
      <w:jc w:val="center"/>
      <w:rPr>
        <w:b/>
        <w:sz w:val="20"/>
      </w:rPr>
    </w:pPr>
  </w:p>
  <w:bookmarkStart w:id="63" w:name="_Hlk76375156"/>
  <w:p w14:paraId="2633F0D2" w14:textId="77777777" w:rsidR="00B33A4E" w:rsidRPr="00F90A91" w:rsidRDefault="00B33A4E" w:rsidP="001230DF">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6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C7B3" w14:textId="77777777" w:rsidR="00B9195B" w:rsidRDefault="00B91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3E60" w14:textId="77777777" w:rsidR="00B33A4E" w:rsidRDefault="00B33A4E" w:rsidP="00124A51">
      <w:r>
        <w:separator/>
      </w:r>
    </w:p>
    <w:p w14:paraId="0474DF91" w14:textId="77777777" w:rsidR="00B33A4E" w:rsidRDefault="00B33A4E"/>
  </w:footnote>
  <w:footnote w:type="continuationSeparator" w:id="0">
    <w:p w14:paraId="3AB0C977" w14:textId="77777777" w:rsidR="00B33A4E" w:rsidRDefault="00B33A4E" w:rsidP="00124A51">
      <w:r>
        <w:continuationSeparator/>
      </w:r>
    </w:p>
    <w:p w14:paraId="2B2D9F3E" w14:textId="77777777" w:rsidR="00B33A4E" w:rsidRDefault="00B33A4E"/>
  </w:footnote>
  <w:footnote w:type="continuationNotice" w:id="1">
    <w:p w14:paraId="6D9F3B66" w14:textId="77777777" w:rsidR="00B33A4E" w:rsidRDefault="00B33A4E"/>
  </w:footnote>
  <w:footnote w:id="2">
    <w:p w14:paraId="653DBA50" w14:textId="541E1EB2" w:rsidR="00B33A4E" w:rsidRDefault="00B33A4E">
      <w:pPr>
        <w:pStyle w:val="FootnoteText"/>
      </w:pPr>
      <w:r>
        <w:rPr>
          <w:rStyle w:val="FootnoteReference"/>
        </w:rPr>
        <w:footnoteRef/>
      </w:r>
      <w:r>
        <w:t xml:space="preserve"> </w:t>
      </w:r>
      <w:r w:rsidRPr="00B0721D">
        <w:t>Malhi, G., Acar, M., Kouhkamari, M., Chien, T., Juneja, P., Siva, S., &amp; Baune, B. (2022). Antidepressant prescribing patterns in Australia. BJPsych Open, 8(4), E120. doi:10.1192/bjo.2022.522</w:t>
      </w:r>
      <w:r>
        <w:t>. Accepted for publication at time referenced in Pre-PBAC Response.</w:t>
      </w:r>
    </w:p>
  </w:footnote>
  <w:footnote w:id="3">
    <w:p w14:paraId="211C586D" w14:textId="1AFE5E8E" w:rsidR="00B33A4E" w:rsidRDefault="00B33A4E">
      <w:pPr>
        <w:pStyle w:val="FootnoteText"/>
      </w:pPr>
      <w:r>
        <w:rPr>
          <w:rStyle w:val="FootnoteReference"/>
        </w:rPr>
        <w:footnoteRef/>
      </w:r>
      <w:r>
        <w:t xml:space="preserve"> </w:t>
      </w:r>
      <w:r w:rsidRPr="00C01529">
        <w:t>https://anzctr.org.au/Trial/Registration/TrialReview.aspx?ACTRN=12616001096448</w:t>
      </w:r>
    </w:p>
  </w:footnote>
  <w:footnote w:id="4">
    <w:p w14:paraId="09C5DD99" w14:textId="58B6A235" w:rsidR="00B33A4E" w:rsidRDefault="00B33A4E">
      <w:pPr>
        <w:pStyle w:val="FootnoteText"/>
      </w:pPr>
      <w:r>
        <w:rPr>
          <w:rStyle w:val="FootnoteReference"/>
        </w:rPr>
        <w:footnoteRef/>
      </w:r>
      <w:r>
        <w:t xml:space="preserve"> </w:t>
      </w:r>
      <w:hyperlink r:id="rId1" w:history="1">
        <w:r w:rsidRPr="000D7A3C">
          <w:rPr>
            <w:rStyle w:val="Hyperlink"/>
          </w:rPr>
          <w:t>https://www.nice.org.uk/guidance/gid-ta10371/documents/html-content-4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C297" w14:textId="77777777" w:rsidR="00B9195B" w:rsidRDefault="00B91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CC8D" w14:textId="63685E43" w:rsidR="00B33A4E" w:rsidRPr="00056684" w:rsidRDefault="0016509F" w:rsidP="001230DF">
    <w:pPr>
      <w:pStyle w:val="Header"/>
      <w:keepNext/>
      <w:ind w:left="360"/>
      <w:jc w:val="center"/>
      <w:rPr>
        <w:rFonts w:asciiTheme="minorHAnsi" w:hAnsiTheme="minorHAnsi"/>
        <w:i/>
        <w:color w:val="808080"/>
      </w:rPr>
    </w:pPr>
    <w:bookmarkStart w:id="62" w:name="_Hlk76375146"/>
    <w:r>
      <w:rPr>
        <w:rFonts w:asciiTheme="minorHAnsi" w:hAnsiTheme="minorHAnsi"/>
        <w:i/>
        <w:color w:val="808080"/>
      </w:rPr>
      <w:t>Public Summary Document</w:t>
    </w:r>
    <w:r w:rsidR="00B33A4E" w:rsidRPr="00056684">
      <w:rPr>
        <w:rFonts w:asciiTheme="minorHAnsi" w:hAnsiTheme="minorHAnsi"/>
        <w:i/>
        <w:color w:val="808080"/>
      </w:rPr>
      <w:t xml:space="preserve"> – </w:t>
    </w:r>
    <w:r w:rsidR="00B33A4E">
      <w:rPr>
        <w:rFonts w:asciiTheme="minorHAnsi" w:hAnsiTheme="minorHAnsi"/>
        <w:i/>
        <w:color w:val="808080"/>
      </w:rPr>
      <w:t>July 2022</w:t>
    </w:r>
    <w:r w:rsidR="00B33A4E" w:rsidRPr="00056684">
      <w:rPr>
        <w:rFonts w:asciiTheme="minorHAnsi" w:hAnsiTheme="minorHAnsi"/>
        <w:i/>
        <w:color w:val="808080"/>
      </w:rPr>
      <w:t xml:space="preserve"> PBAC Meeting</w:t>
    </w:r>
  </w:p>
  <w:bookmarkEnd w:id="62"/>
  <w:p w14:paraId="03AF943B" w14:textId="77777777" w:rsidR="00B33A4E" w:rsidRPr="008C7ECB" w:rsidRDefault="00B33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D09C" w14:textId="77777777" w:rsidR="00B9195B" w:rsidRDefault="00B91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F86B75"/>
    <w:multiLevelType w:val="multilevel"/>
    <w:tmpl w:val="E98AE628"/>
    <w:lvl w:ilvl="0">
      <w:start w:val="1"/>
      <w:numFmt w:val="decimal"/>
      <w:lvlText w:val="%1"/>
      <w:lvlJc w:val="left"/>
      <w:pPr>
        <w:ind w:left="720" w:hanging="720"/>
      </w:pPr>
      <w:rPr>
        <w:rFonts w:hint="default"/>
        <w:b/>
      </w:rPr>
    </w:lvl>
    <w:lvl w:ilvl="1">
      <w:start w:val="1"/>
      <w:numFmt w:val="bullet"/>
      <w:lvlText w:val=""/>
      <w:lvlJc w:val="left"/>
      <w:pPr>
        <w:ind w:left="1021" w:hanging="341"/>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97EEC"/>
    <w:multiLevelType w:val="hybridMultilevel"/>
    <w:tmpl w:val="0F0CA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0A4BDF"/>
    <w:multiLevelType w:val="multilevel"/>
    <w:tmpl w:val="694C242C"/>
    <w:lvl w:ilvl="0">
      <w:start w:val="1"/>
      <w:numFmt w:val="decimal"/>
      <w:lvlText w:val="%1"/>
      <w:lvlJc w:val="left"/>
      <w:pPr>
        <w:ind w:left="4265" w:hanging="720"/>
      </w:pPr>
      <w:rPr>
        <w:rFonts w:hint="default"/>
        <w:b/>
      </w:rPr>
    </w:lvl>
    <w:lvl w:ilvl="1">
      <w:start w:val="1"/>
      <w:numFmt w:val="bullet"/>
      <w:lvlText w:val=""/>
      <w:lvlJc w:val="left"/>
      <w:pPr>
        <w:ind w:left="1021" w:hanging="341"/>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4B023E"/>
    <w:multiLevelType w:val="hybridMultilevel"/>
    <w:tmpl w:val="8032A4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3C64086"/>
    <w:multiLevelType w:val="hybridMultilevel"/>
    <w:tmpl w:val="2DAC9DD8"/>
    <w:lvl w:ilvl="0" w:tplc="0C090001">
      <w:start w:val="1"/>
      <w:numFmt w:val="bullet"/>
      <w:lvlText w:val=""/>
      <w:lvlJc w:val="left"/>
      <w:pPr>
        <w:ind w:left="720" w:hanging="360"/>
      </w:pPr>
      <w:rPr>
        <w:rFonts w:ascii="Symbol" w:hAnsi="Symbol" w:hint="default"/>
      </w:rPr>
    </w:lvl>
    <w:lvl w:ilvl="1" w:tplc="11B25B24">
      <w:numFmt w:val="bullet"/>
      <w:lvlText w:val="•"/>
      <w:lvlJc w:val="left"/>
      <w:pPr>
        <w:ind w:left="1440" w:hanging="360"/>
      </w:pPr>
      <w:rPr>
        <w:rFonts w:ascii="SymbolMT" w:eastAsia="SymbolMT" w:hAnsi="SymbolMT" w:cs="SymbolMT" w:hint="eastAsia"/>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2B2932"/>
    <w:multiLevelType w:val="multilevel"/>
    <w:tmpl w:val="5D8650EE"/>
    <w:lvl w:ilvl="0">
      <w:start w:val="1"/>
      <w:numFmt w:val="decimal"/>
      <w:lvlText w:val="%1"/>
      <w:lvlJc w:val="left"/>
      <w:pPr>
        <w:ind w:left="720" w:hanging="720"/>
      </w:pPr>
      <w:rPr>
        <w:rFonts w:hint="default"/>
        <w:b/>
      </w:rPr>
    </w:lvl>
    <w:lvl w:ilvl="1">
      <w:start w:val="1"/>
      <w:numFmt w:val="bullet"/>
      <w:lvlText w:val=""/>
      <w:lvlJc w:val="left"/>
      <w:pPr>
        <w:ind w:left="1021" w:hanging="341"/>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9641FA"/>
    <w:multiLevelType w:val="hybridMultilevel"/>
    <w:tmpl w:val="A4ECA5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D5E45A5"/>
    <w:multiLevelType w:val="multilevel"/>
    <w:tmpl w:val="C9240EFE"/>
    <w:lvl w:ilvl="0">
      <w:start w:val="1"/>
      <w:numFmt w:val="decimal"/>
      <w:lvlText w:val="%1"/>
      <w:lvlJc w:val="left"/>
      <w:pPr>
        <w:ind w:left="720" w:hanging="720"/>
      </w:pPr>
      <w:rPr>
        <w:rFonts w:hint="default"/>
        <w:b/>
      </w:rPr>
    </w:lvl>
    <w:lvl w:ilvl="1">
      <w:start w:val="1"/>
      <w:numFmt w:val="bullet"/>
      <w:lvlText w:val=""/>
      <w:lvlJc w:val="left"/>
      <w:pPr>
        <w:ind w:left="1021" w:hanging="341"/>
      </w:pPr>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901390"/>
    <w:multiLevelType w:val="hybridMultilevel"/>
    <w:tmpl w:val="2F949296"/>
    <w:lvl w:ilvl="0" w:tplc="88E4129E">
      <w:start w:val="7"/>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8A0E53"/>
    <w:multiLevelType w:val="multilevel"/>
    <w:tmpl w:val="DC1CAE5A"/>
    <w:lvl w:ilvl="0">
      <w:start w:val="1"/>
      <w:numFmt w:val="decimal"/>
      <w:lvlText w:val="%1"/>
      <w:lvlJc w:val="left"/>
      <w:pPr>
        <w:ind w:left="720" w:hanging="720"/>
      </w:pPr>
      <w:rPr>
        <w:rFonts w:hint="default"/>
        <w:b/>
      </w:rPr>
    </w:lvl>
    <w:lvl w:ilvl="1">
      <w:start w:val="1"/>
      <w:numFmt w:val="bullet"/>
      <w:lvlText w:val=""/>
      <w:lvlJc w:val="left"/>
      <w:pPr>
        <w:ind w:left="1021" w:hanging="341"/>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581500"/>
    <w:multiLevelType w:val="hybridMultilevel"/>
    <w:tmpl w:val="8E3655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FD28AD"/>
    <w:multiLevelType w:val="hybridMultilevel"/>
    <w:tmpl w:val="83442A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9CA485E"/>
    <w:multiLevelType w:val="hybridMultilevel"/>
    <w:tmpl w:val="16980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C54F2C"/>
    <w:multiLevelType w:val="multilevel"/>
    <w:tmpl w:val="3706548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442297"/>
    <w:multiLevelType w:val="hybridMultilevel"/>
    <w:tmpl w:val="0B807D8A"/>
    <w:lvl w:ilvl="0" w:tplc="8430C0F6">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2" w15:restartNumberingAfterBreak="0">
    <w:nsid w:val="4DD520CB"/>
    <w:multiLevelType w:val="hybridMultilevel"/>
    <w:tmpl w:val="93FEEA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FA230FB"/>
    <w:multiLevelType w:val="hybridMultilevel"/>
    <w:tmpl w:val="906276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A74EBB"/>
    <w:multiLevelType w:val="multilevel"/>
    <w:tmpl w:val="EDAEDF4A"/>
    <w:lvl w:ilvl="0">
      <w:start w:val="1"/>
      <w:numFmt w:val="decimal"/>
      <w:lvlText w:val="%1"/>
      <w:lvlJc w:val="left"/>
      <w:pPr>
        <w:ind w:left="720" w:hanging="720"/>
      </w:pPr>
      <w:rPr>
        <w:rFonts w:hint="default"/>
        <w:b/>
      </w:rPr>
    </w:lvl>
    <w:lvl w:ilvl="1">
      <w:start w:val="1"/>
      <w:numFmt w:val="bullet"/>
      <w:lvlText w:val=""/>
      <w:lvlJc w:val="left"/>
      <w:pPr>
        <w:ind w:left="964" w:hanging="284"/>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46248DB"/>
    <w:multiLevelType w:val="hybridMultilevel"/>
    <w:tmpl w:val="FFFFFFFF"/>
    <w:lvl w:ilvl="0" w:tplc="6FE62696">
      <w:start w:val="1"/>
      <w:numFmt w:val="bullet"/>
      <w:lvlText w:val="·"/>
      <w:lvlJc w:val="left"/>
      <w:pPr>
        <w:ind w:left="720" w:hanging="360"/>
      </w:pPr>
      <w:rPr>
        <w:rFonts w:ascii="Symbol" w:hAnsi="Symbol" w:hint="default"/>
      </w:rPr>
    </w:lvl>
    <w:lvl w:ilvl="1" w:tplc="C5EECBC2">
      <w:start w:val="1"/>
      <w:numFmt w:val="bullet"/>
      <w:lvlText w:val="o"/>
      <w:lvlJc w:val="left"/>
      <w:pPr>
        <w:ind w:left="1440" w:hanging="360"/>
      </w:pPr>
      <w:rPr>
        <w:rFonts w:ascii="Courier New" w:hAnsi="Courier New" w:hint="default"/>
      </w:rPr>
    </w:lvl>
    <w:lvl w:ilvl="2" w:tplc="7C3A3FB8">
      <w:start w:val="1"/>
      <w:numFmt w:val="bullet"/>
      <w:lvlText w:val=""/>
      <w:lvlJc w:val="left"/>
      <w:pPr>
        <w:ind w:left="2160" w:hanging="360"/>
      </w:pPr>
      <w:rPr>
        <w:rFonts w:ascii="Wingdings" w:hAnsi="Wingdings" w:hint="default"/>
      </w:rPr>
    </w:lvl>
    <w:lvl w:ilvl="3" w:tplc="E9AE51CE">
      <w:start w:val="1"/>
      <w:numFmt w:val="bullet"/>
      <w:lvlText w:val=""/>
      <w:lvlJc w:val="left"/>
      <w:pPr>
        <w:ind w:left="2880" w:hanging="360"/>
      </w:pPr>
      <w:rPr>
        <w:rFonts w:ascii="Symbol" w:hAnsi="Symbol" w:hint="default"/>
      </w:rPr>
    </w:lvl>
    <w:lvl w:ilvl="4" w:tplc="D33AF674">
      <w:start w:val="1"/>
      <w:numFmt w:val="bullet"/>
      <w:lvlText w:val="o"/>
      <w:lvlJc w:val="left"/>
      <w:pPr>
        <w:ind w:left="3600" w:hanging="360"/>
      </w:pPr>
      <w:rPr>
        <w:rFonts w:ascii="Courier New" w:hAnsi="Courier New" w:hint="default"/>
      </w:rPr>
    </w:lvl>
    <w:lvl w:ilvl="5" w:tplc="58E0E0BC">
      <w:start w:val="1"/>
      <w:numFmt w:val="bullet"/>
      <w:lvlText w:val=""/>
      <w:lvlJc w:val="left"/>
      <w:pPr>
        <w:ind w:left="4320" w:hanging="360"/>
      </w:pPr>
      <w:rPr>
        <w:rFonts w:ascii="Wingdings" w:hAnsi="Wingdings" w:hint="default"/>
      </w:rPr>
    </w:lvl>
    <w:lvl w:ilvl="6" w:tplc="094AC824">
      <w:start w:val="1"/>
      <w:numFmt w:val="bullet"/>
      <w:lvlText w:val=""/>
      <w:lvlJc w:val="left"/>
      <w:pPr>
        <w:ind w:left="5040" w:hanging="360"/>
      </w:pPr>
      <w:rPr>
        <w:rFonts w:ascii="Symbol" w:hAnsi="Symbol" w:hint="default"/>
      </w:rPr>
    </w:lvl>
    <w:lvl w:ilvl="7" w:tplc="BD0040C0">
      <w:start w:val="1"/>
      <w:numFmt w:val="bullet"/>
      <w:lvlText w:val="o"/>
      <w:lvlJc w:val="left"/>
      <w:pPr>
        <w:ind w:left="5760" w:hanging="360"/>
      </w:pPr>
      <w:rPr>
        <w:rFonts w:ascii="Courier New" w:hAnsi="Courier New" w:hint="default"/>
      </w:rPr>
    </w:lvl>
    <w:lvl w:ilvl="8" w:tplc="69962B66">
      <w:start w:val="1"/>
      <w:numFmt w:val="bullet"/>
      <w:lvlText w:val=""/>
      <w:lvlJc w:val="left"/>
      <w:pPr>
        <w:ind w:left="6480" w:hanging="360"/>
      </w:pPr>
      <w:rPr>
        <w:rFonts w:ascii="Wingdings" w:hAnsi="Wingdings" w:hint="default"/>
      </w:rPr>
    </w:lvl>
  </w:abstractNum>
  <w:abstractNum w:abstractNumId="29" w15:restartNumberingAfterBreak="0">
    <w:nsid w:val="647B1B49"/>
    <w:multiLevelType w:val="hybridMultilevel"/>
    <w:tmpl w:val="0E68E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451C7D"/>
    <w:multiLevelType w:val="multilevel"/>
    <w:tmpl w:val="EB162C38"/>
    <w:lvl w:ilvl="0">
      <w:start w:val="1"/>
      <w:numFmt w:val="lowerLetter"/>
      <w:pStyle w:val="AlphaList"/>
      <w:lvlText w:val="%1."/>
      <w:lvlJc w:val="left"/>
      <w:pPr>
        <w:ind w:left="680" w:hanging="255"/>
      </w:pPr>
      <w:rPr>
        <w:rFonts w:asciiTheme="minorHAnsi" w:hAnsiTheme="minorHAnsi" w:hint="default"/>
        <w:color w:val="4F81BD" w:themeColor="accent1"/>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2" w15:restartNumberingAfterBreak="0">
    <w:nsid w:val="73334A42"/>
    <w:multiLevelType w:val="hybridMultilevel"/>
    <w:tmpl w:val="15BADD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84D033C"/>
    <w:multiLevelType w:val="multilevel"/>
    <w:tmpl w:val="4B9879D0"/>
    <w:lvl w:ilvl="0">
      <w:start w:val="1"/>
      <w:numFmt w:val="decimal"/>
      <w:pStyle w:val="2-SectionHeading"/>
      <w:lvlText w:val="%1"/>
      <w:lvlJc w:val="left"/>
      <w:pPr>
        <w:ind w:left="4265"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4A421E"/>
    <w:multiLevelType w:val="multilevel"/>
    <w:tmpl w:val="708C1F22"/>
    <w:lvl w:ilvl="0">
      <w:start w:val="1"/>
      <w:numFmt w:val="decimal"/>
      <w:lvlText w:val="%1"/>
      <w:lvlJc w:val="left"/>
      <w:pPr>
        <w:ind w:left="720" w:hanging="720"/>
      </w:pPr>
      <w:rPr>
        <w:rFonts w:hint="default"/>
        <w:b/>
      </w:rPr>
    </w:lvl>
    <w:lvl w:ilvl="1">
      <w:start w:val="1"/>
      <w:numFmt w:val="bullet"/>
      <w:lvlText w:val=""/>
      <w:lvlJc w:val="left"/>
      <w:pPr>
        <w:ind w:left="964" w:hanging="284"/>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53672A"/>
    <w:multiLevelType w:val="hybridMultilevel"/>
    <w:tmpl w:val="FA58CC8C"/>
    <w:lvl w:ilvl="0" w:tplc="0C09001B">
      <w:start w:val="1"/>
      <w:numFmt w:val="lowerRoman"/>
      <w:lvlText w:val="%1."/>
      <w:lvlJc w:val="righ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36" w15:restartNumberingAfterBreak="0">
    <w:nsid w:val="7F996F7D"/>
    <w:multiLevelType w:val="hybridMultilevel"/>
    <w:tmpl w:val="9ED25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0"/>
  </w:num>
  <w:num w:numId="4">
    <w:abstractNumId w:val="33"/>
  </w:num>
  <w:num w:numId="5">
    <w:abstractNumId w:val="31"/>
  </w:num>
  <w:num w:numId="6">
    <w:abstractNumId w:val="29"/>
  </w:num>
  <w:num w:numId="7">
    <w:abstractNumId w:val="18"/>
  </w:num>
  <w:num w:numId="8">
    <w:abstractNumId w:val="11"/>
  </w:num>
  <w:num w:numId="9">
    <w:abstractNumId w:val="28"/>
  </w:num>
  <w:num w:numId="10">
    <w:abstractNumId w:val="19"/>
  </w:num>
  <w:num w:numId="11">
    <w:abstractNumId w:val="10"/>
  </w:num>
  <w:num w:numId="12">
    <w:abstractNumId w:val="2"/>
  </w:num>
  <w:num w:numId="13">
    <w:abstractNumId w:val="12"/>
  </w:num>
  <w:num w:numId="14">
    <w:abstractNumId w:val="8"/>
  </w:num>
  <w:num w:numId="15">
    <w:abstractNumId w:val="34"/>
  </w:num>
  <w:num w:numId="16">
    <w:abstractNumId w:val="26"/>
  </w:num>
  <w:num w:numId="17">
    <w:abstractNumId w:val="5"/>
  </w:num>
  <w:num w:numId="18">
    <w:abstractNumId w:val="35"/>
  </w:num>
  <w:num w:numId="19">
    <w:abstractNumId w:val="4"/>
  </w:num>
  <w:num w:numId="20">
    <w:abstractNumId w:val="24"/>
  </w:num>
  <w:num w:numId="21">
    <w:abstractNumId w:val="25"/>
  </w:num>
  <w:num w:numId="22">
    <w:abstractNumId w:val="3"/>
  </w:num>
  <w:num w:numId="23">
    <w:abstractNumId w:val="1"/>
  </w:num>
  <w:num w:numId="24">
    <w:abstractNumId w:val="14"/>
  </w:num>
  <w:num w:numId="25">
    <w:abstractNumId w:val="16"/>
  </w:num>
  <w:num w:numId="26">
    <w:abstractNumId w:val="13"/>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7"/>
  </w:num>
  <w:num w:numId="30">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32"/>
  </w:num>
  <w:num w:numId="35">
    <w:abstractNumId w:val="22"/>
  </w:num>
  <w:num w:numId="36">
    <w:abstractNumId w:val="36"/>
  </w:num>
  <w:num w:numId="37">
    <w:abstractNumId w:val="15"/>
  </w:num>
  <w:num w:numId="38">
    <w:abstractNumId w:val="7"/>
  </w:num>
  <w:num w:numId="39">
    <w:abstractNumId w:val="23"/>
  </w:num>
  <w:num w:numId="4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0A3"/>
    <w:rsid w:val="00000678"/>
    <w:rsid w:val="00000790"/>
    <w:rsid w:val="00000D25"/>
    <w:rsid w:val="00000EF9"/>
    <w:rsid w:val="0000110B"/>
    <w:rsid w:val="000014E8"/>
    <w:rsid w:val="0000178D"/>
    <w:rsid w:val="00001915"/>
    <w:rsid w:val="00001B56"/>
    <w:rsid w:val="00002088"/>
    <w:rsid w:val="00002236"/>
    <w:rsid w:val="000023F4"/>
    <w:rsid w:val="000033A6"/>
    <w:rsid w:val="00003499"/>
    <w:rsid w:val="0000353C"/>
    <w:rsid w:val="0000390F"/>
    <w:rsid w:val="000039B7"/>
    <w:rsid w:val="000048AC"/>
    <w:rsid w:val="00004F7F"/>
    <w:rsid w:val="00005980"/>
    <w:rsid w:val="000059F7"/>
    <w:rsid w:val="0000639A"/>
    <w:rsid w:val="00006C54"/>
    <w:rsid w:val="000101DF"/>
    <w:rsid w:val="00010EC7"/>
    <w:rsid w:val="000110D4"/>
    <w:rsid w:val="00011825"/>
    <w:rsid w:val="00011F5D"/>
    <w:rsid w:val="00011FFB"/>
    <w:rsid w:val="00012027"/>
    <w:rsid w:val="000124E0"/>
    <w:rsid w:val="000126B6"/>
    <w:rsid w:val="00012715"/>
    <w:rsid w:val="000128ED"/>
    <w:rsid w:val="00013247"/>
    <w:rsid w:val="00013348"/>
    <w:rsid w:val="00013769"/>
    <w:rsid w:val="00013E70"/>
    <w:rsid w:val="0001418C"/>
    <w:rsid w:val="00015668"/>
    <w:rsid w:val="00015886"/>
    <w:rsid w:val="00015C18"/>
    <w:rsid w:val="000162EF"/>
    <w:rsid w:val="00016417"/>
    <w:rsid w:val="000164AD"/>
    <w:rsid w:val="000207C9"/>
    <w:rsid w:val="0002084C"/>
    <w:rsid w:val="000209AF"/>
    <w:rsid w:val="0002105B"/>
    <w:rsid w:val="000214EF"/>
    <w:rsid w:val="00022060"/>
    <w:rsid w:val="0002218D"/>
    <w:rsid w:val="0002225F"/>
    <w:rsid w:val="0002228F"/>
    <w:rsid w:val="00023475"/>
    <w:rsid w:val="00023721"/>
    <w:rsid w:val="00023763"/>
    <w:rsid w:val="00023E06"/>
    <w:rsid w:val="00024188"/>
    <w:rsid w:val="00024561"/>
    <w:rsid w:val="000247A3"/>
    <w:rsid w:val="000251B1"/>
    <w:rsid w:val="00025432"/>
    <w:rsid w:val="00025706"/>
    <w:rsid w:val="00026283"/>
    <w:rsid w:val="000274B8"/>
    <w:rsid w:val="00027841"/>
    <w:rsid w:val="0003082D"/>
    <w:rsid w:val="00031B9B"/>
    <w:rsid w:val="0003229E"/>
    <w:rsid w:val="00033863"/>
    <w:rsid w:val="00034701"/>
    <w:rsid w:val="00034BD2"/>
    <w:rsid w:val="00035DC0"/>
    <w:rsid w:val="0003620E"/>
    <w:rsid w:val="000362C4"/>
    <w:rsid w:val="0003654E"/>
    <w:rsid w:val="00036829"/>
    <w:rsid w:val="0003701A"/>
    <w:rsid w:val="00037021"/>
    <w:rsid w:val="000373C0"/>
    <w:rsid w:val="00037AE2"/>
    <w:rsid w:val="00037EFD"/>
    <w:rsid w:val="00040895"/>
    <w:rsid w:val="00040F99"/>
    <w:rsid w:val="00041E2C"/>
    <w:rsid w:val="00041E3C"/>
    <w:rsid w:val="00042D88"/>
    <w:rsid w:val="000435EE"/>
    <w:rsid w:val="00043C37"/>
    <w:rsid w:val="00043DCE"/>
    <w:rsid w:val="00045017"/>
    <w:rsid w:val="000453DA"/>
    <w:rsid w:val="0004557C"/>
    <w:rsid w:val="000455FD"/>
    <w:rsid w:val="00045A2B"/>
    <w:rsid w:val="00045A67"/>
    <w:rsid w:val="00046380"/>
    <w:rsid w:val="0004698F"/>
    <w:rsid w:val="00046FA5"/>
    <w:rsid w:val="000500AB"/>
    <w:rsid w:val="000507EC"/>
    <w:rsid w:val="000514F8"/>
    <w:rsid w:val="000519CC"/>
    <w:rsid w:val="00051A89"/>
    <w:rsid w:val="00052A97"/>
    <w:rsid w:val="00053065"/>
    <w:rsid w:val="000533EE"/>
    <w:rsid w:val="000539D0"/>
    <w:rsid w:val="00054621"/>
    <w:rsid w:val="000546D7"/>
    <w:rsid w:val="0005564F"/>
    <w:rsid w:val="0005574D"/>
    <w:rsid w:val="00055D77"/>
    <w:rsid w:val="00056DF2"/>
    <w:rsid w:val="00056ECF"/>
    <w:rsid w:val="00057616"/>
    <w:rsid w:val="000602B8"/>
    <w:rsid w:val="000604DF"/>
    <w:rsid w:val="00060E2B"/>
    <w:rsid w:val="00060FA6"/>
    <w:rsid w:val="000612F4"/>
    <w:rsid w:val="000615DE"/>
    <w:rsid w:val="00062502"/>
    <w:rsid w:val="00063BC9"/>
    <w:rsid w:val="00064C59"/>
    <w:rsid w:val="00065388"/>
    <w:rsid w:val="000653B5"/>
    <w:rsid w:val="00066360"/>
    <w:rsid w:val="00066AF8"/>
    <w:rsid w:val="00067309"/>
    <w:rsid w:val="00071248"/>
    <w:rsid w:val="000720B9"/>
    <w:rsid w:val="000730D6"/>
    <w:rsid w:val="000737F7"/>
    <w:rsid w:val="00075215"/>
    <w:rsid w:val="0007672F"/>
    <w:rsid w:val="00076B24"/>
    <w:rsid w:val="00076B54"/>
    <w:rsid w:val="000774F0"/>
    <w:rsid w:val="00077D6E"/>
    <w:rsid w:val="00080909"/>
    <w:rsid w:val="00080A74"/>
    <w:rsid w:val="00081090"/>
    <w:rsid w:val="000812CA"/>
    <w:rsid w:val="00081B56"/>
    <w:rsid w:val="00081C17"/>
    <w:rsid w:val="00081E63"/>
    <w:rsid w:val="0008227F"/>
    <w:rsid w:val="0008258D"/>
    <w:rsid w:val="00082A70"/>
    <w:rsid w:val="00083E99"/>
    <w:rsid w:val="00083EFB"/>
    <w:rsid w:val="00083F90"/>
    <w:rsid w:val="00084FA8"/>
    <w:rsid w:val="00084FCA"/>
    <w:rsid w:val="000856C5"/>
    <w:rsid w:val="00085924"/>
    <w:rsid w:val="00085AF0"/>
    <w:rsid w:val="00085C31"/>
    <w:rsid w:val="00086386"/>
    <w:rsid w:val="000865B0"/>
    <w:rsid w:val="00086DA0"/>
    <w:rsid w:val="00086F9F"/>
    <w:rsid w:val="0008725C"/>
    <w:rsid w:val="000875C1"/>
    <w:rsid w:val="000902D9"/>
    <w:rsid w:val="00090644"/>
    <w:rsid w:val="00090769"/>
    <w:rsid w:val="00090C7E"/>
    <w:rsid w:val="00090DAE"/>
    <w:rsid w:val="00090F28"/>
    <w:rsid w:val="0009118B"/>
    <w:rsid w:val="000914B2"/>
    <w:rsid w:val="00092600"/>
    <w:rsid w:val="0009262B"/>
    <w:rsid w:val="000932F2"/>
    <w:rsid w:val="00093310"/>
    <w:rsid w:val="00093A2D"/>
    <w:rsid w:val="0009403B"/>
    <w:rsid w:val="0009445C"/>
    <w:rsid w:val="00094E20"/>
    <w:rsid w:val="00095200"/>
    <w:rsid w:val="00095556"/>
    <w:rsid w:val="00095F90"/>
    <w:rsid w:val="00095FE5"/>
    <w:rsid w:val="00096284"/>
    <w:rsid w:val="0009688D"/>
    <w:rsid w:val="0009692B"/>
    <w:rsid w:val="000A03C5"/>
    <w:rsid w:val="000A08F9"/>
    <w:rsid w:val="000A1B6A"/>
    <w:rsid w:val="000A1BC0"/>
    <w:rsid w:val="000A1D08"/>
    <w:rsid w:val="000A1D1C"/>
    <w:rsid w:val="000A1D39"/>
    <w:rsid w:val="000A238A"/>
    <w:rsid w:val="000A2D6B"/>
    <w:rsid w:val="000A4BBF"/>
    <w:rsid w:val="000A5FC4"/>
    <w:rsid w:val="000A6039"/>
    <w:rsid w:val="000A6F2D"/>
    <w:rsid w:val="000A7453"/>
    <w:rsid w:val="000A7D08"/>
    <w:rsid w:val="000A7F1C"/>
    <w:rsid w:val="000B0121"/>
    <w:rsid w:val="000B0670"/>
    <w:rsid w:val="000B0986"/>
    <w:rsid w:val="000B0E75"/>
    <w:rsid w:val="000B1015"/>
    <w:rsid w:val="000B1FB0"/>
    <w:rsid w:val="000B2DCB"/>
    <w:rsid w:val="000B2F73"/>
    <w:rsid w:val="000B330F"/>
    <w:rsid w:val="000B3327"/>
    <w:rsid w:val="000B3D6F"/>
    <w:rsid w:val="000B4772"/>
    <w:rsid w:val="000B4C8A"/>
    <w:rsid w:val="000B4D6C"/>
    <w:rsid w:val="000B4EEC"/>
    <w:rsid w:val="000B5CE0"/>
    <w:rsid w:val="000B6CAC"/>
    <w:rsid w:val="000B6F85"/>
    <w:rsid w:val="000B7435"/>
    <w:rsid w:val="000B7612"/>
    <w:rsid w:val="000B7891"/>
    <w:rsid w:val="000B78AE"/>
    <w:rsid w:val="000C0EBC"/>
    <w:rsid w:val="000C1116"/>
    <w:rsid w:val="000C3647"/>
    <w:rsid w:val="000C36AE"/>
    <w:rsid w:val="000C3DF9"/>
    <w:rsid w:val="000C3ECB"/>
    <w:rsid w:val="000C4AE5"/>
    <w:rsid w:val="000C4D23"/>
    <w:rsid w:val="000C6713"/>
    <w:rsid w:val="000C6E86"/>
    <w:rsid w:val="000C717C"/>
    <w:rsid w:val="000C7302"/>
    <w:rsid w:val="000C7E47"/>
    <w:rsid w:val="000D00C5"/>
    <w:rsid w:val="000D1BFC"/>
    <w:rsid w:val="000D1D5D"/>
    <w:rsid w:val="000D2372"/>
    <w:rsid w:val="000D281A"/>
    <w:rsid w:val="000D2848"/>
    <w:rsid w:val="000D2966"/>
    <w:rsid w:val="000D2B2B"/>
    <w:rsid w:val="000D326A"/>
    <w:rsid w:val="000D3D01"/>
    <w:rsid w:val="000D51FB"/>
    <w:rsid w:val="000D60D0"/>
    <w:rsid w:val="000D7C82"/>
    <w:rsid w:val="000E031F"/>
    <w:rsid w:val="000E0640"/>
    <w:rsid w:val="000E0ACC"/>
    <w:rsid w:val="000E1173"/>
    <w:rsid w:val="000E135D"/>
    <w:rsid w:val="000E15DC"/>
    <w:rsid w:val="000E1C22"/>
    <w:rsid w:val="000E1DEB"/>
    <w:rsid w:val="000E230D"/>
    <w:rsid w:val="000E2F45"/>
    <w:rsid w:val="000E31A0"/>
    <w:rsid w:val="000E3A17"/>
    <w:rsid w:val="000E4162"/>
    <w:rsid w:val="000E49FB"/>
    <w:rsid w:val="000E6084"/>
    <w:rsid w:val="000E6A4D"/>
    <w:rsid w:val="000F00BA"/>
    <w:rsid w:val="000F0E30"/>
    <w:rsid w:val="000F1373"/>
    <w:rsid w:val="000F188A"/>
    <w:rsid w:val="000F2681"/>
    <w:rsid w:val="000F2736"/>
    <w:rsid w:val="000F2888"/>
    <w:rsid w:val="000F316A"/>
    <w:rsid w:val="000F36A9"/>
    <w:rsid w:val="000F3C74"/>
    <w:rsid w:val="000F3CF2"/>
    <w:rsid w:val="000F4488"/>
    <w:rsid w:val="000F4BB8"/>
    <w:rsid w:val="000F4FA9"/>
    <w:rsid w:val="000F53FB"/>
    <w:rsid w:val="000F6165"/>
    <w:rsid w:val="000F68A0"/>
    <w:rsid w:val="000F6910"/>
    <w:rsid w:val="000F6DE5"/>
    <w:rsid w:val="000F6F24"/>
    <w:rsid w:val="000F7127"/>
    <w:rsid w:val="000F71E3"/>
    <w:rsid w:val="000F7B54"/>
    <w:rsid w:val="00100F6C"/>
    <w:rsid w:val="00100F8A"/>
    <w:rsid w:val="00102A42"/>
    <w:rsid w:val="00102A4F"/>
    <w:rsid w:val="001033C5"/>
    <w:rsid w:val="00103A46"/>
    <w:rsid w:val="0010436A"/>
    <w:rsid w:val="0010449D"/>
    <w:rsid w:val="0010452E"/>
    <w:rsid w:val="00104AD0"/>
    <w:rsid w:val="00104F48"/>
    <w:rsid w:val="00105AE2"/>
    <w:rsid w:val="001060C6"/>
    <w:rsid w:val="00106380"/>
    <w:rsid w:val="00106B80"/>
    <w:rsid w:val="0011032E"/>
    <w:rsid w:val="00110774"/>
    <w:rsid w:val="0011107C"/>
    <w:rsid w:val="00111852"/>
    <w:rsid w:val="00112555"/>
    <w:rsid w:val="0011348B"/>
    <w:rsid w:val="00113AA0"/>
    <w:rsid w:val="00113EAF"/>
    <w:rsid w:val="001149D2"/>
    <w:rsid w:val="00114C9E"/>
    <w:rsid w:val="00114D67"/>
    <w:rsid w:val="00114F54"/>
    <w:rsid w:val="001155CF"/>
    <w:rsid w:val="001155DA"/>
    <w:rsid w:val="00115982"/>
    <w:rsid w:val="00115D9A"/>
    <w:rsid w:val="001162F4"/>
    <w:rsid w:val="00116C53"/>
    <w:rsid w:val="00116CC3"/>
    <w:rsid w:val="001170E3"/>
    <w:rsid w:val="00117317"/>
    <w:rsid w:val="00117549"/>
    <w:rsid w:val="001177C0"/>
    <w:rsid w:val="00120C7C"/>
    <w:rsid w:val="00121032"/>
    <w:rsid w:val="0012123D"/>
    <w:rsid w:val="00121799"/>
    <w:rsid w:val="001217E2"/>
    <w:rsid w:val="00121BEA"/>
    <w:rsid w:val="001222FC"/>
    <w:rsid w:val="00122603"/>
    <w:rsid w:val="00122B64"/>
    <w:rsid w:val="001230DF"/>
    <w:rsid w:val="00123902"/>
    <w:rsid w:val="00123B81"/>
    <w:rsid w:val="00123BB3"/>
    <w:rsid w:val="0012404A"/>
    <w:rsid w:val="00124695"/>
    <w:rsid w:val="001247D5"/>
    <w:rsid w:val="00124A51"/>
    <w:rsid w:val="00125CF1"/>
    <w:rsid w:val="00126621"/>
    <w:rsid w:val="00126A84"/>
    <w:rsid w:val="00126B1D"/>
    <w:rsid w:val="00127DCD"/>
    <w:rsid w:val="001301E9"/>
    <w:rsid w:val="001306CB"/>
    <w:rsid w:val="00130C61"/>
    <w:rsid w:val="00131D82"/>
    <w:rsid w:val="001320A5"/>
    <w:rsid w:val="00132101"/>
    <w:rsid w:val="00132696"/>
    <w:rsid w:val="00132B22"/>
    <w:rsid w:val="00132EF4"/>
    <w:rsid w:val="00133CC7"/>
    <w:rsid w:val="00133D36"/>
    <w:rsid w:val="0013469A"/>
    <w:rsid w:val="001353ED"/>
    <w:rsid w:val="001355E9"/>
    <w:rsid w:val="00136967"/>
    <w:rsid w:val="00136F5E"/>
    <w:rsid w:val="0013744C"/>
    <w:rsid w:val="00137645"/>
    <w:rsid w:val="001378C1"/>
    <w:rsid w:val="00137BDA"/>
    <w:rsid w:val="0014015A"/>
    <w:rsid w:val="00140829"/>
    <w:rsid w:val="00140E99"/>
    <w:rsid w:val="001413FD"/>
    <w:rsid w:val="00143AEB"/>
    <w:rsid w:val="00143CC4"/>
    <w:rsid w:val="00143F67"/>
    <w:rsid w:val="00145540"/>
    <w:rsid w:val="0014565A"/>
    <w:rsid w:val="001456B0"/>
    <w:rsid w:val="00145A0D"/>
    <w:rsid w:val="00146BFB"/>
    <w:rsid w:val="001475D2"/>
    <w:rsid w:val="0015198C"/>
    <w:rsid w:val="001523AA"/>
    <w:rsid w:val="001537E7"/>
    <w:rsid w:val="00153B01"/>
    <w:rsid w:val="00154515"/>
    <w:rsid w:val="00154549"/>
    <w:rsid w:val="00154618"/>
    <w:rsid w:val="001554A3"/>
    <w:rsid w:val="00155BBE"/>
    <w:rsid w:val="00155D72"/>
    <w:rsid w:val="001563B1"/>
    <w:rsid w:val="0015648A"/>
    <w:rsid w:val="0015656C"/>
    <w:rsid w:val="001569C1"/>
    <w:rsid w:val="00156F8F"/>
    <w:rsid w:val="00156FB8"/>
    <w:rsid w:val="00157130"/>
    <w:rsid w:val="001576B1"/>
    <w:rsid w:val="0016047B"/>
    <w:rsid w:val="00160A4C"/>
    <w:rsid w:val="00160B28"/>
    <w:rsid w:val="001614DD"/>
    <w:rsid w:val="00162913"/>
    <w:rsid w:val="00163471"/>
    <w:rsid w:val="001635FE"/>
    <w:rsid w:val="00163E18"/>
    <w:rsid w:val="00163EFF"/>
    <w:rsid w:val="00163F66"/>
    <w:rsid w:val="00164E6E"/>
    <w:rsid w:val="0016509F"/>
    <w:rsid w:val="001652E9"/>
    <w:rsid w:val="00165462"/>
    <w:rsid w:val="00165757"/>
    <w:rsid w:val="001661FB"/>
    <w:rsid w:val="0016648F"/>
    <w:rsid w:val="0016698B"/>
    <w:rsid w:val="00166C26"/>
    <w:rsid w:val="001671A0"/>
    <w:rsid w:val="0016767F"/>
    <w:rsid w:val="001678CB"/>
    <w:rsid w:val="00167F1B"/>
    <w:rsid w:val="00170784"/>
    <w:rsid w:val="00171696"/>
    <w:rsid w:val="00171BD6"/>
    <w:rsid w:val="00171DE3"/>
    <w:rsid w:val="00172003"/>
    <w:rsid w:val="0017286D"/>
    <w:rsid w:val="00172B9B"/>
    <w:rsid w:val="0017325C"/>
    <w:rsid w:val="00173565"/>
    <w:rsid w:val="00173B07"/>
    <w:rsid w:val="00174227"/>
    <w:rsid w:val="00174385"/>
    <w:rsid w:val="001751FA"/>
    <w:rsid w:val="00175BBB"/>
    <w:rsid w:val="00176839"/>
    <w:rsid w:val="001774C6"/>
    <w:rsid w:val="001779DE"/>
    <w:rsid w:val="0018078F"/>
    <w:rsid w:val="00180B1A"/>
    <w:rsid w:val="0018115E"/>
    <w:rsid w:val="00181D9C"/>
    <w:rsid w:val="001825A5"/>
    <w:rsid w:val="00182683"/>
    <w:rsid w:val="00182D89"/>
    <w:rsid w:val="00183274"/>
    <w:rsid w:val="00183939"/>
    <w:rsid w:val="00184138"/>
    <w:rsid w:val="001841CB"/>
    <w:rsid w:val="00184945"/>
    <w:rsid w:val="00184B0E"/>
    <w:rsid w:val="00185871"/>
    <w:rsid w:val="001858B9"/>
    <w:rsid w:val="0018676F"/>
    <w:rsid w:val="00186D0B"/>
    <w:rsid w:val="00187042"/>
    <w:rsid w:val="00187059"/>
    <w:rsid w:val="00187081"/>
    <w:rsid w:val="0018752F"/>
    <w:rsid w:val="00187733"/>
    <w:rsid w:val="0019132F"/>
    <w:rsid w:val="00191442"/>
    <w:rsid w:val="001916DA"/>
    <w:rsid w:val="00192216"/>
    <w:rsid w:val="0019226D"/>
    <w:rsid w:val="00193347"/>
    <w:rsid w:val="00193838"/>
    <w:rsid w:val="00193C98"/>
    <w:rsid w:val="001940B4"/>
    <w:rsid w:val="00194209"/>
    <w:rsid w:val="00194AD8"/>
    <w:rsid w:val="00195222"/>
    <w:rsid w:val="001960A2"/>
    <w:rsid w:val="001967BD"/>
    <w:rsid w:val="00196939"/>
    <w:rsid w:val="001975D8"/>
    <w:rsid w:val="00197AE4"/>
    <w:rsid w:val="00197C01"/>
    <w:rsid w:val="001A0D5C"/>
    <w:rsid w:val="001A178E"/>
    <w:rsid w:val="001A43B3"/>
    <w:rsid w:val="001A43B6"/>
    <w:rsid w:val="001A43FA"/>
    <w:rsid w:val="001A47C5"/>
    <w:rsid w:val="001A48EC"/>
    <w:rsid w:val="001A59FB"/>
    <w:rsid w:val="001A5E9E"/>
    <w:rsid w:val="001A6191"/>
    <w:rsid w:val="001A6354"/>
    <w:rsid w:val="001A6366"/>
    <w:rsid w:val="001A67A5"/>
    <w:rsid w:val="001A68E7"/>
    <w:rsid w:val="001A6E92"/>
    <w:rsid w:val="001A7AE8"/>
    <w:rsid w:val="001B011C"/>
    <w:rsid w:val="001B0212"/>
    <w:rsid w:val="001B0AC9"/>
    <w:rsid w:val="001B12F5"/>
    <w:rsid w:val="001B204E"/>
    <w:rsid w:val="001B2177"/>
    <w:rsid w:val="001B2372"/>
    <w:rsid w:val="001B323E"/>
    <w:rsid w:val="001B3443"/>
    <w:rsid w:val="001B3BB2"/>
    <w:rsid w:val="001B4AAF"/>
    <w:rsid w:val="001B4D20"/>
    <w:rsid w:val="001B4F40"/>
    <w:rsid w:val="001B66E3"/>
    <w:rsid w:val="001B6A59"/>
    <w:rsid w:val="001B712D"/>
    <w:rsid w:val="001B7E0E"/>
    <w:rsid w:val="001C00A8"/>
    <w:rsid w:val="001C07BD"/>
    <w:rsid w:val="001C1057"/>
    <w:rsid w:val="001C145C"/>
    <w:rsid w:val="001C179A"/>
    <w:rsid w:val="001C18FA"/>
    <w:rsid w:val="001C1C35"/>
    <w:rsid w:val="001C212A"/>
    <w:rsid w:val="001C2A39"/>
    <w:rsid w:val="001C2A9B"/>
    <w:rsid w:val="001C3470"/>
    <w:rsid w:val="001C3B2E"/>
    <w:rsid w:val="001C3C24"/>
    <w:rsid w:val="001C3DEF"/>
    <w:rsid w:val="001C4299"/>
    <w:rsid w:val="001C4874"/>
    <w:rsid w:val="001C5BC7"/>
    <w:rsid w:val="001C5F94"/>
    <w:rsid w:val="001C62BB"/>
    <w:rsid w:val="001C6AB5"/>
    <w:rsid w:val="001C6BC4"/>
    <w:rsid w:val="001C6E66"/>
    <w:rsid w:val="001C6E89"/>
    <w:rsid w:val="001C732C"/>
    <w:rsid w:val="001C7EE3"/>
    <w:rsid w:val="001D0A11"/>
    <w:rsid w:val="001D1100"/>
    <w:rsid w:val="001D1391"/>
    <w:rsid w:val="001D1673"/>
    <w:rsid w:val="001D25D7"/>
    <w:rsid w:val="001D2A61"/>
    <w:rsid w:val="001D2E76"/>
    <w:rsid w:val="001D5070"/>
    <w:rsid w:val="001D50B2"/>
    <w:rsid w:val="001D5AD9"/>
    <w:rsid w:val="001D5D95"/>
    <w:rsid w:val="001D6184"/>
    <w:rsid w:val="001D61A4"/>
    <w:rsid w:val="001D6490"/>
    <w:rsid w:val="001D73C0"/>
    <w:rsid w:val="001D7645"/>
    <w:rsid w:val="001D770F"/>
    <w:rsid w:val="001E077D"/>
    <w:rsid w:val="001E18E2"/>
    <w:rsid w:val="001E1E86"/>
    <w:rsid w:val="001E2355"/>
    <w:rsid w:val="001E238E"/>
    <w:rsid w:val="001E2426"/>
    <w:rsid w:val="001E2483"/>
    <w:rsid w:val="001E2B1E"/>
    <w:rsid w:val="001E2CFF"/>
    <w:rsid w:val="001E2EA3"/>
    <w:rsid w:val="001E2F24"/>
    <w:rsid w:val="001E30D4"/>
    <w:rsid w:val="001E34DF"/>
    <w:rsid w:val="001E35B9"/>
    <w:rsid w:val="001E4762"/>
    <w:rsid w:val="001E4B94"/>
    <w:rsid w:val="001E4F29"/>
    <w:rsid w:val="001E52EB"/>
    <w:rsid w:val="001E5FC3"/>
    <w:rsid w:val="001E61D2"/>
    <w:rsid w:val="001E740C"/>
    <w:rsid w:val="001E7833"/>
    <w:rsid w:val="001F0DA4"/>
    <w:rsid w:val="001F1235"/>
    <w:rsid w:val="001F1685"/>
    <w:rsid w:val="001F1962"/>
    <w:rsid w:val="001F19B7"/>
    <w:rsid w:val="001F1CB3"/>
    <w:rsid w:val="001F1D44"/>
    <w:rsid w:val="001F1FD3"/>
    <w:rsid w:val="001F232F"/>
    <w:rsid w:val="001F38B5"/>
    <w:rsid w:val="001F3AAE"/>
    <w:rsid w:val="001F3F8A"/>
    <w:rsid w:val="001F4081"/>
    <w:rsid w:val="001F4896"/>
    <w:rsid w:val="001F49F8"/>
    <w:rsid w:val="001F5C58"/>
    <w:rsid w:val="001F7036"/>
    <w:rsid w:val="001F7361"/>
    <w:rsid w:val="001F7458"/>
    <w:rsid w:val="00200A8F"/>
    <w:rsid w:val="00200DD6"/>
    <w:rsid w:val="00200EF8"/>
    <w:rsid w:val="00200F97"/>
    <w:rsid w:val="002011B0"/>
    <w:rsid w:val="002013E6"/>
    <w:rsid w:val="00202D30"/>
    <w:rsid w:val="002030D0"/>
    <w:rsid w:val="00203181"/>
    <w:rsid w:val="002031E1"/>
    <w:rsid w:val="00203783"/>
    <w:rsid w:val="0020385F"/>
    <w:rsid w:val="002048AC"/>
    <w:rsid w:val="002048D3"/>
    <w:rsid w:val="002063FB"/>
    <w:rsid w:val="002068A0"/>
    <w:rsid w:val="002069FE"/>
    <w:rsid w:val="00206BE1"/>
    <w:rsid w:val="00207021"/>
    <w:rsid w:val="00207064"/>
    <w:rsid w:val="0020732F"/>
    <w:rsid w:val="00207B98"/>
    <w:rsid w:val="00207D00"/>
    <w:rsid w:val="0021037E"/>
    <w:rsid w:val="002105C1"/>
    <w:rsid w:val="002109A5"/>
    <w:rsid w:val="00212219"/>
    <w:rsid w:val="00212D66"/>
    <w:rsid w:val="00212EEB"/>
    <w:rsid w:val="00212F18"/>
    <w:rsid w:val="00213B90"/>
    <w:rsid w:val="00213EF5"/>
    <w:rsid w:val="00214373"/>
    <w:rsid w:val="00214413"/>
    <w:rsid w:val="00214997"/>
    <w:rsid w:val="00215F24"/>
    <w:rsid w:val="002163BC"/>
    <w:rsid w:val="002164AB"/>
    <w:rsid w:val="00216BF5"/>
    <w:rsid w:val="00216E6F"/>
    <w:rsid w:val="002173DC"/>
    <w:rsid w:val="002206B6"/>
    <w:rsid w:val="00220AC5"/>
    <w:rsid w:val="00220E89"/>
    <w:rsid w:val="00221063"/>
    <w:rsid w:val="00223450"/>
    <w:rsid w:val="00223B49"/>
    <w:rsid w:val="00223D5A"/>
    <w:rsid w:val="00224AC7"/>
    <w:rsid w:val="00224BA1"/>
    <w:rsid w:val="00224DD4"/>
    <w:rsid w:val="0022557C"/>
    <w:rsid w:val="00225B85"/>
    <w:rsid w:val="0022715D"/>
    <w:rsid w:val="00227453"/>
    <w:rsid w:val="00227697"/>
    <w:rsid w:val="002278A0"/>
    <w:rsid w:val="00227C14"/>
    <w:rsid w:val="002307BC"/>
    <w:rsid w:val="002309CC"/>
    <w:rsid w:val="002309D8"/>
    <w:rsid w:val="00230D0B"/>
    <w:rsid w:val="00230DB1"/>
    <w:rsid w:val="00231BAC"/>
    <w:rsid w:val="0023209F"/>
    <w:rsid w:val="00232E9A"/>
    <w:rsid w:val="0023333C"/>
    <w:rsid w:val="002335E8"/>
    <w:rsid w:val="0023375C"/>
    <w:rsid w:val="00233941"/>
    <w:rsid w:val="00233C01"/>
    <w:rsid w:val="00233E0A"/>
    <w:rsid w:val="00234039"/>
    <w:rsid w:val="00234072"/>
    <w:rsid w:val="0023413C"/>
    <w:rsid w:val="002346F0"/>
    <w:rsid w:val="00234DB5"/>
    <w:rsid w:val="00235316"/>
    <w:rsid w:val="00235317"/>
    <w:rsid w:val="0023567D"/>
    <w:rsid w:val="00235804"/>
    <w:rsid w:val="0023629D"/>
    <w:rsid w:val="00237255"/>
    <w:rsid w:val="00237CE1"/>
    <w:rsid w:val="00240070"/>
    <w:rsid w:val="00240C85"/>
    <w:rsid w:val="002410D8"/>
    <w:rsid w:val="00241D86"/>
    <w:rsid w:val="002424AF"/>
    <w:rsid w:val="00242D2E"/>
    <w:rsid w:val="00242F36"/>
    <w:rsid w:val="0024335F"/>
    <w:rsid w:val="002439DC"/>
    <w:rsid w:val="00244031"/>
    <w:rsid w:val="002441D2"/>
    <w:rsid w:val="002446A2"/>
    <w:rsid w:val="00244DC8"/>
    <w:rsid w:val="002458BA"/>
    <w:rsid w:val="00245CE9"/>
    <w:rsid w:val="002460DA"/>
    <w:rsid w:val="0024636C"/>
    <w:rsid w:val="0024648C"/>
    <w:rsid w:val="00247925"/>
    <w:rsid w:val="00247C42"/>
    <w:rsid w:val="0025049F"/>
    <w:rsid w:val="00251006"/>
    <w:rsid w:val="002524D5"/>
    <w:rsid w:val="00252A0F"/>
    <w:rsid w:val="00252AA6"/>
    <w:rsid w:val="0025387D"/>
    <w:rsid w:val="00253B1D"/>
    <w:rsid w:val="002543BD"/>
    <w:rsid w:val="00254772"/>
    <w:rsid w:val="00254DCF"/>
    <w:rsid w:val="0025534B"/>
    <w:rsid w:val="002559F4"/>
    <w:rsid w:val="00255BB7"/>
    <w:rsid w:val="0025616D"/>
    <w:rsid w:val="0025745E"/>
    <w:rsid w:val="00257541"/>
    <w:rsid w:val="002578C4"/>
    <w:rsid w:val="00257A39"/>
    <w:rsid w:val="00257AC4"/>
    <w:rsid w:val="00257DD2"/>
    <w:rsid w:val="00257E37"/>
    <w:rsid w:val="0026039C"/>
    <w:rsid w:val="00260863"/>
    <w:rsid w:val="00260D32"/>
    <w:rsid w:val="0026185D"/>
    <w:rsid w:val="00261D5E"/>
    <w:rsid w:val="00261EEF"/>
    <w:rsid w:val="00262026"/>
    <w:rsid w:val="00262A1A"/>
    <w:rsid w:val="00262A87"/>
    <w:rsid w:val="00262FE4"/>
    <w:rsid w:val="002631EE"/>
    <w:rsid w:val="00263AE9"/>
    <w:rsid w:val="00264D26"/>
    <w:rsid w:val="002659FA"/>
    <w:rsid w:val="00266851"/>
    <w:rsid w:val="00266B00"/>
    <w:rsid w:val="0026754D"/>
    <w:rsid w:val="00267642"/>
    <w:rsid w:val="00267954"/>
    <w:rsid w:val="00267AEA"/>
    <w:rsid w:val="002700E6"/>
    <w:rsid w:val="0027045B"/>
    <w:rsid w:val="002704F0"/>
    <w:rsid w:val="00270A73"/>
    <w:rsid w:val="00270B09"/>
    <w:rsid w:val="00271116"/>
    <w:rsid w:val="00272747"/>
    <w:rsid w:val="0027294B"/>
    <w:rsid w:val="00273EB4"/>
    <w:rsid w:val="00274682"/>
    <w:rsid w:val="00274743"/>
    <w:rsid w:val="00274A49"/>
    <w:rsid w:val="00274E39"/>
    <w:rsid w:val="002753F4"/>
    <w:rsid w:val="00275614"/>
    <w:rsid w:val="002758C5"/>
    <w:rsid w:val="00275C5A"/>
    <w:rsid w:val="0027618F"/>
    <w:rsid w:val="00276878"/>
    <w:rsid w:val="00276AB5"/>
    <w:rsid w:val="00277510"/>
    <w:rsid w:val="002776FB"/>
    <w:rsid w:val="00277772"/>
    <w:rsid w:val="0028072E"/>
    <w:rsid w:val="002808D7"/>
    <w:rsid w:val="00281014"/>
    <w:rsid w:val="0028188A"/>
    <w:rsid w:val="0028312C"/>
    <w:rsid w:val="00284D06"/>
    <w:rsid w:val="002852EA"/>
    <w:rsid w:val="00285DBF"/>
    <w:rsid w:val="0028665D"/>
    <w:rsid w:val="00286866"/>
    <w:rsid w:val="00287180"/>
    <w:rsid w:val="00287B8B"/>
    <w:rsid w:val="002900A2"/>
    <w:rsid w:val="0029028D"/>
    <w:rsid w:val="00290E88"/>
    <w:rsid w:val="002917A2"/>
    <w:rsid w:val="002922AC"/>
    <w:rsid w:val="00295DC1"/>
    <w:rsid w:val="00295EDA"/>
    <w:rsid w:val="00295F05"/>
    <w:rsid w:val="00296034"/>
    <w:rsid w:val="002966BB"/>
    <w:rsid w:val="00296861"/>
    <w:rsid w:val="00296BD4"/>
    <w:rsid w:val="00297909"/>
    <w:rsid w:val="00297DAE"/>
    <w:rsid w:val="002A00BB"/>
    <w:rsid w:val="002A06D6"/>
    <w:rsid w:val="002A1056"/>
    <w:rsid w:val="002A1247"/>
    <w:rsid w:val="002A14AB"/>
    <w:rsid w:val="002A1759"/>
    <w:rsid w:val="002A1E3D"/>
    <w:rsid w:val="002A230F"/>
    <w:rsid w:val="002A2ADE"/>
    <w:rsid w:val="002A2F50"/>
    <w:rsid w:val="002A57A5"/>
    <w:rsid w:val="002A5B3B"/>
    <w:rsid w:val="002A5BC2"/>
    <w:rsid w:val="002A5E27"/>
    <w:rsid w:val="002A6030"/>
    <w:rsid w:val="002A64E8"/>
    <w:rsid w:val="002A66E2"/>
    <w:rsid w:val="002A777F"/>
    <w:rsid w:val="002A7B64"/>
    <w:rsid w:val="002B02E4"/>
    <w:rsid w:val="002B05A1"/>
    <w:rsid w:val="002B09A4"/>
    <w:rsid w:val="002B0A98"/>
    <w:rsid w:val="002B0BDD"/>
    <w:rsid w:val="002B1960"/>
    <w:rsid w:val="002B19D8"/>
    <w:rsid w:val="002B1C1F"/>
    <w:rsid w:val="002B3106"/>
    <w:rsid w:val="002B3340"/>
    <w:rsid w:val="002B39D5"/>
    <w:rsid w:val="002B432F"/>
    <w:rsid w:val="002B54D0"/>
    <w:rsid w:val="002B62B3"/>
    <w:rsid w:val="002B6754"/>
    <w:rsid w:val="002B6CCE"/>
    <w:rsid w:val="002C0820"/>
    <w:rsid w:val="002C0918"/>
    <w:rsid w:val="002C096F"/>
    <w:rsid w:val="002C1292"/>
    <w:rsid w:val="002C12A4"/>
    <w:rsid w:val="002C2510"/>
    <w:rsid w:val="002C2775"/>
    <w:rsid w:val="002C27C1"/>
    <w:rsid w:val="002C32C3"/>
    <w:rsid w:val="002C367F"/>
    <w:rsid w:val="002C3B4C"/>
    <w:rsid w:val="002C4D59"/>
    <w:rsid w:val="002C5099"/>
    <w:rsid w:val="002C5889"/>
    <w:rsid w:val="002C6066"/>
    <w:rsid w:val="002C62B3"/>
    <w:rsid w:val="002C636A"/>
    <w:rsid w:val="002C66A2"/>
    <w:rsid w:val="002C6B7B"/>
    <w:rsid w:val="002C71B4"/>
    <w:rsid w:val="002C71CE"/>
    <w:rsid w:val="002D0617"/>
    <w:rsid w:val="002D08F8"/>
    <w:rsid w:val="002D2819"/>
    <w:rsid w:val="002D28CF"/>
    <w:rsid w:val="002D4A1F"/>
    <w:rsid w:val="002D54C0"/>
    <w:rsid w:val="002D577C"/>
    <w:rsid w:val="002D5A03"/>
    <w:rsid w:val="002D63A5"/>
    <w:rsid w:val="002D6904"/>
    <w:rsid w:val="002D6D5D"/>
    <w:rsid w:val="002D7460"/>
    <w:rsid w:val="002D761C"/>
    <w:rsid w:val="002D78A0"/>
    <w:rsid w:val="002E0CAD"/>
    <w:rsid w:val="002E1071"/>
    <w:rsid w:val="002E15B9"/>
    <w:rsid w:val="002E1646"/>
    <w:rsid w:val="002E1AF8"/>
    <w:rsid w:val="002E2158"/>
    <w:rsid w:val="002E219B"/>
    <w:rsid w:val="002E4F02"/>
    <w:rsid w:val="002E59CB"/>
    <w:rsid w:val="002E635E"/>
    <w:rsid w:val="002E667B"/>
    <w:rsid w:val="002E6C69"/>
    <w:rsid w:val="002E6D28"/>
    <w:rsid w:val="002E76D6"/>
    <w:rsid w:val="002E7722"/>
    <w:rsid w:val="002F0142"/>
    <w:rsid w:val="002F0188"/>
    <w:rsid w:val="002F0419"/>
    <w:rsid w:val="002F0427"/>
    <w:rsid w:val="002F07BA"/>
    <w:rsid w:val="002F0DA9"/>
    <w:rsid w:val="002F1014"/>
    <w:rsid w:val="002F1AD1"/>
    <w:rsid w:val="002F4496"/>
    <w:rsid w:val="002F458E"/>
    <w:rsid w:val="002F4C49"/>
    <w:rsid w:val="002F57E2"/>
    <w:rsid w:val="002F6121"/>
    <w:rsid w:val="002F643C"/>
    <w:rsid w:val="002F656A"/>
    <w:rsid w:val="002F71C0"/>
    <w:rsid w:val="002F74F1"/>
    <w:rsid w:val="0030086F"/>
    <w:rsid w:val="003009D7"/>
    <w:rsid w:val="00301017"/>
    <w:rsid w:val="0030155F"/>
    <w:rsid w:val="003016CD"/>
    <w:rsid w:val="00301C98"/>
    <w:rsid w:val="00301D4A"/>
    <w:rsid w:val="00304939"/>
    <w:rsid w:val="00304D6C"/>
    <w:rsid w:val="00304F9C"/>
    <w:rsid w:val="0030587B"/>
    <w:rsid w:val="00305A2E"/>
    <w:rsid w:val="00305E63"/>
    <w:rsid w:val="00306D98"/>
    <w:rsid w:val="0030772F"/>
    <w:rsid w:val="0030786C"/>
    <w:rsid w:val="00307949"/>
    <w:rsid w:val="0031031A"/>
    <w:rsid w:val="00310486"/>
    <w:rsid w:val="00310981"/>
    <w:rsid w:val="0031172B"/>
    <w:rsid w:val="003124D9"/>
    <w:rsid w:val="00312594"/>
    <w:rsid w:val="00312A77"/>
    <w:rsid w:val="00314014"/>
    <w:rsid w:val="003143BE"/>
    <w:rsid w:val="0031454F"/>
    <w:rsid w:val="003146B6"/>
    <w:rsid w:val="0031474C"/>
    <w:rsid w:val="0031495B"/>
    <w:rsid w:val="00315498"/>
    <w:rsid w:val="00315605"/>
    <w:rsid w:val="00316474"/>
    <w:rsid w:val="00320450"/>
    <w:rsid w:val="00320724"/>
    <w:rsid w:val="003209CE"/>
    <w:rsid w:val="0032114C"/>
    <w:rsid w:val="0032163F"/>
    <w:rsid w:val="00322107"/>
    <w:rsid w:val="00322355"/>
    <w:rsid w:val="00322846"/>
    <w:rsid w:val="00322BAE"/>
    <w:rsid w:val="00322C1E"/>
    <w:rsid w:val="00322C94"/>
    <w:rsid w:val="00323D66"/>
    <w:rsid w:val="00323E93"/>
    <w:rsid w:val="00325031"/>
    <w:rsid w:val="003257F3"/>
    <w:rsid w:val="0032592C"/>
    <w:rsid w:val="00326B2E"/>
    <w:rsid w:val="00326DA7"/>
    <w:rsid w:val="003270E4"/>
    <w:rsid w:val="00327FA5"/>
    <w:rsid w:val="00330081"/>
    <w:rsid w:val="003306FA"/>
    <w:rsid w:val="00330DAA"/>
    <w:rsid w:val="00330F5C"/>
    <w:rsid w:val="00330FBA"/>
    <w:rsid w:val="00331781"/>
    <w:rsid w:val="00331A76"/>
    <w:rsid w:val="0033243F"/>
    <w:rsid w:val="0033282F"/>
    <w:rsid w:val="003328F2"/>
    <w:rsid w:val="003334B4"/>
    <w:rsid w:val="003338F0"/>
    <w:rsid w:val="003342F5"/>
    <w:rsid w:val="00334423"/>
    <w:rsid w:val="0033595A"/>
    <w:rsid w:val="003366C9"/>
    <w:rsid w:val="003371B0"/>
    <w:rsid w:val="00337E81"/>
    <w:rsid w:val="00340D53"/>
    <w:rsid w:val="00340DB2"/>
    <w:rsid w:val="00340DF1"/>
    <w:rsid w:val="0034109F"/>
    <w:rsid w:val="00341AA0"/>
    <w:rsid w:val="00341B38"/>
    <w:rsid w:val="00342064"/>
    <w:rsid w:val="00342F6F"/>
    <w:rsid w:val="00343139"/>
    <w:rsid w:val="0034397E"/>
    <w:rsid w:val="003439E3"/>
    <w:rsid w:val="003448A2"/>
    <w:rsid w:val="00344CBB"/>
    <w:rsid w:val="003453B9"/>
    <w:rsid w:val="003458D9"/>
    <w:rsid w:val="00345A31"/>
    <w:rsid w:val="00346BAA"/>
    <w:rsid w:val="00350548"/>
    <w:rsid w:val="003506B3"/>
    <w:rsid w:val="0035158B"/>
    <w:rsid w:val="003517F9"/>
    <w:rsid w:val="0035180D"/>
    <w:rsid w:val="00351BA9"/>
    <w:rsid w:val="00352731"/>
    <w:rsid w:val="003547F3"/>
    <w:rsid w:val="00354B03"/>
    <w:rsid w:val="00354C4A"/>
    <w:rsid w:val="00354F64"/>
    <w:rsid w:val="00355991"/>
    <w:rsid w:val="00355E72"/>
    <w:rsid w:val="0035620E"/>
    <w:rsid w:val="0035662D"/>
    <w:rsid w:val="00356FA4"/>
    <w:rsid w:val="0035782E"/>
    <w:rsid w:val="00360345"/>
    <w:rsid w:val="0036051D"/>
    <w:rsid w:val="00360685"/>
    <w:rsid w:val="00360E9B"/>
    <w:rsid w:val="00361A05"/>
    <w:rsid w:val="003624C4"/>
    <w:rsid w:val="00362DB9"/>
    <w:rsid w:val="00363B00"/>
    <w:rsid w:val="003654AC"/>
    <w:rsid w:val="00365C22"/>
    <w:rsid w:val="00365CFA"/>
    <w:rsid w:val="00366167"/>
    <w:rsid w:val="00370823"/>
    <w:rsid w:val="00370B02"/>
    <w:rsid w:val="00370FAB"/>
    <w:rsid w:val="003710CF"/>
    <w:rsid w:val="00371319"/>
    <w:rsid w:val="00371F58"/>
    <w:rsid w:val="00372235"/>
    <w:rsid w:val="003728C8"/>
    <w:rsid w:val="00373150"/>
    <w:rsid w:val="0037358A"/>
    <w:rsid w:val="003745F0"/>
    <w:rsid w:val="003750F6"/>
    <w:rsid w:val="003760FC"/>
    <w:rsid w:val="00376496"/>
    <w:rsid w:val="00376FC8"/>
    <w:rsid w:val="0037759F"/>
    <w:rsid w:val="003778CB"/>
    <w:rsid w:val="00377D91"/>
    <w:rsid w:val="003805B3"/>
    <w:rsid w:val="0038108C"/>
    <w:rsid w:val="00381C02"/>
    <w:rsid w:val="0038365C"/>
    <w:rsid w:val="0038369B"/>
    <w:rsid w:val="0038399D"/>
    <w:rsid w:val="00383B78"/>
    <w:rsid w:val="00383BF5"/>
    <w:rsid w:val="00385650"/>
    <w:rsid w:val="00385801"/>
    <w:rsid w:val="003858DE"/>
    <w:rsid w:val="00385A9D"/>
    <w:rsid w:val="00386352"/>
    <w:rsid w:val="003866DE"/>
    <w:rsid w:val="0038726A"/>
    <w:rsid w:val="0038744C"/>
    <w:rsid w:val="003877F6"/>
    <w:rsid w:val="003902B1"/>
    <w:rsid w:val="0039119D"/>
    <w:rsid w:val="0039179C"/>
    <w:rsid w:val="00391A3F"/>
    <w:rsid w:val="00392802"/>
    <w:rsid w:val="003928F1"/>
    <w:rsid w:val="00392E24"/>
    <w:rsid w:val="0039316C"/>
    <w:rsid w:val="00393468"/>
    <w:rsid w:val="003938B4"/>
    <w:rsid w:val="00394A5E"/>
    <w:rsid w:val="00395EF5"/>
    <w:rsid w:val="00396326"/>
    <w:rsid w:val="003966BC"/>
    <w:rsid w:val="003967AB"/>
    <w:rsid w:val="00396896"/>
    <w:rsid w:val="00396FD0"/>
    <w:rsid w:val="00397631"/>
    <w:rsid w:val="00397904"/>
    <w:rsid w:val="00397B77"/>
    <w:rsid w:val="00397F54"/>
    <w:rsid w:val="003A0804"/>
    <w:rsid w:val="003A0D4B"/>
    <w:rsid w:val="003A1A7A"/>
    <w:rsid w:val="003A2132"/>
    <w:rsid w:val="003A2392"/>
    <w:rsid w:val="003A2831"/>
    <w:rsid w:val="003A2EEC"/>
    <w:rsid w:val="003A2FF5"/>
    <w:rsid w:val="003A316A"/>
    <w:rsid w:val="003A3CB6"/>
    <w:rsid w:val="003A3ED1"/>
    <w:rsid w:val="003A44DB"/>
    <w:rsid w:val="003A46E5"/>
    <w:rsid w:val="003A4952"/>
    <w:rsid w:val="003A4E4D"/>
    <w:rsid w:val="003A5D27"/>
    <w:rsid w:val="003A6810"/>
    <w:rsid w:val="003A74E1"/>
    <w:rsid w:val="003A768F"/>
    <w:rsid w:val="003B029F"/>
    <w:rsid w:val="003B0F0D"/>
    <w:rsid w:val="003B0F3F"/>
    <w:rsid w:val="003B14AD"/>
    <w:rsid w:val="003B2676"/>
    <w:rsid w:val="003B27FE"/>
    <w:rsid w:val="003B2AE6"/>
    <w:rsid w:val="003B2F80"/>
    <w:rsid w:val="003B37C4"/>
    <w:rsid w:val="003B3971"/>
    <w:rsid w:val="003B43E9"/>
    <w:rsid w:val="003B4511"/>
    <w:rsid w:val="003B4618"/>
    <w:rsid w:val="003B4CBB"/>
    <w:rsid w:val="003B4DAA"/>
    <w:rsid w:val="003B55D1"/>
    <w:rsid w:val="003B5B61"/>
    <w:rsid w:val="003B6192"/>
    <w:rsid w:val="003B6E7F"/>
    <w:rsid w:val="003B7B05"/>
    <w:rsid w:val="003C0F30"/>
    <w:rsid w:val="003C1654"/>
    <w:rsid w:val="003C1B67"/>
    <w:rsid w:val="003C20AC"/>
    <w:rsid w:val="003C3D54"/>
    <w:rsid w:val="003C446F"/>
    <w:rsid w:val="003C4640"/>
    <w:rsid w:val="003C54FF"/>
    <w:rsid w:val="003C5542"/>
    <w:rsid w:val="003C62E7"/>
    <w:rsid w:val="003C6D8C"/>
    <w:rsid w:val="003C7D19"/>
    <w:rsid w:val="003C7D2F"/>
    <w:rsid w:val="003D018D"/>
    <w:rsid w:val="003D02DD"/>
    <w:rsid w:val="003D1828"/>
    <w:rsid w:val="003D1B86"/>
    <w:rsid w:val="003D1DE4"/>
    <w:rsid w:val="003D1E9A"/>
    <w:rsid w:val="003D2141"/>
    <w:rsid w:val="003D2422"/>
    <w:rsid w:val="003D2BAF"/>
    <w:rsid w:val="003D311C"/>
    <w:rsid w:val="003D39A1"/>
    <w:rsid w:val="003D3BEC"/>
    <w:rsid w:val="003D3FBF"/>
    <w:rsid w:val="003D4A30"/>
    <w:rsid w:val="003D5019"/>
    <w:rsid w:val="003D5129"/>
    <w:rsid w:val="003D6BCA"/>
    <w:rsid w:val="003D7082"/>
    <w:rsid w:val="003D71C7"/>
    <w:rsid w:val="003D7452"/>
    <w:rsid w:val="003D7467"/>
    <w:rsid w:val="003D79BB"/>
    <w:rsid w:val="003D7C98"/>
    <w:rsid w:val="003D7D9D"/>
    <w:rsid w:val="003E0543"/>
    <w:rsid w:val="003E11D5"/>
    <w:rsid w:val="003E2889"/>
    <w:rsid w:val="003E2D76"/>
    <w:rsid w:val="003E4530"/>
    <w:rsid w:val="003E4C92"/>
    <w:rsid w:val="003E4CDA"/>
    <w:rsid w:val="003E4D55"/>
    <w:rsid w:val="003E5A66"/>
    <w:rsid w:val="003E5B03"/>
    <w:rsid w:val="003E6316"/>
    <w:rsid w:val="003E6E56"/>
    <w:rsid w:val="003E749E"/>
    <w:rsid w:val="003E7802"/>
    <w:rsid w:val="003F136A"/>
    <w:rsid w:val="003F2DAD"/>
    <w:rsid w:val="003F319F"/>
    <w:rsid w:val="003F4156"/>
    <w:rsid w:val="003F470D"/>
    <w:rsid w:val="003F4AC1"/>
    <w:rsid w:val="003F5ADF"/>
    <w:rsid w:val="003F6264"/>
    <w:rsid w:val="003F683A"/>
    <w:rsid w:val="003F7AD8"/>
    <w:rsid w:val="003F7E04"/>
    <w:rsid w:val="004009D4"/>
    <w:rsid w:val="00400B29"/>
    <w:rsid w:val="00401042"/>
    <w:rsid w:val="00401213"/>
    <w:rsid w:val="004033E9"/>
    <w:rsid w:val="00404776"/>
    <w:rsid w:val="00404C27"/>
    <w:rsid w:val="0040504B"/>
    <w:rsid w:val="00405187"/>
    <w:rsid w:val="004059F4"/>
    <w:rsid w:val="00405DDC"/>
    <w:rsid w:val="0040612A"/>
    <w:rsid w:val="00406304"/>
    <w:rsid w:val="0040649C"/>
    <w:rsid w:val="004073B4"/>
    <w:rsid w:val="00407BF9"/>
    <w:rsid w:val="00407CA4"/>
    <w:rsid w:val="00407FE5"/>
    <w:rsid w:val="004101B0"/>
    <w:rsid w:val="00410326"/>
    <w:rsid w:val="00410708"/>
    <w:rsid w:val="004109DC"/>
    <w:rsid w:val="00410EC7"/>
    <w:rsid w:val="0041195D"/>
    <w:rsid w:val="00411B39"/>
    <w:rsid w:val="00411C6D"/>
    <w:rsid w:val="00411FEA"/>
    <w:rsid w:val="004126C0"/>
    <w:rsid w:val="004127A7"/>
    <w:rsid w:val="00413515"/>
    <w:rsid w:val="004138C4"/>
    <w:rsid w:val="00413A1E"/>
    <w:rsid w:val="00413A86"/>
    <w:rsid w:val="00414476"/>
    <w:rsid w:val="004149CD"/>
    <w:rsid w:val="00414A21"/>
    <w:rsid w:val="00414C2E"/>
    <w:rsid w:val="004151CF"/>
    <w:rsid w:val="00415CEF"/>
    <w:rsid w:val="00416364"/>
    <w:rsid w:val="0041654B"/>
    <w:rsid w:val="004169F7"/>
    <w:rsid w:val="0041731F"/>
    <w:rsid w:val="0042047F"/>
    <w:rsid w:val="004206AE"/>
    <w:rsid w:val="00420AA6"/>
    <w:rsid w:val="00420B4C"/>
    <w:rsid w:val="00420B9F"/>
    <w:rsid w:val="0042192C"/>
    <w:rsid w:val="00422260"/>
    <w:rsid w:val="004234C3"/>
    <w:rsid w:val="00423CA2"/>
    <w:rsid w:val="0042413F"/>
    <w:rsid w:val="00424D51"/>
    <w:rsid w:val="004267C4"/>
    <w:rsid w:val="0042799A"/>
    <w:rsid w:val="00430340"/>
    <w:rsid w:val="00430873"/>
    <w:rsid w:val="00430D09"/>
    <w:rsid w:val="00430FC7"/>
    <w:rsid w:val="004319F8"/>
    <w:rsid w:val="00431E55"/>
    <w:rsid w:val="004321F6"/>
    <w:rsid w:val="00433044"/>
    <w:rsid w:val="00434088"/>
    <w:rsid w:val="00434B70"/>
    <w:rsid w:val="00435041"/>
    <w:rsid w:val="004356B7"/>
    <w:rsid w:val="00435F66"/>
    <w:rsid w:val="0043653D"/>
    <w:rsid w:val="00436C35"/>
    <w:rsid w:val="004375B9"/>
    <w:rsid w:val="00441940"/>
    <w:rsid w:val="004428D0"/>
    <w:rsid w:val="00442C75"/>
    <w:rsid w:val="00442D5B"/>
    <w:rsid w:val="00443A2B"/>
    <w:rsid w:val="00443F45"/>
    <w:rsid w:val="00444185"/>
    <w:rsid w:val="004443A7"/>
    <w:rsid w:val="0044442C"/>
    <w:rsid w:val="00444725"/>
    <w:rsid w:val="00445941"/>
    <w:rsid w:val="00445DF9"/>
    <w:rsid w:val="00445FD8"/>
    <w:rsid w:val="004464EB"/>
    <w:rsid w:val="004467C7"/>
    <w:rsid w:val="004476A5"/>
    <w:rsid w:val="00447D26"/>
    <w:rsid w:val="00447DFC"/>
    <w:rsid w:val="00450AF7"/>
    <w:rsid w:val="00450D8B"/>
    <w:rsid w:val="004513BF"/>
    <w:rsid w:val="0045187B"/>
    <w:rsid w:val="00452599"/>
    <w:rsid w:val="00453685"/>
    <w:rsid w:val="00453E80"/>
    <w:rsid w:val="0045404F"/>
    <w:rsid w:val="00454434"/>
    <w:rsid w:val="00454C0A"/>
    <w:rsid w:val="00455D45"/>
    <w:rsid w:val="00455E80"/>
    <w:rsid w:val="00456A01"/>
    <w:rsid w:val="00457802"/>
    <w:rsid w:val="004603D4"/>
    <w:rsid w:val="00460FEC"/>
    <w:rsid w:val="0046140F"/>
    <w:rsid w:val="004615B1"/>
    <w:rsid w:val="00461878"/>
    <w:rsid w:val="00462371"/>
    <w:rsid w:val="00463783"/>
    <w:rsid w:val="00463DE9"/>
    <w:rsid w:val="00464595"/>
    <w:rsid w:val="00464AF3"/>
    <w:rsid w:val="00464CDF"/>
    <w:rsid w:val="00465148"/>
    <w:rsid w:val="004658B5"/>
    <w:rsid w:val="00465B06"/>
    <w:rsid w:val="00465DFA"/>
    <w:rsid w:val="00466A0C"/>
    <w:rsid w:val="00467BCA"/>
    <w:rsid w:val="00467CD6"/>
    <w:rsid w:val="00470F04"/>
    <w:rsid w:val="004719E4"/>
    <w:rsid w:val="00471C46"/>
    <w:rsid w:val="00471EA5"/>
    <w:rsid w:val="004729EB"/>
    <w:rsid w:val="00472A79"/>
    <w:rsid w:val="00473F19"/>
    <w:rsid w:val="00474851"/>
    <w:rsid w:val="00474BF0"/>
    <w:rsid w:val="00475E22"/>
    <w:rsid w:val="00476B42"/>
    <w:rsid w:val="004770B7"/>
    <w:rsid w:val="00480025"/>
    <w:rsid w:val="00480786"/>
    <w:rsid w:val="0048088E"/>
    <w:rsid w:val="004809C1"/>
    <w:rsid w:val="00480F2B"/>
    <w:rsid w:val="00481A21"/>
    <w:rsid w:val="00481C67"/>
    <w:rsid w:val="00482720"/>
    <w:rsid w:val="0048285E"/>
    <w:rsid w:val="00483596"/>
    <w:rsid w:val="004835E7"/>
    <w:rsid w:val="004836CE"/>
    <w:rsid w:val="00483A25"/>
    <w:rsid w:val="00483FA2"/>
    <w:rsid w:val="00483FEB"/>
    <w:rsid w:val="00484D05"/>
    <w:rsid w:val="004867E2"/>
    <w:rsid w:val="00486D82"/>
    <w:rsid w:val="004878E7"/>
    <w:rsid w:val="00490623"/>
    <w:rsid w:val="00490B17"/>
    <w:rsid w:val="00490EDC"/>
    <w:rsid w:val="0049111A"/>
    <w:rsid w:val="00491B3A"/>
    <w:rsid w:val="00492CFD"/>
    <w:rsid w:val="004939E1"/>
    <w:rsid w:val="00494025"/>
    <w:rsid w:val="00494207"/>
    <w:rsid w:val="00494DD5"/>
    <w:rsid w:val="004962D2"/>
    <w:rsid w:val="004977B3"/>
    <w:rsid w:val="00497C64"/>
    <w:rsid w:val="004A039F"/>
    <w:rsid w:val="004A0DA1"/>
    <w:rsid w:val="004A13D6"/>
    <w:rsid w:val="004A1828"/>
    <w:rsid w:val="004A276D"/>
    <w:rsid w:val="004A2903"/>
    <w:rsid w:val="004A3237"/>
    <w:rsid w:val="004A3F6F"/>
    <w:rsid w:val="004A4EFE"/>
    <w:rsid w:val="004A52E9"/>
    <w:rsid w:val="004A5800"/>
    <w:rsid w:val="004A58C3"/>
    <w:rsid w:val="004A59BB"/>
    <w:rsid w:val="004A6040"/>
    <w:rsid w:val="004A6597"/>
    <w:rsid w:val="004A6811"/>
    <w:rsid w:val="004A7848"/>
    <w:rsid w:val="004B1C0A"/>
    <w:rsid w:val="004B1CB4"/>
    <w:rsid w:val="004B2360"/>
    <w:rsid w:val="004B2F18"/>
    <w:rsid w:val="004B38E5"/>
    <w:rsid w:val="004B3CBE"/>
    <w:rsid w:val="004B3DDB"/>
    <w:rsid w:val="004B44FD"/>
    <w:rsid w:val="004B4640"/>
    <w:rsid w:val="004B4712"/>
    <w:rsid w:val="004B50B1"/>
    <w:rsid w:val="004B5316"/>
    <w:rsid w:val="004B5C39"/>
    <w:rsid w:val="004B5CFC"/>
    <w:rsid w:val="004B6F79"/>
    <w:rsid w:val="004B7116"/>
    <w:rsid w:val="004B774D"/>
    <w:rsid w:val="004C07C0"/>
    <w:rsid w:val="004C35F8"/>
    <w:rsid w:val="004C4561"/>
    <w:rsid w:val="004C4AED"/>
    <w:rsid w:val="004C52B2"/>
    <w:rsid w:val="004C746B"/>
    <w:rsid w:val="004D09ED"/>
    <w:rsid w:val="004D1287"/>
    <w:rsid w:val="004D14FC"/>
    <w:rsid w:val="004D2C2D"/>
    <w:rsid w:val="004D2ECC"/>
    <w:rsid w:val="004D3863"/>
    <w:rsid w:val="004D571F"/>
    <w:rsid w:val="004D69B5"/>
    <w:rsid w:val="004D6A5C"/>
    <w:rsid w:val="004D7227"/>
    <w:rsid w:val="004E02A3"/>
    <w:rsid w:val="004E079D"/>
    <w:rsid w:val="004E0E7F"/>
    <w:rsid w:val="004E0EB8"/>
    <w:rsid w:val="004E18E9"/>
    <w:rsid w:val="004E1C7C"/>
    <w:rsid w:val="004E1D28"/>
    <w:rsid w:val="004E2103"/>
    <w:rsid w:val="004E2604"/>
    <w:rsid w:val="004E2ADC"/>
    <w:rsid w:val="004E37AA"/>
    <w:rsid w:val="004E3844"/>
    <w:rsid w:val="004E3BCD"/>
    <w:rsid w:val="004E3FBE"/>
    <w:rsid w:val="004E43B2"/>
    <w:rsid w:val="004E5345"/>
    <w:rsid w:val="004E6150"/>
    <w:rsid w:val="004E6662"/>
    <w:rsid w:val="004E692E"/>
    <w:rsid w:val="004E788F"/>
    <w:rsid w:val="004F1290"/>
    <w:rsid w:val="004F173C"/>
    <w:rsid w:val="004F18B5"/>
    <w:rsid w:val="004F1999"/>
    <w:rsid w:val="004F1B0C"/>
    <w:rsid w:val="004F1B76"/>
    <w:rsid w:val="004F1D02"/>
    <w:rsid w:val="004F2679"/>
    <w:rsid w:val="004F2EAB"/>
    <w:rsid w:val="004F2F21"/>
    <w:rsid w:val="004F388E"/>
    <w:rsid w:val="004F3DE5"/>
    <w:rsid w:val="004F5089"/>
    <w:rsid w:val="004F5E24"/>
    <w:rsid w:val="004F5E65"/>
    <w:rsid w:val="004F65DF"/>
    <w:rsid w:val="004F6798"/>
    <w:rsid w:val="004F6913"/>
    <w:rsid w:val="004F70F0"/>
    <w:rsid w:val="004F7402"/>
    <w:rsid w:val="004F77F1"/>
    <w:rsid w:val="004F7865"/>
    <w:rsid w:val="004F78B9"/>
    <w:rsid w:val="00500098"/>
    <w:rsid w:val="0050174E"/>
    <w:rsid w:val="00501854"/>
    <w:rsid w:val="00501B47"/>
    <w:rsid w:val="00501D63"/>
    <w:rsid w:val="0050219B"/>
    <w:rsid w:val="005024B3"/>
    <w:rsid w:val="00503172"/>
    <w:rsid w:val="00503199"/>
    <w:rsid w:val="00503F17"/>
    <w:rsid w:val="00504B12"/>
    <w:rsid w:val="00506928"/>
    <w:rsid w:val="00506C75"/>
    <w:rsid w:val="005077EF"/>
    <w:rsid w:val="00510068"/>
    <w:rsid w:val="00510F1D"/>
    <w:rsid w:val="00511843"/>
    <w:rsid w:val="00511A1A"/>
    <w:rsid w:val="00511AD5"/>
    <w:rsid w:val="00511DC7"/>
    <w:rsid w:val="00511F1E"/>
    <w:rsid w:val="00512122"/>
    <w:rsid w:val="00512DE3"/>
    <w:rsid w:val="00513442"/>
    <w:rsid w:val="00513699"/>
    <w:rsid w:val="00513DCB"/>
    <w:rsid w:val="005142C5"/>
    <w:rsid w:val="00514946"/>
    <w:rsid w:val="0051501B"/>
    <w:rsid w:val="005152B5"/>
    <w:rsid w:val="00515915"/>
    <w:rsid w:val="00515B4D"/>
    <w:rsid w:val="00516BED"/>
    <w:rsid w:val="005170C8"/>
    <w:rsid w:val="00520FDE"/>
    <w:rsid w:val="0052123C"/>
    <w:rsid w:val="00521319"/>
    <w:rsid w:val="005218EE"/>
    <w:rsid w:val="00521C4B"/>
    <w:rsid w:val="00522BC8"/>
    <w:rsid w:val="00523155"/>
    <w:rsid w:val="00523C28"/>
    <w:rsid w:val="00523D04"/>
    <w:rsid w:val="00524698"/>
    <w:rsid w:val="00525ADE"/>
    <w:rsid w:val="00527701"/>
    <w:rsid w:val="00527AC7"/>
    <w:rsid w:val="00527B6B"/>
    <w:rsid w:val="00530650"/>
    <w:rsid w:val="00531035"/>
    <w:rsid w:val="0053176B"/>
    <w:rsid w:val="0053190A"/>
    <w:rsid w:val="00531AD1"/>
    <w:rsid w:val="00532715"/>
    <w:rsid w:val="00532810"/>
    <w:rsid w:val="00532ACA"/>
    <w:rsid w:val="0053371F"/>
    <w:rsid w:val="00533783"/>
    <w:rsid w:val="005341D0"/>
    <w:rsid w:val="00534327"/>
    <w:rsid w:val="00536009"/>
    <w:rsid w:val="0053662F"/>
    <w:rsid w:val="00536904"/>
    <w:rsid w:val="00536F42"/>
    <w:rsid w:val="00537182"/>
    <w:rsid w:val="00540B4D"/>
    <w:rsid w:val="00541C29"/>
    <w:rsid w:val="00541E0D"/>
    <w:rsid w:val="00541EDD"/>
    <w:rsid w:val="00542743"/>
    <w:rsid w:val="00542C2D"/>
    <w:rsid w:val="0054307D"/>
    <w:rsid w:val="00543118"/>
    <w:rsid w:val="00543CE5"/>
    <w:rsid w:val="00544A0C"/>
    <w:rsid w:val="00545166"/>
    <w:rsid w:val="005451F1"/>
    <w:rsid w:val="0054719C"/>
    <w:rsid w:val="0054788F"/>
    <w:rsid w:val="005478BD"/>
    <w:rsid w:val="005479E3"/>
    <w:rsid w:val="00547B73"/>
    <w:rsid w:val="005507F0"/>
    <w:rsid w:val="005508F2"/>
    <w:rsid w:val="00551302"/>
    <w:rsid w:val="00551985"/>
    <w:rsid w:val="00551F06"/>
    <w:rsid w:val="00552AED"/>
    <w:rsid w:val="00552BD3"/>
    <w:rsid w:val="005532A0"/>
    <w:rsid w:val="00553436"/>
    <w:rsid w:val="00553489"/>
    <w:rsid w:val="00554EA4"/>
    <w:rsid w:val="00555109"/>
    <w:rsid w:val="005569BF"/>
    <w:rsid w:val="00556B35"/>
    <w:rsid w:val="00556BB6"/>
    <w:rsid w:val="00556D17"/>
    <w:rsid w:val="00556F8A"/>
    <w:rsid w:val="005571D8"/>
    <w:rsid w:val="005572AB"/>
    <w:rsid w:val="0055741A"/>
    <w:rsid w:val="005611B7"/>
    <w:rsid w:val="005618D4"/>
    <w:rsid w:val="00562D19"/>
    <w:rsid w:val="00563A8C"/>
    <w:rsid w:val="005644F5"/>
    <w:rsid w:val="00565095"/>
    <w:rsid w:val="0056562E"/>
    <w:rsid w:val="0056593C"/>
    <w:rsid w:val="00565DF0"/>
    <w:rsid w:val="00566804"/>
    <w:rsid w:val="0056696F"/>
    <w:rsid w:val="005717A9"/>
    <w:rsid w:val="00571D50"/>
    <w:rsid w:val="00572269"/>
    <w:rsid w:val="0057244A"/>
    <w:rsid w:val="00572D3F"/>
    <w:rsid w:val="00572F26"/>
    <w:rsid w:val="005742F3"/>
    <w:rsid w:val="005743A6"/>
    <w:rsid w:val="00574D46"/>
    <w:rsid w:val="005750C5"/>
    <w:rsid w:val="00575286"/>
    <w:rsid w:val="005752DE"/>
    <w:rsid w:val="00575A27"/>
    <w:rsid w:val="00575D10"/>
    <w:rsid w:val="00575D8D"/>
    <w:rsid w:val="00576972"/>
    <w:rsid w:val="00576B0D"/>
    <w:rsid w:val="005770BC"/>
    <w:rsid w:val="005805C4"/>
    <w:rsid w:val="0058128D"/>
    <w:rsid w:val="005817A1"/>
    <w:rsid w:val="0058237B"/>
    <w:rsid w:val="00582930"/>
    <w:rsid w:val="00582D41"/>
    <w:rsid w:val="00582F45"/>
    <w:rsid w:val="00583699"/>
    <w:rsid w:val="00583C4E"/>
    <w:rsid w:val="005841FC"/>
    <w:rsid w:val="0058485F"/>
    <w:rsid w:val="00584BD7"/>
    <w:rsid w:val="00584F92"/>
    <w:rsid w:val="00585243"/>
    <w:rsid w:val="00585A07"/>
    <w:rsid w:val="00585CDD"/>
    <w:rsid w:val="00586B16"/>
    <w:rsid w:val="00587058"/>
    <w:rsid w:val="00587252"/>
    <w:rsid w:val="00590686"/>
    <w:rsid w:val="00591957"/>
    <w:rsid w:val="005920EA"/>
    <w:rsid w:val="005936CC"/>
    <w:rsid w:val="00593820"/>
    <w:rsid w:val="00593CA1"/>
    <w:rsid w:val="00594728"/>
    <w:rsid w:val="00597076"/>
    <w:rsid w:val="00597973"/>
    <w:rsid w:val="00597B2B"/>
    <w:rsid w:val="00597BF9"/>
    <w:rsid w:val="005A0E67"/>
    <w:rsid w:val="005A2FEA"/>
    <w:rsid w:val="005A309A"/>
    <w:rsid w:val="005A32C0"/>
    <w:rsid w:val="005A35AD"/>
    <w:rsid w:val="005A373D"/>
    <w:rsid w:val="005A3DF4"/>
    <w:rsid w:val="005A6049"/>
    <w:rsid w:val="005A6883"/>
    <w:rsid w:val="005B00C7"/>
    <w:rsid w:val="005B044D"/>
    <w:rsid w:val="005B0A00"/>
    <w:rsid w:val="005B0B58"/>
    <w:rsid w:val="005B0CBB"/>
    <w:rsid w:val="005B147C"/>
    <w:rsid w:val="005B2595"/>
    <w:rsid w:val="005B2866"/>
    <w:rsid w:val="005B3D81"/>
    <w:rsid w:val="005B4756"/>
    <w:rsid w:val="005B4E53"/>
    <w:rsid w:val="005B5857"/>
    <w:rsid w:val="005B76F9"/>
    <w:rsid w:val="005B7908"/>
    <w:rsid w:val="005B7B6F"/>
    <w:rsid w:val="005C0E77"/>
    <w:rsid w:val="005C1B83"/>
    <w:rsid w:val="005C1CCC"/>
    <w:rsid w:val="005C2585"/>
    <w:rsid w:val="005C25FF"/>
    <w:rsid w:val="005C26E8"/>
    <w:rsid w:val="005C28DE"/>
    <w:rsid w:val="005C2D55"/>
    <w:rsid w:val="005C2DBF"/>
    <w:rsid w:val="005C346B"/>
    <w:rsid w:val="005C4629"/>
    <w:rsid w:val="005C46FE"/>
    <w:rsid w:val="005C6DA2"/>
    <w:rsid w:val="005C7FBC"/>
    <w:rsid w:val="005D044D"/>
    <w:rsid w:val="005D0ABD"/>
    <w:rsid w:val="005D0E80"/>
    <w:rsid w:val="005D0F4A"/>
    <w:rsid w:val="005D18AD"/>
    <w:rsid w:val="005D26B4"/>
    <w:rsid w:val="005D2724"/>
    <w:rsid w:val="005D2A03"/>
    <w:rsid w:val="005D2DDD"/>
    <w:rsid w:val="005D2FC4"/>
    <w:rsid w:val="005D320F"/>
    <w:rsid w:val="005D32FF"/>
    <w:rsid w:val="005D36DA"/>
    <w:rsid w:val="005D3C20"/>
    <w:rsid w:val="005D4EAF"/>
    <w:rsid w:val="005D60A6"/>
    <w:rsid w:val="005D6994"/>
    <w:rsid w:val="005D77E1"/>
    <w:rsid w:val="005D78C8"/>
    <w:rsid w:val="005E0EB4"/>
    <w:rsid w:val="005E2BCC"/>
    <w:rsid w:val="005E3151"/>
    <w:rsid w:val="005E35AA"/>
    <w:rsid w:val="005E39C8"/>
    <w:rsid w:val="005E4B3C"/>
    <w:rsid w:val="005E629B"/>
    <w:rsid w:val="005E6CBC"/>
    <w:rsid w:val="005E72FF"/>
    <w:rsid w:val="005E73C0"/>
    <w:rsid w:val="005F0221"/>
    <w:rsid w:val="005F0325"/>
    <w:rsid w:val="005F0358"/>
    <w:rsid w:val="005F0928"/>
    <w:rsid w:val="005F0C11"/>
    <w:rsid w:val="005F0FEC"/>
    <w:rsid w:val="005F2571"/>
    <w:rsid w:val="005F2706"/>
    <w:rsid w:val="005F2824"/>
    <w:rsid w:val="005F34CC"/>
    <w:rsid w:val="005F51A5"/>
    <w:rsid w:val="005F6A8F"/>
    <w:rsid w:val="005F6BB7"/>
    <w:rsid w:val="005F6BE2"/>
    <w:rsid w:val="005F7239"/>
    <w:rsid w:val="005F73F4"/>
    <w:rsid w:val="005F7588"/>
    <w:rsid w:val="00600CCE"/>
    <w:rsid w:val="0060354C"/>
    <w:rsid w:val="006038F4"/>
    <w:rsid w:val="00603DB9"/>
    <w:rsid w:val="00604FB7"/>
    <w:rsid w:val="00605928"/>
    <w:rsid w:val="006061BF"/>
    <w:rsid w:val="00606708"/>
    <w:rsid w:val="00606FBA"/>
    <w:rsid w:val="00607104"/>
    <w:rsid w:val="00607669"/>
    <w:rsid w:val="006076F4"/>
    <w:rsid w:val="00607AFD"/>
    <w:rsid w:val="006103F5"/>
    <w:rsid w:val="00610E3C"/>
    <w:rsid w:val="006110EC"/>
    <w:rsid w:val="00612824"/>
    <w:rsid w:val="00612D15"/>
    <w:rsid w:val="00612F97"/>
    <w:rsid w:val="0061345D"/>
    <w:rsid w:val="006137A2"/>
    <w:rsid w:val="00614064"/>
    <w:rsid w:val="0061415C"/>
    <w:rsid w:val="0061549B"/>
    <w:rsid w:val="00615E25"/>
    <w:rsid w:val="006163E0"/>
    <w:rsid w:val="00616802"/>
    <w:rsid w:val="00616C37"/>
    <w:rsid w:val="006170CE"/>
    <w:rsid w:val="00617E12"/>
    <w:rsid w:val="00620C25"/>
    <w:rsid w:val="0062106A"/>
    <w:rsid w:val="00621477"/>
    <w:rsid w:val="00621ADA"/>
    <w:rsid w:val="00623174"/>
    <w:rsid w:val="006236E0"/>
    <w:rsid w:val="00623BA2"/>
    <w:rsid w:val="00623C2E"/>
    <w:rsid w:val="00623F7B"/>
    <w:rsid w:val="00624856"/>
    <w:rsid w:val="00625061"/>
    <w:rsid w:val="00625C7F"/>
    <w:rsid w:val="00626AD1"/>
    <w:rsid w:val="006271D6"/>
    <w:rsid w:val="006279CF"/>
    <w:rsid w:val="00627E76"/>
    <w:rsid w:val="00630A20"/>
    <w:rsid w:val="00631324"/>
    <w:rsid w:val="006314A2"/>
    <w:rsid w:val="0063158F"/>
    <w:rsid w:val="00631D6B"/>
    <w:rsid w:val="00631DC7"/>
    <w:rsid w:val="00632183"/>
    <w:rsid w:val="0063279A"/>
    <w:rsid w:val="006330A1"/>
    <w:rsid w:val="00633D70"/>
    <w:rsid w:val="00633DED"/>
    <w:rsid w:val="0063479F"/>
    <w:rsid w:val="00634A86"/>
    <w:rsid w:val="006353F0"/>
    <w:rsid w:val="006357B5"/>
    <w:rsid w:val="00636188"/>
    <w:rsid w:val="00636352"/>
    <w:rsid w:val="006364A1"/>
    <w:rsid w:val="0063678E"/>
    <w:rsid w:val="00636E2A"/>
    <w:rsid w:val="006373E9"/>
    <w:rsid w:val="006375D3"/>
    <w:rsid w:val="00637BFD"/>
    <w:rsid w:val="0064037C"/>
    <w:rsid w:val="00641C4E"/>
    <w:rsid w:val="00641CF3"/>
    <w:rsid w:val="00641FB3"/>
    <w:rsid w:val="0064300B"/>
    <w:rsid w:val="006433DD"/>
    <w:rsid w:val="0064434C"/>
    <w:rsid w:val="00644D96"/>
    <w:rsid w:val="00645E99"/>
    <w:rsid w:val="00645ED2"/>
    <w:rsid w:val="0064621D"/>
    <w:rsid w:val="0064647E"/>
    <w:rsid w:val="00646D83"/>
    <w:rsid w:val="006471CC"/>
    <w:rsid w:val="00647A29"/>
    <w:rsid w:val="00647F71"/>
    <w:rsid w:val="006504AB"/>
    <w:rsid w:val="0065079F"/>
    <w:rsid w:val="006507C8"/>
    <w:rsid w:val="00650E64"/>
    <w:rsid w:val="0065165A"/>
    <w:rsid w:val="00652A07"/>
    <w:rsid w:val="00652A28"/>
    <w:rsid w:val="0065379F"/>
    <w:rsid w:val="006545D7"/>
    <w:rsid w:val="00654B2E"/>
    <w:rsid w:val="00655554"/>
    <w:rsid w:val="00656188"/>
    <w:rsid w:val="00656F9A"/>
    <w:rsid w:val="0065715A"/>
    <w:rsid w:val="00657A55"/>
    <w:rsid w:val="006610F1"/>
    <w:rsid w:val="00661BA5"/>
    <w:rsid w:val="00661C6B"/>
    <w:rsid w:val="00661E47"/>
    <w:rsid w:val="006626AC"/>
    <w:rsid w:val="00662A49"/>
    <w:rsid w:val="0066322F"/>
    <w:rsid w:val="00663CD8"/>
    <w:rsid w:val="006654E0"/>
    <w:rsid w:val="006656FE"/>
    <w:rsid w:val="0066668B"/>
    <w:rsid w:val="0066700F"/>
    <w:rsid w:val="006678B0"/>
    <w:rsid w:val="00667DC7"/>
    <w:rsid w:val="00671004"/>
    <w:rsid w:val="00671D4B"/>
    <w:rsid w:val="00671F56"/>
    <w:rsid w:val="00672646"/>
    <w:rsid w:val="00673024"/>
    <w:rsid w:val="00673CB7"/>
    <w:rsid w:val="00674235"/>
    <w:rsid w:val="00674599"/>
    <w:rsid w:val="00674738"/>
    <w:rsid w:val="00674B1E"/>
    <w:rsid w:val="00674BC6"/>
    <w:rsid w:val="00674E42"/>
    <w:rsid w:val="00675429"/>
    <w:rsid w:val="00676712"/>
    <w:rsid w:val="00676FB6"/>
    <w:rsid w:val="00677C3F"/>
    <w:rsid w:val="006800A9"/>
    <w:rsid w:val="00680143"/>
    <w:rsid w:val="0068075E"/>
    <w:rsid w:val="006813F8"/>
    <w:rsid w:val="00681AA7"/>
    <w:rsid w:val="00682112"/>
    <w:rsid w:val="0068260B"/>
    <w:rsid w:val="00682BA6"/>
    <w:rsid w:val="00682C8B"/>
    <w:rsid w:val="00683D57"/>
    <w:rsid w:val="00684F7F"/>
    <w:rsid w:val="00685DE2"/>
    <w:rsid w:val="006863D7"/>
    <w:rsid w:val="00686957"/>
    <w:rsid w:val="00686AA1"/>
    <w:rsid w:val="00686C8F"/>
    <w:rsid w:val="006872BA"/>
    <w:rsid w:val="00687882"/>
    <w:rsid w:val="00687A4D"/>
    <w:rsid w:val="00687BCE"/>
    <w:rsid w:val="006902B7"/>
    <w:rsid w:val="00690545"/>
    <w:rsid w:val="00690795"/>
    <w:rsid w:val="00691648"/>
    <w:rsid w:val="006916EF"/>
    <w:rsid w:val="006917D7"/>
    <w:rsid w:val="00692E67"/>
    <w:rsid w:val="00693C02"/>
    <w:rsid w:val="006940D2"/>
    <w:rsid w:val="0069434C"/>
    <w:rsid w:val="00694B0E"/>
    <w:rsid w:val="00694F44"/>
    <w:rsid w:val="006955A7"/>
    <w:rsid w:val="00695770"/>
    <w:rsid w:val="00696E0E"/>
    <w:rsid w:val="00696F51"/>
    <w:rsid w:val="00697673"/>
    <w:rsid w:val="006979A5"/>
    <w:rsid w:val="006A004F"/>
    <w:rsid w:val="006A17B6"/>
    <w:rsid w:val="006A1DD5"/>
    <w:rsid w:val="006A1EA6"/>
    <w:rsid w:val="006A1EDB"/>
    <w:rsid w:val="006A1FF2"/>
    <w:rsid w:val="006A200D"/>
    <w:rsid w:val="006A2D43"/>
    <w:rsid w:val="006A3533"/>
    <w:rsid w:val="006A3D78"/>
    <w:rsid w:val="006A4678"/>
    <w:rsid w:val="006A47DB"/>
    <w:rsid w:val="006A4972"/>
    <w:rsid w:val="006A5194"/>
    <w:rsid w:val="006A555E"/>
    <w:rsid w:val="006A5CA6"/>
    <w:rsid w:val="006A63CC"/>
    <w:rsid w:val="006A63FD"/>
    <w:rsid w:val="006A69F0"/>
    <w:rsid w:val="006A6B99"/>
    <w:rsid w:val="006A7CD3"/>
    <w:rsid w:val="006A7E5F"/>
    <w:rsid w:val="006A7F62"/>
    <w:rsid w:val="006B0F5D"/>
    <w:rsid w:val="006B169F"/>
    <w:rsid w:val="006B261B"/>
    <w:rsid w:val="006B2C90"/>
    <w:rsid w:val="006B2FCF"/>
    <w:rsid w:val="006B35E6"/>
    <w:rsid w:val="006B3D54"/>
    <w:rsid w:val="006B41F1"/>
    <w:rsid w:val="006B4591"/>
    <w:rsid w:val="006B465A"/>
    <w:rsid w:val="006B4F4A"/>
    <w:rsid w:val="006B5495"/>
    <w:rsid w:val="006B54CC"/>
    <w:rsid w:val="006B5849"/>
    <w:rsid w:val="006B6DD0"/>
    <w:rsid w:val="006B6F86"/>
    <w:rsid w:val="006B757C"/>
    <w:rsid w:val="006B7FC0"/>
    <w:rsid w:val="006C0399"/>
    <w:rsid w:val="006C0A13"/>
    <w:rsid w:val="006C0BD1"/>
    <w:rsid w:val="006C1133"/>
    <w:rsid w:val="006C1521"/>
    <w:rsid w:val="006C181F"/>
    <w:rsid w:val="006C1E2A"/>
    <w:rsid w:val="006C2A8E"/>
    <w:rsid w:val="006C3255"/>
    <w:rsid w:val="006C3561"/>
    <w:rsid w:val="006C3658"/>
    <w:rsid w:val="006C3738"/>
    <w:rsid w:val="006C3F26"/>
    <w:rsid w:val="006C4425"/>
    <w:rsid w:val="006C4698"/>
    <w:rsid w:val="006C4AA2"/>
    <w:rsid w:val="006C7F42"/>
    <w:rsid w:val="006D0D17"/>
    <w:rsid w:val="006D0E71"/>
    <w:rsid w:val="006D1249"/>
    <w:rsid w:val="006D1B5F"/>
    <w:rsid w:val="006D1D62"/>
    <w:rsid w:val="006D25A7"/>
    <w:rsid w:val="006D2EED"/>
    <w:rsid w:val="006D3C7D"/>
    <w:rsid w:val="006D4554"/>
    <w:rsid w:val="006D4659"/>
    <w:rsid w:val="006D5206"/>
    <w:rsid w:val="006D536B"/>
    <w:rsid w:val="006D540C"/>
    <w:rsid w:val="006D585C"/>
    <w:rsid w:val="006D59BF"/>
    <w:rsid w:val="006D5D5F"/>
    <w:rsid w:val="006D5EA8"/>
    <w:rsid w:val="006D68FB"/>
    <w:rsid w:val="006D68FF"/>
    <w:rsid w:val="006D6E7C"/>
    <w:rsid w:val="006D7255"/>
    <w:rsid w:val="006E21A9"/>
    <w:rsid w:val="006E21B2"/>
    <w:rsid w:val="006E2379"/>
    <w:rsid w:val="006E2868"/>
    <w:rsid w:val="006E292A"/>
    <w:rsid w:val="006E2A1A"/>
    <w:rsid w:val="006E31D9"/>
    <w:rsid w:val="006E3980"/>
    <w:rsid w:val="006E3DD8"/>
    <w:rsid w:val="006E55AF"/>
    <w:rsid w:val="006E5CEA"/>
    <w:rsid w:val="006E7F6B"/>
    <w:rsid w:val="006F0A75"/>
    <w:rsid w:val="006F0BEE"/>
    <w:rsid w:val="006F306C"/>
    <w:rsid w:val="006F48D3"/>
    <w:rsid w:val="006F4B79"/>
    <w:rsid w:val="006F4E5B"/>
    <w:rsid w:val="006F5664"/>
    <w:rsid w:val="006F624F"/>
    <w:rsid w:val="006F63A5"/>
    <w:rsid w:val="006F648D"/>
    <w:rsid w:val="006F69A2"/>
    <w:rsid w:val="006F75B9"/>
    <w:rsid w:val="007005C2"/>
    <w:rsid w:val="00700D60"/>
    <w:rsid w:val="007010E3"/>
    <w:rsid w:val="0070142B"/>
    <w:rsid w:val="00701A50"/>
    <w:rsid w:val="00702269"/>
    <w:rsid w:val="00702286"/>
    <w:rsid w:val="0070276E"/>
    <w:rsid w:val="00702D82"/>
    <w:rsid w:val="00702F8F"/>
    <w:rsid w:val="00703673"/>
    <w:rsid w:val="007039B7"/>
    <w:rsid w:val="00703BD0"/>
    <w:rsid w:val="00705895"/>
    <w:rsid w:val="007079FC"/>
    <w:rsid w:val="00707C8E"/>
    <w:rsid w:val="00710D22"/>
    <w:rsid w:val="007112C7"/>
    <w:rsid w:val="00711A36"/>
    <w:rsid w:val="007121CC"/>
    <w:rsid w:val="007125C4"/>
    <w:rsid w:val="00713E5E"/>
    <w:rsid w:val="00714C26"/>
    <w:rsid w:val="0071529C"/>
    <w:rsid w:val="0071603F"/>
    <w:rsid w:val="007160F6"/>
    <w:rsid w:val="007170DA"/>
    <w:rsid w:val="0071720D"/>
    <w:rsid w:val="007172AD"/>
    <w:rsid w:val="00717B52"/>
    <w:rsid w:val="00720724"/>
    <w:rsid w:val="00720801"/>
    <w:rsid w:val="00722182"/>
    <w:rsid w:val="007228E2"/>
    <w:rsid w:val="00722B1B"/>
    <w:rsid w:val="00723BC9"/>
    <w:rsid w:val="00723C84"/>
    <w:rsid w:val="0072416F"/>
    <w:rsid w:val="00724765"/>
    <w:rsid w:val="00725015"/>
    <w:rsid w:val="00725526"/>
    <w:rsid w:val="00725538"/>
    <w:rsid w:val="00726018"/>
    <w:rsid w:val="0072725F"/>
    <w:rsid w:val="00727C94"/>
    <w:rsid w:val="00727CBE"/>
    <w:rsid w:val="00727FA7"/>
    <w:rsid w:val="0073078A"/>
    <w:rsid w:val="00731B0A"/>
    <w:rsid w:val="00731EAE"/>
    <w:rsid w:val="00731F2A"/>
    <w:rsid w:val="00732103"/>
    <w:rsid w:val="0073249B"/>
    <w:rsid w:val="00733073"/>
    <w:rsid w:val="00734078"/>
    <w:rsid w:val="007340FA"/>
    <w:rsid w:val="00735033"/>
    <w:rsid w:val="00735328"/>
    <w:rsid w:val="0073581B"/>
    <w:rsid w:val="00735B80"/>
    <w:rsid w:val="00735D4E"/>
    <w:rsid w:val="00735EBC"/>
    <w:rsid w:val="00736495"/>
    <w:rsid w:val="0073685B"/>
    <w:rsid w:val="0074002D"/>
    <w:rsid w:val="00740A0D"/>
    <w:rsid w:val="0074111C"/>
    <w:rsid w:val="00742593"/>
    <w:rsid w:val="00742CFC"/>
    <w:rsid w:val="00742E50"/>
    <w:rsid w:val="007431BC"/>
    <w:rsid w:val="00743A34"/>
    <w:rsid w:val="00743C20"/>
    <w:rsid w:val="007440AC"/>
    <w:rsid w:val="0074427E"/>
    <w:rsid w:val="007449BF"/>
    <w:rsid w:val="00744DE6"/>
    <w:rsid w:val="00745377"/>
    <w:rsid w:val="007457B4"/>
    <w:rsid w:val="007463D0"/>
    <w:rsid w:val="007464D3"/>
    <w:rsid w:val="00746BC0"/>
    <w:rsid w:val="00750A0D"/>
    <w:rsid w:val="007510B4"/>
    <w:rsid w:val="00751D02"/>
    <w:rsid w:val="00751F9C"/>
    <w:rsid w:val="00752142"/>
    <w:rsid w:val="007522DE"/>
    <w:rsid w:val="007523F9"/>
    <w:rsid w:val="0075263F"/>
    <w:rsid w:val="0075357E"/>
    <w:rsid w:val="00753ECC"/>
    <w:rsid w:val="00753F04"/>
    <w:rsid w:val="0075532A"/>
    <w:rsid w:val="00756BAC"/>
    <w:rsid w:val="00756FD6"/>
    <w:rsid w:val="00757311"/>
    <w:rsid w:val="007573E8"/>
    <w:rsid w:val="00757E93"/>
    <w:rsid w:val="00760622"/>
    <w:rsid w:val="00760A37"/>
    <w:rsid w:val="00760C4E"/>
    <w:rsid w:val="00760F9E"/>
    <w:rsid w:val="0076169F"/>
    <w:rsid w:val="007627BE"/>
    <w:rsid w:val="00762AFB"/>
    <w:rsid w:val="00762B3E"/>
    <w:rsid w:val="007642A8"/>
    <w:rsid w:val="007643DE"/>
    <w:rsid w:val="00764801"/>
    <w:rsid w:val="00764984"/>
    <w:rsid w:val="00764F03"/>
    <w:rsid w:val="00765B1A"/>
    <w:rsid w:val="00766885"/>
    <w:rsid w:val="007669D6"/>
    <w:rsid w:val="00770A59"/>
    <w:rsid w:val="007713D1"/>
    <w:rsid w:val="007758A7"/>
    <w:rsid w:val="00776DDE"/>
    <w:rsid w:val="00777117"/>
    <w:rsid w:val="00777335"/>
    <w:rsid w:val="0077752D"/>
    <w:rsid w:val="00777D96"/>
    <w:rsid w:val="00780969"/>
    <w:rsid w:val="007814AB"/>
    <w:rsid w:val="00781C2E"/>
    <w:rsid w:val="00781C79"/>
    <w:rsid w:val="0078232B"/>
    <w:rsid w:val="0078289D"/>
    <w:rsid w:val="007831DA"/>
    <w:rsid w:val="00783316"/>
    <w:rsid w:val="007835CE"/>
    <w:rsid w:val="0078375B"/>
    <w:rsid w:val="00783935"/>
    <w:rsid w:val="007843F2"/>
    <w:rsid w:val="00784400"/>
    <w:rsid w:val="00784C8C"/>
    <w:rsid w:val="00785A9F"/>
    <w:rsid w:val="0078667D"/>
    <w:rsid w:val="00786B87"/>
    <w:rsid w:val="00786BC0"/>
    <w:rsid w:val="00786D23"/>
    <w:rsid w:val="0078739B"/>
    <w:rsid w:val="00790443"/>
    <w:rsid w:val="00790869"/>
    <w:rsid w:val="00791C30"/>
    <w:rsid w:val="00791C50"/>
    <w:rsid w:val="007925DF"/>
    <w:rsid w:val="00793F2C"/>
    <w:rsid w:val="00794FB9"/>
    <w:rsid w:val="0079620F"/>
    <w:rsid w:val="00796A49"/>
    <w:rsid w:val="00796FB5"/>
    <w:rsid w:val="007975FA"/>
    <w:rsid w:val="007A04E1"/>
    <w:rsid w:val="007A08AA"/>
    <w:rsid w:val="007A0A12"/>
    <w:rsid w:val="007A0D59"/>
    <w:rsid w:val="007A132D"/>
    <w:rsid w:val="007A1345"/>
    <w:rsid w:val="007A237A"/>
    <w:rsid w:val="007A2CBD"/>
    <w:rsid w:val="007A2DDB"/>
    <w:rsid w:val="007A3CC7"/>
    <w:rsid w:val="007A3EB7"/>
    <w:rsid w:val="007A47A8"/>
    <w:rsid w:val="007A70BA"/>
    <w:rsid w:val="007B09EA"/>
    <w:rsid w:val="007B0D68"/>
    <w:rsid w:val="007B106E"/>
    <w:rsid w:val="007B251D"/>
    <w:rsid w:val="007B4143"/>
    <w:rsid w:val="007B42EA"/>
    <w:rsid w:val="007B4F58"/>
    <w:rsid w:val="007B528D"/>
    <w:rsid w:val="007B5B36"/>
    <w:rsid w:val="007B63CA"/>
    <w:rsid w:val="007B6A31"/>
    <w:rsid w:val="007B74B7"/>
    <w:rsid w:val="007B77D1"/>
    <w:rsid w:val="007B7939"/>
    <w:rsid w:val="007B7A88"/>
    <w:rsid w:val="007C07C7"/>
    <w:rsid w:val="007C1CD9"/>
    <w:rsid w:val="007C32EF"/>
    <w:rsid w:val="007C33BF"/>
    <w:rsid w:val="007C3485"/>
    <w:rsid w:val="007C361D"/>
    <w:rsid w:val="007C38F3"/>
    <w:rsid w:val="007C44E1"/>
    <w:rsid w:val="007C4B84"/>
    <w:rsid w:val="007C4F5F"/>
    <w:rsid w:val="007C6657"/>
    <w:rsid w:val="007C70FF"/>
    <w:rsid w:val="007C7C25"/>
    <w:rsid w:val="007D004F"/>
    <w:rsid w:val="007D0B38"/>
    <w:rsid w:val="007D0EB4"/>
    <w:rsid w:val="007D2F42"/>
    <w:rsid w:val="007D2F7F"/>
    <w:rsid w:val="007D332B"/>
    <w:rsid w:val="007D3BE7"/>
    <w:rsid w:val="007D45BF"/>
    <w:rsid w:val="007D46EF"/>
    <w:rsid w:val="007D4A66"/>
    <w:rsid w:val="007D4B40"/>
    <w:rsid w:val="007D4B80"/>
    <w:rsid w:val="007D5440"/>
    <w:rsid w:val="007D5B4F"/>
    <w:rsid w:val="007D69EB"/>
    <w:rsid w:val="007D6CE2"/>
    <w:rsid w:val="007E00E3"/>
    <w:rsid w:val="007E0B02"/>
    <w:rsid w:val="007E128F"/>
    <w:rsid w:val="007E152D"/>
    <w:rsid w:val="007E18B2"/>
    <w:rsid w:val="007E5340"/>
    <w:rsid w:val="007E5352"/>
    <w:rsid w:val="007E5CAB"/>
    <w:rsid w:val="007E6D45"/>
    <w:rsid w:val="007E7453"/>
    <w:rsid w:val="007F0D9E"/>
    <w:rsid w:val="007F1017"/>
    <w:rsid w:val="007F13D1"/>
    <w:rsid w:val="007F1D75"/>
    <w:rsid w:val="007F1DA7"/>
    <w:rsid w:val="007F3175"/>
    <w:rsid w:val="007F350B"/>
    <w:rsid w:val="007F3792"/>
    <w:rsid w:val="007F3A10"/>
    <w:rsid w:val="007F3F79"/>
    <w:rsid w:val="007F4A3F"/>
    <w:rsid w:val="007F4A61"/>
    <w:rsid w:val="007F4F11"/>
    <w:rsid w:val="007F5255"/>
    <w:rsid w:val="007F54AA"/>
    <w:rsid w:val="007F54F4"/>
    <w:rsid w:val="007F56CC"/>
    <w:rsid w:val="007F5C6E"/>
    <w:rsid w:val="007F61C2"/>
    <w:rsid w:val="007F695F"/>
    <w:rsid w:val="00800B6E"/>
    <w:rsid w:val="008037DF"/>
    <w:rsid w:val="0080387C"/>
    <w:rsid w:val="008048BB"/>
    <w:rsid w:val="00804D2A"/>
    <w:rsid w:val="00805142"/>
    <w:rsid w:val="008059F7"/>
    <w:rsid w:val="00805EB6"/>
    <w:rsid w:val="00805FCE"/>
    <w:rsid w:val="008069C4"/>
    <w:rsid w:val="0080719F"/>
    <w:rsid w:val="008071F8"/>
    <w:rsid w:val="00807A8B"/>
    <w:rsid w:val="00811383"/>
    <w:rsid w:val="008117A2"/>
    <w:rsid w:val="00811C07"/>
    <w:rsid w:val="00811D21"/>
    <w:rsid w:val="00811E2E"/>
    <w:rsid w:val="00812149"/>
    <w:rsid w:val="00812CAC"/>
    <w:rsid w:val="0081325F"/>
    <w:rsid w:val="00813624"/>
    <w:rsid w:val="008139CB"/>
    <w:rsid w:val="00813F9B"/>
    <w:rsid w:val="008145B6"/>
    <w:rsid w:val="008150AC"/>
    <w:rsid w:val="0081582B"/>
    <w:rsid w:val="00816361"/>
    <w:rsid w:val="008166EF"/>
    <w:rsid w:val="008169A7"/>
    <w:rsid w:val="00816FEF"/>
    <w:rsid w:val="00817A3F"/>
    <w:rsid w:val="00820A8C"/>
    <w:rsid w:val="00820D8E"/>
    <w:rsid w:val="008215AE"/>
    <w:rsid w:val="008215FB"/>
    <w:rsid w:val="00822BB1"/>
    <w:rsid w:val="00822DEB"/>
    <w:rsid w:val="00823174"/>
    <w:rsid w:val="00823332"/>
    <w:rsid w:val="008236C2"/>
    <w:rsid w:val="008253AC"/>
    <w:rsid w:val="00825751"/>
    <w:rsid w:val="00826207"/>
    <w:rsid w:val="008264EB"/>
    <w:rsid w:val="008269E7"/>
    <w:rsid w:val="0083004B"/>
    <w:rsid w:val="00831203"/>
    <w:rsid w:val="008316CE"/>
    <w:rsid w:val="00831782"/>
    <w:rsid w:val="00832780"/>
    <w:rsid w:val="00832C71"/>
    <w:rsid w:val="00833097"/>
    <w:rsid w:val="00833B05"/>
    <w:rsid w:val="00833E15"/>
    <w:rsid w:val="0083416C"/>
    <w:rsid w:val="00835CF5"/>
    <w:rsid w:val="008362B4"/>
    <w:rsid w:val="00836703"/>
    <w:rsid w:val="0083731C"/>
    <w:rsid w:val="00840CA2"/>
    <w:rsid w:val="00842F9D"/>
    <w:rsid w:val="008430C5"/>
    <w:rsid w:val="0084374F"/>
    <w:rsid w:val="00844A22"/>
    <w:rsid w:val="00844FF5"/>
    <w:rsid w:val="00845037"/>
    <w:rsid w:val="00845261"/>
    <w:rsid w:val="00846206"/>
    <w:rsid w:val="00847703"/>
    <w:rsid w:val="00847750"/>
    <w:rsid w:val="00847DF5"/>
    <w:rsid w:val="00850A3C"/>
    <w:rsid w:val="00851960"/>
    <w:rsid w:val="008523FA"/>
    <w:rsid w:val="0085309D"/>
    <w:rsid w:val="0085528A"/>
    <w:rsid w:val="00856897"/>
    <w:rsid w:val="00856E9A"/>
    <w:rsid w:val="00857394"/>
    <w:rsid w:val="0086075D"/>
    <w:rsid w:val="00860A12"/>
    <w:rsid w:val="00860BA6"/>
    <w:rsid w:val="00860DD1"/>
    <w:rsid w:val="00860E4D"/>
    <w:rsid w:val="00861DAB"/>
    <w:rsid w:val="00861E6A"/>
    <w:rsid w:val="00861EE9"/>
    <w:rsid w:val="008621F4"/>
    <w:rsid w:val="00862283"/>
    <w:rsid w:val="00862323"/>
    <w:rsid w:val="00862502"/>
    <w:rsid w:val="00862CC1"/>
    <w:rsid w:val="0086400F"/>
    <w:rsid w:val="008640E9"/>
    <w:rsid w:val="00864A1E"/>
    <w:rsid w:val="00864B55"/>
    <w:rsid w:val="008656C1"/>
    <w:rsid w:val="00865F49"/>
    <w:rsid w:val="008660D4"/>
    <w:rsid w:val="0086691F"/>
    <w:rsid w:val="00866F8F"/>
    <w:rsid w:val="0086721E"/>
    <w:rsid w:val="0086795A"/>
    <w:rsid w:val="00870476"/>
    <w:rsid w:val="0087108D"/>
    <w:rsid w:val="0087177B"/>
    <w:rsid w:val="00871FA9"/>
    <w:rsid w:val="008728E9"/>
    <w:rsid w:val="0087317E"/>
    <w:rsid w:val="00873314"/>
    <w:rsid w:val="00874255"/>
    <w:rsid w:val="00874811"/>
    <w:rsid w:val="00874934"/>
    <w:rsid w:val="00874F8A"/>
    <w:rsid w:val="008810C2"/>
    <w:rsid w:val="00881303"/>
    <w:rsid w:val="00882126"/>
    <w:rsid w:val="0088213E"/>
    <w:rsid w:val="00882874"/>
    <w:rsid w:val="0088294E"/>
    <w:rsid w:val="00882B92"/>
    <w:rsid w:val="00882E3C"/>
    <w:rsid w:val="00883787"/>
    <w:rsid w:val="00883ACF"/>
    <w:rsid w:val="00883C37"/>
    <w:rsid w:val="008855E4"/>
    <w:rsid w:val="00885FCF"/>
    <w:rsid w:val="00886CD2"/>
    <w:rsid w:val="008904B2"/>
    <w:rsid w:val="00890A7B"/>
    <w:rsid w:val="00890CC3"/>
    <w:rsid w:val="00891E6F"/>
    <w:rsid w:val="0089275D"/>
    <w:rsid w:val="00892A36"/>
    <w:rsid w:val="00893239"/>
    <w:rsid w:val="008932A2"/>
    <w:rsid w:val="00893EDA"/>
    <w:rsid w:val="00894489"/>
    <w:rsid w:val="00894B7B"/>
    <w:rsid w:val="008959F3"/>
    <w:rsid w:val="008963A5"/>
    <w:rsid w:val="00896ABC"/>
    <w:rsid w:val="00896D5D"/>
    <w:rsid w:val="0089742D"/>
    <w:rsid w:val="00897FB4"/>
    <w:rsid w:val="008A064C"/>
    <w:rsid w:val="008A1983"/>
    <w:rsid w:val="008A22CC"/>
    <w:rsid w:val="008A2495"/>
    <w:rsid w:val="008A2C48"/>
    <w:rsid w:val="008A2F51"/>
    <w:rsid w:val="008A3363"/>
    <w:rsid w:val="008A3371"/>
    <w:rsid w:val="008A38DD"/>
    <w:rsid w:val="008A3AE1"/>
    <w:rsid w:val="008A3C3E"/>
    <w:rsid w:val="008A45CC"/>
    <w:rsid w:val="008A57E6"/>
    <w:rsid w:val="008A619E"/>
    <w:rsid w:val="008A6246"/>
    <w:rsid w:val="008A79DE"/>
    <w:rsid w:val="008A7A6E"/>
    <w:rsid w:val="008A7C5B"/>
    <w:rsid w:val="008B0491"/>
    <w:rsid w:val="008B153A"/>
    <w:rsid w:val="008B15D3"/>
    <w:rsid w:val="008B1757"/>
    <w:rsid w:val="008B23E2"/>
    <w:rsid w:val="008B3078"/>
    <w:rsid w:val="008B35D6"/>
    <w:rsid w:val="008B361B"/>
    <w:rsid w:val="008B38EF"/>
    <w:rsid w:val="008B63B8"/>
    <w:rsid w:val="008B745B"/>
    <w:rsid w:val="008B7992"/>
    <w:rsid w:val="008B7D7E"/>
    <w:rsid w:val="008C05DC"/>
    <w:rsid w:val="008C11B5"/>
    <w:rsid w:val="008C11F0"/>
    <w:rsid w:val="008C1473"/>
    <w:rsid w:val="008C1918"/>
    <w:rsid w:val="008C32BA"/>
    <w:rsid w:val="008C337D"/>
    <w:rsid w:val="008C3942"/>
    <w:rsid w:val="008C43FE"/>
    <w:rsid w:val="008C5079"/>
    <w:rsid w:val="008C5610"/>
    <w:rsid w:val="008C5659"/>
    <w:rsid w:val="008C5739"/>
    <w:rsid w:val="008C6599"/>
    <w:rsid w:val="008C67D0"/>
    <w:rsid w:val="008C696C"/>
    <w:rsid w:val="008C6B24"/>
    <w:rsid w:val="008C70CB"/>
    <w:rsid w:val="008C7C12"/>
    <w:rsid w:val="008C7ECB"/>
    <w:rsid w:val="008D03D7"/>
    <w:rsid w:val="008D1268"/>
    <w:rsid w:val="008D19B7"/>
    <w:rsid w:val="008D1D60"/>
    <w:rsid w:val="008D1FAF"/>
    <w:rsid w:val="008D216A"/>
    <w:rsid w:val="008D32FE"/>
    <w:rsid w:val="008D3B86"/>
    <w:rsid w:val="008D3BEB"/>
    <w:rsid w:val="008D40B2"/>
    <w:rsid w:val="008D4755"/>
    <w:rsid w:val="008D4AD0"/>
    <w:rsid w:val="008D4C3D"/>
    <w:rsid w:val="008D6A1E"/>
    <w:rsid w:val="008D743C"/>
    <w:rsid w:val="008D7A0E"/>
    <w:rsid w:val="008E0D3C"/>
    <w:rsid w:val="008E0FC0"/>
    <w:rsid w:val="008E1A53"/>
    <w:rsid w:val="008E1A7A"/>
    <w:rsid w:val="008E1B9E"/>
    <w:rsid w:val="008E3436"/>
    <w:rsid w:val="008E3693"/>
    <w:rsid w:val="008E3B69"/>
    <w:rsid w:val="008E3D7A"/>
    <w:rsid w:val="008E4310"/>
    <w:rsid w:val="008E45B0"/>
    <w:rsid w:val="008E4B1E"/>
    <w:rsid w:val="008E53B1"/>
    <w:rsid w:val="008E55AB"/>
    <w:rsid w:val="008E5686"/>
    <w:rsid w:val="008E656D"/>
    <w:rsid w:val="008E7168"/>
    <w:rsid w:val="008E7414"/>
    <w:rsid w:val="008F0FE9"/>
    <w:rsid w:val="008F1144"/>
    <w:rsid w:val="008F120A"/>
    <w:rsid w:val="008F13D9"/>
    <w:rsid w:val="008F27E0"/>
    <w:rsid w:val="008F2BEF"/>
    <w:rsid w:val="008F309B"/>
    <w:rsid w:val="008F35E6"/>
    <w:rsid w:val="008F38FF"/>
    <w:rsid w:val="008F3BB7"/>
    <w:rsid w:val="008F48EB"/>
    <w:rsid w:val="008F4F0B"/>
    <w:rsid w:val="008F66BA"/>
    <w:rsid w:val="008F6905"/>
    <w:rsid w:val="008F6C5D"/>
    <w:rsid w:val="008F6C8C"/>
    <w:rsid w:val="008F6C9C"/>
    <w:rsid w:val="008F76EB"/>
    <w:rsid w:val="008F7798"/>
    <w:rsid w:val="008F7E98"/>
    <w:rsid w:val="00900457"/>
    <w:rsid w:val="00901065"/>
    <w:rsid w:val="00901434"/>
    <w:rsid w:val="00901CF9"/>
    <w:rsid w:val="009027DA"/>
    <w:rsid w:val="0090286A"/>
    <w:rsid w:val="00903085"/>
    <w:rsid w:val="009038CC"/>
    <w:rsid w:val="00903956"/>
    <w:rsid w:val="009046C4"/>
    <w:rsid w:val="009054C3"/>
    <w:rsid w:val="00905B0C"/>
    <w:rsid w:val="00906182"/>
    <w:rsid w:val="009062A5"/>
    <w:rsid w:val="009104D3"/>
    <w:rsid w:val="00910DE6"/>
    <w:rsid w:val="00910FA7"/>
    <w:rsid w:val="00911272"/>
    <w:rsid w:val="00911822"/>
    <w:rsid w:val="00911A71"/>
    <w:rsid w:val="009124AB"/>
    <w:rsid w:val="009124C7"/>
    <w:rsid w:val="00912995"/>
    <w:rsid w:val="00912D44"/>
    <w:rsid w:val="0091355E"/>
    <w:rsid w:val="009135D6"/>
    <w:rsid w:val="00913991"/>
    <w:rsid w:val="00914C77"/>
    <w:rsid w:val="00914EBA"/>
    <w:rsid w:val="009154EB"/>
    <w:rsid w:val="009156F0"/>
    <w:rsid w:val="00916349"/>
    <w:rsid w:val="0091643D"/>
    <w:rsid w:val="00917767"/>
    <w:rsid w:val="00920667"/>
    <w:rsid w:val="00920BA8"/>
    <w:rsid w:val="00920F39"/>
    <w:rsid w:val="0092133C"/>
    <w:rsid w:val="00921ACB"/>
    <w:rsid w:val="009223A4"/>
    <w:rsid w:val="009224C7"/>
    <w:rsid w:val="0092369B"/>
    <w:rsid w:val="00926499"/>
    <w:rsid w:val="0092688C"/>
    <w:rsid w:val="009314C5"/>
    <w:rsid w:val="00931540"/>
    <w:rsid w:val="009331AB"/>
    <w:rsid w:val="00933B4B"/>
    <w:rsid w:val="00934914"/>
    <w:rsid w:val="00934988"/>
    <w:rsid w:val="00935485"/>
    <w:rsid w:val="00935C14"/>
    <w:rsid w:val="00936B84"/>
    <w:rsid w:val="00936D32"/>
    <w:rsid w:val="00936DDC"/>
    <w:rsid w:val="0093706D"/>
    <w:rsid w:val="00937089"/>
    <w:rsid w:val="00937665"/>
    <w:rsid w:val="009378D0"/>
    <w:rsid w:val="00940E75"/>
    <w:rsid w:val="00941439"/>
    <w:rsid w:val="0094144B"/>
    <w:rsid w:val="009415D4"/>
    <w:rsid w:val="00943AC6"/>
    <w:rsid w:val="00943BAB"/>
    <w:rsid w:val="00943FCF"/>
    <w:rsid w:val="009443C5"/>
    <w:rsid w:val="00944CF7"/>
    <w:rsid w:val="00944D3B"/>
    <w:rsid w:val="00944E59"/>
    <w:rsid w:val="00944F8A"/>
    <w:rsid w:val="009450F6"/>
    <w:rsid w:val="009468EB"/>
    <w:rsid w:val="00946DF8"/>
    <w:rsid w:val="009470D8"/>
    <w:rsid w:val="00947360"/>
    <w:rsid w:val="009477DA"/>
    <w:rsid w:val="009508FB"/>
    <w:rsid w:val="009510A2"/>
    <w:rsid w:val="009517AD"/>
    <w:rsid w:val="00951A40"/>
    <w:rsid w:val="00952522"/>
    <w:rsid w:val="00953124"/>
    <w:rsid w:val="00953257"/>
    <w:rsid w:val="009540E5"/>
    <w:rsid w:val="0095474C"/>
    <w:rsid w:val="00956B65"/>
    <w:rsid w:val="00956CFE"/>
    <w:rsid w:val="00956D45"/>
    <w:rsid w:val="00957055"/>
    <w:rsid w:val="0095738A"/>
    <w:rsid w:val="009578E8"/>
    <w:rsid w:val="009610E6"/>
    <w:rsid w:val="0096197D"/>
    <w:rsid w:val="0096290C"/>
    <w:rsid w:val="00962CB9"/>
    <w:rsid w:val="00964312"/>
    <w:rsid w:val="0096434C"/>
    <w:rsid w:val="00964415"/>
    <w:rsid w:val="0096491B"/>
    <w:rsid w:val="009656D9"/>
    <w:rsid w:val="00965A37"/>
    <w:rsid w:val="00965B8A"/>
    <w:rsid w:val="0096654B"/>
    <w:rsid w:val="0096718B"/>
    <w:rsid w:val="009674AE"/>
    <w:rsid w:val="009703A7"/>
    <w:rsid w:val="0097071F"/>
    <w:rsid w:val="009717AC"/>
    <w:rsid w:val="009719C7"/>
    <w:rsid w:val="00971C02"/>
    <w:rsid w:val="009721A7"/>
    <w:rsid w:val="009721F9"/>
    <w:rsid w:val="009730CC"/>
    <w:rsid w:val="009733EA"/>
    <w:rsid w:val="00974124"/>
    <w:rsid w:val="00974966"/>
    <w:rsid w:val="00974E2B"/>
    <w:rsid w:val="00974FD0"/>
    <w:rsid w:val="009751C1"/>
    <w:rsid w:val="00975771"/>
    <w:rsid w:val="00975A85"/>
    <w:rsid w:val="00975DB3"/>
    <w:rsid w:val="00976C59"/>
    <w:rsid w:val="00977CE1"/>
    <w:rsid w:val="009800DA"/>
    <w:rsid w:val="009802DB"/>
    <w:rsid w:val="009811DD"/>
    <w:rsid w:val="009811F1"/>
    <w:rsid w:val="00983489"/>
    <w:rsid w:val="009836AF"/>
    <w:rsid w:val="00983A70"/>
    <w:rsid w:val="00983E57"/>
    <w:rsid w:val="009853F6"/>
    <w:rsid w:val="00985675"/>
    <w:rsid w:val="00985DE2"/>
    <w:rsid w:val="00986475"/>
    <w:rsid w:val="0098675D"/>
    <w:rsid w:val="00986E11"/>
    <w:rsid w:val="00987455"/>
    <w:rsid w:val="00987565"/>
    <w:rsid w:val="00991234"/>
    <w:rsid w:val="00991885"/>
    <w:rsid w:val="009926E0"/>
    <w:rsid w:val="009939FE"/>
    <w:rsid w:val="0099451E"/>
    <w:rsid w:val="00994D41"/>
    <w:rsid w:val="00994EB6"/>
    <w:rsid w:val="00994ECE"/>
    <w:rsid w:val="009954B3"/>
    <w:rsid w:val="009954D8"/>
    <w:rsid w:val="0099641B"/>
    <w:rsid w:val="00996662"/>
    <w:rsid w:val="00996B1A"/>
    <w:rsid w:val="00997F24"/>
    <w:rsid w:val="009A0AFA"/>
    <w:rsid w:val="009A11D7"/>
    <w:rsid w:val="009A1A7A"/>
    <w:rsid w:val="009A2DCC"/>
    <w:rsid w:val="009A3135"/>
    <w:rsid w:val="009A4C08"/>
    <w:rsid w:val="009A535C"/>
    <w:rsid w:val="009A5ABC"/>
    <w:rsid w:val="009A6632"/>
    <w:rsid w:val="009A6C5A"/>
    <w:rsid w:val="009A743B"/>
    <w:rsid w:val="009A770E"/>
    <w:rsid w:val="009A79C7"/>
    <w:rsid w:val="009A7F10"/>
    <w:rsid w:val="009B0692"/>
    <w:rsid w:val="009B197D"/>
    <w:rsid w:val="009B2133"/>
    <w:rsid w:val="009B2513"/>
    <w:rsid w:val="009B3717"/>
    <w:rsid w:val="009B3E26"/>
    <w:rsid w:val="009B58D7"/>
    <w:rsid w:val="009B6186"/>
    <w:rsid w:val="009B632F"/>
    <w:rsid w:val="009B656C"/>
    <w:rsid w:val="009B6ADA"/>
    <w:rsid w:val="009B70A1"/>
    <w:rsid w:val="009B7905"/>
    <w:rsid w:val="009C0630"/>
    <w:rsid w:val="009C0A1A"/>
    <w:rsid w:val="009C0E83"/>
    <w:rsid w:val="009C0ECA"/>
    <w:rsid w:val="009C1194"/>
    <w:rsid w:val="009C159E"/>
    <w:rsid w:val="009C2257"/>
    <w:rsid w:val="009C3706"/>
    <w:rsid w:val="009C3A3A"/>
    <w:rsid w:val="009C3DB1"/>
    <w:rsid w:val="009C43F4"/>
    <w:rsid w:val="009C46A2"/>
    <w:rsid w:val="009C4937"/>
    <w:rsid w:val="009C4DDD"/>
    <w:rsid w:val="009C5EA8"/>
    <w:rsid w:val="009C6BEB"/>
    <w:rsid w:val="009C6CEA"/>
    <w:rsid w:val="009C6CF8"/>
    <w:rsid w:val="009C707A"/>
    <w:rsid w:val="009C7B85"/>
    <w:rsid w:val="009D0143"/>
    <w:rsid w:val="009D0254"/>
    <w:rsid w:val="009D0724"/>
    <w:rsid w:val="009D0EC5"/>
    <w:rsid w:val="009D11E1"/>
    <w:rsid w:val="009D1A64"/>
    <w:rsid w:val="009D22CE"/>
    <w:rsid w:val="009D2790"/>
    <w:rsid w:val="009D2BD9"/>
    <w:rsid w:val="009D2C5C"/>
    <w:rsid w:val="009D3853"/>
    <w:rsid w:val="009D4039"/>
    <w:rsid w:val="009D409F"/>
    <w:rsid w:val="009D40AB"/>
    <w:rsid w:val="009D5A34"/>
    <w:rsid w:val="009D5B91"/>
    <w:rsid w:val="009D66F5"/>
    <w:rsid w:val="009D6BCA"/>
    <w:rsid w:val="009D72D2"/>
    <w:rsid w:val="009D763E"/>
    <w:rsid w:val="009D7858"/>
    <w:rsid w:val="009D792E"/>
    <w:rsid w:val="009E06A9"/>
    <w:rsid w:val="009E0DFE"/>
    <w:rsid w:val="009E0F67"/>
    <w:rsid w:val="009E262F"/>
    <w:rsid w:val="009E2CDB"/>
    <w:rsid w:val="009E30C1"/>
    <w:rsid w:val="009E31F6"/>
    <w:rsid w:val="009E320A"/>
    <w:rsid w:val="009E338C"/>
    <w:rsid w:val="009E36C7"/>
    <w:rsid w:val="009E3E9A"/>
    <w:rsid w:val="009E406B"/>
    <w:rsid w:val="009E4174"/>
    <w:rsid w:val="009E445C"/>
    <w:rsid w:val="009E4C07"/>
    <w:rsid w:val="009E5EB4"/>
    <w:rsid w:val="009E5F1C"/>
    <w:rsid w:val="009E6D2B"/>
    <w:rsid w:val="009E74F8"/>
    <w:rsid w:val="009E7ADD"/>
    <w:rsid w:val="009F0E43"/>
    <w:rsid w:val="009F2500"/>
    <w:rsid w:val="009F2568"/>
    <w:rsid w:val="009F2865"/>
    <w:rsid w:val="009F2CFF"/>
    <w:rsid w:val="009F3681"/>
    <w:rsid w:val="009F3E87"/>
    <w:rsid w:val="009F42EE"/>
    <w:rsid w:val="009F43EE"/>
    <w:rsid w:val="009F4482"/>
    <w:rsid w:val="009F4A36"/>
    <w:rsid w:val="009F5493"/>
    <w:rsid w:val="009F5828"/>
    <w:rsid w:val="009F6230"/>
    <w:rsid w:val="00A00CDB"/>
    <w:rsid w:val="00A01184"/>
    <w:rsid w:val="00A0145A"/>
    <w:rsid w:val="00A017D0"/>
    <w:rsid w:val="00A01D30"/>
    <w:rsid w:val="00A032A3"/>
    <w:rsid w:val="00A037C2"/>
    <w:rsid w:val="00A03D43"/>
    <w:rsid w:val="00A042E4"/>
    <w:rsid w:val="00A04380"/>
    <w:rsid w:val="00A04F55"/>
    <w:rsid w:val="00A05472"/>
    <w:rsid w:val="00A05918"/>
    <w:rsid w:val="00A0598E"/>
    <w:rsid w:val="00A05C32"/>
    <w:rsid w:val="00A05DE0"/>
    <w:rsid w:val="00A0653F"/>
    <w:rsid w:val="00A06757"/>
    <w:rsid w:val="00A077D3"/>
    <w:rsid w:val="00A079EB"/>
    <w:rsid w:val="00A07CF8"/>
    <w:rsid w:val="00A1076F"/>
    <w:rsid w:val="00A10DAE"/>
    <w:rsid w:val="00A10E4B"/>
    <w:rsid w:val="00A113C7"/>
    <w:rsid w:val="00A11CD0"/>
    <w:rsid w:val="00A11E89"/>
    <w:rsid w:val="00A13159"/>
    <w:rsid w:val="00A131E9"/>
    <w:rsid w:val="00A13424"/>
    <w:rsid w:val="00A13948"/>
    <w:rsid w:val="00A14F58"/>
    <w:rsid w:val="00A1554E"/>
    <w:rsid w:val="00A1555B"/>
    <w:rsid w:val="00A155C5"/>
    <w:rsid w:val="00A15E42"/>
    <w:rsid w:val="00A166EA"/>
    <w:rsid w:val="00A16AA8"/>
    <w:rsid w:val="00A16AD8"/>
    <w:rsid w:val="00A200E9"/>
    <w:rsid w:val="00A21124"/>
    <w:rsid w:val="00A21544"/>
    <w:rsid w:val="00A2171D"/>
    <w:rsid w:val="00A21864"/>
    <w:rsid w:val="00A21A81"/>
    <w:rsid w:val="00A21C95"/>
    <w:rsid w:val="00A21CF3"/>
    <w:rsid w:val="00A222E2"/>
    <w:rsid w:val="00A24813"/>
    <w:rsid w:val="00A24EAD"/>
    <w:rsid w:val="00A25AB0"/>
    <w:rsid w:val="00A25C82"/>
    <w:rsid w:val="00A27A9D"/>
    <w:rsid w:val="00A27AEC"/>
    <w:rsid w:val="00A309CD"/>
    <w:rsid w:val="00A31CA5"/>
    <w:rsid w:val="00A320DB"/>
    <w:rsid w:val="00A3334B"/>
    <w:rsid w:val="00A33D34"/>
    <w:rsid w:val="00A34A18"/>
    <w:rsid w:val="00A35496"/>
    <w:rsid w:val="00A35920"/>
    <w:rsid w:val="00A35D16"/>
    <w:rsid w:val="00A3649A"/>
    <w:rsid w:val="00A36995"/>
    <w:rsid w:val="00A37BCD"/>
    <w:rsid w:val="00A40125"/>
    <w:rsid w:val="00A40B0B"/>
    <w:rsid w:val="00A41014"/>
    <w:rsid w:val="00A41689"/>
    <w:rsid w:val="00A42592"/>
    <w:rsid w:val="00A428EE"/>
    <w:rsid w:val="00A43287"/>
    <w:rsid w:val="00A43C59"/>
    <w:rsid w:val="00A43E33"/>
    <w:rsid w:val="00A45109"/>
    <w:rsid w:val="00A45DAC"/>
    <w:rsid w:val="00A4646F"/>
    <w:rsid w:val="00A46E49"/>
    <w:rsid w:val="00A47B26"/>
    <w:rsid w:val="00A50ECD"/>
    <w:rsid w:val="00A51229"/>
    <w:rsid w:val="00A518F3"/>
    <w:rsid w:val="00A51A81"/>
    <w:rsid w:val="00A52729"/>
    <w:rsid w:val="00A52E8B"/>
    <w:rsid w:val="00A5365F"/>
    <w:rsid w:val="00A53675"/>
    <w:rsid w:val="00A54315"/>
    <w:rsid w:val="00A54DD2"/>
    <w:rsid w:val="00A54FC1"/>
    <w:rsid w:val="00A5548F"/>
    <w:rsid w:val="00A55542"/>
    <w:rsid w:val="00A55F8E"/>
    <w:rsid w:val="00A562BA"/>
    <w:rsid w:val="00A5646E"/>
    <w:rsid w:val="00A564D7"/>
    <w:rsid w:val="00A5667C"/>
    <w:rsid w:val="00A56788"/>
    <w:rsid w:val="00A56B6A"/>
    <w:rsid w:val="00A574F5"/>
    <w:rsid w:val="00A578DC"/>
    <w:rsid w:val="00A57FB3"/>
    <w:rsid w:val="00A606A4"/>
    <w:rsid w:val="00A61D16"/>
    <w:rsid w:val="00A620A8"/>
    <w:rsid w:val="00A62454"/>
    <w:rsid w:val="00A62960"/>
    <w:rsid w:val="00A62EE1"/>
    <w:rsid w:val="00A63416"/>
    <w:rsid w:val="00A6354F"/>
    <w:rsid w:val="00A63A46"/>
    <w:rsid w:val="00A640E2"/>
    <w:rsid w:val="00A64D65"/>
    <w:rsid w:val="00A65564"/>
    <w:rsid w:val="00A658D7"/>
    <w:rsid w:val="00A65AD2"/>
    <w:rsid w:val="00A6725B"/>
    <w:rsid w:val="00A67328"/>
    <w:rsid w:val="00A67627"/>
    <w:rsid w:val="00A70123"/>
    <w:rsid w:val="00A70605"/>
    <w:rsid w:val="00A7131A"/>
    <w:rsid w:val="00A7179E"/>
    <w:rsid w:val="00A727DD"/>
    <w:rsid w:val="00A72AB2"/>
    <w:rsid w:val="00A72E64"/>
    <w:rsid w:val="00A730C4"/>
    <w:rsid w:val="00A73134"/>
    <w:rsid w:val="00A73A19"/>
    <w:rsid w:val="00A7403A"/>
    <w:rsid w:val="00A74EB8"/>
    <w:rsid w:val="00A74FBE"/>
    <w:rsid w:val="00A75A5A"/>
    <w:rsid w:val="00A76001"/>
    <w:rsid w:val="00A766F2"/>
    <w:rsid w:val="00A76D9A"/>
    <w:rsid w:val="00A770C2"/>
    <w:rsid w:val="00A77145"/>
    <w:rsid w:val="00A77578"/>
    <w:rsid w:val="00A777B2"/>
    <w:rsid w:val="00A806C2"/>
    <w:rsid w:val="00A81172"/>
    <w:rsid w:val="00A8199F"/>
    <w:rsid w:val="00A82521"/>
    <w:rsid w:val="00A82579"/>
    <w:rsid w:val="00A825D4"/>
    <w:rsid w:val="00A828F6"/>
    <w:rsid w:val="00A82B73"/>
    <w:rsid w:val="00A82E18"/>
    <w:rsid w:val="00A834C9"/>
    <w:rsid w:val="00A838FA"/>
    <w:rsid w:val="00A83DBB"/>
    <w:rsid w:val="00A83E4D"/>
    <w:rsid w:val="00A84795"/>
    <w:rsid w:val="00A8519D"/>
    <w:rsid w:val="00A86DE5"/>
    <w:rsid w:val="00A86E8B"/>
    <w:rsid w:val="00A87164"/>
    <w:rsid w:val="00A8724A"/>
    <w:rsid w:val="00A90C7F"/>
    <w:rsid w:val="00A91ED7"/>
    <w:rsid w:val="00A91F79"/>
    <w:rsid w:val="00A927D4"/>
    <w:rsid w:val="00A9289E"/>
    <w:rsid w:val="00A93072"/>
    <w:rsid w:val="00A934A8"/>
    <w:rsid w:val="00A938BD"/>
    <w:rsid w:val="00A93953"/>
    <w:rsid w:val="00A945BF"/>
    <w:rsid w:val="00A959D8"/>
    <w:rsid w:val="00A95BB6"/>
    <w:rsid w:val="00A96CBE"/>
    <w:rsid w:val="00AA0350"/>
    <w:rsid w:val="00AA1134"/>
    <w:rsid w:val="00AA113D"/>
    <w:rsid w:val="00AA1412"/>
    <w:rsid w:val="00AA2978"/>
    <w:rsid w:val="00AA2BE8"/>
    <w:rsid w:val="00AA3BE7"/>
    <w:rsid w:val="00AA3E47"/>
    <w:rsid w:val="00AA4EFF"/>
    <w:rsid w:val="00AA5742"/>
    <w:rsid w:val="00AA67DF"/>
    <w:rsid w:val="00AA6BC2"/>
    <w:rsid w:val="00AA6BD5"/>
    <w:rsid w:val="00AA6BD8"/>
    <w:rsid w:val="00AA6C7D"/>
    <w:rsid w:val="00AA7BC1"/>
    <w:rsid w:val="00AA7FD6"/>
    <w:rsid w:val="00AB0021"/>
    <w:rsid w:val="00AB042A"/>
    <w:rsid w:val="00AB0C3A"/>
    <w:rsid w:val="00AB0F37"/>
    <w:rsid w:val="00AB19DA"/>
    <w:rsid w:val="00AB19EF"/>
    <w:rsid w:val="00AB2A8E"/>
    <w:rsid w:val="00AB2D20"/>
    <w:rsid w:val="00AB2D34"/>
    <w:rsid w:val="00AB30D6"/>
    <w:rsid w:val="00AB3201"/>
    <w:rsid w:val="00AB3430"/>
    <w:rsid w:val="00AB37B9"/>
    <w:rsid w:val="00AB37C2"/>
    <w:rsid w:val="00AB3DD9"/>
    <w:rsid w:val="00AB468F"/>
    <w:rsid w:val="00AB498B"/>
    <w:rsid w:val="00AB4AD1"/>
    <w:rsid w:val="00AB5E07"/>
    <w:rsid w:val="00AB672C"/>
    <w:rsid w:val="00AB6A75"/>
    <w:rsid w:val="00AB7CFA"/>
    <w:rsid w:val="00AC0438"/>
    <w:rsid w:val="00AC0B7A"/>
    <w:rsid w:val="00AC1B09"/>
    <w:rsid w:val="00AC20D5"/>
    <w:rsid w:val="00AC24DD"/>
    <w:rsid w:val="00AC2602"/>
    <w:rsid w:val="00AC330F"/>
    <w:rsid w:val="00AC5B48"/>
    <w:rsid w:val="00AC630E"/>
    <w:rsid w:val="00AC6BBF"/>
    <w:rsid w:val="00AC78EA"/>
    <w:rsid w:val="00AD0A41"/>
    <w:rsid w:val="00AD1450"/>
    <w:rsid w:val="00AD1E9B"/>
    <w:rsid w:val="00AD1F6C"/>
    <w:rsid w:val="00AD23FF"/>
    <w:rsid w:val="00AD32EA"/>
    <w:rsid w:val="00AD3F1D"/>
    <w:rsid w:val="00AD47E6"/>
    <w:rsid w:val="00AD4DAB"/>
    <w:rsid w:val="00AD514B"/>
    <w:rsid w:val="00AD5CE0"/>
    <w:rsid w:val="00AD630F"/>
    <w:rsid w:val="00AD649B"/>
    <w:rsid w:val="00AD6502"/>
    <w:rsid w:val="00AD6736"/>
    <w:rsid w:val="00AD6744"/>
    <w:rsid w:val="00AD681A"/>
    <w:rsid w:val="00AD7D78"/>
    <w:rsid w:val="00AD7D9F"/>
    <w:rsid w:val="00AE041C"/>
    <w:rsid w:val="00AE0695"/>
    <w:rsid w:val="00AE0749"/>
    <w:rsid w:val="00AE0DCB"/>
    <w:rsid w:val="00AE0FC2"/>
    <w:rsid w:val="00AE3150"/>
    <w:rsid w:val="00AE3530"/>
    <w:rsid w:val="00AE3B5A"/>
    <w:rsid w:val="00AE3E7E"/>
    <w:rsid w:val="00AE4237"/>
    <w:rsid w:val="00AE4603"/>
    <w:rsid w:val="00AE521B"/>
    <w:rsid w:val="00AE5D7A"/>
    <w:rsid w:val="00AE6773"/>
    <w:rsid w:val="00AE7237"/>
    <w:rsid w:val="00AF09B6"/>
    <w:rsid w:val="00AF0ACA"/>
    <w:rsid w:val="00AF0DB8"/>
    <w:rsid w:val="00AF1315"/>
    <w:rsid w:val="00AF15C9"/>
    <w:rsid w:val="00AF19BF"/>
    <w:rsid w:val="00AF2808"/>
    <w:rsid w:val="00AF2DC3"/>
    <w:rsid w:val="00AF3F21"/>
    <w:rsid w:val="00AF4A1E"/>
    <w:rsid w:val="00AF582C"/>
    <w:rsid w:val="00AF5CCA"/>
    <w:rsid w:val="00AF63C3"/>
    <w:rsid w:val="00AF6B86"/>
    <w:rsid w:val="00AF7307"/>
    <w:rsid w:val="00AF765E"/>
    <w:rsid w:val="00B02135"/>
    <w:rsid w:val="00B026C8"/>
    <w:rsid w:val="00B026F9"/>
    <w:rsid w:val="00B02B2E"/>
    <w:rsid w:val="00B02DB6"/>
    <w:rsid w:val="00B03215"/>
    <w:rsid w:val="00B03228"/>
    <w:rsid w:val="00B03313"/>
    <w:rsid w:val="00B033E5"/>
    <w:rsid w:val="00B03A63"/>
    <w:rsid w:val="00B0721D"/>
    <w:rsid w:val="00B07F55"/>
    <w:rsid w:val="00B10FDC"/>
    <w:rsid w:val="00B11058"/>
    <w:rsid w:val="00B11615"/>
    <w:rsid w:val="00B12298"/>
    <w:rsid w:val="00B12D95"/>
    <w:rsid w:val="00B12FB0"/>
    <w:rsid w:val="00B1351E"/>
    <w:rsid w:val="00B13841"/>
    <w:rsid w:val="00B13A82"/>
    <w:rsid w:val="00B13EAB"/>
    <w:rsid w:val="00B143EB"/>
    <w:rsid w:val="00B14C9E"/>
    <w:rsid w:val="00B16020"/>
    <w:rsid w:val="00B160D6"/>
    <w:rsid w:val="00B169A9"/>
    <w:rsid w:val="00B201A4"/>
    <w:rsid w:val="00B201D1"/>
    <w:rsid w:val="00B20754"/>
    <w:rsid w:val="00B213A6"/>
    <w:rsid w:val="00B2170E"/>
    <w:rsid w:val="00B21756"/>
    <w:rsid w:val="00B21B7F"/>
    <w:rsid w:val="00B21C17"/>
    <w:rsid w:val="00B21F61"/>
    <w:rsid w:val="00B224F0"/>
    <w:rsid w:val="00B235B0"/>
    <w:rsid w:val="00B246CD"/>
    <w:rsid w:val="00B24DF6"/>
    <w:rsid w:val="00B257BE"/>
    <w:rsid w:val="00B261C7"/>
    <w:rsid w:val="00B26600"/>
    <w:rsid w:val="00B2661A"/>
    <w:rsid w:val="00B26A14"/>
    <w:rsid w:val="00B26B7C"/>
    <w:rsid w:val="00B27E4F"/>
    <w:rsid w:val="00B3066D"/>
    <w:rsid w:val="00B308FF"/>
    <w:rsid w:val="00B30EB6"/>
    <w:rsid w:val="00B32544"/>
    <w:rsid w:val="00B325AB"/>
    <w:rsid w:val="00B3389F"/>
    <w:rsid w:val="00B33A2C"/>
    <w:rsid w:val="00B33A4E"/>
    <w:rsid w:val="00B33C8D"/>
    <w:rsid w:val="00B34A9A"/>
    <w:rsid w:val="00B34FE2"/>
    <w:rsid w:val="00B35166"/>
    <w:rsid w:val="00B351B1"/>
    <w:rsid w:val="00B357D8"/>
    <w:rsid w:val="00B360F4"/>
    <w:rsid w:val="00B3681E"/>
    <w:rsid w:val="00B36A00"/>
    <w:rsid w:val="00B36D7B"/>
    <w:rsid w:val="00B373B1"/>
    <w:rsid w:val="00B37659"/>
    <w:rsid w:val="00B37B24"/>
    <w:rsid w:val="00B37BFC"/>
    <w:rsid w:val="00B40358"/>
    <w:rsid w:val="00B40A55"/>
    <w:rsid w:val="00B411FF"/>
    <w:rsid w:val="00B41338"/>
    <w:rsid w:val="00B41614"/>
    <w:rsid w:val="00B42851"/>
    <w:rsid w:val="00B42F80"/>
    <w:rsid w:val="00B435CB"/>
    <w:rsid w:val="00B4383C"/>
    <w:rsid w:val="00B43E25"/>
    <w:rsid w:val="00B44B7F"/>
    <w:rsid w:val="00B4576D"/>
    <w:rsid w:val="00B47BB5"/>
    <w:rsid w:val="00B505C8"/>
    <w:rsid w:val="00B50DB8"/>
    <w:rsid w:val="00B51619"/>
    <w:rsid w:val="00B51973"/>
    <w:rsid w:val="00B51978"/>
    <w:rsid w:val="00B51EA0"/>
    <w:rsid w:val="00B53654"/>
    <w:rsid w:val="00B53684"/>
    <w:rsid w:val="00B53905"/>
    <w:rsid w:val="00B548CC"/>
    <w:rsid w:val="00B54B5B"/>
    <w:rsid w:val="00B54DCF"/>
    <w:rsid w:val="00B5562E"/>
    <w:rsid w:val="00B55AEE"/>
    <w:rsid w:val="00B55D65"/>
    <w:rsid w:val="00B57000"/>
    <w:rsid w:val="00B570F6"/>
    <w:rsid w:val="00B571B9"/>
    <w:rsid w:val="00B57350"/>
    <w:rsid w:val="00B60939"/>
    <w:rsid w:val="00B60AFD"/>
    <w:rsid w:val="00B60F68"/>
    <w:rsid w:val="00B61E8B"/>
    <w:rsid w:val="00B62715"/>
    <w:rsid w:val="00B631BF"/>
    <w:rsid w:val="00B63CF6"/>
    <w:rsid w:val="00B64163"/>
    <w:rsid w:val="00B65611"/>
    <w:rsid w:val="00B67607"/>
    <w:rsid w:val="00B67C24"/>
    <w:rsid w:val="00B70535"/>
    <w:rsid w:val="00B706E9"/>
    <w:rsid w:val="00B70B61"/>
    <w:rsid w:val="00B70E8E"/>
    <w:rsid w:val="00B71689"/>
    <w:rsid w:val="00B71D4D"/>
    <w:rsid w:val="00B72BE1"/>
    <w:rsid w:val="00B7349B"/>
    <w:rsid w:val="00B74016"/>
    <w:rsid w:val="00B7464C"/>
    <w:rsid w:val="00B747F5"/>
    <w:rsid w:val="00B74C64"/>
    <w:rsid w:val="00B74DD4"/>
    <w:rsid w:val="00B753E7"/>
    <w:rsid w:val="00B75DF3"/>
    <w:rsid w:val="00B760FB"/>
    <w:rsid w:val="00B76C92"/>
    <w:rsid w:val="00B775FF"/>
    <w:rsid w:val="00B77858"/>
    <w:rsid w:val="00B805EE"/>
    <w:rsid w:val="00B80C0F"/>
    <w:rsid w:val="00B818A4"/>
    <w:rsid w:val="00B81EDE"/>
    <w:rsid w:val="00B82985"/>
    <w:rsid w:val="00B82F97"/>
    <w:rsid w:val="00B83D23"/>
    <w:rsid w:val="00B84117"/>
    <w:rsid w:val="00B8511B"/>
    <w:rsid w:val="00B85783"/>
    <w:rsid w:val="00B858F0"/>
    <w:rsid w:val="00B85AA2"/>
    <w:rsid w:val="00B85F84"/>
    <w:rsid w:val="00B8649C"/>
    <w:rsid w:val="00B8695D"/>
    <w:rsid w:val="00B878C8"/>
    <w:rsid w:val="00B87F0A"/>
    <w:rsid w:val="00B91586"/>
    <w:rsid w:val="00B9195B"/>
    <w:rsid w:val="00B91ED4"/>
    <w:rsid w:val="00B92D0B"/>
    <w:rsid w:val="00B93178"/>
    <w:rsid w:val="00B9344C"/>
    <w:rsid w:val="00B94945"/>
    <w:rsid w:val="00B94DD6"/>
    <w:rsid w:val="00B950B7"/>
    <w:rsid w:val="00B9522A"/>
    <w:rsid w:val="00B96195"/>
    <w:rsid w:val="00B96ED2"/>
    <w:rsid w:val="00B979ED"/>
    <w:rsid w:val="00BA0770"/>
    <w:rsid w:val="00BA1575"/>
    <w:rsid w:val="00BA2374"/>
    <w:rsid w:val="00BA2EA2"/>
    <w:rsid w:val="00BA322D"/>
    <w:rsid w:val="00BA3A51"/>
    <w:rsid w:val="00BA63FA"/>
    <w:rsid w:val="00BA79B0"/>
    <w:rsid w:val="00BA7AD8"/>
    <w:rsid w:val="00BB00B3"/>
    <w:rsid w:val="00BB07CB"/>
    <w:rsid w:val="00BB0810"/>
    <w:rsid w:val="00BB0BDD"/>
    <w:rsid w:val="00BB176C"/>
    <w:rsid w:val="00BB2A73"/>
    <w:rsid w:val="00BB2E80"/>
    <w:rsid w:val="00BB2E93"/>
    <w:rsid w:val="00BB352F"/>
    <w:rsid w:val="00BB3A45"/>
    <w:rsid w:val="00BB4ACC"/>
    <w:rsid w:val="00BB560A"/>
    <w:rsid w:val="00BB611C"/>
    <w:rsid w:val="00BB6A2C"/>
    <w:rsid w:val="00BB703E"/>
    <w:rsid w:val="00BB70E1"/>
    <w:rsid w:val="00BB732D"/>
    <w:rsid w:val="00BB7405"/>
    <w:rsid w:val="00BC0732"/>
    <w:rsid w:val="00BC1B8F"/>
    <w:rsid w:val="00BC2370"/>
    <w:rsid w:val="00BC24AC"/>
    <w:rsid w:val="00BC2510"/>
    <w:rsid w:val="00BC2942"/>
    <w:rsid w:val="00BC3018"/>
    <w:rsid w:val="00BC3631"/>
    <w:rsid w:val="00BC3CAB"/>
    <w:rsid w:val="00BC4541"/>
    <w:rsid w:val="00BC591F"/>
    <w:rsid w:val="00BC75EC"/>
    <w:rsid w:val="00BC7BD4"/>
    <w:rsid w:val="00BC7D6D"/>
    <w:rsid w:val="00BD134E"/>
    <w:rsid w:val="00BD2108"/>
    <w:rsid w:val="00BD3B4A"/>
    <w:rsid w:val="00BD448A"/>
    <w:rsid w:val="00BD6109"/>
    <w:rsid w:val="00BD6563"/>
    <w:rsid w:val="00BD680F"/>
    <w:rsid w:val="00BD68A3"/>
    <w:rsid w:val="00BD6938"/>
    <w:rsid w:val="00BD6CF3"/>
    <w:rsid w:val="00BE06B3"/>
    <w:rsid w:val="00BE09DD"/>
    <w:rsid w:val="00BE0ECA"/>
    <w:rsid w:val="00BE1821"/>
    <w:rsid w:val="00BE1A9C"/>
    <w:rsid w:val="00BE2121"/>
    <w:rsid w:val="00BE2180"/>
    <w:rsid w:val="00BE21F2"/>
    <w:rsid w:val="00BE2447"/>
    <w:rsid w:val="00BE257A"/>
    <w:rsid w:val="00BE378A"/>
    <w:rsid w:val="00BE3B23"/>
    <w:rsid w:val="00BE3E95"/>
    <w:rsid w:val="00BE40B8"/>
    <w:rsid w:val="00BE4275"/>
    <w:rsid w:val="00BE4545"/>
    <w:rsid w:val="00BE4581"/>
    <w:rsid w:val="00BE4A41"/>
    <w:rsid w:val="00BE5422"/>
    <w:rsid w:val="00BE54C0"/>
    <w:rsid w:val="00BE5F7F"/>
    <w:rsid w:val="00BE7F23"/>
    <w:rsid w:val="00BF06AE"/>
    <w:rsid w:val="00BF0F95"/>
    <w:rsid w:val="00BF2075"/>
    <w:rsid w:val="00BF2433"/>
    <w:rsid w:val="00BF2458"/>
    <w:rsid w:val="00BF36F0"/>
    <w:rsid w:val="00BF4C1A"/>
    <w:rsid w:val="00BF5333"/>
    <w:rsid w:val="00BF5E5D"/>
    <w:rsid w:val="00BF5F31"/>
    <w:rsid w:val="00BF611F"/>
    <w:rsid w:val="00BF61C9"/>
    <w:rsid w:val="00BF6C94"/>
    <w:rsid w:val="00BF7F19"/>
    <w:rsid w:val="00C00424"/>
    <w:rsid w:val="00C00B75"/>
    <w:rsid w:val="00C01163"/>
    <w:rsid w:val="00C01526"/>
    <w:rsid w:val="00C01529"/>
    <w:rsid w:val="00C01540"/>
    <w:rsid w:val="00C01863"/>
    <w:rsid w:val="00C01E09"/>
    <w:rsid w:val="00C02C4D"/>
    <w:rsid w:val="00C033E6"/>
    <w:rsid w:val="00C03A12"/>
    <w:rsid w:val="00C03D1B"/>
    <w:rsid w:val="00C06387"/>
    <w:rsid w:val="00C067FB"/>
    <w:rsid w:val="00C06C67"/>
    <w:rsid w:val="00C075D0"/>
    <w:rsid w:val="00C0769E"/>
    <w:rsid w:val="00C10C6F"/>
    <w:rsid w:val="00C10F8C"/>
    <w:rsid w:val="00C11008"/>
    <w:rsid w:val="00C1179F"/>
    <w:rsid w:val="00C11A15"/>
    <w:rsid w:val="00C12C14"/>
    <w:rsid w:val="00C13243"/>
    <w:rsid w:val="00C14385"/>
    <w:rsid w:val="00C15F04"/>
    <w:rsid w:val="00C1621D"/>
    <w:rsid w:val="00C16B90"/>
    <w:rsid w:val="00C179B3"/>
    <w:rsid w:val="00C17E3F"/>
    <w:rsid w:val="00C200AA"/>
    <w:rsid w:val="00C200C9"/>
    <w:rsid w:val="00C20121"/>
    <w:rsid w:val="00C20421"/>
    <w:rsid w:val="00C20C09"/>
    <w:rsid w:val="00C213D8"/>
    <w:rsid w:val="00C21CD4"/>
    <w:rsid w:val="00C21F98"/>
    <w:rsid w:val="00C21FA8"/>
    <w:rsid w:val="00C237ED"/>
    <w:rsid w:val="00C24632"/>
    <w:rsid w:val="00C25418"/>
    <w:rsid w:val="00C25D9C"/>
    <w:rsid w:val="00C276C8"/>
    <w:rsid w:val="00C2778B"/>
    <w:rsid w:val="00C303AC"/>
    <w:rsid w:val="00C306B5"/>
    <w:rsid w:val="00C30C38"/>
    <w:rsid w:val="00C311B3"/>
    <w:rsid w:val="00C31649"/>
    <w:rsid w:val="00C31DB8"/>
    <w:rsid w:val="00C32208"/>
    <w:rsid w:val="00C322AF"/>
    <w:rsid w:val="00C3434C"/>
    <w:rsid w:val="00C34FFC"/>
    <w:rsid w:val="00C3537B"/>
    <w:rsid w:val="00C3539E"/>
    <w:rsid w:val="00C35685"/>
    <w:rsid w:val="00C36458"/>
    <w:rsid w:val="00C36B05"/>
    <w:rsid w:val="00C36EB9"/>
    <w:rsid w:val="00C402BC"/>
    <w:rsid w:val="00C40385"/>
    <w:rsid w:val="00C41768"/>
    <w:rsid w:val="00C4185B"/>
    <w:rsid w:val="00C4215A"/>
    <w:rsid w:val="00C423AE"/>
    <w:rsid w:val="00C42B87"/>
    <w:rsid w:val="00C44AD3"/>
    <w:rsid w:val="00C45389"/>
    <w:rsid w:val="00C475AA"/>
    <w:rsid w:val="00C47E60"/>
    <w:rsid w:val="00C50DC8"/>
    <w:rsid w:val="00C51B7C"/>
    <w:rsid w:val="00C5361B"/>
    <w:rsid w:val="00C53C98"/>
    <w:rsid w:val="00C5405F"/>
    <w:rsid w:val="00C54138"/>
    <w:rsid w:val="00C54B37"/>
    <w:rsid w:val="00C54BDC"/>
    <w:rsid w:val="00C54E2D"/>
    <w:rsid w:val="00C55BFC"/>
    <w:rsid w:val="00C56487"/>
    <w:rsid w:val="00C56C92"/>
    <w:rsid w:val="00C56FCF"/>
    <w:rsid w:val="00C57B6C"/>
    <w:rsid w:val="00C60F5D"/>
    <w:rsid w:val="00C6117E"/>
    <w:rsid w:val="00C613D8"/>
    <w:rsid w:val="00C622E3"/>
    <w:rsid w:val="00C623F3"/>
    <w:rsid w:val="00C6248B"/>
    <w:rsid w:val="00C628A6"/>
    <w:rsid w:val="00C62950"/>
    <w:rsid w:val="00C6308D"/>
    <w:rsid w:val="00C63763"/>
    <w:rsid w:val="00C642FA"/>
    <w:rsid w:val="00C64344"/>
    <w:rsid w:val="00C65108"/>
    <w:rsid w:val="00C65576"/>
    <w:rsid w:val="00C65910"/>
    <w:rsid w:val="00C66165"/>
    <w:rsid w:val="00C66DEB"/>
    <w:rsid w:val="00C66F5E"/>
    <w:rsid w:val="00C67E1F"/>
    <w:rsid w:val="00C7028F"/>
    <w:rsid w:val="00C7060A"/>
    <w:rsid w:val="00C709F6"/>
    <w:rsid w:val="00C7151A"/>
    <w:rsid w:val="00C717E3"/>
    <w:rsid w:val="00C71F60"/>
    <w:rsid w:val="00C72241"/>
    <w:rsid w:val="00C72805"/>
    <w:rsid w:val="00C731DA"/>
    <w:rsid w:val="00C744BC"/>
    <w:rsid w:val="00C750C8"/>
    <w:rsid w:val="00C7560F"/>
    <w:rsid w:val="00C7582A"/>
    <w:rsid w:val="00C75866"/>
    <w:rsid w:val="00C76585"/>
    <w:rsid w:val="00C7750B"/>
    <w:rsid w:val="00C77B91"/>
    <w:rsid w:val="00C80102"/>
    <w:rsid w:val="00C80693"/>
    <w:rsid w:val="00C80A0E"/>
    <w:rsid w:val="00C814F6"/>
    <w:rsid w:val="00C820DE"/>
    <w:rsid w:val="00C8213F"/>
    <w:rsid w:val="00C8227A"/>
    <w:rsid w:val="00C82C52"/>
    <w:rsid w:val="00C83192"/>
    <w:rsid w:val="00C844DE"/>
    <w:rsid w:val="00C85154"/>
    <w:rsid w:val="00C8515D"/>
    <w:rsid w:val="00C85908"/>
    <w:rsid w:val="00C85B84"/>
    <w:rsid w:val="00C8797A"/>
    <w:rsid w:val="00C87AE8"/>
    <w:rsid w:val="00C87C3F"/>
    <w:rsid w:val="00C900B8"/>
    <w:rsid w:val="00C902E8"/>
    <w:rsid w:val="00C905F8"/>
    <w:rsid w:val="00C90C71"/>
    <w:rsid w:val="00C91059"/>
    <w:rsid w:val="00C91AD1"/>
    <w:rsid w:val="00C91FD1"/>
    <w:rsid w:val="00C92040"/>
    <w:rsid w:val="00C922B0"/>
    <w:rsid w:val="00C9284B"/>
    <w:rsid w:val="00C931CF"/>
    <w:rsid w:val="00C93463"/>
    <w:rsid w:val="00C938CF"/>
    <w:rsid w:val="00C93CA2"/>
    <w:rsid w:val="00C94053"/>
    <w:rsid w:val="00C944DD"/>
    <w:rsid w:val="00C95B3B"/>
    <w:rsid w:val="00C9624D"/>
    <w:rsid w:val="00C9699D"/>
    <w:rsid w:val="00C969DA"/>
    <w:rsid w:val="00C96F3B"/>
    <w:rsid w:val="00C970DF"/>
    <w:rsid w:val="00C9795D"/>
    <w:rsid w:val="00CA0A82"/>
    <w:rsid w:val="00CA106E"/>
    <w:rsid w:val="00CA2656"/>
    <w:rsid w:val="00CA2C77"/>
    <w:rsid w:val="00CA2F65"/>
    <w:rsid w:val="00CA30C9"/>
    <w:rsid w:val="00CA368F"/>
    <w:rsid w:val="00CA3EDB"/>
    <w:rsid w:val="00CA3F5F"/>
    <w:rsid w:val="00CA40DC"/>
    <w:rsid w:val="00CA444F"/>
    <w:rsid w:val="00CA5245"/>
    <w:rsid w:val="00CA6B88"/>
    <w:rsid w:val="00CA71F4"/>
    <w:rsid w:val="00CA7B09"/>
    <w:rsid w:val="00CB0752"/>
    <w:rsid w:val="00CB12A5"/>
    <w:rsid w:val="00CB14F4"/>
    <w:rsid w:val="00CB1CAC"/>
    <w:rsid w:val="00CB1D1E"/>
    <w:rsid w:val="00CB2F2A"/>
    <w:rsid w:val="00CB3611"/>
    <w:rsid w:val="00CB3BCE"/>
    <w:rsid w:val="00CB473C"/>
    <w:rsid w:val="00CB503F"/>
    <w:rsid w:val="00CB5507"/>
    <w:rsid w:val="00CB5B1A"/>
    <w:rsid w:val="00CB5D02"/>
    <w:rsid w:val="00CB633E"/>
    <w:rsid w:val="00CB674E"/>
    <w:rsid w:val="00CB6A95"/>
    <w:rsid w:val="00CB6B22"/>
    <w:rsid w:val="00CB7112"/>
    <w:rsid w:val="00CB7F5F"/>
    <w:rsid w:val="00CC12DE"/>
    <w:rsid w:val="00CC1476"/>
    <w:rsid w:val="00CC1B39"/>
    <w:rsid w:val="00CC2722"/>
    <w:rsid w:val="00CC3471"/>
    <w:rsid w:val="00CC35EA"/>
    <w:rsid w:val="00CC3848"/>
    <w:rsid w:val="00CC4970"/>
    <w:rsid w:val="00CC59CE"/>
    <w:rsid w:val="00CC5C89"/>
    <w:rsid w:val="00CC6FE3"/>
    <w:rsid w:val="00CC7817"/>
    <w:rsid w:val="00CD01F3"/>
    <w:rsid w:val="00CD0632"/>
    <w:rsid w:val="00CD0CA6"/>
    <w:rsid w:val="00CD29E8"/>
    <w:rsid w:val="00CD3259"/>
    <w:rsid w:val="00CD3F77"/>
    <w:rsid w:val="00CD4355"/>
    <w:rsid w:val="00CD4658"/>
    <w:rsid w:val="00CD528E"/>
    <w:rsid w:val="00CD641E"/>
    <w:rsid w:val="00CD6ADC"/>
    <w:rsid w:val="00CD7193"/>
    <w:rsid w:val="00CE05EF"/>
    <w:rsid w:val="00CE18D2"/>
    <w:rsid w:val="00CE1E1A"/>
    <w:rsid w:val="00CE257B"/>
    <w:rsid w:val="00CE38C8"/>
    <w:rsid w:val="00CE4956"/>
    <w:rsid w:val="00CE60FC"/>
    <w:rsid w:val="00CE6274"/>
    <w:rsid w:val="00CE68BE"/>
    <w:rsid w:val="00CE7441"/>
    <w:rsid w:val="00CE77B6"/>
    <w:rsid w:val="00CE7EE9"/>
    <w:rsid w:val="00CF0514"/>
    <w:rsid w:val="00CF05A1"/>
    <w:rsid w:val="00CF151C"/>
    <w:rsid w:val="00CF18E9"/>
    <w:rsid w:val="00CF2B8D"/>
    <w:rsid w:val="00CF3E19"/>
    <w:rsid w:val="00CF411B"/>
    <w:rsid w:val="00CF456B"/>
    <w:rsid w:val="00CF505F"/>
    <w:rsid w:val="00CF5A22"/>
    <w:rsid w:val="00CF6CDB"/>
    <w:rsid w:val="00CF6F5C"/>
    <w:rsid w:val="00CF7352"/>
    <w:rsid w:val="00D0008C"/>
    <w:rsid w:val="00D00858"/>
    <w:rsid w:val="00D00B97"/>
    <w:rsid w:val="00D0110B"/>
    <w:rsid w:val="00D01C1D"/>
    <w:rsid w:val="00D0262E"/>
    <w:rsid w:val="00D0371B"/>
    <w:rsid w:val="00D0484A"/>
    <w:rsid w:val="00D04DBF"/>
    <w:rsid w:val="00D05B4F"/>
    <w:rsid w:val="00D05E3D"/>
    <w:rsid w:val="00D06139"/>
    <w:rsid w:val="00D07950"/>
    <w:rsid w:val="00D110BD"/>
    <w:rsid w:val="00D114B0"/>
    <w:rsid w:val="00D11B00"/>
    <w:rsid w:val="00D12611"/>
    <w:rsid w:val="00D12EB8"/>
    <w:rsid w:val="00D1316A"/>
    <w:rsid w:val="00D13675"/>
    <w:rsid w:val="00D1376D"/>
    <w:rsid w:val="00D14015"/>
    <w:rsid w:val="00D14097"/>
    <w:rsid w:val="00D141E1"/>
    <w:rsid w:val="00D15314"/>
    <w:rsid w:val="00D1626F"/>
    <w:rsid w:val="00D16EA0"/>
    <w:rsid w:val="00D1736E"/>
    <w:rsid w:val="00D17AE4"/>
    <w:rsid w:val="00D17D6C"/>
    <w:rsid w:val="00D17DE7"/>
    <w:rsid w:val="00D17DF4"/>
    <w:rsid w:val="00D21075"/>
    <w:rsid w:val="00D212AB"/>
    <w:rsid w:val="00D2155B"/>
    <w:rsid w:val="00D21CE9"/>
    <w:rsid w:val="00D2228E"/>
    <w:rsid w:val="00D22830"/>
    <w:rsid w:val="00D23990"/>
    <w:rsid w:val="00D23D11"/>
    <w:rsid w:val="00D23EB9"/>
    <w:rsid w:val="00D244B6"/>
    <w:rsid w:val="00D265B5"/>
    <w:rsid w:val="00D271BE"/>
    <w:rsid w:val="00D2754D"/>
    <w:rsid w:val="00D27B27"/>
    <w:rsid w:val="00D30A77"/>
    <w:rsid w:val="00D30B7F"/>
    <w:rsid w:val="00D30BD4"/>
    <w:rsid w:val="00D31BD3"/>
    <w:rsid w:val="00D32337"/>
    <w:rsid w:val="00D32557"/>
    <w:rsid w:val="00D32828"/>
    <w:rsid w:val="00D33525"/>
    <w:rsid w:val="00D33BE9"/>
    <w:rsid w:val="00D33F93"/>
    <w:rsid w:val="00D34852"/>
    <w:rsid w:val="00D34BDC"/>
    <w:rsid w:val="00D357FF"/>
    <w:rsid w:val="00D35E45"/>
    <w:rsid w:val="00D36091"/>
    <w:rsid w:val="00D3664C"/>
    <w:rsid w:val="00D37496"/>
    <w:rsid w:val="00D37B4E"/>
    <w:rsid w:val="00D41022"/>
    <w:rsid w:val="00D424C7"/>
    <w:rsid w:val="00D4299F"/>
    <w:rsid w:val="00D437E4"/>
    <w:rsid w:val="00D43B2A"/>
    <w:rsid w:val="00D43B48"/>
    <w:rsid w:val="00D43D83"/>
    <w:rsid w:val="00D44AD9"/>
    <w:rsid w:val="00D44B3B"/>
    <w:rsid w:val="00D44C82"/>
    <w:rsid w:val="00D45501"/>
    <w:rsid w:val="00D45F63"/>
    <w:rsid w:val="00D46C2D"/>
    <w:rsid w:val="00D472E3"/>
    <w:rsid w:val="00D47575"/>
    <w:rsid w:val="00D47769"/>
    <w:rsid w:val="00D5089F"/>
    <w:rsid w:val="00D50C54"/>
    <w:rsid w:val="00D5191F"/>
    <w:rsid w:val="00D51CC6"/>
    <w:rsid w:val="00D521CB"/>
    <w:rsid w:val="00D5243B"/>
    <w:rsid w:val="00D52618"/>
    <w:rsid w:val="00D526E7"/>
    <w:rsid w:val="00D527D0"/>
    <w:rsid w:val="00D52CF8"/>
    <w:rsid w:val="00D533EC"/>
    <w:rsid w:val="00D5357F"/>
    <w:rsid w:val="00D538A0"/>
    <w:rsid w:val="00D53ABA"/>
    <w:rsid w:val="00D54C9D"/>
    <w:rsid w:val="00D55738"/>
    <w:rsid w:val="00D55E31"/>
    <w:rsid w:val="00D5662C"/>
    <w:rsid w:val="00D56A95"/>
    <w:rsid w:val="00D577B3"/>
    <w:rsid w:val="00D57D5A"/>
    <w:rsid w:val="00D57E7E"/>
    <w:rsid w:val="00D60862"/>
    <w:rsid w:val="00D60B48"/>
    <w:rsid w:val="00D61FFA"/>
    <w:rsid w:val="00D620EE"/>
    <w:rsid w:val="00D6253F"/>
    <w:rsid w:val="00D62988"/>
    <w:rsid w:val="00D6354B"/>
    <w:rsid w:val="00D635C3"/>
    <w:rsid w:val="00D63ED6"/>
    <w:rsid w:val="00D641E6"/>
    <w:rsid w:val="00D6422C"/>
    <w:rsid w:val="00D65C01"/>
    <w:rsid w:val="00D66703"/>
    <w:rsid w:val="00D66AC5"/>
    <w:rsid w:val="00D677A2"/>
    <w:rsid w:val="00D679BD"/>
    <w:rsid w:val="00D70568"/>
    <w:rsid w:val="00D70A82"/>
    <w:rsid w:val="00D70D5B"/>
    <w:rsid w:val="00D70F16"/>
    <w:rsid w:val="00D70F24"/>
    <w:rsid w:val="00D72434"/>
    <w:rsid w:val="00D727A9"/>
    <w:rsid w:val="00D72F57"/>
    <w:rsid w:val="00D749A2"/>
    <w:rsid w:val="00D754C9"/>
    <w:rsid w:val="00D7589E"/>
    <w:rsid w:val="00D76083"/>
    <w:rsid w:val="00D763FC"/>
    <w:rsid w:val="00D764C5"/>
    <w:rsid w:val="00D76A44"/>
    <w:rsid w:val="00D76B45"/>
    <w:rsid w:val="00D80696"/>
    <w:rsid w:val="00D809BE"/>
    <w:rsid w:val="00D80F60"/>
    <w:rsid w:val="00D80F6F"/>
    <w:rsid w:val="00D815BF"/>
    <w:rsid w:val="00D815EF"/>
    <w:rsid w:val="00D81F26"/>
    <w:rsid w:val="00D83425"/>
    <w:rsid w:val="00D8461E"/>
    <w:rsid w:val="00D84D12"/>
    <w:rsid w:val="00D86231"/>
    <w:rsid w:val="00D86296"/>
    <w:rsid w:val="00D8638D"/>
    <w:rsid w:val="00D86E6C"/>
    <w:rsid w:val="00D87183"/>
    <w:rsid w:val="00D87A8F"/>
    <w:rsid w:val="00D901B4"/>
    <w:rsid w:val="00D90522"/>
    <w:rsid w:val="00D908FF"/>
    <w:rsid w:val="00D90DEA"/>
    <w:rsid w:val="00D9158B"/>
    <w:rsid w:val="00D91923"/>
    <w:rsid w:val="00D9246E"/>
    <w:rsid w:val="00D92CC2"/>
    <w:rsid w:val="00D93588"/>
    <w:rsid w:val="00D93753"/>
    <w:rsid w:val="00D93D76"/>
    <w:rsid w:val="00D9402C"/>
    <w:rsid w:val="00D9433E"/>
    <w:rsid w:val="00D94C1A"/>
    <w:rsid w:val="00D96460"/>
    <w:rsid w:val="00D96FDB"/>
    <w:rsid w:val="00D97A82"/>
    <w:rsid w:val="00DA04DF"/>
    <w:rsid w:val="00DA062A"/>
    <w:rsid w:val="00DA0B35"/>
    <w:rsid w:val="00DA15FD"/>
    <w:rsid w:val="00DA1BEC"/>
    <w:rsid w:val="00DA1FB5"/>
    <w:rsid w:val="00DA2512"/>
    <w:rsid w:val="00DA3167"/>
    <w:rsid w:val="00DA3A43"/>
    <w:rsid w:val="00DA3A50"/>
    <w:rsid w:val="00DA3F4F"/>
    <w:rsid w:val="00DA4133"/>
    <w:rsid w:val="00DA42DF"/>
    <w:rsid w:val="00DA4726"/>
    <w:rsid w:val="00DA4DC3"/>
    <w:rsid w:val="00DA73A9"/>
    <w:rsid w:val="00DA77A5"/>
    <w:rsid w:val="00DA7C95"/>
    <w:rsid w:val="00DB0440"/>
    <w:rsid w:val="00DB0F4B"/>
    <w:rsid w:val="00DB1800"/>
    <w:rsid w:val="00DB1EB2"/>
    <w:rsid w:val="00DB20B7"/>
    <w:rsid w:val="00DB2E4E"/>
    <w:rsid w:val="00DB30A0"/>
    <w:rsid w:val="00DB3DBF"/>
    <w:rsid w:val="00DB465D"/>
    <w:rsid w:val="00DB484F"/>
    <w:rsid w:val="00DB4962"/>
    <w:rsid w:val="00DB4CC8"/>
    <w:rsid w:val="00DB5D2D"/>
    <w:rsid w:val="00DB73CB"/>
    <w:rsid w:val="00DB751C"/>
    <w:rsid w:val="00DC04F6"/>
    <w:rsid w:val="00DC0690"/>
    <w:rsid w:val="00DC1D65"/>
    <w:rsid w:val="00DC20B9"/>
    <w:rsid w:val="00DC3290"/>
    <w:rsid w:val="00DC3C57"/>
    <w:rsid w:val="00DC4D86"/>
    <w:rsid w:val="00DC5501"/>
    <w:rsid w:val="00DC5AD6"/>
    <w:rsid w:val="00DC6B94"/>
    <w:rsid w:val="00DC7154"/>
    <w:rsid w:val="00DC73B0"/>
    <w:rsid w:val="00DC7604"/>
    <w:rsid w:val="00DC7AC3"/>
    <w:rsid w:val="00DC7E8A"/>
    <w:rsid w:val="00DD06B0"/>
    <w:rsid w:val="00DD0F78"/>
    <w:rsid w:val="00DD107E"/>
    <w:rsid w:val="00DD1D64"/>
    <w:rsid w:val="00DD273C"/>
    <w:rsid w:val="00DD27FE"/>
    <w:rsid w:val="00DD2871"/>
    <w:rsid w:val="00DD28E8"/>
    <w:rsid w:val="00DD3F28"/>
    <w:rsid w:val="00DD4113"/>
    <w:rsid w:val="00DD4537"/>
    <w:rsid w:val="00DD4E15"/>
    <w:rsid w:val="00DD5BA2"/>
    <w:rsid w:val="00DD5FFC"/>
    <w:rsid w:val="00DD72D1"/>
    <w:rsid w:val="00DD7343"/>
    <w:rsid w:val="00DD73B7"/>
    <w:rsid w:val="00DD79C9"/>
    <w:rsid w:val="00DD79D5"/>
    <w:rsid w:val="00DE1014"/>
    <w:rsid w:val="00DE2304"/>
    <w:rsid w:val="00DE2DFC"/>
    <w:rsid w:val="00DE3138"/>
    <w:rsid w:val="00DE37EB"/>
    <w:rsid w:val="00DE37F8"/>
    <w:rsid w:val="00DE4503"/>
    <w:rsid w:val="00DE4AD0"/>
    <w:rsid w:val="00DE4D8C"/>
    <w:rsid w:val="00DE4ECE"/>
    <w:rsid w:val="00DE4FCB"/>
    <w:rsid w:val="00DE5D07"/>
    <w:rsid w:val="00DE6634"/>
    <w:rsid w:val="00DE7143"/>
    <w:rsid w:val="00DE7267"/>
    <w:rsid w:val="00DE72A7"/>
    <w:rsid w:val="00DE7472"/>
    <w:rsid w:val="00DE75B2"/>
    <w:rsid w:val="00DE7832"/>
    <w:rsid w:val="00DE7BE1"/>
    <w:rsid w:val="00DE7FAC"/>
    <w:rsid w:val="00DF05A3"/>
    <w:rsid w:val="00DF18FC"/>
    <w:rsid w:val="00DF1C0B"/>
    <w:rsid w:val="00DF1F0A"/>
    <w:rsid w:val="00DF34C4"/>
    <w:rsid w:val="00DF37E9"/>
    <w:rsid w:val="00DF4C3D"/>
    <w:rsid w:val="00DF4D03"/>
    <w:rsid w:val="00DF5D2B"/>
    <w:rsid w:val="00DF6797"/>
    <w:rsid w:val="00DF7BF3"/>
    <w:rsid w:val="00E005A7"/>
    <w:rsid w:val="00E00960"/>
    <w:rsid w:val="00E00E8E"/>
    <w:rsid w:val="00E01DB0"/>
    <w:rsid w:val="00E02282"/>
    <w:rsid w:val="00E02E49"/>
    <w:rsid w:val="00E03C2F"/>
    <w:rsid w:val="00E03FC3"/>
    <w:rsid w:val="00E0407D"/>
    <w:rsid w:val="00E042A8"/>
    <w:rsid w:val="00E047E7"/>
    <w:rsid w:val="00E04EBD"/>
    <w:rsid w:val="00E04F57"/>
    <w:rsid w:val="00E05630"/>
    <w:rsid w:val="00E05689"/>
    <w:rsid w:val="00E05DE3"/>
    <w:rsid w:val="00E06174"/>
    <w:rsid w:val="00E064EC"/>
    <w:rsid w:val="00E06813"/>
    <w:rsid w:val="00E06DBB"/>
    <w:rsid w:val="00E06F7E"/>
    <w:rsid w:val="00E07980"/>
    <w:rsid w:val="00E07A01"/>
    <w:rsid w:val="00E07BCA"/>
    <w:rsid w:val="00E10149"/>
    <w:rsid w:val="00E10657"/>
    <w:rsid w:val="00E11340"/>
    <w:rsid w:val="00E12292"/>
    <w:rsid w:val="00E122A1"/>
    <w:rsid w:val="00E13438"/>
    <w:rsid w:val="00E135FD"/>
    <w:rsid w:val="00E13A7E"/>
    <w:rsid w:val="00E140AF"/>
    <w:rsid w:val="00E1550C"/>
    <w:rsid w:val="00E16372"/>
    <w:rsid w:val="00E173EE"/>
    <w:rsid w:val="00E17B81"/>
    <w:rsid w:val="00E2070F"/>
    <w:rsid w:val="00E20E4D"/>
    <w:rsid w:val="00E20ED6"/>
    <w:rsid w:val="00E21358"/>
    <w:rsid w:val="00E21EAB"/>
    <w:rsid w:val="00E21F61"/>
    <w:rsid w:val="00E22147"/>
    <w:rsid w:val="00E22415"/>
    <w:rsid w:val="00E2249B"/>
    <w:rsid w:val="00E225F6"/>
    <w:rsid w:val="00E2268D"/>
    <w:rsid w:val="00E22A0D"/>
    <w:rsid w:val="00E231DD"/>
    <w:rsid w:val="00E23A72"/>
    <w:rsid w:val="00E244F6"/>
    <w:rsid w:val="00E24C70"/>
    <w:rsid w:val="00E25046"/>
    <w:rsid w:val="00E25D30"/>
    <w:rsid w:val="00E26A01"/>
    <w:rsid w:val="00E26DB6"/>
    <w:rsid w:val="00E2746F"/>
    <w:rsid w:val="00E2771E"/>
    <w:rsid w:val="00E30A05"/>
    <w:rsid w:val="00E311EF"/>
    <w:rsid w:val="00E32180"/>
    <w:rsid w:val="00E32914"/>
    <w:rsid w:val="00E32BAA"/>
    <w:rsid w:val="00E33227"/>
    <w:rsid w:val="00E3413D"/>
    <w:rsid w:val="00E341F9"/>
    <w:rsid w:val="00E34948"/>
    <w:rsid w:val="00E35B59"/>
    <w:rsid w:val="00E36C20"/>
    <w:rsid w:val="00E3710B"/>
    <w:rsid w:val="00E37569"/>
    <w:rsid w:val="00E401B2"/>
    <w:rsid w:val="00E408F6"/>
    <w:rsid w:val="00E409C8"/>
    <w:rsid w:val="00E41B71"/>
    <w:rsid w:val="00E41E30"/>
    <w:rsid w:val="00E42BB8"/>
    <w:rsid w:val="00E42E34"/>
    <w:rsid w:val="00E42F73"/>
    <w:rsid w:val="00E435CC"/>
    <w:rsid w:val="00E437B6"/>
    <w:rsid w:val="00E43CE5"/>
    <w:rsid w:val="00E43D70"/>
    <w:rsid w:val="00E43EE3"/>
    <w:rsid w:val="00E44378"/>
    <w:rsid w:val="00E466F3"/>
    <w:rsid w:val="00E47046"/>
    <w:rsid w:val="00E47637"/>
    <w:rsid w:val="00E47B2C"/>
    <w:rsid w:val="00E503FB"/>
    <w:rsid w:val="00E50748"/>
    <w:rsid w:val="00E50EF3"/>
    <w:rsid w:val="00E50FF9"/>
    <w:rsid w:val="00E510F8"/>
    <w:rsid w:val="00E514BA"/>
    <w:rsid w:val="00E51560"/>
    <w:rsid w:val="00E53FC8"/>
    <w:rsid w:val="00E54347"/>
    <w:rsid w:val="00E55424"/>
    <w:rsid w:val="00E55890"/>
    <w:rsid w:val="00E55915"/>
    <w:rsid w:val="00E55BB5"/>
    <w:rsid w:val="00E56034"/>
    <w:rsid w:val="00E56546"/>
    <w:rsid w:val="00E56660"/>
    <w:rsid w:val="00E567E7"/>
    <w:rsid w:val="00E56936"/>
    <w:rsid w:val="00E56D6A"/>
    <w:rsid w:val="00E56EB8"/>
    <w:rsid w:val="00E56F59"/>
    <w:rsid w:val="00E5709C"/>
    <w:rsid w:val="00E578FE"/>
    <w:rsid w:val="00E60D63"/>
    <w:rsid w:val="00E61B75"/>
    <w:rsid w:val="00E6223D"/>
    <w:rsid w:val="00E6250A"/>
    <w:rsid w:val="00E62994"/>
    <w:rsid w:val="00E651F3"/>
    <w:rsid w:val="00E652C0"/>
    <w:rsid w:val="00E653A4"/>
    <w:rsid w:val="00E65E79"/>
    <w:rsid w:val="00E6653C"/>
    <w:rsid w:val="00E66BA2"/>
    <w:rsid w:val="00E66FD5"/>
    <w:rsid w:val="00E670A9"/>
    <w:rsid w:val="00E67416"/>
    <w:rsid w:val="00E6760A"/>
    <w:rsid w:val="00E678FB"/>
    <w:rsid w:val="00E67AAD"/>
    <w:rsid w:val="00E67C9D"/>
    <w:rsid w:val="00E70200"/>
    <w:rsid w:val="00E718B6"/>
    <w:rsid w:val="00E7210E"/>
    <w:rsid w:val="00E7212D"/>
    <w:rsid w:val="00E723BA"/>
    <w:rsid w:val="00E72BDF"/>
    <w:rsid w:val="00E73581"/>
    <w:rsid w:val="00E74B47"/>
    <w:rsid w:val="00E7517D"/>
    <w:rsid w:val="00E75695"/>
    <w:rsid w:val="00E76227"/>
    <w:rsid w:val="00E767D3"/>
    <w:rsid w:val="00E77E81"/>
    <w:rsid w:val="00E8094D"/>
    <w:rsid w:val="00E80F62"/>
    <w:rsid w:val="00E81C94"/>
    <w:rsid w:val="00E8219A"/>
    <w:rsid w:val="00E82735"/>
    <w:rsid w:val="00E82EFF"/>
    <w:rsid w:val="00E833F7"/>
    <w:rsid w:val="00E83BDF"/>
    <w:rsid w:val="00E86368"/>
    <w:rsid w:val="00E86684"/>
    <w:rsid w:val="00E86A69"/>
    <w:rsid w:val="00E86AF5"/>
    <w:rsid w:val="00E86B88"/>
    <w:rsid w:val="00E86C23"/>
    <w:rsid w:val="00E87071"/>
    <w:rsid w:val="00E8722E"/>
    <w:rsid w:val="00E87A1D"/>
    <w:rsid w:val="00E87F80"/>
    <w:rsid w:val="00E9094A"/>
    <w:rsid w:val="00E91D35"/>
    <w:rsid w:val="00E925CD"/>
    <w:rsid w:val="00E926A5"/>
    <w:rsid w:val="00E928CC"/>
    <w:rsid w:val="00E92FEA"/>
    <w:rsid w:val="00E93527"/>
    <w:rsid w:val="00E939F4"/>
    <w:rsid w:val="00E94D73"/>
    <w:rsid w:val="00E9637E"/>
    <w:rsid w:val="00E96496"/>
    <w:rsid w:val="00E964B8"/>
    <w:rsid w:val="00E96A85"/>
    <w:rsid w:val="00EA0182"/>
    <w:rsid w:val="00EA1434"/>
    <w:rsid w:val="00EA17C3"/>
    <w:rsid w:val="00EA2964"/>
    <w:rsid w:val="00EA2AD9"/>
    <w:rsid w:val="00EA2BAB"/>
    <w:rsid w:val="00EA2CAA"/>
    <w:rsid w:val="00EA2FE2"/>
    <w:rsid w:val="00EA3094"/>
    <w:rsid w:val="00EA3799"/>
    <w:rsid w:val="00EA3864"/>
    <w:rsid w:val="00EA40A6"/>
    <w:rsid w:val="00EA4501"/>
    <w:rsid w:val="00EA4894"/>
    <w:rsid w:val="00EA4C02"/>
    <w:rsid w:val="00EA4E5E"/>
    <w:rsid w:val="00EA5229"/>
    <w:rsid w:val="00EA5EFD"/>
    <w:rsid w:val="00EA6E05"/>
    <w:rsid w:val="00EA6E54"/>
    <w:rsid w:val="00EA71DC"/>
    <w:rsid w:val="00EA752F"/>
    <w:rsid w:val="00EA7F1C"/>
    <w:rsid w:val="00EB1177"/>
    <w:rsid w:val="00EB136B"/>
    <w:rsid w:val="00EB15B6"/>
    <w:rsid w:val="00EB187A"/>
    <w:rsid w:val="00EB20F4"/>
    <w:rsid w:val="00EB221C"/>
    <w:rsid w:val="00EB25A5"/>
    <w:rsid w:val="00EB3118"/>
    <w:rsid w:val="00EB3216"/>
    <w:rsid w:val="00EB3BF3"/>
    <w:rsid w:val="00EB3D06"/>
    <w:rsid w:val="00EB4916"/>
    <w:rsid w:val="00EB57EE"/>
    <w:rsid w:val="00EB5E0C"/>
    <w:rsid w:val="00EB5F4F"/>
    <w:rsid w:val="00EB6B65"/>
    <w:rsid w:val="00EB78DD"/>
    <w:rsid w:val="00EC00C9"/>
    <w:rsid w:val="00EC0DD9"/>
    <w:rsid w:val="00EC0E0A"/>
    <w:rsid w:val="00EC1DB1"/>
    <w:rsid w:val="00EC20EA"/>
    <w:rsid w:val="00EC2649"/>
    <w:rsid w:val="00EC31ED"/>
    <w:rsid w:val="00EC3F54"/>
    <w:rsid w:val="00EC4CD5"/>
    <w:rsid w:val="00EC546B"/>
    <w:rsid w:val="00EC569F"/>
    <w:rsid w:val="00EC5822"/>
    <w:rsid w:val="00EC5836"/>
    <w:rsid w:val="00EC6564"/>
    <w:rsid w:val="00EC688C"/>
    <w:rsid w:val="00EC6D9E"/>
    <w:rsid w:val="00EC7477"/>
    <w:rsid w:val="00EC74F1"/>
    <w:rsid w:val="00ED0153"/>
    <w:rsid w:val="00ED01C4"/>
    <w:rsid w:val="00ED0BD2"/>
    <w:rsid w:val="00ED1F0D"/>
    <w:rsid w:val="00ED1F95"/>
    <w:rsid w:val="00ED24A7"/>
    <w:rsid w:val="00ED29CD"/>
    <w:rsid w:val="00ED422B"/>
    <w:rsid w:val="00ED4332"/>
    <w:rsid w:val="00ED50B4"/>
    <w:rsid w:val="00ED57EA"/>
    <w:rsid w:val="00ED5BD4"/>
    <w:rsid w:val="00ED63A3"/>
    <w:rsid w:val="00ED6A7A"/>
    <w:rsid w:val="00EE07D3"/>
    <w:rsid w:val="00EE1996"/>
    <w:rsid w:val="00EE1C01"/>
    <w:rsid w:val="00EE1D7C"/>
    <w:rsid w:val="00EE22AF"/>
    <w:rsid w:val="00EE233C"/>
    <w:rsid w:val="00EE24B7"/>
    <w:rsid w:val="00EE2E40"/>
    <w:rsid w:val="00EE5580"/>
    <w:rsid w:val="00EE5606"/>
    <w:rsid w:val="00EE59BB"/>
    <w:rsid w:val="00EE5B51"/>
    <w:rsid w:val="00EE5DC8"/>
    <w:rsid w:val="00EE5FE8"/>
    <w:rsid w:val="00EE6FB9"/>
    <w:rsid w:val="00EE7413"/>
    <w:rsid w:val="00EE751C"/>
    <w:rsid w:val="00EE766A"/>
    <w:rsid w:val="00EF0171"/>
    <w:rsid w:val="00EF08FB"/>
    <w:rsid w:val="00EF136B"/>
    <w:rsid w:val="00EF1B25"/>
    <w:rsid w:val="00EF1D94"/>
    <w:rsid w:val="00EF1DA0"/>
    <w:rsid w:val="00EF21D7"/>
    <w:rsid w:val="00EF2450"/>
    <w:rsid w:val="00EF2D2E"/>
    <w:rsid w:val="00EF322F"/>
    <w:rsid w:val="00EF39EB"/>
    <w:rsid w:val="00EF4747"/>
    <w:rsid w:val="00EF476C"/>
    <w:rsid w:val="00EF48AF"/>
    <w:rsid w:val="00EF4A45"/>
    <w:rsid w:val="00EF4BF8"/>
    <w:rsid w:val="00EF5184"/>
    <w:rsid w:val="00EF5EE0"/>
    <w:rsid w:val="00EF6077"/>
    <w:rsid w:val="00EF644D"/>
    <w:rsid w:val="00EF6594"/>
    <w:rsid w:val="00EF6A20"/>
    <w:rsid w:val="00EF6AB8"/>
    <w:rsid w:val="00EF7DD7"/>
    <w:rsid w:val="00F00F7C"/>
    <w:rsid w:val="00F01ED5"/>
    <w:rsid w:val="00F02253"/>
    <w:rsid w:val="00F028A9"/>
    <w:rsid w:val="00F02971"/>
    <w:rsid w:val="00F03414"/>
    <w:rsid w:val="00F03510"/>
    <w:rsid w:val="00F03C2E"/>
    <w:rsid w:val="00F0403C"/>
    <w:rsid w:val="00F042F7"/>
    <w:rsid w:val="00F04A66"/>
    <w:rsid w:val="00F04B4B"/>
    <w:rsid w:val="00F0516C"/>
    <w:rsid w:val="00F0567E"/>
    <w:rsid w:val="00F05790"/>
    <w:rsid w:val="00F063A7"/>
    <w:rsid w:val="00F067A2"/>
    <w:rsid w:val="00F06BFD"/>
    <w:rsid w:val="00F07149"/>
    <w:rsid w:val="00F07B9E"/>
    <w:rsid w:val="00F07EA5"/>
    <w:rsid w:val="00F07F61"/>
    <w:rsid w:val="00F1007F"/>
    <w:rsid w:val="00F10300"/>
    <w:rsid w:val="00F10FF6"/>
    <w:rsid w:val="00F1116F"/>
    <w:rsid w:val="00F11C07"/>
    <w:rsid w:val="00F1263A"/>
    <w:rsid w:val="00F12CE8"/>
    <w:rsid w:val="00F1343D"/>
    <w:rsid w:val="00F139AD"/>
    <w:rsid w:val="00F13E3A"/>
    <w:rsid w:val="00F13F2B"/>
    <w:rsid w:val="00F14BCC"/>
    <w:rsid w:val="00F1553E"/>
    <w:rsid w:val="00F15B77"/>
    <w:rsid w:val="00F15E91"/>
    <w:rsid w:val="00F16276"/>
    <w:rsid w:val="00F17CAD"/>
    <w:rsid w:val="00F17DCB"/>
    <w:rsid w:val="00F20564"/>
    <w:rsid w:val="00F20CE6"/>
    <w:rsid w:val="00F21741"/>
    <w:rsid w:val="00F21B9F"/>
    <w:rsid w:val="00F22024"/>
    <w:rsid w:val="00F22072"/>
    <w:rsid w:val="00F22588"/>
    <w:rsid w:val="00F2259A"/>
    <w:rsid w:val="00F226D2"/>
    <w:rsid w:val="00F22A0D"/>
    <w:rsid w:val="00F22CB3"/>
    <w:rsid w:val="00F231FC"/>
    <w:rsid w:val="00F238E2"/>
    <w:rsid w:val="00F2402D"/>
    <w:rsid w:val="00F2404B"/>
    <w:rsid w:val="00F24726"/>
    <w:rsid w:val="00F24837"/>
    <w:rsid w:val="00F24AE4"/>
    <w:rsid w:val="00F25464"/>
    <w:rsid w:val="00F2575F"/>
    <w:rsid w:val="00F25992"/>
    <w:rsid w:val="00F25A30"/>
    <w:rsid w:val="00F25F6B"/>
    <w:rsid w:val="00F26782"/>
    <w:rsid w:val="00F26925"/>
    <w:rsid w:val="00F2745E"/>
    <w:rsid w:val="00F274B1"/>
    <w:rsid w:val="00F27565"/>
    <w:rsid w:val="00F27B80"/>
    <w:rsid w:val="00F30F9F"/>
    <w:rsid w:val="00F310D4"/>
    <w:rsid w:val="00F312E2"/>
    <w:rsid w:val="00F31364"/>
    <w:rsid w:val="00F31767"/>
    <w:rsid w:val="00F31AAD"/>
    <w:rsid w:val="00F31D5A"/>
    <w:rsid w:val="00F322FD"/>
    <w:rsid w:val="00F32C0D"/>
    <w:rsid w:val="00F32FD7"/>
    <w:rsid w:val="00F337FF"/>
    <w:rsid w:val="00F33975"/>
    <w:rsid w:val="00F33AC1"/>
    <w:rsid w:val="00F33DE9"/>
    <w:rsid w:val="00F34A73"/>
    <w:rsid w:val="00F35CC1"/>
    <w:rsid w:val="00F35E6D"/>
    <w:rsid w:val="00F35F0B"/>
    <w:rsid w:val="00F3619A"/>
    <w:rsid w:val="00F3655A"/>
    <w:rsid w:val="00F40090"/>
    <w:rsid w:val="00F40AAA"/>
    <w:rsid w:val="00F40BA7"/>
    <w:rsid w:val="00F40F9D"/>
    <w:rsid w:val="00F41ACD"/>
    <w:rsid w:val="00F41C74"/>
    <w:rsid w:val="00F43316"/>
    <w:rsid w:val="00F43E20"/>
    <w:rsid w:val="00F43E8E"/>
    <w:rsid w:val="00F446A1"/>
    <w:rsid w:val="00F44D80"/>
    <w:rsid w:val="00F45DC7"/>
    <w:rsid w:val="00F46CB6"/>
    <w:rsid w:val="00F4756D"/>
    <w:rsid w:val="00F47DE8"/>
    <w:rsid w:val="00F5034B"/>
    <w:rsid w:val="00F51785"/>
    <w:rsid w:val="00F5248F"/>
    <w:rsid w:val="00F529F3"/>
    <w:rsid w:val="00F52B53"/>
    <w:rsid w:val="00F531D2"/>
    <w:rsid w:val="00F54187"/>
    <w:rsid w:val="00F541AD"/>
    <w:rsid w:val="00F542C1"/>
    <w:rsid w:val="00F544D8"/>
    <w:rsid w:val="00F54944"/>
    <w:rsid w:val="00F551A9"/>
    <w:rsid w:val="00F55C23"/>
    <w:rsid w:val="00F55E73"/>
    <w:rsid w:val="00F55EDA"/>
    <w:rsid w:val="00F566C3"/>
    <w:rsid w:val="00F56AFA"/>
    <w:rsid w:val="00F56C80"/>
    <w:rsid w:val="00F60092"/>
    <w:rsid w:val="00F604EA"/>
    <w:rsid w:val="00F611C5"/>
    <w:rsid w:val="00F619DE"/>
    <w:rsid w:val="00F61C18"/>
    <w:rsid w:val="00F61C55"/>
    <w:rsid w:val="00F62130"/>
    <w:rsid w:val="00F62447"/>
    <w:rsid w:val="00F629DD"/>
    <w:rsid w:val="00F63437"/>
    <w:rsid w:val="00F64538"/>
    <w:rsid w:val="00F64AF6"/>
    <w:rsid w:val="00F6518F"/>
    <w:rsid w:val="00F654F6"/>
    <w:rsid w:val="00F65F4B"/>
    <w:rsid w:val="00F67A69"/>
    <w:rsid w:val="00F70AE0"/>
    <w:rsid w:val="00F70BFF"/>
    <w:rsid w:val="00F70C9D"/>
    <w:rsid w:val="00F71287"/>
    <w:rsid w:val="00F72009"/>
    <w:rsid w:val="00F72EA0"/>
    <w:rsid w:val="00F73570"/>
    <w:rsid w:val="00F74218"/>
    <w:rsid w:val="00F74CD9"/>
    <w:rsid w:val="00F75E3F"/>
    <w:rsid w:val="00F76287"/>
    <w:rsid w:val="00F76CE0"/>
    <w:rsid w:val="00F76D8A"/>
    <w:rsid w:val="00F76E05"/>
    <w:rsid w:val="00F774B9"/>
    <w:rsid w:val="00F8048C"/>
    <w:rsid w:val="00F80A7B"/>
    <w:rsid w:val="00F80E5D"/>
    <w:rsid w:val="00F81075"/>
    <w:rsid w:val="00F810C7"/>
    <w:rsid w:val="00F8119E"/>
    <w:rsid w:val="00F81386"/>
    <w:rsid w:val="00F8160B"/>
    <w:rsid w:val="00F81E78"/>
    <w:rsid w:val="00F82035"/>
    <w:rsid w:val="00F82C05"/>
    <w:rsid w:val="00F83437"/>
    <w:rsid w:val="00F8346E"/>
    <w:rsid w:val="00F839D2"/>
    <w:rsid w:val="00F8493F"/>
    <w:rsid w:val="00F84ADF"/>
    <w:rsid w:val="00F84F1D"/>
    <w:rsid w:val="00F851CE"/>
    <w:rsid w:val="00F85231"/>
    <w:rsid w:val="00F856B2"/>
    <w:rsid w:val="00F8742C"/>
    <w:rsid w:val="00F87B63"/>
    <w:rsid w:val="00F90509"/>
    <w:rsid w:val="00F91219"/>
    <w:rsid w:val="00F919E1"/>
    <w:rsid w:val="00F91A50"/>
    <w:rsid w:val="00F91EB4"/>
    <w:rsid w:val="00F92444"/>
    <w:rsid w:val="00F928EC"/>
    <w:rsid w:val="00F93170"/>
    <w:rsid w:val="00F9342C"/>
    <w:rsid w:val="00F9393E"/>
    <w:rsid w:val="00F93D12"/>
    <w:rsid w:val="00F93DFE"/>
    <w:rsid w:val="00F9537A"/>
    <w:rsid w:val="00F95D98"/>
    <w:rsid w:val="00F96DBF"/>
    <w:rsid w:val="00F96FD0"/>
    <w:rsid w:val="00F97A78"/>
    <w:rsid w:val="00FA0B20"/>
    <w:rsid w:val="00FA11D5"/>
    <w:rsid w:val="00FA2197"/>
    <w:rsid w:val="00FA24E7"/>
    <w:rsid w:val="00FA24EF"/>
    <w:rsid w:val="00FA25AC"/>
    <w:rsid w:val="00FA3628"/>
    <w:rsid w:val="00FA3DFF"/>
    <w:rsid w:val="00FA4498"/>
    <w:rsid w:val="00FA4AE6"/>
    <w:rsid w:val="00FA5EE6"/>
    <w:rsid w:val="00FA76EB"/>
    <w:rsid w:val="00FA7956"/>
    <w:rsid w:val="00FA7B46"/>
    <w:rsid w:val="00FA7FD7"/>
    <w:rsid w:val="00FB0D19"/>
    <w:rsid w:val="00FB2FCB"/>
    <w:rsid w:val="00FB34EB"/>
    <w:rsid w:val="00FB3A2E"/>
    <w:rsid w:val="00FB4A89"/>
    <w:rsid w:val="00FB588F"/>
    <w:rsid w:val="00FB5E3B"/>
    <w:rsid w:val="00FB5E87"/>
    <w:rsid w:val="00FB64D4"/>
    <w:rsid w:val="00FB6D33"/>
    <w:rsid w:val="00FB7808"/>
    <w:rsid w:val="00FB7C53"/>
    <w:rsid w:val="00FB7C55"/>
    <w:rsid w:val="00FB7E87"/>
    <w:rsid w:val="00FC01D8"/>
    <w:rsid w:val="00FC0371"/>
    <w:rsid w:val="00FC1074"/>
    <w:rsid w:val="00FC1884"/>
    <w:rsid w:val="00FC1F98"/>
    <w:rsid w:val="00FC30F6"/>
    <w:rsid w:val="00FC3204"/>
    <w:rsid w:val="00FC371D"/>
    <w:rsid w:val="00FC3C81"/>
    <w:rsid w:val="00FC51EE"/>
    <w:rsid w:val="00FC5329"/>
    <w:rsid w:val="00FC5583"/>
    <w:rsid w:val="00FC56A1"/>
    <w:rsid w:val="00FC5F0B"/>
    <w:rsid w:val="00FC5F18"/>
    <w:rsid w:val="00FC615F"/>
    <w:rsid w:val="00FC6612"/>
    <w:rsid w:val="00FC73D8"/>
    <w:rsid w:val="00FD0B78"/>
    <w:rsid w:val="00FD18EA"/>
    <w:rsid w:val="00FD2100"/>
    <w:rsid w:val="00FD24CC"/>
    <w:rsid w:val="00FD2996"/>
    <w:rsid w:val="00FD3480"/>
    <w:rsid w:val="00FD4197"/>
    <w:rsid w:val="00FD436C"/>
    <w:rsid w:val="00FD446D"/>
    <w:rsid w:val="00FD44A9"/>
    <w:rsid w:val="00FD4939"/>
    <w:rsid w:val="00FD4F2C"/>
    <w:rsid w:val="00FD502D"/>
    <w:rsid w:val="00FD5971"/>
    <w:rsid w:val="00FD59FD"/>
    <w:rsid w:val="00FD5FE2"/>
    <w:rsid w:val="00FD6394"/>
    <w:rsid w:val="00FD6C4E"/>
    <w:rsid w:val="00FD6C67"/>
    <w:rsid w:val="00FD743D"/>
    <w:rsid w:val="00FD7643"/>
    <w:rsid w:val="00FE0E6C"/>
    <w:rsid w:val="00FE1CDC"/>
    <w:rsid w:val="00FE598B"/>
    <w:rsid w:val="00FE62CC"/>
    <w:rsid w:val="00FE70C3"/>
    <w:rsid w:val="00FE73BA"/>
    <w:rsid w:val="00FE7CB5"/>
    <w:rsid w:val="00FF046F"/>
    <w:rsid w:val="00FF103A"/>
    <w:rsid w:val="00FF1344"/>
    <w:rsid w:val="00FF1A54"/>
    <w:rsid w:val="00FF2AD9"/>
    <w:rsid w:val="00FF359F"/>
    <w:rsid w:val="00FF367D"/>
    <w:rsid w:val="00FF38E3"/>
    <w:rsid w:val="00FF3DCF"/>
    <w:rsid w:val="00FF41A7"/>
    <w:rsid w:val="00FF492C"/>
    <w:rsid w:val="00FF4A21"/>
    <w:rsid w:val="00FF4B53"/>
    <w:rsid w:val="00FF4BBD"/>
    <w:rsid w:val="00FF5256"/>
    <w:rsid w:val="00FF5AA3"/>
    <w:rsid w:val="00FF5AD8"/>
    <w:rsid w:val="00FF79B6"/>
    <w:rsid w:val="12175194"/>
    <w:rsid w:val="48E1CB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F84F1D"/>
    <w:pPr>
      <w:keepNext/>
      <w:numPr>
        <w:numId w:val="4"/>
      </w:numPr>
      <w:spacing w:before="240" w:after="120"/>
      <w:ind w:left="709" w:hanging="709"/>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uiPriority w:val="99"/>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ListParagraph">
    <w:name w:val="List Paragraph"/>
    <w:aliases w:val="Numbered para,BulletPoints,Section heading,Bullet point,List Paragraph1,List Paragraph11,Recommendation,Bullet1,Summary Bullets,ES Paragraph,PBAC ES Paragraph,PBAC normal points,Bullet List,Level 1 Bullet,Section 5,Body Text Bullet Points"/>
    <w:basedOn w:val="Normal"/>
    <w:link w:val="ListParagraphChar"/>
    <w:uiPriority w:val="34"/>
    <w:qFormat/>
    <w:rsid w:val="002C62B3"/>
    <w:pPr>
      <w:spacing w:after="158" w:line="360" w:lineRule="auto"/>
      <w:ind w:left="720"/>
      <w:contextualSpacing/>
    </w:pPr>
    <w:rPr>
      <w:rFonts w:ascii="Arial" w:eastAsiaTheme="minorHAnsi" w:hAnsi="Arial" w:cstheme="minorBidi"/>
      <w:sz w:val="20"/>
      <w:szCs w:val="22"/>
      <w:lang w:val="en-GB" w:eastAsia="en-US"/>
    </w:rPr>
  </w:style>
  <w:style w:type="character" w:customStyle="1" w:styleId="ListParagraphChar">
    <w:name w:val="List Paragraph Char"/>
    <w:aliases w:val="Numbered para Char,BulletPoints Char,Section heading Char,Bullet point Char,List Paragraph1 Char,List Paragraph11 Char,Recommendation Char,Bullet1 Char,Summary Bullets Char,ES Paragraph Char,PBAC ES Paragraph Char,Bullet List Char"/>
    <w:link w:val="ListParagraph"/>
    <w:uiPriority w:val="34"/>
    <w:qFormat/>
    <w:locked/>
    <w:rsid w:val="002C62B3"/>
    <w:rPr>
      <w:rFonts w:ascii="Arial" w:eastAsiaTheme="minorHAnsi" w:hAnsi="Arial" w:cstheme="minorBidi"/>
      <w:szCs w:val="22"/>
      <w:lang w:val="en-GB" w:eastAsia="en-US"/>
    </w:rPr>
  </w:style>
  <w:style w:type="character" w:styleId="CommentReference">
    <w:name w:val="annotation reference"/>
    <w:aliases w:val="Table Title"/>
    <w:basedOn w:val="DefaultParagraphFont"/>
    <w:uiPriority w:val="99"/>
    <w:unhideWhenUsed/>
    <w:qFormat/>
    <w:rsid w:val="00011825"/>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011825"/>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011825"/>
    <w:rPr>
      <w:rFonts w:ascii="Calibri" w:hAnsi="Calibri" w:cs="Arial"/>
    </w:rPr>
  </w:style>
  <w:style w:type="paragraph" w:styleId="CommentSubject">
    <w:name w:val="annotation subject"/>
    <w:basedOn w:val="CommentText"/>
    <w:next w:val="CommentText"/>
    <w:link w:val="CommentSubjectChar"/>
    <w:semiHidden/>
    <w:unhideWhenUsed/>
    <w:rsid w:val="00011825"/>
    <w:rPr>
      <w:b/>
      <w:bCs/>
    </w:rPr>
  </w:style>
  <w:style w:type="character" w:customStyle="1" w:styleId="CommentSubjectChar">
    <w:name w:val="Comment Subject Char"/>
    <w:basedOn w:val="CommentTextChar"/>
    <w:link w:val="CommentSubject"/>
    <w:semiHidden/>
    <w:rsid w:val="00011825"/>
    <w:rPr>
      <w:rFonts w:ascii="Calibri" w:hAnsi="Calibri" w:cs="Arial"/>
      <w:b/>
      <w:bCs/>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Body text"/>
    <w:basedOn w:val="Normal"/>
    <w:link w:val="BodyTextChar"/>
    <w:unhideWhenUsed/>
    <w:rsid w:val="00F71287"/>
    <w:pPr>
      <w:spacing w:after="120" w:line="360" w:lineRule="auto"/>
    </w:pPr>
    <w:rPr>
      <w:rFonts w:ascii="Arial" w:eastAsiaTheme="minorHAnsi" w:hAnsi="Arial" w:cstheme="minorBidi"/>
      <w:sz w:val="20"/>
      <w:szCs w:val="22"/>
      <w:lang w:eastAsia="en-US"/>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Body text Char"/>
    <w:basedOn w:val="DefaultParagraphFont"/>
    <w:link w:val="BodyText"/>
    <w:rsid w:val="00F71287"/>
    <w:rPr>
      <w:rFonts w:ascii="Arial" w:eastAsiaTheme="minorHAnsi" w:hAnsi="Arial" w:cstheme="minorBidi"/>
      <w:szCs w:val="22"/>
      <w:lang w:eastAsia="en-US"/>
    </w:rPr>
  </w:style>
  <w:style w:type="paragraph" w:customStyle="1" w:styleId="TableHeading">
    <w:name w:val="Table Heading"/>
    <w:basedOn w:val="Normal"/>
    <w:link w:val="TableHeadingChar"/>
    <w:qFormat/>
    <w:rsid w:val="00D80696"/>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D80696"/>
    <w:rPr>
      <w:rFonts w:ascii="Arial Narrow" w:eastAsiaTheme="minorHAnsi" w:hAnsi="Arial Narrow" w:cstheme="minorBidi"/>
      <w:b/>
      <w:szCs w:val="22"/>
      <w:lang w:eastAsia="en-US"/>
    </w:rPr>
  </w:style>
  <w:style w:type="paragraph" w:customStyle="1" w:styleId="TableFooter">
    <w:name w:val="Table Footer"/>
    <w:basedOn w:val="Normal"/>
    <w:link w:val="TableFooterChar"/>
    <w:qFormat/>
    <w:rsid w:val="00D80696"/>
    <w:pPr>
      <w:widowControl w:val="0"/>
    </w:pPr>
    <w:rPr>
      <w:rFonts w:ascii="Arial Narrow" w:hAnsi="Arial Narrow"/>
      <w:snapToGrid w:val="0"/>
      <w:sz w:val="18"/>
      <w:szCs w:val="22"/>
      <w:lang w:eastAsia="en-US"/>
    </w:rPr>
  </w:style>
  <w:style w:type="character" w:customStyle="1" w:styleId="TableFooterChar">
    <w:name w:val="Table Footer Char"/>
    <w:link w:val="TableFooter"/>
    <w:rsid w:val="00D80696"/>
    <w:rPr>
      <w:rFonts w:ascii="Arial Narrow" w:hAnsi="Arial Narrow" w:cs="Arial"/>
      <w:snapToGrid w:val="0"/>
      <w:sz w:val="18"/>
      <w:szCs w:val="22"/>
      <w:lang w:eastAsia="en-US"/>
    </w:rPr>
  </w:style>
  <w:style w:type="paragraph" w:customStyle="1" w:styleId="Tabletext0">
    <w:name w:val="Table text"/>
    <w:basedOn w:val="Normal"/>
    <w:link w:val="TabletextChar0"/>
    <w:qFormat/>
    <w:rsid w:val="00D80696"/>
    <w:pPr>
      <w:jc w:val="left"/>
    </w:pPr>
    <w:rPr>
      <w:rFonts w:ascii="Arial Narrow" w:hAnsi="Arial Narrow" w:cs="Times New Roman"/>
      <w:sz w:val="20"/>
      <w:szCs w:val="22"/>
      <w:lang w:eastAsia="en-US"/>
    </w:rPr>
  </w:style>
  <w:style w:type="character" w:customStyle="1" w:styleId="TabletextChar0">
    <w:name w:val="Table text Char"/>
    <w:link w:val="Tabletext0"/>
    <w:rsid w:val="00D80696"/>
    <w:rPr>
      <w:rFonts w:ascii="Arial Narrow" w:hAnsi="Arial Narrow"/>
      <w:szCs w:val="22"/>
      <w:lang w:eastAsia="en-US"/>
    </w:rPr>
  </w:style>
  <w:style w:type="paragraph" w:customStyle="1" w:styleId="TableBody">
    <w:name w:val="Table Body"/>
    <w:basedOn w:val="BodyText"/>
    <w:uiPriority w:val="61"/>
    <w:qFormat/>
    <w:rsid w:val="00D80696"/>
    <w:pPr>
      <w:spacing w:after="0" w:line="240" w:lineRule="auto"/>
      <w:jc w:val="left"/>
    </w:pPr>
    <w:rPr>
      <w:rFonts w:ascii="Arial Narrow" w:hAnsi="Arial Narrow" w:cs="Times New Roman (Body CS)"/>
      <w:sz w:val="18"/>
      <w:lang w:val="en-GB"/>
    </w:rPr>
  </w:style>
  <w:style w:type="paragraph" w:customStyle="1" w:styleId="NormalBeforeBullet">
    <w:name w:val="Normal Before Bullet"/>
    <w:basedOn w:val="Normal"/>
    <w:qFormat/>
    <w:rsid w:val="003E5A66"/>
    <w:pPr>
      <w:keepNext/>
      <w:spacing w:after="120"/>
    </w:pPr>
    <w:rPr>
      <w:rFonts w:asciiTheme="minorHAnsi" w:eastAsiaTheme="minorHAnsi" w:hAnsiTheme="minorHAnsi" w:cstheme="minorBidi"/>
      <w:sz w:val="22"/>
      <w:szCs w:val="22"/>
      <w:lang w:eastAsia="en-US"/>
    </w:rPr>
  </w:style>
  <w:style w:type="character" w:customStyle="1" w:styleId="article-headerjournal">
    <w:name w:val="article-header__journal"/>
    <w:basedOn w:val="DefaultParagraphFont"/>
    <w:rsid w:val="000A1D39"/>
  </w:style>
  <w:style w:type="character" w:customStyle="1" w:styleId="article-headersep">
    <w:name w:val="article-header__sep"/>
    <w:basedOn w:val="DefaultParagraphFont"/>
    <w:rsid w:val="000A1D39"/>
  </w:style>
  <w:style w:type="character" w:customStyle="1" w:styleId="article-headerpages">
    <w:name w:val="article-header__pages"/>
    <w:basedOn w:val="DefaultParagraphFont"/>
    <w:rsid w:val="000A1D39"/>
  </w:style>
  <w:style w:type="character" w:customStyle="1" w:styleId="article-headerdate">
    <w:name w:val="article-header__date"/>
    <w:basedOn w:val="DefaultParagraphFont"/>
    <w:rsid w:val="000A1D39"/>
  </w:style>
  <w:style w:type="paragraph" w:customStyle="1" w:styleId="article-toolsitem">
    <w:name w:val="article-tools__item"/>
    <w:basedOn w:val="Normal"/>
    <w:rsid w:val="000A1D39"/>
    <w:pPr>
      <w:spacing w:before="100" w:beforeAutospacing="1" w:after="100" w:afterAutospacing="1"/>
      <w:jc w:val="left"/>
    </w:pPr>
    <w:rPr>
      <w:rFonts w:ascii="Times New Roman" w:hAnsi="Times New Roman" w:cs="Times New Roman"/>
    </w:rPr>
  </w:style>
  <w:style w:type="character" w:customStyle="1" w:styleId="basic">
    <w:name w:val="basic"/>
    <w:basedOn w:val="DefaultParagraphFont"/>
    <w:rsid w:val="000A1D39"/>
  </w:style>
  <w:style w:type="paragraph" w:customStyle="1" w:styleId="loaitem">
    <w:name w:val="loa__item"/>
    <w:basedOn w:val="Normal"/>
    <w:rsid w:val="000A1D39"/>
    <w:pPr>
      <w:spacing w:before="100" w:beforeAutospacing="1" w:after="100" w:afterAutospacing="1"/>
      <w:jc w:val="left"/>
    </w:pPr>
    <w:rPr>
      <w:rFonts w:ascii="Times New Roman" w:hAnsi="Times New Roman" w:cs="Times New Roman"/>
    </w:rPr>
  </w:style>
  <w:style w:type="paragraph" w:styleId="Header">
    <w:name w:val="header"/>
    <w:aliases w:val="Page Header,Header title,he=header,cntr/bld"/>
    <w:basedOn w:val="Normal"/>
    <w:link w:val="HeaderChar"/>
    <w:unhideWhenUsed/>
    <w:qFormat/>
    <w:rsid w:val="002164AB"/>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2164AB"/>
    <w:rPr>
      <w:rFonts w:ascii="Calibri" w:hAnsi="Calibri" w:cs="Arial"/>
      <w:sz w:val="24"/>
      <w:szCs w:val="24"/>
    </w:rPr>
  </w:style>
  <w:style w:type="paragraph" w:styleId="Footer">
    <w:name w:val="footer"/>
    <w:basedOn w:val="Normal"/>
    <w:link w:val="FooterChar"/>
    <w:uiPriority w:val="99"/>
    <w:unhideWhenUsed/>
    <w:rsid w:val="002164AB"/>
    <w:pPr>
      <w:tabs>
        <w:tab w:val="center" w:pos="4513"/>
        <w:tab w:val="right" w:pos="9026"/>
      </w:tabs>
    </w:pPr>
  </w:style>
  <w:style w:type="character" w:customStyle="1" w:styleId="FooterChar">
    <w:name w:val="Footer Char"/>
    <w:basedOn w:val="DefaultParagraphFont"/>
    <w:link w:val="Footer"/>
    <w:uiPriority w:val="99"/>
    <w:rsid w:val="002164AB"/>
    <w:rPr>
      <w:rFonts w:ascii="Calibri" w:hAnsi="Calibri" w:cs="Arial"/>
      <w:sz w:val="24"/>
      <w:szCs w:val="24"/>
    </w:rPr>
  </w:style>
  <w:style w:type="paragraph" w:customStyle="1" w:styleId="TableFootnotesAbbreviations">
    <w:name w:val="Table Footnotes/Abbreviations"/>
    <w:basedOn w:val="BodyText"/>
    <w:link w:val="TableFootnotesAbbreviationsChar"/>
    <w:qFormat/>
    <w:rsid w:val="00CE7441"/>
    <w:pPr>
      <w:spacing w:before="60" w:after="0" w:line="240" w:lineRule="auto"/>
    </w:pPr>
    <w:rPr>
      <w:rFonts w:ascii="Calibri Light" w:hAnsi="Calibri Light" w:cs="Arial"/>
      <w:sz w:val="18"/>
      <w:szCs w:val="24"/>
      <w:lang w:val="en-US"/>
    </w:rPr>
  </w:style>
  <w:style w:type="character" w:customStyle="1" w:styleId="TableFootnotesAbbreviationsChar">
    <w:name w:val="Table Footnotes/Abbreviations Char"/>
    <w:basedOn w:val="BodyTextChar"/>
    <w:link w:val="TableFootnotesAbbreviations"/>
    <w:rsid w:val="00CE7441"/>
    <w:rPr>
      <w:rFonts w:ascii="Calibri Light" w:eastAsiaTheme="minorHAnsi" w:hAnsi="Calibri Light" w:cs="Arial"/>
      <w:sz w:val="18"/>
      <w:szCs w:val="24"/>
      <w:lang w:val="en-US" w:eastAsia="en-US"/>
    </w:rPr>
  </w:style>
  <w:style w:type="paragraph" w:customStyle="1" w:styleId="Footnote">
    <w:name w:val="Footnote"/>
    <w:basedOn w:val="BodyText"/>
    <w:next w:val="BodyText"/>
    <w:uiPriority w:val="69"/>
    <w:qFormat/>
    <w:rsid w:val="00CE7441"/>
    <w:pPr>
      <w:spacing w:before="60" w:after="320"/>
      <w:contextualSpacing/>
      <w:jc w:val="left"/>
    </w:pPr>
    <w:rPr>
      <w:rFonts w:asciiTheme="minorHAnsi" w:hAnsiTheme="minorHAnsi"/>
      <w:sz w:val="19"/>
      <w:lang w:val="en-GB"/>
    </w:rPr>
  </w:style>
  <w:style w:type="paragraph" w:styleId="NormalWeb">
    <w:name w:val="Normal (Web)"/>
    <w:basedOn w:val="Normal"/>
    <w:uiPriority w:val="99"/>
    <w:unhideWhenUsed/>
    <w:rsid w:val="00CE7441"/>
    <w:pPr>
      <w:spacing w:before="100" w:beforeAutospacing="1" w:after="100" w:afterAutospacing="1"/>
      <w:jc w:val="left"/>
    </w:pPr>
    <w:rPr>
      <w:rFonts w:cs="Times New Roman"/>
      <w:sz w:val="22"/>
      <w:szCs w:val="22"/>
    </w:rPr>
  </w:style>
  <w:style w:type="paragraph" w:customStyle="1" w:styleId="TableNote-H58">
    <w:name w:val="Table Note - H58"/>
    <w:basedOn w:val="BodyText"/>
    <w:qFormat/>
    <w:rsid w:val="00CE7441"/>
    <w:pPr>
      <w:keepLines/>
      <w:tabs>
        <w:tab w:val="left" w:pos="680"/>
      </w:tabs>
      <w:spacing w:after="0" w:line="240" w:lineRule="auto"/>
    </w:pPr>
    <w:rPr>
      <w:rFonts w:ascii="Arial Narrow" w:eastAsiaTheme="minorEastAsia" w:hAnsi="Arial Narrow" w:cs="Times New Roman (Body CS)"/>
      <w:bCs/>
      <w:color w:val="000000" w:themeColor="text1"/>
      <w:sz w:val="16"/>
      <w:szCs w:val="12"/>
      <w:lang w:val="en-GB"/>
    </w:rPr>
  </w:style>
  <w:style w:type="character" w:customStyle="1" w:styleId="ref-title">
    <w:name w:val="ref-title"/>
    <w:basedOn w:val="DefaultParagraphFont"/>
    <w:rsid w:val="00CE7441"/>
  </w:style>
  <w:style w:type="character" w:customStyle="1" w:styleId="ref-journal">
    <w:name w:val="ref-journal"/>
    <w:basedOn w:val="DefaultParagraphFont"/>
    <w:rsid w:val="00CE7441"/>
  </w:style>
  <w:style w:type="character" w:customStyle="1" w:styleId="ref-vol">
    <w:name w:val="ref-vol"/>
    <w:basedOn w:val="DefaultParagraphFont"/>
    <w:rsid w:val="00CE7441"/>
  </w:style>
  <w:style w:type="paragraph" w:customStyle="1" w:styleId="BodytextAgency">
    <w:name w:val="Body text (Agency)"/>
    <w:basedOn w:val="Normal"/>
    <w:link w:val="BodytextAgencyChar"/>
    <w:qFormat/>
    <w:rsid w:val="00CE744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CE7441"/>
    <w:rPr>
      <w:rFonts w:ascii="Verdana" w:eastAsia="Verdana" w:hAnsi="Verdana" w:cs="Verdana"/>
      <w:sz w:val="18"/>
      <w:szCs w:val="18"/>
      <w:lang w:val="en-GB" w:eastAsia="en-GB"/>
    </w:rPr>
  </w:style>
  <w:style w:type="paragraph" w:customStyle="1" w:styleId="AlphaList">
    <w:name w:val="Alpha List"/>
    <w:basedOn w:val="BodyText"/>
    <w:uiPriority w:val="2"/>
    <w:semiHidden/>
    <w:qFormat/>
    <w:rsid w:val="00CE7441"/>
    <w:pPr>
      <w:numPr>
        <w:numId w:val="5"/>
      </w:numPr>
      <w:spacing w:after="60" w:line="276" w:lineRule="auto"/>
      <w:contextualSpacing/>
    </w:pPr>
    <w:rPr>
      <w:rFonts w:asciiTheme="minorHAnsi" w:hAnsiTheme="minorHAnsi" w:cs="Times New Roman (Body CS)"/>
      <w:lang w:val="en-GB"/>
    </w:rPr>
  </w:style>
  <w:style w:type="character" w:customStyle="1" w:styleId="Heading1Char">
    <w:name w:val="Heading 1 Char"/>
    <w:basedOn w:val="DefaultParagraphFont"/>
    <w:link w:val="Heading1"/>
    <w:uiPriority w:val="1"/>
    <w:rsid w:val="00CE7441"/>
    <w:rPr>
      <w:rFonts w:ascii="Calibri" w:hAnsi="Calibri" w:cs="Arial"/>
      <w:b/>
      <w:caps/>
      <w:sz w:val="32"/>
      <w:szCs w:val="24"/>
    </w:rPr>
  </w:style>
  <w:style w:type="character" w:customStyle="1" w:styleId="Heading3Char">
    <w:name w:val="Heading 3 Char"/>
    <w:basedOn w:val="DefaultParagraphFont"/>
    <w:link w:val="Heading3"/>
    <w:rsid w:val="00CE7441"/>
    <w:rPr>
      <w:rFonts w:ascii="Calibri" w:hAnsi="Calibri" w:cs="Arial"/>
      <w:sz w:val="24"/>
      <w:szCs w:val="24"/>
      <w:u w:val="single"/>
    </w:rPr>
  </w:style>
  <w:style w:type="character" w:customStyle="1" w:styleId="Heading4Char">
    <w:name w:val="Heading 4 Char"/>
    <w:basedOn w:val="DefaultParagraphFont"/>
    <w:link w:val="Heading4"/>
    <w:rsid w:val="00CE7441"/>
    <w:rPr>
      <w:rFonts w:ascii="Calibri" w:hAnsi="Calibri" w:cs="Arial"/>
      <w:b/>
      <w:bCs/>
      <w:i/>
      <w:sz w:val="26"/>
      <w:szCs w:val="28"/>
    </w:rPr>
  </w:style>
  <w:style w:type="character" w:customStyle="1" w:styleId="Heading5Char">
    <w:name w:val="Heading 5 Char"/>
    <w:basedOn w:val="DefaultParagraphFont"/>
    <w:link w:val="Heading5"/>
    <w:rsid w:val="00CE7441"/>
    <w:rPr>
      <w:rFonts w:ascii="Calibri" w:hAnsi="Calibri" w:cs="Arial"/>
      <w:b/>
      <w:bCs/>
      <w:iCs/>
      <w:sz w:val="26"/>
      <w:szCs w:val="26"/>
    </w:rPr>
  </w:style>
  <w:style w:type="character" w:customStyle="1" w:styleId="Heading6Char">
    <w:name w:val="Heading 6 Char"/>
    <w:basedOn w:val="DefaultParagraphFont"/>
    <w:link w:val="Heading6"/>
    <w:rsid w:val="00CE7441"/>
    <w:rPr>
      <w:rFonts w:ascii="Calibri" w:hAnsi="Calibri" w:cs="Arial"/>
      <w:b/>
      <w:bCs/>
      <w:i/>
      <w:sz w:val="24"/>
      <w:szCs w:val="24"/>
    </w:rPr>
  </w:style>
  <w:style w:type="table" w:customStyle="1" w:styleId="LashStyleTable1">
    <w:name w:val="Lash Style Table1"/>
    <w:basedOn w:val="TableNormal"/>
    <w:next w:val="TableGrid"/>
    <w:uiPriority w:val="59"/>
    <w:rsid w:val="00CE7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064C"/>
    <w:rPr>
      <w:color w:val="605E5C"/>
      <w:shd w:val="clear" w:color="auto" w:fill="E1DFDD"/>
    </w:rPr>
  </w:style>
  <w:style w:type="paragraph" w:styleId="TOC4">
    <w:name w:val="toc 4"/>
    <w:basedOn w:val="Normal"/>
    <w:next w:val="Normal"/>
    <w:autoRedefine/>
    <w:semiHidden/>
    <w:unhideWhenUsed/>
    <w:rsid w:val="00BC2510"/>
    <w:pPr>
      <w:spacing w:after="100"/>
      <w:ind w:left="720"/>
    </w:pPr>
    <w:rPr>
      <w:rFonts w:cs="Times New Roman"/>
    </w:rPr>
  </w:style>
  <w:style w:type="character" w:styleId="Emphasis">
    <w:name w:val="Emphasis"/>
    <w:basedOn w:val="DefaultParagraphFont"/>
    <w:uiPriority w:val="20"/>
    <w:qFormat/>
    <w:rsid w:val="00BC2510"/>
    <w:rPr>
      <w:i/>
      <w:iCs/>
    </w:rPr>
  </w:style>
  <w:style w:type="character" w:customStyle="1" w:styleId="fm-vol-iss-date">
    <w:name w:val="fm-vol-iss-date"/>
    <w:basedOn w:val="DefaultParagraphFont"/>
    <w:rsid w:val="009C6BEB"/>
  </w:style>
  <w:style w:type="character" w:customStyle="1" w:styleId="doi">
    <w:name w:val="doi"/>
    <w:basedOn w:val="DefaultParagraphFont"/>
    <w:rsid w:val="009C6BEB"/>
  </w:style>
  <w:style w:type="character" w:customStyle="1" w:styleId="fm-citation-ids-label">
    <w:name w:val="fm-citation-ids-label"/>
    <w:basedOn w:val="DefaultParagraphFont"/>
    <w:rsid w:val="009C6BEB"/>
  </w:style>
  <w:style w:type="paragraph" w:styleId="Caption">
    <w:name w:val="caption"/>
    <w:basedOn w:val="Normal"/>
    <w:next w:val="Normal"/>
    <w:unhideWhenUsed/>
    <w:rsid w:val="00C50DC8"/>
    <w:pPr>
      <w:keepNext/>
    </w:pPr>
    <w:rPr>
      <w:rFonts w:ascii="Arial Narrow" w:eastAsia="Arial Narrow" w:hAnsi="Arial Narrow" w:cs="Arial Narrow"/>
      <w:b/>
      <w:bCs/>
      <w:sz w:val="20"/>
      <w:szCs w:val="20"/>
    </w:rPr>
  </w:style>
  <w:style w:type="paragraph" w:customStyle="1" w:styleId="PBACHeading1">
    <w:name w:val="PBAC Heading 1"/>
    <w:qFormat/>
    <w:rsid w:val="00A730C4"/>
    <w:pPr>
      <w:ind w:left="720" w:hanging="720"/>
      <w:outlineLvl w:val="0"/>
    </w:pPr>
    <w:rPr>
      <w:rFonts w:ascii="Calibri" w:hAnsi="Calibri" w:cs="Calibri"/>
      <w:b/>
      <w:snapToGrid w:val="0"/>
      <w:sz w:val="32"/>
      <w:szCs w:val="32"/>
      <w:lang w:eastAsia="en-US"/>
    </w:rPr>
  </w:style>
  <w:style w:type="character" w:styleId="UnresolvedMention">
    <w:name w:val="Unresolved Mention"/>
    <w:basedOn w:val="DefaultParagraphFont"/>
    <w:uiPriority w:val="99"/>
    <w:semiHidden/>
    <w:unhideWhenUsed/>
    <w:rsid w:val="00D92CC2"/>
    <w:rPr>
      <w:color w:val="605E5C"/>
      <w:shd w:val="clear" w:color="auto" w:fill="E1DFDD"/>
    </w:rPr>
  </w:style>
  <w:style w:type="paragraph" w:styleId="FootnoteText">
    <w:name w:val="footnote text"/>
    <w:basedOn w:val="Normal"/>
    <w:link w:val="FootnoteTextChar"/>
    <w:semiHidden/>
    <w:unhideWhenUsed/>
    <w:rsid w:val="00C01529"/>
    <w:rPr>
      <w:sz w:val="20"/>
      <w:szCs w:val="20"/>
    </w:rPr>
  </w:style>
  <w:style w:type="character" w:customStyle="1" w:styleId="FootnoteTextChar">
    <w:name w:val="Footnote Text Char"/>
    <w:basedOn w:val="DefaultParagraphFont"/>
    <w:link w:val="FootnoteText"/>
    <w:semiHidden/>
    <w:rsid w:val="00C01529"/>
    <w:rPr>
      <w:rFonts w:ascii="Calibri" w:hAnsi="Calibri" w:cs="Arial"/>
    </w:rPr>
  </w:style>
  <w:style w:type="character" w:styleId="FootnoteReference">
    <w:name w:val="footnote reference"/>
    <w:basedOn w:val="DefaultParagraphFont"/>
    <w:semiHidden/>
    <w:unhideWhenUsed/>
    <w:rsid w:val="00C01529"/>
    <w:rPr>
      <w:vertAlign w:val="superscript"/>
    </w:rPr>
  </w:style>
  <w:style w:type="paragraph" w:styleId="TOC5">
    <w:name w:val="toc 5"/>
    <w:basedOn w:val="Normal"/>
    <w:next w:val="Normal"/>
    <w:autoRedefine/>
    <w:semiHidden/>
    <w:unhideWhenUsed/>
    <w:rsid w:val="00FC1F98"/>
    <w:pPr>
      <w:spacing w:after="100"/>
      <w:ind w:left="960"/>
    </w:pPr>
  </w:style>
  <w:style w:type="paragraph" w:styleId="NoSpacing">
    <w:name w:val="No Spacing"/>
    <w:uiPriority w:val="1"/>
    <w:qFormat/>
    <w:rsid w:val="00D30B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8933">
      <w:bodyDiv w:val="1"/>
      <w:marLeft w:val="0"/>
      <w:marRight w:val="0"/>
      <w:marTop w:val="0"/>
      <w:marBottom w:val="0"/>
      <w:divBdr>
        <w:top w:val="none" w:sz="0" w:space="0" w:color="auto"/>
        <w:left w:val="none" w:sz="0" w:space="0" w:color="auto"/>
        <w:bottom w:val="none" w:sz="0" w:space="0" w:color="auto"/>
        <w:right w:val="none" w:sz="0" w:space="0" w:color="auto"/>
      </w:divBdr>
    </w:div>
    <w:div w:id="8738937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208726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924605308">
      <w:bodyDiv w:val="1"/>
      <w:marLeft w:val="0"/>
      <w:marRight w:val="0"/>
      <w:marTop w:val="0"/>
      <w:marBottom w:val="0"/>
      <w:divBdr>
        <w:top w:val="none" w:sz="0" w:space="0" w:color="auto"/>
        <w:left w:val="none" w:sz="0" w:space="0" w:color="auto"/>
        <w:bottom w:val="none" w:sz="0" w:space="0" w:color="auto"/>
        <w:right w:val="none" w:sz="0" w:space="0" w:color="auto"/>
      </w:divBdr>
    </w:div>
    <w:div w:id="1015040876">
      <w:bodyDiv w:val="1"/>
      <w:marLeft w:val="0"/>
      <w:marRight w:val="0"/>
      <w:marTop w:val="0"/>
      <w:marBottom w:val="0"/>
      <w:divBdr>
        <w:top w:val="none" w:sz="0" w:space="0" w:color="auto"/>
        <w:left w:val="none" w:sz="0" w:space="0" w:color="auto"/>
        <w:bottom w:val="none" w:sz="0" w:space="0" w:color="auto"/>
        <w:right w:val="none" w:sz="0" w:space="0" w:color="auto"/>
      </w:divBdr>
    </w:div>
    <w:div w:id="113849851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69093">
      <w:bodyDiv w:val="1"/>
      <w:marLeft w:val="0"/>
      <w:marRight w:val="0"/>
      <w:marTop w:val="0"/>
      <w:marBottom w:val="0"/>
      <w:divBdr>
        <w:top w:val="none" w:sz="0" w:space="0" w:color="auto"/>
        <w:left w:val="none" w:sz="0" w:space="0" w:color="auto"/>
        <w:bottom w:val="none" w:sz="0" w:space="0" w:color="auto"/>
        <w:right w:val="none" w:sz="0" w:space="0" w:color="auto"/>
      </w:divBdr>
    </w:div>
    <w:div w:id="1604723504">
      <w:bodyDiv w:val="1"/>
      <w:marLeft w:val="0"/>
      <w:marRight w:val="0"/>
      <w:marTop w:val="0"/>
      <w:marBottom w:val="0"/>
      <w:divBdr>
        <w:top w:val="none" w:sz="0" w:space="0" w:color="auto"/>
        <w:left w:val="none" w:sz="0" w:space="0" w:color="auto"/>
        <w:bottom w:val="none" w:sz="0" w:space="0" w:color="auto"/>
        <w:right w:val="none" w:sz="0" w:space="0" w:color="auto"/>
      </w:divBdr>
      <w:divsChild>
        <w:div w:id="728185831">
          <w:marLeft w:val="0"/>
          <w:marRight w:val="0"/>
          <w:marTop w:val="0"/>
          <w:marBottom w:val="0"/>
          <w:divBdr>
            <w:top w:val="none" w:sz="0" w:space="0" w:color="auto"/>
            <w:left w:val="none" w:sz="0" w:space="0" w:color="auto"/>
            <w:bottom w:val="none" w:sz="0" w:space="0" w:color="auto"/>
            <w:right w:val="none" w:sz="0" w:space="0" w:color="auto"/>
          </w:divBdr>
          <w:divsChild>
            <w:div w:id="376928426">
              <w:marLeft w:val="240"/>
              <w:marRight w:val="0"/>
              <w:marTop w:val="0"/>
              <w:marBottom w:val="0"/>
              <w:divBdr>
                <w:top w:val="none" w:sz="0" w:space="0" w:color="auto"/>
                <w:left w:val="none" w:sz="0" w:space="0" w:color="auto"/>
                <w:bottom w:val="none" w:sz="0" w:space="0" w:color="auto"/>
                <w:right w:val="none" w:sz="0" w:space="0" w:color="auto"/>
              </w:divBdr>
              <w:divsChild>
                <w:div w:id="1443761562">
                  <w:marLeft w:val="0"/>
                  <w:marRight w:val="0"/>
                  <w:marTop w:val="0"/>
                  <w:marBottom w:val="0"/>
                  <w:divBdr>
                    <w:top w:val="none" w:sz="0" w:space="0" w:color="auto"/>
                    <w:left w:val="none" w:sz="0" w:space="0" w:color="auto"/>
                    <w:bottom w:val="none" w:sz="0" w:space="0" w:color="auto"/>
                    <w:right w:val="none" w:sz="0" w:space="0" w:color="auto"/>
                  </w:divBdr>
                </w:div>
                <w:div w:id="1516722506">
                  <w:marLeft w:val="0"/>
                  <w:marRight w:val="0"/>
                  <w:marTop w:val="0"/>
                  <w:marBottom w:val="0"/>
                  <w:divBdr>
                    <w:top w:val="none" w:sz="0" w:space="0" w:color="auto"/>
                    <w:left w:val="none" w:sz="0" w:space="0" w:color="auto"/>
                    <w:bottom w:val="none" w:sz="0" w:space="0" w:color="auto"/>
                    <w:right w:val="none" w:sz="0" w:space="0" w:color="auto"/>
                  </w:divBdr>
                </w:div>
              </w:divsChild>
            </w:div>
            <w:div w:id="1025210555">
              <w:marLeft w:val="0"/>
              <w:marRight w:val="0"/>
              <w:marTop w:val="0"/>
              <w:marBottom w:val="0"/>
              <w:divBdr>
                <w:top w:val="none" w:sz="0" w:space="0" w:color="auto"/>
                <w:left w:val="none" w:sz="0" w:space="0" w:color="auto"/>
                <w:bottom w:val="none" w:sz="0" w:space="0" w:color="auto"/>
                <w:right w:val="none" w:sz="0" w:space="0" w:color="auto"/>
              </w:divBdr>
              <w:divsChild>
                <w:div w:id="1953593000">
                  <w:marLeft w:val="0"/>
                  <w:marRight w:val="0"/>
                  <w:marTop w:val="0"/>
                  <w:marBottom w:val="0"/>
                  <w:divBdr>
                    <w:top w:val="none" w:sz="0" w:space="0" w:color="auto"/>
                    <w:left w:val="none" w:sz="0" w:space="0" w:color="auto"/>
                    <w:bottom w:val="none" w:sz="0" w:space="0" w:color="auto"/>
                    <w:right w:val="none" w:sz="0" w:space="0" w:color="auto"/>
                  </w:divBdr>
                  <w:divsChild>
                    <w:div w:id="51661612">
                      <w:marLeft w:val="0"/>
                      <w:marRight w:val="0"/>
                      <w:marTop w:val="0"/>
                      <w:marBottom w:val="0"/>
                      <w:divBdr>
                        <w:top w:val="none" w:sz="0" w:space="0" w:color="auto"/>
                        <w:left w:val="none" w:sz="0" w:space="0" w:color="auto"/>
                        <w:bottom w:val="none" w:sz="0" w:space="0" w:color="auto"/>
                        <w:right w:val="none" w:sz="0" w:space="0" w:color="auto"/>
                      </w:divBdr>
                    </w:div>
                    <w:div w:id="285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53555">
          <w:marLeft w:val="0"/>
          <w:marRight w:val="0"/>
          <w:marTop w:val="200"/>
          <w:marBottom w:val="200"/>
          <w:divBdr>
            <w:top w:val="none" w:sz="0" w:space="0" w:color="auto"/>
            <w:left w:val="none" w:sz="0" w:space="0" w:color="auto"/>
            <w:bottom w:val="none" w:sz="0" w:space="0" w:color="auto"/>
            <w:right w:val="none" w:sz="0" w:space="0" w:color="auto"/>
          </w:divBdr>
          <w:divsChild>
            <w:div w:id="8426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1077">
      <w:bodyDiv w:val="1"/>
      <w:marLeft w:val="0"/>
      <w:marRight w:val="0"/>
      <w:marTop w:val="0"/>
      <w:marBottom w:val="0"/>
      <w:divBdr>
        <w:top w:val="none" w:sz="0" w:space="0" w:color="auto"/>
        <w:left w:val="none" w:sz="0" w:space="0" w:color="auto"/>
        <w:bottom w:val="none" w:sz="0" w:space="0" w:color="auto"/>
        <w:right w:val="none" w:sz="0" w:space="0" w:color="auto"/>
      </w:divBdr>
    </w:div>
    <w:div w:id="1728602982">
      <w:bodyDiv w:val="1"/>
      <w:marLeft w:val="0"/>
      <w:marRight w:val="0"/>
      <w:marTop w:val="0"/>
      <w:marBottom w:val="0"/>
      <w:divBdr>
        <w:top w:val="none" w:sz="0" w:space="0" w:color="auto"/>
        <w:left w:val="none" w:sz="0" w:space="0" w:color="auto"/>
        <w:bottom w:val="none" w:sz="0" w:space="0" w:color="auto"/>
        <w:right w:val="none" w:sz="0" w:space="0" w:color="auto"/>
      </w:divBdr>
    </w:div>
    <w:div w:id="1746874929">
      <w:bodyDiv w:val="1"/>
      <w:marLeft w:val="0"/>
      <w:marRight w:val="0"/>
      <w:marTop w:val="0"/>
      <w:marBottom w:val="0"/>
      <w:divBdr>
        <w:top w:val="none" w:sz="0" w:space="0" w:color="auto"/>
        <w:left w:val="none" w:sz="0" w:space="0" w:color="auto"/>
        <w:bottom w:val="none" w:sz="0" w:space="0" w:color="auto"/>
        <w:right w:val="none" w:sz="0" w:space="0" w:color="auto"/>
      </w:divBdr>
    </w:div>
    <w:div w:id="1880312516">
      <w:bodyDiv w:val="1"/>
      <w:marLeft w:val="0"/>
      <w:marRight w:val="0"/>
      <w:marTop w:val="0"/>
      <w:marBottom w:val="0"/>
      <w:divBdr>
        <w:top w:val="none" w:sz="0" w:space="0" w:color="auto"/>
        <w:left w:val="none" w:sz="0" w:space="0" w:color="auto"/>
        <w:bottom w:val="none" w:sz="0" w:space="0" w:color="auto"/>
        <w:right w:val="none" w:sz="0" w:space="0" w:color="auto"/>
      </w:divBdr>
    </w:div>
    <w:div w:id="1891962227">
      <w:bodyDiv w:val="1"/>
      <w:marLeft w:val="0"/>
      <w:marRight w:val="0"/>
      <w:marTop w:val="0"/>
      <w:marBottom w:val="0"/>
      <w:divBdr>
        <w:top w:val="none" w:sz="0" w:space="0" w:color="auto"/>
        <w:left w:val="none" w:sz="0" w:space="0" w:color="auto"/>
        <w:bottom w:val="none" w:sz="0" w:space="0" w:color="auto"/>
        <w:right w:val="none" w:sz="0" w:space="0" w:color="auto"/>
      </w:divBdr>
      <w:divsChild>
        <w:div w:id="956987745">
          <w:marLeft w:val="0"/>
          <w:marRight w:val="0"/>
          <w:marTop w:val="0"/>
          <w:marBottom w:val="0"/>
          <w:divBdr>
            <w:top w:val="none" w:sz="0" w:space="0" w:color="auto"/>
            <w:left w:val="none" w:sz="0" w:space="0" w:color="auto"/>
            <w:bottom w:val="none" w:sz="0" w:space="0" w:color="auto"/>
            <w:right w:val="none" w:sz="0" w:space="0" w:color="auto"/>
          </w:divBdr>
          <w:divsChild>
            <w:div w:id="1779911320">
              <w:marLeft w:val="-240"/>
              <w:marRight w:val="-240"/>
              <w:marTop w:val="0"/>
              <w:marBottom w:val="0"/>
              <w:divBdr>
                <w:top w:val="none" w:sz="0" w:space="0" w:color="auto"/>
                <w:left w:val="none" w:sz="0" w:space="0" w:color="auto"/>
                <w:bottom w:val="none" w:sz="0" w:space="0" w:color="auto"/>
                <w:right w:val="none" w:sz="0" w:space="0" w:color="auto"/>
              </w:divBdr>
              <w:divsChild>
                <w:div w:id="57752379">
                  <w:marLeft w:val="0"/>
                  <w:marRight w:val="0"/>
                  <w:marTop w:val="0"/>
                  <w:marBottom w:val="0"/>
                  <w:divBdr>
                    <w:top w:val="none" w:sz="0" w:space="0" w:color="auto"/>
                    <w:left w:val="none" w:sz="0" w:space="0" w:color="auto"/>
                    <w:bottom w:val="none" w:sz="0" w:space="0" w:color="auto"/>
                    <w:right w:val="none" w:sz="0" w:space="0" w:color="auto"/>
                  </w:divBdr>
                  <w:divsChild>
                    <w:div w:id="1280455443">
                      <w:marLeft w:val="0"/>
                      <w:marRight w:val="0"/>
                      <w:marTop w:val="0"/>
                      <w:marBottom w:val="0"/>
                      <w:divBdr>
                        <w:top w:val="none" w:sz="0" w:space="0" w:color="auto"/>
                        <w:left w:val="none" w:sz="0" w:space="0" w:color="auto"/>
                        <w:bottom w:val="none" w:sz="0" w:space="0" w:color="auto"/>
                        <w:right w:val="none" w:sz="0" w:space="0" w:color="auto"/>
                      </w:divBdr>
                      <w:divsChild>
                        <w:div w:id="283343105">
                          <w:marLeft w:val="0"/>
                          <w:marRight w:val="0"/>
                          <w:marTop w:val="0"/>
                          <w:marBottom w:val="0"/>
                          <w:divBdr>
                            <w:top w:val="none" w:sz="0" w:space="0" w:color="auto"/>
                            <w:left w:val="none" w:sz="0" w:space="0" w:color="auto"/>
                            <w:bottom w:val="none" w:sz="0" w:space="0" w:color="auto"/>
                            <w:right w:val="none" w:sz="0" w:space="0" w:color="auto"/>
                          </w:divBdr>
                          <w:divsChild>
                            <w:div w:id="1959218425">
                              <w:marLeft w:val="0"/>
                              <w:marRight w:val="0"/>
                              <w:marTop w:val="0"/>
                              <w:marBottom w:val="0"/>
                              <w:divBdr>
                                <w:top w:val="none" w:sz="0" w:space="0" w:color="auto"/>
                                <w:left w:val="none" w:sz="0" w:space="0" w:color="auto"/>
                                <w:bottom w:val="none" w:sz="0" w:space="0" w:color="auto"/>
                                <w:right w:val="none" w:sz="0" w:space="0" w:color="auto"/>
                              </w:divBdr>
                              <w:divsChild>
                                <w:div w:id="519515050">
                                  <w:marLeft w:val="0"/>
                                  <w:marRight w:val="0"/>
                                  <w:marTop w:val="0"/>
                                  <w:marBottom w:val="0"/>
                                  <w:divBdr>
                                    <w:top w:val="none" w:sz="0" w:space="0" w:color="auto"/>
                                    <w:left w:val="none" w:sz="0" w:space="0" w:color="auto"/>
                                    <w:bottom w:val="none" w:sz="0" w:space="0" w:color="auto"/>
                                    <w:right w:val="none" w:sz="0" w:space="0" w:color="auto"/>
                                  </w:divBdr>
                                </w:div>
                                <w:div w:id="979917603">
                                  <w:marLeft w:val="0"/>
                                  <w:marRight w:val="0"/>
                                  <w:marTop w:val="0"/>
                                  <w:marBottom w:val="0"/>
                                  <w:divBdr>
                                    <w:top w:val="none" w:sz="0" w:space="0" w:color="auto"/>
                                    <w:left w:val="none" w:sz="0" w:space="0" w:color="auto"/>
                                    <w:bottom w:val="none" w:sz="0" w:space="0" w:color="auto"/>
                                    <w:right w:val="none" w:sz="0" w:space="0" w:color="auto"/>
                                  </w:divBdr>
                                </w:div>
                                <w:div w:id="1919317203">
                                  <w:marLeft w:val="0"/>
                                  <w:marRight w:val="0"/>
                                  <w:marTop w:val="0"/>
                                  <w:marBottom w:val="0"/>
                                  <w:divBdr>
                                    <w:top w:val="none" w:sz="0" w:space="0" w:color="auto"/>
                                    <w:left w:val="none" w:sz="0" w:space="0" w:color="auto"/>
                                    <w:bottom w:val="none" w:sz="0" w:space="0" w:color="auto"/>
                                    <w:right w:val="none" w:sz="0" w:space="0" w:color="auto"/>
                                  </w:divBdr>
                                </w:div>
                                <w:div w:id="20433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1982">
                  <w:marLeft w:val="0"/>
                  <w:marRight w:val="0"/>
                  <w:marTop w:val="0"/>
                  <w:marBottom w:val="0"/>
                  <w:divBdr>
                    <w:top w:val="none" w:sz="0" w:space="0" w:color="auto"/>
                    <w:left w:val="none" w:sz="0" w:space="0" w:color="auto"/>
                    <w:bottom w:val="none" w:sz="0" w:space="0" w:color="auto"/>
                    <w:right w:val="none" w:sz="0" w:space="0" w:color="auto"/>
                  </w:divBdr>
                  <w:divsChild>
                    <w:div w:id="12996093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13495053">
          <w:marLeft w:val="0"/>
          <w:marRight w:val="0"/>
          <w:marTop w:val="0"/>
          <w:marBottom w:val="0"/>
          <w:divBdr>
            <w:top w:val="none" w:sz="0" w:space="0" w:color="auto"/>
            <w:left w:val="none" w:sz="0" w:space="0" w:color="auto"/>
            <w:bottom w:val="none" w:sz="0" w:space="0" w:color="auto"/>
            <w:right w:val="none" w:sz="0" w:space="0" w:color="auto"/>
          </w:divBdr>
          <w:divsChild>
            <w:div w:id="5201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4116794">
      <w:bodyDiv w:val="1"/>
      <w:marLeft w:val="0"/>
      <w:marRight w:val="0"/>
      <w:marTop w:val="0"/>
      <w:marBottom w:val="0"/>
      <w:divBdr>
        <w:top w:val="none" w:sz="0" w:space="0" w:color="auto"/>
        <w:left w:val="none" w:sz="0" w:space="0" w:color="auto"/>
        <w:bottom w:val="none" w:sz="0" w:space="0" w:color="auto"/>
        <w:right w:val="none" w:sz="0" w:space="0" w:color="auto"/>
      </w:divBdr>
    </w:div>
    <w:div w:id="2114276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gid-ta10371/documents/html-conten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B9042-D726-4F63-B562-A8DAA6BE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22011</Words>
  <Characters>125467</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147184</CharactersWithSpaces>
  <SharedDoc>false</SharedDoc>
  <HLinks>
    <vt:vector size="450" baseType="variant">
      <vt:variant>
        <vt:i4>1114163</vt:i4>
      </vt:variant>
      <vt:variant>
        <vt:i4>446</vt:i4>
      </vt:variant>
      <vt:variant>
        <vt:i4>0</vt:i4>
      </vt:variant>
      <vt:variant>
        <vt:i4>5</vt:i4>
      </vt:variant>
      <vt:variant>
        <vt:lpwstr/>
      </vt:variant>
      <vt:variant>
        <vt:lpwstr>_Toc22898914</vt:lpwstr>
      </vt:variant>
      <vt:variant>
        <vt:i4>1441843</vt:i4>
      </vt:variant>
      <vt:variant>
        <vt:i4>440</vt:i4>
      </vt:variant>
      <vt:variant>
        <vt:i4>0</vt:i4>
      </vt:variant>
      <vt:variant>
        <vt:i4>5</vt:i4>
      </vt:variant>
      <vt:variant>
        <vt:lpwstr/>
      </vt:variant>
      <vt:variant>
        <vt:lpwstr>_Toc22898913</vt:lpwstr>
      </vt:variant>
      <vt:variant>
        <vt:i4>1507379</vt:i4>
      </vt:variant>
      <vt:variant>
        <vt:i4>434</vt:i4>
      </vt:variant>
      <vt:variant>
        <vt:i4>0</vt:i4>
      </vt:variant>
      <vt:variant>
        <vt:i4>5</vt:i4>
      </vt:variant>
      <vt:variant>
        <vt:lpwstr/>
      </vt:variant>
      <vt:variant>
        <vt:lpwstr>_Toc22898912</vt:lpwstr>
      </vt:variant>
      <vt:variant>
        <vt:i4>1310771</vt:i4>
      </vt:variant>
      <vt:variant>
        <vt:i4>428</vt:i4>
      </vt:variant>
      <vt:variant>
        <vt:i4>0</vt:i4>
      </vt:variant>
      <vt:variant>
        <vt:i4>5</vt:i4>
      </vt:variant>
      <vt:variant>
        <vt:lpwstr/>
      </vt:variant>
      <vt:variant>
        <vt:lpwstr>_Toc22898911</vt:lpwstr>
      </vt:variant>
      <vt:variant>
        <vt:i4>1376307</vt:i4>
      </vt:variant>
      <vt:variant>
        <vt:i4>422</vt:i4>
      </vt:variant>
      <vt:variant>
        <vt:i4>0</vt:i4>
      </vt:variant>
      <vt:variant>
        <vt:i4>5</vt:i4>
      </vt:variant>
      <vt:variant>
        <vt:lpwstr/>
      </vt:variant>
      <vt:variant>
        <vt:lpwstr>_Toc22898910</vt:lpwstr>
      </vt:variant>
      <vt:variant>
        <vt:i4>1835058</vt:i4>
      </vt:variant>
      <vt:variant>
        <vt:i4>416</vt:i4>
      </vt:variant>
      <vt:variant>
        <vt:i4>0</vt:i4>
      </vt:variant>
      <vt:variant>
        <vt:i4>5</vt:i4>
      </vt:variant>
      <vt:variant>
        <vt:lpwstr/>
      </vt:variant>
      <vt:variant>
        <vt:lpwstr>_Toc22898909</vt:lpwstr>
      </vt:variant>
      <vt:variant>
        <vt:i4>1900594</vt:i4>
      </vt:variant>
      <vt:variant>
        <vt:i4>410</vt:i4>
      </vt:variant>
      <vt:variant>
        <vt:i4>0</vt:i4>
      </vt:variant>
      <vt:variant>
        <vt:i4>5</vt:i4>
      </vt:variant>
      <vt:variant>
        <vt:lpwstr/>
      </vt:variant>
      <vt:variant>
        <vt:lpwstr>_Toc22898908</vt:lpwstr>
      </vt:variant>
      <vt:variant>
        <vt:i4>1179698</vt:i4>
      </vt:variant>
      <vt:variant>
        <vt:i4>404</vt:i4>
      </vt:variant>
      <vt:variant>
        <vt:i4>0</vt:i4>
      </vt:variant>
      <vt:variant>
        <vt:i4>5</vt:i4>
      </vt:variant>
      <vt:variant>
        <vt:lpwstr/>
      </vt:variant>
      <vt:variant>
        <vt:lpwstr>_Toc22898907</vt:lpwstr>
      </vt:variant>
      <vt:variant>
        <vt:i4>1245234</vt:i4>
      </vt:variant>
      <vt:variant>
        <vt:i4>398</vt:i4>
      </vt:variant>
      <vt:variant>
        <vt:i4>0</vt:i4>
      </vt:variant>
      <vt:variant>
        <vt:i4>5</vt:i4>
      </vt:variant>
      <vt:variant>
        <vt:lpwstr/>
      </vt:variant>
      <vt:variant>
        <vt:lpwstr>_Toc22898906</vt:lpwstr>
      </vt:variant>
      <vt:variant>
        <vt:i4>1048626</vt:i4>
      </vt:variant>
      <vt:variant>
        <vt:i4>392</vt:i4>
      </vt:variant>
      <vt:variant>
        <vt:i4>0</vt:i4>
      </vt:variant>
      <vt:variant>
        <vt:i4>5</vt:i4>
      </vt:variant>
      <vt:variant>
        <vt:lpwstr/>
      </vt:variant>
      <vt:variant>
        <vt:lpwstr>_Toc22898905</vt:lpwstr>
      </vt:variant>
      <vt:variant>
        <vt:i4>1114162</vt:i4>
      </vt:variant>
      <vt:variant>
        <vt:i4>386</vt:i4>
      </vt:variant>
      <vt:variant>
        <vt:i4>0</vt:i4>
      </vt:variant>
      <vt:variant>
        <vt:i4>5</vt:i4>
      </vt:variant>
      <vt:variant>
        <vt:lpwstr/>
      </vt:variant>
      <vt:variant>
        <vt:lpwstr>_Toc22898904</vt:lpwstr>
      </vt:variant>
      <vt:variant>
        <vt:i4>1441842</vt:i4>
      </vt:variant>
      <vt:variant>
        <vt:i4>380</vt:i4>
      </vt:variant>
      <vt:variant>
        <vt:i4>0</vt:i4>
      </vt:variant>
      <vt:variant>
        <vt:i4>5</vt:i4>
      </vt:variant>
      <vt:variant>
        <vt:lpwstr/>
      </vt:variant>
      <vt:variant>
        <vt:lpwstr>_Toc22898903</vt:lpwstr>
      </vt:variant>
      <vt:variant>
        <vt:i4>1507378</vt:i4>
      </vt:variant>
      <vt:variant>
        <vt:i4>374</vt:i4>
      </vt:variant>
      <vt:variant>
        <vt:i4>0</vt:i4>
      </vt:variant>
      <vt:variant>
        <vt:i4>5</vt:i4>
      </vt:variant>
      <vt:variant>
        <vt:lpwstr/>
      </vt:variant>
      <vt:variant>
        <vt:lpwstr>_Toc22898902</vt:lpwstr>
      </vt:variant>
      <vt:variant>
        <vt:i4>1310770</vt:i4>
      </vt:variant>
      <vt:variant>
        <vt:i4>368</vt:i4>
      </vt:variant>
      <vt:variant>
        <vt:i4>0</vt:i4>
      </vt:variant>
      <vt:variant>
        <vt:i4>5</vt:i4>
      </vt:variant>
      <vt:variant>
        <vt:lpwstr/>
      </vt:variant>
      <vt:variant>
        <vt:lpwstr>_Toc22898901</vt:lpwstr>
      </vt:variant>
      <vt:variant>
        <vt:i4>1376306</vt:i4>
      </vt:variant>
      <vt:variant>
        <vt:i4>362</vt:i4>
      </vt:variant>
      <vt:variant>
        <vt:i4>0</vt:i4>
      </vt:variant>
      <vt:variant>
        <vt:i4>5</vt:i4>
      </vt:variant>
      <vt:variant>
        <vt:lpwstr/>
      </vt:variant>
      <vt:variant>
        <vt:lpwstr>_Toc22898900</vt:lpwstr>
      </vt:variant>
      <vt:variant>
        <vt:i4>1900603</vt:i4>
      </vt:variant>
      <vt:variant>
        <vt:i4>356</vt:i4>
      </vt:variant>
      <vt:variant>
        <vt:i4>0</vt:i4>
      </vt:variant>
      <vt:variant>
        <vt:i4>5</vt:i4>
      </vt:variant>
      <vt:variant>
        <vt:lpwstr/>
      </vt:variant>
      <vt:variant>
        <vt:lpwstr>_Toc22898899</vt:lpwstr>
      </vt:variant>
      <vt:variant>
        <vt:i4>1835067</vt:i4>
      </vt:variant>
      <vt:variant>
        <vt:i4>350</vt:i4>
      </vt:variant>
      <vt:variant>
        <vt:i4>0</vt:i4>
      </vt:variant>
      <vt:variant>
        <vt:i4>5</vt:i4>
      </vt:variant>
      <vt:variant>
        <vt:lpwstr/>
      </vt:variant>
      <vt:variant>
        <vt:lpwstr>_Toc22898898</vt:lpwstr>
      </vt:variant>
      <vt:variant>
        <vt:i4>1245243</vt:i4>
      </vt:variant>
      <vt:variant>
        <vt:i4>344</vt:i4>
      </vt:variant>
      <vt:variant>
        <vt:i4>0</vt:i4>
      </vt:variant>
      <vt:variant>
        <vt:i4>5</vt:i4>
      </vt:variant>
      <vt:variant>
        <vt:lpwstr/>
      </vt:variant>
      <vt:variant>
        <vt:lpwstr>_Toc22898897</vt:lpwstr>
      </vt:variant>
      <vt:variant>
        <vt:i4>1179707</vt:i4>
      </vt:variant>
      <vt:variant>
        <vt:i4>338</vt:i4>
      </vt:variant>
      <vt:variant>
        <vt:i4>0</vt:i4>
      </vt:variant>
      <vt:variant>
        <vt:i4>5</vt:i4>
      </vt:variant>
      <vt:variant>
        <vt:lpwstr/>
      </vt:variant>
      <vt:variant>
        <vt:lpwstr>_Toc22898896</vt:lpwstr>
      </vt:variant>
      <vt:variant>
        <vt:i4>1114171</vt:i4>
      </vt:variant>
      <vt:variant>
        <vt:i4>332</vt:i4>
      </vt:variant>
      <vt:variant>
        <vt:i4>0</vt:i4>
      </vt:variant>
      <vt:variant>
        <vt:i4>5</vt:i4>
      </vt:variant>
      <vt:variant>
        <vt:lpwstr/>
      </vt:variant>
      <vt:variant>
        <vt:lpwstr>_Toc22898895</vt:lpwstr>
      </vt:variant>
      <vt:variant>
        <vt:i4>1048635</vt:i4>
      </vt:variant>
      <vt:variant>
        <vt:i4>326</vt:i4>
      </vt:variant>
      <vt:variant>
        <vt:i4>0</vt:i4>
      </vt:variant>
      <vt:variant>
        <vt:i4>5</vt:i4>
      </vt:variant>
      <vt:variant>
        <vt:lpwstr/>
      </vt:variant>
      <vt:variant>
        <vt:lpwstr>_Toc22898894</vt:lpwstr>
      </vt:variant>
      <vt:variant>
        <vt:i4>1507387</vt:i4>
      </vt:variant>
      <vt:variant>
        <vt:i4>320</vt:i4>
      </vt:variant>
      <vt:variant>
        <vt:i4>0</vt:i4>
      </vt:variant>
      <vt:variant>
        <vt:i4>5</vt:i4>
      </vt:variant>
      <vt:variant>
        <vt:lpwstr/>
      </vt:variant>
      <vt:variant>
        <vt:lpwstr>_Toc22898893</vt:lpwstr>
      </vt:variant>
      <vt:variant>
        <vt:i4>1441851</vt:i4>
      </vt:variant>
      <vt:variant>
        <vt:i4>314</vt:i4>
      </vt:variant>
      <vt:variant>
        <vt:i4>0</vt:i4>
      </vt:variant>
      <vt:variant>
        <vt:i4>5</vt:i4>
      </vt:variant>
      <vt:variant>
        <vt:lpwstr/>
      </vt:variant>
      <vt:variant>
        <vt:lpwstr>_Toc22898892</vt:lpwstr>
      </vt:variant>
      <vt:variant>
        <vt:i4>1376315</vt:i4>
      </vt:variant>
      <vt:variant>
        <vt:i4>308</vt:i4>
      </vt:variant>
      <vt:variant>
        <vt:i4>0</vt:i4>
      </vt:variant>
      <vt:variant>
        <vt:i4>5</vt:i4>
      </vt:variant>
      <vt:variant>
        <vt:lpwstr/>
      </vt:variant>
      <vt:variant>
        <vt:lpwstr>_Toc22898891</vt:lpwstr>
      </vt:variant>
      <vt:variant>
        <vt:i4>1310779</vt:i4>
      </vt:variant>
      <vt:variant>
        <vt:i4>302</vt:i4>
      </vt:variant>
      <vt:variant>
        <vt:i4>0</vt:i4>
      </vt:variant>
      <vt:variant>
        <vt:i4>5</vt:i4>
      </vt:variant>
      <vt:variant>
        <vt:lpwstr/>
      </vt:variant>
      <vt:variant>
        <vt:lpwstr>_Toc22898890</vt:lpwstr>
      </vt:variant>
      <vt:variant>
        <vt:i4>1900602</vt:i4>
      </vt:variant>
      <vt:variant>
        <vt:i4>296</vt:i4>
      </vt:variant>
      <vt:variant>
        <vt:i4>0</vt:i4>
      </vt:variant>
      <vt:variant>
        <vt:i4>5</vt:i4>
      </vt:variant>
      <vt:variant>
        <vt:lpwstr/>
      </vt:variant>
      <vt:variant>
        <vt:lpwstr>_Toc22898889</vt:lpwstr>
      </vt:variant>
      <vt:variant>
        <vt:i4>1835066</vt:i4>
      </vt:variant>
      <vt:variant>
        <vt:i4>290</vt:i4>
      </vt:variant>
      <vt:variant>
        <vt:i4>0</vt:i4>
      </vt:variant>
      <vt:variant>
        <vt:i4>5</vt:i4>
      </vt:variant>
      <vt:variant>
        <vt:lpwstr/>
      </vt:variant>
      <vt:variant>
        <vt:lpwstr>_Toc22898888</vt:lpwstr>
      </vt:variant>
      <vt:variant>
        <vt:i4>1245242</vt:i4>
      </vt:variant>
      <vt:variant>
        <vt:i4>284</vt:i4>
      </vt:variant>
      <vt:variant>
        <vt:i4>0</vt:i4>
      </vt:variant>
      <vt:variant>
        <vt:i4>5</vt:i4>
      </vt:variant>
      <vt:variant>
        <vt:lpwstr/>
      </vt:variant>
      <vt:variant>
        <vt:lpwstr>_Toc22898887</vt:lpwstr>
      </vt:variant>
      <vt:variant>
        <vt:i4>1179706</vt:i4>
      </vt:variant>
      <vt:variant>
        <vt:i4>278</vt:i4>
      </vt:variant>
      <vt:variant>
        <vt:i4>0</vt:i4>
      </vt:variant>
      <vt:variant>
        <vt:i4>5</vt:i4>
      </vt:variant>
      <vt:variant>
        <vt:lpwstr/>
      </vt:variant>
      <vt:variant>
        <vt:lpwstr>_Toc22898886</vt:lpwstr>
      </vt:variant>
      <vt:variant>
        <vt:i4>1114170</vt:i4>
      </vt:variant>
      <vt:variant>
        <vt:i4>272</vt:i4>
      </vt:variant>
      <vt:variant>
        <vt:i4>0</vt:i4>
      </vt:variant>
      <vt:variant>
        <vt:i4>5</vt:i4>
      </vt:variant>
      <vt:variant>
        <vt:lpwstr/>
      </vt:variant>
      <vt:variant>
        <vt:lpwstr>_Toc22898885</vt:lpwstr>
      </vt:variant>
      <vt:variant>
        <vt:i4>1048634</vt:i4>
      </vt:variant>
      <vt:variant>
        <vt:i4>266</vt:i4>
      </vt:variant>
      <vt:variant>
        <vt:i4>0</vt:i4>
      </vt:variant>
      <vt:variant>
        <vt:i4>5</vt:i4>
      </vt:variant>
      <vt:variant>
        <vt:lpwstr/>
      </vt:variant>
      <vt:variant>
        <vt:lpwstr>_Toc22898884</vt:lpwstr>
      </vt:variant>
      <vt:variant>
        <vt:i4>1507386</vt:i4>
      </vt:variant>
      <vt:variant>
        <vt:i4>260</vt:i4>
      </vt:variant>
      <vt:variant>
        <vt:i4>0</vt:i4>
      </vt:variant>
      <vt:variant>
        <vt:i4>5</vt:i4>
      </vt:variant>
      <vt:variant>
        <vt:lpwstr/>
      </vt:variant>
      <vt:variant>
        <vt:lpwstr>_Toc22898883</vt:lpwstr>
      </vt:variant>
      <vt:variant>
        <vt:i4>1441850</vt:i4>
      </vt:variant>
      <vt:variant>
        <vt:i4>254</vt:i4>
      </vt:variant>
      <vt:variant>
        <vt:i4>0</vt:i4>
      </vt:variant>
      <vt:variant>
        <vt:i4>5</vt:i4>
      </vt:variant>
      <vt:variant>
        <vt:lpwstr/>
      </vt:variant>
      <vt:variant>
        <vt:lpwstr>_Toc22898882</vt:lpwstr>
      </vt:variant>
      <vt:variant>
        <vt:i4>1376314</vt:i4>
      </vt:variant>
      <vt:variant>
        <vt:i4>248</vt:i4>
      </vt:variant>
      <vt:variant>
        <vt:i4>0</vt:i4>
      </vt:variant>
      <vt:variant>
        <vt:i4>5</vt:i4>
      </vt:variant>
      <vt:variant>
        <vt:lpwstr/>
      </vt:variant>
      <vt:variant>
        <vt:lpwstr>_Toc22898881</vt:lpwstr>
      </vt:variant>
      <vt:variant>
        <vt:i4>1310778</vt:i4>
      </vt:variant>
      <vt:variant>
        <vt:i4>242</vt:i4>
      </vt:variant>
      <vt:variant>
        <vt:i4>0</vt:i4>
      </vt:variant>
      <vt:variant>
        <vt:i4>5</vt:i4>
      </vt:variant>
      <vt:variant>
        <vt:lpwstr/>
      </vt:variant>
      <vt:variant>
        <vt:lpwstr>_Toc22898880</vt:lpwstr>
      </vt:variant>
      <vt:variant>
        <vt:i4>1900597</vt:i4>
      </vt:variant>
      <vt:variant>
        <vt:i4>236</vt:i4>
      </vt:variant>
      <vt:variant>
        <vt:i4>0</vt:i4>
      </vt:variant>
      <vt:variant>
        <vt:i4>5</vt:i4>
      </vt:variant>
      <vt:variant>
        <vt:lpwstr/>
      </vt:variant>
      <vt:variant>
        <vt:lpwstr>_Toc22898879</vt:lpwstr>
      </vt:variant>
      <vt:variant>
        <vt:i4>1835061</vt:i4>
      </vt:variant>
      <vt:variant>
        <vt:i4>230</vt:i4>
      </vt:variant>
      <vt:variant>
        <vt:i4>0</vt:i4>
      </vt:variant>
      <vt:variant>
        <vt:i4>5</vt:i4>
      </vt:variant>
      <vt:variant>
        <vt:lpwstr/>
      </vt:variant>
      <vt:variant>
        <vt:lpwstr>_Toc22898878</vt:lpwstr>
      </vt:variant>
      <vt:variant>
        <vt:i4>1245237</vt:i4>
      </vt:variant>
      <vt:variant>
        <vt:i4>224</vt:i4>
      </vt:variant>
      <vt:variant>
        <vt:i4>0</vt:i4>
      </vt:variant>
      <vt:variant>
        <vt:i4>5</vt:i4>
      </vt:variant>
      <vt:variant>
        <vt:lpwstr/>
      </vt:variant>
      <vt:variant>
        <vt:lpwstr>_Toc22898877</vt:lpwstr>
      </vt:variant>
      <vt:variant>
        <vt:i4>1179701</vt:i4>
      </vt:variant>
      <vt:variant>
        <vt:i4>218</vt:i4>
      </vt:variant>
      <vt:variant>
        <vt:i4>0</vt:i4>
      </vt:variant>
      <vt:variant>
        <vt:i4>5</vt:i4>
      </vt:variant>
      <vt:variant>
        <vt:lpwstr/>
      </vt:variant>
      <vt:variant>
        <vt:lpwstr>_Toc22898876</vt:lpwstr>
      </vt:variant>
      <vt:variant>
        <vt:i4>1114165</vt:i4>
      </vt:variant>
      <vt:variant>
        <vt:i4>212</vt:i4>
      </vt:variant>
      <vt:variant>
        <vt:i4>0</vt:i4>
      </vt:variant>
      <vt:variant>
        <vt:i4>5</vt:i4>
      </vt:variant>
      <vt:variant>
        <vt:lpwstr/>
      </vt:variant>
      <vt:variant>
        <vt:lpwstr>_Toc22898875</vt:lpwstr>
      </vt:variant>
      <vt:variant>
        <vt:i4>1048629</vt:i4>
      </vt:variant>
      <vt:variant>
        <vt:i4>206</vt:i4>
      </vt:variant>
      <vt:variant>
        <vt:i4>0</vt:i4>
      </vt:variant>
      <vt:variant>
        <vt:i4>5</vt:i4>
      </vt:variant>
      <vt:variant>
        <vt:lpwstr/>
      </vt:variant>
      <vt:variant>
        <vt:lpwstr>_Toc22898874</vt:lpwstr>
      </vt:variant>
      <vt:variant>
        <vt:i4>1507381</vt:i4>
      </vt:variant>
      <vt:variant>
        <vt:i4>200</vt:i4>
      </vt:variant>
      <vt:variant>
        <vt:i4>0</vt:i4>
      </vt:variant>
      <vt:variant>
        <vt:i4>5</vt:i4>
      </vt:variant>
      <vt:variant>
        <vt:lpwstr/>
      </vt:variant>
      <vt:variant>
        <vt:lpwstr>_Toc22898873</vt:lpwstr>
      </vt:variant>
      <vt:variant>
        <vt:i4>1441845</vt:i4>
      </vt:variant>
      <vt:variant>
        <vt:i4>194</vt:i4>
      </vt:variant>
      <vt:variant>
        <vt:i4>0</vt:i4>
      </vt:variant>
      <vt:variant>
        <vt:i4>5</vt:i4>
      </vt:variant>
      <vt:variant>
        <vt:lpwstr/>
      </vt:variant>
      <vt:variant>
        <vt:lpwstr>_Toc22898872</vt:lpwstr>
      </vt:variant>
      <vt:variant>
        <vt:i4>1376309</vt:i4>
      </vt:variant>
      <vt:variant>
        <vt:i4>188</vt:i4>
      </vt:variant>
      <vt:variant>
        <vt:i4>0</vt:i4>
      </vt:variant>
      <vt:variant>
        <vt:i4>5</vt:i4>
      </vt:variant>
      <vt:variant>
        <vt:lpwstr/>
      </vt:variant>
      <vt:variant>
        <vt:lpwstr>_Toc22898871</vt:lpwstr>
      </vt:variant>
      <vt:variant>
        <vt:i4>1310773</vt:i4>
      </vt:variant>
      <vt:variant>
        <vt:i4>182</vt:i4>
      </vt:variant>
      <vt:variant>
        <vt:i4>0</vt:i4>
      </vt:variant>
      <vt:variant>
        <vt:i4>5</vt:i4>
      </vt:variant>
      <vt:variant>
        <vt:lpwstr/>
      </vt:variant>
      <vt:variant>
        <vt:lpwstr>_Toc22898870</vt:lpwstr>
      </vt:variant>
      <vt:variant>
        <vt:i4>1900596</vt:i4>
      </vt:variant>
      <vt:variant>
        <vt:i4>176</vt:i4>
      </vt:variant>
      <vt:variant>
        <vt:i4>0</vt:i4>
      </vt:variant>
      <vt:variant>
        <vt:i4>5</vt:i4>
      </vt:variant>
      <vt:variant>
        <vt:lpwstr/>
      </vt:variant>
      <vt:variant>
        <vt:lpwstr>_Toc22898869</vt:lpwstr>
      </vt:variant>
      <vt:variant>
        <vt:i4>1835060</vt:i4>
      </vt:variant>
      <vt:variant>
        <vt:i4>170</vt:i4>
      </vt:variant>
      <vt:variant>
        <vt:i4>0</vt:i4>
      </vt:variant>
      <vt:variant>
        <vt:i4>5</vt:i4>
      </vt:variant>
      <vt:variant>
        <vt:lpwstr/>
      </vt:variant>
      <vt:variant>
        <vt:lpwstr>_Toc22898868</vt:lpwstr>
      </vt:variant>
      <vt:variant>
        <vt:i4>1245236</vt:i4>
      </vt:variant>
      <vt:variant>
        <vt:i4>164</vt:i4>
      </vt:variant>
      <vt:variant>
        <vt:i4>0</vt:i4>
      </vt:variant>
      <vt:variant>
        <vt:i4>5</vt:i4>
      </vt:variant>
      <vt:variant>
        <vt:lpwstr/>
      </vt:variant>
      <vt:variant>
        <vt:lpwstr>_Toc22898867</vt:lpwstr>
      </vt:variant>
      <vt:variant>
        <vt:i4>1179700</vt:i4>
      </vt:variant>
      <vt:variant>
        <vt:i4>158</vt:i4>
      </vt:variant>
      <vt:variant>
        <vt:i4>0</vt:i4>
      </vt:variant>
      <vt:variant>
        <vt:i4>5</vt:i4>
      </vt:variant>
      <vt:variant>
        <vt:lpwstr/>
      </vt:variant>
      <vt:variant>
        <vt:lpwstr>_Toc22898866</vt:lpwstr>
      </vt:variant>
      <vt:variant>
        <vt:i4>1114164</vt:i4>
      </vt:variant>
      <vt:variant>
        <vt:i4>152</vt:i4>
      </vt:variant>
      <vt:variant>
        <vt:i4>0</vt:i4>
      </vt:variant>
      <vt:variant>
        <vt:i4>5</vt:i4>
      </vt:variant>
      <vt:variant>
        <vt:lpwstr/>
      </vt:variant>
      <vt:variant>
        <vt:lpwstr>_Toc22898865</vt:lpwstr>
      </vt:variant>
      <vt:variant>
        <vt:i4>1048628</vt:i4>
      </vt:variant>
      <vt:variant>
        <vt:i4>146</vt:i4>
      </vt:variant>
      <vt:variant>
        <vt:i4>0</vt:i4>
      </vt:variant>
      <vt:variant>
        <vt:i4>5</vt:i4>
      </vt:variant>
      <vt:variant>
        <vt:lpwstr/>
      </vt:variant>
      <vt:variant>
        <vt:lpwstr>_Toc22898864</vt:lpwstr>
      </vt:variant>
      <vt:variant>
        <vt:i4>1507380</vt:i4>
      </vt:variant>
      <vt:variant>
        <vt:i4>140</vt:i4>
      </vt:variant>
      <vt:variant>
        <vt:i4>0</vt:i4>
      </vt:variant>
      <vt:variant>
        <vt:i4>5</vt:i4>
      </vt:variant>
      <vt:variant>
        <vt:lpwstr/>
      </vt:variant>
      <vt:variant>
        <vt:lpwstr>_Toc22898863</vt:lpwstr>
      </vt:variant>
      <vt:variant>
        <vt:i4>1441844</vt:i4>
      </vt:variant>
      <vt:variant>
        <vt:i4>134</vt:i4>
      </vt:variant>
      <vt:variant>
        <vt:i4>0</vt:i4>
      </vt:variant>
      <vt:variant>
        <vt:i4>5</vt:i4>
      </vt:variant>
      <vt:variant>
        <vt:lpwstr/>
      </vt:variant>
      <vt:variant>
        <vt:lpwstr>_Toc22898862</vt:lpwstr>
      </vt:variant>
      <vt:variant>
        <vt:i4>1376308</vt:i4>
      </vt:variant>
      <vt:variant>
        <vt:i4>128</vt:i4>
      </vt:variant>
      <vt:variant>
        <vt:i4>0</vt:i4>
      </vt:variant>
      <vt:variant>
        <vt:i4>5</vt:i4>
      </vt:variant>
      <vt:variant>
        <vt:lpwstr/>
      </vt:variant>
      <vt:variant>
        <vt:lpwstr>_Toc22898861</vt:lpwstr>
      </vt:variant>
      <vt:variant>
        <vt:i4>1310772</vt:i4>
      </vt:variant>
      <vt:variant>
        <vt:i4>122</vt:i4>
      </vt:variant>
      <vt:variant>
        <vt:i4>0</vt:i4>
      </vt:variant>
      <vt:variant>
        <vt:i4>5</vt:i4>
      </vt:variant>
      <vt:variant>
        <vt:lpwstr/>
      </vt:variant>
      <vt:variant>
        <vt:lpwstr>_Toc22898860</vt:lpwstr>
      </vt:variant>
      <vt:variant>
        <vt:i4>1900599</vt:i4>
      </vt:variant>
      <vt:variant>
        <vt:i4>116</vt:i4>
      </vt:variant>
      <vt:variant>
        <vt:i4>0</vt:i4>
      </vt:variant>
      <vt:variant>
        <vt:i4>5</vt:i4>
      </vt:variant>
      <vt:variant>
        <vt:lpwstr/>
      </vt:variant>
      <vt:variant>
        <vt:lpwstr>_Toc22898859</vt:lpwstr>
      </vt:variant>
      <vt:variant>
        <vt:i4>1835063</vt:i4>
      </vt:variant>
      <vt:variant>
        <vt:i4>110</vt:i4>
      </vt:variant>
      <vt:variant>
        <vt:i4>0</vt:i4>
      </vt:variant>
      <vt:variant>
        <vt:i4>5</vt:i4>
      </vt:variant>
      <vt:variant>
        <vt:lpwstr/>
      </vt:variant>
      <vt:variant>
        <vt:lpwstr>_Toc22898858</vt:lpwstr>
      </vt:variant>
      <vt:variant>
        <vt:i4>1245239</vt:i4>
      </vt:variant>
      <vt:variant>
        <vt:i4>104</vt:i4>
      </vt:variant>
      <vt:variant>
        <vt:i4>0</vt:i4>
      </vt:variant>
      <vt:variant>
        <vt:i4>5</vt:i4>
      </vt:variant>
      <vt:variant>
        <vt:lpwstr/>
      </vt:variant>
      <vt:variant>
        <vt:lpwstr>_Toc22898857</vt:lpwstr>
      </vt:variant>
      <vt:variant>
        <vt:i4>1179703</vt:i4>
      </vt:variant>
      <vt:variant>
        <vt:i4>98</vt:i4>
      </vt:variant>
      <vt:variant>
        <vt:i4>0</vt:i4>
      </vt:variant>
      <vt:variant>
        <vt:i4>5</vt:i4>
      </vt:variant>
      <vt:variant>
        <vt:lpwstr/>
      </vt:variant>
      <vt:variant>
        <vt:lpwstr>_Toc22898856</vt:lpwstr>
      </vt:variant>
      <vt:variant>
        <vt:i4>1114167</vt:i4>
      </vt:variant>
      <vt:variant>
        <vt:i4>92</vt:i4>
      </vt:variant>
      <vt:variant>
        <vt:i4>0</vt:i4>
      </vt:variant>
      <vt:variant>
        <vt:i4>5</vt:i4>
      </vt:variant>
      <vt:variant>
        <vt:lpwstr/>
      </vt:variant>
      <vt:variant>
        <vt:lpwstr>_Toc22898855</vt:lpwstr>
      </vt:variant>
      <vt:variant>
        <vt:i4>1048631</vt:i4>
      </vt:variant>
      <vt:variant>
        <vt:i4>86</vt:i4>
      </vt:variant>
      <vt:variant>
        <vt:i4>0</vt:i4>
      </vt:variant>
      <vt:variant>
        <vt:i4>5</vt:i4>
      </vt:variant>
      <vt:variant>
        <vt:lpwstr/>
      </vt:variant>
      <vt:variant>
        <vt:lpwstr>_Toc22898854</vt:lpwstr>
      </vt:variant>
      <vt:variant>
        <vt:i4>1507383</vt:i4>
      </vt:variant>
      <vt:variant>
        <vt:i4>80</vt:i4>
      </vt:variant>
      <vt:variant>
        <vt:i4>0</vt:i4>
      </vt:variant>
      <vt:variant>
        <vt:i4>5</vt:i4>
      </vt:variant>
      <vt:variant>
        <vt:lpwstr/>
      </vt:variant>
      <vt:variant>
        <vt:lpwstr>_Toc22898853</vt:lpwstr>
      </vt:variant>
      <vt:variant>
        <vt:i4>1441847</vt:i4>
      </vt:variant>
      <vt:variant>
        <vt:i4>74</vt:i4>
      </vt:variant>
      <vt:variant>
        <vt:i4>0</vt:i4>
      </vt:variant>
      <vt:variant>
        <vt:i4>5</vt:i4>
      </vt:variant>
      <vt:variant>
        <vt:lpwstr/>
      </vt:variant>
      <vt:variant>
        <vt:lpwstr>_Toc22898852</vt:lpwstr>
      </vt:variant>
      <vt:variant>
        <vt:i4>1376311</vt:i4>
      </vt:variant>
      <vt:variant>
        <vt:i4>68</vt:i4>
      </vt:variant>
      <vt:variant>
        <vt:i4>0</vt:i4>
      </vt:variant>
      <vt:variant>
        <vt:i4>5</vt:i4>
      </vt:variant>
      <vt:variant>
        <vt:lpwstr/>
      </vt:variant>
      <vt:variant>
        <vt:lpwstr>_Toc22898851</vt:lpwstr>
      </vt:variant>
      <vt:variant>
        <vt:i4>1310775</vt:i4>
      </vt:variant>
      <vt:variant>
        <vt:i4>62</vt:i4>
      </vt:variant>
      <vt:variant>
        <vt:i4>0</vt:i4>
      </vt:variant>
      <vt:variant>
        <vt:i4>5</vt:i4>
      </vt:variant>
      <vt:variant>
        <vt:lpwstr/>
      </vt:variant>
      <vt:variant>
        <vt:lpwstr>_Toc22898850</vt:lpwstr>
      </vt:variant>
      <vt:variant>
        <vt:i4>1900598</vt:i4>
      </vt:variant>
      <vt:variant>
        <vt:i4>56</vt:i4>
      </vt:variant>
      <vt:variant>
        <vt:i4>0</vt:i4>
      </vt:variant>
      <vt:variant>
        <vt:i4>5</vt:i4>
      </vt:variant>
      <vt:variant>
        <vt:lpwstr/>
      </vt:variant>
      <vt:variant>
        <vt:lpwstr>_Toc22898849</vt:lpwstr>
      </vt:variant>
      <vt:variant>
        <vt:i4>1835062</vt:i4>
      </vt:variant>
      <vt:variant>
        <vt:i4>50</vt:i4>
      </vt:variant>
      <vt:variant>
        <vt:i4>0</vt:i4>
      </vt:variant>
      <vt:variant>
        <vt:i4>5</vt:i4>
      </vt:variant>
      <vt:variant>
        <vt:lpwstr/>
      </vt:variant>
      <vt:variant>
        <vt:lpwstr>_Toc22898848</vt:lpwstr>
      </vt:variant>
      <vt:variant>
        <vt:i4>1245238</vt:i4>
      </vt:variant>
      <vt:variant>
        <vt:i4>44</vt:i4>
      </vt:variant>
      <vt:variant>
        <vt:i4>0</vt:i4>
      </vt:variant>
      <vt:variant>
        <vt:i4>5</vt:i4>
      </vt:variant>
      <vt:variant>
        <vt:lpwstr/>
      </vt:variant>
      <vt:variant>
        <vt:lpwstr>_Toc22898847</vt:lpwstr>
      </vt:variant>
      <vt:variant>
        <vt:i4>1179702</vt:i4>
      </vt:variant>
      <vt:variant>
        <vt:i4>38</vt:i4>
      </vt:variant>
      <vt:variant>
        <vt:i4>0</vt:i4>
      </vt:variant>
      <vt:variant>
        <vt:i4>5</vt:i4>
      </vt:variant>
      <vt:variant>
        <vt:lpwstr/>
      </vt:variant>
      <vt:variant>
        <vt:lpwstr>_Toc22898846</vt:lpwstr>
      </vt:variant>
      <vt:variant>
        <vt:i4>1114166</vt:i4>
      </vt:variant>
      <vt:variant>
        <vt:i4>32</vt:i4>
      </vt:variant>
      <vt:variant>
        <vt:i4>0</vt:i4>
      </vt:variant>
      <vt:variant>
        <vt:i4>5</vt:i4>
      </vt:variant>
      <vt:variant>
        <vt:lpwstr/>
      </vt:variant>
      <vt:variant>
        <vt:lpwstr>_Toc22898845</vt:lpwstr>
      </vt:variant>
      <vt:variant>
        <vt:i4>1048630</vt:i4>
      </vt:variant>
      <vt:variant>
        <vt:i4>26</vt:i4>
      </vt:variant>
      <vt:variant>
        <vt:i4>0</vt:i4>
      </vt:variant>
      <vt:variant>
        <vt:i4>5</vt:i4>
      </vt:variant>
      <vt:variant>
        <vt:lpwstr/>
      </vt:variant>
      <vt:variant>
        <vt:lpwstr>_Toc22898844</vt:lpwstr>
      </vt:variant>
      <vt:variant>
        <vt:i4>1507382</vt:i4>
      </vt:variant>
      <vt:variant>
        <vt:i4>20</vt:i4>
      </vt:variant>
      <vt:variant>
        <vt:i4>0</vt:i4>
      </vt:variant>
      <vt:variant>
        <vt:i4>5</vt:i4>
      </vt:variant>
      <vt:variant>
        <vt:lpwstr/>
      </vt:variant>
      <vt:variant>
        <vt:lpwstr>_Toc22898843</vt:lpwstr>
      </vt:variant>
      <vt:variant>
        <vt:i4>1441846</vt:i4>
      </vt:variant>
      <vt:variant>
        <vt:i4>14</vt:i4>
      </vt:variant>
      <vt:variant>
        <vt:i4>0</vt:i4>
      </vt:variant>
      <vt:variant>
        <vt:i4>5</vt:i4>
      </vt:variant>
      <vt:variant>
        <vt:lpwstr/>
      </vt:variant>
      <vt:variant>
        <vt:lpwstr>_Toc22898842</vt:lpwstr>
      </vt:variant>
      <vt:variant>
        <vt:i4>1376310</vt:i4>
      </vt:variant>
      <vt:variant>
        <vt:i4>8</vt:i4>
      </vt:variant>
      <vt:variant>
        <vt:i4>0</vt:i4>
      </vt:variant>
      <vt:variant>
        <vt:i4>5</vt:i4>
      </vt:variant>
      <vt:variant>
        <vt:lpwstr/>
      </vt:variant>
      <vt:variant>
        <vt:lpwstr>_Toc22898841</vt:lpwstr>
      </vt:variant>
      <vt:variant>
        <vt:i4>1310774</vt:i4>
      </vt:variant>
      <vt:variant>
        <vt:i4>2</vt:i4>
      </vt:variant>
      <vt:variant>
        <vt:i4>0</vt:i4>
      </vt:variant>
      <vt:variant>
        <vt:i4>5</vt:i4>
      </vt:variant>
      <vt:variant>
        <vt:lpwstr/>
      </vt:variant>
      <vt:variant>
        <vt:lpwstr>_Toc22898840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2022-10-20T04:47:00Z</dcterms:created>
  <dcterms:modified xsi:type="dcterms:W3CDTF">2022-10-20T04:47:00Z</dcterms:modified>
</cp:coreProperties>
</file>