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3493C6CB" w:rsidR="00BF27A0" w:rsidRPr="00EF4580" w:rsidRDefault="00C614D5" w:rsidP="006C5B33">
      <w:pPr>
        <w:pStyle w:val="1-MainHeading"/>
        <w:rPr>
          <w:rFonts w:eastAsia="Calibri"/>
          <w:lang w:eastAsia="en-US"/>
        </w:rPr>
      </w:pPr>
      <w:r>
        <w:t>7.07 CANNABIDIOL,</w:t>
      </w:r>
      <w:r>
        <w:br/>
      </w:r>
      <w:r w:rsidRPr="005C7A19">
        <w:t>Oral</w:t>
      </w:r>
      <w:r>
        <w:t xml:space="preserve"> liquid 100 mg per </w:t>
      </w:r>
      <w:r w:rsidRPr="005C7A19">
        <w:t>mL, 100mL</w:t>
      </w:r>
      <w:r>
        <w:t>,</w:t>
      </w:r>
      <w:r>
        <w:br/>
      </w:r>
      <w:proofErr w:type="spellStart"/>
      <w:r>
        <w:t>Epidyolex</w:t>
      </w:r>
      <w:proofErr w:type="spellEnd"/>
      <w:r w:rsidRPr="004A6040">
        <w:rPr>
          <w:vertAlign w:val="superscript"/>
        </w:rPr>
        <w:t>®</w:t>
      </w:r>
      <w:r w:rsidRPr="004A6040">
        <w:t>,</w:t>
      </w:r>
      <w:r w:rsidRPr="004A6040">
        <w:br/>
      </w:r>
      <w:proofErr w:type="spellStart"/>
      <w:r>
        <w:t>Chiesi</w:t>
      </w:r>
      <w:proofErr w:type="spellEnd"/>
      <w:r>
        <w:t xml:space="preserve"> Australia Pty Ltd</w:t>
      </w:r>
      <w:r w:rsidRPr="004A6040">
        <w:t>.</w:t>
      </w:r>
    </w:p>
    <w:p w14:paraId="1DE8D195" w14:textId="0D5F868D" w:rsidR="003F044F" w:rsidRPr="006C5B33" w:rsidRDefault="009C5B72" w:rsidP="006C5B33">
      <w:pPr>
        <w:pStyle w:val="2-SectionHeading"/>
        <w:rPr>
          <w:rFonts w:eastAsia="Calibri"/>
        </w:rPr>
      </w:pPr>
      <w:r w:rsidRPr="006C5B33">
        <w:t>Purpose</w:t>
      </w:r>
      <w:r w:rsidR="00631A7A">
        <w:t xml:space="preserve"> of resubmission</w:t>
      </w:r>
    </w:p>
    <w:p w14:paraId="104EF1A1" w14:textId="15A8C1A7" w:rsidR="00DC0FEB" w:rsidRDefault="00F81F7A" w:rsidP="005C74A7">
      <w:pPr>
        <w:pStyle w:val="3-BodyText"/>
      </w:pPr>
      <w:r w:rsidRPr="00F81F7A">
        <w:t xml:space="preserve">The </w:t>
      </w:r>
      <w:r w:rsidR="009D55E2" w:rsidRPr="002C633F">
        <w:t>early re-entry re</w:t>
      </w:r>
      <w:r w:rsidRPr="002C633F">
        <w:t xml:space="preserve">submission </w:t>
      </w:r>
      <w:r w:rsidR="00D67983">
        <w:t>requested a General Schedule Authority Required listing for the adjunctive treatment of seizures in patients with Lennox-</w:t>
      </w:r>
      <w:proofErr w:type="spellStart"/>
      <w:r w:rsidR="00D67983">
        <w:t>Gastaut</w:t>
      </w:r>
      <w:proofErr w:type="spellEnd"/>
      <w:r w:rsidR="00D67983">
        <w:t xml:space="preserve"> syndrome (LGS) aged 2 years and older. </w:t>
      </w:r>
    </w:p>
    <w:p w14:paraId="0619E802" w14:textId="098DE266" w:rsidR="00AD021A" w:rsidRPr="00DC0FEB" w:rsidRDefault="00AD021A" w:rsidP="00AD021A">
      <w:pPr>
        <w:pStyle w:val="2-SectionHeading"/>
      </w:pPr>
      <w:r>
        <w:t>Background</w:t>
      </w:r>
    </w:p>
    <w:p w14:paraId="3BE2DB93" w14:textId="4718CB30" w:rsidR="00D621CE" w:rsidRPr="00D621CE" w:rsidRDefault="00D621CE" w:rsidP="00D621CE">
      <w:pPr>
        <w:pStyle w:val="3-BodyText"/>
      </w:pPr>
      <w:r>
        <w:t>At the March 2022 meeting, t</w:t>
      </w:r>
      <w:r w:rsidRPr="00D621CE">
        <w:t>he PBAC did not recommend the listing of cannabidiol for the treatment of seizures associated with LGS in patients who have not achieved adequate seizure control with at least two other anti-epileptic drugs (AEDs), as the incremental cost effectiveness ratio</w:t>
      </w:r>
      <w:r>
        <w:t xml:space="preserve"> (ICER)</w:t>
      </w:r>
      <w:r w:rsidRPr="00D621CE">
        <w:t xml:space="preserve"> was high and uncertain at the requested price. </w:t>
      </w:r>
    </w:p>
    <w:p w14:paraId="7094FBD4" w14:textId="5E6613A9" w:rsidR="00631A7A" w:rsidRDefault="00D621CE" w:rsidP="00631A7A">
      <w:pPr>
        <w:pStyle w:val="3-BodyText"/>
      </w:pPr>
      <w:r>
        <w:t>T</w:t>
      </w:r>
      <w:r w:rsidR="00631A7A">
        <w:t>he PBAC considered the outstanding issues for cannabidiol could be resolved in a simple early re-entry resubmission if the following issues were addressed (paragraph</w:t>
      </w:r>
      <w:r w:rsidR="000B5C96">
        <w:t xml:space="preserve"> 7.11, cannabidiol</w:t>
      </w:r>
      <w:r w:rsidR="001C35CB">
        <w:t xml:space="preserve"> Public Summary Document (PSD)</w:t>
      </w:r>
      <w:r w:rsidR="000B5C96">
        <w:t xml:space="preserve"> March 2022 PBAC meeting)</w:t>
      </w:r>
      <w:r w:rsidR="00631A7A">
        <w:t xml:space="preserve">:  </w:t>
      </w:r>
    </w:p>
    <w:p w14:paraId="1E8DEE87" w14:textId="2E12017F" w:rsidR="00631A7A" w:rsidRDefault="00631A7A" w:rsidP="00631A7A">
      <w:pPr>
        <w:pStyle w:val="3-BodyText"/>
        <w:numPr>
          <w:ilvl w:val="0"/>
          <w:numId w:val="15"/>
        </w:numPr>
        <w:spacing w:after="0"/>
      </w:pPr>
      <w:r>
        <w:t xml:space="preserve">provide revised restriction criteria;   </w:t>
      </w:r>
    </w:p>
    <w:p w14:paraId="460463EB" w14:textId="57EA56CD" w:rsidR="00631A7A" w:rsidRDefault="00631A7A" w:rsidP="00631A7A">
      <w:pPr>
        <w:pStyle w:val="3-BodyText"/>
        <w:numPr>
          <w:ilvl w:val="0"/>
          <w:numId w:val="15"/>
        </w:numPr>
        <w:spacing w:after="0"/>
      </w:pPr>
      <w:r>
        <w:t xml:space="preserve">propose a price reduction to achieve an ICER less than </w:t>
      </w:r>
      <w:r w:rsidR="001C35CB">
        <w:t xml:space="preserve">$45,000 to &lt; </w:t>
      </w:r>
      <w:r>
        <w:t>$5</w:t>
      </w:r>
      <w:r w:rsidR="001C35CB">
        <w:t>5</w:t>
      </w:r>
      <w:r>
        <w:t xml:space="preserve">,000 per QALY (excluding carer utilities) with revised economic model assumptions; </w:t>
      </w:r>
    </w:p>
    <w:p w14:paraId="317A1506" w14:textId="77777777" w:rsidR="00631A7A" w:rsidRDefault="00631A7A" w:rsidP="00631A7A">
      <w:pPr>
        <w:pStyle w:val="3-BodyText"/>
        <w:numPr>
          <w:ilvl w:val="0"/>
          <w:numId w:val="15"/>
        </w:numPr>
        <w:spacing w:after="0"/>
      </w:pPr>
      <w:r>
        <w:t>provide revised financial estimates incorporating the new price; and</w:t>
      </w:r>
    </w:p>
    <w:p w14:paraId="33855B2D" w14:textId="77777777" w:rsidR="00631A7A" w:rsidRDefault="00631A7A" w:rsidP="00DC0FEB">
      <w:pPr>
        <w:pStyle w:val="3-BodyText"/>
        <w:numPr>
          <w:ilvl w:val="0"/>
          <w:numId w:val="15"/>
        </w:numPr>
      </w:pPr>
      <w:r>
        <w:t xml:space="preserve">propose an RSA with expenditure caps that reflect the revised financial estimates.   </w:t>
      </w:r>
    </w:p>
    <w:p w14:paraId="5AB68F30" w14:textId="4B8560BF" w:rsidR="009D55E2" w:rsidRDefault="6657D135" w:rsidP="006C5B33">
      <w:pPr>
        <w:pStyle w:val="3-BodyText"/>
        <w:rPr>
          <w:snapToGrid w:val="0"/>
        </w:rPr>
      </w:pPr>
      <w:r w:rsidRPr="00EF4580">
        <w:rPr>
          <w:snapToGrid w:val="0"/>
        </w:rPr>
        <w:t>Th</w:t>
      </w:r>
      <w:r w:rsidR="00573C95">
        <w:rPr>
          <w:snapToGrid w:val="0"/>
        </w:rPr>
        <w:t>e</w:t>
      </w:r>
      <w:r w:rsidRPr="00EF4580">
        <w:rPr>
          <w:snapToGrid w:val="0"/>
        </w:rPr>
        <w:t xml:space="preserve">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573C95">
        <w:rPr>
          <w:snapToGrid w:val="0"/>
        </w:rPr>
        <w:t xml:space="preserve"> as summarised </w:t>
      </w:r>
      <w:r w:rsidR="00573C95" w:rsidRPr="00063D31">
        <w:rPr>
          <w:snapToGrid w:val="0"/>
        </w:rPr>
        <w:t>in</w:t>
      </w:r>
      <w:r w:rsidR="00063D31" w:rsidRPr="00063D31">
        <w:rPr>
          <w:snapToGrid w:val="0"/>
        </w:rPr>
        <w:t xml:space="preserve"> </w:t>
      </w:r>
      <w:r w:rsidR="00063D31" w:rsidRPr="00063D31">
        <w:rPr>
          <w:snapToGrid w:val="0"/>
        </w:rPr>
        <w:fldChar w:fldCharType="begin"/>
      </w:r>
      <w:r w:rsidR="00063D31" w:rsidRPr="00063D31">
        <w:rPr>
          <w:snapToGrid w:val="0"/>
        </w:rPr>
        <w:instrText xml:space="preserve"> REF _Ref106619129 \h  \* MERGEFORMAT </w:instrText>
      </w:r>
      <w:r w:rsidR="00063D31" w:rsidRPr="00063D31">
        <w:rPr>
          <w:snapToGrid w:val="0"/>
        </w:rPr>
      </w:r>
      <w:r w:rsidR="00063D31" w:rsidRPr="00063D31">
        <w:rPr>
          <w:snapToGrid w:val="0"/>
        </w:rPr>
        <w:fldChar w:fldCharType="separate"/>
      </w:r>
      <w:r w:rsidR="004141D9" w:rsidRPr="004141D9">
        <w:rPr>
          <w:snapToGrid w:val="0"/>
        </w:rPr>
        <w:t>Table 1</w:t>
      </w:r>
      <w:r w:rsidR="00063D31" w:rsidRPr="00063D31">
        <w:rPr>
          <w:snapToGrid w:val="0"/>
        </w:rPr>
        <w:fldChar w:fldCharType="end"/>
      </w:r>
      <w:r w:rsidR="009D55E2" w:rsidRPr="00063D31">
        <w:rPr>
          <w:snapToGrid w:val="0"/>
        </w:rPr>
        <w:t>.</w:t>
      </w:r>
      <w:r w:rsidR="00D34011" w:rsidRPr="00063D31">
        <w:rPr>
          <w:snapToGrid w:val="0"/>
        </w:rPr>
        <w:t xml:space="preserve"> </w:t>
      </w:r>
    </w:p>
    <w:p w14:paraId="13DC54C9" w14:textId="440BA233" w:rsidR="009D55E2" w:rsidRPr="002A6133" w:rsidRDefault="002A6133" w:rsidP="00B0263A">
      <w:pPr>
        <w:pStyle w:val="Caption"/>
        <w:keepNext/>
        <w:keepLines/>
        <w:spacing w:after="0"/>
        <w:jc w:val="left"/>
        <w:rPr>
          <w:rStyle w:val="CommentReference"/>
          <w:i w:val="0"/>
          <w:iCs w:val="0"/>
        </w:rPr>
      </w:pPr>
      <w:bookmarkStart w:id="0" w:name="_Ref106619129"/>
      <w:r w:rsidRPr="002A6133">
        <w:rPr>
          <w:rStyle w:val="CommentReference"/>
          <w:i w:val="0"/>
          <w:iCs w:val="0"/>
        </w:rPr>
        <w:lastRenderedPageBreak/>
        <w:t xml:space="preserve">Table </w:t>
      </w:r>
      <w:r w:rsidRPr="002A6133">
        <w:rPr>
          <w:rStyle w:val="CommentReference"/>
          <w:i w:val="0"/>
          <w:iCs w:val="0"/>
        </w:rPr>
        <w:fldChar w:fldCharType="begin"/>
      </w:r>
      <w:r w:rsidRPr="002A6133">
        <w:rPr>
          <w:rStyle w:val="CommentReference"/>
          <w:i w:val="0"/>
          <w:iCs w:val="0"/>
        </w:rPr>
        <w:instrText xml:space="preserve"> SEQ Table \* ARABIC </w:instrText>
      </w:r>
      <w:r w:rsidRPr="002A6133">
        <w:rPr>
          <w:rStyle w:val="CommentReference"/>
          <w:i w:val="0"/>
          <w:iCs w:val="0"/>
        </w:rPr>
        <w:fldChar w:fldCharType="separate"/>
      </w:r>
      <w:r w:rsidR="004141D9">
        <w:rPr>
          <w:rStyle w:val="CommentReference"/>
          <w:i w:val="0"/>
          <w:iCs w:val="0"/>
          <w:noProof/>
        </w:rPr>
        <w:t>1</w:t>
      </w:r>
      <w:r w:rsidRPr="002A6133">
        <w:rPr>
          <w:rStyle w:val="CommentReference"/>
          <w:i w:val="0"/>
          <w:iCs w:val="0"/>
        </w:rPr>
        <w:fldChar w:fldCharType="end"/>
      </w:r>
      <w:bookmarkEnd w:id="0"/>
      <w:r>
        <w:rPr>
          <w:rStyle w:val="CommentReference"/>
          <w:i w:val="0"/>
          <w:iCs w:val="0"/>
        </w:rPr>
        <w:t>:</w:t>
      </w:r>
      <w:r w:rsidRPr="002A6133">
        <w:rPr>
          <w:rStyle w:val="CommentReference"/>
          <w:i w:val="0"/>
          <w:iCs w:val="0"/>
        </w:rPr>
        <w:t xml:space="preserve"> </w:t>
      </w:r>
      <w:r w:rsidR="009D55E2" w:rsidRPr="002A6133">
        <w:rPr>
          <w:rStyle w:val="CommentReference"/>
          <w:i w:val="0"/>
          <w:iCs w:val="0"/>
        </w:rPr>
        <w:t>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720"/>
        <w:gridCol w:w="3720"/>
      </w:tblGrid>
      <w:tr w:rsidR="002C633F" w:rsidRPr="002C633F" w14:paraId="5D2DC7BB" w14:textId="77777777" w:rsidTr="00B0263A">
        <w:trPr>
          <w:tblHeader/>
        </w:trPr>
        <w:tc>
          <w:tcPr>
            <w:tcW w:w="864" w:type="pct"/>
            <w:vAlign w:val="center"/>
          </w:tcPr>
          <w:p w14:paraId="47875CEE" w14:textId="719157E8" w:rsidR="00D34011" w:rsidRPr="002C633F" w:rsidRDefault="00D34011" w:rsidP="00B0263A">
            <w:pPr>
              <w:pStyle w:val="In-tableHeading"/>
              <w:keepLines/>
            </w:pPr>
            <w:r w:rsidRPr="002C633F">
              <w:t>Matter of concern</w:t>
            </w:r>
          </w:p>
        </w:tc>
        <w:tc>
          <w:tcPr>
            <w:tcW w:w="2068" w:type="pct"/>
            <w:vAlign w:val="center"/>
          </w:tcPr>
          <w:p w14:paraId="2F0501E9" w14:textId="140D6508" w:rsidR="00D34011" w:rsidRPr="002C633F" w:rsidRDefault="00573C95" w:rsidP="00B0263A">
            <w:pPr>
              <w:pStyle w:val="In-tableHeading"/>
              <w:keepLines/>
            </w:pPr>
            <w:r>
              <w:t>PBAC comments</w:t>
            </w:r>
            <w:r w:rsidR="00B20109">
              <w:t xml:space="preserve"> (paragraph references to cannabidiol </w:t>
            </w:r>
            <w:r w:rsidR="000855F4">
              <w:t>M</w:t>
            </w:r>
            <w:r w:rsidR="00B20109">
              <w:t>inutes, March 2022 PBAC meeting)</w:t>
            </w:r>
          </w:p>
        </w:tc>
        <w:tc>
          <w:tcPr>
            <w:tcW w:w="2068" w:type="pct"/>
            <w:vAlign w:val="center"/>
          </w:tcPr>
          <w:p w14:paraId="06AD57D9" w14:textId="31F593CA" w:rsidR="00D34011" w:rsidRPr="002C633F" w:rsidRDefault="00573C95" w:rsidP="00B0263A">
            <w:pPr>
              <w:pStyle w:val="In-tableHeading"/>
              <w:keepLines/>
            </w:pPr>
            <w:r>
              <w:t xml:space="preserve">July 2022 resubmission </w:t>
            </w:r>
          </w:p>
        </w:tc>
      </w:tr>
      <w:tr w:rsidR="002C633F" w:rsidRPr="002C633F" w14:paraId="41739F84" w14:textId="77777777" w:rsidTr="00B0263A">
        <w:tc>
          <w:tcPr>
            <w:tcW w:w="864" w:type="pct"/>
            <w:vAlign w:val="center"/>
          </w:tcPr>
          <w:p w14:paraId="6B3446A2" w14:textId="03316E48" w:rsidR="00D34011" w:rsidRPr="002C633F" w:rsidRDefault="00EA1C2E" w:rsidP="00B0263A">
            <w:pPr>
              <w:pStyle w:val="TableText"/>
              <w:keepLines/>
            </w:pPr>
            <w:r>
              <w:t>Restriction criteria</w:t>
            </w:r>
          </w:p>
        </w:tc>
        <w:tc>
          <w:tcPr>
            <w:tcW w:w="2068" w:type="pct"/>
            <w:vAlign w:val="center"/>
          </w:tcPr>
          <w:p w14:paraId="4F86B4C1" w14:textId="7BFDCDF4" w:rsidR="00D34011" w:rsidRPr="002C633F" w:rsidRDefault="00CC2043" w:rsidP="00B0263A">
            <w:pPr>
              <w:pStyle w:val="TableText"/>
              <w:keepLines/>
            </w:pPr>
            <w:r w:rsidRPr="00CC2043">
              <w:t>The PBAC advised the following changes to the restriction criteria for cannabidiol would be appropriate (</w:t>
            </w:r>
            <w:proofErr w:type="spellStart"/>
            <w:r w:rsidRPr="00CC2043">
              <w:t>i</w:t>
            </w:r>
            <w:proofErr w:type="spellEnd"/>
            <w:r w:rsidRPr="00CC2043">
              <w:t>) remove population criteria related to age and (ii) an improved definition of LGS, consistent with that proposed by the E</w:t>
            </w:r>
            <w:r>
              <w:t xml:space="preserve">pilepsy </w:t>
            </w:r>
            <w:r w:rsidRPr="00CC2043">
              <w:t>S</w:t>
            </w:r>
            <w:r>
              <w:t xml:space="preserve">ociety of </w:t>
            </w:r>
            <w:r w:rsidRPr="00CC2043">
              <w:t>A</w:t>
            </w:r>
            <w:r>
              <w:t>ustralia</w:t>
            </w:r>
            <w:r w:rsidRPr="00CC2043">
              <w:t>. The PBAC noted the clinical trials for cannabidiol required patients to have least 2 drop seizures per week at trial entry and considered it may be appropriate to also include this in the restriction criteria</w:t>
            </w:r>
            <w:r>
              <w:t xml:space="preserve"> </w:t>
            </w:r>
            <w:bookmarkStart w:id="1" w:name="_Hlk104288961"/>
            <w:r>
              <w:t>(paragraph 7.</w:t>
            </w:r>
            <w:r w:rsidR="00B20109">
              <w:t>3)</w:t>
            </w:r>
            <w:r>
              <w:t xml:space="preserve">. </w:t>
            </w:r>
            <w:bookmarkEnd w:id="1"/>
          </w:p>
        </w:tc>
        <w:tc>
          <w:tcPr>
            <w:tcW w:w="2068" w:type="pct"/>
            <w:vAlign w:val="center"/>
          </w:tcPr>
          <w:p w14:paraId="40542A06" w14:textId="3F5675F4" w:rsidR="00D34011" w:rsidRPr="002C633F" w:rsidRDefault="00CD312C" w:rsidP="00B0263A">
            <w:pPr>
              <w:pStyle w:val="TableText"/>
              <w:keepLines/>
            </w:pPr>
            <w:r>
              <w:t>The resubmission p</w:t>
            </w:r>
            <w:r w:rsidR="005179B3">
              <w:t xml:space="preserve">roposed revised restriction criteria as requested.   </w:t>
            </w:r>
          </w:p>
        </w:tc>
      </w:tr>
      <w:tr w:rsidR="002C633F" w:rsidRPr="002C633F" w14:paraId="6E83CDA9" w14:textId="77777777" w:rsidTr="00B0263A">
        <w:tc>
          <w:tcPr>
            <w:tcW w:w="864" w:type="pct"/>
            <w:vAlign w:val="center"/>
          </w:tcPr>
          <w:p w14:paraId="5C9F432C" w14:textId="5FC0794A" w:rsidR="00D34011" w:rsidRPr="002C633F" w:rsidRDefault="00EA1C2E" w:rsidP="00B0263A">
            <w:pPr>
              <w:pStyle w:val="TableText"/>
              <w:keepLines/>
            </w:pPr>
            <w:r>
              <w:t>Cost effectiveness</w:t>
            </w:r>
          </w:p>
        </w:tc>
        <w:tc>
          <w:tcPr>
            <w:tcW w:w="2068" w:type="pct"/>
            <w:vAlign w:val="center"/>
          </w:tcPr>
          <w:p w14:paraId="7DA8342B" w14:textId="338E29D5" w:rsidR="00D34011" w:rsidRDefault="00CC2043" w:rsidP="00B0263A">
            <w:pPr>
              <w:pStyle w:val="TableText"/>
              <w:keepLines/>
              <w:rPr>
                <w:lang w:val="en-GB"/>
              </w:rPr>
            </w:pPr>
            <w:r>
              <w:rPr>
                <w:lang w:val="en-GB"/>
              </w:rPr>
              <w:t xml:space="preserve">The PBAC noted using transition probabilities from the 10 mg/kg/day and 20 mg/kg/day treatment arms and a dose of 17 mg/kg/ day (assuming 70% of patients treated with 20 mg/kg/day consistent with the clinical trials) resulted in an ICER of </w:t>
            </w:r>
            <w:r w:rsidR="00523D08" w:rsidRPr="00523D08">
              <w:rPr>
                <w:lang w:val="en-GB"/>
              </w:rPr>
              <w:t>$75,000 to &lt; $95,000/ QALY</w:t>
            </w:r>
            <w:r w:rsidR="00523D08" w:rsidRPr="00523D08" w:rsidDel="00523D08">
              <w:rPr>
                <w:lang w:val="en-GB"/>
              </w:rPr>
              <w:t xml:space="preserve"> </w:t>
            </w:r>
            <w:r>
              <w:rPr>
                <w:lang w:val="en-GB"/>
              </w:rPr>
              <w:t>(excluding carer utilities) (</w:t>
            </w:r>
            <w:r>
              <w:t>paragraph 7.9).</w:t>
            </w:r>
          </w:p>
          <w:p w14:paraId="7560A973" w14:textId="77777777" w:rsidR="00CC2043" w:rsidRDefault="00CC2043" w:rsidP="00B0263A">
            <w:pPr>
              <w:pStyle w:val="TableText"/>
              <w:keepLines/>
              <w:rPr>
                <w:lang w:val="en-GB"/>
              </w:rPr>
            </w:pPr>
          </w:p>
          <w:p w14:paraId="64E0DE1A" w14:textId="6FE79190" w:rsidR="00CC2043" w:rsidRPr="002C633F" w:rsidRDefault="00B20109" w:rsidP="00B0263A">
            <w:pPr>
              <w:pStyle w:val="TableText"/>
              <w:keepLines/>
            </w:pPr>
            <w:r>
              <w:rPr>
                <w:lang w:val="en-GB"/>
              </w:rPr>
              <w:t xml:space="preserve">The PBAC requested </w:t>
            </w:r>
            <w:r w:rsidR="00CC2043" w:rsidRPr="00473F26">
              <w:rPr>
                <w:lang w:val="en-GB"/>
              </w:rPr>
              <w:t>a price reduction to achieve an ICER</w:t>
            </w:r>
            <w:r w:rsidR="00CC2043">
              <w:rPr>
                <w:lang w:val="en-GB"/>
              </w:rPr>
              <w:t xml:space="preserve"> less than</w:t>
            </w:r>
            <w:r w:rsidR="00CC2043" w:rsidRPr="00473F26">
              <w:rPr>
                <w:lang w:val="en-GB"/>
              </w:rPr>
              <w:t xml:space="preserve"> </w:t>
            </w:r>
            <w:r w:rsidR="00BB5875">
              <w:t xml:space="preserve">$45,000 to &lt; $55,000 </w:t>
            </w:r>
            <w:r w:rsidR="00CC2043" w:rsidRPr="00473F26">
              <w:rPr>
                <w:lang w:val="en-GB"/>
              </w:rPr>
              <w:t xml:space="preserve">per QALY </w:t>
            </w:r>
            <w:r w:rsidR="00CC2043">
              <w:rPr>
                <w:lang w:val="en-GB"/>
              </w:rPr>
              <w:t xml:space="preserve">(excluding carer utilities) </w:t>
            </w:r>
            <w:r w:rsidR="00CC2043" w:rsidRPr="00473F26">
              <w:rPr>
                <w:lang w:val="en-GB"/>
              </w:rPr>
              <w:t xml:space="preserve">with the revised </w:t>
            </w:r>
            <w:r w:rsidR="00CC2043">
              <w:rPr>
                <w:lang w:val="en-GB"/>
              </w:rPr>
              <w:t xml:space="preserve">economic model </w:t>
            </w:r>
            <w:r w:rsidR="00CC2043" w:rsidRPr="00473F26">
              <w:rPr>
                <w:lang w:val="en-GB"/>
              </w:rPr>
              <w:t>assumptions</w:t>
            </w:r>
            <w:r>
              <w:rPr>
                <w:lang w:val="en-GB"/>
              </w:rPr>
              <w:t xml:space="preserve"> (</w:t>
            </w:r>
            <w:r>
              <w:t>paragraph 7.11)</w:t>
            </w:r>
          </w:p>
        </w:tc>
        <w:tc>
          <w:tcPr>
            <w:tcW w:w="2068" w:type="pct"/>
            <w:vAlign w:val="center"/>
          </w:tcPr>
          <w:p w14:paraId="2C8D3555" w14:textId="018B76E2" w:rsidR="00677A32" w:rsidRDefault="00677A32" w:rsidP="00B0263A">
            <w:pPr>
              <w:pStyle w:val="TableText"/>
              <w:keepLines/>
            </w:pPr>
            <w:r>
              <w:t>The resubmission reduced the effective ex-manufacturer price from $</w:t>
            </w:r>
            <w:r w:rsidR="00981284" w:rsidRPr="00981284">
              <w:rPr>
                <w:color w:val="000000"/>
                <w:spacing w:val="51"/>
                <w:shd w:val="solid" w:color="000000" w:fill="000000"/>
                <w:fitText w:val="326" w:id="-1435749888"/>
                <w14:textFill>
                  <w14:solidFill>
                    <w14:srgbClr w14:val="000000">
                      <w14:alpha w14:val="100000"/>
                    </w14:srgbClr>
                  </w14:solidFill>
                </w14:textFill>
              </w:rPr>
              <w:t>|||</w:t>
            </w:r>
            <w:r w:rsidR="00981284" w:rsidRPr="00981284">
              <w:rPr>
                <w:color w:val="000000"/>
                <w:spacing w:val="3"/>
                <w:shd w:val="solid" w:color="000000" w:fill="000000"/>
                <w:fitText w:val="326" w:id="-1435749888"/>
                <w14:textFill>
                  <w14:solidFill>
                    <w14:srgbClr w14:val="000000">
                      <w14:alpha w14:val="100000"/>
                    </w14:srgbClr>
                  </w14:solidFill>
                </w14:textFill>
              </w:rPr>
              <w:t>|</w:t>
            </w:r>
            <w:r>
              <w:t xml:space="preserve"> to $</w:t>
            </w:r>
            <w:r w:rsidR="00981284" w:rsidRPr="00981284">
              <w:rPr>
                <w:color w:val="000000"/>
                <w:spacing w:val="51"/>
                <w:shd w:val="solid" w:color="000000" w:fill="000000"/>
                <w:fitText w:val="325" w:id="-1435749887"/>
                <w14:textFill>
                  <w14:solidFill>
                    <w14:srgbClr w14:val="000000">
                      <w14:alpha w14:val="100000"/>
                    </w14:srgbClr>
                  </w14:solidFill>
                </w14:textFill>
              </w:rPr>
              <w:t>|||</w:t>
            </w:r>
            <w:r w:rsidR="00981284" w:rsidRPr="00981284">
              <w:rPr>
                <w:color w:val="000000"/>
                <w:spacing w:val="2"/>
                <w:shd w:val="solid" w:color="000000" w:fill="000000"/>
                <w:fitText w:val="325" w:id="-1435749887"/>
                <w14:textFill>
                  <w14:solidFill>
                    <w14:srgbClr w14:val="000000">
                      <w14:alpha w14:val="100000"/>
                    </w14:srgbClr>
                  </w14:solidFill>
                </w14:textFill>
              </w:rPr>
              <w:t>|</w:t>
            </w:r>
            <w:r>
              <w:t xml:space="preserve"> (</w:t>
            </w:r>
            <w:r w:rsidRPr="00335F08">
              <w:t xml:space="preserve">a </w:t>
            </w:r>
            <w:r w:rsidR="00981284" w:rsidRPr="00981284">
              <w:rPr>
                <w:color w:val="000000"/>
                <w:spacing w:val="51"/>
                <w:shd w:val="solid" w:color="000000" w:fill="000000"/>
                <w:fitText w:val="326" w:id="-1435749886"/>
                <w14:textFill>
                  <w14:solidFill>
                    <w14:srgbClr w14:val="000000">
                      <w14:alpha w14:val="100000"/>
                    </w14:srgbClr>
                  </w14:solidFill>
                </w14:textFill>
              </w:rPr>
              <w:t>|||</w:t>
            </w:r>
            <w:r w:rsidR="00981284" w:rsidRPr="00981284">
              <w:rPr>
                <w:color w:val="000000"/>
                <w:spacing w:val="3"/>
                <w:shd w:val="solid" w:color="000000" w:fill="000000"/>
                <w:fitText w:val="326" w:id="-1435749886"/>
                <w14:textFill>
                  <w14:solidFill>
                    <w14:srgbClr w14:val="000000">
                      <w14:alpha w14:val="100000"/>
                    </w14:srgbClr>
                  </w14:solidFill>
                </w14:textFill>
              </w:rPr>
              <w:t>|</w:t>
            </w:r>
            <w:r w:rsidRPr="00335F08">
              <w:t>% reduction</w:t>
            </w:r>
            <w:r>
              <w:t>).</w:t>
            </w:r>
            <w:r w:rsidR="009B5682">
              <w:t xml:space="preserve"> The resubmission </w:t>
            </w:r>
            <w:r w:rsidR="009B5682" w:rsidRPr="009B5682">
              <w:t>stated that the price proposed is the lowest price viable for this indication from a commercial perspective.</w:t>
            </w:r>
          </w:p>
          <w:p w14:paraId="5FA2BFA3" w14:textId="019EB9F1" w:rsidR="00677A32" w:rsidRDefault="00677A32" w:rsidP="00B0263A">
            <w:pPr>
              <w:pStyle w:val="TableText"/>
              <w:keepLines/>
            </w:pPr>
          </w:p>
          <w:p w14:paraId="41501157" w14:textId="72A6A762" w:rsidR="00677A32" w:rsidRDefault="00D66189" w:rsidP="00B0263A">
            <w:pPr>
              <w:pStyle w:val="TableText"/>
              <w:keepLines/>
            </w:pPr>
            <w:r>
              <w:t xml:space="preserve">The resubmission did not accept all economic model </w:t>
            </w:r>
            <w:proofErr w:type="spellStart"/>
            <w:r>
              <w:t>respecifications</w:t>
            </w:r>
            <w:proofErr w:type="spellEnd"/>
            <w:r w:rsidR="00435A4A">
              <w:t xml:space="preserve"> (as discussed below)</w:t>
            </w:r>
            <w:r>
              <w:t xml:space="preserve">.  </w:t>
            </w:r>
          </w:p>
          <w:p w14:paraId="01D97659" w14:textId="0E9DE736" w:rsidR="00D66189" w:rsidRDefault="00D66189" w:rsidP="00B0263A">
            <w:pPr>
              <w:pStyle w:val="TableText"/>
              <w:keepLines/>
            </w:pPr>
          </w:p>
          <w:p w14:paraId="5ABBC2E8" w14:textId="1AAE74E4" w:rsidR="00D66189" w:rsidRDefault="00D66189" w:rsidP="00B0263A">
            <w:pPr>
              <w:pStyle w:val="TableText"/>
              <w:keepLines/>
            </w:pPr>
            <w:r>
              <w:t xml:space="preserve">ICER </w:t>
            </w:r>
            <w:r w:rsidR="00EF21D6">
              <w:t xml:space="preserve">using the base case </w:t>
            </w:r>
            <w:r w:rsidR="00912E14">
              <w:t xml:space="preserve">economic model </w:t>
            </w:r>
            <w:r w:rsidR="00EF21D6">
              <w:t xml:space="preserve">from the previous submission: </w:t>
            </w:r>
            <w:r w:rsidR="00BB5875" w:rsidRPr="00BB5875">
              <w:t xml:space="preserve">$55,000 to &lt; $75,000 </w:t>
            </w:r>
            <w:r>
              <w:t xml:space="preserve">excluding carer utilities and </w:t>
            </w:r>
            <w:r w:rsidR="00BB5875" w:rsidRPr="00BB5875">
              <w:t>$45,000 to &lt; $55,000</w:t>
            </w:r>
            <w:r w:rsidR="00BB5875">
              <w:t xml:space="preserve"> </w:t>
            </w:r>
            <w:r>
              <w:t>including carer utilities.</w:t>
            </w:r>
          </w:p>
          <w:p w14:paraId="05AFDD6F" w14:textId="46CE9C7A" w:rsidR="00D66189" w:rsidRDefault="00D66189" w:rsidP="00B0263A">
            <w:pPr>
              <w:pStyle w:val="TableText"/>
              <w:keepLines/>
            </w:pPr>
          </w:p>
          <w:p w14:paraId="6E2BFEBC" w14:textId="77777777" w:rsidR="00BB5875" w:rsidRPr="00BB5875" w:rsidRDefault="00D66189" w:rsidP="00BB5875">
            <w:pPr>
              <w:pStyle w:val="TableText"/>
              <w:keepLines/>
            </w:pPr>
            <w:r>
              <w:t xml:space="preserve">ICER using </w:t>
            </w:r>
            <w:r w:rsidR="00EF21D6">
              <w:t xml:space="preserve">PBAC </w:t>
            </w:r>
            <w:r>
              <w:t xml:space="preserve">respecified economic model </w:t>
            </w:r>
            <w:r w:rsidR="005C74A7">
              <w:t>(per paragraph 7.9)</w:t>
            </w:r>
            <w:r w:rsidR="00EF21D6">
              <w:t xml:space="preserve">: </w:t>
            </w:r>
            <w:r w:rsidR="00BB5875" w:rsidRPr="00BB5875">
              <w:t>$75,000 to &lt; $95,000</w:t>
            </w:r>
          </w:p>
          <w:p w14:paraId="7A6D4E21" w14:textId="3E846FE8" w:rsidR="00D34011" w:rsidRPr="002C633F" w:rsidRDefault="00D66189" w:rsidP="00B0263A">
            <w:pPr>
              <w:pStyle w:val="TableText"/>
              <w:keepLines/>
            </w:pPr>
            <w:r>
              <w:t xml:space="preserve">excluding carer utilities and </w:t>
            </w:r>
            <w:r w:rsidR="00BB5875" w:rsidRPr="00BB5875">
              <w:t xml:space="preserve">$55,000 to &lt; $75,000 </w:t>
            </w:r>
            <w:r w:rsidR="002D42E2">
              <w:t>in</w:t>
            </w:r>
            <w:r>
              <w:t xml:space="preserve">cluding carer utilities.  </w:t>
            </w:r>
          </w:p>
        </w:tc>
      </w:tr>
      <w:tr w:rsidR="002C633F" w:rsidRPr="002C633F" w14:paraId="2DF1DD08" w14:textId="77777777" w:rsidTr="00B0263A">
        <w:tc>
          <w:tcPr>
            <w:tcW w:w="864" w:type="pct"/>
            <w:vAlign w:val="center"/>
          </w:tcPr>
          <w:p w14:paraId="49207A7D" w14:textId="32415F2F" w:rsidR="00D34011" w:rsidRPr="002C633F" w:rsidRDefault="00EA1C2E" w:rsidP="00A07C4C">
            <w:pPr>
              <w:pStyle w:val="TableText"/>
            </w:pPr>
            <w:r>
              <w:t>Financial estimates</w:t>
            </w:r>
          </w:p>
        </w:tc>
        <w:tc>
          <w:tcPr>
            <w:tcW w:w="2068" w:type="pct"/>
            <w:vAlign w:val="center"/>
          </w:tcPr>
          <w:p w14:paraId="03940ED8" w14:textId="2CE5A964" w:rsidR="00CC2043" w:rsidRPr="00CC2043" w:rsidRDefault="00CC2043" w:rsidP="00A07C4C">
            <w:pPr>
              <w:pStyle w:val="TableText"/>
              <w:rPr>
                <w:snapToGrid w:val="0"/>
                <w:lang w:val="en-GB"/>
              </w:rPr>
            </w:pPr>
            <w:bookmarkStart w:id="2" w:name="_Ref100240267"/>
            <w:r>
              <w:rPr>
                <w:rFonts w:asciiTheme="minorHAnsi" w:hAnsiTheme="minorHAnsi"/>
                <w:snapToGrid w:val="0"/>
                <w:lang w:val="en-GB"/>
              </w:rPr>
              <w:t xml:space="preserve">The </w:t>
            </w:r>
            <w:r w:rsidRPr="00CC2043">
              <w:rPr>
                <w:snapToGrid w:val="0"/>
                <w:lang w:val="en-GB"/>
              </w:rPr>
              <w:t>PBAC considered the estimated number of patients likely to be treated with cannabidiol and the methodology for calculating the estimated cost of listing on the PBS were reasonable</w:t>
            </w:r>
            <w:bookmarkEnd w:id="2"/>
            <w:r>
              <w:rPr>
                <w:snapToGrid w:val="0"/>
                <w:lang w:val="en-GB"/>
              </w:rPr>
              <w:t xml:space="preserve"> </w:t>
            </w:r>
            <w:r>
              <w:t>(paragraph 7.10).</w:t>
            </w:r>
          </w:p>
          <w:p w14:paraId="3C1B3008" w14:textId="77777777" w:rsidR="00CC2043" w:rsidRPr="00CC2043" w:rsidRDefault="00CC2043" w:rsidP="00A07C4C">
            <w:pPr>
              <w:pStyle w:val="TableText"/>
              <w:rPr>
                <w:snapToGrid w:val="0"/>
                <w:lang w:val="en-GB"/>
              </w:rPr>
            </w:pPr>
          </w:p>
          <w:p w14:paraId="7E07F94E" w14:textId="6C51EDF2" w:rsidR="00D34011" w:rsidRPr="002C633F" w:rsidRDefault="00B20109" w:rsidP="00A07C4C">
            <w:pPr>
              <w:pStyle w:val="TableText"/>
            </w:pPr>
            <w:r>
              <w:t xml:space="preserve">The PBAC requested </w:t>
            </w:r>
            <w:r w:rsidR="00CC2043" w:rsidRPr="00CC2043">
              <w:t>revised financial estimates incorporating the new price</w:t>
            </w:r>
            <w:r>
              <w:t xml:space="preserve"> (paragraph 7.11).</w:t>
            </w:r>
          </w:p>
        </w:tc>
        <w:tc>
          <w:tcPr>
            <w:tcW w:w="2068" w:type="pct"/>
            <w:vAlign w:val="center"/>
          </w:tcPr>
          <w:p w14:paraId="53642281" w14:textId="3184E2FD" w:rsidR="00D34011" w:rsidRDefault="00435A4A" w:rsidP="00A07C4C">
            <w:pPr>
              <w:pStyle w:val="TableText"/>
            </w:pPr>
            <w:r>
              <w:t xml:space="preserve">Revised financial estimates reflect reduced price. </w:t>
            </w:r>
          </w:p>
          <w:p w14:paraId="5204D4D5" w14:textId="77777777" w:rsidR="00EF21D6" w:rsidRDefault="00EF21D6" w:rsidP="00A07C4C">
            <w:pPr>
              <w:pStyle w:val="TableText"/>
            </w:pPr>
          </w:p>
          <w:p w14:paraId="5175BB10" w14:textId="647FF998" w:rsidR="00EF21D6" w:rsidRPr="002C633F" w:rsidRDefault="00EF21D6" w:rsidP="00A07C4C">
            <w:pPr>
              <w:pStyle w:val="TableText"/>
            </w:pPr>
            <w:r>
              <w:t>Revised financial estimates reflect an average dose of 15 mg/kg/day (</w:t>
            </w:r>
            <w:r w:rsidRPr="00EF21D6">
              <w:t>rather than 17 mg/kg/day per the PBAC’s respecified base case for the economic model), which was conservative in the context of estimating an RSA cap.</w:t>
            </w:r>
          </w:p>
        </w:tc>
      </w:tr>
      <w:tr w:rsidR="002C633F" w:rsidRPr="002C633F" w14:paraId="3B47EDB5" w14:textId="77777777" w:rsidTr="00B0263A">
        <w:tc>
          <w:tcPr>
            <w:tcW w:w="864" w:type="pct"/>
            <w:vAlign w:val="center"/>
          </w:tcPr>
          <w:p w14:paraId="1FA45752" w14:textId="085E55C4" w:rsidR="00D34011" w:rsidRPr="002C633F" w:rsidRDefault="00EA1C2E" w:rsidP="00A07C4C">
            <w:pPr>
              <w:pStyle w:val="TableText"/>
            </w:pPr>
            <w:r>
              <w:t>Risk sharing arrangement</w:t>
            </w:r>
          </w:p>
        </w:tc>
        <w:tc>
          <w:tcPr>
            <w:tcW w:w="2068" w:type="pct"/>
            <w:vAlign w:val="center"/>
          </w:tcPr>
          <w:p w14:paraId="695BA2E2" w14:textId="540E69E8" w:rsidR="00D34011" w:rsidRPr="00CC2043" w:rsidRDefault="00CC2043" w:rsidP="00A07C4C">
            <w:pPr>
              <w:pStyle w:val="TableText"/>
              <w:rPr>
                <w:lang w:val="en-GB"/>
              </w:rPr>
            </w:pPr>
            <w:r w:rsidRPr="00CC2043">
              <w:rPr>
                <w:lang w:val="en-GB"/>
              </w:rPr>
              <w:t>The PBAC advised a risk share arrangement (RSA) to manage the outstanding uncertainty regarding the dose likely to be used in clinical practice would be required</w:t>
            </w:r>
            <w:r>
              <w:rPr>
                <w:lang w:val="en-GB"/>
              </w:rPr>
              <w:t xml:space="preserve"> </w:t>
            </w:r>
            <w:r>
              <w:t>(paragraph 7.10).</w:t>
            </w:r>
            <w:r w:rsidRPr="00CC2043">
              <w:rPr>
                <w:lang w:val="en-GB"/>
              </w:rPr>
              <w:t xml:space="preserve"> </w:t>
            </w:r>
          </w:p>
          <w:p w14:paraId="2A74BE7B" w14:textId="77777777" w:rsidR="00CC2043" w:rsidRDefault="00CC2043" w:rsidP="00A07C4C">
            <w:pPr>
              <w:pStyle w:val="TableText"/>
            </w:pPr>
          </w:p>
          <w:p w14:paraId="7EB6A7C5" w14:textId="20BFFC0B" w:rsidR="00CC2043" w:rsidRPr="002C633F" w:rsidRDefault="00B20109" w:rsidP="00A07C4C">
            <w:pPr>
              <w:pStyle w:val="TableText"/>
            </w:pPr>
            <w:r>
              <w:rPr>
                <w:lang w:val="en-GB"/>
              </w:rPr>
              <w:t xml:space="preserve">The PBAC requested </w:t>
            </w:r>
            <w:r w:rsidR="00CC2043">
              <w:rPr>
                <w:lang w:val="en-GB"/>
              </w:rPr>
              <w:t>an RSA</w:t>
            </w:r>
            <w:r w:rsidR="00CC2043" w:rsidRPr="00473F26">
              <w:rPr>
                <w:lang w:val="en-GB"/>
              </w:rPr>
              <w:t xml:space="preserve"> w</w:t>
            </w:r>
            <w:r w:rsidR="00CC2043">
              <w:rPr>
                <w:lang w:val="en-GB"/>
              </w:rPr>
              <w:t xml:space="preserve">ith expenditure </w:t>
            </w:r>
            <w:r w:rsidR="00CC2043" w:rsidRPr="00473F26">
              <w:rPr>
                <w:lang w:val="en-GB"/>
              </w:rPr>
              <w:t>cap</w:t>
            </w:r>
            <w:r w:rsidR="00CC2043">
              <w:rPr>
                <w:lang w:val="en-GB"/>
              </w:rPr>
              <w:t>s</w:t>
            </w:r>
            <w:r w:rsidR="00CC2043" w:rsidRPr="00473F26">
              <w:rPr>
                <w:lang w:val="en-GB"/>
              </w:rPr>
              <w:t xml:space="preserve"> </w:t>
            </w:r>
            <w:r w:rsidR="00CC2043">
              <w:rPr>
                <w:lang w:val="en-GB"/>
              </w:rPr>
              <w:t>that reflect the revised financial estimates</w:t>
            </w:r>
            <w:r>
              <w:rPr>
                <w:lang w:val="en-GB"/>
              </w:rPr>
              <w:t xml:space="preserve"> (paragraph 7.11)</w:t>
            </w:r>
          </w:p>
        </w:tc>
        <w:tc>
          <w:tcPr>
            <w:tcW w:w="2068" w:type="pct"/>
            <w:vAlign w:val="center"/>
          </w:tcPr>
          <w:p w14:paraId="404F3F9B" w14:textId="1A78C018" w:rsidR="00D34011" w:rsidRPr="002C633F" w:rsidRDefault="0040679B" w:rsidP="00A07C4C">
            <w:pPr>
              <w:pStyle w:val="TableText"/>
            </w:pPr>
            <w:r>
              <w:t xml:space="preserve">The resubmission proposed a </w:t>
            </w:r>
            <w:r w:rsidR="00981284" w:rsidRPr="00981284">
              <w:rPr>
                <w:color w:val="000000"/>
                <w:spacing w:val="50"/>
                <w:shd w:val="solid" w:color="000000" w:fill="000000"/>
                <w:fitText w:val="325" w:id="-1435749885"/>
                <w14:textFill>
                  <w14:solidFill>
                    <w14:srgbClr w14:val="000000">
                      <w14:alpha w14:val="100000"/>
                    </w14:srgbClr>
                  </w14:solidFill>
                </w14:textFill>
              </w:rPr>
              <w:t>|||</w:t>
            </w:r>
            <w:r w:rsidR="00981284" w:rsidRPr="00981284">
              <w:rPr>
                <w:color w:val="000000"/>
                <w:spacing w:val="13"/>
                <w:shd w:val="solid" w:color="000000" w:fill="000000"/>
                <w:fitText w:val="325" w:id="-1435749885"/>
                <w14:textFill>
                  <w14:solidFill>
                    <w14:srgbClr w14:val="000000">
                      <w14:alpha w14:val="100000"/>
                    </w14:srgbClr>
                  </w14:solidFill>
                </w14:textFill>
              </w:rPr>
              <w:t>|</w:t>
            </w:r>
            <w:r w:rsidR="00435A4A">
              <w:t>% rebate</w:t>
            </w:r>
            <w:r>
              <w:t xml:space="preserve"> on expenditure above the financials caps. </w:t>
            </w:r>
          </w:p>
        </w:tc>
      </w:tr>
    </w:tbl>
    <w:p w14:paraId="19A27D53" w14:textId="7A63BCD1" w:rsidR="00912E14" w:rsidRPr="002C633F" w:rsidRDefault="00912E14" w:rsidP="00912E14">
      <w:pPr>
        <w:pStyle w:val="TableFigureFooter"/>
      </w:pPr>
      <w:r>
        <w:t>ICER incremental cost effectiveness ratio; LGS Lennox-</w:t>
      </w:r>
      <w:proofErr w:type="spellStart"/>
      <w:r>
        <w:t>Gastaut</w:t>
      </w:r>
      <w:proofErr w:type="spellEnd"/>
      <w:r>
        <w:t xml:space="preserve"> syndrome; PBAC </w:t>
      </w:r>
      <w:r w:rsidR="008A0E47">
        <w:t>Pharmaceutical</w:t>
      </w:r>
      <w:r>
        <w:t xml:space="preserve"> Benefits Advisory Committee; QALY quality adjusted life year; RSA risk sharing arrangement. </w:t>
      </w:r>
    </w:p>
    <w:p w14:paraId="32B95A78" w14:textId="665A6EA6" w:rsidR="009D55E2" w:rsidRDefault="009D55E2" w:rsidP="00A07C4C">
      <w:pPr>
        <w:pStyle w:val="TableFigureFooter"/>
      </w:pPr>
      <w:r w:rsidRPr="002C633F">
        <w:t xml:space="preserve">Source: </w:t>
      </w:r>
      <w:r w:rsidR="002C224B">
        <w:t>Pages 4-12</w:t>
      </w:r>
      <w:r w:rsidRPr="002C633F">
        <w:t xml:space="preserve"> of the </w:t>
      </w:r>
      <w:r w:rsidR="002C224B">
        <w:t>re</w:t>
      </w:r>
      <w:r w:rsidRPr="002C633F">
        <w:t>submission</w:t>
      </w:r>
      <w:r w:rsidR="002C224B">
        <w:t xml:space="preserve">; Section 7, cannabidiol Minutes, March 2022 PBAC Meeting). </w:t>
      </w:r>
    </w:p>
    <w:p w14:paraId="587432E9" w14:textId="77777777" w:rsidR="00C068A6" w:rsidRPr="006C5B33" w:rsidRDefault="004B2E01" w:rsidP="006C5B33">
      <w:pPr>
        <w:pStyle w:val="2-SectionHeading"/>
      </w:pPr>
      <w:r w:rsidRPr="006C5B33">
        <w:lastRenderedPageBreak/>
        <w:t>Requested listing</w:t>
      </w:r>
      <w:r w:rsidR="007C08E0" w:rsidRPr="006C5B33">
        <w:t xml:space="preserve"> </w:t>
      </w:r>
    </w:p>
    <w:p w14:paraId="4BE5B21A" w14:textId="629E5895" w:rsidR="00A341E1" w:rsidRDefault="004B2E01" w:rsidP="006C5B33">
      <w:pPr>
        <w:pStyle w:val="3-BodyText"/>
      </w:pPr>
      <w:r w:rsidRPr="00EF4580">
        <w:t xml:space="preserve">The </w:t>
      </w:r>
      <w:r w:rsidR="004F6160" w:rsidRPr="002C633F">
        <w:t>re</w:t>
      </w:r>
      <w:r w:rsidRPr="002C633F">
        <w:t xml:space="preserve">submission </w:t>
      </w:r>
      <w:r w:rsidR="004F6160" w:rsidRPr="002C633F">
        <w:t>accepted</w:t>
      </w:r>
      <w:r w:rsidR="00A341E1">
        <w:t xml:space="preserve"> the amendments to the restriction proposed by the PBAC in March 2022 which were</w:t>
      </w:r>
      <w:r w:rsidR="004F6160" w:rsidRPr="002C633F">
        <w:t>:</w:t>
      </w:r>
      <w:r w:rsidR="002C633F" w:rsidRPr="002C633F">
        <w:t xml:space="preserve"> </w:t>
      </w:r>
    </w:p>
    <w:p w14:paraId="5399BA4F" w14:textId="71686BCA" w:rsidR="00A341E1" w:rsidRDefault="00A341E1" w:rsidP="00481AC2">
      <w:pPr>
        <w:pStyle w:val="3-BodyText"/>
        <w:numPr>
          <w:ilvl w:val="1"/>
          <w:numId w:val="31"/>
        </w:numPr>
        <w:ind w:left="1134" w:hanging="283"/>
        <w:rPr>
          <w:lang w:val="en-GB"/>
        </w:rPr>
      </w:pPr>
      <w:r>
        <w:rPr>
          <w:lang w:val="en-GB"/>
        </w:rPr>
        <w:t>remove population criteria related to age; and</w:t>
      </w:r>
    </w:p>
    <w:p w14:paraId="1009D70C" w14:textId="5869FDBC" w:rsidR="004F6160" w:rsidRPr="004F6160" w:rsidRDefault="00A341E1" w:rsidP="00481AC2">
      <w:pPr>
        <w:pStyle w:val="3-BodyText"/>
        <w:numPr>
          <w:ilvl w:val="1"/>
          <w:numId w:val="31"/>
        </w:numPr>
        <w:ind w:left="1134" w:hanging="283"/>
      </w:pPr>
      <w:r>
        <w:rPr>
          <w:snapToGrid w:val="0"/>
          <w:lang w:val="en-GB"/>
        </w:rPr>
        <w:t xml:space="preserve">provide </w:t>
      </w:r>
      <w:r w:rsidRPr="00A341E1">
        <w:rPr>
          <w:snapToGrid w:val="0"/>
          <w:lang w:val="en-GB"/>
        </w:rPr>
        <w:t xml:space="preserve">an improved </w:t>
      </w:r>
      <w:r w:rsidRPr="00A341E1">
        <w:rPr>
          <w:lang w:val="en-GB"/>
        </w:rPr>
        <w:t xml:space="preserve">definition of LGS, consistent with that proposed by the </w:t>
      </w:r>
      <w:r w:rsidR="001C35CB">
        <w:rPr>
          <w:lang w:val="en-GB"/>
        </w:rPr>
        <w:t>Epilepsy Society of Australia (</w:t>
      </w:r>
      <w:r w:rsidRPr="00A341E1">
        <w:rPr>
          <w:lang w:val="en-GB"/>
        </w:rPr>
        <w:t>ESA</w:t>
      </w:r>
      <w:r w:rsidR="001C35CB">
        <w:rPr>
          <w:lang w:val="en-GB"/>
        </w:rPr>
        <w:t>)</w:t>
      </w:r>
      <w:r w:rsidRPr="00A341E1">
        <w:rPr>
          <w:lang w:val="en-GB"/>
        </w:rPr>
        <w:t>. The PBAC noted the clinical trials for cannabidiol required patients to have least 2 drop seizures per week at trial entry and considered it may be appropriate to also include this in the restriction criteria (paragraph 7.3, cannabidiol</w:t>
      </w:r>
      <w:r w:rsidR="001C35CB">
        <w:rPr>
          <w:lang w:val="en-GB"/>
        </w:rPr>
        <w:t xml:space="preserve"> PSD</w:t>
      </w:r>
      <w:r w:rsidRPr="00A341E1">
        <w:rPr>
          <w:lang w:val="en-GB"/>
        </w:rPr>
        <w:t xml:space="preserve">, March 2022 PBAC Meeting). </w:t>
      </w:r>
    </w:p>
    <w:p w14:paraId="00FE0308" w14:textId="6F9E041E" w:rsidR="00573C95" w:rsidRDefault="00BA6E89" w:rsidP="00A0658C">
      <w:pPr>
        <w:pStyle w:val="3-BodyText"/>
        <w:rPr>
          <w:i/>
        </w:rPr>
      </w:pPr>
      <w:r>
        <w:rPr>
          <w:iCs/>
        </w:rPr>
        <w:t xml:space="preserve">The restriction proposed in the resubmission is outlined below. Changes </w:t>
      </w:r>
      <w:r w:rsidR="00A341E1">
        <w:rPr>
          <w:iCs/>
        </w:rPr>
        <w:t xml:space="preserve">to the previous restriction </w:t>
      </w:r>
      <w:r>
        <w:rPr>
          <w:iCs/>
        </w:rPr>
        <w:t xml:space="preserve">proposed by the sponsor are in bold, changes proposed by the Secretariat are in italics and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51"/>
        <w:gridCol w:w="992"/>
        <w:gridCol w:w="851"/>
        <w:gridCol w:w="1491"/>
        <w:gridCol w:w="1006"/>
        <w:gridCol w:w="995"/>
      </w:tblGrid>
      <w:tr w:rsidR="00D30078" w:rsidRPr="00D2480F" w14:paraId="2908F613" w14:textId="77777777" w:rsidTr="00D30078">
        <w:trPr>
          <w:cantSplit/>
          <w:trHeight w:val="471"/>
        </w:trPr>
        <w:tc>
          <w:tcPr>
            <w:tcW w:w="1569" w:type="pct"/>
            <w:tcBorders>
              <w:top w:val="single" w:sz="4" w:space="0" w:color="auto"/>
              <w:left w:val="single" w:sz="4" w:space="0" w:color="auto"/>
              <w:bottom w:val="single" w:sz="4" w:space="0" w:color="auto"/>
              <w:right w:val="single" w:sz="4" w:space="0" w:color="auto"/>
            </w:tcBorders>
            <w:hideMark/>
          </w:tcPr>
          <w:p w14:paraId="5F6130D1" w14:textId="54BE46B2" w:rsidR="00D30078" w:rsidRPr="000668BA" w:rsidRDefault="00D30078" w:rsidP="0075244D">
            <w:pPr>
              <w:pStyle w:val="TableText"/>
            </w:pPr>
            <w:r w:rsidRPr="000668BA">
              <w:t>Name, Restriction,</w:t>
            </w:r>
            <w:r w:rsidR="007F0A08">
              <w:t xml:space="preserve"> </w:t>
            </w:r>
            <w:proofErr w:type="spellStart"/>
            <w:r w:rsidR="007F0A08">
              <w:t>Redavb</w:t>
            </w:r>
            <w:proofErr w:type="spellEnd"/>
          </w:p>
          <w:p w14:paraId="0F9DAE2D" w14:textId="2E9AB41E" w:rsidR="00D30078" w:rsidRPr="000668BA" w:rsidRDefault="00D30078" w:rsidP="0075244D">
            <w:pPr>
              <w:pStyle w:val="TableText"/>
              <w:rPr>
                <w:szCs w:val="20"/>
              </w:rPr>
            </w:pPr>
            <w:r w:rsidRPr="000668BA">
              <w:t>Manner of administration and form</w:t>
            </w:r>
          </w:p>
        </w:tc>
        <w:tc>
          <w:tcPr>
            <w:tcW w:w="472" w:type="pct"/>
            <w:tcBorders>
              <w:top w:val="single" w:sz="4" w:space="0" w:color="auto"/>
              <w:left w:val="single" w:sz="4" w:space="0" w:color="auto"/>
              <w:bottom w:val="single" w:sz="4" w:space="0" w:color="auto"/>
              <w:right w:val="single" w:sz="4" w:space="0" w:color="auto"/>
            </w:tcBorders>
            <w:hideMark/>
          </w:tcPr>
          <w:p w14:paraId="2F2F9D7C" w14:textId="77777777" w:rsidR="00D30078" w:rsidRPr="000668BA" w:rsidRDefault="00D30078" w:rsidP="0075244D">
            <w:pPr>
              <w:pStyle w:val="TableText"/>
              <w:rPr>
                <w:szCs w:val="20"/>
              </w:rPr>
            </w:pPr>
            <w:r w:rsidRPr="000668BA">
              <w:rPr>
                <w:szCs w:val="20"/>
              </w:rPr>
              <w:t>Max. qty packs</w:t>
            </w:r>
          </w:p>
        </w:tc>
        <w:tc>
          <w:tcPr>
            <w:tcW w:w="550" w:type="pct"/>
            <w:tcBorders>
              <w:top w:val="single" w:sz="4" w:space="0" w:color="auto"/>
              <w:left w:val="single" w:sz="4" w:space="0" w:color="auto"/>
              <w:bottom w:val="single" w:sz="4" w:space="0" w:color="auto"/>
              <w:right w:val="single" w:sz="4" w:space="0" w:color="auto"/>
            </w:tcBorders>
            <w:hideMark/>
          </w:tcPr>
          <w:p w14:paraId="50B96D2C" w14:textId="77777777" w:rsidR="00D30078" w:rsidRPr="000668BA" w:rsidRDefault="00D30078" w:rsidP="0075244D">
            <w:pPr>
              <w:pStyle w:val="TableText"/>
              <w:rPr>
                <w:szCs w:val="20"/>
              </w:rPr>
            </w:pPr>
            <w:r w:rsidRPr="000668BA">
              <w:rPr>
                <w:szCs w:val="20"/>
              </w:rPr>
              <w:t>Max. qty units</w:t>
            </w:r>
          </w:p>
        </w:tc>
        <w:tc>
          <w:tcPr>
            <w:tcW w:w="472" w:type="pct"/>
            <w:tcBorders>
              <w:top w:val="single" w:sz="4" w:space="0" w:color="auto"/>
              <w:left w:val="single" w:sz="4" w:space="0" w:color="auto"/>
              <w:bottom w:val="single" w:sz="4" w:space="0" w:color="auto"/>
              <w:right w:val="single" w:sz="4" w:space="0" w:color="auto"/>
            </w:tcBorders>
            <w:hideMark/>
          </w:tcPr>
          <w:p w14:paraId="749E03A1" w14:textId="77777777" w:rsidR="00D30078" w:rsidRPr="000668BA" w:rsidRDefault="00D30078" w:rsidP="0075244D">
            <w:pPr>
              <w:pStyle w:val="TableText"/>
              <w:rPr>
                <w:szCs w:val="20"/>
              </w:rPr>
            </w:pPr>
            <w:r w:rsidRPr="000668BA">
              <w:rPr>
                <w:szCs w:val="20"/>
              </w:rPr>
              <w:t>№.of</w:t>
            </w:r>
          </w:p>
          <w:p w14:paraId="6CFE1EBD" w14:textId="77777777" w:rsidR="00D30078" w:rsidRPr="000668BA" w:rsidRDefault="00D30078" w:rsidP="0075244D">
            <w:pPr>
              <w:pStyle w:val="TableText"/>
              <w:rPr>
                <w:szCs w:val="20"/>
              </w:rPr>
            </w:pPr>
            <w:proofErr w:type="spellStart"/>
            <w:r w:rsidRPr="000668BA">
              <w:rPr>
                <w:szCs w:val="20"/>
              </w:rPr>
              <w:t>Rpts</w:t>
            </w:r>
            <w:proofErr w:type="spellEnd"/>
          </w:p>
        </w:tc>
        <w:tc>
          <w:tcPr>
            <w:tcW w:w="827" w:type="pct"/>
            <w:tcBorders>
              <w:top w:val="single" w:sz="4" w:space="0" w:color="auto"/>
              <w:left w:val="single" w:sz="4" w:space="0" w:color="auto"/>
              <w:bottom w:val="single" w:sz="4" w:space="0" w:color="auto"/>
              <w:right w:val="single" w:sz="4" w:space="0" w:color="auto"/>
            </w:tcBorders>
          </w:tcPr>
          <w:p w14:paraId="46FF5556" w14:textId="5D3BAD55" w:rsidR="00D30078" w:rsidRPr="000668BA" w:rsidRDefault="00D30078" w:rsidP="0075244D">
            <w:pPr>
              <w:pStyle w:val="TableText"/>
              <w:rPr>
                <w:szCs w:val="20"/>
              </w:rPr>
            </w:pPr>
            <w:r w:rsidRPr="000668BA">
              <w:rPr>
                <w:szCs w:val="20"/>
              </w:rPr>
              <w:t>DPMQ</w:t>
            </w:r>
          </w:p>
        </w:tc>
        <w:tc>
          <w:tcPr>
            <w:tcW w:w="1110" w:type="pct"/>
            <w:gridSpan w:val="2"/>
            <w:tcBorders>
              <w:top w:val="single" w:sz="4" w:space="0" w:color="auto"/>
              <w:left w:val="single" w:sz="4" w:space="0" w:color="auto"/>
              <w:bottom w:val="single" w:sz="4" w:space="0" w:color="auto"/>
              <w:right w:val="single" w:sz="4" w:space="0" w:color="auto"/>
            </w:tcBorders>
            <w:hideMark/>
          </w:tcPr>
          <w:p w14:paraId="6BEE1E30" w14:textId="38AC59D7" w:rsidR="00D30078" w:rsidRPr="000668BA" w:rsidRDefault="00D30078" w:rsidP="0075244D">
            <w:pPr>
              <w:pStyle w:val="TableText"/>
              <w:rPr>
                <w:szCs w:val="20"/>
                <w:lang w:val="fr-FR"/>
              </w:rPr>
            </w:pPr>
            <w:r w:rsidRPr="000668BA">
              <w:rPr>
                <w:szCs w:val="20"/>
              </w:rPr>
              <w:t>Proprietary Name and Manufacturer</w:t>
            </w:r>
          </w:p>
        </w:tc>
      </w:tr>
      <w:tr w:rsidR="00D30078" w:rsidRPr="00D2480F" w14:paraId="74B5ADCA" w14:textId="77777777" w:rsidTr="00D30078">
        <w:trPr>
          <w:cantSplit/>
          <w:trHeight w:val="761"/>
        </w:trPr>
        <w:tc>
          <w:tcPr>
            <w:tcW w:w="1569" w:type="pct"/>
            <w:tcBorders>
              <w:top w:val="single" w:sz="4" w:space="0" w:color="auto"/>
              <w:left w:val="single" w:sz="4" w:space="0" w:color="auto"/>
              <w:bottom w:val="single" w:sz="4" w:space="0" w:color="auto"/>
              <w:right w:val="single" w:sz="4" w:space="0" w:color="auto"/>
            </w:tcBorders>
          </w:tcPr>
          <w:p w14:paraId="7679DDD4" w14:textId="77777777" w:rsidR="00D30078" w:rsidRPr="000668BA" w:rsidRDefault="00D30078" w:rsidP="0075244D">
            <w:pPr>
              <w:pStyle w:val="TableText"/>
              <w:rPr>
                <w:szCs w:val="20"/>
              </w:rPr>
            </w:pPr>
            <w:r w:rsidRPr="000668BA">
              <w:rPr>
                <w:szCs w:val="20"/>
              </w:rPr>
              <w:t>CANNABIDIOL</w:t>
            </w:r>
          </w:p>
          <w:p w14:paraId="3C4010FE" w14:textId="77777777" w:rsidR="00D30078" w:rsidRPr="000668BA" w:rsidRDefault="00D30078" w:rsidP="0075244D">
            <w:pPr>
              <w:pStyle w:val="TableText"/>
              <w:rPr>
                <w:szCs w:val="20"/>
              </w:rPr>
            </w:pPr>
          </w:p>
          <w:p w14:paraId="6D3594F8" w14:textId="00D8A73C" w:rsidR="00D30078" w:rsidRPr="000668BA" w:rsidRDefault="00D30078" w:rsidP="0075244D">
            <w:pPr>
              <w:pStyle w:val="TableText"/>
              <w:rPr>
                <w:szCs w:val="20"/>
              </w:rPr>
            </w:pPr>
            <w:r w:rsidRPr="000668BA">
              <w:rPr>
                <w:szCs w:val="20"/>
              </w:rPr>
              <w:t>cannabidiol 100 mg/mL oral liquid, 100 mL</w:t>
            </w:r>
          </w:p>
        </w:tc>
        <w:tc>
          <w:tcPr>
            <w:tcW w:w="472" w:type="pct"/>
            <w:tcBorders>
              <w:top w:val="single" w:sz="4" w:space="0" w:color="auto"/>
              <w:left w:val="single" w:sz="4" w:space="0" w:color="auto"/>
              <w:bottom w:val="single" w:sz="4" w:space="0" w:color="auto"/>
              <w:right w:val="single" w:sz="4" w:space="0" w:color="auto"/>
            </w:tcBorders>
          </w:tcPr>
          <w:p w14:paraId="3BA0DC77" w14:textId="77777777" w:rsidR="00D30078" w:rsidRPr="000668BA" w:rsidRDefault="00D30078" w:rsidP="0075244D">
            <w:pPr>
              <w:pStyle w:val="TableText"/>
              <w:rPr>
                <w:szCs w:val="20"/>
              </w:rPr>
            </w:pPr>
          </w:p>
          <w:p w14:paraId="25368A23" w14:textId="77777777" w:rsidR="00D30078" w:rsidRPr="000668BA" w:rsidRDefault="00D30078" w:rsidP="0075244D">
            <w:pPr>
              <w:pStyle w:val="TableText"/>
              <w:rPr>
                <w:szCs w:val="20"/>
              </w:rPr>
            </w:pPr>
          </w:p>
          <w:p w14:paraId="385E3070" w14:textId="77777777" w:rsidR="00D30078" w:rsidRPr="000668BA" w:rsidRDefault="00D30078" w:rsidP="0075244D">
            <w:pPr>
              <w:pStyle w:val="TableText"/>
              <w:rPr>
                <w:szCs w:val="20"/>
              </w:rPr>
            </w:pPr>
            <w:r w:rsidRPr="000668BA">
              <w:rPr>
                <w:szCs w:val="20"/>
              </w:rPr>
              <w:t>1</w:t>
            </w:r>
          </w:p>
        </w:tc>
        <w:tc>
          <w:tcPr>
            <w:tcW w:w="550" w:type="pct"/>
            <w:tcBorders>
              <w:top w:val="single" w:sz="4" w:space="0" w:color="auto"/>
              <w:left w:val="single" w:sz="4" w:space="0" w:color="auto"/>
              <w:bottom w:val="single" w:sz="4" w:space="0" w:color="auto"/>
              <w:right w:val="single" w:sz="4" w:space="0" w:color="auto"/>
            </w:tcBorders>
          </w:tcPr>
          <w:p w14:paraId="10751CB8" w14:textId="77777777" w:rsidR="00D30078" w:rsidRPr="000668BA" w:rsidRDefault="00D30078" w:rsidP="0075244D">
            <w:pPr>
              <w:pStyle w:val="TableText"/>
              <w:rPr>
                <w:szCs w:val="20"/>
              </w:rPr>
            </w:pPr>
          </w:p>
          <w:p w14:paraId="77DB8520" w14:textId="77777777" w:rsidR="00D30078" w:rsidRPr="000668BA" w:rsidRDefault="00D30078" w:rsidP="0075244D">
            <w:pPr>
              <w:pStyle w:val="TableText"/>
              <w:rPr>
                <w:szCs w:val="20"/>
              </w:rPr>
            </w:pPr>
          </w:p>
          <w:p w14:paraId="3B8F0500" w14:textId="77777777" w:rsidR="00D30078" w:rsidRPr="000668BA" w:rsidRDefault="00D30078" w:rsidP="0075244D">
            <w:pPr>
              <w:pStyle w:val="TableText"/>
              <w:rPr>
                <w:szCs w:val="20"/>
              </w:rPr>
            </w:pPr>
            <w:r w:rsidRPr="000668BA">
              <w:rPr>
                <w:szCs w:val="20"/>
              </w:rPr>
              <w:t>1</w:t>
            </w:r>
          </w:p>
        </w:tc>
        <w:tc>
          <w:tcPr>
            <w:tcW w:w="472" w:type="pct"/>
            <w:tcBorders>
              <w:top w:val="single" w:sz="4" w:space="0" w:color="auto"/>
              <w:left w:val="single" w:sz="4" w:space="0" w:color="auto"/>
              <w:bottom w:val="single" w:sz="4" w:space="0" w:color="auto"/>
              <w:right w:val="single" w:sz="4" w:space="0" w:color="auto"/>
            </w:tcBorders>
          </w:tcPr>
          <w:p w14:paraId="78BFABE3" w14:textId="77777777" w:rsidR="00D30078" w:rsidRPr="000668BA" w:rsidRDefault="00D30078" w:rsidP="0075244D">
            <w:pPr>
              <w:pStyle w:val="TableText"/>
              <w:rPr>
                <w:szCs w:val="20"/>
              </w:rPr>
            </w:pPr>
          </w:p>
          <w:p w14:paraId="6C3209F7" w14:textId="77777777" w:rsidR="00D30078" w:rsidRPr="000668BA" w:rsidRDefault="00D30078" w:rsidP="0075244D">
            <w:pPr>
              <w:pStyle w:val="TableText"/>
              <w:rPr>
                <w:szCs w:val="20"/>
              </w:rPr>
            </w:pPr>
          </w:p>
          <w:p w14:paraId="56B53527" w14:textId="77777777" w:rsidR="00D30078" w:rsidRPr="000668BA" w:rsidRDefault="00D30078" w:rsidP="0075244D">
            <w:pPr>
              <w:pStyle w:val="TableText"/>
              <w:rPr>
                <w:szCs w:val="20"/>
              </w:rPr>
            </w:pPr>
            <w:r w:rsidRPr="000668BA">
              <w:rPr>
                <w:szCs w:val="20"/>
              </w:rPr>
              <w:t>5</w:t>
            </w:r>
          </w:p>
          <w:p w14:paraId="00C4ECB8" w14:textId="77777777" w:rsidR="00D30078" w:rsidRPr="000668BA" w:rsidRDefault="00D30078" w:rsidP="0075244D">
            <w:pPr>
              <w:pStyle w:val="TableText"/>
              <w:rPr>
                <w:szCs w:val="20"/>
              </w:rPr>
            </w:pPr>
          </w:p>
        </w:tc>
        <w:tc>
          <w:tcPr>
            <w:tcW w:w="827" w:type="pct"/>
            <w:tcBorders>
              <w:top w:val="single" w:sz="4" w:space="0" w:color="auto"/>
              <w:left w:val="single" w:sz="4" w:space="0" w:color="auto"/>
              <w:bottom w:val="single" w:sz="4" w:space="0" w:color="auto"/>
              <w:right w:val="single" w:sz="4" w:space="0" w:color="auto"/>
            </w:tcBorders>
          </w:tcPr>
          <w:p w14:paraId="14DED0BD" w14:textId="6F21697A" w:rsidR="00D30078" w:rsidRPr="000668BA" w:rsidRDefault="00D30078" w:rsidP="00145DDF">
            <w:pPr>
              <w:pStyle w:val="Default"/>
              <w:rPr>
                <w:rFonts w:ascii="Arial Narrow" w:hAnsi="Arial Narrow"/>
                <w:color w:val="auto"/>
                <w:sz w:val="20"/>
                <w:szCs w:val="20"/>
              </w:rPr>
            </w:pPr>
            <w:r w:rsidRPr="000668BA">
              <w:rPr>
                <w:rFonts w:ascii="Arial Narrow" w:hAnsi="Arial Narrow"/>
                <w:color w:val="auto"/>
                <w:sz w:val="20"/>
                <w:szCs w:val="20"/>
              </w:rPr>
              <w:t xml:space="preserve">Published: $1,533.93 </w:t>
            </w:r>
          </w:p>
          <w:p w14:paraId="7619B46E" w14:textId="42FA9071" w:rsidR="00D30078" w:rsidRPr="000668BA" w:rsidRDefault="00D30078" w:rsidP="0075244D">
            <w:pPr>
              <w:pStyle w:val="TableText"/>
            </w:pPr>
          </w:p>
          <w:p w14:paraId="7147D693" w14:textId="2C04E346" w:rsidR="00D30078" w:rsidRPr="000668BA" w:rsidRDefault="00D30078" w:rsidP="0075244D">
            <w:pPr>
              <w:pStyle w:val="TableText"/>
              <w:rPr>
                <w:szCs w:val="20"/>
              </w:rPr>
            </w:pPr>
            <w:r w:rsidRPr="000668BA">
              <w:t>Effective: $</w:t>
            </w:r>
            <w:r w:rsidR="00981284" w:rsidRPr="00981284">
              <w:rPr>
                <w:color w:val="000000"/>
                <w:spacing w:val="51"/>
                <w:shd w:val="solid" w:color="000000" w:fill="000000"/>
                <w:fitText w:val="326" w:id="-1435749884"/>
                <w14:textFill>
                  <w14:solidFill>
                    <w14:srgbClr w14:val="000000">
                      <w14:alpha w14:val="100000"/>
                    </w14:srgbClr>
                  </w14:solidFill>
                </w14:textFill>
              </w:rPr>
              <w:t>|||</w:t>
            </w:r>
            <w:r w:rsidR="00981284" w:rsidRPr="00981284">
              <w:rPr>
                <w:color w:val="000000"/>
                <w:spacing w:val="1"/>
                <w:shd w:val="solid" w:color="000000" w:fill="000000"/>
                <w:fitText w:val="326" w:id="-1435749884"/>
                <w14:textFill>
                  <w14:solidFill>
                    <w14:srgbClr w14:val="000000">
                      <w14:alpha w14:val="100000"/>
                    </w14:srgbClr>
                  </w14:solidFill>
                </w14:textFill>
              </w:rPr>
              <w:t>|</w:t>
            </w:r>
            <w:r w:rsidRPr="000668BA">
              <w:t>.</w:t>
            </w:r>
          </w:p>
        </w:tc>
        <w:tc>
          <w:tcPr>
            <w:tcW w:w="558" w:type="pct"/>
            <w:tcBorders>
              <w:top w:val="single" w:sz="4" w:space="0" w:color="auto"/>
              <w:left w:val="single" w:sz="4" w:space="0" w:color="auto"/>
              <w:bottom w:val="single" w:sz="4" w:space="0" w:color="auto"/>
              <w:right w:val="single" w:sz="4" w:space="0" w:color="auto"/>
            </w:tcBorders>
          </w:tcPr>
          <w:p w14:paraId="1DB9F044" w14:textId="4C79A1FA" w:rsidR="00D30078" w:rsidRPr="000668BA" w:rsidRDefault="00D30078" w:rsidP="0075244D">
            <w:pPr>
              <w:pStyle w:val="TableText"/>
              <w:rPr>
                <w:szCs w:val="20"/>
              </w:rPr>
            </w:pPr>
          </w:p>
          <w:p w14:paraId="014314A2" w14:textId="77777777" w:rsidR="00D30078" w:rsidRPr="000668BA" w:rsidRDefault="00D30078" w:rsidP="0075244D">
            <w:pPr>
              <w:pStyle w:val="TableText"/>
              <w:rPr>
                <w:szCs w:val="20"/>
              </w:rPr>
            </w:pPr>
          </w:p>
          <w:p w14:paraId="057B451D" w14:textId="77777777" w:rsidR="00D30078" w:rsidRPr="000668BA" w:rsidRDefault="00D30078" w:rsidP="0075244D">
            <w:pPr>
              <w:pStyle w:val="TableText"/>
              <w:rPr>
                <w:szCs w:val="20"/>
              </w:rPr>
            </w:pPr>
            <w:proofErr w:type="spellStart"/>
            <w:r w:rsidRPr="000668BA">
              <w:rPr>
                <w:szCs w:val="20"/>
              </w:rPr>
              <w:t>Epidyolex</w:t>
            </w:r>
            <w:proofErr w:type="spellEnd"/>
            <w:r w:rsidRPr="000668BA">
              <w:rPr>
                <w:szCs w:val="20"/>
                <w:vertAlign w:val="superscript"/>
              </w:rPr>
              <w:t>®</w:t>
            </w:r>
          </w:p>
        </w:tc>
        <w:tc>
          <w:tcPr>
            <w:tcW w:w="552" w:type="pct"/>
            <w:tcBorders>
              <w:top w:val="single" w:sz="4" w:space="0" w:color="auto"/>
              <w:left w:val="single" w:sz="4" w:space="0" w:color="auto"/>
              <w:bottom w:val="single" w:sz="4" w:space="0" w:color="auto"/>
              <w:right w:val="single" w:sz="4" w:space="0" w:color="auto"/>
            </w:tcBorders>
          </w:tcPr>
          <w:p w14:paraId="6517127C" w14:textId="77777777" w:rsidR="00D30078" w:rsidRPr="000668BA" w:rsidRDefault="00D30078" w:rsidP="0075244D">
            <w:pPr>
              <w:pStyle w:val="TableText"/>
              <w:rPr>
                <w:szCs w:val="20"/>
              </w:rPr>
            </w:pPr>
          </w:p>
          <w:p w14:paraId="412CFB6E" w14:textId="77777777" w:rsidR="00D30078" w:rsidRPr="000668BA" w:rsidRDefault="00D30078" w:rsidP="0075244D">
            <w:pPr>
              <w:pStyle w:val="TableText"/>
              <w:rPr>
                <w:szCs w:val="20"/>
              </w:rPr>
            </w:pPr>
          </w:p>
          <w:p w14:paraId="75B67BBB" w14:textId="77777777" w:rsidR="00D30078" w:rsidRPr="000668BA" w:rsidRDefault="00D30078" w:rsidP="0075244D">
            <w:pPr>
              <w:pStyle w:val="TableText"/>
              <w:rPr>
                <w:szCs w:val="20"/>
              </w:rPr>
            </w:pPr>
            <w:proofErr w:type="spellStart"/>
            <w:r w:rsidRPr="000668BA">
              <w:rPr>
                <w:szCs w:val="20"/>
              </w:rPr>
              <w:t>Chiesi</w:t>
            </w:r>
            <w:proofErr w:type="spellEnd"/>
            <w:r w:rsidRPr="000668BA">
              <w:rPr>
                <w:szCs w:val="20"/>
              </w:rPr>
              <w:t xml:space="preserve"> Australia Pty Ltd</w:t>
            </w:r>
          </w:p>
        </w:tc>
      </w:tr>
      <w:tr w:rsidR="001F7876" w:rsidRPr="00D2480F" w14:paraId="1C724F0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8B340" w14:textId="42D74A6C" w:rsidR="001F7876" w:rsidRPr="000668BA" w:rsidRDefault="001F7876" w:rsidP="001A13FC">
            <w:pPr>
              <w:jc w:val="left"/>
              <w:rPr>
                <w:rFonts w:ascii="Arial Narrow" w:hAnsi="Arial Narrow"/>
                <w:sz w:val="20"/>
                <w:szCs w:val="20"/>
              </w:rPr>
            </w:pPr>
            <w:r w:rsidRPr="000668BA">
              <w:rPr>
                <w:rFonts w:ascii="Arial Narrow" w:hAnsi="Arial Narrow"/>
                <w:b/>
                <w:sz w:val="20"/>
                <w:szCs w:val="20"/>
              </w:rPr>
              <w:t xml:space="preserve">Category / Program:   </w:t>
            </w:r>
          </w:p>
          <w:p w14:paraId="6A716D13"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 xml:space="preserve">GENERAL – General Schedule (Code GE) </w:t>
            </w:r>
          </w:p>
        </w:tc>
      </w:tr>
      <w:tr w:rsidR="001F7876" w:rsidRPr="00D2480F" w14:paraId="3A597E3E" w14:textId="77777777" w:rsidTr="001F7876">
        <w:trPr>
          <w:trHeight w:val="167"/>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4F0401" w14:textId="661BAF64" w:rsidR="001F7876" w:rsidRPr="000668BA" w:rsidRDefault="001F7876" w:rsidP="001A13FC">
            <w:pPr>
              <w:jc w:val="left"/>
              <w:rPr>
                <w:rFonts w:ascii="Arial Narrow" w:hAnsi="Arial Narrow"/>
                <w:sz w:val="20"/>
                <w:szCs w:val="20"/>
              </w:rPr>
            </w:pPr>
            <w:r w:rsidRPr="000668BA">
              <w:rPr>
                <w:rFonts w:ascii="Arial Narrow" w:hAnsi="Arial Narrow"/>
                <w:b/>
                <w:sz w:val="20"/>
                <w:szCs w:val="20"/>
              </w:rPr>
              <w:t xml:space="preserve">Prescriber type:  </w:t>
            </w:r>
            <w:r w:rsidRPr="000668BA">
              <w:rPr>
                <w:rFonts w:ascii="Arial Narrow" w:hAnsi="Arial Narrow"/>
                <w:sz w:val="20"/>
                <w:szCs w:val="20"/>
              </w:rPr>
              <w:fldChar w:fldCharType="begin">
                <w:ffData>
                  <w:name w:val=""/>
                  <w:enabled/>
                  <w:calcOnExit w:val="0"/>
                  <w:checkBox>
                    <w:sizeAuto/>
                    <w:default w:val="1"/>
                  </w:checkBox>
                </w:ffData>
              </w:fldChar>
            </w:r>
            <w:r w:rsidRPr="000668BA">
              <w:rPr>
                <w:rFonts w:ascii="Arial Narrow" w:hAnsi="Arial Narrow"/>
                <w:sz w:val="20"/>
                <w:szCs w:val="20"/>
              </w:rPr>
              <w:instrText xml:space="preserve"> FORMCHECKBOX </w:instrText>
            </w:r>
            <w:r w:rsidR="00CA12DB">
              <w:rPr>
                <w:rFonts w:ascii="Arial Narrow" w:hAnsi="Arial Narrow"/>
                <w:sz w:val="20"/>
                <w:szCs w:val="20"/>
              </w:rPr>
            </w:r>
            <w:r w:rsidR="00CA12DB">
              <w:rPr>
                <w:rFonts w:ascii="Arial Narrow" w:hAnsi="Arial Narrow"/>
                <w:sz w:val="20"/>
                <w:szCs w:val="20"/>
              </w:rPr>
              <w:fldChar w:fldCharType="separate"/>
            </w:r>
            <w:r w:rsidRPr="000668BA">
              <w:rPr>
                <w:rFonts w:ascii="Arial Narrow" w:hAnsi="Arial Narrow"/>
                <w:sz w:val="20"/>
                <w:szCs w:val="20"/>
              </w:rPr>
              <w:fldChar w:fldCharType="end"/>
            </w:r>
            <w:r w:rsidRPr="000668BA">
              <w:rPr>
                <w:rFonts w:ascii="Arial Narrow" w:hAnsi="Arial Narrow"/>
                <w:sz w:val="20"/>
                <w:szCs w:val="20"/>
              </w:rPr>
              <w:t xml:space="preserve">Medical Practitioners </w:t>
            </w:r>
          </w:p>
        </w:tc>
      </w:tr>
      <w:tr w:rsidR="001F7876" w:rsidRPr="00D2480F" w14:paraId="4D831BC9"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CEF3C" w14:textId="479D91D9" w:rsidR="001F7876" w:rsidRPr="000668BA" w:rsidRDefault="001F7876" w:rsidP="001A13FC">
            <w:pPr>
              <w:jc w:val="left"/>
              <w:rPr>
                <w:rFonts w:ascii="Arial Narrow" w:hAnsi="Arial Narrow"/>
                <w:b/>
                <w:sz w:val="20"/>
                <w:szCs w:val="20"/>
              </w:rPr>
            </w:pPr>
            <w:r w:rsidRPr="000668BA">
              <w:rPr>
                <w:rFonts w:ascii="Arial Narrow" w:hAnsi="Arial Narrow"/>
                <w:b/>
                <w:sz w:val="20"/>
                <w:szCs w:val="20"/>
              </w:rPr>
              <w:t>Restriction Level / Method:</w:t>
            </w:r>
          </w:p>
          <w:p w14:paraId="20829B0E"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fldChar w:fldCharType="begin">
                <w:ffData>
                  <w:name w:val="Check3"/>
                  <w:enabled/>
                  <w:calcOnExit w:val="0"/>
                  <w:checkBox>
                    <w:sizeAuto/>
                    <w:default w:val="1"/>
                  </w:checkBox>
                </w:ffData>
              </w:fldChar>
            </w:r>
            <w:r w:rsidRPr="000668BA">
              <w:rPr>
                <w:rFonts w:ascii="Arial Narrow" w:hAnsi="Arial Narrow"/>
                <w:sz w:val="20"/>
                <w:szCs w:val="20"/>
              </w:rPr>
              <w:instrText xml:space="preserve"> FORMCHECKBOX </w:instrText>
            </w:r>
            <w:r w:rsidR="00CA12DB">
              <w:rPr>
                <w:rFonts w:ascii="Arial Narrow" w:hAnsi="Arial Narrow"/>
                <w:sz w:val="20"/>
                <w:szCs w:val="20"/>
              </w:rPr>
            </w:r>
            <w:r w:rsidR="00CA12DB">
              <w:rPr>
                <w:rFonts w:ascii="Arial Narrow" w:hAnsi="Arial Narrow"/>
                <w:sz w:val="20"/>
                <w:szCs w:val="20"/>
              </w:rPr>
              <w:fldChar w:fldCharType="separate"/>
            </w:r>
            <w:r w:rsidRPr="000668BA">
              <w:rPr>
                <w:rFonts w:ascii="Arial Narrow" w:hAnsi="Arial Narrow"/>
                <w:sz w:val="20"/>
                <w:szCs w:val="20"/>
              </w:rPr>
              <w:fldChar w:fldCharType="end"/>
            </w:r>
            <w:r w:rsidRPr="000668BA">
              <w:rPr>
                <w:rFonts w:ascii="Arial Narrow" w:hAnsi="Arial Narrow"/>
                <w:sz w:val="20"/>
                <w:szCs w:val="20"/>
              </w:rPr>
              <w:t>Authority Required – Telephone/Electronic/Emergency</w:t>
            </w:r>
          </w:p>
        </w:tc>
      </w:tr>
      <w:tr w:rsidR="001F7876" w:rsidRPr="00D2480F" w14:paraId="1CD7EB06"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DCF60C" w14:textId="77777777" w:rsidR="001F7876" w:rsidRPr="000668BA" w:rsidRDefault="001F7876" w:rsidP="001A13FC">
            <w:pPr>
              <w:jc w:val="left"/>
              <w:rPr>
                <w:rFonts w:ascii="Arial Narrow" w:hAnsi="Arial Narrow"/>
                <w:b/>
                <w:bCs/>
                <w:sz w:val="20"/>
                <w:szCs w:val="20"/>
              </w:rPr>
            </w:pPr>
          </w:p>
        </w:tc>
      </w:tr>
      <w:tr w:rsidR="001F7876" w:rsidRPr="00D2480F" w14:paraId="48DA360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DD499" w14:textId="55B30480"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2861BE9C"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1F7876" w:rsidRPr="00D2480F" w14:paraId="4713F9D9"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7455D" w14:textId="2A5FD9E3"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0D0D020A"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Requests for increased quantities may be sought based on daily doses not exceeding 20 mg/kg/day (in line with the Product Information) for up to 4 weeks per dispensing.</w:t>
            </w:r>
          </w:p>
        </w:tc>
      </w:tr>
      <w:tr w:rsidR="001F7876" w:rsidRPr="00D2480F" w14:paraId="398FFF9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4C6DB" w14:textId="5B6A9878"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092DB546" w14:textId="77777777"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No increase in the maximum number of repeats may be authorised.</w:t>
            </w:r>
          </w:p>
        </w:tc>
      </w:tr>
      <w:tr w:rsidR="001F7876" w:rsidRPr="00D2480F" w14:paraId="08BF8A3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E2B49" w14:textId="6C36B1B5"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25DF7606" w14:textId="77777777"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Special Pricing Arrangements apply.</w:t>
            </w:r>
          </w:p>
        </w:tc>
      </w:tr>
      <w:tr w:rsidR="001F7876" w:rsidRPr="00D2480F" w14:paraId="188B213D"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1A246" w14:textId="77777777" w:rsidR="001F7876" w:rsidRPr="000668BA" w:rsidRDefault="001F7876" w:rsidP="001A13FC">
            <w:pPr>
              <w:jc w:val="left"/>
              <w:rPr>
                <w:rFonts w:ascii="Arial Narrow" w:hAnsi="Arial Narrow"/>
                <w:b/>
                <w:bCs/>
                <w:sz w:val="20"/>
                <w:szCs w:val="20"/>
              </w:rPr>
            </w:pPr>
          </w:p>
        </w:tc>
      </w:tr>
      <w:tr w:rsidR="001F7876" w:rsidRPr="00D2480F" w14:paraId="06D162F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15B1F" w14:textId="0B490E07"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Indication:</w:t>
            </w:r>
            <w:r w:rsidRPr="000668BA">
              <w:rPr>
                <w:rFonts w:ascii="Arial Narrow" w:hAnsi="Arial Narrow"/>
                <w:sz w:val="20"/>
                <w:szCs w:val="20"/>
              </w:rPr>
              <w:t xml:space="preserve"> </w:t>
            </w:r>
            <w:r w:rsidRPr="000668BA">
              <w:rPr>
                <w:rFonts w:ascii="Arial Narrow" w:hAnsi="Arial Narrow"/>
                <w:iCs/>
                <w:sz w:val="20"/>
                <w:szCs w:val="20"/>
              </w:rPr>
              <w:t>Seizures of the Lennox-</w:t>
            </w:r>
            <w:proofErr w:type="spellStart"/>
            <w:r w:rsidRPr="000668BA">
              <w:rPr>
                <w:rFonts w:ascii="Arial Narrow" w:hAnsi="Arial Narrow"/>
                <w:iCs/>
                <w:sz w:val="20"/>
                <w:szCs w:val="20"/>
              </w:rPr>
              <w:t>Gastaut</w:t>
            </w:r>
            <w:proofErr w:type="spellEnd"/>
            <w:r w:rsidRPr="000668BA">
              <w:rPr>
                <w:rFonts w:ascii="Arial Narrow" w:hAnsi="Arial Narrow"/>
                <w:iCs/>
                <w:sz w:val="20"/>
                <w:szCs w:val="20"/>
              </w:rPr>
              <w:t xml:space="preserve"> syndrome</w:t>
            </w:r>
          </w:p>
        </w:tc>
      </w:tr>
      <w:tr w:rsidR="001F7876" w:rsidRPr="00D2480F" w14:paraId="4A6D7C7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21647" w14:textId="3A0A0F49" w:rsidR="001F7876" w:rsidRPr="000668BA" w:rsidRDefault="001F7876" w:rsidP="001A13FC">
            <w:pPr>
              <w:jc w:val="left"/>
              <w:rPr>
                <w:rFonts w:ascii="Arial Narrow" w:hAnsi="Arial Narrow"/>
                <w:b/>
                <w:bCs/>
                <w:sz w:val="20"/>
                <w:szCs w:val="20"/>
              </w:rPr>
            </w:pPr>
          </w:p>
        </w:tc>
      </w:tr>
      <w:tr w:rsidR="001F7876" w:rsidRPr="00D2480F" w14:paraId="57F1336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2DD51" w14:textId="2C155430"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Clinical criteria:</w:t>
            </w:r>
          </w:p>
        </w:tc>
      </w:tr>
      <w:tr w:rsidR="001F7876" w:rsidRPr="00D2480F" w14:paraId="3690AFD1"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D10F7" w14:textId="6FD85EAF"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Patient must have a diagnosis of Lennox-</w:t>
            </w:r>
            <w:proofErr w:type="spellStart"/>
            <w:r w:rsidRPr="000668BA">
              <w:rPr>
                <w:rFonts w:ascii="Arial Narrow" w:hAnsi="Arial Narrow"/>
                <w:sz w:val="20"/>
                <w:szCs w:val="20"/>
              </w:rPr>
              <w:t>Gastaut</w:t>
            </w:r>
            <w:proofErr w:type="spellEnd"/>
            <w:r w:rsidRPr="000668BA">
              <w:rPr>
                <w:rFonts w:ascii="Arial Narrow" w:hAnsi="Arial Narrow"/>
                <w:sz w:val="20"/>
                <w:szCs w:val="20"/>
              </w:rPr>
              <w:t xml:space="preserve"> syndrome confirmed by an electroencephalogram </w:t>
            </w:r>
            <w:r w:rsidRPr="000668BA">
              <w:rPr>
                <w:rFonts w:ascii="Arial Narrow" w:hAnsi="Arial Narrow"/>
                <w:i/>
                <w:iCs/>
                <w:sz w:val="20"/>
                <w:szCs w:val="20"/>
              </w:rPr>
              <w:t>(EEG</w:t>
            </w:r>
            <w:r w:rsidRPr="000668BA">
              <w:rPr>
                <w:rFonts w:ascii="Arial Narrow" w:hAnsi="Arial Narrow"/>
                <w:sz w:val="20"/>
                <w:szCs w:val="20"/>
              </w:rPr>
              <w:t xml:space="preserve">) that showed a pattern of slow (less than 3.0 hertz) spike-and-wave discharges </w:t>
            </w:r>
            <w:r w:rsidRPr="000668BA">
              <w:rPr>
                <w:rFonts w:ascii="Arial Narrow" w:hAnsi="Arial Narrow"/>
                <w:b/>
                <w:bCs/>
                <w:sz w:val="20"/>
                <w:szCs w:val="20"/>
              </w:rPr>
              <w:t xml:space="preserve">with generalised paroxysmal fast activity </w:t>
            </w:r>
            <w:r w:rsidRPr="000668BA">
              <w:rPr>
                <w:rFonts w:ascii="Arial Narrow" w:hAnsi="Arial Narrow"/>
                <w:b/>
                <w:bCs/>
                <w:strike/>
                <w:sz w:val="20"/>
                <w:szCs w:val="20"/>
              </w:rPr>
              <w:t>(where it is possible to obtain a sleep recording)</w:t>
            </w:r>
            <w:r w:rsidRPr="000668BA">
              <w:rPr>
                <w:rFonts w:ascii="Arial Narrow" w:hAnsi="Arial Narrow"/>
                <w:b/>
                <w:bCs/>
                <w:i/>
                <w:iCs/>
                <w:sz w:val="20"/>
                <w:szCs w:val="20"/>
              </w:rPr>
              <w:t xml:space="preserve"> </w:t>
            </w:r>
            <w:r w:rsidRPr="000668BA">
              <w:rPr>
                <w:rFonts w:ascii="Arial Narrow" w:hAnsi="Arial Narrow"/>
                <w:i/>
                <w:iCs/>
                <w:sz w:val="20"/>
                <w:szCs w:val="20"/>
              </w:rPr>
              <w:t>(sleep recording should be obtained where it is possible)</w:t>
            </w:r>
          </w:p>
        </w:tc>
      </w:tr>
      <w:tr w:rsidR="001F7876" w:rsidRPr="00D2480F" w14:paraId="43C0073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5C7D4" w14:textId="3CD378D2"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AND</w:t>
            </w:r>
          </w:p>
        </w:tc>
      </w:tr>
      <w:tr w:rsidR="001F7876" w:rsidRPr="00D2480F" w14:paraId="5460FDF6"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E21589" w14:textId="75668346"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Clinical criteria:</w:t>
            </w:r>
          </w:p>
        </w:tc>
      </w:tr>
      <w:tr w:rsidR="001F7876" w:rsidRPr="00D2480F" w14:paraId="7E43202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BB45D" w14:textId="1847DCAB" w:rsidR="001F7876" w:rsidRPr="000668BA" w:rsidRDefault="001F7876" w:rsidP="001A13FC">
            <w:pPr>
              <w:jc w:val="left"/>
              <w:rPr>
                <w:rFonts w:ascii="Arial Narrow" w:hAnsi="Arial Narrow"/>
                <w:sz w:val="20"/>
                <w:szCs w:val="20"/>
              </w:rPr>
            </w:pPr>
            <w:r w:rsidRPr="000668BA">
              <w:rPr>
                <w:rFonts w:ascii="Arial Narrow" w:hAnsi="Arial Narrow"/>
                <w:sz w:val="20"/>
                <w:szCs w:val="20"/>
              </w:rPr>
              <w:t xml:space="preserve">Patient must have (as an initiating patient)/have had (as a continuing patient) more than one type of generalised seizures </w:t>
            </w:r>
          </w:p>
        </w:tc>
      </w:tr>
      <w:tr w:rsidR="001F7876" w:rsidRPr="00D2480F" w14:paraId="5E104AC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7E170" w14:textId="1BD1F7DB"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AND</w:t>
            </w:r>
          </w:p>
        </w:tc>
      </w:tr>
      <w:tr w:rsidR="001F7876" w:rsidRPr="00D2480F" w14:paraId="5291775F"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03802" w14:textId="5FF031EC"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lastRenderedPageBreak/>
              <w:t>Clinical criteria:</w:t>
            </w:r>
          </w:p>
        </w:tc>
      </w:tr>
      <w:tr w:rsidR="001F7876" w:rsidRPr="00D2480F" w14:paraId="1FF3BABC"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D96490" w14:textId="5F1D98D3" w:rsidR="001F7876" w:rsidRPr="000668BA" w:rsidRDefault="001F7876" w:rsidP="009836BE">
            <w:pPr>
              <w:jc w:val="left"/>
              <w:rPr>
                <w:rFonts w:ascii="Arial Narrow" w:hAnsi="Arial Narrow"/>
                <w:b/>
                <w:bCs/>
                <w:sz w:val="20"/>
                <w:szCs w:val="20"/>
              </w:rPr>
            </w:pPr>
            <w:r w:rsidRPr="000668BA">
              <w:rPr>
                <w:rFonts w:ascii="Arial Narrow" w:hAnsi="Arial Narrow"/>
                <w:sz w:val="20"/>
                <w:szCs w:val="20"/>
              </w:rPr>
              <w:t xml:space="preserve">Patient must have </w:t>
            </w:r>
            <w:r w:rsidRPr="000668BA">
              <w:rPr>
                <w:rFonts w:ascii="Arial Narrow" w:hAnsi="Arial Narrow"/>
                <w:b/>
                <w:bCs/>
                <w:sz w:val="20"/>
                <w:szCs w:val="20"/>
              </w:rPr>
              <w:t>at least two</w:t>
            </w:r>
            <w:r w:rsidRPr="000668BA">
              <w:rPr>
                <w:rFonts w:ascii="Arial Narrow" w:hAnsi="Arial Narrow"/>
                <w:sz w:val="20"/>
                <w:szCs w:val="20"/>
              </w:rPr>
              <w:t xml:space="preserve"> drop seizures (atonic, tonic or tonic-</w:t>
            </w:r>
            <w:proofErr w:type="spellStart"/>
            <w:r w:rsidRPr="000668BA">
              <w:rPr>
                <w:rFonts w:ascii="Arial Narrow" w:hAnsi="Arial Narrow"/>
                <w:sz w:val="20"/>
                <w:szCs w:val="20"/>
              </w:rPr>
              <w:t>clonic</w:t>
            </w:r>
            <w:proofErr w:type="spellEnd"/>
            <w:r w:rsidRPr="000668BA">
              <w:rPr>
                <w:rFonts w:ascii="Arial Narrow" w:hAnsi="Arial Narrow"/>
                <w:sz w:val="20"/>
                <w:szCs w:val="20"/>
              </w:rPr>
              <w:t xml:space="preserve">) </w:t>
            </w:r>
            <w:r w:rsidRPr="000668BA">
              <w:rPr>
                <w:rFonts w:ascii="Arial Narrow" w:hAnsi="Arial Narrow"/>
                <w:b/>
                <w:bCs/>
                <w:sz w:val="20"/>
                <w:szCs w:val="20"/>
              </w:rPr>
              <w:t>per week</w:t>
            </w:r>
            <w:r w:rsidRPr="000668BA">
              <w:rPr>
                <w:rFonts w:ascii="Arial Narrow" w:hAnsi="Arial Narrow"/>
                <w:sz w:val="20"/>
                <w:szCs w:val="20"/>
              </w:rPr>
              <w:t xml:space="preserve"> that are not adequately controlled with at least two other anti-epileptic drugs. </w:t>
            </w:r>
            <w:r w:rsidRPr="000668BA">
              <w:rPr>
                <w:rFonts w:ascii="Arial Narrow" w:hAnsi="Arial Narrow"/>
                <w:b/>
                <w:bCs/>
                <w:strike/>
                <w:sz w:val="20"/>
                <w:szCs w:val="20"/>
              </w:rPr>
              <w:t>Tonic seizures must have been recorded on video-EEG or been clearly observed and reported by a witness.</w:t>
            </w:r>
          </w:p>
        </w:tc>
      </w:tr>
      <w:tr w:rsidR="001F7876" w:rsidRPr="00D2480F" w14:paraId="32200B5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4BC13" w14:textId="06EFBC65"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AND</w:t>
            </w:r>
          </w:p>
        </w:tc>
      </w:tr>
      <w:tr w:rsidR="001F7876" w:rsidRPr="00D2480F" w14:paraId="7400338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F7B0C" w14:textId="475FBB4C"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Clinical criteria:</w:t>
            </w:r>
          </w:p>
        </w:tc>
      </w:tr>
      <w:tr w:rsidR="001F7876" w:rsidRPr="00D2480F" w14:paraId="30F1F26D"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6B144" w14:textId="47AECF66" w:rsidR="001F7876" w:rsidRPr="000668BA" w:rsidRDefault="001F7876" w:rsidP="009836BE">
            <w:pPr>
              <w:jc w:val="left"/>
              <w:rPr>
                <w:rFonts w:ascii="Arial Narrow" w:hAnsi="Arial Narrow"/>
                <w:strike/>
                <w:sz w:val="20"/>
                <w:szCs w:val="20"/>
              </w:rPr>
            </w:pPr>
            <w:r w:rsidRPr="000668BA">
              <w:rPr>
                <w:rFonts w:ascii="Arial Narrow" w:hAnsi="Arial Narrow"/>
                <w:strike/>
                <w:sz w:val="20"/>
                <w:szCs w:val="20"/>
              </w:rPr>
              <w:t>The treatment must be as adjunctive therapy to at least one other anti-epileptic drug.</w:t>
            </w:r>
          </w:p>
          <w:p w14:paraId="4F8B6015" w14:textId="77777777" w:rsidR="001F7876" w:rsidRPr="000668BA" w:rsidRDefault="001F7876" w:rsidP="009836BE">
            <w:pPr>
              <w:jc w:val="left"/>
              <w:rPr>
                <w:rFonts w:ascii="Arial Narrow" w:hAnsi="Arial Narrow"/>
                <w:i/>
                <w:iCs/>
                <w:sz w:val="20"/>
                <w:szCs w:val="20"/>
              </w:rPr>
            </w:pPr>
            <w:r w:rsidRPr="000668BA">
              <w:rPr>
                <w:rFonts w:ascii="Arial Narrow" w:hAnsi="Arial Narrow"/>
                <w:i/>
                <w:iCs/>
                <w:sz w:val="20"/>
                <w:szCs w:val="20"/>
              </w:rPr>
              <w:t>The treatment must be in combination with at least one anti-epileptic drug.</w:t>
            </w:r>
          </w:p>
        </w:tc>
      </w:tr>
      <w:tr w:rsidR="001F7876" w:rsidRPr="00D2480F" w14:paraId="5C8A97D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06DA1" w14:textId="77777777" w:rsidR="001F7876" w:rsidRPr="000668BA" w:rsidRDefault="001F7876" w:rsidP="009836BE">
            <w:pPr>
              <w:jc w:val="left"/>
              <w:rPr>
                <w:rFonts w:ascii="Arial Narrow" w:hAnsi="Arial Narrow"/>
                <w:strike/>
                <w:sz w:val="20"/>
                <w:szCs w:val="20"/>
              </w:rPr>
            </w:pPr>
          </w:p>
        </w:tc>
      </w:tr>
      <w:tr w:rsidR="001F7876" w:rsidRPr="00D2480F" w14:paraId="63D7406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EE0F8C" w14:textId="6B75D407" w:rsidR="001F7876" w:rsidRPr="000668BA" w:rsidRDefault="001F7876" w:rsidP="009836BE">
            <w:pPr>
              <w:jc w:val="left"/>
              <w:rPr>
                <w:rFonts w:ascii="Arial Narrow" w:hAnsi="Arial Narrow"/>
                <w:sz w:val="20"/>
                <w:szCs w:val="20"/>
              </w:rPr>
            </w:pPr>
          </w:p>
        </w:tc>
      </w:tr>
      <w:tr w:rsidR="001F7876" w:rsidRPr="00D2480F" w14:paraId="5EA9E00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F9C3E" w14:textId="1C0089C7"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Treatment criteria:</w:t>
            </w:r>
          </w:p>
        </w:tc>
      </w:tr>
      <w:tr w:rsidR="001F7876" w:rsidRPr="00D2480F" w14:paraId="302A312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DB29D" w14:textId="618F3D60" w:rsidR="001F7876" w:rsidRPr="000668BA" w:rsidRDefault="001F7876" w:rsidP="009836BE">
            <w:pPr>
              <w:autoSpaceDE w:val="0"/>
              <w:autoSpaceDN w:val="0"/>
              <w:adjustRightInd w:val="0"/>
              <w:jc w:val="left"/>
              <w:rPr>
                <w:rFonts w:ascii="Arial Narrow" w:eastAsiaTheme="minorHAnsi" w:hAnsi="Arial Narrow" w:cs="Arial Narrow"/>
                <w:sz w:val="20"/>
                <w:szCs w:val="20"/>
                <w:lang w:eastAsia="en-US"/>
              </w:rPr>
            </w:pPr>
            <w:r w:rsidRPr="000668BA">
              <w:rPr>
                <w:rFonts w:ascii="Arial Narrow" w:hAnsi="Arial Narrow" w:cs="Arial Narrow"/>
                <w:sz w:val="20"/>
                <w:szCs w:val="20"/>
              </w:rPr>
              <w:t xml:space="preserve">Must be treated by a neurologist if treatment is being initiated; or </w:t>
            </w:r>
          </w:p>
        </w:tc>
      </w:tr>
      <w:tr w:rsidR="001F7876" w:rsidRPr="00D2480F" w14:paraId="6057AC28"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9D7C6" w14:textId="5DE792F5" w:rsidR="001F7876" w:rsidRPr="000668BA" w:rsidRDefault="001F7876" w:rsidP="009836BE">
            <w:pPr>
              <w:jc w:val="left"/>
              <w:rPr>
                <w:rFonts w:ascii="Arial Narrow" w:hAnsi="Arial Narrow"/>
                <w:b/>
                <w:bCs/>
                <w:sz w:val="20"/>
                <w:szCs w:val="20"/>
              </w:rPr>
            </w:pPr>
            <w:r w:rsidRPr="000668BA">
              <w:rPr>
                <w:rFonts w:ascii="Arial Narrow" w:hAnsi="Arial Narrow" w:cs="Arial Narrow"/>
                <w:iCs/>
                <w:sz w:val="20"/>
                <w:szCs w:val="20"/>
              </w:rPr>
              <w:t xml:space="preserve">Must be treated by a neurologist if treatment is being continued or re-initiated; or </w:t>
            </w:r>
          </w:p>
        </w:tc>
      </w:tr>
      <w:tr w:rsidR="001F7876" w:rsidRPr="00D2480F" w14:paraId="0D716CEC"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850D3" w14:textId="7A717C60" w:rsidR="001F7876" w:rsidRPr="000668BA" w:rsidRDefault="001F7876" w:rsidP="009836BE">
            <w:pPr>
              <w:jc w:val="left"/>
              <w:rPr>
                <w:rFonts w:ascii="Arial Narrow" w:hAnsi="Arial Narrow"/>
                <w:b/>
                <w:bCs/>
                <w:sz w:val="20"/>
                <w:szCs w:val="20"/>
              </w:rPr>
            </w:pPr>
            <w:r w:rsidRPr="000668BA">
              <w:rPr>
                <w:rFonts w:ascii="Arial Narrow" w:hAnsi="Arial Narrow" w:cs="Arial Narrow"/>
                <w:iCs/>
                <w:sz w:val="20"/>
                <w:szCs w:val="20"/>
              </w:rPr>
              <w:t>Must be treated by a paediatrician in consultation with a neurologist if treatment is being continued; or</w:t>
            </w:r>
          </w:p>
        </w:tc>
      </w:tr>
      <w:tr w:rsidR="001F7876" w:rsidRPr="00D2480F" w14:paraId="173CA9BF"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FCC" w14:textId="722D7D19" w:rsidR="001F7876" w:rsidRPr="000668BA" w:rsidRDefault="001F7876" w:rsidP="009836BE">
            <w:pPr>
              <w:autoSpaceDE w:val="0"/>
              <w:autoSpaceDN w:val="0"/>
              <w:adjustRightInd w:val="0"/>
              <w:jc w:val="left"/>
              <w:rPr>
                <w:rFonts w:ascii="Arial Narrow" w:hAnsi="Arial Narrow" w:cs="Arial Narrow"/>
                <w:i/>
                <w:iCs/>
                <w:sz w:val="20"/>
                <w:szCs w:val="20"/>
              </w:rPr>
            </w:pPr>
            <w:r w:rsidRPr="000668BA">
              <w:rPr>
                <w:rFonts w:ascii="Arial Narrow" w:hAnsi="Arial Narrow" w:cs="Arial Narrow"/>
                <w:iCs/>
                <w:sz w:val="20"/>
                <w:szCs w:val="20"/>
              </w:rPr>
              <w:t>Must be treated by a general practitioner in consultation with a neurologist if treatment is being continued.</w:t>
            </w:r>
          </w:p>
        </w:tc>
      </w:tr>
      <w:tr w:rsidR="001F7876" w:rsidRPr="00D2480F" w14:paraId="3CE7B828"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FDC6A" w14:textId="77777777" w:rsidR="001F7876" w:rsidRPr="000668BA" w:rsidRDefault="001F7876" w:rsidP="009836BE">
            <w:pPr>
              <w:autoSpaceDE w:val="0"/>
              <w:autoSpaceDN w:val="0"/>
              <w:adjustRightInd w:val="0"/>
              <w:jc w:val="left"/>
              <w:rPr>
                <w:rFonts w:ascii="Arial Narrow" w:hAnsi="Arial Narrow" w:cs="Arial Narrow"/>
                <w:iCs/>
                <w:sz w:val="20"/>
                <w:szCs w:val="20"/>
              </w:rPr>
            </w:pPr>
          </w:p>
        </w:tc>
      </w:tr>
      <w:tr w:rsidR="001F7876" w:rsidRPr="00D2480F" w14:paraId="4E7F4C8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24A75" w14:textId="2E9B5822" w:rsidR="001F7876" w:rsidRPr="000668BA" w:rsidRDefault="001F7876" w:rsidP="009836BE">
            <w:pPr>
              <w:autoSpaceDE w:val="0"/>
              <w:autoSpaceDN w:val="0"/>
              <w:adjustRightInd w:val="0"/>
              <w:jc w:val="left"/>
              <w:rPr>
                <w:rFonts w:ascii="Arial Narrow" w:hAnsi="Arial Narrow" w:cs="Arial Narrow"/>
                <w:sz w:val="20"/>
                <w:szCs w:val="20"/>
              </w:rPr>
            </w:pPr>
            <w:r w:rsidRPr="000668BA">
              <w:rPr>
                <w:rFonts w:ascii="Arial Narrow" w:hAnsi="Arial Narrow" w:cs="Arial Narrow"/>
                <w:b/>
                <w:bCs/>
                <w:sz w:val="20"/>
                <w:szCs w:val="20"/>
              </w:rPr>
              <w:t xml:space="preserve">Prescribing Instructions: </w:t>
            </w:r>
            <w:r w:rsidRPr="000668BA">
              <w:rPr>
                <w:rFonts w:ascii="Arial Narrow" w:hAnsi="Arial Narrow"/>
                <w:i/>
                <w:iCs/>
                <w:sz w:val="20"/>
                <w:szCs w:val="20"/>
              </w:rPr>
              <w:t>Tonic seizures must have been recorded on video-EEG or have been clearly observed and reported by a witness.</w:t>
            </w:r>
          </w:p>
        </w:tc>
      </w:tr>
      <w:tr w:rsidR="001F7876" w:rsidRPr="00D2480F" w14:paraId="1EB95747"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635C3" w14:textId="0AFF2545" w:rsidR="001F7876" w:rsidRPr="000668BA" w:rsidRDefault="001F7876" w:rsidP="009836BE">
            <w:pPr>
              <w:autoSpaceDE w:val="0"/>
              <w:autoSpaceDN w:val="0"/>
              <w:adjustRightInd w:val="0"/>
              <w:jc w:val="left"/>
              <w:rPr>
                <w:rFonts w:ascii="Arial Narrow" w:hAnsi="Arial Narrow" w:cs="Arial Narrow"/>
                <w:i/>
                <w:iCs/>
                <w:sz w:val="20"/>
                <w:szCs w:val="20"/>
              </w:rPr>
            </w:pPr>
            <w:r w:rsidRPr="000668BA">
              <w:rPr>
                <w:rFonts w:ascii="Arial Narrow" w:hAnsi="Arial Narrow" w:cs="Arial Narrow"/>
                <w:b/>
                <w:bCs/>
                <w:i/>
                <w:iCs/>
                <w:sz w:val="20"/>
                <w:szCs w:val="20"/>
              </w:rPr>
              <w:t xml:space="preserve">Prescribing Instructions: </w:t>
            </w:r>
            <w:r w:rsidRPr="000668BA">
              <w:rPr>
                <w:rFonts w:ascii="Arial Narrow" w:hAnsi="Arial Narrow" w:cs="Arial Narrow"/>
                <w:i/>
                <w:iCs/>
                <w:sz w:val="20"/>
                <w:szCs w:val="20"/>
              </w:rPr>
              <w:t>Confirmation of eligibility for treatment with diagnostic reports must be documented in the patient's medical records</w:t>
            </w:r>
          </w:p>
        </w:tc>
      </w:tr>
    </w:tbl>
    <w:p w14:paraId="62CBB045" w14:textId="77777777" w:rsidR="002A4970" w:rsidRDefault="002A4970" w:rsidP="0064222C">
      <w:pPr>
        <w:pStyle w:val="3-BodyText"/>
        <w:numPr>
          <w:ilvl w:val="0"/>
          <w:numId w:val="0"/>
        </w:numPr>
        <w:spacing w:after="0"/>
        <w:ind w:left="720"/>
      </w:pPr>
    </w:p>
    <w:p w14:paraId="0B3ABAD8" w14:textId="2C972ABC" w:rsidR="00912E14" w:rsidRPr="00082620" w:rsidRDefault="00082620" w:rsidP="00A8430B">
      <w:pPr>
        <w:pStyle w:val="3-BodyText"/>
      </w:pPr>
      <w:r w:rsidRPr="00082620">
        <w:t>T</w:t>
      </w:r>
      <w:r w:rsidR="00912E14" w:rsidRPr="00082620">
        <w:t>he population criteria ‘</w:t>
      </w:r>
      <w:r w:rsidR="0008507A" w:rsidRPr="00082620">
        <w:t xml:space="preserve">Patient must be 2 years of age or older’ has been removed </w:t>
      </w:r>
      <w:r>
        <w:t xml:space="preserve">from the proposed restriction criteria </w:t>
      </w:r>
      <w:r w:rsidR="0008507A" w:rsidRPr="00082620">
        <w:t xml:space="preserve">as recommended by the PBAC.  </w:t>
      </w:r>
    </w:p>
    <w:p w14:paraId="0D79A9FC" w14:textId="378DEFE0" w:rsidR="00A8430B" w:rsidRDefault="00A8430B" w:rsidP="00A8430B">
      <w:pPr>
        <w:pStyle w:val="3-BodyText"/>
        <w:rPr>
          <w:i/>
          <w:iCs/>
        </w:rPr>
      </w:pPr>
      <w:r w:rsidRPr="00EA3D44">
        <w:t xml:space="preserve">The Secretariat recalled the PBAC had previously recommended the listing for DS change from in combination </w:t>
      </w:r>
      <w:r w:rsidR="000D0540" w:rsidRPr="00EA3D44">
        <w:t xml:space="preserve">with one anti-epileptic drug to in combination with two anti-epileptic </w:t>
      </w:r>
      <w:proofErr w:type="gramStart"/>
      <w:r w:rsidR="000D0540" w:rsidRPr="00EA3D44">
        <w:t>drug</w:t>
      </w:r>
      <w:proofErr w:type="gramEnd"/>
      <w:r w:rsidR="000D0540" w:rsidRPr="00EA3D44">
        <w:t xml:space="preserve"> (paragraph 11.9, cannabidiol</w:t>
      </w:r>
      <w:r w:rsidR="00F12B5E">
        <w:t xml:space="preserve"> PSD</w:t>
      </w:r>
      <w:r w:rsidR="000D0540" w:rsidRPr="00EA3D44">
        <w:t>, July 2020 PBAC meeting). The Secretariat noted approximately 95% of patients in both the LGS and DS trials were on at least two anti-epileptic drugs (refer to relevant section in Product Information document) and that</w:t>
      </w:r>
      <w:r w:rsidR="004D41DB" w:rsidRPr="00EA3D44">
        <w:t xml:space="preserve"> it may be appropriate for</w:t>
      </w:r>
      <w:r w:rsidR="000D0540" w:rsidRPr="00EA3D44">
        <w:t xml:space="preserve"> consistent clinical criteria with regards to the number of anti-epileptic drugs to be used in combination </w:t>
      </w:r>
      <w:r w:rsidR="00756E7A" w:rsidRPr="00EA3D44">
        <w:t>with cannabidiol</w:t>
      </w:r>
      <w:r w:rsidR="000D0540" w:rsidRPr="00EA3D44">
        <w:t>.</w:t>
      </w:r>
      <w:r w:rsidR="000D0540">
        <w:rPr>
          <w:i/>
          <w:iCs/>
        </w:rPr>
        <w:t xml:space="preserve"> </w:t>
      </w:r>
      <w:r w:rsidR="001C35CB">
        <w:t xml:space="preserve"> The PBAC agreed with the Secretariat and considered it would be appropriate for clinical criteria should be consistent with the DS clinical criteria. </w:t>
      </w:r>
    </w:p>
    <w:p w14:paraId="39F986CF" w14:textId="5724750B" w:rsidR="00B06CCB" w:rsidRDefault="00B06CCB" w:rsidP="00A8430B">
      <w:pPr>
        <w:pStyle w:val="3-BodyText"/>
      </w:pPr>
      <w:r w:rsidRPr="00B06CCB">
        <w:t xml:space="preserve">The resubmission proposed a reduction to the current published </w:t>
      </w:r>
      <w:r>
        <w:t>dispensed price for maximum quantity (</w:t>
      </w:r>
      <w:r w:rsidRPr="00B06CCB">
        <w:t>DPMQ</w:t>
      </w:r>
      <w:r>
        <w:t>)</w:t>
      </w:r>
      <w:r w:rsidRPr="00B06CCB">
        <w:t xml:space="preserve"> for cannabidiol from $2,006.43 to $1,533.93 per 100 mL bottle.  </w:t>
      </w:r>
    </w:p>
    <w:p w14:paraId="3B32698D" w14:textId="2F4D480D" w:rsidR="00573C95" w:rsidRPr="0084495F" w:rsidRDefault="00573C95" w:rsidP="00573C95">
      <w:pPr>
        <w:pStyle w:val="2-SectionHeading"/>
      </w:pPr>
      <w:bookmarkStart w:id="3" w:name="_Toc92732975"/>
      <w:r w:rsidRPr="0084495F">
        <w:t>Consideration of the evidence</w:t>
      </w:r>
      <w:bookmarkEnd w:id="3"/>
    </w:p>
    <w:p w14:paraId="337312B8" w14:textId="77777777" w:rsidR="008D1D0C" w:rsidRPr="00EF5F76" w:rsidRDefault="008D1D0C" w:rsidP="008D1D0C">
      <w:pPr>
        <w:pStyle w:val="4-SubsectionHeading"/>
        <w:keepNext/>
        <w:keepLines/>
      </w:pPr>
      <w:bookmarkStart w:id="4" w:name="_Toc22897645"/>
      <w:bookmarkStart w:id="5" w:name="_Toc92732981"/>
      <w:r w:rsidRPr="00EF5F76">
        <w:t>Sponsor hearing</w:t>
      </w:r>
    </w:p>
    <w:p w14:paraId="1094B077" w14:textId="491F5FF8" w:rsidR="008D1D0C" w:rsidRPr="00EF5F76" w:rsidRDefault="008D1D0C" w:rsidP="008D1D0C">
      <w:pPr>
        <w:pStyle w:val="3-BodyText"/>
        <w:rPr>
          <w:rFonts w:ascii="Calibri" w:hAnsi="Calibri" w:cs="Calibri"/>
          <w:snapToGrid w:val="0"/>
        </w:rPr>
      </w:pPr>
      <w:r w:rsidRPr="00EF5F76">
        <w:rPr>
          <w:rFonts w:ascii="Calibri" w:hAnsi="Calibri" w:cs="Calibri"/>
          <w:snapToGrid w:val="0"/>
        </w:rPr>
        <w:t>There was no hearing for this item.</w:t>
      </w:r>
    </w:p>
    <w:p w14:paraId="334273FD" w14:textId="77777777" w:rsidR="008D1D0C" w:rsidRPr="00EF5F76" w:rsidRDefault="008D1D0C" w:rsidP="00EF5F76">
      <w:pPr>
        <w:pStyle w:val="4-SubsectionHeading"/>
        <w:keepNext/>
        <w:keepLines/>
      </w:pPr>
      <w:r w:rsidRPr="00EF5F76">
        <w:t>Consumer comments</w:t>
      </w:r>
    </w:p>
    <w:p w14:paraId="66F0B924" w14:textId="402B8284" w:rsidR="008D1D0C" w:rsidRPr="00EF5F76" w:rsidRDefault="00EF5F76" w:rsidP="008D1D0C">
      <w:pPr>
        <w:pStyle w:val="3-BodyText"/>
        <w:rPr>
          <w:snapToGrid w:val="0"/>
        </w:rPr>
      </w:pPr>
      <w:r w:rsidRPr="00EF5F76">
        <w:rPr>
          <w:rFonts w:cs="Arial"/>
          <w:bCs/>
          <w:snapToGrid w:val="0"/>
        </w:rPr>
        <w:t>The PBAC noted that no consumer comments were received for this item.</w:t>
      </w:r>
    </w:p>
    <w:p w14:paraId="7CF6A93D" w14:textId="3C07BABB" w:rsidR="00AD021A" w:rsidRDefault="00AD021A" w:rsidP="008D1D0C">
      <w:pPr>
        <w:pStyle w:val="4-SubsectionHeading"/>
        <w:keepNext/>
        <w:keepLines/>
      </w:pPr>
      <w:r>
        <w:lastRenderedPageBreak/>
        <w:t>Clinical trials</w:t>
      </w:r>
    </w:p>
    <w:p w14:paraId="23A38B95" w14:textId="77777777" w:rsidR="00AD021A" w:rsidRDefault="00AD021A" w:rsidP="00AD021A">
      <w:pPr>
        <w:pStyle w:val="3-BodyText"/>
      </w:pPr>
      <w:r>
        <w:t>Clinical data was not presented in this early re-entry resubmission.</w:t>
      </w:r>
    </w:p>
    <w:p w14:paraId="26E1104A" w14:textId="6279FD48" w:rsidR="00133FC4" w:rsidRDefault="00133FC4" w:rsidP="008D1D0C">
      <w:pPr>
        <w:pStyle w:val="4-SubsectionHeading"/>
        <w:keepNext/>
        <w:keepLines/>
      </w:pPr>
      <w:r>
        <w:t>Clinical claim</w:t>
      </w:r>
    </w:p>
    <w:p w14:paraId="08AACB57" w14:textId="1F90E8FC" w:rsidR="00133FC4" w:rsidRPr="00AD021A" w:rsidRDefault="00AD021A" w:rsidP="00AD021A">
      <w:pPr>
        <w:pStyle w:val="3-BodyText"/>
        <w:rPr>
          <w:lang w:eastAsia="en-US"/>
        </w:rPr>
      </w:pPr>
      <w:r>
        <w:rPr>
          <w:lang w:eastAsia="en-US"/>
        </w:rPr>
        <w:t>T</w:t>
      </w:r>
      <w:r w:rsidRPr="00AD021A">
        <w:rPr>
          <w:lang w:eastAsia="en-US"/>
        </w:rPr>
        <w:t xml:space="preserve">he PBAC </w:t>
      </w:r>
      <w:r>
        <w:rPr>
          <w:lang w:eastAsia="en-US"/>
        </w:rPr>
        <w:t xml:space="preserve">recalled </w:t>
      </w:r>
      <w:r w:rsidRPr="00AD021A">
        <w:rPr>
          <w:lang w:eastAsia="en-US"/>
        </w:rPr>
        <w:t xml:space="preserve">its previously expressed view that the claim </w:t>
      </w:r>
      <w:r>
        <w:rPr>
          <w:lang w:eastAsia="en-US"/>
        </w:rPr>
        <w:t xml:space="preserve">that cannabidiol was </w:t>
      </w:r>
      <w:r w:rsidRPr="00AD021A">
        <w:rPr>
          <w:lang w:eastAsia="en-US"/>
        </w:rPr>
        <w:t>of superior comparative effectiveness and inferior comparative safety compared to</w:t>
      </w:r>
      <w:r>
        <w:rPr>
          <w:lang w:eastAsia="en-US"/>
        </w:rPr>
        <w:t xml:space="preserve"> the nominated comparator (standard care) </w:t>
      </w:r>
      <w:r w:rsidRPr="00AD021A">
        <w:rPr>
          <w:lang w:eastAsia="en-US"/>
        </w:rPr>
        <w:t>was reasonable</w:t>
      </w:r>
      <w:r>
        <w:rPr>
          <w:lang w:eastAsia="en-US"/>
        </w:rPr>
        <w:t xml:space="preserve"> (paragraph 6.19, cannabidiol PSD, March 2022 PBAC meeting)</w:t>
      </w:r>
      <w:r w:rsidRPr="00AD021A">
        <w:rPr>
          <w:lang w:eastAsia="en-US"/>
        </w:rPr>
        <w:t>.</w:t>
      </w:r>
    </w:p>
    <w:p w14:paraId="18081CFE" w14:textId="6335ED64" w:rsidR="00573C95" w:rsidRPr="00EF5F76" w:rsidRDefault="00573C95" w:rsidP="008D1D0C">
      <w:pPr>
        <w:pStyle w:val="4-SubsectionHeading"/>
        <w:keepNext/>
        <w:keepLines/>
      </w:pPr>
      <w:r w:rsidRPr="00EF5F76">
        <w:t>Economic analysis</w:t>
      </w:r>
      <w:bookmarkEnd w:id="4"/>
      <w:r w:rsidRPr="00EF5F76">
        <w:t xml:space="preserve"> </w:t>
      </w:r>
      <w:bookmarkEnd w:id="5"/>
    </w:p>
    <w:p w14:paraId="05A72AC4" w14:textId="3BCE0C44" w:rsidR="006946ED" w:rsidRDefault="006946ED" w:rsidP="00BB5875">
      <w:pPr>
        <w:pStyle w:val="3-BodyText"/>
      </w:pPr>
      <w:r w:rsidRPr="00EF5F76">
        <w:t>In March 2022, “the PBAC noted using transition probabilities from the 10 mg/kg/day and 20 mg/kg/day treatment arms and a dose of 17 mg/kg/ day (assuming 70% of</w:t>
      </w:r>
      <w:r>
        <w:t xml:space="preserve"> patients treated with 20 mg/kg/day consistent with the clinical trials) resulted in an ICER of </w:t>
      </w:r>
      <w:r w:rsidR="00BB5875" w:rsidRPr="00BB5875">
        <w:t>$75,000 to &lt; $95,000</w:t>
      </w:r>
      <w:r>
        <w:t xml:space="preserve">/ QALY (excluding carer utilities). The PBAC considered that, with these assumptions, the economic model provided a reasonable degree of certainty but that cannabidiol was not cost effective at the price proposed in the resubmission” (paragraph 7.9, cannabidiol Minutes, March 2022 PBAC Meeting). The PBAC further considered that a simple resubmission </w:t>
      </w:r>
      <w:r w:rsidRPr="00BB5875">
        <w:rPr>
          <w:snapToGrid w:val="0"/>
          <w:lang w:val="en-GB"/>
        </w:rPr>
        <w:t xml:space="preserve">using the early re-entry pathway </w:t>
      </w:r>
      <w:r>
        <w:t>should “</w:t>
      </w:r>
      <w:r w:rsidRPr="006946ED">
        <w:t xml:space="preserve">propose a price reduction to achieve an ICER less than </w:t>
      </w:r>
      <w:r w:rsidR="00BB5875" w:rsidRPr="00BB5875">
        <w:t>$45,000 to &lt; $55,000</w:t>
      </w:r>
      <w:r w:rsidRPr="006946ED">
        <w:t xml:space="preserve"> per QALY (excluding carer utilities)</w:t>
      </w:r>
      <w:r>
        <w:t>”</w:t>
      </w:r>
      <w:r w:rsidRPr="006946ED">
        <w:t xml:space="preserve"> with </w:t>
      </w:r>
      <w:proofErr w:type="gramStart"/>
      <w:r>
        <w:t>aforementioned revisions</w:t>
      </w:r>
      <w:proofErr w:type="gramEnd"/>
      <w:r>
        <w:t xml:space="preserve"> to the assumptions applied in </w:t>
      </w:r>
      <w:r w:rsidRPr="006946ED">
        <w:t xml:space="preserve">the economic model </w:t>
      </w:r>
      <w:r>
        <w:t>(paragraph 7.11, cannabidiol Minutes, March 2022 PBAC Meeting).</w:t>
      </w:r>
    </w:p>
    <w:p w14:paraId="363B42AB" w14:textId="4E528DF2" w:rsidR="00A07737" w:rsidRDefault="00063D31" w:rsidP="00A07737">
      <w:pPr>
        <w:pStyle w:val="3-BodyText"/>
      </w:pPr>
      <w:r>
        <w:t xml:space="preserve">As outlined in </w:t>
      </w:r>
      <w:r>
        <w:fldChar w:fldCharType="begin"/>
      </w:r>
      <w:r>
        <w:instrText xml:space="preserve"> REF _Ref106618689 \h  \* MERGEFORMAT </w:instrText>
      </w:r>
      <w:r>
        <w:fldChar w:fldCharType="separate"/>
      </w:r>
      <w:r w:rsidR="004141D9" w:rsidRPr="004141D9">
        <w:t>Table 2</w:t>
      </w:r>
      <w:r>
        <w:fldChar w:fldCharType="end"/>
      </w:r>
      <w:r>
        <w:t>, t</w:t>
      </w:r>
      <w:r w:rsidR="002D42E2">
        <w:t xml:space="preserve">he resubmission presented the results of the economic model using the parameters specified by the PBAC </w:t>
      </w:r>
      <w:r>
        <w:t xml:space="preserve">in March 2022 </w:t>
      </w:r>
      <w:r w:rsidR="002D42E2">
        <w:t>(</w:t>
      </w:r>
      <w:r>
        <w:t xml:space="preserve">per </w:t>
      </w:r>
      <w:r w:rsidR="002D42E2">
        <w:t>paragraphs 7.9 and 7.11, cannabidiol Minutes, March 2022 PBAC Meeting), and using the base case from the previous submission.</w:t>
      </w:r>
      <w:r w:rsidR="00940B03">
        <w:t xml:space="preserve"> </w:t>
      </w:r>
      <w:r w:rsidR="00940B03" w:rsidRPr="00F12B5E">
        <w:t>As an early re-entry submission, the changes to the economic model have not been evaluated.</w:t>
      </w:r>
    </w:p>
    <w:p w14:paraId="68E06EBE" w14:textId="64C1C07B" w:rsidR="00573C95" w:rsidRPr="00481AC2" w:rsidRDefault="006946ED" w:rsidP="00225275">
      <w:pPr>
        <w:pStyle w:val="Caption"/>
        <w:keepNext/>
        <w:keepLines/>
        <w:spacing w:after="0"/>
        <w:jc w:val="left"/>
        <w:rPr>
          <w:rFonts w:ascii="Arial Narrow" w:eastAsiaTheme="majorEastAsia" w:hAnsi="Arial Narrow" w:cstheme="majorBidi"/>
          <w:b/>
          <w:bCs/>
          <w:i w:val="0"/>
          <w:iCs w:val="0"/>
          <w:color w:val="auto"/>
          <w:sz w:val="20"/>
          <w:szCs w:val="24"/>
        </w:rPr>
      </w:pPr>
      <w:bookmarkStart w:id="6" w:name="_Ref106618689"/>
      <w:r w:rsidRPr="00481AC2">
        <w:rPr>
          <w:rFonts w:ascii="Arial Narrow" w:eastAsiaTheme="majorEastAsia" w:hAnsi="Arial Narrow" w:cstheme="majorBidi"/>
          <w:b/>
          <w:bCs/>
          <w:i w:val="0"/>
          <w:iCs w:val="0"/>
          <w:color w:val="auto"/>
          <w:sz w:val="20"/>
          <w:szCs w:val="24"/>
        </w:rPr>
        <w:t xml:space="preserve">Table </w:t>
      </w:r>
      <w:r w:rsidRPr="00481AC2">
        <w:rPr>
          <w:rFonts w:ascii="Arial Narrow" w:eastAsiaTheme="majorEastAsia" w:hAnsi="Arial Narrow" w:cstheme="majorBidi"/>
          <w:b/>
          <w:bCs/>
          <w:i w:val="0"/>
          <w:iCs w:val="0"/>
          <w:color w:val="auto"/>
          <w:sz w:val="20"/>
          <w:szCs w:val="24"/>
        </w:rPr>
        <w:fldChar w:fldCharType="begin"/>
      </w:r>
      <w:r w:rsidRPr="00481AC2">
        <w:rPr>
          <w:rFonts w:ascii="Arial Narrow" w:eastAsiaTheme="majorEastAsia" w:hAnsi="Arial Narrow" w:cstheme="majorBidi"/>
          <w:b/>
          <w:bCs/>
          <w:i w:val="0"/>
          <w:iCs w:val="0"/>
          <w:color w:val="auto"/>
          <w:sz w:val="20"/>
          <w:szCs w:val="24"/>
        </w:rPr>
        <w:instrText xml:space="preserve"> SEQ Table \* ARABIC </w:instrText>
      </w:r>
      <w:r w:rsidRPr="00481AC2">
        <w:rPr>
          <w:rFonts w:ascii="Arial Narrow" w:eastAsiaTheme="majorEastAsia" w:hAnsi="Arial Narrow" w:cstheme="majorBidi"/>
          <w:b/>
          <w:bCs/>
          <w:i w:val="0"/>
          <w:iCs w:val="0"/>
          <w:color w:val="auto"/>
          <w:sz w:val="20"/>
          <w:szCs w:val="24"/>
        </w:rPr>
        <w:fldChar w:fldCharType="separate"/>
      </w:r>
      <w:r w:rsidR="004141D9">
        <w:rPr>
          <w:rFonts w:ascii="Arial Narrow" w:eastAsiaTheme="majorEastAsia" w:hAnsi="Arial Narrow" w:cstheme="majorBidi"/>
          <w:b/>
          <w:bCs/>
          <w:i w:val="0"/>
          <w:iCs w:val="0"/>
          <w:noProof/>
          <w:color w:val="auto"/>
          <w:sz w:val="20"/>
          <w:szCs w:val="24"/>
        </w:rPr>
        <w:t>2</w:t>
      </w:r>
      <w:r w:rsidRPr="00481AC2">
        <w:rPr>
          <w:rFonts w:ascii="Arial Narrow" w:eastAsiaTheme="majorEastAsia" w:hAnsi="Arial Narrow" w:cstheme="majorBidi"/>
          <w:b/>
          <w:bCs/>
          <w:i w:val="0"/>
          <w:iCs w:val="0"/>
          <w:color w:val="auto"/>
          <w:sz w:val="20"/>
          <w:szCs w:val="24"/>
        </w:rPr>
        <w:fldChar w:fldCharType="end"/>
      </w:r>
      <w:bookmarkEnd w:id="6"/>
      <w:r w:rsidR="0033438D">
        <w:rPr>
          <w:rFonts w:ascii="Arial Narrow" w:eastAsiaTheme="majorEastAsia" w:hAnsi="Arial Narrow" w:cstheme="majorBidi"/>
          <w:b/>
          <w:bCs/>
          <w:i w:val="0"/>
          <w:iCs w:val="0"/>
          <w:color w:val="auto"/>
          <w:sz w:val="20"/>
          <w:szCs w:val="24"/>
        </w:rPr>
        <w:t>:</w:t>
      </w:r>
      <w:r w:rsidR="002D42E2" w:rsidRPr="00481AC2">
        <w:rPr>
          <w:rFonts w:ascii="Arial Narrow" w:eastAsiaTheme="majorEastAsia" w:hAnsi="Arial Narrow" w:cstheme="majorBidi"/>
          <w:b/>
          <w:bCs/>
          <w:i w:val="0"/>
          <w:iCs w:val="0"/>
          <w:color w:val="auto"/>
          <w:sz w:val="20"/>
          <w:szCs w:val="24"/>
        </w:rPr>
        <w:t xml:space="preserve"> Results of economic model</w:t>
      </w:r>
    </w:p>
    <w:tbl>
      <w:tblPr>
        <w:tblStyle w:val="TableGrid"/>
        <w:tblW w:w="5000" w:type="pct"/>
        <w:tblLayout w:type="fixed"/>
        <w:tblLook w:val="0000" w:firstRow="0" w:lastRow="0" w:firstColumn="0" w:lastColumn="0" w:noHBand="0" w:noVBand="0"/>
      </w:tblPr>
      <w:tblGrid>
        <w:gridCol w:w="2973"/>
        <w:gridCol w:w="887"/>
        <w:gridCol w:w="1031"/>
        <w:gridCol w:w="1033"/>
        <w:gridCol w:w="1031"/>
        <w:gridCol w:w="1031"/>
        <w:gridCol w:w="1030"/>
      </w:tblGrid>
      <w:tr w:rsidR="00337A1D" w14:paraId="06DA2EB0" w14:textId="77777777" w:rsidTr="00481AC2">
        <w:trPr>
          <w:trHeight w:val="93"/>
        </w:trPr>
        <w:tc>
          <w:tcPr>
            <w:tcW w:w="1648" w:type="pct"/>
            <w:vMerge w:val="restart"/>
          </w:tcPr>
          <w:p w14:paraId="295ED47F" w14:textId="77777777" w:rsidR="00337A1D" w:rsidRPr="00337A1D" w:rsidRDefault="00337A1D" w:rsidP="00225275">
            <w:pPr>
              <w:pStyle w:val="Default"/>
              <w:keepNext/>
              <w:keepLines/>
              <w:rPr>
                <w:rFonts w:ascii="Arial Narrow" w:hAnsi="Arial Narrow"/>
                <w:sz w:val="20"/>
                <w:szCs w:val="20"/>
              </w:rPr>
            </w:pPr>
          </w:p>
        </w:tc>
        <w:tc>
          <w:tcPr>
            <w:tcW w:w="1637" w:type="pct"/>
            <w:gridSpan w:val="3"/>
          </w:tcPr>
          <w:p w14:paraId="6D6A17C4" w14:textId="6DDBD44A"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 xml:space="preserve">Excluding carer </w:t>
            </w:r>
            <w:proofErr w:type="spellStart"/>
            <w:r w:rsidRPr="00337A1D">
              <w:rPr>
                <w:rFonts w:ascii="Arial Narrow" w:hAnsi="Arial Narrow"/>
                <w:b/>
                <w:bCs/>
                <w:sz w:val="20"/>
                <w:szCs w:val="20"/>
              </w:rPr>
              <w:t>disutilities</w:t>
            </w:r>
            <w:proofErr w:type="spellEnd"/>
          </w:p>
        </w:tc>
        <w:tc>
          <w:tcPr>
            <w:tcW w:w="1715" w:type="pct"/>
            <w:gridSpan w:val="3"/>
          </w:tcPr>
          <w:p w14:paraId="27F54163" w14:textId="66AB8026"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 xml:space="preserve">Including carer </w:t>
            </w:r>
            <w:proofErr w:type="spellStart"/>
            <w:r w:rsidRPr="00337A1D">
              <w:rPr>
                <w:rFonts w:ascii="Arial Narrow" w:hAnsi="Arial Narrow"/>
                <w:b/>
                <w:bCs/>
                <w:sz w:val="20"/>
                <w:szCs w:val="20"/>
              </w:rPr>
              <w:t>disutilities</w:t>
            </w:r>
            <w:proofErr w:type="spellEnd"/>
          </w:p>
        </w:tc>
      </w:tr>
      <w:tr w:rsidR="00337A1D" w14:paraId="2DA9A634" w14:textId="77777777" w:rsidTr="00481AC2">
        <w:trPr>
          <w:trHeight w:val="93"/>
        </w:trPr>
        <w:tc>
          <w:tcPr>
            <w:tcW w:w="1648" w:type="pct"/>
            <w:vMerge/>
          </w:tcPr>
          <w:p w14:paraId="69775B40" w14:textId="77777777" w:rsidR="00337A1D" w:rsidRPr="00337A1D" w:rsidRDefault="00337A1D" w:rsidP="00225275">
            <w:pPr>
              <w:pStyle w:val="Default"/>
              <w:keepNext/>
              <w:keepLines/>
              <w:rPr>
                <w:rFonts w:ascii="Arial Narrow" w:hAnsi="Arial Narrow"/>
                <w:sz w:val="20"/>
                <w:szCs w:val="20"/>
              </w:rPr>
            </w:pPr>
          </w:p>
        </w:tc>
        <w:tc>
          <w:tcPr>
            <w:tcW w:w="492" w:type="pct"/>
          </w:tcPr>
          <w:p w14:paraId="22F4954C" w14:textId="44A6204A"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 xml:space="preserve">Δ </w:t>
            </w:r>
            <w:r w:rsidR="00337A1D" w:rsidRPr="00337A1D">
              <w:rPr>
                <w:rFonts w:ascii="Arial Narrow" w:hAnsi="Arial Narrow"/>
                <w:b/>
                <w:bCs/>
                <w:sz w:val="20"/>
                <w:szCs w:val="20"/>
              </w:rPr>
              <w:t>cost</w:t>
            </w:r>
          </w:p>
        </w:tc>
        <w:tc>
          <w:tcPr>
            <w:tcW w:w="572" w:type="pct"/>
          </w:tcPr>
          <w:p w14:paraId="1C103F6E" w14:textId="6B8A828A"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QALY</w:t>
            </w:r>
          </w:p>
        </w:tc>
        <w:tc>
          <w:tcPr>
            <w:tcW w:w="572" w:type="pct"/>
          </w:tcPr>
          <w:p w14:paraId="365E28FE" w14:textId="69A9956E"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c>
          <w:tcPr>
            <w:tcW w:w="572" w:type="pct"/>
          </w:tcPr>
          <w:p w14:paraId="55575D6E" w14:textId="3BBEDB26"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cost</w:t>
            </w:r>
          </w:p>
        </w:tc>
        <w:tc>
          <w:tcPr>
            <w:tcW w:w="572" w:type="pct"/>
          </w:tcPr>
          <w:p w14:paraId="13A837E7" w14:textId="23EA13C1"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QALY</w:t>
            </w:r>
          </w:p>
        </w:tc>
        <w:tc>
          <w:tcPr>
            <w:tcW w:w="572" w:type="pct"/>
          </w:tcPr>
          <w:p w14:paraId="377564D2" w14:textId="4E9D0086"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r>
      <w:tr w:rsidR="00337A1D" w14:paraId="53BF5169" w14:textId="77777777" w:rsidTr="00481AC2">
        <w:trPr>
          <w:trHeight w:val="93"/>
        </w:trPr>
        <w:tc>
          <w:tcPr>
            <w:tcW w:w="1648" w:type="pct"/>
          </w:tcPr>
          <w:p w14:paraId="33F5C990" w14:textId="451C9B42" w:rsidR="00337A1D" w:rsidRPr="00337A1D" w:rsidRDefault="002D42E2" w:rsidP="00225275">
            <w:pPr>
              <w:pStyle w:val="Default"/>
              <w:keepNext/>
              <w:keepLines/>
              <w:rPr>
                <w:rFonts w:ascii="Arial Narrow" w:hAnsi="Arial Narrow"/>
                <w:sz w:val="20"/>
                <w:szCs w:val="20"/>
              </w:rPr>
            </w:pPr>
            <w:r>
              <w:rPr>
                <w:rFonts w:ascii="Arial Narrow" w:hAnsi="Arial Narrow"/>
                <w:sz w:val="20"/>
                <w:szCs w:val="20"/>
              </w:rPr>
              <w:t>PBAC</w:t>
            </w:r>
            <w:r w:rsidRPr="00337A1D">
              <w:rPr>
                <w:rFonts w:ascii="Arial Narrow" w:hAnsi="Arial Narrow"/>
                <w:sz w:val="20"/>
                <w:szCs w:val="20"/>
              </w:rPr>
              <w:t xml:space="preserve"> </w:t>
            </w:r>
            <w:r w:rsidR="00337A1D" w:rsidRPr="00337A1D">
              <w:rPr>
                <w:rFonts w:ascii="Arial Narrow" w:hAnsi="Arial Narrow"/>
                <w:sz w:val="20"/>
                <w:szCs w:val="20"/>
              </w:rPr>
              <w:t>respecified base case</w:t>
            </w:r>
            <w:r w:rsidR="005539DB">
              <w:rPr>
                <w:rFonts w:ascii="Arial Narrow" w:hAnsi="Arial Narrow"/>
                <w:sz w:val="20"/>
                <w:szCs w:val="20"/>
              </w:rPr>
              <w:t xml:space="preserve"> – price from previous </w:t>
            </w:r>
            <w:proofErr w:type="spellStart"/>
            <w:r w:rsidR="005539DB">
              <w:rPr>
                <w:rFonts w:ascii="Arial Narrow" w:hAnsi="Arial Narrow"/>
                <w:sz w:val="20"/>
                <w:szCs w:val="20"/>
              </w:rPr>
              <w:t>submission</w:t>
            </w:r>
            <w:r>
              <w:rPr>
                <w:rFonts w:ascii="Arial Narrow" w:hAnsi="Arial Narrow"/>
                <w:sz w:val="20"/>
                <w:szCs w:val="20"/>
                <w:vertAlign w:val="superscript"/>
              </w:rPr>
              <w:t>a</w:t>
            </w:r>
            <w:proofErr w:type="spellEnd"/>
            <w:r w:rsidR="00337A1D" w:rsidRPr="00337A1D">
              <w:rPr>
                <w:rFonts w:ascii="Arial Narrow" w:hAnsi="Arial Narrow"/>
                <w:sz w:val="20"/>
                <w:szCs w:val="20"/>
              </w:rPr>
              <w:t xml:space="preserve"> </w:t>
            </w:r>
          </w:p>
        </w:tc>
        <w:tc>
          <w:tcPr>
            <w:tcW w:w="492" w:type="pct"/>
          </w:tcPr>
          <w:p w14:paraId="7742558D" w14:textId="14463CE1"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3"/>
                <w:sz w:val="20"/>
                <w:szCs w:val="20"/>
                <w:shd w:val="solid" w:color="000000" w:fill="000000"/>
                <w:fitText w:val="301" w:id="-1435749883"/>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301" w:id="-1435749883"/>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46D903EC" w14:textId="1211427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0.486</w:t>
            </w:r>
          </w:p>
        </w:tc>
        <w:tc>
          <w:tcPr>
            <w:tcW w:w="572" w:type="pct"/>
          </w:tcPr>
          <w:p w14:paraId="0E785EC3" w14:textId="3A0AB6A6"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3" w:id="-1435749882"/>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213" w:id="-1435749882"/>
                <w14:textFill>
                  <w14:solidFill>
                    <w14:srgbClr w14:val="000000">
                      <w14:alpha w14:val="100000"/>
                    </w14:srgbClr>
                  </w14:solidFill>
                </w14:textFill>
              </w:rPr>
              <w:t>|</w:t>
            </w:r>
            <w:r w:rsidR="00C417D0">
              <w:rPr>
                <w:rFonts w:ascii="Arial Narrow" w:hAnsi="Arial Narrow"/>
                <w:sz w:val="20"/>
                <w:szCs w:val="20"/>
                <w:vertAlign w:val="superscript"/>
              </w:rPr>
              <w:t>3</w:t>
            </w:r>
          </w:p>
        </w:tc>
        <w:tc>
          <w:tcPr>
            <w:tcW w:w="572" w:type="pct"/>
          </w:tcPr>
          <w:p w14:paraId="3AD81324" w14:textId="0A5258AD"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81"/>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81"/>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0E631DAE" w14:textId="4048E750"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0.661</w:t>
            </w:r>
          </w:p>
        </w:tc>
        <w:tc>
          <w:tcPr>
            <w:tcW w:w="572" w:type="pct"/>
          </w:tcPr>
          <w:p w14:paraId="0B764846" w14:textId="59263EFE"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80"/>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80"/>
                <w14:textFill>
                  <w14:solidFill>
                    <w14:srgbClr w14:val="000000">
                      <w14:alpha w14:val="100000"/>
                    </w14:srgbClr>
                  </w14:solidFill>
                </w14:textFill>
              </w:rPr>
              <w:t>|</w:t>
            </w:r>
            <w:r w:rsidR="00C417D0">
              <w:rPr>
                <w:rFonts w:ascii="Arial Narrow" w:hAnsi="Arial Narrow"/>
                <w:sz w:val="20"/>
                <w:szCs w:val="20"/>
                <w:vertAlign w:val="superscript"/>
              </w:rPr>
              <w:t>4</w:t>
            </w:r>
          </w:p>
        </w:tc>
      </w:tr>
      <w:tr w:rsidR="00337A1D" w14:paraId="5129ED74" w14:textId="77777777" w:rsidTr="00481AC2">
        <w:trPr>
          <w:trHeight w:val="225"/>
        </w:trPr>
        <w:tc>
          <w:tcPr>
            <w:tcW w:w="1648" w:type="pct"/>
          </w:tcPr>
          <w:p w14:paraId="6DA31AE2" w14:textId="757D1175" w:rsidR="00337A1D" w:rsidRPr="00337A1D" w:rsidRDefault="002D42E2" w:rsidP="00225275">
            <w:pPr>
              <w:pStyle w:val="Default"/>
              <w:keepNext/>
              <w:keepLines/>
              <w:rPr>
                <w:rFonts w:ascii="Arial Narrow" w:hAnsi="Arial Narrow"/>
                <w:sz w:val="20"/>
                <w:szCs w:val="20"/>
              </w:rPr>
            </w:pPr>
            <w:r>
              <w:rPr>
                <w:rFonts w:ascii="Arial Narrow" w:hAnsi="Arial Narrow"/>
                <w:sz w:val="20"/>
                <w:szCs w:val="20"/>
              </w:rPr>
              <w:t>PBAC</w:t>
            </w:r>
            <w:r w:rsidRPr="00337A1D">
              <w:rPr>
                <w:rFonts w:ascii="Arial Narrow" w:hAnsi="Arial Narrow"/>
                <w:sz w:val="20"/>
                <w:szCs w:val="20"/>
              </w:rPr>
              <w:t xml:space="preserve"> </w:t>
            </w:r>
            <w:r w:rsidR="00337A1D" w:rsidRPr="00337A1D">
              <w:rPr>
                <w:rFonts w:ascii="Arial Narrow" w:hAnsi="Arial Narrow"/>
                <w:sz w:val="20"/>
                <w:szCs w:val="20"/>
              </w:rPr>
              <w:t xml:space="preserve">respecified base </w:t>
            </w:r>
            <w:proofErr w:type="spellStart"/>
            <w:r w:rsidR="00337A1D" w:rsidRPr="00337A1D">
              <w:rPr>
                <w:rFonts w:ascii="Arial Narrow" w:hAnsi="Arial Narrow"/>
                <w:sz w:val="20"/>
                <w:szCs w:val="20"/>
              </w:rPr>
              <w:t>case</w:t>
            </w:r>
            <w:r>
              <w:rPr>
                <w:rFonts w:ascii="Arial Narrow" w:hAnsi="Arial Narrow"/>
                <w:sz w:val="20"/>
                <w:szCs w:val="20"/>
                <w:vertAlign w:val="superscript"/>
              </w:rPr>
              <w:t>a</w:t>
            </w:r>
            <w:proofErr w:type="spellEnd"/>
            <w:r w:rsidR="00337A1D" w:rsidRPr="00337A1D">
              <w:rPr>
                <w:rFonts w:ascii="Arial Narrow" w:hAnsi="Arial Narrow"/>
                <w:sz w:val="20"/>
                <w:szCs w:val="20"/>
              </w:rPr>
              <w:t xml:space="preserve"> applying </w:t>
            </w:r>
            <w:r w:rsidR="005539DB">
              <w:rPr>
                <w:rFonts w:ascii="Arial Narrow" w:hAnsi="Arial Narrow"/>
                <w:sz w:val="20"/>
                <w:szCs w:val="20"/>
              </w:rPr>
              <w:t xml:space="preserve">resubmission’s lower </w:t>
            </w:r>
            <w:r w:rsidR="00337A1D" w:rsidRPr="00337A1D">
              <w:rPr>
                <w:rFonts w:ascii="Arial Narrow" w:hAnsi="Arial Narrow"/>
                <w:sz w:val="20"/>
                <w:szCs w:val="20"/>
              </w:rPr>
              <w:t xml:space="preserve">price </w:t>
            </w:r>
          </w:p>
        </w:tc>
        <w:tc>
          <w:tcPr>
            <w:tcW w:w="492" w:type="pct"/>
          </w:tcPr>
          <w:p w14:paraId="254B45F7" w14:textId="5A15A926"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3"/>
                <w:sz w:val="20"/>
                <w:szCs w:val="20"/>
                <w:shd w:val="solid" w:color="000000" w:fill="000000"/>
                <w:fitText w:val="301" w:id="-1435749879"/>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301" w:id="-1435749879"/>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53C7E3EE" w14:textId="288C1F9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0.486</w:t>
            </w:r>
          </w:p>
        </w:tc>
        <w:tc>
          <w:tcPr>
            <w:tcW w:w="572" w:type="pct"/>
          </w:tcPr>
          <w:p w14:paraId="367FFB13" w14:textId="5A5A17CB" w:rsidR="00337A1D" w:rsidRPr="00A8430B" w:rsidRDefault="00337A1D" w:rsidP="00225275">
            <w:pPr>
              <w:pStyle w:val="Default"/>
              <w:keepNext/>
              <w:keepLines/>
              <w:jc w:val="center"/>
              <w:rPr>
                <w:rFonts w:ascii="Arial Narrow" w:hAnsi="Arial Narrow"/>
                <w:sz w:val="20"/>
                <w:szCs w:val="20"/>
              </w:rPr>
            </w:pPr>
            <w:r w:rsidRPr="00A8430B">
              <w:rPr>
                <w:rFonts w:ascii="Arial Narrow" w:hAnsi="Arial Narrow"/>
                <w:sz w:val="20"/>
                <w:szCs w:val="20"/>
              </w:rPr>
              <w:t>$</w:t>
            </w:r>
            <w:r w:rsidR="00981284" w:rsidRPr="00981284">
              <w:rPr>
                <w:rFonts w:ascii="Arial Narrow" w:hAnsi="Arial Narrow"/>
                <w:spacing w:val="42"/>
                <w:sz w:val="20"/>
                <w:szCs w:val="20"/>
                <w:shd w:val="solid" w:color="000000" w:fill="000000"/>
                <w:fitText w:val="213" w:id="-1435749878"/>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213" w:id="-1435749878"/>
                <w14:textFill>
                  <w14:solidFill>
                    <w14:srgbClr w14:val="000000">
                      <w14:alpha w14:val="100000"/>
                    </w14:srgbClr>
                  </w14:solidFill>
                </w14:textFill>
              </w:rPr>
              <w:t>|</w:t>
            </w:r>
            <w:r w:rsidR="00C417D0">
              <w:rPr>
                <w:rFonts w:ascii="Arial Narrow" w:hAnsi="Arial Narrow"/>
                <w:sz w:val="20"/>
                <w:szCs w:val="20"/>
                <w:vertAlign w:val="superscript"/>
              </w:rPr>
              <w:t>3</w:t>
            </w:r>
          </w:p>
        </w:tc>
        <w:tc>
          <w:tcPr>
            <w:tcW w:w="572" w:type="pct"/>
          </w:tcPr>
          <w:p w14:paraId="66CFEB08" w14:textId="0834871E"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77"/>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77"/>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517877A8" w14:textId="6048D96B"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0.661</w:t>
            </w:r>
          </w:p>
        </w:tc>
        <w:tc>
          <w:tcPr>
            <w:tcW w:w="572" w:type="pct"/>
          </w:tcPr>
          <w:p w14:paraId="15935B80" w14:textId="34FC6D8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76"/>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76"/>
                <w14:textFill>
                  <w14:solidFill>
                    <w14:srgbClr w14:val="000000">
                      <w14:alpha w14:val="100000"/>
                    </w14:srgbClr>
                  </w14:solidFill>
                </w14:textFill>
              </w:rPr>
              <w:t>|</w:t>
            </w:r>
            <w:r w:rsidR="00C417D0">
              <w:rPr>
                <w:rFonts w:ascii="Arial Narrow" w:hAnsi="Arial Narrow"/>
                <w:sz w:val="20"/>
                <w:szCs w:val="20"/>
                <w:vertAlign w:val="superscript"/>
              </w:rPr>
              <w:t>4</w:t>
            </w:r>
          </w:p>
        </w:tc>
      </w:tr>
      <w:tr w:rsidR="00337A1D" w14:paraId="0A80895B" w14:textId="77777777" w:rsidTr="00481AC2">
        <w:trPr>
          <w:trHeight w:val="224"/>
        </w:trPr>
        <w:tc>
          <w:tcPr>
            <w:tcW w:w="1648" w:type="pct"/>
          </w:tcPr>
          <w:p w14:paraId="309ADE8D" w14:textId="5A13B794" w:rsidR="00337A1D" w:rsidRPr="00337A1D" w:rsidRDefault="00063D31" w:rsidP="00225275">
            <w:pPr>
              <w:pStyle w:val="Default"/>
              <w:keepNext/>
              <w:keepLines/>
              <w:rPr>
                <w:rFonts w:ascii="Arial Narrow" w:hAnsi="Arial Narrow"/>
                <w:sz w:val="20"/>
                <w:szCs w:val="20"/>
              </w:rPr>
            </w:pPr>
            <w:r>
              <w:rPr>
                <w:rFonts w:ascii="Arial Narrow" w:hAnsi="Arial Narrow"/>
                <w:sz w:val="20"/>
                <w:szCs w:val="20"/>
              </w:rPr>
              <w:t>B</w:t>
            </w:r>
            <w:r w:rsidR="00337A1D" w:rsidRPr="00337A1D">
              <w:rPr>
                <w:rFonts w:ascii="Arial Narrow" w:hAnsi="Arial Narrow"/>
                <w:sz w:val="20"/>
                <w:szCs w:val="20"/>
              </w:rPr>
              <w:t xml:space="preserve">ase case </w:t>
            </w:r>
            <w:r>
              <w:rPr>
                <w:rFonts w:ascii="Arial Narrow" w:hAnsi="Arial Narrow"/>
                <w:sz w:val="20"/>
                <w:szCs w:val="20"/>
              </w:rPr>
              <w:t>from</w:t>
            </w:r>
            <w:r w:rsidR="00A00F17">
              <w:rPr>
                <w:rFonts w:ascii="Arial Narrow" w:hAnsi="Arial Narrow"/>
                <w:sz w:val="20"/>
                <w:szCs w:val="20"/>
              </w:rPr>
              <w:t xml:space="preserve"> </w:t>
            </w:r>
            <w:r w:rsidR="002D42E2">
              <w:rPr>
                <w:rFonts w:ascii="Arial Narrow" w:hAnsi="Arial Narrow"/>
                <w:sz w:val="20"/>
                <w:szCs w:val="20"/>
              </w:rPr>
              <w:t xml:space="preserve">previous submission </w:t>
            </w:r>
            <w:r w:rsidR="00337A1D" w:rsidRPr="00337A1D">
              <w:rPr>
                <w:rFonts w:ascii="Arial Narrow" w:hAnsi="Arial Narrow"/>
                <w:sz w:val="20"/>
                <w:szCs w:val="20"/>
              </w:rPr>
              <w:t xml:space="preserve">applying </w:t>
            </w:r>
            <w:r w:rsidR="005539DB">
              <w:rPr>
                <w:rFonts w:ascii="Arial Narrow" w:hAnsi="Arial Narrow"/>
                <w:sz w:val="20"/>
                <w:szCs w:val="20"/>
              </w:rPr>
              <w:t xml:space="preserve">resubmission’s lower </w:t>
            </w:r>
            <w:proofErr w:type="spellStart"/>
            <w:r w:rsidR="005539DB" w:rsidRPr="00337A1D">
              <w:rPr>
                <w:rFonts w:ascii="Arial Narrow" w:hAnsi="Arial Narrow"/>
                <w:sz w:val="20"/>
                <w:szCs w:val="20"/>
              </w:rPr>
              <w:t>price</w:t>
            </w:r>
            <w:r w:rsidR="00725BA3">
              <w:rPr>
                <w:rFonts w:ascii="Arial Narrow" w:hAnsi="Arial Narrow"/>
                <w:sz w:val="20"/>
                <w:szCs w:val="20"/>
                <w:vertAlign w:val="superscript"/>
              </w:rPr>
              <w:t>b</w:t>
            </w:r>
            <w:proofErr w:type="spellEnd"/>
          </w:p>
        </w:tc>
        <w:tc>
          <w:tcPr>
            <w:tcW w:w="492" w:type="pct"/>
          </w:tcPr>
          <w:p w14:paraId="40588530" w14:textId="6BE2EFCA"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3"/>
                <w:sz w:val="20"/>
                <w:szCs w:val="20"/>
                <w:shd w:val="solid" w:color="000000" w:fill="000000"/>
                <w:fitText w:val="301" w:id="-1435749875"/>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301" w:id="-1435749875"/>
                <w14:textFill>
                  <w14:solidFill>
                    <w14:srgbClr w14:val="000000">
                      <w14:alpha w14:val="100000"/>
                    </w14:srgbClr>
                  </w14:solidFill>
                </w14:textFill>
              </w:rPr>
              <w:t>|</w:t>
            </w:r>
            <w:r w:rsidR="00C417D0">
              <w:rPr>
                <w:rFonts w:ascii="Arial Narrow" w:hAnsi="Arial Narrow"/>
                <w:sz w:val="20"/>
                <w:szCs w:val="20"/>
                <w:vertAlign w:val="superscript"/>
              </w:rPr>
              <w:t>2</w:t>
            </w:r>
          </w:p>
        </w:tc>
        <w:tc>
          <w:tcPr>
            <w:tcW w:w="572" w:type="pct"/>
          </w:tcPr>
          <w:p w14:paraId="1EFA6499" w14:textId="1ED1BC7D"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0.476</w:t>
            </w:r>
          </w:p>
        </w:tc>
        <w:tc>
          <w:tcPr>
            <w:tcW w:w="572" w:type="pct"/>
          </w:tcPr>
          <w:p w14:paraId="06F1F31D" w14:textId="0F11B46B"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3" w:id="-1435749874"/>
                <w14:textFill>
                  <w14:solidFill>
                    <w14:srgbClr w14:val="000000">
                      <w14:alpha w14:val="100000"/>
                    </w14:srgbClr>
                  </w14:solidFill>
                </w14:textFill>
              </w:rPr>
              <w:t>||</w:t>
            </w:r>
            <w:r w:rsidR="00981284" w:rsidRPr="00981284">
              <w:rPr>
                <w:rFonts w:ascii="Arial Narrow" w:hAnsi="Arial Narrow"/>
                <w:spacing w:val="2"/>
                <w:sz w:val="20"/>
                <w:szCs w:val="20"/>
                <w:shd w:val="solid" w:color="000000" w:fill="000000"/>
                <w:fitText w:val="213" w:id="-1435749874"/>
                <w14:textFill>
                  <w14:solidFill>
                    <w14:srgbClr w14:val="000000">
                      <w14:alpha w14:val="100000"/>
                    </w14:srgbClr>
                  </w14:solidFill>
                </w14:textFill>
              </w:rPr>
              <w:t>|</w:t>
            </w:r>
            <w:r w:rsidR="00C417D0">
              <w:rPr>
                <w:rFonts w:ascii="Arial Narrow" w:hAnsi="Arial Narrow"/>
                <w:sz w:val="20"/>
                <w:szCs w:val="20"/>
                <w:vertAlign w:val="superscript"/>
              </w:rPr>
              <w:t>4</w:t>
            </w:r>
          </w:p>
        </w:tc>
        <w:tc>
          <w:tcPr>
            <w:tcW w:w="572" w:type="pct"/>
          </w:tcPr>
          <w:p w14:paraId="0B08557D" w14:textId="4974BDE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73"/>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73"/>
                <w14:textFill>
                  <w14:solidFill>
                    <w14:srgbClr w14:val="000000">
                      <w14:alpha w14:val="100000"/>
                    </w14:srgbClr>
                  </w14:solidFill>
                </w14:textFill>
              </w:rPr>
              <w:t>|</w:t>
            </w:r>
            <w:r w:rsidR="00C417D0">
              <w:rPr>
                <w:rFonts w:ascii="Arial Narrow" w:hAnsi="Arial Narrow"/>
                <w:sz w:val="20"/>
                <w:szCs w:val="20"/>
                <w:vertAlign w:val="superscript"/>
              </w:rPr>
              <w:t>2</w:t>
            </w:r>
          </w:p>
        </w:tc>
        <w:tc>
          <w:tcPr>
            <w:tcW w:w="572" w:type="pct"/>
          </w:tcPr>
          <w:p w14:paraId="59C4477E" w14:textId="265F1595"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0.648</w:t>
            </w:r>
          </w:p>
        </w:tc>
        <w:tc>
          <w:tcPr>
            <w:tcW w:w="572" w:type="pct"/>
          </w:tcPr>
          <w:p w14:paraId="59F7979F" w14:textId="4C1F8291"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981284">
              <w:rPr>
                <w:rFonts w:ascii="Arial Narrow" w:hAnsi="Arial Narrow"/>
                <w:spacing w:val="42"/>
                <w:sz w:val="20"/>
                <w:szCs w:val="20"/>
                <w:shd w:val="solid" w:color="000000" w:fill="000000"/>
                <w:fitText w:val="212" w:id="-1435749872"/>
                <w14:textFill>
                  <w14:solidFill>
                    <w14:srgbClr w14:val="000000">
                      <w14:alpha w14:val="100000"/>
                    </w14:srgbClr>
                  </w14:solidFill>
                </w14:textFill>
              </w:rPr>
              <w:t>||</w:t>
            </w:r>
            <w:r w:rsidR="00981284" w:rsidRPr="00981284">
              <w:rPr>
                <w:rFonts w:ascii="Arial Narrow" w:hAnsi="Arial Narrow"/>
                <w:spacing w:val="1"/>
                <w:sz w:val="20"/>
                <w:szCs w:val="20"/>
                <w:shd w:val="solid" w:color="000000" w:fill="000000"/>
                <w:fitText w:val="212" w:id="-1435749872"/>
                <w14:textFill>
                  <w14:solidFill>
                    <w14:srgbClr w14:val="000000">
                      <w14:alpha w14:val="100000"/>
                    </w14:srgbClr>
                  </w14:solidFill>
                </w14:textFill>
              </w:rPr>
              <w:t>|</w:t>
            </w:r>
            <w:r w:rsidR="00C417D0">
              <w:rPr>
                <w:rFonts w:ascii="Arial Narrow" w:hAnsi="Arial Narrow"/>
                <w:sz w:val="20"/>
                <w:szCs w:val="20"/>
                <w:vertAlign w:val="superscript"/>
              </w:rPr>
              <w:t>5</w:t>
            </w:r>
          </w:p>
        </w:tc>
      </w:tr>
    </w:tbl>
    <w:p w14:paraId="6989466B" w14:textId="5B24637C" w:rsidR="00912E14" w:rsidRDefault="00912E14" w:rsidP="00225275">
      <w:pPr>
        <w:pStyle w:val="TableFigureFooter"/>
        <w:keepNext/>
        <w:keepLines/>
      </w:pPr>
      <w:r>
        <w:t xml:space="preserve">ICER incremental cost effectiveness ratio; PBAC </w:t>
      </w:r>
      <w:r w:rsidR="00567A09">
        <w:t>Pharmaceutical</w:t>
      </w:r>
      <w:r>
        <w:t xml:space="preserve"> Benefits Advisory Committee; QALY quality adjusted life year</w:t>
      </w:r>
    </w:p>
    <w:p w14:paraId="45E411D7" w14:textId="6C2F3175" w:rsidR="002D42E2" w:rsidRPr="00481AC2" w:rsidRDefault="002D42E2" w:rsidP="00225275">
      <w:pPr>
        <w:pStyle w:val="TableFigureFooter"/>
        <w:keepNext/>
        <w:keepLines/>
      </w:pPr>
      <w:r>
        <w:t xml:space="preserve">Source: Table 2 of the resubmission </w:t>
      </w:r>
    </w:p>
    <w:p w14:paraId="37A92721" w14:textId="1192A16C" w:rsidR="00725BA3" w:rsidRDefault="002D42E2" w:rsidP="00C417D0">
      <w:pPr>
        <w:pStyle w:val="TableFigureFooter"/>
        <w:keepNext/>
        <w:keepLines/>
        <w:spacing w:after="0"/>
      </w:pPr>
      <w:proofErr w:type="spellStart"/>
      <w:proofErr w:type="gramStart"/>
      <w:r>
        <w:rPr>
          <w:vertAlign w:val="superscript"/>
        </w:rPr>
        <w:t>a</w:t>
      </w:r>
      <w:proofErr w:type="spellEnd"/>
      <w:proofErr w:type="gramEnd"/>
      <w:r w:rsidR="00337A1D">
        <w:t xml:space="preserve"> </w:t>
      </w:r>
      <w:r w:rsidR="00725BA3">
        <w:t>A</w:t>
      </w:r>
      <w:r w:rsidR="00337A1D">
        <w:t xml:space="preserve">pplied transition probabilities from the 10 mg/kg/day and 20 mg/kg/day arms of the GWPCARE trials and assumed an average dose of 17 mg/kg/day dose of </w:t>
      </w:r>
      <w:r>
        <w:t xml:space="preserve">cannabidiol </w:t>
      </w:r>
      <w:r w:rsidR="00337A1D">
        <w:t>(based on an assumption that 70% of patients would be treated with 20 mg/kg/day and the remainder treated with 10 mg/kg/day)</w:t>
      </w:r>
      <w:r w:rsidR="00C417D0">
        <w:t xml:space="preserve"> </w:t>
      </w:r>
      <w:r w:rsidR="00725BA3">
        <w:rPr>
          <w:vertAlign w:val="superscript"/>
        </w:rPr>
        <w:t>b</w:t>
      </w:r>
      <w:r w:rsidR="00725BA3">
        <w:t xml:space="preserve"> T</w:t>
      </w:r>
      <w:r w:rsidR="00725BA3" w:rsidRPr="00725BA3">
        <w:t>ransition probabilities based on a 20 mg/kg/day dose but application of costing based on 15 mg/kg/day</w:t>
      </w:r>
      <w:r w:rsidR="00725BA3">
        <w:t>.</w:t>
      </w:r>
    </w:p>
    <w:p w14:paraId="426E7A0C" w14:textId="77777777" w:rsidR="00C417D0" w:rsidRDefault="00C417D0" w:rsidP="00C417D0">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234CF56E" w14:textId="084F7657" w:rsidR="00C417D0" w:rsidRDefault="00C417D0" w:rsidP="00C417D0">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C417D0">
        <w:rPr>
          <w:rFonts w:ascii="Arial Narrow" w:hAnsi="Arial Narrow" w:cs="Arial"/>
          <w:i/>
          <w:sz w:val="18"/>
          <w:szCs w:val="18"/>
        </w:rPr>
        <w:t>$35,000 to &lt; $45,000</w:t>
      </w:r>
    </w:p>
    <w:p w14:paraId="5A7032FC" w14:textId="1F956A74" w:rsidR="00C417D0" w:rsidRDefault="00C417D0" w:rsidP="00C417D0">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C417D0">
        <w:rPr>
          <w:rFonts w:ascii="Arial Narrow" w:hAnsi="Arial Narrow" w:cs="Arial"/>
          <w:i/>
          <w:sz w:val="18"/>
          <w:szCs w:val="18"/>
        </w:rPr>
        <w:t>$25,000 to &lt; $35,000</w:t>
      </w:r>
    </w:p>
    <w:p w14:paraId="1D60C5F7" w14:textId="67C9C004" w:rsidR="00C417D0" w:rsidRDefault="00C417D0" w:rsidP="00C417D0">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C417D0">
        <w:rPr>
          <w:rFonts w:ascii="Arial Narrow" w:hAnsi="Arial Narrow" w:cs="Arial"/>
          <w:i/>
          <w:sz w:val="18"/>
          <w:szCs w:val="18"/>
        </w:rPr>
        <w:t>$75,000 to &lt; $95,000</w:t>
      </w:r>
    </w:p>
    <w:p w14:paraId="24975519" w14:textId="12D23D74" w:rsidR="00C417D0" w:rsidRDefault="00C417D0" w:rsidP="00C417D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C417D0">
        <w:rPr>
          <w:rFonts w:ascii="Arial Narrow" w:hAnsi="Arial Narrow" w:cs="Arial"/>
          <w:i/>
          <w:sz w:val="18"/>
          <w:szCs w:val="18"/>
        </w:rPr>
        <w:t>$55,000 to &lt; $75,000</w:t>
      </w:r>
    </w:p>
    <w:p w14:paraId="5CA854AE" w14:textId="29317CD6" w:rsidR="00C417D0" w:rsidRDefault="00C417D0" w:rsidP="00C417D0">
      <w:pPr>
        <w:spacing w:after="120"/>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C417D0">
        <w:rPr>
          <w:rFonts w:ascii="Arial Narrow" w:hAnsi="Arial Narrow" w:cs="Arial"/>
          <w:i/>
          <w:sz w:val="18"/>
          <w:szCs w:val="18"/>
        </w:rPr>
        <w:t>$45,000 to &lt; $55,000</w:t>
      </w:r>
    </w:p>
    <w:p w14:paraId="23826D02" w14:textId="67885E2E" w:rsidR="006946ED" w:rsidRPr="00F12B5E" w:rsidRDefault="00063D31" w:rsidP="006946ED">
      <w:pPr>
        <w:pStyle w:val="3-BodyText"/>
      </w:pPr>
      <w:bookmarkStart w:id="7" w:name="_Toc22897646"/>
      <w:bookmarkStart w:id="8" w:name="_Toc22898858"/>
      <w:bookmarkStart w:id="9" w:name="_Toc93307258"/>
      <w:bookmarkStart w:id="10" w:name="_Toc22897647"/>
      <w:bookmarkStart w:id="11" w:name="_Toc92732983"/>
      <w:r>
        <w:lastRenderedPageBreak/>
        <w:t xml:space="preserve">The ICER was </w:t>
      </w:r>
      <w:r w:rsidR="00C417D0" w:rsidRPr="00BB5875">
        <w:t>$75,000 to &lt; $95,000</w:t>
      </w:r>
      <w:r w:rsidR="00C417D0">
        <w:t xml:space="preserve"> </w:t>
      </w:r>
      <w:r>
        <w:t>per QALY u</w:t>
      </w:r>
      <w:r w:rsidR="002D42E2">
        <w:t xml:space="preserve">sing the parameters specified by the PBAC </w:t>
      </w:r>
      <w:r>
        <w:t xml:space="preserve">in March 2022 </w:t>
      </w:r>
      <w:r w:rsidR="003550EA">
        <w:t xml:space="preserve">(i.e. </w:t>
      </w:r>
      <w:r w:rsidR="003550EA" w:rsidRPr="003550EA">
        <w:t>transition probabilities from the 10 mg/kg/day and 20 mg/kg/day treatment arms and a dose of 17 mg/kg/ day</w:t>
      </w:r>
      <w:r w:rsidR="003550EA">
        <w:t>)</w:t>
      </w:r>
      <w:r w:rsidR="003550EA" w:rsidRPr="003550EA">
        <w:t xml:space="preserve"> </w:t>
      </w:r>
      <w:r>
        <w:t xml:space="preserve">and the resubmission’s proposed 13% reduction to the </w:t>
      </w:r>
      <w:r w:rsidR="005539DB">
        <w:t>effective ex-manufacturer price (</w:t>
      </w:r>
      <w:r>
        <w:t>EMP</w:t>
      </w:r>
      <w:r w:rsidR="005539DB">
        <w:t>)</w:t>
      </w:r>
      <w:r w:rsidR="002D42E2">
        <w:t>.</w:t>
      </w:r>
      <w:r w:rsidR="005C74A7">
        <w:t xml:space="preserve"> </w:t>
      </w:r>
      <w:r w:rsidR="005C74A7" w:rsidRPr="00F12B5E">
        <w:t xml:space="preserve">The PBAC had previously considered that an ICER less than </w:t>
      </w:r>
      <w:r w:rsidR="00C417D0" w:rsidRPr="00BB5875">
        <w:t>$45,000 to &lt; $55,000</w:t>
      </w:r>
      <w:r w:rsidR="00C417D0">
        <w:t xml:space="preserve"> </w:t>
      </w:r>
      <w:r w:rsidR="005C74A7" w:rsidRPr="00F12B5E">
        <w:t xml:space="preserve">per QALY (excluding carer utilities) would be acceptable (paragraph 7.11, cannabidiol Minutes, March 2022 PBAC Meeting). </w:t>
      </w:r>
      <w:r w:rsidR="006946ED" w:rsidRPr="00F12B5E">
        <w:t xml:space="preserve"> </w:t>
      </w:r>
    </w:p>
    <w:p w14:paraId="50BBD103" w14:textId="11B904AD" w:rsidR="00567A09" w:rsidRDefault="006946ED" w:rsidP="00EC6E5D">
      <w:pPr>
        <w:pStyle w:val="3-BodyText"/>
      </w:pPr>
      <w:r>
        <w:t xml:space="preserve">The resubmission acknowledged that the proposed price did not align with the PBAC’s advice </w:t>
      </w:r>
      <w:r w:rsidR="00063D31">
        <w:t>from</w:t>
      </w:r>
      <w:r>
        <w:t xml:space="preserve"> March 2022</w:t>
      </w:r>
      <w:r w:rsidRPr="006946ED">
        <w:t xml:space="preserve"> </w:t>
      </w:r>
      <w:r w:rsidR="00063D31">
        <w:t>but</w:t>
      </w:r>
      <w:r>
        <w:t xml:space="preserve"> stated that the price proposed </w:t>
      </w:r>
      <w:r w:rsidR="00063D31">
        <w:t>in the resubmission is</w:t>
      </w:r>
      <w:r>
        <w:t xml:space="preserve"> the lowest price viable for this indication f</w:t>
      </w:r>
      <w:r w:rsidR="00A8430B">
        <w:t xml:space="preserve">rom </w:t>
      </w:r>
      <w:r>
        <w:t>a commercial perspective.</w:t>
      </w:r>
      <w:r w:rsidR="00567A09">
        <w:t xml:space="preserve"> The resubmission stated that s</w:t>
      </w:r>
      <w:r w:rsidR="00567A09" w:rsidRPr="00567A09">
        <w:t xml:space="preserve">hould the price not be acceptable, </w:t>
      </w:r>
      <w:r w:rsidR="00567A09">
        <w:t xml:space="preserve">the sponsor </w:t>
      </w:r>
      <w:r w:rsidR="00567A09" w:rsidRPr="00567A09">
        <w:t>will not be able to submit any further resubmissions for</w:t>
      </w:r>
      <w:r w:rsidR="00567A09">
        <w:t xml:space="preserve"> cannabidiol</w:t>
      </w:r>
      <w:r w:rsidR="00567A09" w:rsidRPr="00567A09">
        <w:t xml:space="preserve"> for the LGS indication, nor for other indications for which evidence is available or being developed (e.g., </w:t>
      </w:r>
      <w:r w:rsidR="00A7081C">
        <w:t>t</w:t>
      </w:r>
      <w:r w:rsidR="00567A09" w:rsidRPr="00567A09">
        <w:t xml:space="preserve">uberous </w:t>
      </w:r>
      <w:r w:rsidR="00A7081C">
        <w:t>s</w:t>
      </w:r>
      <w:r w:rsidR="00567A09" w:rsidRPr="00567A09">
        <w:t xml:space="preserve">clerosis </w:t>
      </w:r>
      <w:r w:rsidR="00A7081C">
        <w:t>c</w:t>
      </w:r>
      <w:r w:rsidR="00567A09" w:rsidRPr="00567A09">
        <w:t>omplex) for the foreseeable future.</w:t>
      </w:r>
    </w:p>
    <w:p w14:paraId="1A5C7DF3" w14:textId="7592006C" w:rsidR="003550EA" w:rsidRPr="00481AC2" w:rsidRDefault="00567A09" w:rsidP="00C417D0">
      <w:pPr>
        <w:pStyle w:val="3-BodyText"/>
      </w:pPr>
      <w:r>
        <w:t>T</w:t>
      </w:r>
      <w:r w:rsidR="00D87935" w:rsidRPr="003550EA">
        <w:t xml:space="preserve">he resubmission </w:t>
      </w:r>
      <w:r w:rsidR="00725BA3" w:rsidRPr="003550EA">
        <w:t xml:space="preserve">reiterated its previous </w:t>
      </w:r>
      <w:r w:rsidR="00E16F53" w:rsidRPr="003550EA">
        <w:t>arguments</w:t>
      </w:r>
      <w:r w:rsidR="00725BA3" w:rsidRPr="003550EA">
        <w:t xml:space="preserve"> </w:t>
      </w:r>
      <w:r w:rsidR="003550EA" w:rsidRPr="00481AC2">
        <w:t>(</w:t>
      </w:r>
      <w:r w:rsidR="005539DB">
        <w:t>consistent with</w:t>
      </w:r>
      <w:r w:rsidR="003550EA">
        <w:t xml:space="preserve"> </w:t>
      </w:r>
      <w:r w:rsidR="003550EA" w:rsidRPr="00481AC2">
        <w:t>paragraph 6.27, cannabidiol Minutes, March 2022 PBAC Meeting)</w:t>
      </w:r>
      <w:r w:rsidR="00725BA3" w:rsidRPr="003550EA">
        <w:t xml:space="preserve"> </w:t>
      </w:r>
      <w:r w:rsidR="00D87935" w:rsidRPr="003550EA">
        <w:t xml:space="preserve">that </w:t>
      </w:r>
      <w:r w:rsidR="005539DB">
        <w:t>it would not be appropriate to use</w:t>
      </w:r>
      <w:r w:rsidR="00E16F53" w:rsidRPr="003550EA">
        <w:t xml:space="preserve"> </w:t>
      </w:r>
      <w:r w:rsidR="00D87935" w:rsidRPr="003550EA">
        <w:t xml:space="preserve">transition probabilities </w:t>
      </w:r>
      <w:r w:rsidR="003550EA" w:rsidRPr="00481AC2">
        <w:t>from the</w:t>
      </w:r>
      <w:r w:rsidR="00D87935" w:rsidRPr="003550EA">
        <w:t xml:space="preserve"> 10</w:t>
      </w:r>
      <w:r w:rsidR="003550EA">
        <w:t> </w:t>
      </w:r>
      <w:r w:rsidR="00D87935" w:rsidRPr="003550EA">
        <w:t xml:space="preserve">mg/kg/day </w:t>
      </w:r>
      <w:r w:rsidR="003550EA" w:rsidRPr="00481AC2">
        <w:t>treatment arm</w:t>
      </w:r>
      <w:r w:rsidR="00D87935" w:rsidRPr="003550EA">
        <w:t xml:space="preserve"> </w:t>
      </w:r>
      <w:r w:rsidR="003550EA" w:rsidRPr="00481AC2">
        <w:t xml:space="preserve">(which are based on fixed dose regimens from the GWPCARE trials) </w:t>
      </w:r>
      <w:r w:rsidR="005539DB">
        <w:t xml:space="preserve">as it </w:t>
      </w:r>
      <w:r w:rsidR="00D87935" w:rsidRPr="003550EA">
        <w:t xml:space="preserve">will underestimate the benefit of </w:t>
      </w:r>
      <w:r w:rsidR="003550EA" w:rsidRPr="00481AC2">
        <w:t>the proposed PBS</w:t>
      </w:r>
      <w:r w:rsidR="00D87935" w:rsidRPr="003550EA">
        <w:t xml:space="preserve"> dosing regimen </w:t>
      </w:r>
      <w:r w:rsidR="003550EA" w:rsidRPr="00481AC2">
        <w:t>which</w:t>
      </w:r>
      <w:r w:rsidR="00D87935" w:rsidRPr="003550EA">
        <w:t xml:space="preserve"> permits</w:t>
      </w:r>
      <w:r w:rsidR="003550EA" w:rsidRPr="00481AC2">
        <w:t xml:space="preserve"> dose</w:t>
      </w:r>
      <w:r w:rsidR="00D87935" w:rsidRPr="003550EA">
        <w:t xml:space="preserve"> titration up to 20 mg/kg/day based on individual benefit and risk. </w:t>
      </w:r>
      <w:r w:rsidR="005539DB">
        <w:t xml:space="preserve">The resubmission further argued that </w:t>
      </w:r>
      <w:r w:rsidR="005539DB" w:rsidRPr="005539DB">
        <w:t>evidence for a dose-response effect is limited</w:t>
      </w:r>
      <w:r w:rsidR="005539DB">
        <w:t>.</w:t>
      </w:r>
      <w:r w:rsidR="005539DB" w:rsidRPr="005539DB">
        <w:t xml:space="preserve"> </w:t>
      </w:r>
      <w:r w:rsidR="003550EA" w:rsidRPr="00481AC2">
        <w:t>In this context, the resubmission presented the base case from the previous submission</w:t>
      </w:r>
      <w:r w:rsidR="003550EA">
        <w:t xml:space="preserve"> (t</w:t>
      </w:r>
      <w:r w:rsidR="003550EA" w:rsidRPr="003550EA">
        <w:t>ransition probabilities based on a 20</w:t>
      </w:r>
      <w:r w:rsidR="005539DB">
        <w:t> </w:t>
      </w:r>
      <w:r w:rsidR="003550EA" w:rsidRPr="003550EA">
        <w:t>mg/kg/day dose but cost</w:t>
      </w:r>
      <w:r w:rsidR="007554B9">
        <w:t>s</w:t>
      </w:r>
      <w:r w:rsidR="003550EA" w:rsidRPr="003550EA">
        <w:t xml:space="preserve"> based on </w:t>
      </w:r>
      <w:r w:rsidR="007554B9">
        <w:t xml:space="preserve">a </w:t>
      </w:r>
      <w:r w:rsidR="003550EA" w:rsidRPr="003550EA">
        <w:t>15</w:t>
      </w:r>
      <w:r w:rsidR="003550EA">
        <w:t> </w:t>
      </w:r>
      <w:r w:rsidR="003550EA" w:rsidRPr="003550EA">
        <w:t>mg/kg/day</w:t>
      </w:r>
      <w:r w:rsidR="007554B9">
        <w:t xml:space="preserve"> dose</w:t>
      </w:r>
      <w:r w:rsidR="003550EA">
        <w:t xml:space="preserve">) and </w:t>
      </w:r>
      <w:r w:rsidR="007554B9">
        <w:t>the resubmission’s</w:t>
      </w:r>
      <w:r w:rsidR="003550EA">
        <w:t xml:space="preserve"> lower price, which resulted in an ICER of </w:t>
      </w:r>
      <w:r w:rsidR="00C417D0" w:rsidRPr="00C417D0">
        <w:t xml:space="preserve">$55,000 to &lt; $75,000 </w:t>
      </w:r>
      <w:r w:rsidR="005539DB" w:rsidRPr="005539DB">
        <w:t xml:space="preserve">per QALY </w:t>
      </w:r>
      <w:r w:rsidR="003550EA" w:rsidRPr="00481AC2">
        <w:t>(excluding carer utilities)</w:t>
      </w:r>
      <w:r w:rsidR="007554B9">
        <w:t xml:space="preserve">. </w:t>
      </w:r>
      <w:r w:rsidR="007554B9" w:rsidRPr="00F12B5E">
        <w:t>The previous PBAC Minutes note that this inconsistent use of sources for outcome and costs will underestimate the cost required to achieve the calculated outcomes (paragraph 6.23, cannabidiol Minutes, March 2022 PBAC Meeting).</w:t>
      </w:r>
      <w:r w:rsidR="007554B9" w:rsidRPr="00C417D0">
        <w:rPr>
          <w:iCs/>
        </w:rPr>
        <w:t xml:space="preserve"> </w:t>
      </w:r>
    </w:p>
    <w:p w14:paraId="24201AC4" w14:textId="741CEE9A" w:rsidR="005539DB" w:rsidRPr="00481AC2" w:rsidRDefault="00D87935" w:rsidP="00EC6E5D">
      <w:pPr>
        <w:pStyle w:val="3-BodyText"/>
      </w:pPr>
      <w:r w:rsidRPr="005539DB">
        <w:t>The resubmission</w:t>
      </w:r>
      <w:r w:rsidR="005539DB" w:rsidRPr="00481AC2">
        <w:t xml:space="preserve"> further argued that:</w:t>
      </w:r>
    </w:p>
    <w:p w14:paraId="7C170337" w14:textId="4222F01F" w:rsidR="00D87935" w:rsidRPr="005539DB" w:rsidRDefault="003550EA" w:rsidP="00481AC2">
      <w:pPr>
        <w:pStyle w:val="3-BodyText"/>
        <w:numPr>
          <w:ilvl w:val="0"/>
          <w:numId w:val="15"/>
        </w:numPr>
        <w:spacing w:after="0"/>
      </w:pPr>
      <w:r w:rsidRPr="00481AC2">
        <w:t>a</w:t>
      </w:r>
      <w:r w:rsidR="00D87935" w:rsidRPr="005539DB">
        <w:t xml:space="preserve">n average dose of 15 mg/kg/day </w:t>
      </w:r>
      <w:r w:rsidR="007554B9">
        <w:t>aligns with</w:t>
      </w:r>
      <w:r w:rsidR="00D87935" w:rsidRPr="005539DB">
        <w:t xml:space="preserve"> real world evidence, whereas the average dose of 17 mg/kg/day in the PBAC’s respecified base case was based on the trials and thus reflects the trial design. The resubmission proposed </w:t>
      </w:r>
      <w:r w:rsidR="005539DB">
        <w:t>a</w:t>
      </w:r>
      <w:r w:rsidR="00D87935" w:rsidRPr="005539DB">
        <w:t xml:space="preserve"> </w:t>
      </w:r>
      <w:r w:rsidR="007554B9">
        <w:t>r</w:t>
      </w:r>
      <w:r w:rsidR="00D87935" w:rsidRPr="005539DB">
        <w:t xml:space="preserve">isk </w:t>
      </w:r>
      <w:r w:rsidR="007554B9">
        <w:t>s</w:t>
      </w:r>
      <w:r w:rsidR="00D87935" w:rsidRPr="005539DB">
        <w:t xml:space="preserve">haring </w:t>
      </w:r>
      <w:r w:rsidR="007554B9">
        <w:t>a</w:t>
      </w:r>
      <w:r w:rsidR="00D87935" w:rsidRPr="005539DB">
        <w:t>rrangement (RSA) based on an average dose of 15 mg/kg/day</w:t>
      </w:r>
      <w:r w:rsidR="005539DB" w:rsidRPr="00481AC2">
        <w:t xml:space="preserve">; </w:t>
      </w:r>
    </w:p>
    <w:p w14:paraId="682EC5D8" w14:textId="5B383260" w:rsidR="002C224B" w:rsidRDefault="005539DB" w:rsidP="005539DB">
      <w:pPr>
        <w:pStyle w:val="3-BodyText"/>
        <w:numPr>
          <w:ilvl w:val="0"/>
          <w:numId w:val="15"/>
        </w:numPr>
        <w:spacing w:after="0"/>
      </w:pPr>
      <w:r w:rsidRPr="00481AC2">
        <w:t>the</w:t>
      </w:r>
      <w:r w:rsidR="005C74A7" w:rsidRPr="005539DB">
        <w:t xml:space="preserve"> </w:t>
      </w:r>
      <w:r w:rsidR="002C224B" w:rsidRPr="005539DB">
        <w:t xml:space="preserve">model is conservative because a stopping rule </w:t>
      </w:r>
      <w:r w:rsidR="00D87935" w:rsidRPr="005539DB">
        <w:t>was</w:t>
      </w:r>
      <w:r w:rsidR="002C224B" w:rsidRPr="005539DB">
        <w:t xml:space="preserve"> not applied </w:t>
      </w:r>
      <w:r w:rsidR="005C74A7" w:rsidRPr="005539DB">
        <w:t xml:space="preserve">while </w:t>
      </w:r>
      <w:r w:rsidR="00D87935" w:rsidRPr="005539DB">
        <w:t xml:space="preserve">in practice </w:t>
      </w:r>
      <w:r w:rsidR="005C74A7" w:rsidRPr="005539DB">
        <w:t>it is likely that more patients than observed in the studies will discontinue treatment if they do not achieve a satisfactory treatment effect</w:t>
      </w:r>
      <w:r>
        <w:t>; and</w:t>
      </w:r>
    </w:p>
    <w:p w14:paraId="3D9171A2" w14:textId="5FA1F80E" w:rsidR="005539DB" w:rsidRPr="005539DB" w:rsidRDefault="005539DB" w:rsidP="00481AC2">
      <w:pPr>
        <w:pStyle w:val="3-BodyText"/>
        <w:numPr>
          <w:ilvl w:val="0"/>
          <w:numId w:val="15"/>
        </w:numPr>
        <w:spacing w:after="0"/>
      </w:pPr>
      <w:r>
        <w:t xml:space="preserve">the </w:t>
      </w:r>
      <w:r w:rsidRPr="005539DB">
        <w:t xml:space="preserve">impact on carers should be taken into consideration, at least to some extent, when considering the cost-effectiveness of </w:t>
      </w:r>
      <w:r w:rsidR="007554B9">
        <w:t xml:space="preserve">cannabidiol </w:t>
      </w:r>
      <w:r w:rsidRPr="005539DB">
        <w:t>in patients with LGS</w:t>
      </w:r>
      <w:r w:rsidR="007554B9" w:rsidRPr="007554B9">
        <w:t xml:space="preserve"> given that the PBAC has previously acknowledged that the frequency of seizures has a considerable impact on carers’ quality of life</w:t>
      </w:r>
      <w:r w:rsidR="007554B9">
        <w:t>. When using the base case from the previous submission and including carer utilities</w:t>
      </w:r>
      <w:r w:rsidR="007554B9" w:rsidRPr="007554B9">
        <w:t xml:space="preserve"> </w:t>
      </w:r>
      <w:r w:rsidR="007554B9">
        <w:t xml:space="preserve">and the resubmission’s lower price, the ICER was </w:t>
      </w:r>
      <w:r w:rsidR="00C417D0" w:rsidRPr="00BB5875">
        <w:t>$45,000 to &lt; $55,000</w:t>
      </w:r>
      <w:r w:rsidR="00C417D0">
        <w:t xml:space="preserve"> </w:t>
      </w:r>
      <w:r w:rsidR="007554B9">
        <w:t>per QALY.</w:t>
      </w:r>
    </w:p>
    <w:p w14:paraId="211F466E" w14:textId="60BCEB55" w:rsidR="00FE3CD3" w:rsidRDefault="00FE3CD3" w:rsidP="007F0A08">
      <w:pPr>
        <w:pStyle w:val="4-SubsectionHeading"/>
      </w:pPr>
      <w:r w:rsidRPr="002C2775">
        <w:lastRenderedPageBreak/>
        <w:t>Drug cost/patien</w:t>
      </w:r>
      <w:r>
        <w:t>t</w:t>
      </w:r>
      <w:bookmarkEnd w:id="7"/>
      <w:bookmarkEnd w:id="8"/>
      <w:bookmarkEnd w:id="9"/>
      <w:r>
        <w:t>/4 weeks</w:t>
      </w:r>
    </w:p>
    <w:p w14:paraId="67938341" w14:textId="209C2B5D" w:rsidR="00FE3CD3" w:rsidRDefault="00A747E1" w:rsidP="00FE3CD3">
      <w:pPr>
        <w:pStyle w:val="3-BodyText"/>
        <w:rPr>
          <w:lang w:eastAsia="en-US"/>
        </w:rPr>
      </w:pPr>
      <w:r>
        <w:rPr>
          <w:lang w:eastAsia="en-US"/>
        </w:rPr>
        <w:t>In the economic model, t</w:t>
      </w:r>
      <w:r w:rsidR="00375B1B">
        <w:rPr>
          <w:lang w:eastAsia="en-US"/>
        </w:rPr>
        <w:t xml:space="preserve">he estimated drug cost </w:t>
      </w:r>
      <w:r>
        <w:rPr>
          <w:lang w:eastAsia="en-US"/>
        </w:rPr>
        <w:t xml:space="preserve">per patient </w:t>
      </w:r>
      <w:r w:rsidR="00375B1B">
        <w:rPr>
          <w:lang w:eastAsia="en-US"/>
        </w:rPr>
        <w:t xml:space="preserve">was </w:t>
      </w:r>
      <w:r>
        <w:rPr>
          <w:lang w:eastAsia="en-US"/>
        </w:rPr>
        <w:t>$</w:t>
      </w:r>
      <w:r w:rsidR="00981284" w:rsidRPr="00981284">
        <w:rPr>
          <w:color w:val="000000"/>
          <w:w w:val="62"/>
          <w:shd w:val="solid" w:color="000000" w:fill="000000"/>
          <w:fitText w:val="481" w:id="-1435749888"/>
          <w:lang w:eastAsia="en-US"/>
          <w14:textFill>
            <w14:solidFill>
              <w14:srgbClr w14:val="000000">
                <w14:alpha w14:val="100000"/>
              </w14:srgbClr>
            </w14:solidFill>
          </w14:textFill>
        </w:rPr>
        <w:t>|||  ||</w:t>
      </w:r>
      <w:r w:rsidR="00981284" w:rsidRPr="00981284">
        <w:rPr>
          <w:color w:val="000000"/>
          <w:spacing w:val="3"/>
          <w:w w:val="62"/>
          <w:shd w:val="solid" w:color="000000" w:fill="000000"/>
          <w:fitText w:val="481" w:id="-1435749888"/>
          <w:lang w:eastAsia="en-US"/>
          <w14:textFill>
            <w14:solidFill>
              <w14:srgbClr w14:val="000000">
                <w14:alpha w14:val="100000"/>
              </w14:srgbClr>
            </w14:solidFill>
          </w14:textFill>
        </w:rPr>
        <w:t>|</w:t>
      </w:r>
      <w:r>
        <w:rPr>
          <w:lang w:eastAsia="en-US"/>
        </w:rPr>
        <w:t xml:space="preserve"> </w:t>
      </w:r>
      <w:r w:rsidR="006507AE">
        <w:rPr>
          <w:lang w:eastAsia="en-US"/>
        </w:rPr>
        <w:t xml:space="preserve">per four weeks </w:t>
      </w:r>
      <w:r>
        <w:rPr>
          <w:lang w:eastAsia="en-US"/>
        </w:rPr>
        <w:t xml:space="preserve">based on an average dose of 17 mg/kg/day (per the PBAC’s respecified base case) or </w:t>
      </w:r>
      <w:r w:rsidR="00375B1B">
        <w:rPr>
          <w:lang w:eastAsia="en-US"/>
        </w:rPr>
        <w:t>$</w:t>
      </w:r>
      <w:r w:rsidR="00981284" w:rsidRPr="00CA12DB">
        <w:rPr>
          <w:color w:val="000000"/>
          <w:w w:val="15"/>
          <w:shd w:val="solid" w:color="000000" w:fill="000000"/>
          <w:fitText w:val="-20" w:id="-1435749887"/>
          <w:lang w:eastAsia="en-US"/>
          <w14:textFill>
            <w14:solidFill>
              <w14:srgbClr w14:val="000000">
                <w14:alpha w14:val="100000"/>
              </w14:srgbClr>
            </w14:solidFill>
          </w14:textFill>
        </w:rPr>
        <w:t xml:space="preserve">|  </w:t>
      </w:r>
      <w:r w:rsidR="00981284" w:rsidRPr="00CA12DB">
        <w:rPr>
          <w:color w:val="000000"/>
          <w:spacing w:val="-69"/>
          <w:w w:val="15"/>
          <w:shd w:val="solid" w:color="000000" w:fill="000000"/>
          <w:fitText w:val="-20" w:id="-1435749887"/>
          <w:lang w:eastAsia="en-US"/>
          <w14:textFill>
            <w14:solidFill>
              <w14:srgbClr w14:val="000000">
                <w14:alpha w14:val="100000"/>
              </w14:srgbClr>
            </w14:solidFill>
          </w14:textFill>
        </w:rPr>
        <w:t>|</w:t>
      </w:r>
      <w:r w:rsidR="00375B1B">
        <w:rPr>
          <w:lang w:eastAsia="en-US"/>
        </w:rPr>
        <w:t xml:space="preserve"> per </w:t>
      </w:r>
      <w:r w:rsidR="006507AE">
        <w:rPr>
          <w:lang w:eastAsia="en-US"/>
        </w:rPr>
        <w:t>four</w:t>
      </w:r>
      <w:r w:rsidR="00375B1B">
        <w:rPr>
          <w:lang w:eastAsia="en-US"/>
        </w:rPr>
        <w:t xml:space="preserve"> weeks based on an average dose of 15 mg/</w:t>
      </w:r>
      <w:r>
        <w:rPr>
          <w:lang w:eastAsia="en-US"/>
        </w:rPr>
        <w:t>k</w:t>
      </w:r>
      <w:r w:rsidR="00375B1B">
        <w:rPr>
          <w:lang w:eastAsia="en-US"/>
        </w:rPr>
        <w:t>g/day</w:t>
      </w:r>
      <w:r>
        <w:rPr>
          <w:lang w:eastAsia="en-US"/>
        </w:rPr>
        <w:t xml:space="preserve"> (as assumed in the financial </w:t>
      </w:r>
      <w:r w:rsidR="006507AE">
        <w:rPr>
          <w:lang w:eastAsia="en-US"/>
        </w:rPr>
        <w:t>estimates</w:t>
      </w:r>
      <w:r>
        <w:rPr>
          <w:lang w:eastAsia="en-US"/>
        </w:rPr>
        <w:t>)</w:t>
      </w:r>
      <w:r w:rsidR="00375B1B">
        <w:rPr>
          <w:lang w:eastAsia="en-US"/>
        </w:rPr>
        <w:t>.</w:t>
      </w:r>
      <w:r>
        <w:rPr>
          <w:lang w:eastAsia="en-US"/>
        </w:rPr>
        <w:t xml:space="preserve"> </w:t>
      </w:r>
      <w:r w:rsidRPr="00F12B5E">
        <w:rPr>
          <w:lang w:eastAsia="en-US"/>
        </w:rPr>
        <w:t>This was based on an average body weight of 43.</w:t>
      </w:r>
      <w:r w:rsidR="00D87935" w:rsidRPr="00F12B5E">
        <w:rPr>
          <w:lang w:eastAsia="en-US"/>
        </w:rPr>
        <w:t>3</w:t>
      </w:r>
      <w:r w:rsidRPr="00F12B5E">
        <w:rPr>
          <w:lang w:eastAsia="en-US"/>
        </w:rPr>
        <w:t xml:space="preserve"> kg from the trial</w:t>
      </w:r>
      <w:r w:rsidR="007554B9" w:rsidRPr="00C81879">
        <w:rPr>
          <w:lang w:eastAsia="en-US"/>
        </w:rPr>
        <w:t>s</w:t>
      </w:r>
      <w:r w:rsidR="00786F4E" w:rsidRPr="00B16F0D">
        <w:rPr>
          <w:lang w:eastAsia="en-US"/>
        </w:rPr>
        <w:t xml:space="preserve"> </w:t>
      </w:r>
      <w:r w:rsidR="00786F4E" w:rsidRPr="00F12B5E">
        <w:rPr>
          <w:lang w:eastAsia="en-US"/>
        </w:rPr>
        <w:t>(previously considered appropriate by the ESC, paragraph 6.23, cannabidiol Minutes, March 2022 PBAC meeting)</w:t>
      </w:r>
      <w:r w:rsidRPr="00F12B5E">
        <w:rPr>
          <w:lang w:eastAsia="en-US"/>
        </w:rPr>
        <w:t>.</w:t>
      </w:r>
      <w:r>
        <w:rPr>
          <w:lang w:eastAsia="en-US"/>
        </w:rPr>
        <w:t xml:space="preserve"> </w:t>
      </w:r>
    </w:p>
    <w:p w14:paraId="0FAE35D8" w14:textId="2E9364EC" w:rsidR="00573C95" w:rsidRDefault="00573C95" w:rsidP="007F0A08">
      <w:pPr>
        <w:pStyle w:val="4-SubsectionHeading"/>
      </w:pPr>
      <w:r w:rsidRPr="0084495F">
        <w:t>Estimated PBS usage &amp; financial implications</w:t>
      </w:r>
      <w:bookmarkEnd w:id="10"/>
      <w:bookmarkEnd w:id="11"/>
      <w:r w:rsidRPr="00A866B2">
        <w:t xml:space="preserve"> </w:t>
      </w:r>
    </w:p>
    <w:p w14:paraId="2839F02F" w14:textId="78CBF1A9" w:rsidR="00EF21D6" w:rsidRDefault="00EF21D6" w:rsidP="007F0A08">
      <w:pPr>
        <w:pStyle w:val="3-BodyText"/>
      </w:pPr>
      <w:r>
        <w:t xml:space="preserve">In March 2022, the PBAC considered the estimated number of patients likely to be treated with cannabidiol and the methodology for calculating the estimated cost of listing on the PBS were reasonable and requested that the financial estimates be revised to incorporate the new price (paragraphs 7.10 and 7.11, cannabidiol Minutes, March 2022 PBAC Meeting). </w:t>
      </w:r>
    </w:p>
    <w:p w14:paraId="79E7092F" w14:textId="7A494EB6" w:rsidR="00573C95" w:rsidRDefault="00A24C84" w:rsidP="007F0A08">
      <w:pPr>
        <w:pStyle w:val="3-BodyText"/>
      </w:pPr>
      <w:r>
        <w:t xml:space="preserve">The estimated utilisation and financial implications are outlined in </w:t>
      </w:r>
      <w:r>
        <w:fldChar w:fldCharType="begin"/>
      </w:r>
      <w:r w:rsidRPr="009835A7">
        <w:instrText xml:space="preserve"> REF _Ref106615539 \h </w:instrText>
      </w:r>
      <w:r w:rsidR="009835A7" w:rsidRPr="009835A7">
        <w:instrText xml:space="preserve"> \* MERGEFORMAT </w:instrText>
      </w:r>
      <w:r>
        <w:fldChar w:fldCharType="separate"/>
      </w:r>
      <w:r w:rsidR="004141D9" w:rsidRPr="004141D9">
        <w:t>Table 3</w:t>
      </w:r>
      <w:r>
        <w:fldChar w:fldCharType="end"/>
      </w:r>
      <w:r>
        <w:t>.</w:t>
      </w:r>
      <w:r w:rsidR="009B4339">
        <w:t xml:space="preserve"> </w:t>
      </w:r>
      <w:r w:rsidR="009B4339" w:rsidRPr="00F12B5E">
        <w:t>As an early re-entry submission, the changes to the financial estimates have not been evaluated.</w:t>
      </w:r>
    </w:p>
    <w:p w14:paraId="6B1F8B54" w14:textId="0FEDEECF" w:rsidR="00FE3CD3" w:rsidRPr="00813BB6" w:rsidRDefault="00FE3CD3" w:rsidP="00481AC2">
      <w:pPr>
        <w:pStyle w:val="TableFigureHeading"/>
        <w:rPr>
          <w:rStyle w:val="CommentReference"/>
          <w:b/>
          <w:bCs/>
          <w:szCs w:val="24"/>
        </w:rPr>
      </w:pPr>
      <w:bookmarkStart w:id="12" w:name="_Ref106615539"/>
      <w:bookmarkStart w:id="13" w:name="_Ref106615520"/>
      <w:r w:rsidRPr="00481AC2">
        <w:rPr>
          <w:rStyle w:val="CommentReference"/>
          <w:b/>
          <w:bCs/>
          <w:szCs w:val="24"/>
        </w:rPr>
        <w:t xml:space="preserve">Table </w:t>
      </w:r>
      <w:r w:rsidRPr="00813BB6">
        <w:rPr>
          <w:rStyle w:val="CommentReference"/>
          <w:b/>
          <w:bCs/>
          <w:szCs w:val="24"/>
        </w:rPr>
        <w:fldChar w:fldCharType="begin"/>
      </w:r>
      <w:r w:rsidRPr="00481AC2">
        <w:rPr>
          <w:rStyle w:val="CommentReference"/>
          <w:b/>
          <w:bCs/>
          <w:szCs w:val="24"/>
        </w:rPr>
        <w:instrText xml:space="preserve"> SEQ Table \* ARABIC </w:instrText>
      </w:r>
      <w:r w:rsidRPr="00813BB6">
        <w:rPr>
          <w:rStyle w:val="CommentReference"/>
          <w:b/>
          <w:bCs/>
          <w:szCs w:val="24"/>
        </w:rPr>
        <w:fldChar w:fldCharType="separate"/>
      </w:r>
      <w:r w:rsidR="004141D9">
        <w:rPr>
          <w:rStyle w:val="CommentReference"/>
          <w:b/>
          <w:bCs/>
          <w:noProof/>
          <w:szCs w:val="24"/>
        </w:rPr>
        <w:t>3</w:t>
      </w:r>
      <w:r w:rsidRPr="00813BB6">
        <w:rPr>
          <w:rStyle w:val="CommentReference"/>
          <w:b/>
          <w:bCs/>
          <w:szCs w:val="24"/>
        </w:rPr>
        <w:fldChar w:fldCharType="end"/>
      </w:r>
      <w:bookmarkEnd w:id="12"/>
      <w:r w:rsidRPr="00481AC2">
        <w:rPr>
          <w:rStyle w:val="CommentReference"/>
          <w:b/>
          <w:bCs/>
          <w:szCs w:val="24"/>
        </w:rPr>
        <w:t>: Estimated use and financial implications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25"/>
        <w:gridCol w:w="1125"/>
        <w:gridCol w:w="1125"/>
        <w:gridCol w:w="1125"/>
        <w:gridCol w:w="1125"/>
        <w:gridCol w:w="1125"/>
      </w:tblGrid>
      <w:tr w:rsidR="00FE3CD3" w:rsidRPr="00D1078F" w14:paraId="56D3CA30" w14:textId="77777777" w:rsidTr="00481AC2">
        <w:trPr>
          <w:tblHeader/>
        </w:trPr>
        <w:tc>
          <w:tcPr>
            <w:tcW w:w="1256" w:type="pct"/>
            <w:shd w:val="clear" w:color="auto" w:fill="auto"/>
          </w:tcPr>
          <w:p w14:paraId="45A49D3E" w14:textId="77777777" w:rsidR="00FE3CD3" w:rsidRPr="003639A6" w:rsidRDefault="00FE3CD3" w:rsidP="005C74A7">
            <w:pPr>
              <w:pStyle w:val="In-tableHeading"/>
              <w:jc w:val="center"/>
            </w:pPr>
          </w:p>
        </w:tc>
        <w:tc>
          <w:tcPr>
            <w:tcW w:w="624" w:type="pct"/>
            <w:shd w:val="clear" w:color="auto" w:fill="auto"/>
          </w:tcPr>
          <w:p w14:paraId="57312F3C" w14:textId="77777777" w:rsidR="00FE3CD3" w:rsidRPr="00D1078F" w:rsidRDefault="00FE3CD3" w:rsidP="005C74A7">
            <w:pPr>
              <w:pStyle w:val="In-tableHeading"/>
              <w:jc w:val="center"/>
            </w:pPr>
            <w:r w:rsidRPr="00D1078F">
              <w:t>Year 1</w:t>
            </w:r>
          </w:p>
        </w:tc>
        <w:tc>
          <w:tcPr>
            <w:tcW w:w="624" w:type="pct"/>
            <w:shd w:val="clear" w:color="auto" w:fill="auto"/>
          </w:tcPr>
          <w:p w14:paraId="14EDF73A" w14:textId="77777777" w:rsidR="00FE3CD3" w:rsidRPr="00D1078F" w:rsidRDefault="00FE3CD3" w:rsidP="005C74A7">
            <w:pPr>
              <w:pStyle w:val="In-tableHeading"/>
              <w:jc w:val="center"/>
            </w:pPr>
            <w:r w:rsidRPr="00D1078F">
              <w:t>Year 2</w:t>
            </w:r>
          </w:p>
        </w:tc>
        <w:tc>
          <w:tcPr>
            <w:tcW w:w="624" w:type="pct"/>
            <w:shd w:val="clear" w:color="auto" w:fill="auto"/>
          </w:tcPr>
          <w:p w14:paraId="08322B2A" w14:textId="77777777" w:rsidR="00FE3CD3" w:rsidRPr="00D1078F" w:rsidRDefault="00FE3CD3" w:rsidP="005C74A7">
            <w:pPr>
              <w:pStyle w:val="In-tableHeading"/>
              <w:jc w:val="center"/>
            </w:pPr>
            <w:r w:rsidRPr="00D1078F">
              <w:t>Year 3</w:t>
            </w:r>
          </w:p>
        </w:tc>
        <w:tc>
          <w:tcPr>
            <w:tcW w:w="624" w:type="pct"/>
            <w:shd w:val="clear" w:color="auto" w:fill="auto"/>
          </w:tcPr>
          <w:p w14:paraId="07AE9B7D" w14:textId="77777777" w:rsidR="00FE3CD3" w:rsidRPr="00D1078F" w:rsidRDefault="00FE3CD3" w:rsidP="005C74A7">
            <w:pPr>
              <w:pStyle w:val="In-tableHeading"/>
              <w:jc w:val="center"/>
            </w:pPr>
            <w:r w:rsidRPr="00D1078F">
              <w:t>Year 4</w:t>
            </w:r>
          </w:p>
        </w:tc>
        <w:tc>
          <w:tcPr>
            <w:tcW w:w="624" w:type="pct"/>
            <w:shd w:val="clear" w:color="auto" w:fill="auto"/>
          </w:tcPr>
          <w:p w14:paraId="508FCAD9" w14:textId="77777777" w:rsidR="00FE3CD3" w:rsidRPr="00D1078F" w:rsidRDefault="00FE3CD3" w:rsidP="005C74A7">
            <w:pPr>
              <w:pStyle w:val="In-tableHeading"/>
              <w:jc w:val="center"/>
            </w:pPr>
            <w:r w:rsidRPr="00D1078F">
              <w:t>Year 5</w:t>
            </w:r>
          </w:p>
        </w:tc>
        <w:tc>
          <w:tcPr>
            <w:tcW w:w="624" w:type="pct"/>
          </w:tcPr>
          <w:p w14:paraId="3765C8C4" w14:textId="77777777" w:rsidR="00FE3CD3" w:rsidRPr="00D1078F" w:rsidRDefault="00FE3CD3" w:rsidP="005C74A7">
            <w:pPr>
              <w:pStyle w:val="In-tableHeading"/>
              <w:jc w:val="center"/>
            </w:pPr>
            <w:r w:rsidRPr="00D1078F">
              <w:t>Year 6</w:t>
            </w:r>
          </w:p>
        </w:tc>
      </w:tr>
      <w:tr w:rsidR="00932184" w:rsidRPr="00823B56" w14:paraId="2C6E5B9A" w14:textId="77777777" w:rsidTr="00481AC2">
        <w:tc>
          <w:tcPr>
            <w:tcW w:w="1256" w:type="pct"/>
            <w:tcBorders>
              <w:bottom w:val="single" w:sz="4" w:space="0" w:color="auto"/>
            </w:tcBorders>
            <w:shd w:val="clear" w:color="auto" w:fill="auto"/>
          </w:tcPr>
          <w:p w14:paraId="26F0070A" w14:textId="3619EFE4" w:rsidR="00932184" w:rsidRPr="00932184" w:rsidRDefault="00932184" w:rsidP="005C74A7">
            <w:pPr>
              <w:pStyle w:val="TableText"/>
              <w:rPr>
                <w:b/>
                <w:bCs w:val="0"/>
              </w:rPr>
            </w:pPr>
            <w:r w:rsidRPr="00932184">
              <w:rPr>
                <w:b/>
                <w:bCs w:val="0"/>
              </w:rPr>
              <w:t xml:space="preserve">July 2022 </w:t>
            </w:r>
            <w:r w:rsidR="00A24C84">
              <w:rPr>
                <w:b/>
                <w:bCs w:val="0"/>
              </w:rPr>
              <w:t>re</w:t>
            </w:r>
            <w:r w:rsidRPr="00932184">
              <w:rPr>
                <w:b/>
                <w:bCs w:val="0"/>
              </w:rPr>
              <w:t>submission</w:t>
            </w:r>
          </w:p>
        </w:tc>
        <w:tc>
          <w:tcPr>
            <w:tcW w:w="624" w:type="pct"/>
            <w:tcBorders>
              <w:bottom w:val="single" w:sz="4" w:space="0" w:color="auto"/>
            </w:tcBorders>
            <w:shd w:val="clear" w:color="auto" w:fill="auto"/>
          </w:tcPr>
          <w:p w14:paraId="614ABF4E" w14:textId="77777777" w:rsidR="00932184" w:rsidRPr="009D203D" w:rsidRDefault="00932184" w:rsidP="005C74A7">
            <w:pPr>
              <w:pStyle w:val="TableText"/>
              <w:jc w:val="center"/>
            </w:pPr>
          </w:p>
        </w:tc>
        <w:tc>
          <w:tcPr>
            <w:tcW w:w="624" w:type="pct"/>
            <w:tcBorders>
              <w:bottom w:val="single" w:sz="4" w:space="0" w:color="auto"/>
            </w:tcBorders>
            <w:shd w:val="clear" w:color="auto" w:fill="auto"/>
          </w:tcPr>
          <w:p w14:paraId="0B9A07C7"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2F291B1C"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5701D564"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7C643D75" w14:textId="77777777" w:rsidR="00932184" w:rsidRPr="00823B56" w:rsidRDefault="00932184" w:rsidP="005C74A7">
            <w:pPr>
              <w:pStyle w:val="TableText"/>
              <w:jc w:val="center"/>
              <w:rPr>
                <w:iCs/>
              </w:rPr>
            </w:pPr>
          </w:p>
        </w:tc>
        <w:tc>
          <w:tcPr>
            <w:tcW w:w="624" w:type="pct"/>
            <w:tcBorders>
              <w:bottom w:val="single" w:sz="4" w:space="0" w:color="auto"/>
            </w:tcBorders>
          </w:tcPr>
          <w:p w14:paraId="2C96B36E" w14:textId="77777777" w:rsidR="00932184" w:rsidRPr="00823B56" w:rsidRDefault="00932184" w:rsidP="005C74A7">
            <w:pPr>
              <w:pStyle w:val="TableText"/>
              <w:jc w:val="center"/>
              <w:rPr>
                <w:iCs/>
              </w:rPr>
            </w:pPr>
          </w:p>
        </w:tc>
      </w:tr>
      <w:tr w:rsidR="00FE3CD3" w:rsidRPr="00823B56" w14:paraId="5F82FE79" w14:textId="77777777" w:rsidTr="00481AC2">
        <w:tc>
          <w:tcPr>
            <w:tcW w:w="1256" w:type="pct"/>
            <w:tcBorders>
              <w:bottom w:val="single" w:sz="4" w:space="0" w:color="auto"/>
            </w:tcBorders>
            <w:shd w:val="clear" w:color="auto" w:fill="auto"/>
          </w:tcPr>
          <w:p w14:paraId="2246AAF9" w14:textId="01F5238A" w:rsidR="00FE3CD3" w:rsidRPr="00481AC2" w:rsidRDefault="00FE3CD3" w:rsidP="005C74A7">
            <w:pPr>
              <w:pStyle w:val="TableText"/>
              <w:rPr>
                <w:rFonts w:ascii="Times" w:hAnsi="Times"/>
                <w:vertAlign w:val="superscript"/>
              </w:rPr>
            </w:pPr>
            <w:r w:rsidRPr="003639A6">
              <w:t xml:space="preserve">Number of patients </w:t>
            </w:r>
            <w:proofErr w:type="spellStart"/>
            <w:r w:rsidRPr="003639A6">
              <w:t>treate</w:t>
            </w:r>
            <w:r>
              <w:t>d</w:t>
            </w:r>
            <w:r w:rsidR="00EF21D6">
              <w:rPr>
                <w:vertAlign w:val="superscript"/>
              </w:rPr>
              <w:t>a</w:t>
            </w:r>
            <w:proofErr w:type="spellEnd"/>
          </w:p>
        </w:tc>
        <w:tc>
          <w:tcPr>
            <w:tcW w:w="624" w:type="pct"/>
            <w:tcBorders>
              <w:bottom w:val="single" w:sz="4" w:space="0" w:color="auto"/>
            </w:tcBorders>
            <w:shd w:val="clear" w:color="auto" w:fill="auto"/>
          </w:tcPr>
          <w:p w14:paraId="0C19DE23" w14:textId="1BCA29EA" w:rsidR="00FE3CD3" w:rsidRPr="0064222C" w:rsidRDefault="00981284" w:rsidP="005C74A7">
            <w:pPr>
              <w:pStyle w:val="TableText"/>
              <w:jc w:val="center"/>
              <w:rPr>
                <w:color w:val="000000"/>
                <w:highlight w:val="darkGray"/>
              </w:rPr>
            </w:pPr>
            <w:r w:rsidRPr="00981284">
              <w:rPr>
                <w:rFonts w:hint="eastAsia"/>
                <w:color w:val="000000"/>
                <w:w w:val="15"/>
                <w:shd w:val="solid" w:color="000000" w:fill="000000"/>
                <w:fitText w:val="37" w:id="-1435749886"/>
                <w14:textFill>
                  <w14:solidFill>
                    <w14:srgbClr w14:val="000000">
                      <w14:alpha w14:val="100000"/>
                    </w14:srgbClr>
                  </w14:solidFill>
                </w14:textFill>
              </w:rPr>
              <w:t xml:space="preserve">　</w:t>
            </w:r>
            <w:r w:rsidRPr="00981284">
              <w:rPr>
                <w:color w:val="000000"/>
                <w:w w:val="15"/>
                <w:shd w:val="solid" w:color="000000" w:fill="000000"/>
                <w:fitText w:val="37" w:id="-1435749886"/>
                <w14:textFill>
                  <w14:solidFill>
                    <w14:srgbClr w14:val="000000">
                      <w14:alpha w14:val="100000"/>
                    </w14:srgbClr>
                  </w14:solidFill>
                </w14:textFill>
              </w:rPr>
              <w:t>|</w:t>
            </w:r>
            <w:r w:rsidRPr="00981284">
              <w:rPr>
                <w:rFonts w:hint="eastAsia"/>
                <w:color w:val="000000"/>
                <w:spacing w:val="-28"/>
                <w:w w:val="15"/>
                <w:shd w:val="solid" w:color="000000" w:fill="000000"/>
                <w:fitText w:val="37" w:id="-1435749886"/>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76BA9B9" w14:textId="013EEEBE"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85"/>
                <w14:textFill>
                  <w14:solidFill>
                    <w14:srgbClr w14:val="000000">
                      <w14:alpha w14:val="100000"/>
                    </w14:srgbClr>
                  </w14:solidFill>
                </w14:textFill>
              </w:rPr>
              <w:t xml:space="preserve">　</w:t>
            </w:r>
            <w:r w:rsidRPr="00981284">
              <w:rPr>
                <w:iCs/>
                <w:color w:val="000000"/>
                <w:w w:val="15"/>
                <w:shd w:val="solid" w:color="000000" w:fill="000000"/>
                <w:fitText w:val="38" w:id="-1435749885"/>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5"/>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85B0336" w14:textId="31A53E75"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84"/>
                <w14:textFill>
                  <w14:solidFill>
                    <w14:srgbClr w14:val="000000">
                      <w14:alpha w14:val="100000"/>
                    </w14:srgbClr>
                  </w14:solidFill>
                </w14:textFill>
              </w:rPr>
              <w:t xml:space="preserve">　</w:t>
            </w:r>
            <w:r w:rsidRPr="00981284">
              <w:rPr>
                <w:iCs/>
                <w:color w:val="000000"/>
                <w:w w:val="15"/>
                <w:shd w:val="solid" w:color="000000" w:fill="000000"/>
                <w:fitText w:val="38" w:id="-1435749884"/>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4"/>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369702C3" w14:textId="45371E77"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83"/>
                <w14:textFill>
                  <w14:solidFill>
                    <w14:srgbClr w14:val="000000">
                      <w14:alpha w14:val="100000"/>
                    </w14:srgbClr>
                  </w14:solidFill>
                </w14:textFill>
              </w:rPr>
              <w:t xml:space="preserve">　</w:t>
            </w:r>
            <w:r w:rsidRPr="00981284">
              <w:rPr>
                <w:iCs/>
                <w:color w:val="000000"/>
                <w:w w:val="15"/>
                <w:shd w:val="solid" w:color="000000" w:fill="000000"/>
                <w:fitText w:val="38" w:id="-1435749883"/>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3"/>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A51CC01" w14:textId="2E9D7023"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82"/>
                <w14:textFill>
                  <w14:solidFill>
                    <w14:srgbClr w14:val="000000">
                      <w14:alpha w14:val="100000"/>
                    </w14:srgbClr>
                  </w14:solidFill>
                </w14:textFill>
              </w:rPr>
              <w:t xml:space="preserve">　</w:t>
            </w:r>
            <w:r w:rsidRPr="00981284">
              <w:rPr>
                <w:iCs/>
                <w:color w:val="000000"/>
                <w:w w:val="15"/>
                <w:shd w:val="solid" w:color="000000" w:fill="000000"/>
                <w:fitText w:val="38" w:id="-1435749882"/>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2"/>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tcPr>
          <w:p w14:paraId="0F0C220D" w14:textId="590B180E"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81"/>
                <w14:textFill>
                  <w14:solidFill>
                    <w14:srgbClr w14:val="000000">
                      <w14:alpha w14:val="100000"/>
                    </w14:srgbClr>
                  </w14:solidFill>
                </w14:textFill>
              </w:rPr>
              <w:t xml:space="preserve">　</w:t>
            </w:r>
            <w:r w:rsidRPr="00981284">
              <w:rPr>
                <w:iCs/>
                <w:color w:val="000000"/>
                <w:w w:val="15"/>
                <w:shd w:val="solid" w:color="000000" w:fill="000000"/>
                <w:fitText w:val="38" w:id="-1435749881"/>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1"/>
                <w14:textFill>
                  <w14:solidFill>
                    <w14:srgbClr w14:val="000000">
                      <w14:alpha w14:val="100000"/>
                    </w14:srgbClr>
                  </w14:solidFill>
                </w14:textFill>
              </w:rPr>
              <w:t xml:space="preserve">　</w:t>
            </w:r>
            <w:r w:rsidR="00CB13C1" w:rsidRPr="00CB13C1">
              <w:rPr>
                <w:vertAlign w:val="superscript"/>
              </w:rPr>
              <w:t>1</w:t>
            </w:r>
          </w:p>
        </w:tc>
      </w:tr>
      <w:tr w:rsidR="00FE3CD3" w:rsidRPr="00823B56" w14:paraId="1AEA5B97" w14:textId="77777777" w:rsidTr="00481AC2">
        <w:tc>
          <w:tcPr>
            <w:tcW w:w="1256" w:type="pct"/>
            <w:shd w:val="clear" w:color="auto" w:fill="auto"/>
          </w:tcPr>
          <w:p w14:paraId="63E556A4" w14:textId="77777777" w:rsidR="00FE3CD3" w:rsidRPr="003639A6" w:rsidRDefault="00FE3CD3" w:rsidP="005C74A7">
            <w:pPr>
              <w:pStyle w:val="TableText"/>
            </w:pPr>
            <w:r>
              <w:rPr>
                <w:szCs w:val="20"/>
              </w:rPr>
              <w:t>Number of scripts</w:t>
            </w:r>
          </w:p>
        </w:tc>
        <w:tc>
          <w:tcPr>
            <w:tcW w:w="624" w:type="pct"/>
            <w:shd w:val="clear" w:color="auto" w:fill="auto"/>
            <w:vAlign w:val="center"/>
          </w:tcPr>
          <w:p w14:paraId="7039C99C" w14:textId="0A298401" w:rsidR="00FE3CD3" w:rsidRPr="0064222C" w:rsidRDefault="00981284" w:rsidP="005C74A7">
            <w:pPr>
              <w:pStyle w:val="TableText"/>
              <w:jc w:val="center"/>
              <w:rPr>
                <w:color w:val="000000"/>
                <w:highlight w:val="darkGray"/>
              </w:rPr>
            </w:pPr>
            <w:r w:rsidRPr="00981284">
              <w:rPr>
                <w:rFonts w:hint="eastAsia"/>
                <w:color w:val="000000"/>
                <w:w w:val="15"/>
                <w:shd w:val="solid" w:color="000000" w:fill="000000"/>
                <w:fitText w:val="37" w:id="-1435749880"/>
                <w14:textFill>
                  <w14:solidFill>
                    <w14:srgbClr w14:val="000000">
                      <w14:alpha w14:val="100000"/>
                    </w14:srgbClr>
                  </w14:solidFill>
                </w14:textFill>
              </w:rPr>
              <w:t xml:space="preserve">　</w:t>
            </w:r>
            <w:r w:rsidRPr="00981284">
              <w:rPr>
                <w:color w:val="000000"/>
                <w:w w:val="15"/>
                <w:shd w:val="solid" w:color="000000" w:fill="000000"/>
                <w:fitText w:val="37" w:id="-1435749880"/>
                <w14:textFill>
                  <w14:solidFill>
                    <w14:srgbClr w14:val="000000">
                      <w14:alpha w14:val="100000"/>
                    </w14:srgbClr>
                  </w14:solidFill>
                </w14:textFill>
              </w:rPr>
              <w:t>|</w:t>
            </w:r>
            <w:r w:rsidRPr="00981284">
              <w:rPr>
                <w:rFonts w:hint="eastAsia"/>
                <w:color w:val="000000"/>
                <w:spacing w:val="-28"/>
                <w:w w:val="15"/>
                <w:shd w:val="solid" w:color="000000" w:fill="000000"/>
                <w:fitText w:val="37" w:id="-1435749880"/>
                <w14:textFill>
                  <w14:solidFill>
                    <w14:srgbClr w14:val="000000">
                      <w14:alpha w14:val="100000"/>
                    </w14:srgbClr>
                  </w14:solidFill>
                </w14:textFill>
              </w:rPr>
              <w:t xml:space="preserve">　</w:t>
            </w:r>
            <w:r w:rsidR="00CB13C1">
              <w:rPr>
                <w:vertAlign w:val="superscript"/>
              </w:rPr>
              <w:t>2</w:t>
            </w:r>
          </w:p>
        </w:tc>
        <w:tc>
          <w:tcPr>
            <w:tcW w:w="624" w:type="pct"/>
            <w:shd w:val="clear" w:color="auto" w:fill="auto"/>
            <w:vAlign w:val="center"/>
          </w:tcPr>
          <w:p w14:paraId="73F8656C" w14:textId="7025403C"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79"/>
                <w14:textFill>
                  <w14:solidFill>
                    <w14:srgbClr w14:val="000000">
                      <w14:alpha w14:val="100000"/>
                    </w14:srgbClr>
                  </w14:solidFill>
                </w14:textFill>
              </w:rPr>
              <w:t xml:space="preserve">　</w:t>
            </w:r>
            <w:r w:rsidRPr="00981284">
              <w:rPr>
                <w:iCs/>
                <w:color w:val="000000"/>
                <w:w w:val="15"/>
                <w:shd w:val="solid" w:color="000000" w:fill="000000"/>
                <w:fitText w:val="38" w:id="-1435749879"/>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9"/>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1B57D4E6" w14:textId="169C12B0"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78"/>
                <w14:textFill>
                  <w14:solidFill>
                    <w14:srgbClr w14:val="000000">
                      <w14:alpha w14:val="100000"/>
                    </w14:srgbClr>
                  </w14:solidFill>
                </w14:textFill>
              </w:rPr>
              <w:t xml:space="preserve">　</w:t>
            </w:r>
            <w:r w:rsidRPr="00981284">
              <w:rPr>
                <w:iCs/>
                <w:color w:val="000000"/>
                <w:w w:val="15"/>
                <w:shd w:val="solid" w:color="000000" w:fill="000000"/>
                <w:fitText w:val="38" w:id="-1435749878"/>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8"/>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138F4E5A" w14:textId="68E5BF79"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77"/>
                <w14:textFill>
                  <w14:solidFill>
                    <w14:srgbClr w14:val="000000">
                      <w14:alpha w14:val="100000"/>
                    </w14:srgbClr>
                  </w14:solidFill>
                </w14:textFill>
              </w:rPr>
              <w:t xml:space="preserve">　</w:t>
            </w:r>
            <w:r w:rsidRPr="00981284">
              <w:rPr>
                <w:iCs/>
                <w:color w:val="000000"/>
                <w:w w:val="15"/>
                <w:shd w:val="solid" w:color="000000" w:fill="000000"/>
                <w:fitText w:val="38" w:id="-1435749877"/>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7"/>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7BBDA184" w14:textId="6F7AFDC4"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76"/>
                <w14:textFill>
                  <w14:solidFill>
                    <w14:srgbClr w14:val="000000">
                      <w14:alpha w14:val="100000"/>
                    </w14:srgbClr>
                  </w14:solidFill>
                </w14:textFill>
              </w:rPr>
              <w:t xml:space="preserve">　</w:t>
            </w:r>
            <w:r w:rsidRPr="00981284">
              <w:rPr>
                <w:iCs/>
                <w:color w:val="000000"/>
                <w:w w:val="15"/>
                <w:shd w:val="solid" w:color="000000" w:fill="000000"/>
                <w:fitText w:val="38" w:id="-1435749876"/>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6"/>
                <w14:textFill>
                  <w14:solidFill>
                    <w14:srgbClr w14:val="000000">
                      <w14:alpha w14:val="100000"/>
                    </w14:srgbClr>
                  </w14:solidFill>
                </w14:textFill>
              </w:rPr>
              <w:t xml:space="preserve">　</w:t>
            </w:r>
            <w:r w:rsidR="00CB13C1">
              <w:rPr>
                <w:vertAlign w:val="superscript"/>
              </w:rPr>
              <w:t>3</w:t>
            </w:r>
          </w:p>
        </w:tc>
        <w:tc>
          <w:tcPr>
            <w:tcW w:w="624" w:type="pct"/>
            <w:vAlign w:val="center"/>
          </w:tcPr>
          <w:p w14:paraId="34EA4874" w14:textId="2102A7A8" w:rsidR="00FE3CD3" w:rsidRPr="0064222C" w:rsidRDefault="00981284" w:rsidP="005C74A7">
            <w:pPr>
              <w:pStyle w:val="TableText"/>
              <w:jc w:val="center"/>
              <w:rPr>
                <w:color w:val="000000"/>
                <w:highlight w:val="darkGray"/>
              </w:rPr>
            </w:pPr>
            <w:r w:rsidRPr="00981284">
              <w:rPr>
                <w:rFonts w:hint="eastAsia"/>
                <w:iCs/>
                <w:color w:val="000000"/>
                <w:w w:val="15"/>
                <w:shd w:val="solid" w:color="000000" w:fill="000000"/>
                <w:fitText w:val="38" w:id="-1435749875"/>
                <w14:textFill>
                  <w14:solidFill>
                    <w14:srgbClr w14:val="000000">
                      <w14:alpha w14:val="100000"/>
                    </w14:srgbClr>
                  </w14:solidFill>
                </w14:textFill>
              </w:rPr>
              <w:t xml:space="preserve">　</w:t>
            </w:r>
            <w:r w:rsidRPr="00981284">
              <w:rPr>
                <w:iCs/>
                <w:color w:val="000000"/>
                <w:w w:val="15"/>
                <w:shd w:val="solid" w:color="000000" w:fill="000000"/>
                <w:fitText w:val="38" w:id="-1435749875"/>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5"/>
                <w14:textFill>
                  <w14:solidFill>
                    <w14:srgbClr w14:val="000000">
                      <w14:alpha w14:val="100000"/>
                    </w14:srgbClr>
                  </w14:solidFill>
                </w14:textFill>
              </w:rPr>
              <w:t xml:space="preserve">　</w:t>
            </w:r>
            <w:r w:rsidR="00CB13C1">
              <w:rPr>
                <w:vertAlign w:val="superscript"/>
              </w:rPr>
              <w:t>3</w:t>
            </w:r>
          </w:p>
        </w:tc>
      </w:tr>
      <w:tr w:rsidR="00FE3CD3" w:rsidRPr="00823B56" w14:paraId="1E70C3CC" w14:textId="77777777" w:rsidTr="00481AC2">
        <w:tc>
          <w:tcPr>
            <w:tcW w:w="1256" w:type="pct"/>
            <w:tcBorders>
              <w:bottom w:val="single" w:sz="4" w:space="0" w:color="auto"/>
            </w:tcBorders>
            <w:shd w:val="clear" w:color="auto" w:fill="auto"/>
          </w:tcPr>
          <w:p w14:paraId="2BC87457" w14:textId="77777777" w:rsidR="00FE3CD3" w:rsidRPr="003639A6" w:rsidRDefault="00FE3CD3" w:rsidP="005C74A7">
            <w:pPr>
              <w:pStyle w:val="TableText"/>
            </w:pPr>
            <w:r>
              <w:rPr>
                <w:szCs w:val="20"/>
              </w:rPr>
              <w:t>Number of bottles</w:t>
            </w:r>
          </w:p>
        </w:tc>
        <w:tc>
          <w:tcPr>
            <w:tcW w:w="624" w:type="pct"/>
            <w:tcBorders>
              <w:bottom w:val="single" w:sz="4" w:space="0" w:color="auto"/>
            </w:tcBorders>
            <w:shd w:val="clear" w:color="auto" w:fill="auto"/>
          </w:tcPr>
          <w:p w14:paraId="44240832" w14:textId="03353779" w:rsidR="00FE3CD3" w:rsidRPr="0064222C" w:rsidRDefault="00981284" w:rsidP="005C74A7">
            <w:pPr>
              <w:pStyle w:val="TableText"/>
              <w:jc w:val="center"/>
              <w:rPr>
                <w:color w:val="000000"/>
                <w:highlight w:val="darkGray"/>
              </w:rPr>
            </w:pPr>
            <w:r w:rsidRPr="00981284">
              <w:rPr>
                <w:rFonts w:hint="eastAsia"/>
                <w:color w:val="000000"/>
                <w:w w:val="15"/>
                <w:shd w:val="solid" w:color="000000" w:fill="000000"/>
                <w:fitText w:val="37" w:id="-1435749874"/>
                <w14:textFill>
                  <w14:solidFill>
                    <w14:srgbClr w14:val="000000">
                      <w14:alpha w14:val="100000"/>
                    </w14:srgbClr>
                  </w14:solidFill>
                </w14:textFill>
              </w:rPr>
              <w:t xml:space="preserve">　</w:t>
            </w:r>
            <w:r w:rsidRPr="00981284">
              <w:rPr>
                <w:color w:val="000000"/>
                <w:w w:val="15"/>
                <w:shd w:val="solid" w:color="000000" w:fill="000000"/>
                <w:fitText w:val="37" w:id="-1435749874"/>
                <w14:textFill>
                  <w14:solidFill>
                    <w14:srgbClr w14:val="000000">
                      <w14:alpha w14:val="100000"/>
                    </w14:srgbClr>
                  </w14:solidFill>
                </w14:textFill>
              </w:rPr>
              <w:t>|</w:t>
            </w:r>
            <w:r w:rsidRPr="00981284">
              <w:rPr>
                <w:rFonts w:hint="eastAsia"/>
                <w:color w:val="000000"/>
                <w:spacing w:val="-28"/>
                <w:w w:val="15"/>
                <w:shd w:val="solid" w:color="000000" w:fill="000000"/>
                <w:fitText w:val="37" w:id="-1435749874"/>
                <w14:textFill>
                  <w14:solidFill>
                    <w14:srgbClr w14:val="000000">
                      <w14:alpha w14:val="100000"/>
                    </w14:srgbClr>
                  </w14:solidFill>
                </w14:textFill>
              </w:rPr>
              <w:t xml:space="preserve">　</w:t>
            </w:r>
            <w:r w:rsidR="00CB13C1">
              <w:rPr>
                <w:vertAlign w:val="superscript"/>
              </w:rPr>
              <w:t>3</w:t>
            </w:r>
          </w:p>
        </w:tc>
        <w:tc>
          <w:tcPr>
            <w:tcW w:w="624" w:type="pct"/>
            <w:tcBorders>
              <w:bottom w:val="single" w:sz="4" w:space="0" w:color="auto"/>
            </w:tcBorders>
            <w:shd w:val="clear" w:color="auto" w:fill="auto"/>
          </w:tcPr>
          <w:p w14:paraId="355B30CB" w14:textId="6DAF3B2B" w:rsidR="00FE3CD3" w:rsidRPr="0064222C" w:rsidRDefault="00981284" w:rsidP="005C74A7">
            <w:pPr>
              <w:pStyle w:val="TableText"/>
              <w:jc w:val="center"/>
              <w:rPr>
                <w:iCs/>
                <w:color w:val="000000"/>
                <w:highlight w:val="darkGray"/>
              </w:rPr>
            </w:pPr>
            <w:r w:rsidRPr="00981284">
              <w:rPr>
                <w:rFonts w:hint="eastAsia"/>
                <w:iCs/>
                <w:color w:val="000000"/>
                <w:w w:val="15"/>
                <w:shd w:val="solid" w:color="000000" w:fill="000000"/>
                <w:fitText w:val="38" w:id="-1435749873"/>
                <w14:textFill>
                  <w14:solidFill>
                    <w14:srgbClr w14:val="000000">
                      <w14:alpha w14:val="100000"/>
                    </w14:srgbClr>
                  </w14:solidFill>
                </w14:textFill>
              </w:rPr>
              <w:t xml:space="preserve">　</w:t>
            </w:r>
            <w:r w:rsidRPr="00981284">
              <w:rPr>
                <w:iCs/>
                <w:color w:val="000000"/>
                <w:w w:val="15"/>
                <w:shd w:val="solid" w:color="000000" w:fill="000000"/>
                <w:fitText w:val="38" w:id="-1435749873"/>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3"/>
                <w14:textFill>
                  <w14:solidFill>
                    <w14:srgbClr w14:val="000000">
                      <w14:alpha w14:val="100000"/>
                    </w14:srgbClr>
                  </w14:solidFill>
                </w14:textFill>
              </w:rPr>
              <w:t xml:space="preserve">　</w:t>
            </w:r>
            <w:r w:rsidR="00CB13C1">
              <w:rPr>
                <w:vertAlign w:val="superscript"/>
              </w:rPr>
              <w:t>6</w:t>
            </w:r>
          </w:p>
        </w:tc>
        <w:tc>
          <w:tcPr>
            <w:tcW w:w="624" w:type="pct"/>
            <w:tcBorders>
              <w:bottom w:val="single" w:sz="4" w:space="0" w:color="auto"/>
            </w:tcBorders>
            <w:shd w:val="clear" w:color="auto" w:fill="auto"/>
          </w:tcPr>
          <w:p w14:paraId="066BB24B" w14:textId="34659075" w:rsidR="00FE3CD3" w:rsidRPr="0064222C" w:rsidRDefault="00981284" w:rsidP="005C74A7">
            <w:pPr>
              <w:pStyle w:val="TableText"/>
              <w:jc w:val="center"/>
              <w:rPr>
                <w:iCs/>
                <w:color w:val="000000"/>
                <w:highlight w:val="darkGray"/>
              </w:rPr>
            </w:pPr>
            <w:r w:rsidRPr="00981284">
              <w:rPr>
                <w:rFonts w:hint="eastAsia"/>
                <w:iCs/>
                <w:color w:val="000000"/>
                <w:w w:val="15"/>
                <w:shd w:val="solid" w:color="000000" w:fill="000000"/>
                <w:fitText w:val="38" w:id="-1435749872"/>
                <w14:textFill>
                  <w14:solidFill>
                    <w14:srgbClr w14:val="000000">
                      <w14:alpha w14:val="100000"/>
                    </w14:srgbClr>
                  </w14:solidFill>
                </w14:textFill>
              </w:rPr>
              <w:t xml:space="preserve">　</w:t>
            </w:r>
            <w:r w:rsidRPr="00981284">
              <w:rPr>
                <w:iCs/>
                <w:color w:val="000000"/>
                <w:w w:val="15"/>
                <w:shd w:val="solid" w:color="000000" w:fill="000000"/>
                <w:fitText w:val="38" w:id="-1435749872"/>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2"/>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shd w:val="clear" w:color="auto" w:fill="auto"/>
          </w:tcPr>
          <w:p w14:paraId="6CA392DA" w14:textId="1B56C21B" w:rsidR="00FE3CD3" w:rsidRPr="0064222C" w:rsidRDefault="00981284" w:rsidP="005C74A7">
            <w:pPr>
              <w:pStyle w:val="TableText"/>
              <w:jc w:val="center"/>
              <w:rPr>
                <w:iCs/>
                <w:color w:val="000000"/>
                <w:highlight w:val="darkGray"/>
              </w:rPr>
            </w:pPr>
            <w:r w:rsidRPr="00981284">
              <w:rPr>
                <w:rFonts w:hint="eastAsia"/>
                <w:iCs/>
                <w:color w:val="000000"/>
                <w:w w:val="15"/>
                <w:shd w:val="solid" w:color="000000" w:fill="000000"/>
                <w:fitText w:val="38" w:id="-1435749888"/>
                <w14:textFill>
                  <w14:solidFill>
                    <w14:srgbClr w14:val="000000">
                      <w14:alpha w14:val="100000"/>
                    </w14:srgbClr>
                  </w14:solidFill>
                </w14:textFill>
              </w:rPr>
              <w:t xml:space="preserve">　</w:t>
            </w:r>
            <w:r w:rsidRPr="00981284">
              <w:rPr>
                <w:iCs/>
                <w:color w:val="000000"/>
                <w:w w:val="15"/>
                <w:shd w:val="solid" w:color="000000" w:fill="000000"/>
                <w:fitText w:val="38" w:id="-1435749888"/>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8"/>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shd w:val="clear" w:color="auto" w:fill="auto"/>
          </w:tcPr>
          <w:p w14:paraId="5A45AA75" w14:textId="71EDDDA0" w:rsidR="00FE3CD3" w:rsidRPr="0064222C" w:rsidRDefault="00981284" w:rsidP="005C74A7">
            <w:pPr>
              <w:pStyle w:val="TableText"/>
              <w:jc w:val="center"/>
              <w:rPr>
                <w:iCs/>
                <w:color w:val="000000"/>
                <w:highlight w:val="darkGray"/>
              </w:rPr>
            </w:pPr>
            <w:r w:rsidRPr="00981284">
              <w:rPr>
                <w:rFonts w:hint="eastAsia"/>
                <w:iCs/>
                <w:color w:val="000000"/>
                <w:w w:val="15"/>
                <w:shd w:val="solid" w:color="000000" w:fill="000000"/>
                <w:fitText w:val="38" w:id="-1435749887"/>
                <w14:textFill>
                  <w14:solidFill>
                    <w14:srgbClr w14:val="000000">
                      <w14:alpha w14:val="100000"/>
                    </w14:srgbClr>
                  </w14:solidFill>
                </w14:textFill>
              </w:rPr>
              <w:t xml:space="preserve">　</w:t>
            </w:r>
            <w:r w:rsidRPr="00981284">
              <w:rPr>
                <w:iCs/>
                <w:color w:val="000000"/>
                <w:w w:val="15"/>
                <w:shd w:val="solid" w:color="000000" w:fill="000000"/>
                <w:fitText w:val="38" w:id="-1435749887"/>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7"/>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tcPr>
          <w:p w14:paraId="3DA92EAF" w14:textId="0B093AFC" w:rsidR="00FE3CD3" w:rsidRPr="0064222C" w:rsidRDefault="00981284" w:rsidP="005C74A7">
            <w:pPr>
              <w:pStyle w:val="TableText"/>
              <w:jc w:val="center"/>
              <w:rPr>
                <w:iCs/>
                <w:color w:val="000000"/>
                <w:highlight w:val="darkGray"/>
              </w:rPr>
            </w:pPr>
            <w:r w:rsidRPr="00981284">
              <w:rPr>
                <w:rFonts w:hint="eastAsia"/>
                <w:iCs/>
                <w:color w:val="000000"/>
                <w:w w:val="15"/>
                <w:shd w:val="solid" w:color="000000" w:fill="000000"/>
                <w:fitText w:val="38" w:id="-1435749886"/>
                <w14:textFill>
                  <w14:solidFill>
                    <w14:srgbClr w14:val="000000">
                      <w14:alpha w14:val="100000"/>
                    </w14:srgbClr>
                  </w14:solidFill>
                </w14:textFill>
              </w:rPr>
              <w:t xml:space="preserve">　</w:t>
            </w:r>
            <w:r w:rsidRPr="00981284">
              <w:rPr>
                <w:iCs/>
                <w:color w:val="000000"/>
                <w:w w:val="15"/>
                <w:shd w:val="solid" w:color="000000" w:fill="000000"/>
                <w:fitText w:val="38" w:id="-1435749886"/>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6"/>
                <w14:textFill>
                  <w14:solidFill>
                    <w14:srgbClr w14:val="000000">
                      <w14:alpha w14:val="100000"/>
                    </w14:srgbClr>
                  </w14:solidFill>
                </w14:textFill>
              </w:rPr>
              <w:t xml:space="preserve">　</w:t>
            </w:r>
            <w:r w:rsidR="00CB13C1">
              <w:rPr>
                <w:vertAlign w:val="superscript"/>
              </w:rPr>
              <w:t>8</w:t>
            </w:r>
          </w:p>
        </w:tc>
      </w:tr>
      <w:tr w:rsidR="00FE3CD3" w:rsidRPr="00823B56" w14:paraId="4F931255" w14:textId="77777777" w:rsidTr="00481AC2">
        <w:tc>
          <w:tcPr>
            <w:tcW w:w="1256" w:type="pct"/>
            <w:shd w:val="clear" w:color="auto" w:fill="auto"/>
          </w:tcPr>
          <w:p w14:paraId="0EBE7B77" w14:textId="4C7E1A3E" w:rsidR="00FE3CD3" w:rsidRDefault="00FE3CD3" w:rsidP="005C74A7">
            <w:pPr>
              <w:pStyle w:val="TableText"/>
              <w:rPr>
                <w:sz w:val="19"/>
                <w:szCs w:val="19"/>
              </w:rPr>
            </w:pPr>
            <w:r>
              <w:t xml:space="preserve">Total PBS/RPBS effective net </w:t>
            </w:r>
            <w:proofErr w:type="spellStart"/>
            <w:r>
              <w:t>expenditure</w:t>
            </w:r>
            <w:r w:rsidR="00EF21D6">
              <w:rPr>
                <w:vertAlign w:val="superscript"/>
              </w:rPr>
              <w:t>b</w:t>
            </w:r>
            <w:proofErr w:type="spellEnd"/>
            <w:r>
              <w:t xml:space="preserve"> </w:t>
            </w:r>
          </w:p>
        </w:tc>
        <w:tc>
          <w:tcPr>
            <w:tcW w:w="624" w:type="pct"/>
            <w:shd w:val="clear" w:color="auto" w:fill="auto"/>
            <w:vAlign w:val="center"/>
          </w:tcPr>
          <w:p w14:paraId="3C934B90" w14:textId="14E7D9A7"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8" w:id="-1435749885"/>
                <w14:textFill>
                  <w14:solidFill>
                    <w14:srgbClr w14:val="000000">
                      <w14:alpha w14:val="100000"/>
                    </w14:srgbClr>
                  </w14:solidFill>
                </w14:textFill>
              </w:rPr>
              <w:t xml:space="preserve">　</w:t>
            </w:r>
            <w:r w:rsidR="00981284" w:rsidRPr="00981284">
              <w:rPr>
                <w:iCs/>
                <w:color w:val="000000"/>
                <w:w w:val="19"/>
                <w:shd w:val="solid" w:color="000000" w:fill="000000"/>
                <w:fitText w:val="88" w:id="-1435749885"/>
                <w14:textFill>
                  <w14:solidFill>
                    <w14:srgbClr w14:val="000000">
                      <w14:alpha w14:val="100000"/>
                    </w14:srgbClr>
                  </w14:solidFill>
                </w14:textFill>
              </w:rPr>
              <w:t>|</w:t>
            </w:r>
            <w:r w:rsidR="00981284" w:rsidRPr="00981284">
              <w:rPr>
                <w:rFonts w:hint="eastAsia"/>
                <w:iCs/>
                <w:color w:val="000000"/>
                <w:spacing w:val="4"/>
                <w:w w:val="19"/>
                <w:shd w:val="solid" w:color="000000" w:fill="000000"/>
                <w:fitText w:val="88" w:id="-1435749885"/>
                <w14:textFill>
                  <w14:solidFill>
                    <w14:srgbClr w14:val="000000">
                      <w14:alpha w14:val="100000"/>
                    </w14:srgbClr>
                  </w14:solidFill>
                </w14:textFill>
              </w:rPr>
              <w:t xml:space="preserve">　</w:t>
            </w:r>
            <w:r w:rsidR="00CB13C1">
              <w:rPr>
                <w:vertAlign w:val="superscript"/>
              </w:rPr>
              <w:t>4</w:t>
            </w:r>
          </w:p>
        </w:tc>
        <w:tc>
          <w:tcPr>
            <w:tcW w:w="624" w:type="pct"/>
            <w:shd w:val="clear" w:color="auto" w:fill="auto"/>
            <w:vAlign w:val="center"/>
          </w:tcPr>
          <w:p w14:paraId="79C6AA27" w14:textId="170B6ECC"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7" w:id="-1435749884"/>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4"/>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4"/>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557A8803" w14:textId="31CE98F8"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7" w:id="-1435749883"/>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3"/>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3"/>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58C0C004" w14:textId="325207D3"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7" w:id="-1435749882"/>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2"/>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2"/>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75934CFD" w14:textId="1DB6770D"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7" w:id="-1435749881"/>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1"/>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1"/>
                <w14:textFill>
                  <w14:solidFill>
                    <w14:srgbClr w14:val="000000">
                      <w14:alpha w14:val="100000"/>
                    </w14:srgbClr>
                  </w14:solidFill>
                </w14:textFill>
              </w:rPr>
              <w:t xml:space="preserve">　</w:t>
            </w:r>
            <w:r w:rsidR="00CB13C1">
              <w:rPr>
                <w:vertAlign w:val="superscript"/>
              </w:rPr>
              <w:t>5</w:t>
            </w:r>
          </w:p>
        </w:tc>
        <w:tc>
          <w:tcPr>
            <w:tcW w:w="624" w:type="pct"/>
            <w:vAlign w:val="center"/>
          </w:tcPr>
          <w:p w14:paraId="2EFD898F" w14:textId="3EA59368" w:rsidR="00FE3CD3" w:rsidRPr="00823B56" w:rsidRDefault="00932184" w:rsidP="005C74A7">
            <w:pPr>
              <w:pStyle w:val="TableText"/>
              <w:jc w:val="center"/>
              <w:rPr>
                <w:iCs/>
              </w:rPr>
            </w:pPr>
            <w:r>
              <w:rPr>
                <w:iCs/>
              </w:rPr>
              <w:t>$</w:t>
            </w:r>
            <w:r w:rsidR="00981284" w:rsidRPr="00981284">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0"/>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0"/>
                <w14:textFill>
                  <w14:solidFill>
                    <w14:srgbClr w14:val="000000">
                      <w14:alpha w14:val="100000"/>
                    </w14:srgbClr>
                  </w14:solidFill>
                </w14:textFill>
              </w:rPr>
              <w:t xml:space="preserve">　</w:t>
            </w:r>
            <w:r w:rsidR="00CB13C1">
              <w:rPr>
                <w:vertAlign w:val="superscript"/>
              </w:rPr>
              <w:t>7</w:t>
            </w:r>
          </w:p>
        </w:tc>
      </w:tr>
      <w:tr w:rsidR="00FE3CD3" w:rsidRPr="00A87C5C" w14:paraId="6B2B526B" w14:textId="77777777" w:rsidTr="00481AC2">
        <w:tc>
          <w:tcPr>
            <w:tcW w:w="1256" w:type="pct"/>
            <w:shd w:val="clear" w:color="auto" w:fill="DBE5F1" w:themeFill="accent1" w:themeFillTint="33"/>
          </w:tcPr>
          <w:p w14:paraId="3C977A8D" w14:textId="0C8B2495" w:rsidR="00FE3CD3" w:rsidRPr="00FE3CD3" w:rsidRDefault="00FE3CD3" w:rsidP="005C74A7">
            <w:pPr>
              <w:pStyle w:val="TableText"/>
              <w:rPr>
                <w:b/>
                <w:bCs w:val="0"/>
                <w:sz w:val="19"/>
                <w:szCs w:val="19"/>
              </w:rPr>
            </w:pPr>
            <w:r w:rsidRPr="00FE3CD3">
              <w:rPr>
                <w:b/>
                <w:bCs w:val="0"/>
                <w:sz w:val="19"/>
                <w:szCs w:val="19"/>
              </w:rPr>
              <w:t>March 202</w:t>
            </w:r>
            <w:r w:rsidR="00932184">
              <w:rPr>
                <w:b/>
                <w:bCs w:val="0"/>
                <w:sz w:val="19"/>
                <w:szCs w:val="19"/>
              </w:rPr>
              <w:t>2</w:t>
            </w:r>
            <w:r w:rsidRPr="00FE3CD3">
              <w:rPr>
                <w:b/>
                <w:bCs w:val="0"/>
                <w:sz w:val="19"/>
                <w:szCs w:val="19"/>
              </w:rPr>
              <w:t xml:space="preserve"> submission</w:t>
            </w:r>
          </w:p>
        </w:tc>
        <w:tc>
          <w:tcPr>
            <w:tcW w:w="624" w:type="pct"/>
            <w:shd w:val="clear" w:color="auto" w:fill="DBE5F1" w:themeFill="accent1" w:themeFillTint="33"/>
          </w:tcPr>
          <w:p w14:paraId="1A4546EC" w14:textId="37716D0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6EBE7B16" w14:textId="6AF0EAE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1C84F368" w14:textId="00E1A12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337A8C5D" w14:textId="736EE8B0"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7F678C5F" w14:textId="2AE37792"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42810861" w14:textId="7CF0546B" w:rsidR="00FE3CD3" w:rsidRPr="00A87C5C" w:rsidRDefault="00FE3CD3" w:rsidP="005C74A7">
            <w:pPr>
              <w:pStyle w:val="TableText"/>
              <w:jc w:val="center"/>
              <w:rPr>
                <w:rFonts w:cs="Calibri"/>
                <w:color w:val="000000"/>
                <w:szCs w:val="20"/>
              </w:rPr>
            </w:pPr>
          </w:p>
        </w:tc>
      </w:tr>
      <w:tr w:rsidR="00FE3CD3" w:rsidRPr="00A87C5C" w14:paraId="7D881718" w14:textId="77777777" w:rsidTr="00481AC2">
        <w:tc>
          <w:tcPr>
            <w:tcW w:w="1256" w:type="pct"/>
            <w:shd w:val="clear" w:color="auto" w:fill="DBE5F1" w:themeFill="accent1" w:themeFillTint="33"/>
          </w:tcPr>
          <w:p w14:paraId="7805C343" w14:textId="059F967C" w:rsidR="00FE3CD3" w:rsidRPr="00481AC2" w:rsidRDefault="00FE3CD3" w:rsidP="00FE3CD3">
            <w:pPr>
              <w:pStyle w:val="TableText"/>
              <w:rPr>
                <w:sz w:val="19"/>
                <w:szCs w:val="19"/>
                <w:vertAlign w:val="superscript"/>
              </w:rPr>
            </w:pPr>
            <w:r>
              <w:rPr>
                <w:szCs w:val="20"/>
              </w:rPr>
              <w:t>Number of patient</w:t>
            </w:r>
            <w:r w:rsidR="002E10A5">
              <w:rPr>
                <w:szCs w:val="20"/>
              </w:rPr>
              <w:t>s</w:t>
            </w:r>
            <w:r>
              <w:rPr>
                <w:szCs w:val="20"/>
              </w:rPr>
              <w:t xml:space="preserve"> </w:t>
            </w:r>
            <w:proofErr w:type="spellStart"/>
            <w:r>
              <w:rPr>
                <w:szCs w:val="20"/>
              </w:rPr>
              <w:t>treated</w:t>
            </w:r>
            <w:r w:rsidR="00EF21D6">
              <w:rPr>
                <w:szCs w:val="20"/>
                <w:vertAlign w:val="superscript"/>
              </w:rPr>
              <w:t>a</w:t>
            </w:r>
            <w:proofErr w:type="spellEnd"/>
          </w:p>
        </w:tc>
        <w:tc>
          <w:tcPr>
            <w:tcW w:w="624" w:type="pct"/>
            <w:shd w:val="clear" w:color="auto" w:fill="DBE5F1" w:themeFill="accent1" w:themeFillTint="33"/>
          </w:tcPr>
          <w:p w14:paraId="1020CCDD" w14:textId="2349CE34" w:rsidR="00FE3CD3" w:rsidRPr="0064222C" w:rsidRDefault="00981284" w:rsidP="00FE3CD3">
            <w:pPr>
              <w:pStyle w:val="TableText"/>
              <w:jc w:val="center"/>
              <w:rPr>
                <w:rFonts w:cs="Calibri"/>
                <w:color w:val="000000"/>
                <w:szCs w:val="20"/>
                <w:highlight w:val="darkGray"/>
              </w:rPr>
            </w:pPr>
            <w:r w:rsidRPr="00981284">
              <w:rPr>
                <w:rFonts w:hint="eastAsia"/>
                <w:color w:val="000000"/>
                <w:w w:val="15"/>
                <w:shd w:val="solid" w:color="000000" w:fill="000000"/>
                <w:fitText w:val="37" w:id="-1435749879"/>
                <w14:textFill>
                  <w14:solidFill>
                    <w14:srgbClr w14:val="000000">
                      <w14:alpha w14:val="100000"/>
                    </w14:srgbClr>
                  </w14:solidFill>
                </w14:textFill>
              </w:rPr>
              <w:t xml:space="preserve">　</w:t>
            </w:r>
            <w:r w:rsidRPr="00981284">
              <w:rPr>
                <w:color w:val="000000"/>
                <w:w w:val="15"/>
                <w:shd w:val="solid" w:color="000000" w:fill="000000"/>
                <w:fitText w:val="37" w:id="-1435749879"/>
                <w14:textFill>
                  <w14:solidFill>
                    <w14:srgbClr w14:val="000000">
                      <w14:alpha w14:val="100000"/>
                    </w14:srgbClr>
                  </w14:solidFill>
                </w14:textFill>
              </w:rPr>
              <w:t>|</w:t>
            </w:r>
            <w:r w:rsidRPr="00981284">
              <w:rPr>
                <w:rFonts w:hint="eastAsia"/>
                <w:color w:val="000000"/>
                <w:spacing w:val="-28"/>
                <w:w w:val="15"/>
                <w:shd w:val="solid" w:color="000000" w:fill="000000"/>
                <w:fitText w:val="37" w:id="-1435749879"/>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56006F0" w14:textId="26867CC4"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hd w:val="solid" w:color="000000" w:fill="000000"/>
                <w:fitText w:val="38" w:id="-1435749878"/>
                <w14:textFill>
                  <w14:solidFill>
                    <w14:srgbClr w14:val="000000">
                      <w14:alpha w14:val="100000"/>
                    </w14:srgbClr>
                  </w14:solidFill>
                </w14:textFill>
              </w:rPr>
              <w:t xml:space="preserve">　</w:t>
            </w:r>
            <w:r w:rsidRPr="00981284">
              <w:rPr>
                <w:iCs/>
                <w:color w:val="000000"/>
                <w:w w:val="15"/>
                <w:shd w:val="solid" w:color="000000" w:fill="000000"/>
                <w:fitText w:val="38" w:id="-1435749878"/>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8"/>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FF6F80E" w14:textId="452D0D89"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hd w:val="solid" w:color="000000" w:fill="000000"/>
                <w:fitText w:val="38" w:id="-1435749877"/>
                <w14:textFill>
                  <w14:solidFill>
                    <w14:srgbClr w14:val="000000">
                      <w14:alpha w14:val="100000"/>
                    </w14:srgbClr>
                  </w14:solidFill>
                </w14:textFill>
              </w:rPr>
              <w:t xml:space="preserve">　</w:t>
            </w:r>
            <w:r w:rsidRPr="00981284">
              <w:rPr>
                <w:iCs/>
                <w:color w:val="000000"/>
                <w:w w:val="15"/>
                <w:shd w:val="solid" w:color="000000" w:fill="000000"/>
                <w:fitText w:val="38" w:id="-1435749877"/>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7"/>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20972D3F" w14:textId="72C679B4"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hd w:val="solid" w:color="000000" w:fill="000000"/>
                <w:fitText w:val="38" w:id="-1435749876"/>
                <w14:textFill>
                  <w14:solidFill>
                    <w14:srgbClr w14:val="000000">
                      <w14:alpha w14:val="100000"/>
                    </w14:srgbClr>
                  </w14:solidFill>
                </w14:textFill>
              </w:rPr>
              <w:t xml:space="preserve">　</w:t>
            </w:r>
            <w:r w:rsidRPr="00981284">
              <w:rPr>
                <w:iCs/>
                <w:color w:val="000000"/>
                <w:w w:val="15"/>
                <w:shd w:val="solid" w:color="000000" w:fill="000000"/>
                <w:fitText w:val="38" w:id="-1435749876"/>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6"/>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2AF7C89" w14:textId="22E85806"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hd w:val="solid" w:color="000000" w:fill="000000"/>
                <w:fitText w:val="38" w:id="-1435749875"/>
                <w14:textFill>
                  <w14:solidFill>
                    <w14:srgbClr w14:val="000000">
                      <w14:alpha w14:val="100000"/>
                    </w14:srgbClr>
                  </w14:solidFill>
                </w14:textFill>
              </w:rPr>
              <w:t xml:space="preserve">　</w:t>
            </w:r>
            <w:r w:rsidRPr="00981284">
              <w:rPr>
                <w:iCs/>
                <w:color w:val="000000"/>
                <w:w w:val="15"/>
                <w:shd w:val="solid" w:color="000000" w:fill="000000"/>
                <w:fitText w:val="38" w:id="-1435749875"/>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5"/>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01498BE2" w14:textId="227DADAF"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hd w:val="solid" w:color="000000" w:fill="000000"/>
                <w:fitText w:val="38" w:id="-1435749874"/>
                <w14:textFill>
                  <w14:solidFill>
                    <w14:srgbClr w14:val="000000">
                      <w14:alpha w14:val="100000"/>
                    </w14:srgbClr>
                  </w14:solidFill>
                </w14:textFill>
              </w:rPr>
              <w:t xml:space="preserve">　</w:t>
            </w:r>
            <w:r w:rsidRPr="00981284">
              <w:rPr>
                <w:iCs/>
                <w:color w:val="000000"/>
                <w:w w:val="15"/>
                <w:shd w:val="solid" w:color="000000" w:fill="000000"/>
                <w:fitText w:val="38" w:id="-1435749874"/>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4"/>
                <w14:textFill>
                  <w14:solidFill>
                    <w14:srgbClr w14:val="000000">
                      <w14:alpha w14:val="100000"/>
                    </w14:srgbClr>
                  </w14:solidFill>
                </w14:textFill>
              </w:rPr>
              <w:t xml:space="preserve">　</w:t>
            </w:r>
            <w:r w:rsidR="00CB13C1" w:rsidRPr="00CB13C1">
              <w:rPr>
                <w:vertAlign w:val="superscript"/>
              </w:rPr>
              <w:t>1</w:t>
            </w:r>
          </w:p>
        </w:tc>
      </w:tr>
      <w:tr w:rsidR="00FE3CD3" w:rsidRPr="003639A6" w14:paraId="2B3361BA" w14:textId="77777777" w:rsidTr="00481AC2">
        <w:tc>
          <w:tcPr>
            <w:tcW w:w="1256" w:type="pct"/>
            <w:shd w:val="clear" w:color="auto" w:fill="DBE5F1" w:themeFill="accent1" w:themeFillTint="33"/>
          </w:tcPr>
          <w:p w14:paraId="68EAE42F" w14:textId="4227074B" w:rsidR="00FE3CD3" w:rsidRDefault="00FE3CD3" w:rsidP="00FE3CD3">
            <w:pPr>
              <w:pStyle w:val="TableText"/>
              <w:rPr>
                <w:sz w:val="19"/>
                <w:szCs w:val="19"/>
              </w:rPr>
            </w:pPr>
            <w:r>
              <w:rPr>
                <w:szCs w:val="20"/>
              </w:rPr>
              <w:t>Number scripts</w:t>
            </w:r>
          </w:p>
        </w:tc>
        <w:tc>
          <w:tcPr>
            <w:tcW w:w="624" w:type="pct"/>
            <w:shd w:val="clear" w:color="auto" w:fill="DBE5F1" w:themeFill="accent1" w:themeFillTint="33"/>
            <w:vAlign w:val="center"/>
          </w:tcPr>
          <w:p w14:paraId="1640DD2E" w14:textId="755D7EDD" w:rsidR="00FE3CD3" w:rsidRPr="0064222C" w:rsidRDefault="00981284" w:rsidP="00FE3CD3">
            <w:pPr>
              <w:pStyle w:val="TableText"/>
              <w:jc w:val="center"/>
              <w:rPr>
                <w:highlight w:val="darkGray"/>
              </w:rPr>
            </w:pPr>
            <w:r w:rsidRPr="00981284">
              <w:rPr>
                <w:rFonts w:hint="eastAsia"/>
                <w:color w:val="000000"/>
                <w:w w:val="15"/>
                <w:shd w:val="solid" w:color="000000" w:fill="000000"/>
                <w:fitText w:val="37" w:id="-1435749873"/>
                <w14:textFill>
                  <w14:solidFill>
                    <w14:srgbClr w14:val="000000">
                      <w14:alpha w14:val="100000"/>
                    </w14:srgbClr>
                  </w14:solidFill>
                </w14:textFill>
              </w:rPr>
              <w:t xml:space="preserve">　</w:t>
            </w:r>
            <w:r w:rsidRPr="00981284">
              <w:rPr>
                <w:color w:val="000000"/>
                <w:w w:val="15"/>
                <w:shd w:val="solid" w:color="000000" w:fill="000000"/>
                <w:fitText w:val="37" w:id="-1435749873"/>
                <w14:textFill>
                  <w14:solidFill>
                    <w14:srgbClr w14:val="000000">
                      <w14:alpha w14:val="100000"/>
                    </w14:srgbClr>
                  </w14:solidFill>
                </w14:textFill>
              </w:rPr>
              <w:t>|</w:t>
            </w:r>
            <w:r w:rsidRPr="00981284">
              <w:rPr>
                <w:rFonts w:hint="eastAsia"/>
                <w:color w:val="000000"/>
                <w:spacing w:val="-28"/>
                <w:w w:val="15"/>
                <w:shd w:val="solid" w:color="000000" w:fill="000000"/>
                <w:fitText w:val="37" w:id="-1435749873"/>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vAlign w:val="center"/>
          </w:tcPr>
          <w:p w14:paraId="5171FC16" w14:textId="5873E312" w:rsidR="00FE3CD3" w:rsidRPr="0064222C" w:rsidRDefault="00981284" w:rsidP="00FE3CD3">
            <w:pPr>
              <w:pStyle w:val="TableText"/>
              <w:jc w:val="center"/>
              <w:rPr>
                <w:highlight w:val="darkGray"/>
              </w:rPr>
            </w:pPr>
            <w:r w:rsidRPr="00981284">
              <w:rPr>
                <w:rFonts w:hint="eastAsia"/>
                <w:iCs/>
                <w:color w:val="000000"/>
                <w:w w:val="15"/>
                <w:shd w:val="solid" w:color="000000" w:fill="000000"/>
                <w:fitText w:val="38" w:id="-1435749872"/>
                <w14:textFill>
                  <w14:solidFill>
                    <w14:srgbClr w14:val="000000">
                      <w14:alpha w14:val="100000"/>
                    </w14:srgbClr>
                  </w14:solidFill>
                </w14:textFill>
              </w:rPr>
              <w:t xml:space="preserve">　</w:t>
            </w:r>
            <w:r w:rsidRPr="00981284">
              <w:rPr>
                <w:iCs/>
                <w:color w:val="000000"/>
                <w:w w:val="15"/>
                <w:shd w:val="solid" w:color="000000" w:fill="000000"/>
                <w:fitText w:val="38" w:id="-1435749872"/>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72"/>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1CE0B1AF" w14:textId="45EDE95A" w:rsidR="00FE3CD3" w:rsidRPr="0064222C" w:rsidRDefault="00981284" w:rsidP="00FE3CD3">
            <w:pPr>
              <w:pStyle w:val="TableText"/>
              <w:jc w:val="center"/>
              <w:rPr>
                <w:highlight w:val="darkGray"/>
              </w:rPr>
            </w:pPr>
            <w:r w:rsidRPr="00981284">
              <w:rPr>
                <w:rFonts w:hint="eastAsia"/>
                <w:iCs/>
                <w:color w:val="000000"/>
                <w:w w:val="15"/>
                <w:shd w:val="solid" w:color="000000" w:fill="000000"/>
                <w:fitText w:val="38" w:id="-1435749888"/>
                <w14:textFill>
                  <w14:solidFill>
                    <w14:srgbClr w14:val="000000">
                      <w14:alpha w14:val="100000"/>
                    </w14:srgbClr>
                  </w14:solidFill>
                </w14:textFill>
              </w:rPr>
              <w:t xml:space="preserve">　</w:t>
            </w:r>
            <w:r w:rsidRPr="00981284">
              <w:rPr>
                <w:iCs/>
                <w:color w:val="000000"/>
                <w:w w:val="15"/>
                <w:shd w:val="solid" w:color="000000" w:fill="000000"/>
                <w:fitText w:val="38" w:id="-1435749888"/>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8"/>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730D4A4E" w14:textId="6EFD1A55" w:rsidR="00FE3CD3" w:rsidRPr="0064222C" w:rsidRDefault="00981284" w:rsidP="00FE3CD3">
            <w:pPr>
              <w:pStyle w:val="TableText"/>
              <w:jc w:val="center"/>
              <w:rPr>
                <w:highlight w:val="darkGray"/>
              </w:rPr>
            </w:pPr>
            <w:r w:rsidRPr="00981284">
              <w:rPr>
                <w:rFonts w:hint="eastAsia"/>
                <w:iCs/>
                <w:color w:val="000000"/>
                <w:w w:val="15"/>
                <w:shd w:val="solid" w:color="000000" w:fill="000000"/>
                <w:fitText w:val="38" w:id="-1435749887"/>
                <w14:textFill>
                  <w14:solidFill>
                    <w14:srgbClr w14:val="000000">
                      <w14:alpha w14:val="100000"/>
                    </w14:srgbClr>
                  </w14:solidFill>
                </w14:textFill>
              </w:rPr>
              <w:t xml:space="preserve">　</w:t>
            </w:r>
            <w:r w:rsidRPr="00981284">
              <w:rPr>
                <w:iCs/>
                <w:color w:val="000000"/>
                <w:w w:val="15"/>
                <w:shd w:val="solid" w:color="000000" w:fill="000000"/>
                <w:fitText w:val="38" w:id="-1435749887"/>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7"/>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5FE89A54" w14:textId="370340D8" w:rsidR="00FE3CD3" w:rsidRPr="0064222C" w:rsidRDefault="00981284" w:rsidP="00FE3CD3">
            <w:pPr>
              <w:pStyle w:val="TableText"/>
              <w:jc w:val="center"/>
              <w:rPr>
                <w:highlight w:val="darkGray"/>
              </w:rPr>
            </w:pPr>
            <w:r w:rsidRPr="00981284">
              <w:rPr>
                <w:rFonts w:hint="eastAsia"/>
                <w:iCs/>
                <w:color w:val="000000"/>
                <w:w w:val="15"/>
                <w:shd w:val="solid" w:color="000000" w:fill="000000"/>
                <w:fitText w:val="38" w:id="-1435749886"/>
                <w14:textFill>
                  <w14:solidFill>
                    <w14:srgbClr w14:val="000000">
                      <w14:alpha w14:val="100000"/>
                    </w14:srgbClr>
                  </w14:solidFill>
                </w14:textFill>
              </w:rPr>
              <w:t xml:space="preserve">　</w:t>
            </w:r>
            <w:r w:rsidRPr="00981284">
              <w:rPr>
                <w:iCs/>
                <w:color w:val="000000"/>
                <w:w w:val="15"/>
                <w:shd w:val="solid" w:color="000000" w:fill="000000"/>
                <w:fitText w:val="38" w:id="-1435749886"/>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6"/>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79757C6D" w14:textId="3B312739" w:rsidR="00FE3CD3" w:rsidRPr="0064222C" w:rsidRDefault="00981284" w:rsidP="00FE3CD3">
            <w:pPr>
              <w:pStyle w:val="TableText"/>
              <w:jc w:val="center"/>
              <w:rPr>
                <w:highlight w:val="darkGray"/>
              </w:rPr>
            </w:pPr>
            <w:r w:rsidRPr="00981284">
              <w:rPr>
                <w:rFonts w:hint="eastAsia"/>
                <w:iCs/>
                <w:color w:val="000000"/>
                <w:w w:val="15"/>
                <w:shd w:val="solid" w:color="000000" w:fill="000000"/>
                <w:fitText w:val="38" w:id="-1435749885"/>
                <w14:textFill>
                  <w14:solidFill>
                    <w14:srgbClr w14:val="000000">
                      <w14:alpha w14:val="100000"/>
                    </w14:srgbClr>
                  </w14:solidFill>
                </w14:textFill>
              </w:rPr>
              <w:t xml:space="preserve">　</w:t>
            </w:r>
            <w:r w:rsidRPr="00981284">
              <w:rPr>
                <w:iCs/>
                <w:color w:val="000000"/>
                <w:w w:val="15"/>
                <w:shd w:val="solid" w:color="000000" w:fill="000000"/>
                <w:fitText w:val="38" w:id="-1435749885"/>
                <w14:textFill>
                  <w14:solidFill>
                    <w14:srgbClr w14:val="000000">
                      <w14:alpha w14:val="100000"/>
                    </w14:srgbClr>
                  </w14:solidFill>
                </w14:textFill>
              </w:rPr>
              <w:t>|</w:t>
            </w:r>
            <w:r w:rsidRPr="00981284">
              <w:rPr>
                <w:rFonts w:hint="eastAsia"/>
                <w:iCs/>
                <w:color w:val="000000"/>
                <w:spacing w:val="-27"/>
                <w:w w:val="15"/>
                <w:shd w:val="solid" w:color="000000" w:fill="000000"/>
                <w:fitText w:val="38" w:id="-1435749885"/>
                <w14:textFill>
                  <w14:solidFill>
                    <w14:srgbClr w14:val="000000">
                      <w14:alpha w14:val="100000"/>
                    </w14:srgbClr>
                  </w14:solidFill>
                </w14:textFill>
              </w:rPr>
              <w:t xml:space="preserve">　</w:t>
            </w:r>
            <w:r w:rsidR="00CB13C1">
              <w:rPr>
                <w:vertAlign w:val="superscript"/>
              </w:rPr>
              <w:t>3</w:t>
            </w:r>
          </w:p>
        </w:tc>
      </w:tr>
      <w:tr w:rsidR="00FE3CD3" w:rsidRPr="003639A6" w14:paraId="7DF37AFB" w14:textId="77777777" w:rsidTr="00481AC2">
        <w:tc>
          <w:tcPr>
            <w:tcW w:w="1256" w:type="pct"/>
            <w:shd w:val="clear" w:color="auto" w:fill="DBE5F1" w:themeFill="accent1" w:themeFillTint="33"/>
          </w:tcPr>
          <w:p w14:paraId="18C9A5FC" w14:textId="41AC690C" w:rsidR="00FE3CD3" w:rsidRPr="00481AC2" w:rsidRDefault="00FE3CD3" w:rsidP="00FE3CD3">
            <w:pPr>
              <w:pStyle w:val="TableText"/>
              <w:rPr>
                <w:sz w:val="19"/>
                <w:szCs w:val="19"/>
                <w:vertAlign w:val="superscript"/>
              </w:rPr>
            </w:pPr>
            <w:r>
              <w:rPr>
                <w:sz w:val="19"/>
                <w:szCs w:val="19"/>
              </w:rPr>
              <w:t>Net cost to PBS/RPBS</w:t>
            </w:r>
            <w:r w:rsidR="00932184">
              <w:rPr>
                <w:sz w:val="19"/>
                <w:szCs w:val="19"/>
              </w:rPr>
              <w:t xml:space="preserve"> </w:t>
            </w:r>
            <w:r w:rsidR="00932184">
              <w:t xml:space="preserve">effective net </w:t>
            </w:r>
            <w:proofErr w:type="spellStart"/>
            <w:r w:rsidR="00932184">
              <w:t>expenditure</w:t>
            </w:r>
            <w:r w:rsidR="00EF21D6">
              <w:rPr>
                <w:vertAlign w:val="superscript"/>
              </w:rPr>
              <w:t>b</w:t>
            </w:r>
            <w:proofErr w:type="spellEnd"/>
          </w:p>
        </w:tc>
        <w:tc>
          <w:tcPr>
            <w:tcW w:w="624" w:type="pct"/>
            <w:shd w:val="clear" w:color="auto" w:fill="DBE5F1" w:themeFill="accent1" w:themeFillTint="33"/>
            <w:vAlign w:val="center"/>
          </w:tcPr>
          <w:p w14:paraId="0AF1749D" w14:textId="7384DD6D"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8" w:id="-1435749884"/>
                <w14:textFill>
                  <w14:solidFill>
                    <w14:srgbClr w14:val="000000">
                      <w14:alpha w14:val="100000"/>
                    </w14:srgbClr>
                  </w14:solidFill>
                </w14:textFill>
              </w:rPr>
              <w:t xml:space="preserve">　</w:t>
            </w:r>
            <w:r w:rsidR="00981284" w:rsidRPr="00981284">
              <w:rPr>
                <w:iCs/>
                <w:color w:val="000000"/>
                <w:w w:val="19"/>
                <w:shd w:val="solid" w:color="000000" w:fill="000000"/>
                <w:fitText w:val="88" w:id="-1435749884"/>
                <w14:textFill>
                  <w14:solidFill>
                    <w14:srgbClr w14:val="000000">
                      <w14:alpha w14:val="100000"/>
                    </w14:srgbClr>
                  </w14:solidFill>
                </w14:textFill>
              </w:rPr>
              <w:t>|</w:t>
            </w:r>
            <w:r w:rsidR="00981284" w:rsidRPr="00981284">
              <w:rPr>
                <w:rFonts w:hint="eastAsia"/>
                <w:iCs/>
                <w:color w:val="000000"/>
                <w:spacing w:val="4"/>
                <w:w w:val="19"/>
                <w:shd w:val="solid" w:color="000000" w:fill="000000"/>
                <w:fitText w:val="88" w:id="-1435749884"/>
                <w14:textFill>
                  <w14:solidFill>
                    <w14:srgbClr w14:val="000000">
                      <w14:alpha w14:val="100000"/>
                    </w14:srgbClr>
                  </w14:solidFill>
                </w14:textFill>
              </w:rPr>
              <w:t xml:space="preserve">　</w:t>
            </w:r>
            <w:r w:rsidR="00CB13C1">
              <w:rPr>
                <w:vertAlign w:val="superscript"/>
              </w:rPr>
              <w:t>4</w:t>
            </w:r>
          </w:p>
        </w:tc>
        <w:tc>
          <w:tcPr>
            <w:tcW w:w="624" w:type="pct"/>
            <w:shd w:val="clear" w:color="auto" w:fill="DBE5F1" w:themeFill="accent1" w:themeFillTint="33"/>
            <w:vAlign w:val="center"/>
          </w:tcPr>
          <w:p w14:paraId="6C136A1F" w14:textId="7385746A"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7" w:id="-1435749883"/>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3"/>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3"/>
                <w14:textFill>
                  <w14:solidFill>
                    <w14:srgbClr w14:val="000000">
                      <w14:alpha w14:val="100000"/>
                    </w14:srgbClr>
                  </w14:solidFill>
                </w14:textFill>
              </w:rPr>
              <w:t xml:space="preserve">　</w:t>
            </w:r>
            <w:r w:rsidR="00CB13C1">
              <w:rPr>
                <w:vertAlign w:val="superscript"/>
              </w:rPr>
              <w:t>7</w:t>
            </w:r>
          </w:p>
        </w:tc>
        <w:tc>
          <w:tcPr>
            <w:tcW w:w="624" w:type="pct"/>
            <w:shd w:val="clear" w:color="auto" w:fill="DBE5F1" w:themeFill="accent1" w:themeFillTint="33"/>
            <w:vAlign w:val="center"/>
          </w:tcPr>
          <w:p w14:paraId="3FDB2537" w14:textId="322E066D"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7" w:id="-1435749882"/>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2"/>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2"/>
                <w14:textFill>
                  <w14:solidFill>
                    <w14:srgbClr w14:val="000000">
                      <w14:alpha w14:val="100000"/>
                    </w14:srgbClr>
                  </w14:solidFill>
                </w14:textFill>
              </w:rPr>
              <w:t xml:space="preserve">　</w:t>
            </w:r>
            <w:r w:rsidR="00CB13C1">
              <w:rPr>
                <w:vertAlign w:val="superscript"/>
              </w:rPr>
              <w:t>7</w:t>
            </w:r>
          </w:p>
        </w:tc>
        <w:tc>
          <w:tcPr>
            <w:tcW w:w="624" w:type="pct"/>
            <w:shd w:val="clear" w:color="auto" w:fill="DBE5F1" w:themeFill="accent1" w:themeFillTint="33"/>
            <w:vAlign w:val="center"/>
          </w:tcPr>
          <w:p w14:paraId="552F95DB" w14:textId="646FF17C"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7" w:id="-1435749881"/>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1"/>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1"/>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1D94DB76" w14:textId="5A22B5D8"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981284" w:rsidRPr="00981284">
              <w:rPr>
                <w:iCs/>
                <w:color w:val="000000"/>
                <w:w w:val="19"/>
                <w:shd w:val="solid" w:color="000000" w:fill="000000"/>
                <w:fitText w:val="87" w:id="-1435749880"/>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80"/>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72B3FCBB" w14:textId="1A9711FB" w:rsidR="00FE3CD3" w:rsidRPr="00A87C5C" w:rsidRDefault="00FE3CD3" w:rsidP="00FE3CD3">
            <w:pPr>
              <w:pStyle w:val="TableText"/>
              <w:jc w:val="center"/>
              <w:rPr>
                <w:rFonts w:cs="Calibri"/>
                <w:color w:val="000000"/>
                <w:szCs w:val="20"/>
              </w:rPr>
            </w:pPr>
            <w:r w:rsidRPr="00823B56">
              <w:rPr>
                <w:iCs/>
              </w:rPr>
              <w:t>$</w:t>
            </w:r>
            <w:r w:rsidR="00981284" w:rsidRPr="00981284">
              <w:rPr>
                <w:rFonts w:hint="eastAsia"/>
                <w:iCs/>
                <w:color w:val="000000"/>
                <w:w w:val="19"/>
                <w:shd w:val="solid" w:color="000000" w:fill="000000"/>
                <w:fitText w:val="87" w:id="-1435749879"/>
                <w14:textFill>
                  <w14:solidFill>
                    <w14:srgbClr w14:val="000000">
                      <w14:alpha w14:val="100000"/>
                    </w14:srgbClr>
                  </w14:solidFill>
                </w14:textFill>
              </w:rPr>
              <w:t xml:space="preserve">　</w:t>
            </w:r>
            <w:r w:rsidR="00981284" w:rsidRPr="00981284">
              <w:rPr>
                <w:iCs/>
                <w:color w:val="000000"/>
                <w:w w:val="19"/>
                <w:shd w:val="solid" w:color="000000" w:fill="000000"/>
                <w:fitText w:val="87" w:id="-1435749879"/>
                <w14:textFill>
                  <w14:solidFill>
                    <w14:srgbClr w14:val="000000">
                      <w14:alpha w14:val="100000"/>
                    </w14:srgbClr>
                  </w14:solidFill>
                </w14:textFill>
              </w:rPr>
              <w:t>|</w:t>
            </w:r>
            <w:r w:rsidR="00981284" w:rsidRPr="00981284">
              <w:rPr>
                <w:rFonts w:hint="eastAsia"/>
                <w:iCs/>
                <w:color w:val="000000"/>
                <w:spacing w:val="3"/>
                <w:w w:val="19"/>
                <w:shd w:val="solid" w:color="000000" w:fill="000000"/>
                <w:fitText w:val="87" w:id="-1435749879"/>
                <w14:textFill>
                  <w14:solidFill>
                    <w14:srgbClr w14:val="000000">
                      <w14:alpha w14:val="100000"/>
                    </w14:srgbClr>
                  </w14:solidFill>
                </w14:textFill>
              </w:rPr>
              <w:t xml:space="preserve">　</w:t>
            </w:r>
            <w:r w:rsidR="00CB13C1">
              <w:rPr>
                <w:vertAlign w:val="superscript"/>
              </w:rPr>
              <w:t>5</w:t>
            </w:r>
          </w:p>
        </w:tc>
      </w:tr>
      <w:tr w:rsidR="00FE3CD3" w:rsidRPr="003639A6" w14:paraId="537EF837" w14:textId="77777777" w:rsidTr="00481AC2">
        <w:tc>
          <w:tcPr>
            <w:tcW w:w="1256" w:type="pct"/>
            <w:shd w:val="clear" w:color="auto" w:fill="DBE5F1" w:themeFill="accent1" w:themeFillTint="33"/>
          </w:tcPr>
          <w:p w14:paraId="0F672196" w14:textId="16732719" w:rsidR="00FE3CD3" w:rsidRPr="00FE3CD3" w:rsidRDefault="00FE3CD3" w:rsidP="00FE3CD3">
            <w:pPr>
              <w:pStyle w:val="TableText"/>
              <w:rPr>
                <w:b/>
                <w:bCs w:val="0"/>
                <w:sz w:val="19"/>
                <w:szCs w:val="19"/>
              </w:rPr>
            </w:pPr>
            <w:r w:rsidRPr="00FE3CD3">
              <w:rPr>
                <w:b/>
                <w:bCs w:val="0"/>
              </w:rPr>
              <w:t xml:space="preserve">July 2020 submission </w:t>
            </w:r>
          </w:p>
        </w:tc>
        <w:tc>
          <w:tcPr>
            <w:tcW w:w="624" w:type="pct"/>
            <w:shd w:val="clear" w:color="auto" w:fill="DBE5F1" w:themeFill="accent1" w:themeFillTint="33"/>
            <w:vAlign w:val="center"/>
          </w:tcPr>
          <w:p w14:paraId="02802B92"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0A143CBC"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456AB0B8"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290A6B10"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0FBA0268"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6DFB0F18" w14:textId="77777777" w:rsidR="00FE3CD3" w:rsidRPr="00A87C5C" w:rsidRDefault="00FE3CD3" w:rsidP="00FE3CD3">
            <w:pPr>
              <w:pStyle w:val="TableText"/>
              <w:jc w:val="center"/>
              <w:rPr>
                <w:rFonts w:cs="Calibri"/>
                <w:color w:val="000000"/>
                <w:szCs w:val="20"/>
              </w:rPr>
            </w:pPr>
          </w:p>
        </w:tc>
      </w:tr>
      <w:tr w:rsidR="00FE3CD3" w:rsidRPr="003639A6" w14:paraId="15D9B592" w14:textId="77777777" w:rsidTr="00481AC2">
        <w:tc>
          <w:tcPr>
            <w:tcW w:w="1256" w:type="pct"/>
            <w:shd w:val="clear" w:color="auto" w:fill="DBE5F1" w:themeFill="accent1" w:themeFillTint="33"/>
          </w:tcPr>
          <w:p w14:paraId="549C4F04" w14:textId="5AAFB250" w:rsidR="00FE3CD3" w:rsidRDefault="00FE3CD3" w:rsidP="00FE3CD3">
            <w:pPr>
              <w:pStyle w:val="TableText"/>
              <w:rPr>
                <w:sz w:val="19"/>
                <w:szCs w:val="19"/>
              </w:rPr>
            </w:pPr>
            <w:r>
              <w:rPr>
                <w:szCs w:val="20"/>
              </w:rPr>
              <w:t xml:space="preserve">Number treated </w:t>
            </w:r>
          </w:p>
        </w:tc>
        <w:tc>
          <w:tcPr>
            <w:tcW w:w="624" w:type="pct"/>
            <w:shd w:val="clear" w:color="auto" w:fill="DBE5F1" w:themeFill="accent1" w:themeFillTint="33"/>
          </w:tcPr>
          <w:p w14:paraId="0B9035E1" w14:textId="45350D9B"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7" w:id="-1435749878"/>
                <w14:textFill>
                  <w14:solidFill>
                    <w14:srgbClr w14:val="000000">
                      <w14:alpha w14:val="100000"/>
                    </w14:srgbClr>
                  </w14:solidFill>
                </w14:textFill>
              </w:rPr>
              <w:t xml:space="preserve">　</w:t>
            </w:r>
            <w:r w:rsidRPr="00981284">
              <w:rPr>
                <w:iCs/>
                <w:color w:val="000000"/>
                <w:w w:val="15"/>
                <w:szCs w:val="20"/>
                <w:shd w:val="solid" w:color="000000" w:fill="000000"/>
                <w:fitText w:val="37" w:id="-1435749878"/>
                <w14:textFill>
                  <w14:solidFill>
                    <w14:srgbClr w14:val="000000">
                      <w14:alpha w14:val="100000"/>
                    </w14:srgbClr>
                  </w14:solidFill>
                </w14:textFill>
              </w:rPr>
              <w:t>|</w:t>
            </w:r>
            <w:r w:rsidRPr="00981284">
              <w:rPr>
                <w:rFonts w:hint="eastAsia"/>
                <w:iCs/>
                <w:color w:val="000000"/>
                <w:spacing w:val="-28"/>
                <w:w w:val="15"/>
                <w:szCs w:val="20"/>
                <w:shd w:val="solid" w:color="000000" w:fill="000000"/>
                <w:fitText w:val="37" w:id="-1435749878"/>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366FC205" w14:textId="3D48CCC1"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77"/>
                <w14:textFill>
                  <w14:solidFill>
                    <w14:srgbClr w14:val="000000">
                      <w14:alpha w14:val="100000"/>
                    </w14:srgbClr>
                  </w14:solidFill>
                </w14:textFill>
              </w:rPr>
              <w:t xml:space="preserve">　</w:t>
            </w:r>
            <w:r w:rsidRPr="00981284">
              <w:rPr>
                <w:iCs/>
                <w:color w:val="000000"/>
                <w:w w:val="15"/>
                <w:szCs w:val="20"/>
                <w:shd w:val="solid" w:color="000000" w:fill="000000"/>
                <w:fitText w:val="38" w:id="-1435749877"/>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77"/>
                <w14:textFill>
                  <w14:solidFill>
                    <w14:srgbClr w14:val="000000">
                      <w14:alpha w14:val="100000"/>
                    </w14:srgbClr>
                  </w14:solidFill>
                </w14:textFill>
              </w:rPr>
              <w:t xml:space="preserve">　</w:t>
            </w:r>
            <w:r w:rsidR="00CB13C1" w:rsidRPr="00CB13C1">
              <w:rPr>
                <w:vertAlign w:val="superscript"/>
              </w:rPr>
              <w:t>1</w:t>
            </w:r>
            <w:r w:rsidRPr="00981284">
              <w:rPr>
                <w:iCs/>
                <w:color w:val="000000"/>
                <w:szCs w:val="20"/>
              </w:rPr>
              <w:t xml:space="preserve"> </w:t>
            </w:r>
          </w:p>
        </w:tc>
        <w:tc>
          <w:tcPr>
            <w:tcW w:w="624" w:type="pct"/>
            <w:shd w:val="clear" w:color="auto" w:fill="DBE5F1" w:themeFill="accent1" w:themeFillTint="33"/>
          </w:tcPr>
          <w:p w14:paraId="78730604" w14:textId="05EDC9CE"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76"/>
                <w14:textFill>
                  <w14:solidFill>
                    <w14:srgbClr w14:val="000000">
                      <w14:alpha w14:val="100000"/>
                    </w14:srgbClr>
                  </w14:solidFill>
                </w14:textFill>
              </w:rPr>
              <w:t xml:space="preserve">　</w:t>
            </w:r>
            <w:r w:rsidRPr="00981284">
              <w:rPr>
                <w:iCs/>
                <w:color w:val="000000"/>
                <w:w w:val="15"/>
                <w:szCs w:val="20"/>
                <w:shd w:val="solid" w:color="000000" w:fill="000000"/>
                <w:fitText w:val="38" w:id="-1435749876"/>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76"/>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FBABD3D" w14:textId="74C7B0CF"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75"/>
                <w14:textFill>
                  <w14:solidFill>
                    <w14:srgbClr w14:val="000000">
                      <w14:alpha w14:val="100000"/>
                    </w14:srgbClr>
                  </w14:solidFill>
                </w14:textFill>
              </w:rPr>
              <w:t xml:space="preserve">　</w:t>
            </w:r>
            <w:r w:rsidRPr="00981284">
              <w:rPr>
                <w:iCs/>
                <w:color w:val="000000"/>
                <w:w w:val="15"/>
                <w:szCs w:val="20"/>
                <w:shd w:val="solid" w:color="000000" w:fill="000000"/>
                <w:fitText w:val="38" w:id="-1435749875"/>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75"/>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9FABBAD" w14:textId="25667A85"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74"/>
                <w14:textFill>
                  <w14:solidFill>
                    <w14:srgbClr w14:val="000000">
                      <w14:alpha w14:val="100000"/>
                    </w14:srgbClr>
                  </w14:solidFill>
                </w14:textFill>
              </w:rPr>
              <w:t xml:space="preserve">　</w:t>
            </w:r>
            <w:r w:rsidRPr="00981284">
              <w:rPr>
                <w:iCs/>
                <w:color w:val="000000"/>
                <w:w w:val="15"/>
                <w:szCs w:val="20"/>
                <w:shd w:val="solid" w:color="000000" w:fill="000000"/>
                <w:fitText w:val="38" w:id="-1435749874"/>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74"/>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2FED90D" w14:textId="43354BEB"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73"/>
                <w14:textFill>
                  <w14:solidFill>
                    <w14:srgbClr w14:val="000000">
                      <w14:alpha w14:val="100000"/>
                    </w14:srgbClr>
                  </w14:solidFill>
                </w14:textFill>
              </w:rPr>
              <w:t xml:space="preserve">　</w:t>
            </w:r>
            <w:r w:rsidRPr="00981284">
              <w:rPr>
                <w:iCs/>
                <w:color w:val="000000"/>
                <w:w w:val="15"/>
                <w:szCs w:val="20"/>
                <w:shd w:val="solid" w:color="000000" w:fill="000000"/>
                <w:fitText w:val="38" w:id="-1435749873"/>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73"/>
                <w14:textFill>
                  <w14:solidFill>
                    <w14:srgbClr w14:val="000000">
                      <w14:alpha w14:val="100000"/>
                    </w14:srgbClr>
                  </w14:solidFill>
                </w14:textFill>
              </w:rPr>
              <w:t xml:space="preserve">　</w:t>
            </w:r>
            <w:r w:rsidR="00CB13C1" w:rsidRPr="00CB13C1">
              <w:rPr>
                <w:vertAlign w:val="superscript"/>
              </w:rPr>
              <w:t>1</w:t>
            </w:r>
          </w:p>
        </w:tc>
      </w:tr>
      <w:tr w:rsidR="00FE3CD3" w:rsidRPr="003639A6" w14:paraId="71B108F5" w14:textId="77777777" w:rsidTr="00481AC2">
        <w:tc>
          <w:tcPr>
            <w:tcW w:w="1256" w:type="pct"/>
            <w:shd w:val="clear" w:color="auto" w:fill="DBE5F1" w:themeFill="accent1" w:themeFillTint="33"/>
          </w:tcPr>
          <w:p w14:paraId="502E8C02" w14:textId="626D56D6" w:rsidR="00FE3CD3" w:rsidRDefault="00FE3CD3" w:rsidP="00FE3CD3">
            <w:pPr>
              <w:pStyle w:val="TableText"/>
              <w:rPr>
                <w:sz w:val="19"/>
                <w:szCs w:val="19"/>
              </w:rPr>
            </w:pPr>
            <w:r>
              <w:rPr>
                <w:szCs w:val="20"/>
              </w:rPr>
              <w:t>Number scripts</w:t>
            </w:r>
          </w:p>
        </w:tc>
        <w:tc>
          <w:tcPr>
            <w:tcW w:w="624" w:type="pct"/>
            <w:shd w:val="clear" w:color="auto" w:fill="DBE5F1" w:themeFill="accent1" w:themeFillTint="33"/>
          </w:tcPr>
          <w:p w14:paraId="24BDFB13" w14:textId="7A11FE4A"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7" w:id="-1435749872"/>
                <w14:textFill>
                  <w14:solidFill>
                    <w14:srgbClr w14:val="000000">
                      <w14:alpha w14:val="100000"/>
                    </w14:srgbClr>
                  </w14:solidFill>
                </w14:textFill>
              </w:rPr>
              <w:t xml:space="preserve">　</w:t>
            </w:r>
            <w:r w:rsidRPr="00981284">
              <w:rPr>
                <w:iCs/>
                <w:color w:val="000000"/>
                <w:w w:val="15"/>
                <w:szCs w:val="20"/>
                <w:shd w:val="solid" w:color="000000" w:fill="000000"/>
                <w:fitText w:val="37" w:id="-1435749872"/>
                <w14:textFill>
                  <w14:solidFill>
                    <w14:srgbClr w14:val="000000">
                      <w14:alpha w14:val="100000"/>
                    </w14:srgbClr>
                  </w14:solidFill>
                </w14:textFill>
              </w:rPr>
              <w:t>|</w:t>
            </w:r>
            <w:r w:rsidRPr="00981284">
              <w:rPr>
                <w:rFonts w:hint="eastAsia"/>
                <w:iCs/>
                <w:color w:val="000000"/>
                <w:spacing w:val="-28"/>
                <w:w w:val="15"/>
                <w:szCs w:val="20"/>
                <w:shd w:val="solid" w:color="000000" w:fill="000000"/>
                <w:fitText w:val="37" w:id="-1435749872"/>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755D348" w14:textId="66692D5F"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88"/>
                <w14:textFill>
                  <w14:solidFill>
                    <w14:srgbClr w14:val="000000">
                      <w14:alpha w14:val="100000"/>
                    </w14:srgbClr>
                  </w14:solidFill>
                </w14:textFill>
              </w:rPr>
              <w:t xml:space="preserve">　</w:t>
            </w:r>
            <w:r w:rsidRPr="00981284">
              <w:rPr>
                <w:iCs/>
                <w:color w:val="000000"/>
                <w:w w:val="15"/>
                <w:szCs w:val="20"/>
                <w:shd w:val="solid" w:color="000000" w:fill="000000"/>
                <w:fitText w:val="38" w:id="-1435749888"/>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88"/>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29740A8" w14:textId="08F5B0B3"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87"/>
                <w14:textFill>
                  <w14:solidFill>
                    <w14:srgbClr w14:val="000000">
                      <w14:alpha w14:val="100000"/>
                    </w14:srgbClr>
                  </w14:solidFill>
                </w14:textFill>
              </w:rPr>
              <w:t xml:space="preserve">　</w:t>
            </w:r>
            <w:r w:rsidRPr="00981284">
              <w:rPr>
                <w:iCs/>
                <w:color w:val="000000"/>
                <w:w w:val="15"/>
                <w:szCs w:val="20"/>
                <w:shd w:val="solid" w:color="000000" w:fill="000000"/>
                <w:fitText w:val="38" w:id="-1435749887"/>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87"/>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1F983C28" w14:textId="4D91F4FD"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86"/>
                <w14:textFill>
                  <w14:solidFill>
                    <w14:srgbClr w14:val="000000">
                      <w14:alpha w14:val="100000"/>
                    </w14:srgbClr>
                  </w14:solidFill>
                </w14:textFill>
              </w:rPr>
              <w:t xml:space="preserve">　</w:t>
            </w:r>
            <w:r w:rsidRPr="00981284">
              <w:rPr>
                <w:iCs/>
                <w:color w:val="000000"/>
                <w:w w:val="15"/>
                <w:szCs w:val="20"/>
                <w:shd w:val="solid" w:color="000000" w:fill="000000"/>
                <w:fitText w:val="38" w:id="-1435749886"/>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86"/>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E489D2E" w14:textId="5596CE97"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85"/>
                <w14:textFill>
                  <w14:solidFill>
                    <w14:srgbClr w14:val="000000">
                      <w14:alpha w14:val="100000"/>
                    </w14:srgbClr>
                  </w14:solidFill>
                </w14:textFill>
              </w:rPr>
              <w:t xml:space="preserve">　</w:t>
            </w:r>
            <w:r w:rsidRPr="00981284">
              <w:rPr>
                <w:iCs/>
                <w:color w:val="000000"/>
                <w:w w:val="15"/>
                <w:szCs w:val="20"/>
                <w:shd w:val="solid" w:color="000000" w:fill="000000"/>
                <w:fitText w:val="38" w:id="-1435749885"/>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85"/>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32C2AE9A" w14:textId="7B8A2CA9" w:rsidR="00FE3CD3" w:rsidRPr="0064222C" w:rsidRDefault="00981284" w:rsidP="00FE3CD3">
            <w:pPr>
              <w:pStyle w:val="TableText"/>
              <w:jc w:val="center"/>
              <w:rPr>
                <w:rFonts w:cs="Calibri"/>
                <w:color w:val="000000"/>
                <w:szCs w:val="20"/>
                <w:highlight w:val="darkGray"/>
              </w:rPr>
            </w:pPr>
            <w:r w:rsidRPr="00981284">
              <w:rPr>
                <w:rFonts w:hint="eastAsia"/>
                <w:iCs/>
                <w:color w:val="000000"/>
                <w:w w:val="15"/>
                <w:szCs w:val="20"/>
                <w:shd w:val="solid" w:color="000000" w:fill="000000"/>
                <w:fitText w:val="38" w:id="-1435749884"/>
                <w14:textFill>
                  <w14:solidFill>
                    <w14:srgbClr w14:val="000000">
                      <w14:alpha w14:val="100000"/>
                    </w14:srgbClr>
                  </w14:solidFill>
                </w14:textFill>
              </w:rPr>
              <w:t xml:space="preserve">　</w:t>
            </w:r>
            <w:r w:rsidRPr="00981284">
              <w:rPr>
                <w:iCs/>
                <w:color w:val="000000"/>
                <w:w w:val="15"/>
                <w:szCs w:val="20"/>
                <w:shd w:val="solid" w:color="000000" w:fill="000000"/>
                <w:fitText w:val="38" w:id="-1435749884"/>
                <w14:textFill>
                  <w14:solidFill>
                    <w14:srgbClr w14:val="000000">
                      <w14:alpha w14:val="100000"/>
                    </w14:srgbClr>
                  </w14:solidFill>
                </w14:textFill>
              </w:rPr>
              <w:t>|</w:t>
            </w:r>
            <w:r w:rsidRPr="00981284">
              <w:rPr>
                <w:rFonts w:hint="eastAsia"/>
                <w:iCs/>
                <w:color w:val="000000"/>
                <w:spacing w:val="-27"/>
                <w:w w:val="15"/>
                <w:szCs w:val="20"/>
                <w:shd w:val="solid" w:color="000000" w:fill="000000"/>
                <w:fitText w:val="38" w:id="-1435749884"/>
                <w14:textFill>
                  <w14:solidFill>
                    <w14:srgbClr w14:val="000000">
                      <w14:alpha w14:val="100000"/>
                    </w14:srgbClr>
                  </w14:solidFill>
                </w14:textFill>
              </w:rPr>
              <w:t xml:space="preserve">　</w:t>
            </w:r>
            <w:r w:rsidR="00CB13C1">
              <w:rPr>
                <w:vertAlign w:val="superscript"/>
              </w:rPr>
              <w:t>2</w:t>
            </w:r>
          </w:p>
        </w:tc>
      </w:tr>
      <w:tr w:rsidR="00FE3CD3" w:rsidRPr="003639A6" w14:paraId="11A0E7AA" w14:textId="77777777" w:rsidTr="00481AC2">
        <w:tc>
          <w:tcPr>
            <w:tcW w:w="1256" w:type="pct"/>
            <w:shd w:val="clear" w:color="auto" w:fill="DBE5F1" w:themeFill="accent1" w:themeFillTint="33"/>
          </w:tcPr>
          <w:p w14:paraId="1A9B8237" w14:textId="0E46C848" w:rsidR="00FE3CD3" w:rsidRPr="00481AC2" w:rsidRDefault="00FE3CD3" w:rsidP="00FE3CD3">
            <w:pPr>
              <w:pStyle w:val="TableText"/>
              <w:rPr>
                <w:sz w:val="19"/>
                <w:szCs w:val="19"/>
                <w:vertAlign w:val="superscript"/>
              </w:rPr>
            </w:pPr>
            <w:r>
              <w:rPr>
                <w:sz w:val="19"/>
                <w:szCs w:val="19"/>
              </w:rPr>
              <w:t>Net cost to PBS/RPBS</w:t>
            </w:r>
            <w:r w:rsidR="00932184">
              <w:rPr>
                <w:sz w:val="19"/>
                <w:szCs w:val="19"/>
              </w:rPr>
              <w:t xml:space="preserve"> </w:t>
            </w:r>
            <w:r w:rsidR="00932184">
              <w:t xml:space="preserve">effective net </w:t>
            </w:r>
            <w:proofErr w:type="spellStart"/>
            <w:r w:rsidR="00932184">
              <w:t>expenditure</w:t>
            </w:r>
            <w:r w:rsidR="00EF21D6">
              <w:rPr>
                <w:vertAlign w:val="superscript"/>
              </w:rPr>
              <w:t>b</w:t>
            </w:r>
            <w:proofErr w:type="spellEnd"/>
          </w:p>
        </w:tc>
        <w:tc>
          <w:tcPr>
            <w:tcW w:w="624" w:type="pct"/>
            <w:shd w:val="clear" w:color="auto" w:fill="DBE5F1" w:themeFill="accent1" w:themeFillTint="33"/>
            <w:vAlign w:val="center"/>
          </w:tcPr>
          <w:p w14:paraId="5ADF33B2" w14:textId="0055A6E3"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8" w:id="-1435749883"/>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8" w:id="-1435749883"/>
                <w14:textFill>
                  <w14:solidFill>
                    <w14:srgbClr w14:val="000000">
                      <w14:alpha w14:val="100000"/>
                    </w14:srgbClr>
                  </w14:solidFill>
                </w14:textFill>
              </w:rPr>
              <w:t>|</w:t>
            </w:r>
            <w:r w:rsidR="00981284" w:rsidRPr="00981284">
              <w:rPr>
                <w:rFonts w:cs="Calibri"/>
                <w:color w:val="000000"/>
                <w:spacing w:val="4"/>
                <w:w w:val="19"/>
                <w:szCs w:val="20"/>
                <w:shd w:val="solid" w:color="000000" w:fill="000000"/>
                <w:fitText w:val="88" w:id="-1435749883"/>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3FCF2AF3" w14:textId="3437B844"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7" w:id="-1435749882"/>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7" w:id="-1435749882"/>
                <w14:textFill>
                  <w14:solidFill>
                    <w14:srgbClr w14:val="000000">
                      <w14:alpha w14:val="100000"/>
                    </w14:srgbClr>
                  </w14:solidFill>
                </w14:textFill>
              </w:rPr>
              <w:t>|</w:t>
            </w:r>
            <w:r w:rsidR="00981284" w:rsidRPr="00981284">
              <w:rPr>
                <w:rFonts w:cs="Calibri"/>
                <w:color w:val="000000"/>
                <w:spacing w:val="3"/>
                <w:w w:val="19"/>
                <w:szCs w:val="20"/>
                <w:shd w:val="solid" w:color="000000" w:fill="000000"/>
                <w:fitText w:val="87" w:id="-1435749882"/>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09AF8CB7" w14:textId="7EDA441C"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7" w:id="-1435749632"/>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7" w:id="-1435749632"/>
                <w14:textFill>
                  <w14:solidFill>
                    <w14:srgbClr w14:val="000000">
                      <w14:alpha w14:val="100000"/>
                    </w14:srgbClr>
                  </w14:solidFill>
                </w14:textFill>
              </w:rPr>
              <w:t>|</w:t>
            </w:r>
            <w:r w:rsidR="00981284" w:rsidRPr="00981284">
              <w:rPr>
                <w:rFonts w:cs="Calibri"/>
                <w:color w:val="000000"/>
                <w:spacing w:val="3"/>
                <w:w w:val="19"/>
                <w:szCs w:val="20"/>
                <w:shd w:val="solid" w:color="000000" w:fill="000000"/>
                <w:fitText w:val="87" w:id="-1435749632"/>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2EB5F331" w14:textId="55EFCD27"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7" w:id="-1435749631"/>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7" w:id="-1435749631"/>
                <w14:textFill>
                  <w14:solidFill>
                    <w14:srgbClr w14:val="000000">
                      <w14:alpha w14:val="100000"/>
                    </w14:srgbClr>
                  </w14:solidFill>
                </w14:textFill>
              </w:rPr>
              <w:t>|</w:t>
            </w:r>
            <w:r w:rsidR="00981284" w:rsidRPr="00981284">
              <w:rPr>
                <w:rFonts w:cs="Calibri"/>
                <w:color w:val="000000"/>
                <w:spacing w:val="3"/>
                <w:w w:val="19"/>
                <w:szCs w:val="20"/>
                <w:shd w:val="solid" w:color="000000" w:fill="000000"/>
                <w:fitText w:val="87" w:id="-1435749631"/>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153F66CF" w14:textId="2521D8CB"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7" w:id="-1435749630"/>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7" w:id="-1435749630"/>
                <w14:textFill>
                  <w14:solidFill>
                    <w14:srgbClr w14:val="000000">
                      <w14:alpha w14:val="100000"/>
                    </w14:srgbClr>
                  </w14:solidFill>
                </w14:textFill>
              </w:rPr>
              <w:t>|</w:t>
            </w:r>
            <w:r w:rsidR="00981284" w:rsidRPr="00981284">
              <w:rPr>
                <w:rFonts w:cs="Calibri"/>
                <w:color w:val="000000"/>
                <w:spacing w:val="3"/>
                <w:w w:val="19"/>
                <w:szCs w:val="20"/>
                <w:shd w:val="solid" w:color="000000" w:fill="000000"/>
                <w:fitText w:val="87" w:id="-1435749630"/>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3C57DC08" w14:textId="241C21FE"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981284">
              <w:rPr>
                <w:rFonts w:cs="Calibri"/>
                <w:color w:val="000000"/>
                <w:w w:val="19"/>
                <w:szCs w:val="20"/>
                <w:shd w:val="solid" w:color="000000" w:fill="000000"/>
                <w:fitText w:val="87" w:id="-1435749629"/>
                <w14:textFill>
                  <w14:solidFill>
                    <w14:srgbClr w14:val="000000">
                      <w14:alpha w14:val="100000"/>
                    </w14:srgbClr>
                  </w14:solidFill>
                </w14:textFill>
              </w:rPr>
              <w:t xml:space="preserve">　</w:t>
            </w:r>
            <w:r w:rsidR="00981284" w:rsidRPr="00981284">
              <w:rPr>
                <w:rFonts w:cs="Calibri"/>
                <w:color w:val="000000"/>
                <w:w w:val="19"/>
                <w:szCs w:val="20"/>
                <w:shd w:val="solid" w:color="000000" w:fill="000000"/>
                <w:fitText w:val="87" w:id="-1435749629"/>
                <w14:textFill>
                  <w14:solidFill>
                    <w14:srgbClr w14:val="000000">
                      <w14:alpha w14:val="100000"/>
                    </w14:srgbClr>
                  </w14:solidFill>
                </w14:textFill>
              </w:rPr>
              <w:t>|</w:t>
            </w:r>
            <w:r w:rsidR="00981284" w:rsidRPr="00981284">
              <w:rPr>
                <w:rFonts w:cs="Calibri"/>
                <w:color w:val="000000"/>
                <w:spacing w:val="3"/>
                <w:w w:val="19"/>
                <w:szCs w:val="20"/>
                <w:shd w:val="solid" w:color="000000" w:fill="000000"/>
                <w:fitText w:val="87" w:id="-1435749629"/>
                <w14:textFill>
                  <w14:solidFill>
                    <w14:srgbClr w14:val="000000">
                      <w14:alpha w14:val="100000"/>
                    </w14:srgbClr>
                  </w14:solidFill>
                </w14:textFill>
              </w:rPr>
              <w:t xml:space="preserve">　</w:t>
            </w:r>
            <w:r w:rsidR="00CB13C1">
              <w:rPr>
                <w:vertAlign w:val="superscript"/>
              </w:rPr>
              <w:t>5</w:t>
            </w:r>
          </w:p>
        </w:tc>
      </w:tr>
    </w:tbl>
    <w:p w14:paraId="0A84DEAA" w14:textId="35E1FC29" w:rsidR="00EF21D6" w:rsidRPr="00481AC2" w:rsidRDefault="00EF21D6" w:rsidP="00813BB6">
      <w:pPr>
        <w:pStyle w:val="TableFigureFooter"/>
      </w:pPr>
      <w:r>
        <w:t xml:space="preserve">Source: Table 3 of the resubmission </w:t>
      </w:r>
    </w:p>
    <w:p w14:paraId="2B7C2D20" w14:textId="7C52AB5C" w:rsidR="00EF21D6" w:rsidRPr="00EF21D6" w:rsidRDefault="00EF21D6" w:rsidP="00813BB6">
      <w:pPr>
        <w:pStyle w:val="TableFigureFooter"/>
      </w:pPr>
      <w:proofErr w:type="spellStart"/>
      <w:r>
        <w:rPr>
          <w:vertAlign w:val="superscript"/>
        </w:rPr>
        <w:t>a</w:t>
      </w:r>
      <w:proofErr w:type="spellEnd"/>
      <w:r>
        <w:t xml:space="preserve"> </w:t>
      </w:r>
      <w:r w:rsidRPr="00EF21D6">
        <w:t>Includes 86 patients that will transition to PBS–subsidised treatment.</w:t>
      </w:r>
    </w:p>
    <w:p w14:paraId="3EE698CA" w14:textId="07DEB424" w:rsidR="00573C95" w:rsidRDefault="00EF21D6" w:rsidP="00C417D0">
      <w:pPr>
        <w:pStyle w:val="TableFigureFooter"/>
        <w:spacing w:after="0"/>
      </w:pPr>
      <w:r>
        <w:rPr>
          <w:vertAlign w:val="superscript"/>
        </w:rPr>
        <w:t>b</w:t>
      </w:r>
      <w:r w:rsidR="00932184" w:rsidRPr="00932184">
        <w:t xml:space="preserve"> </w:t>
      </w:r>
      <w:r w:rsidR="007554B9">
        <w:t>E</w:t>
      </w:r>
      <w:r w:rsidR="00932184" w:rsidRPr="00932184">
        <w:t>xclud</w:t>
      </w:r>
      <w:r w:rsidR="007554B9">
        <w:t>es</w:t>
      </w:r>
      <w:r w:rsidR="00932184" w:rsidRPr="00932184">
        <w:t xml:space="preserve"> patient co-payments</w:t>
      </w:r>
    </w:p>
    <w:p w14:paraId="2869BA52" w14:textId="77777777" w:rsidR="00C417D0" w:rsidRDefault="00C417D0" w:rsidP="00C417D0">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7B1D9136" w14:textId="0D4777DE" w:rsidR="00C417D0" w:rsidRDefault="00C417D0" w:rsidP="00C417D0">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C417D0">
        <w:rPr>
          <w:rFonts w:ascii="Arial Narrow" w:hAnsi="Arial Narrow" w:cs="Arial"/>
          <w:i/>
          <w:sz w:val="18"/>
          <w:szCs w:val="18"/>
        </w:rPr>
        <w:t>500 to &lt; 5,000</w:t>
      </w:r>
    </w:p>
    <w:p w14:paraId="3858B203" w14:textId="12907970" w:rsidR="00C417D0" w:rsidRDefault="00C417D0" w:rsidP="00C417D0">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C417D0">
        <w:rPr>
          <w:rFonts w:ascii="Arial Narrow" w:hAnsi="Arial Narrow" w:cs="Arial"/>
          <w:i/>
          <w:sz w:val="18"/>
          <w:szCs w:val="18"/>
        </w:rPr>
        <w:t>5,000 to &lt; 10,000</w:t>
      </w:r>
    </w:p>
    <w:p w14:paraId="3DB1FE6C" w14:textId="183953D5" w:rsidR="00C417D0" w:rsidRDefault="00C417D0" w:rsidP="00C417D0">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C417D0">
        <w:rPr>
          <w:rFonts w:ascii="Arial Narrow" w:hAnsi="Arial Narrow" w:cs="Arial"/>
          <w:i/>
          <w:sz w:val="18"/>
          <w:szCs w:val="18"/>
        </w:rPr>
        <w:t>10,000 to &lt; 20,000</w:t>
      </w:r>
    </w:p>
    <w:p w14:paraId="707A4D33" w14:textId="214CD62A" w:rsidR="00C417D0" w:rsidRDefault="00C417D0" w:rsidP="00C417D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CB13C1" w:rsidRPr="00CB13C1">
        <w:rPr>
          <w:rFonts w:ascii="Arial Narrow" w:hAnsi="Arial Narrow" w:cs="Arial"/>
          <w:i/>
          <w:sz w:val="18"/>
          <w:szCs w:val="18"/>
        </w:rPr>
        <w:t>$10 million to &lt; $20 million</w:t>
      </w:r>
    </w:p>
    <w:p w14:paraId="1EF080CF" w14:textId="0E6D9321" w:rsidR="00C417D0" w:rsidRDefault="00C417D0" w:rsidP="00C417D0">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CB13C1" w:rsidRPr="00CB13C1">
        <w:rPr>
          <w:rFonts w:ascii="Arial Narrow" w:hAnsi="Arial Narrow" w:cs="Arial"/>
          <w:i/>
          <w:sz w:val="18"/>
          <w:szCs w:val="18"/>
        </w:rPr>
        <w:t>$30 million to &lt; $40 million</w:t>
      </w:r>
    </w:p>
    <w:p w14:paraId="0B8A529B" w14:textId="41E3E5F7" w:rsidR="00C417D0" w:rsidRDefault="00CB13C1" w:rsidP="00CB13C1">
      <w:pPr>
        <w:rPr>
          <w:rFonts w:ascii="Arial Narrow" w:hAnsi="Arial Narrow" w:cs="Arial"/>
          <w:i/>
          <w:sz w:val="18"/>
          <w:szCs w:val="18"/>
        </w:rPr>
      </w:pPr>
      <w:r>
        <w:rPr>
          <w:rFonts w:ascii="Arial Narrow" w:hAnsi="Arial Narrow" w:cs="Arial"/>
          <w:i/>
          <w:sz w:val="18"/>
          <w:szCs w:val="18"/>
          <w:vertAlign w:val="superscript"/>
        </w:rPr>
        <w:t>6</w:t>
      </w:r>
      <w:r w:rsidR="00C417D0">
        <w:rPr>
          <w:rFonts w:ascii="Arial Narrow" w:hAnsi="Arial Narrow" w:cs="Arial"/>
          <w:i/>
          <w:sz w:val="18"/>
          <w:szCs w:val="18"/>
        </w:rPr>
        <w:t xml:space="preserve"> </w:t>
      </w:r>
      <w:r w:rsidRPr="00CB13C1">
        <w:rPr>
          <w:rFonts w:ascii="Arial Narrow" w:hAnsi="Arial Narrow" w:cs="Arial"/>
          <w:i/>
          <w:sz w:val="18"/>
          <w:szCs w:val="18"/>
        </w:rPr>
        <w:t>20,000 to &lt; 30,000</w:t>
      </w:r>
    </w:p>
    <w:p w14:paraId="334FA49C" w14:textId="65F8F5C2" w:rsidR="00CB13C1" w:rsidRDefault="00CB13C1" w:rsidP="007F0A08">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CB13C1">
        <w:rPr>
          <w:rFonts w:ascii="Arial Narrow" w:hAnsi="Arial Narrow" w:cs="Arial"/>
          <w:i/>
          <w:sz w:val="18"/>
          <w:szCs w:val="18"/>
        </w:rPr>
        <w:t>$20 million to &lt; $30 million</w:t>
      </w:r>
    </w:p>
    <w:p w14:paraId="23F2C3D6" w14:textId="0A35D031" w:rsidR="00CB13C1" w:rsidRPr="00932184" w:rsidRDefault="00CB13C1" w:rsidP="00CB13C1">
      <w:pPr>
        <w:spacing w:after="120"/>
      </w:pPr>
      <w:r>
        <w:rPr>
          <w:rFonts w:ascii="Arial Narrow" w:hAnsi="Arial Narrow" w:cs="Arial"/>
          <w:i/>
          <w:sz w:val="18"/>
          <w:szCs w:val="18"/>
          <w:vertAlign w:val="superscript"/>
        </w:rPr>
        <w:t>8</w:t>
      </w:r>
      <w:r>
        <w:rPr>
          <w:rFonts w:ascii="Arial Narrow" w:hAnsi="Arial Narrow" w:cs="Arial"/>
          <w:i/>
          <w:sz w:val="18"/>
          <w:szCs w:val="18"/>
        </w:rPr>
        <w:t xml:space="preserve"> </w:t>
      </w:r>
      <w:r w:rsidRPr="00CB13C1">
        <w:rPr>
          <w:rFonts w:ascii="Arial Narrow" w:hAnsi="Arial Narrow" w:cs="Arial"/>
          <w:i/>
          <w:sz w:val="18"/>
          <w:szCs w:val="18"/>
        </w:rPr>
        <w:t>30,000 to &lt; 40,000</w:t>
      </w:r>
    </w:p>
    <w:p w14:paraId="64C948DA" w14:textId="0FF6157E" w:rsidR="00C90EF6" w:rsidRPr="00713A01" w:rsidRDefault="00C90EF6" w:rsidP="00014574">
      <w:pPr>
        <w:pStyle w:val="3-BodyText"/>
      </w:pPr>
      <w:r w:rsidRPr="00C90EF6">
        <w:t xml:space="preserve">The </w:t>
      </w:r>
      <w:r w:rsidR="00A24C84">
        <w:t xml:space="preserve">resubmission estimated a </w:t>
      </w:r>
      <w:r w:rsidRPr="00C90EF6">
        <w:t xml:space="preserve">net cost to the PBS/RPBS </w:t>
      </w:r>
      <w:r w:rsidR="00A24C84">
        <w:t>of</w:t>
      </w:r>
      <w:r w:rsidRPr="00C90EF6">
        <w:t xml:space="preserve"> </w:t>
      </w:r>
      <w:r w:rsidR="00713A01" w:rsidRPr="00713A01">
        <w:t>$20 million to &lt; $30 million</w:t>
      </w:r>
      <w:r w:rsidR="00713A01">
        <w:t xml:space="preserve"> </w:t>
      </w:r>
      <w:r w:rsidRPr="00C90EF6">
        <w:t>in Year 6, and</w:t>
      </w:r>
      <w:r w:rsidR="00014574">
        <w:t xml:space="preserve"> </w:t>
      </w:r>
      <w:bookmarkStart w:id="14" w:name="_Hlk113629257"/>
      <w:r w:rsidR="00014574" w:rsidRPr="00014574">
        <w:t>$100 million to &lt; $200 million</w:t>
      </w:r>
      <w:bookmarkEnd w:id="14"/>
      <w:r w:rsidR="00014574">
        <w:t xml:space="preserve"> </w:t>
      </w:r>
      <w:r w:rsidRPr="00C90EF6">
        <w:t xml:space="preserve">in the first 6 years of listing. </w:t>
      </w:r>
    </w:p>
    <w:p w14:paraId="19375230" w14:textId="032D316C" w:rsidR="00B16123" w:rsidRDefault="00A24C84" w:rsidP="00B16123">
      <w:pPr>
        <w:pStyle w:val="3-BodyText"/>
        <w:keepNext/>
        <w:keepLines/>
        <w:rPr>
          <w:rFonts w:cs="Calibri"/>
        </w:rPr>
      </w:pPr>
      <w:r w:rsidRPr="00B16123">
        <w:rPr>
          <w:rFonts w:cs="Calibri"/>
        </w:rPr>
        <w:lastRenderedPageBreak/>
        <w:t>Compared with the previous submission, t</w:t>
      </w:r>
      <w:r w:rsidR="00813BB6" w:rsidRPr="00B16123">
        <w:rPr>
          <w:rFonts w:cs="Calibri"/>
        </w:rPr>
        <w:t>he only change to the financial estimates was</w:t>
      </w:r>
      <w:r w:rsidR="006507AE" w:rsidRPr="00B16123">
        <w:rPr>
          <w:rFonts w:cs="Calibri"/>
        </w:rPr>
        <w:t xml:space="preserve"> the</w:t>
      </w:r>
      <w:r w:rsidR="00813BB6" w:rsidRPr="00B16123">
        <w:rPr>
          <w:rFonts w:cs="Calibri"/>
        </w:rPr>
        <w:t xml:space="preserve"> </w:t>
      </w:r>
      <w:r w:rsidRPr="00B16123">
        <w:rPr>
          <w:rFonts w:cs="Calibri"/>
        </w:rPr>
        <w:t>inclusion</w:t>
      </w:r>
      <w:r w:rsidR="00C90EF6" w:rsidRPr="00B16123">
        <w:rPr>
          <w:rFonts w:cs="Calibri"/>
        </w:rPr>
        <w:t xml:space="preserve"> of the lower price.</w:t>
      </w:r>
      <w:r w:rsidRPr="00B16123">
        <w:rPr>
          <w:rFonts w:cs="Calibri"/>
        </w:rPr>
        <w:t xml:space="preserve"> </w:t>
      </w:r>
      <w:r w:rsidR="00813BB6">
        <w:t>The resubmission maintained the average dose per patient at 15 mg/kg/day (rather than 17 mg/kg/day per the PBAC’s respecified base case for the economic model), which was conservative in the context of estimating an RSA cap.</w:t>
      </w:r>
      <w:r w:rsidR="00813BB6" w:rsidRPr="00B16123">
        <w:rPr>
          <w:rFonts w:cs="Calibri"/>
        </w:rPr>
        <w:t xml:space="preserve"> </w:t>
      </w:r>
    </w:p>
    <w:p w14:paraId="77CDB135" w14:textId="08210F06" w:rsidR="0058472D" w:rsidRPr="00B16123" w:rsidRDefault="0058472D" w:rsidP="00B16123">
      <w:pPr>
        <w:pStyle w:val="3-BodyText"/>
        <w:keepNext/>
        <w:keepLines/>
        <w:rPr>
          <w:rFonts w:cs="Calibri"/>
        </w:rPr>
      </w:pPr>
      <w:r>
        <w:rPr>
          <w:rFonts w:cs="Calibri"/>
        </w:rPr>
        <w:t>The resubmission stated the estimated number of treated patients was aligned with the diagnostic criteria outlined by the ESA (refer to Table 13, cannabidiol Minutes, 2022 PBAC meeting for methodology</w:t>
      </w:r>
      <w:proofErr w:type="gramStart"/>
      <w:r>
        <w:rPr>
          <w:rFonts w:cs="Calibri"/>
        </w:rPr>
        <w:t>)</w:t>
      </w:r>
      <w:proofErr w:type="gramEnd"/>
      <w:r>
        <w:rPr>
          <w:rFonts w:cs="Calibri"/>
        </w:rPr>
        <w:t xml:space="preserve"> and </w:t>
      </w:r>
      <w:r w:rsidR="002E10A5">
        <w:rPr>
          <w:rFonts w:cs="Calibri"/>
        </w:rPr>
        <w:t xml:space="preserve">the proposed </w:t>
      </w:r>
      <w:r>
        <w:rPr>
          <w:rFonts w:cs="Calibri"/>
        </w:rPr>
        <w:t>patient numbers</w:t>
      </w:r>
      <w:r w:rsidR="002E10A5">
        <w:rPr>
          <w:rFonts w:cs="Calibri"/>
        </w:rPr>
        <w:t xml:space="preserve"> were appropriate</w:t>
      </w:r>
      <w:r>
        <w:rPr>
          <w:rFonts w:cs="Calibri"/>
        </w:rPr>
        <w:t xml:space="preserve">.  </w:t>
      </w:r>
    </w:p>
    <w:p w14:paraId="67BFFF0E" w14:textId="77777777" w:rsidR="00EA3D44" w:rsidRPr="0084495F" w:rsidRDefault="00EA3D44" w:rsidP="00EA3D44">
      <w:pPr>
        <w:pStyle w:val="4-SubsectionHeading"/>
      </w:pPr>
      <w:r w:rsidRPr="0084495F">
        <w:t>Financial Management – Risk Sharing Arrangements</w:t>
      </w:r>
    </w:p>
    <w:p w14:paraId="4BA8B89E" w14:textId="77777777" w:rsidR="00EA3D44" w:rsidRDefault="00EA3D44" w:rsidP="00EA3D44">
      <w:pPr>
        <w:pStyle w:val="3-BodyText"/>
      </w:pPr>
      <w:r>
        <w:t xml:space="preserve">The PBAC previously </w:t>
      </w:r>
      <w:r w:rsidRPr="00C90EF6">
        <w:t xml:space="preserve">advised </w:t>
      </w:r>
      <w:r>
        <w:t xml:space="preserve">that </w:t>
      </w:r>
      <w:proofErr w:type="gramStart"/>
      <w:r w:rsidRPr="00C90EF6">
        <w:t>a</w:t>
      </w:r>
      <w:proofErr w:type="gramEnd"/>
      <w:r w:rsidRPr="00C90EF6">
        <w:t xml:space="preserve"> RSA</w:t>
      </w:r>
      <w:r>
        <w:t xml:space="preserve"> would be required </w:t>
      </w:r>
      <w:r w:rsidRPr="00C90EF6">
        <w:t xml:space="preserve">to manage the outstanding uncertainty regarding the dose likely to be used in clinical practice </w:t>
      </w:r>
      <w:r>
        <w:t xml:space="preserve">(paragraph 7.10, cannabidiol Minutes, March 2022 PBAC Meeting). </w:t>
      </w:r>
    </w:p>
    <w:p w14:paraId="22BF5AE5" w14:textId="7A0DDB55" w:rsidR="00EA3D44" w:rsidRDefault="00EA3D44" w:rsidP="00EA3D44">
      <w:pPr>
        <w:pStyle w:val="3-BodyText"/>
      </w:pPr>
      <w:r>
        <w:t xml:space="preserve">The resubmission proposed a </w:t>
      </w:r>
      <w:r w:rsidR="00981284" w:rsidRPr="00981284">
        <w:rPr>
          <w:color w:val="000000"/>
          <w:w w:val="60"/>
          <w:shd w:val="solid" w:color="000000" w:fill="000000"/>
          <w:fitText w:val="468" w:id="-1435749628"/>
          <w14:textFill>
            <w14:solidFill>
              <w14:srgbClr w14:val="000000">
                <w14:alpha w14:val="100000"/>
              </w14:srgbClr>
            </w14:solidFill>
          </w14:textFill>
        </w:rPr>
        <w:t>|||  ||</w:t>
      </w:r>
      <w:r w:rsidR="00981284" w:rsidRPr="00981284">
        <w:rPr>
          <w:color w:val="000000"/>
          <w:spacing w:val="4"/>
          <w:w w:val="60"/>
          <w:shd w:val="solid" w:color="000000" w:fill="000000"/>
          <w:fitText w:val="468" w:id="-1435749628"/>
          <w14:textFill>
            <w14:solidFill>
              <w14:srgbClr w14:val="000000">
                <w14:alpha w14:val="100000"/>
              </w14:srgbClr>
            </w14:solidFill>
          </w14:textFill>
        </w:rPr>
        <w:t>|</w:t>
      </w:r>
      <w:r>
        <w:t xml:space="preserve">% rebate on PBS expenditure that is </w:t>
      </w:r>
      <w:proofErr w:type="gramStart"/>
      <w:r>
        <w:t>in excess of</w:t>
      </w:r>
      <w:proofErr w:type="gramEnd"/>
      <w:r>
        <w:t xml:space="preserve"> the financial estimates outlined in </w:t>
      </w:r>
      <w:r w:rsidRPr="00B81756">
        <w:rPr>
          <w:rFonts w:cstheme="minorHAnsi"/>
          <w:b/>
          <w:bCs/>
          <w:szCs w:val="24"/>
        </w:rPr>
        <w:fldChar w:fldCharType="begin"/>
      </w:r>
      <w:r w:rsidRPr="00B81756">
        <w:rPr>
          <w:rFonts w:cstheme="minorHAnsi"/>
          <w:b/>
          <w:bCs/>
          <w:szCs w:val="24"/>
        </w:rPr>
        <w:instrText xml:space="preserve"> REF _Ref106615539 \h </w:instrText>
      </w:r>
      <w:r w:rsidR="00B81756" w:rsidRPr="00B81756">
        <w:rPr>
          <w:rFonts w:cstheme="minorHAnsi"/>
          <w:b/>
          <w:bCs/>
          <w:szCs w:val="24"/>
        </w:rPr>
        <w:instrText xml:space="preserve"> \* MERGEFORMAT </w:instrText>
      </w:r>
      <w:r w:rsidRPr="00B81756">
        <w:rPr>
          <w:rFonts w:cstheme="minorHAnsi"/>
          <w:b/>
          <w:bCs/>
          <w:szCs w:val="24"/>
        </w:rPr>
      </w:r>
      <w:r w:rsidRPr="00B81756">
        <w:rPr>
          <w:rFonts w:cstheme="minorHAnsi"/>
          <w:b/>
          <w:bCs/>
          <w:szCs w:val="24"/>
        </w:rPr>
        <w:fldChar w:fldCharType="separate"/>
      </w:r>
      <w:r w:rsidR="004141D9" w:rsidRPr="00B81756">
        <w:rPr>
          <w:rStyle w:val="CommentReference"/>
          <w:rFonts w:asciiTheme="minorHAnsi" w:hAnsiTheme="minorHAnsi" w:cstheme="minorHAnsi"/>
          <w:b w:val="0"/>
          <w:bCs w:val="0"/>
          <w:sz w:val="24"/>
          <w:szCs w:val="24"/>
        </w:rPr>
        <w:t xml:space="preserve">Table </w:t>
      </w:r>
      <w:r w:rsidR="004141D9" w:rsidRPr="00B81756">
        <w:rPr>
          <w:rStyle w:val="CommentReference"/>
          <w:rFonts w:asciiTheme="minorHAnsi" w:hAnsiTheme="minorHAnsi" w:cstheme="minorHAnsi"/>
          <w:b w:val="0"/>
          <w:bCs w:val="0"/>
          <w:noProof/>
          <w:sz w:val="24"/>
          <w:szCs w:val="24"/>
        </w:rPr>
        <w:t>3</w:t>
      </w:r>
      <w:r w:rsidRPr="00B81756">
        <w:rPr>
          <w:rFonts w:cstheme="minorHAnsi"/>
          <w:b/>
          <w:bCs/>
          <w:szCs w:val="24"/>
        </w:rPr>
        <w:fldChar w:fldCharType="end"/>
      </w:r>
      <w:r w:rsidRPr="00B81756">
        <w:rPr>
          <w:rFonts w:cstheme="minorHAnsi"/>
          <w:szCs w:val="24"/>
        </w:rPr>
        <w:t>. The</w:t>
      </w:r>
      <w:r>
        <w:t xml:space="preserve"> resubmission proposed a </w:t>
      </w:r>
      <w:r w:rsidR="00981284" w:rsidRPr="00CA12DB">
        <w:rPr>
          <w:color w:val="000000"/>
          <w:w w:val="15"/>
          <w:shd w:val="solid" w:color="000000" w:fill="000000"/>
          <w:fitText w:val="-20" w:id="-1435749627"/>
          <w14:textFill>
            <w14:solidFill>
              <w14:srgbClr w14:val="000000">
                <w14:alpha w14:val="100000"/>
              </w14:srgbClr>
            </w14:solidFill>
          </w14:textFill>
        </w:rPr>
        <w:t xml:space="preserve">|  </w:t>
      </w:r>
      <w:r w:rsidR="00981284" w:rsidRPr="00CA12DB">
        <w:rPr>
          <w:color w:val="000000"/>
          <w:spacing w:val="-69"/>
          <w:w w:val="15"/>
          <w:shd w:val="solid" w:color="000000" w:fill="000000"/>
          <w:fitText w:val="-20" w:id="-1435749627"/>
          <w14:textFill>
            <w14:solidFill>
              <w14:srgbClr w14:val="000000">
                <w14:alpha w14:val="100000"/>
              </w14:srgbClr>
            </w14:solidFill>
          </w14:textFill>
        </w:rPr>
        <w:t>|</w:t>
      </w:r>
      <w:r>
        <w:t xml:space="preserve">% rebate (rather than </w:t>
      </w:r>
      <w:r w:rsidR="00981284" w:rsidRPr="00CA12DB">
        <w:rPr>
          <w:color w:val="000000"/>
          <w:w w:val="15"/>
          <w:shd w:val="solid" w:color="000000" w:fill="000000"/>
          <w:fitText w:val="-20" w:id="-1435749626"/>
          <w14:textFill>
            <w14:solidFill>
              <w14:srgbClr w14:val="000000">
                <w14:alpha w14:val="100000"/>
              </w14:srgbClr>
            </w14:solidFill>
          </w14:textFill>
        </w:rPr>
        <w:t xml:space="preserve">|  </w:t>
      </w:r>
      <w:r w:rsidR="00981284" w:rsidRPr="00CA12DB">
        <w:rPr>
          <w:color w:val="000000"/>
          <w:spacing w:val="-69"/>
          <w:w w:val="15"/>
          <w:shd w:val="solid" w:color="000000" w:fill="000000"/>
          <w:fitText w:val="-20" w:id="-1435749626"/>
          <w14:textFill>
            <w14:solidFill>
              <w14:srgbClr w14:val="000000">
                <w14:alpha w14:val="100000"/>
              </w14:srgbClr>
            </w14:solidFill>
          </w14:textFill>
        </w:rPr>
        <w:t>|</w:t>
      </w:r>
      <w:r>
        <w:t>%) as the resubmission considered there was uncertainty around patient numbers and the potential for use outside the requested indication, ‘</w:t>
      </w:r>
      <w:r w:rsidRPr="00C90EF6">
        <w:t>given that different definitions of LGS can be applied in clinical practice</w:t>
      </w:r>
      <w:r>
        <w:t xml:space="preserve"> </w:t>
      </w:r>
      <w:r w:rsidRPr="00C90EF6">
        <w:t>(e.g., where ‘LGS-like’ conditions are labelled LGS)</w:t>
      </w:r>
      <w:r>
        <w:t>’</w:t>
      </w:r>
      <w:r w:rsidRPr="00C90EF6">
        <w:t>.</w:t>
      </w:r>
      <w:r>
        <w:t xml:space="preserve"> </w:t>
      </w:r>
    </w:p>
    <w:p w14:paraId="220EC056" w14:textId="79BD0E44" w:rsidR="00EA3D44" w:rsidRDefault="00EA3D44" w:rsidP="00EA3D44">
      <w:pPr>
        <w:pStyle w:val="3-BodyText"/>
      </w:pPr>
      <w:r>
        <w:t xml:space="preserve">Further, the resubmission argued that a </w:t>
      </w:r>
      <w:r w:rsidR="00981284" w:rsidRPr="00981284">
        <w:rPr>
          <w:color w:val="000000"/>
          <w:w w:val="60"/>
          <w:shd w:val="solid" w:color="000000" w:fill="000000"/>
          <w:fitText w:val="468" w:id="-1435749625"/>
          <w14:textFill>
            <w14:solidFill>
              <w14:srgbClr w14:val="000000">
                <w14:alpha w14:val="100000"/>
              </w14:srgbClr>
            </w14:solidFill>
          </w14:textFill>
        </w:rPr>
        <w:t>|||  ||</w:t>
      </w:r>
      <w:r w:rsidR="00981284" w:rsidRPr="00981284">
        <w:rPr>
          <w:color w:val="000000"/>
          <w:spacing w:val="4"/>
          <w:w w:val="60"/>
          <w:shd w:val="solid" w:color="000000" w:fill="000000"/>
          <w:fitText w:val="468" w:id="-1435749625"/>
          <w14:textFill>
            <w14:solidFill>
              <w14:srgbClr w14:val="000000">
                <w14:alpha w14:val="100000"/>
              </w14:srgbClr>
            </w14:solidFill>
          </w14:textFill>
        </w:rPr>
        <w:t>|</w:t>
      </w:r>
      <w:r>
        <w:t>% rebate would require that the sponsor rebate the wholesaler mark-ups, pharmacy mark-ups and dispensing fees (in addition to the ex-manufacturer cost of cannabidiol) which the resubmission stated would not be commercially feasible.</w:t>
      </w:r>
      <w:r w:rsidRPr="0058472D">
        <w:t xml:space="preserve"> </w:t>
      </w:r>
      <w:r>
        <w:t>The resubmission stated that h</w:t>
      </w:r>
      <w:r w:rsidRPr="0058472D">
        <w:t xml:space="preserve">aving to rebate both the cost of the drug and the fees and mark-ups means that </w:t>
      </w:r>
      <w:r>
        <w:t xml:space="preserve">sponsor’s </w:t>
      </w:r>
      <w:r w:rsidRPr="0058472D">
        <w:t>total income upon reaching the nominated threshold does not plateau (which is a reasonable expectation) but, instead, total income begins to decline once the threshold is reached.</w:t>
      </w:r>
    </w:p>
    <w:p w14:paraId="219477E8" w14:textId="77777777" w:rsidR="00EA312E" w:rsidRPr="0090150D" w:rsidRDefault="00EA312E" w:rsidP="00EA312E">
      <w:pPr>
        <w:pStyle w:val="2-SectionHeading"/>
      </w:pPr>
      <w:r w:rsidRPr="0090150D">
        <w:t>PBAC Outcome</w:t>
      </w:r>
    </w:p>
    <w:p w14:paraId="42447FFF" w14:textId="67926AC8" w:rsidR="001815CC" w:rsidRPr="00CE42B4" w:rsidRDefault="001815CC" w:rsidP="001815CC">
      <w:pPr>
        <w:pStyle w:val="3-BodyText"/>
        <w:rPr>
          <w:snapToGrid w:val="0"/>
          <w:lang w:val="en-GB"/>
        </w:rPr>
      </w:pPr>
      <w:r w:rsidRPr="00CE42B4">
        <w:rPr>
          <w:snapToGrid w:val="0"/>
          <w:lang w:val="en-GB"/>
        </w:rPr>
        <w:t>The PBAC did not recommend</w:t>
      </w:r>
      <w:r>
        <w:rPr>
          <w:snapToGrid w:val="0"/>
          <w:lang w:val="en-GB"/>
        </w:rPr>
        <w:t xml:space="preserve"> the listing of cannabidiol for the treatment of seizures associated with Lennox-Gastaut Syndrome (LGS) in patients who have not achieved adequate seizure control with at least two other anti-epileptic drugs (AEDs), as the incremental cost effectiveness ratio was unacceptably high at the price proposed in the resubmission. </w:t>
      </w:r>
    </w:p>
    <w:p w14:paraId="5715F78E" w14:textId="4D688DEB" w:rsidR="00C767B0" w:rsidRDefault="00C767B0" w:rsidP="00C767B0">
      <w:pPr>
        <w:pStyle w:val="3-BodyText"/>
        <w:rPr>
          <w:snapToGrid w:val="0"/>
          <w:lang w:val="en-GB"/>
        </w:rPr>
      </w:pPr>
      <w:r>
        <w:rPr>
          <w:snapToGrid w:val="0"/>
          <w:lang w:val="en-GB"/>
        </w:rPr>
        <w:t>The PBAC noted that no consumer comments were received in support of the resubmission</w:t>
      </w:r>
      <w:r w:rsidR="005F1529">
        <w:rPr>
          <w:snapToGrid w:val="0"/>
          <w:lang w:val="en-GB"/>
        </w:rPr>
        <w:t xml:space="preserve"> but recalled</w:t>
      </w:r>
      <w:r w:rsidR="00EA3D44">
        <w:rPr>
          <w:snapToGrid w:val="0"/>
          <w:lang w:val="en-GB"/>
        </w:rPr>
        <w:t xml:space="preserve"> comments supporting the availability of cannabidiol for LGS have been received previously</w:t>
      </w:r>
      <w:r w:rsidR="005F1529">
        <w:rPr>
          <w:snapToGrid w:val="0"/>
          <w:lang w:val="en-GB"/>
        </w:rPr>
        <w:t xml:space="preserve"> </w:t>
      </w:r>
      <w:r w:rsidR="00EA3D44">
        <w:rPr>
          <w:snapToGrid w:val="0"/>
          <w:lang w:val="en-GB"/>
        </w:rPr>
        <w:t>(paragraph 6.2, cannabidiol PSD, March 2022 PBAC meeting).</w:t>
      </w:r>
    </w:p>
    <w:p w14:paraId="3F194F28" w14:textId="035677D4" w:rsidR="00C81879" w:rsidRDefault="00C81879" w:rsidP="00C767B0">
      <w:pPr>
        <w:pStyle w:val="3-BodyText"/>
        <w:rPr>
          <w:snapToGrid w:val="0"/>
          <w:lang w:val="en-GB"/>
        </w:rPr>
      </w:pPr>
      <w:r>
        <w:rPr>
          <w:snapToGrid w:val="0"/>
          <w:lang w:val="en-GB"/>
        </w:rPr>
        <w:lastRenderedPageBreak/>
        <w:t>The PBAC</w:t>
      </w:r>
      <w:r w:rsidR="00B0263A">
        <w:rPr>
          <w:snapToGrid w:val="0"/>
          <w:lang w:val="en-GB"/>
        </w:rPr>
        <w:t xml:space="preserve"> acknowledged</w:t>
      </w:r>
      <w:r w:rsidR="00B16F0D">
        <w:rPr>
          <w:snapToGrid w:val="0"/>
          <w:lang w:val="en-GB"/>
        </w:rPr>
        <w:t xml:space="preserve"> LGS is a difficult condition to diagnose and treat but there are </w:t>
      </w:r>
      <w:proofErr w:type="gramStart"/>
      <w:r w:rsidR="00B16F0D">
        <w:rPr>
          <w:snapToGrid w:val="0"/>
          <w:lang w:val="en-GB"/>
        </w:rPr>
        <w:t>a number of</w:t>
      </w:r>
      <w:proofErr w:type="gramEnd"/>
      <w:r w:rsidR="00B16F0D">
        <w:rPr>
          <w:snapToGrid w:val="0"/>
          <w:lang w:val="en-GB"/>
        </w:rPr>
        <w:t xml:space="preserve"> other effective treatment options available</w:t>
      </w:r>
      <w:r w:rsidR="00D82FCD">
        <w:rPr>
          <w:snapToGrid w:val="0"/>
          <w:lang w:val="en-GB"/>
        </w:rPr>
        <w:t xml:space="preserve"> and the benefit of cannabidiol was </w:t>
      </w:r>
      <w:r w:rsidR="00A51075">
        <w:rPr>
          <w:snapToGrid w:val="0"/>
          <w:lang w:val="en-GB"/>
        </w:rPr>
        <w:t xml:space="preserve">likely to be </w:t>
      </w:r>
      <w:r w:rsidR="00D82FCD">
        <w:rPr>
          <w:snapToGrid w:val="0"/>
          <w:lang w:val="en-GB"/>
        </w:rPr>
        <w:t>modest</w:t>
      </w:r>
      <w:r w:rsidR="00B16F0D">
        <w:rPr>
          <w:snapToGrid w:val="0"/>
          <w:lang w:val="en-GB"/>
        </w:rPr>
        <w:t xml:space="preserve">.  </w:t>
      </w:r>
    </w:p>
    <w:p w14:paraId="77B77E98" w14:textId="16905F76" w:rsidR="00EA312E" w:rsidRDefault="00017F5C" w:rsidP="00D82FCD">
      <w:pPr>
        <w:pStyle w:val="3-BodyText"/>
        <w:rPr>
          <w:iCs/>
        </w:rPr>
      </w:pPr>
      <w:r w:rsidRPr="00C81879">
        <w:rPr>
          <w:iCs/>
        </w:rPr>
        <w:t xml:space="preserve">The PBAC </w:t>
      </w:r>
      <w:r w:rsidR="005A22AA" w:rsidRPr="00C81879">
        <w:rPr>
          <w:iCs/>
        </w:rPr>
        <w:t xml:space="preserve">noted the </w:t>
      </w:r>
      <w:r w:rsidR="00EB0E68" w:rsidRPr="00C81879">
        <w:rPr>
          <w:iCs/>
        </w:rPr>
        <w:t xml:space="preserve">resubmission did not accept the economic model respecifications proposed by the PBAC at the March 2022 meeting. </w:t>
      </w:r>
      <w:r w:rsidR="00C81879" w:rsidRPr="00D82FCD">
        <w:rPr>
          <w:iCs/>
        </w:rPr>
        <w:t>The PBAC noted the</w:t>
      </w:r>
      <w:r w:rsidR="00716D49">
        <w:rPr>
          <w:iCs/>
        </w:rPr>
        <w:t xml:space="preserve"> </w:t>
      </w:r>
      <w:r w:rsidR="00C81879" w:rsidRPr="00D82FCD">
        <w:rPr>
          <w:iCs/>
        </w:rPr>
        <w:t xml:space="preserve">ICER </w:t>
      </w:r>
      <w:r w:rsidR="009835A7" w:rsidRPr="00D82FCD">
        <w:rPr>
          <w:iCs/>
        </w:rPr>
        <w:t xml:space="preserve">using the </w:t>
      </w:r>
      <w:r w:rsidR="00F63E60">
        <w:rPr>
          <w:iCs/>
        </w:rPr>
        <w:t xml:space="preserve">respecified </w:t>
      </w:r>
      <w:r w:rsidR="00D82FCD" w:rsidRPr="00D82FCD">
        <w:rPr>
          <w:iCs/>
        </w:rPr>
        <w:t>economic model</w:t>
      </w:r>
      <w:r w:rsidR="004141D9">
        <w:rPr>
          <w:iCs/>
        </w:rPr>
        <w:t xml:space="preserve"> </w:t>
      </w:r>
      <w:r w:rsidR="00C81879" w:rsidRPr="00D82FCD">
        <w:rPr>
          <w:iCs/>
        </w:rPr>
        <w:t xml:space="preserve">was </w:t>
      </w:r>
      <w:r w:rsidR="00014574" w:rsidRPr="00BB5875">
        <w:t>$75,000 to &lt; $95,000</w:t>
      </w:r>
      <w:r w:rsidR="00014574">
        <w:t xml:space="preserve"> </w:t>
      </w:r>
      <w:r w:rsidR="00D82FCD" w:rsidRPr="00D82FCD">
        <w:rPr>
          <w:iCs/>
        </w:rPr>
        <w:t>per QALY</w:t>
      </w:r>
      <w:r w:rsidR="00716D49">
        <w:rPr>
          <w:iCs/>
        </w:rPr>
        <w:t xml:space="preserve"> </w:t>
      </w:r>
      <w:r w:rsidR="00716D49" w:rsidRPr="00D82FCD">
        <w:rPr>
          <w:iCs/>
        </w:rPr>
        <w:t>(excluding carer utilities)</w:t>
      </w:r>
      <w:r w:rsidR="00D82FCD" w:rsidRPr="00D82FCD">
        <w:rPr>
          <w:iCs/>
        </w:rPr>
        <w:t xml:space="preserve"> and </w:t>
      </w:r>
      <w:r w:rsidR="00716D49" w:rsidRPr="00D82FCD">
        <w:rPr>
          <w:iCs/>
        </w:rPr>
        <w:t xml:space="preserve">using the base case economic model </w:t>
      </w:r>
      <w:r w:rsidR="004141D9">
        <w:rPr>
          <w:iCs/>
        </w:rPr>
        <w:t xml:space="preserve">from the previous </w:t>
      </w:r>
      <w:r w:rsidR="00716D49" w:rsidRPr="00D82FCD">
        <w:rPr>
          <w:iCs/>
        </w:rPr>
        <w:t xml:space="preserve">submission </w:t>
      </w:r>
      <w:r w:rsidR="00716D49">
        <w:rPr>
          <w:iCs/>
        </w:rPr>
        <w:t xml:space="preserve">was </w:t>
      </w:r>
      <w:r w:rsidR="00014574">
        <w:rPr>
          <w:iCs/>
        </w:rPr>
        <w:t>$</w:t>
      </w:r>
      <w:r w:rsidR="00014574" w:rsidRPr="00C417D0">
        <w:t xml:space="preserve">55,000 to &lt; $75,000 </w:t>
      </w:r>
      <w:r w:rsidR="00C81879" w:rsidRPr="00D82FCD">
        <w:rPr>
          <w:iCs/>
        </w:rPr>
        <w:t>per QALY (excluding carer utilities)</w:t>
      </w:r>
      <w:r w:rsidR="004141D9">
        <w:rPr>
          <w:iCs/>
        </w:rPr>
        <w:t xml:space="preserve"> (both using the resubmission’s lower price)</w:t>
      </w:r>
      <w:r w:rsidR="00C81879" w:rsidRPr="00D82FCD">
        <w:rPr>
          <w:iCs/>
        </w:rPr>
        <w:t xml:space="preserve">. </w:t>
      </w:r>
      <w:r w:rsidR="00C81879" w:rsidRPr="00F63E60">
        <w:rPr>
          <w:iCs/>
        </w:rPr>
        <w:t xml:space="preserve">The PBAC recalled it had previously considered cannabidiol would be cost-effective for this population with an ICER less than </w:t>
      </w:r>
      <w:r w:rsidR="00014574" w:rsidRPr="00BB5875">
        <w:t>$45,000 to &lt; $55,000</w:t>
      </w:r>
      <w:r w:rsidR="00014574">
        <w:t xml:space="preserve"> </w:t>
      </w:r>
      <w:r w:rsidR="00C81879" w:rsidRPr="00F63E60">
        <w:rPr>
          <w:iCs/>
        </w:rPr>
        <w:t>per QALY (excluding carer utilities)</w:t>
      </w:r>
      <w:r w:rsidR="00716D49">
        <w:rPr>
          <w:iCs/>
        </w:rPr>
        <w:t xml:space="preserve"> and noted both economic models resulted in substantially higher ICERs</w:t>
      </w:r>
      <w:r w:rsidR="00C81879" w:rsidRPr="00F63E60">
        <w:rPr>
          <w:iCs/>
        </w:rPr>
        <w:t xml:space="preserve">. </w:t>
      </w:r>
      <w:r w:rsidR="00133FC4" w:rsidRPr="00F63E60">
        <w:rPr>
          <w:iCs/>
        </w:rPr>
        <w:t xml:space="preserve">The PBAC considered cannabidiol was not cost effective at the price proposed in the resubmission. </w:t>
      </w:r>
    </w:p>
    <w:p w14:paraId="31A6DBCD" w14:textId="7FD721E9" w:rsidR="00B81183" w:rsidRPr="00F63E60" w:rsidRDefault="00B81183" w:rsidP="00D82FCD">
      <w:pPr>
        <w:pStyle w:val="3-BodyText"/>
        <w:rPr>
          <w:iCs/>
        </w:rPr>
      </w:pPr>
      <w:r>
        <w:rPr>
          <w:iCs/>
        </w:rPr>
        <w:t xml:space="preserve">The PBAC noted the base case economic model in the resubmission continued to apply </w:t>
      </w:r>
      <w:r w:rsidRPr="00B81183">
        <w:rPr>
          <w:iCs/>
        </w:rPr>
        <w:t xml:space="preserve">transition probabilities </w:t>
      </w:r>
      <w:r>
        <w:rPr>
          <w:iCs/>
        </w:rPr>
        <w:t xml:space="preserve">from the </w:t>
      </w:r>
      <w:r w:rsidRPr="00B81183">
        <w:rPr>
          <w:iCs/>
        </w:rPr>
        <w:t xml:space="preserve">20 mg/kg/day </w:t>
      </w:r>
      <w:r>
        <w:rPr>
          <w:iCs/>
        </w:rPr>
        <w:t xml:space="preserve">arm of the clinical trials and treatment </w:t>
      </w:r>
      <w:r w:rsidRPr="00B81183">
        <w:rPr>
          <w:iCs/>
        </w:rPr>
        <w:t>costs based on a</w:t>
      </w:r>
      <w:r>
        <w:rPr>
          <w:iCs/>
        </w:rPr>
        <w:t xml:space="preserve">n average dose of </w:t>
      </w:r>
      <w:r w:rsidRPr="00B81183">
        <w:rPr>
          <w:iCs/>
        </w:rPr>
        <w:t>15 mg/kg/day</w:t>
      </w:r>
      <w:r>
        <w:rPr>
          <w:iCs/>
        </w:rPr>
        <w:t xml:space="preserve">. The PBAC considered this may be </w:t>
      </w:r>
      <w:proofErr w:type="gramStart"/>
      <w:r>
        <w:rPr>
          <w:iCs/>
        </w:rPr>
        <w:t>reasonable</w:t>
      </w:r>
      <w:proofErr w:type="gramEnd"/>
      <w:r>
        <w:rPr>
          <w:iCs/>
        </w:rPr>
        <w:t xml:space="preserve"> but it remained uncertain if the clinical outcomes in the 20 mg/ kg/ day treatment arm would be achieved at an average dose of 15 mg/ kg/ day in clinical practice. The PBAC acknowledged the fixed dose design of the clinical trials means this will remain unresolved. </w:t>
      </w:r>
    </w:p>
    <w:p w14:paraId="7722DDF8" w14:textId="30A44C0B" w:rsidR="00CC4EFF" w:rsidRPr="00CC4EFF" w:rsidRDefault="00D82FCD" w:rsidP="00AC2241">
      <w:pPr>
        <w:pStyle w:val="3-BodyText"/>
        <w:rPr>
          <w:snapToGrid w:val="0"/>
          <w:lang w:val="en-GB"/>
        </w:rPr>
      </w:pPr>
      <w:r w:rsidRPr="00CC4EFF">
        <w:rPr>
          <w:snapToGrid w:val="0"/>
          <w:lang w:val="en-GB"/>
        </w:rPr>
        <w:t xml:space="preserve">The </w:t>
      </w:r>
      <w:r w:rsidR="00415990" w:rsidRPr="00CC4EFF">
        <w:rPr>
          <w:snapToGrid w:val="0"/>
          <w:lang w:val="en-GB"/>
        </w:rPr>
        <w:t xml:space="preserve">PBAC noted the estimated net cost to the PBS/ RPBS over the first 6 years of listing </w:t>
      </w:r>
      <w:r w:rsidR="00294457">
        <w:rPr>
          <w:snapToGrid w:val="0"/>
          <w:lang w:val="en-GB"/>
        </w:rPr>
        <w:t xml:space="preserve">at the price proposed in the resubmission </w:t>
      </w:r>
      <w:r w:rsidR="00415990" w:rsidRPr="00CC4EFF">
        <w:rPr>
          <w:snapToGrid w:val="0"/>
          <w:lang w:val="en-GB"/>
        </w:rPr>
        <w:t xml:space="preserve">was </w:t>
      </w:r>
      <w:r w:rsidR="00014574" w:rsidRPr="00014574">
        <w:t>$100 million to &lt; $200 million</w:t>
      </w:r>
      <w:r w:rsidR="00415990" w:rsidRPr="00CC4EFF">
        <w:rPr>
          <w:snapToGrid w:val="0"/>
          <w:lang w:val="en-GB"/>
        </w:rPr>
        <w:t xml:space="preserve">. </w:t>
      </w:r>
      <w:r w:rsidR="00CC4EFF">
        <w:t>T</w:t>
      </w:r>
      <w:r w:rsidR="00415990">
        <w:t xml:space="preserve">he PBAC considered the financial impact was substantial and, as acknowledged in the resubmission, </w:t>
      </w:r>
      <w:r w:rsidR="00CC4EFF">
        <w:t xml:space="preserve">there was uncertainty around patient numbers and the potential for use outside the proposed population. </w:t>
      </w:r>
      <w:r>
        <w:t xml:space="preserve">The PBAC noted the resubmission </w:t>
      </w:r>
      <w:r w:rsidR="00CC4EFF">
        <w:t xml:space="preserve">appropriately </w:t>
      </w:r>
      <w:r>
        <w:t>proposed an RSA with expenditure caps aligned with the financial estimates</w:t>
      </w:r>
      <w:r w:rsidR="00CC4EFF">
        <w:t xml:space="preserve"> to manage the risk. However, the PBAC noted the resubmission proposed </w:t>
      </w:r>
      <w:r>
        <w:t xml:space="preserve">a </w:t>
      </w:r>
      <w:r w:rsidR="00981284" w:rsidRPr="00CA12DB">
        <w:rPr>
          <w:color w:val="000000"/>
          <w:w w:val="15"/>
          <w:shd w:val="solid" w:color="000000" w:fill="000000"/>
          <w:fitText w:val="-20" w:id="-1435749624"/>
          <w14:textFill>
            <w14:solidFill>
              <w14:srgbClr w14:val="000000">
                <w14:alpha w14:val="100000"/>
              </w14:srgbClr>
            </w14:solidFill>
          </w14:textFill>
        </w:rPr>
        <w:t xml:space="preserve">|  </w:t>
      </w:r>
      <w:r w:rsidR="00981284" w:rsidRPr="00CA12DB">
        <w:rPr>
          <w:color w:val="000000"/>
          <w:spacing w:val="-69"/>
          <w:w w:val="15"/>
          <w:shd w:val="solid" w:color="000000" w:fill="000000"/>
          <w:fitText w:val="-20" w:id="-1435749624"/>
          <w14:textFill>
            <w14:solidFill>
              <w14:srgbClr w14:val="000000">
                <w14:alpha w14:val="100000"/>
              </w14:srgbClr>
            </w14:solidFill>
          </w14:textFill>
        </w:rPr>
        <w:t>|</w:t>
      </w:r>
      <w:r>
        <w:t>% rebate on any expenditure over the caps</w:t>
      </w:r>
      <w:r w:rsidR="00CC4EFF">
        <w:t xml:space="preserve"> and considered it was uncertain if this appropriately managed the </w:t>
      </w:r>
      <w:r w:rsidR="00B70E83">
        <w:t xml:space="preserve">significant </w:t>
      </w:r>
      <w:r w:rsidR="00CC4EFF">
        <w:t>financial risk to the Commonwealth</w:t>
      </w:r>
      <w:r>
        <w:t xml:space="preserve">.  </w:t>
      </w:r>
    </w:p>
    <w:p w14:paraId="2EDDAA05" w14:textId="5BF28BA6" w:rsidR="00EA3D44" w:rsidRDefault="00EA3D44" w:rsidP="00EA3D44">
      <w:pPr>
        <w:pStyle w:val="3-BodyText"/>
        <w:rPr>
          <w:i/>
        </w:rPr>
      </w:pPr>
      <w:r w:rsidRPr="00EA3D44">
        <w:rPr>
          <w:iCs/>
        </w:rPr>
        <w:t>The PBAC</w:t>
      </w:r>
      <w:r>
        <w:rPr>
          <w:iCs/>
        </w:rPr>
        <w:t xml:space="preserve"> considered the following changes to the draft restriction criteria proposed in the resubmission were required:</w:t>
      </w:r>
      <w:r>
        <w:rPr>
          <w:i/>
        </w:rPr>
        <w:t xml:space="preserve"> </w:t>
      </w:r>
    </w:p>
    <w:p w14:paraId="1718B0AB" w14:textId="614CB118" w:rsidR="00EA3D44" w:rsidRPr="00EA3D44" w:rsidRDefault="00EA3D44" w:rsidP="00EA3D44">
      <w:pPr>
        <w:pStyle w:val="3-BodyText"/>
        <w:numPr>
          <w:ilvl w:val="0"/>
          <w:numId w:val="34"/>
        </w:numPr>
        <w:rPr>
          <w:iCs/>
        </w:rPr>
      </w:pPr>
      <w:r>
        <w:rPr>
          <w:iCs/>
        </w:rPr>
        <w:t>A</w:t>
      </w:r>
      <w:r w:rsidRPr="00EA3D44">
        <w:rPr>
          <w:iCs/>
        </w:rPr>
        <w:t xml:space="preserve">mendments </w:t>
      </w:r>
      <w:r>
        <w:rPr>
          <w:iCs/>
        </w:rPr>
        <w:t>as proposed by the Secretariat in Section 2;</w:t>
      </w:r>
    </w:p>
    <w:p w14:paraId="1F2E41BC" w14:textId="1BB1EE74" w:rsidR="00C767B0" w:rsidRPr="00EA3D44" w:rsidRDefault="00EA3D44" w:rsidP="00EA3D44">
      <w:pPr>
        <w:pStyle w:val="3-BodyText"/>
        <w:numPr>
          <w:ilvl w:val="0"/>
          <w:numId w:val="34"/>
        </w:numPr>
        <w:rPr>
          <w:i/>
        </w:rPr>
      </w:pPr>
      <w:r>
        <w:t>T</w:t>
      </w:r>
      <w:r w:rsidRPr="00D90B19">
        <w:t xml:space="preserve">he clinical criteria ‘The treatment must be in combination with at least one anti-epileptic drug’ should be amended to ‘The treatment must be in combination with at least two anti-epileptic </w:t>
      </w:r>
      <w:proofErr w:type="gramStart"/>
      <w:r w:rsidRPr="00D90B19">
        <w:t>drug</w:t>
      </w:r>
      <w:proofErr w:type="gramEnd"/>
      <w:r w:rsidRPr="00D90B19">
        <w:t>’, to be consistent with the clinical data for LGS and the current PBS listing for DS.</w:t>
      </w:r>
    </w:p>
    <w:p w14:paraId="0ACE01FC" w14:textId="1CF16C01" w:rsidR="00C767B0" w:rsidRDefault="00C767B0" w:rsidP="00C767B0">
      <w:pPr>
        <w:pStyle w:val="3-BodyText"/>
        <w:rPr>
          <w:snapToGrid w:val="0"/>
          <w:lang w:val="en-GB"/>
        </w:rPr>
      </w:pPr>
      <w:r>
        <w:rPr>
          <w:snapToGrid w:val="0"/>
          <w:lang w:val="en-GB"/>
        </w:rPr>
        <w:t xml:space="preserve">A </w:t>
      </w:r>
      <w:r w:rsidRPr="00180C37">
        <w:rPr>
          <w:snapToGrid w:val="0"/>
          <w:lang w:val="en-GB"/>
        </w:rPr>
        <w:t xml:space="preserve">resubmission may be lodged </w:t>
      </w:r>
      <w:r>
        <w:rPr>
          <w:snapToGrid w:val="0"/>
          <w:lang w:val="en-GB"/>
        </w:rPr>
        <w:t>for consideration at a</w:t>
      </w:r>
      <w:r w:rsidRPr="00180C37">
        <w:rPr>
          <w:snapToGrid w:val="0"/>
          <w:lang w:val="en-GB"/>
        </w:rPr>
        <w:t xml:space="preserve">ny future </w:t>
      </w:r>
      <w:r>
        <w:rPr>
          <w:snapToGrid w:val="0"/>
          <w:lang w:val="en-GB"/>
        </w:rPr>
        <w:t>PBAC meeting in accordance with lodgement timelines applicable to a standard re-entry pathway submission for that PBAC meeting.</w:t>
      </w:r>
      <w:r w:rsidRPr="00180C37">
        <w:rPr>
          <w:snapToGrid w:val="0"/>
          <w:lang w:val="en-GB"/>
        </w:rPr>
        <w:t xml:space="preserve"> </w:t>
      </w:r>
    </w:p>
    <w:p w14:paraId="1C2EE7CE" w14:textId="77777777" w:rsidR="00C767B0" w:rsidRPr="00180C37" w:rsidRDefault="00C767B0" w:rsidP="00C767B0">
      <w:pPr>
        <w:pStyle w:val="3-BodyText"/>
        <w:rPr>
          <w:snapToGrid w:val="0"/>
          <w:lang w:val="en-GB"/>
        </w:rPr>
      </w:pPr>
      <w:r w:rsidRPr="00180C37">
        <w:rPr>
          <w:snapToGrid w:val="0"/>
          <w:lang w:val="en-GB"/>
        </w:rPr>
        <w:t xml:space="preserve">The PBAC noted that this submission is eligible for an Independent </w:t>
      </w:r>
      <w:r>
        <w:rPr>
          <w:snapToGrid w:val="0"/>
          <w:lang w:val="en-GB"/>
        </w:rPr>
        <w:t>Review.</w:t>
      </w:r>
    </w:p>
    <w:p w14:paraId="6AA600A5" w14:textId="77777777" w:rsidR="00EA312E" w:rsidRPr="00525B39" w:rsidRDefault="00EA312E" w:rsidP="00EA312E">
      <w:pPr>
        <w:spacing w:before="240"/>
        <w:rPr>
          <w:rFonts w:asciiTheme="minorHAnsi" w:hAnsiTheme="minorHAnsi" w:cs="Arial"/>
          <w:b/>
          <w:bCs/>
          <w:snapToGrid w:val="0"/>
          <w:lang w:val="en-GB"/>
        </w:rPr>
      </w:pPr>
      <w:r w:rsidRPr="00525B39">
        <w:rPr>
          <w:rFonts w:asciiTheme="minorHAnsi" w:hAnsiTheme="minorHAnsi" w:cs="Arial"/>
          <w:b/>
          <w:bCs/>
          <w:snapToGrid w:val="0"/>
          <w:lang w:val="en-GB"/>
        </w:rPr>
        <w:lastRenderedPageBreak/>
        <w:t>Outcome:</w:t>
      </w:r>
    </w:p>
    <w:p w14:paraId="4FC52D34" w14:textId="1DAFFA3F" w:rsidR="00201FB8" w:rsidRDefault="00EA312E" w:rsidP="00523D08">
      <w:pPr>
        <w:spacing w:after="120"/>
        <w:rPr>
          <w:rFonts w:asciiTheme="minorHAnsi" w:hAnsiTheme="minorHAnsi" w:cs="Arial"/>
          <w:bCs/>
          <w:snapToGrid w:val="0"/>
          <w:lang w:val="en-GB"/>
        </w:rPr>
      </w:pPr>
      <w:r>
        <w:rPr>
          <w:rFonts w:asciiTheme="minorHAnsi" w:hAnsiTheme="minorHAnsi" w:cs="Arial"/>
          <w:bCs/>
          <w:snapToGrid w:val="0"/>
          <w:lang w:val="en-GB"/>
        </w:rPr>
        <w:t>Not recommended</w:t>
      </w:r>
    </w:p>
    <w:p w14:paraId="5F4F7426" w14:textId="48D2338D" w:rsidR="00523D08" w:rsidRDefault="00523D08" w:rsidP="00523D08">
      <w:pPr>
        <w:pStyle w:val="2-SectionHeading"/>
        <w:rPr>
          <w:bCs/>
          <w:lang w:val="en-GB"/>
        </w:rPr>
      </w:pPr>
      <w:bookmarkStart w:id="15" w:name="_Hlk112834232"/>
      <w:r w:rsidRPr="00C07617">
        <w:t>Context for Decision</w:t>
      </w:r>
    </w:p>
    <w:p w14:paraId="0627B74A" w14:textId="77777777" w:rsidR="00523D08" w:rsidRPr="007129F2" w:rsidRDefault="00523D08" w:rsidP="00523D08">
      <w:pPr>
        <w:pStyle w:val="3-BodyText"/>
        <w:numPr>
          <w:ilvl w:val="0"/>
          <w:numId w:val="0"/>
        </w:numPr>
        <w:ind w:left="720"/>
        <w:rPr>
          <w:rFonts w:cs="Arial"/>
          <w:bCs/>
          <w:lang w:val="en-GB"/>
        </w:rPr>
      </w:pPr>
      <w:r w:rsidRPr="007129F2">
        <w:rPr>
          <w:rFonts w:cs="Arial"/>
          <w:bCs/>
          <w:lang w:val="en-GB"/>
        </w:rPr>
        <w:t xml:space="preserve">The PBAC </w:t>
      </w:r>
      <w:r w:rsidRPr="00523D08">
        <w:rPr>
          <w:snapToGrid w:val="0"/>
          <w:lang w:val="en-GB"/>
        </w:rPr>
        <w:t>helps</w:t>
      </w:r>
      <w:r w:rsidRPr="007129F2">
        <w:rPr>
          <w:rFonts w:cs="Arial"/>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AF516C" w14:textId="2B826513" w:rsidR="00523D08" w:rsidRPr="00C07617" w:rsidRDefault="00523D08" w:rsidP="00523D08">
      <w:pPr>
        <w:pStyle w:val="2-SectionHeading"/>
        <w:rPr>
          <w:b w:val="0"/>
        </w:rPr>
      </w:pPr>
      <w:r>
        <w:t>Sponsor’s Comment</w:t>
      </w:r>
    </w:p>
    <w:bookmarkEnd w:id="15"/>
    <w:p w14:paraId="47938681" w14:textId="7E17C8AC" w:rsidR="00523D08" w:rsidRPr="00523D08" w:rsidRDefault="00523D08" w:rsidP="00523D08">
      <w:pPr>
        <w:pStyle w:val="3-BodyText"/>
        <w:numPr>
          <w:ilvl w:val="0"/>
          <w:numId w:val="0"/>
        </w:numPr>
        <w:ind w:left="720"/>
        <w:rPr>
          <w:rFonts w:cs="Arial"/>
          <w:bCs/>
          <w:szCs w:val="24"/>
        </w:rPr>
      </w:pPr>
      <w:r w:rsidRPr="00C07617">
        <w:rPr>
          <w:rFonts w:cs="Arial"/>
          <w:bCs/>
        </w:rPr>
        <w:t>The sponsor had no comment.</w:t>
      </w:r>
    </w:p>
    <w:p w14:paraId="531EFD39" w14:textId="77777777" w:rsidR="00523D08" w:rsidRDefault="00523D08" w:rsidP="0000329C"/>
    <w:sectPr w:rsidR="00523D08" w:rsidSect="0000329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EE66" w14:textId="77777777" w:rsidR="00A00028" w:rsidRDefault="00A00028">
      <w:r>
        <w:separator/>
      </w:r>
    </w:p>
    <w:p w14:paraId="3919929A" w14:textId="77777777" w:rsidR="00A00028" w:rsidRDefault="00A00028"/>
    <w:p w14:paraId="2519E5BB" w14:textId="77777777" w:rsidR="00A00028" w:rsidRDefault="00A00028"/>
  </w:endnote>
  <w:endnote w:type="continuationSeparator" w:id="0">
    <w:p w14:paraId="1ED4CF0B" w14:textId="77777777" w:rsidR="00A00028" w:rsidRDefault="00A00028">
      <w:r>
        <w:continuationSeparator/>
      </w:r>
    </w:p>
    <w:p w14:paraId="651799A8" w14:textId="77777777" w:rsidR="00A00028" w:rsidRDefault="00A00028"/>
    <w:p w14:paraId="556EB8DE" w14:textId="77777777" w:rsidR="00A00028" w:rsidRDefault="00A00028"/>
  </w:endnote>
  <w:endnote w:type="continuationNotice" w:id="1">
    <w:p w14:paraId="6D93A5A6" w14:textId="77777777" w:rsidR="00A00028" w:rsidRDefault="00A00028"/>
    <w:p w14:paraId="5446BD6D" w14:textId="77777777" w:rsidR="00A00028" w:rsidRDefault="00A0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D82FCD" w14:paraId="4075D3FE" w14:textId="77777777" w:rsidTr="005A3173">
      <w:trPr>
        <w:trHeight w:val="151"/>
      </w:trPr>
      <w:tc>
        <w:tcPr>
          <w:tcW w:w="2250" w:type="pct"/>
          <w:tcBorders>
            <w:top w:val="nil"/>
            <w:left w:val="nil"/>
            <w:bottom w:val="single" w:sz="4" w:space="0" w:color="4F81BD"/>
            <w:right w:val="nil"/>
          </w:tcBorders>
        </w:tcPr>
        <w:p w14:paraId="096D0DDE"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37B9A2BD"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82FCD" w:rsidRPr="005A3173" w:rsidRDefault="00D82FCD" w:rsidP="005A3173">
          <w:pPr>
            <w:spacing w:line="276" w:lineRule="auto"/>
            <w:rPr>
              <w:rFonts w:eastAsia="MS Gothic"/>
              <w:b/>
              <w:bCs/>
              <w:color w:val="4F81BD"/>
            </w:rPr>
          </w:pPr>
        </w:p>
      </w:tc>
    </w:tr>
    <w:tr w:rsidR="00D82FCD" w14:paraId="32EF4DB8" w14:textId="77777777" w:rsidTr="005A3173">
      <w:trPr>
        <w:trHeight w:val="150"/>
      </w:trPr>
      <w:tc>
        <w:tcPr>
          <w:tcW w:w="2250" w:type="pct"/>
          <w:tcBorders>
            <w:top w:val="single" w:sz="4" w:space="0" w:color="4F81BD"/>
            <w:left w:val="nil"/>
            <w:bottom w:val="nil"/>
            <w:right w:val="nil"/>
          </w:tcBorders>
        </w:tcPr>
        <w:p w14:paraId="03528A4C"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109042FB"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09664199" w14:textId="77777777" w:rsidR="00D82FCD" w:rsidRPr="005A3173" w:rsidRDefault="00D82FCD" w:rsidP="005A3173">
          <w:pPr>
            <w:spacing w:line="276" w:lineRule="auto"/>
            <w:rPr>
              <w:rFonts w:eastAsia="MS Gothic"/>
              <w:b/>
              <w:bCs/>
              <w:color w:val="4F81BD"/>
            </w:rPr>
          </w:pPr>
        </w:p>
      </w:tc>
    </w:tr>
  </w:tbl>
  <w:p w14:paraId="21855C18" w14:textId="78A7B966" w:rsidR="00D82FCD" w:rsidRDefault="00D82FCD" w:rsidP="00653D69">
    <w:pPr>
      <w:framePr w:wrap="around" w:vAnchor="text" w:hAnchor="margin" w:xAlign="center" w:y="1"/>
    </w:pPr>
    <w:r>
      <w:fldChar w:fldCharType="begin"/>
    </w:r>
    <w:r>
      <w:instrText xml:space="preserve">PAGE  </w:instrText>
    </w:r>
    <w:r>
      <w:fldChar w:fldCharType="separate"/>
    </w:r>
    <w:r w:rsidR="00981284">
      <w:rPr>
        <w:noProof/>
      </w:rPr>
      <w:t>1</w:t>
    </w:r>
    <w:r>
      <w:fldChar w:fldCharType="end"/>
    </w:r>
  </w:p>
  <w:p w14:paraId="142ACCCE" w14:textId="77777777" w:rsidR="00D82FCD" w:rsidRDefault="00D82FCD"/>
  <w:p w14:paraId="48FFA445" w14:textId="77777777" w:rsidR="00D82FCD" w:rsidRDefault="00D82FCD"/>
  <w:p w14:paraId="49A45502" w14:textId="77777777" w:rsidR="00D82FCD" w:rsidRDefault="00D82F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D82FCD" w:rsidRPr="00D13A3E" w:rsidRDefault="00D82FCD" w:rsidP="00CF066B">
    <w:pPr>
      <w:pStyle w:val="Footer"/>
    </w:pPr>
  </w:p>
  <w:p w14:paraId="07DAAF98" w14:textId="3EEDDEEE" w:rsidR="00D82FCD" w:rsidRPr="008D1D0C" w:rsidRDefault="00D82FCD" w:rsidP="00CF066B">
    <w:pPr>
      <w:pStyle w:val="Footer"/>
      <w:rPr>
        <w:b/>
        <w:bCs/>
      </w:rPr>
    </w:pPr>
    <w:r w:rsidRPr="008D1D0C">
      <w:rPr>
        <w:b/>
        <w:bCs/>
      </w:rPr>
      <w:fldChar w:fldCharType="begin"/>
    </w:r>
    <w:r w:rsidRPr="008D1D0C">
      <w:rPr>
        <w:b/>
        <w:bCs/>
      </w:rPr>
      <w:instrText xml:space="preserve"> PAGE   \* MERGEFORMAT </w:instrText>
    </w:r>
    <w:r w:rsidRPr="008D1D0C">
      <w:rPr>
        <w:b/>
        <w:bCs/>
      </w:rPr>
      <w:fldChar w:fldCharType="separate"/>
    </w:r>
    <w:r w:rsidRPr="008D1D0C">
      <w:rPr>
        <w:b/>
        <w:bCs/>
        <w:noProof/>
      </w:rPr>
      <w:t>1</w:t>
    </w:r>
    <w:r w:rsidRPr="008D1D0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D82FCD" w14:paraId="1B1A9BFB" w14:textId="77777777" w:rsidTr="005A3173">
      <w:trPr>
        <w:trHeight w:val="151"/>
      </w:trPr>
      <w:tc>
        <w:tcPr>
          <w:tcW w:w="2250" w:type="pct"/>
          <w:tcBorders>
            <w:top w:val="nil"/>
            <w:left w:val="nil"/>
            <w:bottom w:val="single" w:sz="4" w:space="0" w:color="4F81BD"/>
            <w:right w:val="nil"/>
          </w:tcBorders>
        </w:tcPr>
        <w:p w14:paraId="1AEC0F9B"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6D1F795C"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D82FCD" w:rsidRPr="005A3173" w:rsidRDefault="00D82FCD" w:rsidP="005A3173">
          <w:pPr>
            <w:spacing w:line="276" w:lineRule="auto"/>
            <w:rPr>
              <w:rFonts w:eastAsia="MS Gothic"/>
              <w:b/>
              <w:bCs/>
              <w:color w:val="4F81BD"/>
            </w:rPr>
          </w:pPr>
        </w:p>
      </w:tc>
    </w:tr>
    <w:tr w:rsidR="00D82FCD" w14:paraId="0A17FD7B" w14:textId="77777777" w:rsidTr="005A3173">
      <w:trPr>
        <w:trHeight w:val="150"/>
      </w:trPr>
      <w:tc>
        <w:tcPr>
          <w:tcW w:w="2250" w:type="pct"/>
          <w:tcBorders>
            <w:top w:val="single" w:sz="4" w:space="0" w:color="4F81BD"/>
            <w:left w:val="nil"/>
            <w:bottom w:val="nil"/>
            <w:right w:val="nil"/>
          </w:tcBorders>
        </w:tcPr>
        <w:p w14:paraId="66DEA9D9"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0726D67B"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77FEEEB1" w14:textId="77777777" w:rsidR="00D82FCD" w:rsidRPr="005A3173" w:rsidRDefault="00D82FCD"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D82FCD" w14:paraId="434C4AE3" w14:textId="77777777" w:rsidTr="005A3173">
      <w:trPr>
        <w:trHeight w:val="151"/>
      </w:trPr>
      <w:tc>
        <w:tcPr>
          <w:tcW w:w="2250" w:type="pct"/>
          <w:tcBorders>
            <w:top w:val="nil"/>
            <w:left w:val="nil"/>
            <w:bottom w:val="single" w:sz="4" w:space="0" w:color="4F81BD"/>
            <w:right w:val="nil"/>
          </w:tcBorders>
        </w:tcPr>
        <w:p w14:paraId="556410DA"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7AE76BBC"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D82FCD" w:rsidRPr="005A3173" w:rsidRDefault="00D82FCD" w:rsidP="005A3173">
          <w:pPr>
            <w:spacing w:line="276" w:lineRule="auto"/>
            <w:rPr>
              <w:rFonts w:eastAsia="MS Gothic"/>
              <w:b/>
              <w:bCs/>
              <w:color w:val="4F81BD"/>
            </w:rPr>
          </w:pPr>
        </w:p>
      </w:tc>
    </w:tr>
    <w:tr w:rsidR="00D82FCD" w14:paraId="2F5EEC4C" w14:textId="77777777" w:rsidTr="005A3173">
      <w:trPr>
        <w:trHeight w:val="150"/>
      </w:trPr>
      <w:tc>
        <w:tcPr>
          <w:tcW w:w="2250" w:type="pct"/>
          <w:tcBorders>
            <w:top w:val="single" w:sz="4" w:space="0" w:color="4F81BD"/>
            <w:left w:val="nil"/>
            <w:bottom w:val="nil"/>
            <w:right w:val="nil"/>
          </w:tcBorders>
        </w:tcPr>
        <w:p w14:paraId="60E1BA15"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4EACACBE"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516BCB31" w14:textId="77777777" w:rsidR="00D82FCD" w:rsidRPr="005A3173" w:rsidRDefault="00D82FCD" w:rsidP="005A3173">
          <w:pPr>
            <w:spacing w:line="276" w:lineRule="auto"/>
            <w:rPr>
              <w:rFonts w:eastAsia="MS Gothic"/>
              <w:b/>
              <w:bCs/>
              <w:color w:val="4F81BD"/>
            </w:rPr>
          </w:pPr>
        </w:p>
      </w:tc>
    </w:tr>
  </w:tbl>
  <w:p w14:paraId="679BDCC0" w14:textId="77777777" w:rsidR="00D82FCD" w:rsidRPr="007C0F57" w:rsidRDefault="00D82FCD"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D82FCD" w:rsidRPr="007C0F57" w:rsidRDefault="00D82FCD" w:rsidP="007C0F57">
    <w:pPr>
      <w:jc w:val="center"/>
      <w:rPr>
        <w:b/>
        <w:i/>
        <w:sz w:val="20"/>
        <w:szCs w:val="20"/>
      </w:rPr>
    </w:pPr>
    <w:r w:rsidRPr="007C0F57">
      <w:rPr>
        <w:b/>
        <w:i/>
        <w:sz w:val="20"/>
        <w:szCs w:val="20"/>
      </w:rPr>
      <w:t>Commercial-in-Confidence</w:t>
    </w:r>
  </w:p>
  <w:p w14:paraId="36E9E30B" w14:textId="77777777" w:rsidR="00D82FCD" w:rsidRDefault="00D82FCD"/>
  <w:p w14:paraId="419E5320" w14:textId="77777777" w:rsidR="00D82FCD" w:rsidRDefault="00D82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F9EB" w14:textId="77777777" w:rsidR="00A00028" w:rsidRDefault="00A00028">
      <w:r>
        <w:separator/>
      </w:r>
    </w:p>
    <w:p w14:paraId="11377BA6" w14:textId="77777777" w:rsidR="00A00028" w:rsidRDefault="00A00028"/>
    <w:p w14:paraId="188F57EA" w14:textId="77777777" w:rsidR="00A00028" w:rsidRDefault="00A00028"/>
  </w:footnote>
  <w:footnote w:type="continuationSeparator" w:id="0">
    <w:p w14:paraId="17664913" w14:textId="77777777" w:rsidR="00A00028" w:rsidRDefault="00A00028">
      <w:r>
        <w:continuationSeparator/>
      </w:r>
    </w:p>
    <w:p w14:paraId="4A0E22B0" w14:textId="77777777" w:rsidR="00A00028" w:rsidRDefault="00A00028"/>
    <w:p w14:paraId="1B558A0A" w14:textId="77777777" w:rsidR="00A00028" w:rsidRDefault="00A00028"/>
  </w:footnote>
  <w:footnote w:type="continuationNotice" w:id="1">
    <w:p w14:paraId="1ED6B956" w14:textId="77777777" w:rsidR="00A00028" w:rsidRDefault="00A00028"/>
    <w:p w14:paraId="2E90DC21" w14:textId="77777777" w:rsidR="00A00028" w:rsidRDefault="00A00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D82FCD"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82FCD" w:rsidRPr="00A06225" w:rsidRDefault="00D82FCD">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D82FCD" w:rsidRPr="00A06225" w:rsidRDefault="00D82FCD"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82FCD" w:rsidRPr="00A06225" w:rsidRDefault="00D82FCD">
          <w:pPr>
            <w:spacing w:line="276" w:lineRule="auto"/>
            <w:rPr>
              <w:rFonts w:ascii="Cambria" w:eastAsia="MS Gothic" w:hAnsi="Cambria"/>
              <w:b/>
              <w:bCs/>
              <w:color w:val="4F81BD"/>
            </w:rPr>
          </w:pPr>
        </w:p>
      </w:tc>
    </w:tr>
    <w:tr w:rsidR="00D82FCD"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82FCD" w:rsidRPr="00A06225" w:rsidRDefault="00D82FCD">
          <w:pPr>
            <w:spacing w:line="276" w:lineRule="auto"/>
            <w:rPr>
              <w:rFonts w:ascii="Cambria" w:eastAsia="MS Gothic" w:hAnsi="Cambria"/>
              <w:b/>
              <w:bCs/>
              <w:color w:val="4F81BD"/>
            </w:rPr>
          </w:pPr>
        </w:p>
      </w:tc>
      <w:tc>
        <w:tcPr>
          <w:tcW w:w="0" w:type="auto"/>
          <w:vMerge/>
          <w:vAlign w:val="center"/>
          <w:hideMark/>
        </w:tcPr>
        <w:p w14:paraId="00B70FF1" w14:textId="77777777" w:rsidR="00D82FCD" w:rsidRPr="00A06225" w:rsidRDefault="00D82FCD">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82FCD" w:rsidRPr="00A06225" w:rsidRDefault="00D82FCD">
          <w:pPr>
            <w:spacing w:line="276" w:lineRule="auto"/>
            <w:rPr>
              <w:rFonts w:ascii="Cambria" w:eastAsia="MS Gothic" w:hAnsi="Cambria"/>
              <w:b/>
              <w:bCs/>
              <w:color w:val="4F81BD"/>
            </w:rPr>
          </w:pPr>
        </w:p>
      </w:tc>
    </w:tr>
  </w:tbl>
  <w:p w14:paraId="7DCC695F" w14:textId="77777777" w:rsidR="00D82FCD" w:rsidRDefault="00D82FCD"/>
  <w:p w14:paraId="25F34A60" w14:textId="77777777" w:rsidR="00D82FCD" w:rsidRDefault="00D82FCD"/>
  <w:p w14:paraId="571F4956" w14:textId="77777777" w:rsidR="00D82FCD" w:rsidRDefault="00D82F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9CBA" w14:textId="327DE2EB" w:rsidR="00D82FCD" w:rsidRPr="00056684" w:rsidRDefault="0064222C" w:rsidP="008D1D0C">
    <w:pPr>
      <w:pStyle w:val="Header"/>
      <w:keepNext/>
      <w:ind w:left="360"/>
      <w:jc w:val="center"/>
      <w:rPr>
        <w:rFonts w:asciiTheme="minorHAnsi" w:hAnsiTheme="minorHAnsi" w:cs="Arial"/>
        <w:i/>
        <w:color w:val="808080"/>
      </w:rPr>
    </w:pPr>
    <w:bookmarkStart w:id="16" w:name="_Hlk76375146"/>
    <w:r>
      <w:rPr>
        <w:rFonts w:asciiTheme="minorHAnsi" w:hAnsiTheme="minorHAnsi" w:cs="Arial"/>
        <w:i/>
        <w:color w:val="808080"/>
      </w:rPr>
      <w:t>Public Summary Document</w:t>
    </w:r>
    <w:r w:rsidR="00D82FCD" w:rsidRPr="00056684">
      <w:rPr>
        <w:rFonts w:asciiTheme="minorHAnsi" w:hAnsiTheme="minorHAnsi" w:cs="Arial"/>
        <w:i/>
        <w:color w:val="808080"/>
      </w:rPr>
      <w:t xml:space="preserve"> –</w:t>
    </w:r>
    <w:r w:rsidR="00D82FCD">
      <w:rPr>
        <w:rFonts w:asciiTheme="minorHAnsi" w:hAnsiTheme="minorHAnsi" w:cs="Arial"/>
        <w:i/>
        <w:color w:val="808080"/>
      </w:rPr>
      <w:t xml:space="preserve"> July</w:t>
    </w:r>
    <w:r w:rsidR="00B942A8">
      <w:rPr>
        <w:rFonts w:asciiTheme="minorHAnsi" w:hAnsiTheme="minorHAnsi" w:cs="Arial"/>
        <w:i/>
        <w:color w:val="808080"/>
      </w:rPr>
      <w:t xml:space="preserve"> </w:t>
    </w:r>
    <w:r w:rsidR="00D82FCD">
      <w:rPr>
        <w:rFonts w:asciiTheme="minorHAnsi" w:hAnsiTheme="minorHAnsi" w:cs="Arial"/>
        <w:i/>
        <w:color w:val="808080"/>
      </w:rPr>
      <w:t>2022</w:t>
    </w:r>
    <w:r w:rsidR="00D82FCD" w:rsidRPr="00056684">
      <w:rPr>
        <w:rFonts w:asciiTheme="minorHAnsi" w:hAnsiTheme="minorHAnsi" w:cs="Arial"/>
        <w:i/>
        <w:color w:val="808080"/>
      </w:rPr>
      <w:t xml:space="preserve"> PBAC Meeting</w:t>
    </w:r>
  </w:p>
  <w:bookmarkEnd w:id="16"/>
  <w:p w14:paraId="74A766A4" w14:textId="77777777" w:rsidR="00D82FCD" w:rsidRDefault="00D82FCD" w:rsidP="008D1D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142" w14:textId="77777777" w:rsidR="00981284" w:rsidRDefault="00981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69EFE"/>
    <w:multiLevelType w:val="hybridMultilevel"/>
    <w:tmpl w:val="016908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8D03B53"/>
    <w:multiLevelType w:val="hybridMultilevel"/>
    <w:tmpl w:val="18CE12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8921B2"/>
    <w:multiLevelType w:val="hybridMultilevel"/>
    <w:tmpl w:val="58AC55F6"/>
    <w:lvl w:ilvl="0" w:tplc="8FDEC92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0E2973"/>
    <w:multiLevelType w:val="hybridMultilevel"/>
    <w:tmpl w:val="9F667F4A"/>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8C6170"/>
    <w:multiLevelType w:val="hybridMultilevel"/>
    <w:tmpl w:val="9724CFE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3F9A476B"/>
    <w:multiLevelType w:val="hybridMultilevel"/>
    <w:tmpl w:val="0F6E61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76D515B"/>
    <w:multiLevelType w:val="hybridMultilevel"/>
    <w:tmpl w:val="A712C86C"/>
    <w:lvl w:ilvl="0" w:tplc="58204E94">
      <w:start w:val="1"/>
      <w:numFmt w:val="bullet"/>
      <w:lvlText w:val=""/>
      <w:lvlJc w:val="left"/>
      <w:pPr>
        <w:tabs>
          <w:tab w:val="num" w:pos="720"/>
        </w:tabs>
        <w:ind w:left="720" w:hanging="360"/>
      </w:pPr>
      <w:rPr>
        <w:rFonts w:ascii="Wingdings" w:hAnsi="Wingdings" w:hint="default"/>
      </w:rPr>
    </w:lvl>
    <w:lvl w:ilvl="1" w:tplc="D6B22196" w:tentative="1">
      <w:start w:val="1"/>
      <w:numFmt w:val="bullet"/>
      <w:lvlText w:val=""/>
      <w:lvlJc w:val="left"/>
      <w:pPr>
        <w:tabs>
          <w:tab w:val="num" w:pos="1440"/>
        </w:tabs>
        <w:ind w:left="1440" w:hanging="360"/>
      </w:pPr>
      <w:rPr>
        <w:rFonts w:ascii="Wingdings" w:hAnsi="Wingdings" w:hint="default"/>
      </w:rPr>
    </w:lvl>
    <w:lvl w:ilvl="2" w:tplc="BA6C3B70" w:tentative="1">
      <w:start w:val="1"/>
      <w:numFmt w:val="bullet"/>
      <w:lvlText w:val=""/>
      <w:lvlJc w:val="left"/>
      <w:pPr>
        <w:tabs>
          <w:tab w:val="num" w:pos="2160"/>
        </w:tabs>
        <w:ind w:left="2160" w:hanging="360"/>
      </w:pPr>
      <w:rPr>
        <w:rFonts w:ascii="Wingdings" w:hAnsi="Wingdings" w:hint="default"/>
      </w:rPr>
    </w:lvl>
    <w:lvl w:ilvl="3" w:tplc="BA3C13EA" w:tentative="1">
      <w:start w:val="1"/>
      <w:numFmt w:val="bullet"/>
      <w:lvlText w:val=""/>
      <w:lvlJc w:val="left"/>
      <w:pPr>
        <w:tabs>
          <w:tab w:val="num" w:pos="2880"/>
        </w:tabs>
        <w:ind w:left="2880" w:hanging="360"/>
      </w:pPr>
      <w:rPr>
        <w:rFonts w:ascii="Wingdings" w:hAnsi="Wingdings" w:hint="default"/>
      </w:rPr>
    </w:lvl>
    <w:lvl w:ilvl="4" w:tplc="6728E5D8" w:tentative="1">
      <w:start w:val="1"/>
      <w:numFmt w:val="bullet"/>
      <w:lvlText w:val=""/>
      <w:lvlJc w:val="left"/>
      <w:pPr>
        <w:tabs>
          <w:tab w:val="num" w:pos="3600"/>
        </w:tabs>
        <w:ind w:left="3600" w:hanging="360"/>
      </w:pPr>
      <w:rPr>
        <w:rFonts w:ascii="Wingdings" w:hAnsi="Wingdings" w:hint="default"/>
      </w:rPr>
    </w:lvl>
    <w:lvl w:ilvl="5" w:tplc="2A7EA292" w:tentative="1">
      <w:start w:val="1"/>
      <w:numFmt w:val="bullet"/>
      <w:lvlText w:val=""/>
      <w:lvlJc w:val="left"/>
      <w:pPr>
        <w:tabs>
          <w:tab w:val="num" w:pos="4320"/>
        </w:tabs>
        <w:ind w:left="4320" w:hanging="360"/>
      </w:pPr>
      <w:rPr>
        <w:rFonts w:ascii="Wingdings" w:hAnsi="Wingdings" w:hint="default"/>
      </w:rPr>
    </w:lvl>
    <w:lvl w:ilvl="6" w:tplc="301283A8" w:tentative="1">
      <w:start w:val="1"/>
      <w:numFmt w:val="bullet"/>
      <w:lvlText w:val=""/>
      <w:lvlJc w:val="left"/>
      <w:pPr>
        <w:tabs>
          <w:tab w:val="num" w:pos="5040"/>
        </w:tabs>
        <w:ind w:left="5040" w:hanging="360"/>
      </w:pPr>
      <w:rPr>
        <w:rFonts w:ascii="Wingdings" w:hAnsi="Wingdings" w:hint="default"/>
      </w:rPr>
    </w:lvl>
    <w:lvl w:ilvl="7" w:tplc="50A8B348" w:tentative="1">
      <w:start w:val="1"/>
      <w:numFmt w:val="bullet"/>
      <w:lvlText w:val=""/>
      <w:lvlJc w:val="left"/>
      <w:pPr>
        <w:tabs>
          <w:tab w:val="num" w:pos="5760"/>
        </w:tabs>
        <w:ind w:left="5760" w:hanging="360"/>
      </w:pPr>
      <w:rPr>
        <w:rFonts w:ascii="Wingdings" w:hAnsi="Wingdings" w:hint="default"/>
      </w:rPr>
    </w:lvl>
    <w:lvl w:ilvl="8" w:tplc="4C0AAB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C5DA4"/>
    <w:multiLevelType w:val="hybridMultilevel"/>
    <w:tmpl w:val="12300BE0"/>
    <w:lvl w:ilvl="0" w:tplc="EC9E0CCA">
      <w:start w:val="1"/>
      <w:numFmt w:val="lowerLetter"/>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3" w15:restartNumberingAfterBreak="0">
    <w:nsid w:val="49D066F6"/>
    <w:multiLevelType w:val="hybridMultilevel"/>
    <w:tmpl w:val="5C62B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5061E9"/>
    <w:multiLevelType w:val="multilevel"/>
    <w:tmpl w:val="0BEC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8AB43"/>
    <w:multiLevelType w:val="hybridMultilevel"/>
    <w:tmpl w:val="BC057D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034986"/>
    <w:multiLevelType w:val="hybridMultilevel"/>
    <w:tmpl w:val="5A3079F8"/>
    <w:lvl w:ilvl="0" w:tplc="2B8ADCF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DAC5FFD"/>
    <w:multiLevelType w:val="multilevel"/>
    <w:tmpl w:val="FCFABC72"/>
    <w:lvl w:ilvl="0">
      <w:start w:val="1"/>
      <w:numFmt w:val="decimal"/>
      <w:pStyle w:val="2-SectionHeading"/>
      <w:lvlText w:val="%1"/>
      <w:lvlJc w:val="left"/>
      <w:pPr>
        <w:ind w:left="720" w:hanging="720"/>
      </w:pPr>
      <w:rPr>
        <w:rFonts w:hint="default"/>
        <w:b/>
        <w:bCs/>
      </w:rPr>
    </w:lvl>
    <w:lvl w:ilvl="1">
      <w:start w:val="1"/>
      <w:numFmt w:val="decimal"/>
      <w:pStyle w:val="3-BodyText"/>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63D65CCD"/>
    <w:multiLevelType w:val="multilevel"/>
    <w:tmpl w:val="2B2CB3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C74380"/>
    <w:multiLevelType w:val="hybridMultilevel"/>
    <w:tmpl w:val="8262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A845D7"/>
    <w:multiLevelType w:val="hybridMultilevel"/>
    <w:tmpl w:val="896C6722"/>
    <w:lvl w:ilvl="0" w:tplc="0C090001">
      <w:start w:val="1"/>
      <w:numFmt w:val="bullet"/>
      <w:lvlText w:val=""/>
      <w:lvlJc w:val="left"/>
      <w:pPr>
        <w:ind w:left="1080" w:hanging="360"/>
      </w:pPr>
      <w:rPr>
        <w:rFonts w:ascii="Symbol" w:hAnsi="Symbol" w:hint="default"/>
      </w:rPr>
    </w:lvl>
    <w:lvl w:ilvl="1" w:tplc="D9483B00">
      <w:numFmt w:val="bullet"/>
      <w:lvlText w:val="-"/>
      <w:lvlJc w:val="left"/>
      <w:pPr>
        <w:ind w:left="1800" w:hanging="36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1"/>
  </w:num>
  <w:num w:numId="3">
    <w:abstractNumId w:val="18"/>
  </w:num>
  <w:num w:numId="4">
    <w:abstractNumId w:val="25"/>
  </w:num>
  <w:num w:numId="5">
    <w:abstractNumId w:val="23"/>
  </w:num>
  <w:num w:numId="6">
    <w:abstractNumId w:val="14"/>
  </w:num>
  <w:num w:numId="7">
    <w:abstractNumId w:val="9"/>
  </w:num>
  <w:num w:numId="8">
    <w:abstractNumId w:val="2"/>
  </w:num>
  <w:num w:numId="9">
    <w:abstractNumId w:val="24"/>
  </w:num>
  <w:num w:numId="10">
    <w:abstractNumId w:val="22"/>
  </w:num>
  <w:num w:numId="11">
    <w:abstractNumId w:val="7"/>
  </w:num>
  <w:num w:numId="12">
    <w:abstractNumId w:val="8"/>
  </w:num>
  <w:num w:numId="13">
    <w:abstractNumId w:val="24"/>
  </w:num>
  <w:num w:numId="14">
    <w:abstractNumId w:val="24"/>
  </w:num>
  <w:num w:numId="15">
    <w:abstractNumId w:val="21"/>
  </w:num>
  <w:num w:numId="16">
    <w:abstractNumId w:val="4"/>
  </w:num>
  <w:num w:numId="17">
    <w:abstractNumId w:val="16"/>
  </w:num>
  <w:num w:numId="18">
    <w:abstractNumId w:val="18"/>
  </w:num>
  <w:num w:numId="19">
    <w:abstractNumId w:val="17"/>
  </w:num>
  <w:num w:numId="20">
    <w:abstractNumId w:val="18"/>
  </w:num>
  <w:num w:numId="21">
    <w:abstractNumId w:val="18"/>
  </w:num>
  <w:num w:numId="22">
    <w:abstractNumId w:val="15"/>
  </w:num>
  <w:num w:numId="23">
    <w:abstractNumId w:val="10"/>
  </w:num>
  <w:num w:numId="24">
    <w:abstractNumId w:val="5"/>
  </w:num>
  <w:num w:numId="25">
    <w:abstractNumId w:val="1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num>
  <w:num w:numId="29">
    <w:abstractNumId w:val="18"/>
  </w:num>
  <w:num w:numId="30">
    <w:abstractNumId w:val="18"/>
  </w:num>
  <w:num w:numId="31">
    <w:abstractNumId w:val="6"/>
  </w:num>
  <w:num w:numId="32">
    <w:abstractNumId w:val="0"/>
  </w:num>
  <w:num w:numId="33">
    <w:abstractNumId w:val="12"/>
  </w:num>
  <w:num w:numId="34">
    <w:abstractNumId w:val="3"/>
  </w:num>
  <w:num w:numId="35">
    <w:abstractNumId w:val="11"/>
  </w:num>
  <w:num w:numId="36">
    <w:abstractNumId w:val="19"/>
  </w:num>
  <w:num w:numId="37">
    <w:abstractNumId w:val="18"/>
  </w:num>
  <w:num w:numId="38">
    <w:abstractNumId w:val="13"/>
  </w:num>
  <w:num w:numId="39">
    <w:abstractNumId w:val="20"/>
  </w:num>
  <w:num w:numId="40">
    <w:abstractNumId w:val="18"/>
  </w:num>
  <w:num w:numId="41">
    <w:abstractNumId w:val="18"/>
  </w:num>
  <w:num w:numId="42">
    <w:abstractNumId w:val="18"/>
  </w:num>
  <w:num w:numId="4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29C"/>
    <w:rsid w:val="0000335D"/>
    <w:rsid w:val="00011A59"/>
    <w:rsid w:val="00012F4E"/>
    <w:rsid w:val="00014574"/>
    <w:rsid w:val="00016A41"/>
    <w:rsid w:val="00017F5C"/>
    <w:rsid w:val="000214D1"/>
    <w:rsid w:val="0002464A"/>
    <w:rsid w:val="00025A04"/>
    <w:rsid w:val="0003050E"/>
    <w:rsid w:val="00030E57"/>
    <w:rsid w:val="0003106B"/>
    <w:rsid w:val="00033C1D"/>
    <w:rsid w:val="000342D8"/>
    <w:rsid w:val="00034905"/>
    <w:rsid w:val="000421A1"/>
    <w:rsid w:val="0004240E"/>
    <w:rsid w:val="00044EC4"/>
    <w:rsid w:val="00045E26"/>
    <w:rsid w:val="000514B5"/>
    <w:rsid w:val="0005322E"/>
    <w:rsid w:val="00054E2B"/>
    <w:rsid w:val="00060117"/>
    <w:rsid w:val="00060E64"/>
    <w:rsid w:val="00063D31"/>
    <w:rsid w:val="00066193"/>
    <w:rsid w:val="00066755"/>
    <w:rsid w:val="000668BA"/>
    <w:rsid w:val="00067B6B"/>
    <w:rsid w:val="00071A5B"/>
    <w:rsid w:val="0007337F"/>
    <w:rsid w:val="000763D5"/>
    <w:rsid w:val="00076C38"/>
    <w:rsid w:val="00077143"/>
    <w:rsid w:val="00077DF7"/>
    <w:rsid w:val="0008050C"/>
    <w:rsid w:val="00082169"/>
    <w:rsid w:val="00082620"/>
    <w:rsid w:val="000829D3"/>
    <w:rsid w:val="000834BE"/>
    <w:rsid w:val="00083F01"/>
    <w:rsid w:val="0008507A"/>
    <w:rsid w:val="000855F4"/>
    <w:rsid w:val="00087C4C"/>
    <w:rsid w:val="000918CB"/>
    <w:rsid w:val="00091B06"/>
    <w:rsid w:val="000951C4"/>
    <w:rsid w:val="00095ADA"/>
    <w:rsid w:val="000969AD"/>
    <w:rsid w:val="000975FB"/>
    <w:rsid w:val="000A3AA2"/>
    <w:rsid w:val="000A44B2"/>
    <w:rsid w:val="000A52F6"/>
    <w:rsid w:val="000B44C3"/>
    <w:rsid w:val="000B558D"/>
    <w:rsid w:val="000B5A89"/>
    <w:rsid w:val="000B5C96"/>
    <w:rsid w:val="000B65F6"/>
    <w:rsid w:val="000B7767"/>
    <w:rsid w:val="000C4380"/>
    <w:rsid w:val="000C5F95"/>
    <w:rsid w:val="000C6996"/>
    <w:rsid w:val="000C7C46"/>
    <w:rsid w:val="000D0540"/>
    <w:rsid w:val="000D09E9"/>
    <w:rsid w:val="000D113F"/>
    <w:rsid w:val="000D23BA"/>
    <w:rsid w:val="000E19B7"/>
    <w:rsid w:val="000E20FC"/>
    <w:rsid w:val="000E3DFB"/>
    <w:rsid w:val="000E4FB6"/>
    <w:rsid w:val="000E5EA1"/>
    <w:rsid w:val="000E681E"/>
    <w:rsid w:val="000E7E52"/>
    <w:rsid w:val="000F0003"/>
    <w:rsid w:val="000F1CBA"/>
    <w:rsid w:val="000F3384"/>
    <w:rsid w:val="000F4E6A"/>
    <w:rsid w:val="000F7354"/>
    <w:rsid w:val="00101ABE"/>
    <w:rsid w:val="00102202"/>
    <w:rsid w:val="00102700"/>
    <w:rsid w:val="0010289B"/>
    <w:rsid w:val="00102A78"/>
    <w:rsid w:val="00103118"/>
    <w:rsid w:val="00104227"/>
    <w:rsid w:val="001107BF"/>
    <w:rsid w:val="00113649"/>
    <w:rsid w:val="00113D5C"/>
    <w:rsid w:val="00117875"/>
    <w:rsid w:val="0012417C"/>
    <w:rsid w:val="00124BF2"/>
    <w:rsid w:val="0012597F"/>
    <w:rsid w:val="0012749D"/>
    <w:rsid w:val="001306A5"/>
    <w:rsid w:val="001311AE"/>
    <w:rsid w:val="00133FC4"/>
    <w:rsid w:val="00133FE6"/>
    <w:rsid w:val="00140B74"/>
    <w:rsid w:val="00140D94"/>
    <w:rsid w:val="00142395"/>
    <w:rsid w:val="00142714"/>
    <w:rsid w:val="00144D09"/>
    <w:rsid w:val="001452ED"/>
    <w:rsid w:val="00145DDF"/>
    <w:rsid w:val="00147566"/>
    <w:rsid w:val="00147D84"/>
    <w:rsid w:val="001549C1"/>
    <w:rsid w:val="00156C8D"/>
    <w:rsid w:val="00160F4D"/>
    <w:rsid w:val="00162BDD"/>
    <w:rsid w:val="00162D4E"/>
    <w:rsid w:val="00163329"/>
    <w:rsid w:val="00163DF3"/>
    <w:rsid w:val="00164623"/>
    <w:rsid w:val="001652DE"/>
    <w:rsid w:val="00165B64"/>
    <w:rsid w:val="00176B9D"/>
    <w:rsid w:val="00180713"/>
    <w:rsid w:val="00180720"/>
    <w:rsid w:val="001815CC"/>
    <w:rsid w:val="001830CE"/>
    <w:rsid w:val="001836E3"/>
    <w:rsid w:val="00184C39"/>
    <w:rsid w:val="0018643B"/>
    <w:rsid w:val="00192397"/>
    <w:rsid w:val="00196307"/>
    <w:rsid w:val="001A0D10"/>
    <w:rsid w:val="001A13FC"/>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35CB"/>
    <w:rsid w:val="001C758C"/>
    <w:rsid w:val="001D0738"/>
    <w:rsid w:val="001D1F5F"/>
    <w:rsid w:val="001E06D2"/>
    <w:rsid w:val="001E17C4"/>
    <w:rsid w:val="001F005B"/>
    <w:rsid w:val="001F1850"/>
    <w:rsid w:val="001F1D9C"/>
    <w:rsid w:val="001F1FBF"/>
    <w:rsid w:val="001F2F1C"/>
    <w:rsid w:val="001F3189"/>
    <w:rsid w:val="001F7876"/>
    <w:rsid w:val="00201FB8"/>
    <w:rsid w:val="002025D2"/>
    <w:rsid w:val="002036E3"/>
    <w:rsid w:val="00203FAC"/>
    <w:rsid w:val="00210697"/>
    <w:rsid w:val="00213CFB"/>
    <w:rsid w:val="0021553C"/>
    <w:rsid w:val="0021557B"/>
    <w:rsid w:val="002174FD"/>
    <w:rsid w:val="00217BE1"/>
    <w:rsid w:val="002214B9"/>
    <w:rsid w:val="00225275"/>
    <w:rsid w:val="002257CA"/>
    <w:rsid w:val="00230F63"/>
    <w:rsid w:val="00234252"/>
    <w:rsid w:val="0023466E"/>
    <w:rsid w:val="00237AC6"/>
    <w:rsid w:val="00240165"/>
    <w:rsid w:val="00243877"/>
    <w:rsid w:val="00244139"/>
    <w:rsid w:val="00244490"/>
    <w:rsid w:val="00245B9C"/>
    <w:rsid w:val="00253499"/>
    <w:rsid w:val="002551A4"/>
    <w:rsid w:val="00257664"/>
    <w:rsid w:val="00265151"/>
    <w:rsid w:val="00265C2C"/>
    <w:rsid w:val="00266509"/>
    <w:rsid w:val="00271BA1"/>
    <w:rsid w:val="00273AC5"/>
    <w:rsid w:val="00274455"/>
    <w:rsid w:val="002762FA"/>
    <w:rsid w:val="00277505"/>
    <w:rsid w:val="0028158C"/>
    <w:rsid w:val="002823B6"/>
    <w:rsid w:val="00290C03"/>
    <w:rsid w:val="00294274"/>
    <w:rsid w:val="00294457"/>
    <w:rsid w:val="0029458F"/>
    <w:rsid w:val="002A018F"/>
    <w:rsid w:val="002A0E04"/>
    <w:rsid w:val="002A104C"/>
    <w:rsid w:val="002A1EF7"/>
    <w:rsid w:val="002A494D"/>
    <w:rsid w:val="002A4960"/>
    <w:rsid w:val="002A4970"/>
    <w:rsid w:val="002A6133"/>
    <w:rsid w:val="002A636A"/>
    <w:rsid w:val="002B0AE0"/>
    <w:rsid w:val="002B1AE6"/>
    <w:rsid w:val="002B1D51"/>
    <w:rsid w:val="002B2DE8"/>
    <w:rsid w:val="002B30F8"/>
    <w:rsid w:val="002B388A"/>
    <w:rsid w:val="002B5596"/>
    <w:rsid w:val="002B77D7"/>
    <w:rsid w:val="002C212F"/>
    <w:rsid w:val="002C224B"/>
    <w:rsid w:val="002C2F35"/>
    <w:rsid w:val="002C633F"/>
    <w:rsid w:val="002C6AA9"/>
    <w:rsid w:val="002C7485"/>
    <w:rsid w:val="002D147F"/>
    <w:rsid w:val="002D2641"/>
    <w:rsid w:val="002D283A"/>
    <w:rsid w:val="002D42E2"/>
    <w:rsid w:val="002D4543"/>
    <w:rsid w:val="002E10A5"/>
    <w:rsid w:val="002E3153"/>
    <w:rsid w:val="002E5292"/>
    <w:rsid w:val="002E5FEE"/>
    <w:rsid w:val="002E72CA"/>
    <w:rsid w:val="002F1D07"/>
    <w:rsid w:val="002F3409"/>
    <w:rsid w:val="002F600D"/>
    <w:rsid w:val="002F7E47"/>
    <w:rsid w:val="00300AD6"/>
    <w:rsid w:val="00300B1B"/>
    <w:rsid w:val="003019D0"/>
    <w:rsid w:val="003064AF"/>
    <w:rsid w:val="003066CE"/>
    <w:rsid w:val="003104CC"/>
    <w:rsid w:val="00310A8B"/>
    <w:rsid w:val="00310B68"/>
    <w:rsid w:val="003160D2"/>
    <w:rsid w:val="003173FC"/>
    <w:rsid w:val="00317C6C"/>
    <w:rsid w:val="00320B80"/>
    <w:rsid w:val="00320CD3"/>
    <w:rsid w:val="00326E79"/>
    <w:rsid w:val="0032748A"/>
    <w:rsid w:val="003301B1"/>
    <w:rsid w:val="00331189"/>
    <w:rsid w:val="0033263D"/>
    <w:rsid w:val="0033438D"/>
    <w:rsid w:val="0033518A"/>
    <w:rsid w:val="00335535"/>
    <w:rsid w:val="00335F08"/>
    <w:rsid w:val="003367EF"/>
    <w:rsid w:val="00337A1D"/>
    <w:rsid w:val="00341AE4"/>
    <w:rsid w:val="003476EE"/>
    <w:rsid w:val="003541DD"/>
    <w:rsid w:val="003550EA"/>
    <w:rsid w:val="00356E5B"/>
    <w:rsid w:val="00363AFC"/>
    <w:rsid w:val="003736C9"/>
    <w:rsid w:val="00375B1B"/>
    <w:rsid w:val="00383B77"/>
    <w:rsid w:val="00384988"/>
    <w:rsid w:val="003872CF"/>
    <w:rsid w:val="0039782C"/>
    <w:rsid w:val="003A13A6"/>
    <w:rsid w:val="003A5B4A"/>
    <w:rsid w:val="003A5D95"/>
    <w:rsid w:val="003B0D3A"/>
    <w:rsid w:val="003B2302"/>
    <w:rsid w:val="003B23C5"/>
    <w:rsid w:val="003B2A75"/>
    <w:rsid w:val="003B49B2"/>
    <w:rsid w:val="003B5A6C"/>
    <w:rsid w:val="003B6124"/>
    <w:rsid w:val="003B7960"/>
    <w:rsid w:val="003C093A"/>
    <w:rsid w:val="003C1ECF"/>
    <w:rsid w:val="003C2805"/>
    <w:rsid w:val="003C2FB5"/>
    <w:rsid w:val="003D24C5"/>
    <w:rsid w:val="003D3D7B"/>
    <w:rsid w:val="003D4594"/>
    <w:rsid w:val="003D4AC4"/>
    <w:rsid w:val="003D63B7"/>
    <w:rsid w:val="003D74C5"/>
    <w:rsid w:val="003E0D29"/>
    <w:rsid w:val="003E3C10"/>
    <w:rsid w:val="003E4374"/>
    <w:rsid w:val="003E468B"/>
    <w:rsid w:val="003E62BD"/>
    <w:rsid w:val="003F044F"/>
    <w:rsid w:val="003F0C3A"/>
    <w:rsid w:val="003F0E73"/>
    <w:rsid w:val="003F15F0"/>
    <w:rsid w:val="003F3228"/>
    <w:rsid w:val="003F59B9"/>
    <w:rsid w:val="003F5C8C"/>
    <w:rsid w:val="003F63CE"/>
    <w:rsid w:val="003F775A"/>
    <w:rsid w:val="00400E55"/>
    <w:rsid w:val="0040128E"/>
    <w:rsid w:val="004019C3"/>
    <w:rsid w:val="0040216B"/>
    <w:rsid w:val="0040679B"/>
    <w:rsid w:val="004141D9"/>
    <w:rsid w:val="00415990"/>
    <w:rsid w:val="00416A90"/>
    <w:rsid w:val="00420400"/>
    <w:rsid w:val="00425253"/>
    <w:rsid w:val="004252EC"/>
    <w:rsid w:val="004304FD"/>
    <w:rsid w:val="00430B50"/>
    <w:rsid w:val="00430D39"/>
    <w:rsid w:val="00435A4A"/>
    <w:rsid w:val="00442C91"/>
    <w:rsid w:val="004465BD"/>
    <w:rsid w:val="00446938"/>
    <w:rsid w:val="004473A4"/>
    <w:rsid w:val="004528FA"/>
    <w:rsid w:val="00460010"/>
    <w:rsid w:val="00461A44"/>
    <w:rsid w:val="00462D26"/>
    <w:rsid w:val="0046385A"/>
    <w:rsid w:val="00466ADA"/>
    <w:rsid w:val="004702BB"/>
    <w:rsid w:val="0047494B"/>
    <w:rsid w:val="00476245"/>
    <w:rsid w:val="00477A9B"/>
    <w:rsid w:val="00481AC2"/>
    <w:rsid w:val="00481E1D"/>
    <w:rsid w:val="00483035"/>
    <w:rsid w:val="00485940"/>
    <w:rsid w:val="00486C95"/>
    <w:rsid w:val="004877C2"/>
    <w:rsid w:val="004904B9"/>
    <w:rsid w:val="00495F61"/>
    <w:rsid w:val="00496662"/>
    <w:rsid w:val="004A2484"/>
    <w:rsid w:val="004A561E"/>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301"/>
    <w:rsid w:val="004C7E15"/>
    <w:rsid w:val="004D2CD1"/>
    <w:rsid w:val="004D41DB"/>
    <w:rsid w:val="004D4FF6"/>
    <w:rsid w:val="004D5ADD"/>
    <w:rsid w:val="004E1B22"/>
    <w:rsid w:val="004E692D"/>
    <w:rsid w:val="004E7230"/>
    <w:rsid w:val="004E7D87"/>
    <w:rsid w:val="004F2553"/>
    <w:rsid w:val="004F306A"/>
    <w:rsid w:val="004F31D4"/>
    <w:rsid w:val="004F5995"/>
    <w:rsid w:val="004F5C3B"/>
    <w:rsid w:val="004F6160"/>
    <w:rsid w:val="00501554"/>
    <w:rsid w:val="00502AFE"/>
    <w:rsid w:val="00502E64"/>
    <w:rsid w:val="00503AD7"/>
    <w:rsid w:val="00504E0C"/>
    <w:rsid w:val="00504E13"/>
    <w:rsid w:val="005067C0"/>
    <w:rsid w:val="005109D4"/>
    <w:rsid w:val="00514CD7"/>
    <w:rsid w:val="005167EC"/>
    <w:rsid w:val="005170DA"/>
    <w:rsid w:val="005179B3"/>
    <w:rsid w:val="00520D6A"/>
    <w:rsid w:val="00522DB6"/>
    <w:rsid w:val="00523D08"/>
    <w:rsid w:val="005264A7"/>
    <w:rsid w:val="0052792D"/>
    <w:rsid w:val="005319B2"/>
    <w:rsid w:val="00532402"/>
    <w:rsid w:val="00532C74"/>
    <w:rsid w:val="00534E2E"/>
    <w:rsid w:val="0054064C"/>
    <w:rsid w:val="00544552"/>
    <w:rsid w:val="00545130"/>
    <w:rsid w:val="0055286A"/>
    <w:rsid w:val="005539DB"/>
    <w:rsid w:val="00555745"/>
    <w:rsid w:val="00557D4F"/>
    <w:rsid w:val="005606D8"/>
    <w:rsid w:val="0056122E"/>
    <w:rsid w:val="00563B2B"/>
    <w:rsid w:val="0056484E"/>
    <w:rsid w:val="00567A09"/>
    <w:rsid w:val="00567D8A"/>
    <w:rsid w:val="00570AC5"/>
    <w:rsid w:val="00573C95"/>
    <w:rsid w:val="005764CD"/>
    <w:rsid w:val="00576A7C"/>
    <w:rsid w:val="00577C4D"/>
    <w:rsid w:val="00580532"/>
    <w:rsid w:val="00581932"/>
    <w:rsid w:val="00582DE9"/>
    <w:rsid w:val="0058472D"/>
    <w:rsid w:val="005934E5"/>
    <w:rsid w:val="005963BB"/>
    <w:rsid w:val="005A22AA"/>
    <w:rsid w:val="005A3173"/>
    <w:rsid w:val="005A3223"/>
    <w:rsid w:val="005A3796"/>
    <w:rsid w:val="005A3DA3"/>
    <w:rsid w:val="005A52C4"/>
    <w:rsid w:val="005A63A1"/>
    <w:rsid w:val="005B2EC0"/>
    <w:rsid w:val="005C0E90"/>
    <w:rsid w:val="005C44ED"/>
    <w:rsid w:val="005C4F73"/>
    <w:rsid w:val="005C74A7"/>
    <w:rsid w:val="005D03AB"/>
    <w:rsid w:val="005D401D"/>
    <w:rsid w:val="005D5017"/>
    <w:rsid w:val="005D5DDE"/>
    <w:rsid w:val="005D63FA"/>
    <w:rsid w:val="005D73C7"/>
    <w:rsid w:val="005E0287"/>
    <w:rsid w:val="005E0C2D"/>
    <w:rsid w:val="005E0D82"/>
    <w:rsid w:val="005E1333"/>
    <w:rsid w:val="005E2B84"/>
    <w:rsid w:val="005E3136"/>
    <w:rsid w:val="005E507D"/>
    <w:rsid w:val="005F0AD0"/>
    <w:rsid w:val="005F1529"/>
    <w:rsid w:val="00601A91"/>
    <w:rsid w:val="00602BA3"/>
    <w:rsid w:val="00604AFC"/>
    <w:rsid w:val="00605B63"/>
    <w:rsid w:val="00605F9A"/>
    <w:rsid w:val="00606442"/>
    <w:rsid w:val="00606EED"/>
    <w:rsid w:val="00612A95"/>
    <w:rsid w:val="00612E34"/>
    <w:rsid w:val="00614159"/>
    <w:rsid w:val="006158A3"/>
    <w:rsid w:val="00616C5F"/>
    <w:rsid w:val="00616DAC"/>
    <w:rsid w:val="00617725"/>
    <w:rsid w:val="00617C00"/>
    <w:rsid w:val="00622A05"/>
    <w:rsid w:val="006263BF"/>
    <w:rsid w:val="0062748A"/>
    <w:rsid w:val="00630A2C"/>
    <w:rsid w:val="00631A7A"/>
    <w:rsid w:val="0063682E"/>
    <w:rsid w:val="00640088"/>
    <w:rsid w:val="0064222C"/>
    <w:rsid w:val="00642672"/>
    <w:rsid w:val="00642DA8"/>
    <w:rsid w:val="006436CD"/>
    <w:rsid w:val="006507AE"/>
    <w:rsid w:val="00651169"/>
    <w:rsid w:val="00653D69"/>
    <w:rsid w:val="006552E6"/>
    <w:rsid w:val="00655794"/>
    <w:rsid w:val="00657C63"/>
    <w:rsid w:val="00661CBC"/>
    <w:rsid w:val="0066212F"/>
    <w:rsid w:val="00662B85"/>
    <w:rsid w:val="00666C49"/>
    <w:rsid w:val="006670BE"/>
    <w:rsid w:val="00670A76"/>
    <w:rsid w:val="006711AA"/>
    <w:rsid w:val="00672B57"/>
    <w:rsid w:val="00673F1F"/>
    <w:rsid w:val="00675622"/>
    <w:rsid w:val="0067747D"/>
    <w:rsid w:val="00677A32"/>
    <w:rsid w:val="006818D5"/>
    <w:rsid w:val="00681CA4"/>
    <w:rsid w:val="0069039D"/>
    <w:rsid w:val="006906DB"/>
    <w:rsid w:val="00691900"/>
    <w:rsid w:val="00691E6C"/>
    <w:rsid w:val="0069342D"/>
    <w:rsid w:val="00693DFB"/>
    <w:rsid w:val="006946ED"/>
    <w:rsid w:val="0069501D"/>
    <w:rsid w:val="00696129"/>
    <w:rsid w:val="00697CF2"/>
    <w:rsid w:val="006A12A5"/>
    <w:rsid w:val="006A2515"/>
    <w:rsid w:val="006A5E20"/>
    <w:rsid w:val="006B0D94"/>
    <w:rsid w:val="006B485D"/>
    <w:rsid w:val="006C0C45"/>
    <w:rsid w:val="006C334C"/>
    <w:rsid w:val="006C5B33"/>
    <w:rsid w:val="006C6C10"/>
    <w:rsid w:val="006C708E"/>
    <w:rsid w:val="006D0D47"/>
    <w:rsid w:val="006D14E7"/>
    <w:rsid w:val="006D4444"/>
    <w:rsid w:val="006D6493"/>
    <w:rsid w:val="006D6EC7"/>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340B"/>
    <w:rsid w:val="00713A01"/>
    <w:rsid w:val="0071436D"/>
    <w:rsid w:val="00715BBB"/>
    <w:rsid w:val="00716D49"/>
    <w:rsid w:val="00716DA1"/>
    <w:rsid w:val="007174BB"/>
    <w:rsid w:val="0072025D"/>
    <w:rsid w:val="00723328"/>
    <w:rsid w:val="00725BA3"/>
    <w:rsid w:val="0073137C"/>
    <w:rsid w:val="007340B9"/>
    <w:rsid w:val="007353D3"/>
    <w:rsid w:val="0074156B"/>
    <w:rsid w:val="00741619"/>
    <w:rsid w:val="00746F8E"/>
    <w:rsid w:val="00747092"/>
    <w:rsid w:val="0075244D"/>
    <w:rsid w:val="007526E6"/>
    <w:rsid w:val="00754DF9"/>
    <w:rsid w:val="007554B9"/>
    <w:rsid w:val="007555E8"/>
    <w:rsid w:val="00755CC5"/>
    <w:rsid w:val="00756E7A"/>
    <w:rsid w:val="0076420C"/>
    <w:rsid w:val="00771D07"/>
    <w:rsid w:val="00773BE3"/>
    <w:rsid w:val="007743DD"/>
    <w:rsid w:val="00774E2C"/>
    <w:rsid w:val="0077518D"/>
    <w:rsid w:val="007753C2"/>
    <w:rsid w:val="007838B8"/>
    <w:rsid w:val="00786F4E"/>
    <w:rsid w:val="007915BA"/>
    <w:rsid w:val="00791844"/>
    <w:rsid w:val="007979BD"/>
    <w:rsid w:val="007A6A2F"/>
    <w:rsid w:val="007B024E"/>
    <w:rsid w:val="007B3DDC"/>
    <w:rsid w:val="007B72A6"/>
    <w:rsid w:val="007C06D2"/>
    <w:rsid w:val="007C08E0"/>
    <w:rsid w:val="007C0F57"/>
    <w:rsid w:val="007C40B6"/>
    <w:rsid w:val="007C729F"/>
    <w:rsid w:val="007D1CF2"/>
    <w:rsid w:val="007D503D"/>
    <w:rsid w:val="007D59E7"/>
    <w:rsid w:val="007D5F2A"/>
    <w:rsid w:val="007E1D28"/>
    <w:rsid w:val="007E3713"/>
    <w:rsid w:val="007F0021"/>
    <w:rsid w:val="007F0A08"/>
    <w:rsid w:val="007F2641"/>
    <w:rsid w:val="007F7C36"/>
    <w:rsid w:val="00802B1D"/>
    <w:rsid w:val="008055AF"/>
    <w:rsid w:val="008057CD"/>
    <w:rsid w:val="00806796"/>
    <w:rsid w:val="00807999"/>
    <w:rsid w:val="00810167"/>
    <w:rsid w:val="00811CC0"/>
    <w:rsid w:val="00813BB6"/>
    <w:rsid w:val="008147AE"/>
    <w:rsid w:val="008151D6"/>
    <w:rsid w:val="008156DB"/>
    <w:rsid w:val="00821527"/>
    <w:rsid w:val="00822696"/>
    <w:rsid w:val="00825A6C"/>
    <w:rsid w:val="0082617E"/>
    <w:rsid w:val="008268BB"/>
    <w:rsid w:val="00826F6D"/>
    <w:rsid w:val="008306F3"/>
    <w:rsid w:val="00830E40"/>
    <w:rsid w:val="00832D9A"/>
    <w:rsid w:val="008351D8"/>
    <w:rsid w:val="00835C62"/>
    <w:rsid w:val="008368A1"/>
    <w:rsid w:val="00840EF7"/>
    <w:rsid w:val="00844C0A"/>
    <w:rsid w:val="00846056"/>
    <w:rsid w:val="0084681F"/>
    <w:rsid w:val="00847EC0"/>
    <w:rsid w:val="0085050F"/>
    <w:rsid w:val="00855FD6"/>
    <w:rsid w:val="00856DDD"/>
    <w:rsid w:val="00863E68"/>
    <w:rsid w:val="008647B5"/>
    <w:rsid w:val="00867D64"/>
    <w:rsid w:val="00872893"/>
    <w:rsid w:val="00875DCB"/>
    <w:rsid w:val="00876A46"/>
    <w:rsid w:val="0087755A"/>
    <w:rsid w:val="00882085"/>
    <w:rsid w:val="00883188"/>
    <w:rsid w:val="00884A0C"/>
    <w:rsid w:val="00886ACA"/>
    <w:rsid w:val="0089031E"/>
    <w:rsid w:val="00893012"/>
    <w:rsid w:val="0089460B"/>
    <w:rsid w:val="00897D58"/>
    <w:rsid w:val="00897F22"/>
    <w:rsid w:val="008A0B39"/>
    <w:rsid w:val="008A0E47"/>
    <w:rsid w:val="008A17A3"/>
    <w:rsid w:val="008A1956"/>
    <w:rsid w:val="008A1E85"/>
    <w:rsid w:val="008A2419"/>
    <w:rsid w:val="008A4937"/>
    <w:rsid w:val="008A50F1"/>
    <w:rsid w:val="008A544A"/>
    <w:rsid w:val="008A59D9"/>
    <w:rsid w:val="008A643E"/>
    <w:rsid w:val="008A6819"/>
    <w:rsid w:val="008A7C31"/>
    <w:rsid w:val="008B2EC0"/>
    <w:rsid w:val="008B6DCF"/>
    <w:rsid w:val="008D0945"/>
    <w:rsid w:val="008D1409"/>
    <w:rsid w:val="008D15CC"/>
    <w:rsid w:val="008D1729"/>
    <w:rsid w:val="008D1B5C"/>
    <w:rsid w:val="008D1D0C"/>
    <w:rsid w:val="008D3C82"/>
    <w:rsid w:val="008D447E"/>
    <w:rsid w:val="008D6ACF"/>
    <w:rsid w:val="008D7A41"/>
    <w:rsid w:val="008E0570"/>
    <w:rsid w:val="008E2C72"/>
    <w:rsid w:val="008E3680"/>
    <w:rsid w:val="008E5870"/>
    <w:rsid w:val="008E77E4"/>
    <w:rsid w:val="008F0213"/>
    <w:rsid w:val="008F07ED"/>
    <w:rsid w:val="008F11F8"/>
    <w:rsid w:val="008F1434"/>
    <w:rsid w:val="008F2BB9"/>
    <w:rsid w:val="008F3D6A"/>
    <w:rsid w:val="008F50EC"/>
    <w:rsid w:val="008F54C3"/>
    <w:rsid w:val="008F5AF8"/>
    <w:rsid w:val="008F7355"/>
    <w:rsid w:val="009023DC"/>
    <w:rsid w:val="009027C5"/>
    <w:rsid w:val="00904413"/>
    <w:rsid w:val="00905BB7"/>
    <w:rsid w:val="009067B7"/>
    <w:rsid w:val="0090775A"/>
    <w:rsid w:val="00907DFD"/>
    <w:rsid w:val="00912E14"/>
    <w:rsid w:val="00917D69"/>
    <w:rsid w:val="00920B6D"/>
    <w:rsid w:val="00926560"/>
    <w:rsid w:val="00926B15"/>
    <w:rsid w:val="00930291"/>
    <w:rsid w:val="00930937"/>
    <w:rsid w:val="00932184"/>
    <w:rsid w:val="009324A6"/>
    <w:rsid w:val="00933E6C"/>
    <w:rsid w:val="00935A6E"/>
    <w:rsid w:val="00937958"/>
    <w:rsid w:val="009406E5"/>
    <w:rsid w:val="00940B03"/>
    <w:rsid w:val="00941602"/>
    <w:rsid w:val="0094172B"/>
    <w:rsid w:val="00942160"/>
    <w:rsid w:val="0094446A"/>
    <w:rsid w:val="00946921"/>
    <w:rsid w:val="0095146F"/>
    <w:rsid w:val="00957944"/>
    <w:rsid w:val="009602C5"/>
    <w:rsid w:val="00962223"/>
    <w:rsid w:val="0096252B"/>
    <w:rsid w:val="00966D0D"/>
    <w:rsid w:val="00967732"/>
    <w:rsid w:val="0096783C"/>
    <w:rsid w:val="009722B3"/>
    <w:rsid w:val="00973E24"/>
    <w:rsid w:val="00973EB3"/>
    <w:rsid w:val="00974C21"/>
    <w:rsid w:val="0097554E"/>
    <w:rsid w:val="00975948"/>
    <w:rsid w:val="00977BF3"/>
    <w:rsid w:val="00977E07"/>
    <w:rsid w:val="009803E4"/>
    <w:rsid w:val="00980B0E"/>
    <w:rsid w:val="00981284"/>
    <w:rsid w:val="0098257F"/>
    <w:rsid w:val="009835A7"/>
    <w:rsid w:val="009836A3"/>
    <w:rsid w:val="009836BE"/>
    <w:rsid w:val="009855A8"/>
    <w:rsid w:val="00985D1A"/>
    <w:rsid w:val="009913F4"/>
    <w:rsid w:val="00991782"/>
    <w:rsid w:val="009937F7"/>
    <w:rsid w:val="0099465B"/>
    <w:rsid w:val="009951A1"/>
    <w:rsid w:val="00997A44"/>
    <w:rsid w:val="009A0CDD"/>
    <w:rsid w:val="009A13E0"/>
    <w:rsid w:val="009A3168"/>
    <w:rsid w:val="009A5D04"/>
    <w:rsid w:val="009A61CA"/>
    <w:rsid w:val="009B0C64"/>
    <w:rsid w:val="009B0F67"/>
    <w:rsid w:val="009B3F8C"/>
    <w:rsid w:val="009B4339"/>
    <w:rsid w:val="009B5682"/>
    <w:rsid w:val="009B750F"/>
    <w:rsid w:val="009C0039"/>
    <w:rsid w:val="009C5B72"/>
    <w:rsid w:val="009C703C"/>
    <w:rsid w:val="009D206E"/>
    <w:rsid w:val="009D3CAA"/>
    <w:rsid w:val="009D4354"/>
    <w:rsid w:val="009D55E2"/>
    <w:rsid w:val="009D6532"/>
    <w:rsid w:val="009D71FD"/>
    <w:rsid w:val="009E2588"/>
    <w:rsid w:val="009E2E8E"/>
    <w:rsid w:val="009E40E1"/>
    <w:rsid w:val="009E7976"/>
    <w:rsid w:val="009F0EFA"/>
    <w:rsid w:val="009F4E46"/>
    <w:rsid w:val="009F5B65"/>
    <w:rsid w:val="009F5F2E"/>
    <w:rsid w:val="00A00028"/>
    <w:rsid w:val="00A00F17"/>
    <w:rsid w:val="00A01432"/>
    <w:rsid w:val="00A06225"/>
    <w:rsid w:val="00A0658C"/>
    <w:rsid w:val="00A07737"/>
    <w:rsid w:val="00A07C4C"/>
    <w:rsid w:val="00A110D1"/>
    <w:rsid w:val="00A12587"/>
    <w:rsid w:val="00A128E6"/>
    <w:rsid w:val="00A1369B"/>
    <w:rsid w:val="00A144D3"/>
    <w:rsid w:val="00A22AC3"/>
    <w:rsid w:val="00A23F3F"/>
    <w:rsid w:val="00A24067"/>
    <w:rsid w:val="00A24A4B"/>
    <w:rsid w:val="00A24C84"/>
    <w:rsid w:val="00A2744D"/>
    <w:rsid w:val="00A30D16"/>
    <w:rsid w:val="00A341E1"/>
    <w:rsid w:val="00A34E6C"/>
    <w:rsid w:val="00A34FD0"/>
    <w:rsid w:val="00A36398"/>
    <w:rsid w:val="00A37C8D"/>
    <w:rsid w:val="00A4020E"/>
    <w:rsid w:val="00A40FB5"/>
    <w:rsid w:val="00A41212"/>
    <w:rsid w:val="00A42826"/>
    <w:rsid w:val="00A429B3"/>
    <w:rsid w:val="00A44EC1"/>
    <w:rsid w:val="00A51075"/>
    <w:rsid w:val="00A510E4"/>
    <w:rsid w:val="00A5273B"/>
    <w:rsid w:val="00A53A9D"/>
    <w:rsid w:val="00A55FEE"/>
    <w:rsid w:val="00A57422"/>
    <w:rsid w:val="00A62C1A"/>
    <w:rsid w:val="00A6426D"/>
    <w:rsid w:val="00A665C1"/>
    <w:rsid w:val="00A673A4"/>
    <w:rsid w:val="00A7001A"/>
    <w:rsid w:val="00A70622"/>
    <w:rsid w:val="00A7081C"/>
    <w:rsid w:val="00A7096B"/>
    <w:rsid w:val="00A70977"/>
    <w:rsid w:val="00A70D58"/>
    <w:rsid w:val="00A7192C"/>
    <w:rsid w:val="00A744F9"/>
    <w:rsid w:val="00A747E1"/>
    <w:rsid w:val="00A77613"/>
    <w:rsid w:val="00A77B87"/>
    <w:rsid w:val="00A81851"/>
    <w:rsid w:val="00A8390C"/>
    <w:rsid w:val="00A8430B"/>
    <w:rsid w:val="00A86AE0"/>
    <w:rsid w:val="00A903EC"/>
    <w:rsid w:val="00A91362"/>
    <w:rsid w:val="00A9151C"/>
    <w:rsid w:val="00A919C6"/>
    <w:rsid w:val="00A928BD"/>
    <w:rsid w:val="00A938FF"/>
    <w:rsid w:val="00A97DE9"/>
    <w:rsid w:val="00AA12CD"/>
    <w:rsid w:val="00AA4D1C"/>
    <w:rsid w:val="00AA52FD"/>
    <w:rsid w:val="00AA7006"/>
    <w:rsid w:val="00AB5856"/>
    <w:rsid w:val="00AC193C"/>
    <w:rsid w:val="00AC30C1"/>
    <w:rsid w:val="00AC4DE5"/>
    <w:rsid w:val="00AC5206"/>
    <w:rsid w:val="00AD021A"/>
    <w:rsid w:val="00AD3106"/>
    <w:rsid w:val="00AD4322"/>
    <w:rsid w:val="00AE11A5"/>
    <w:rsid w:val="00AE13E2"/>
    <w:rsid w:val="00AE22D3"/>
    <w:rsid w:val="00AE5A49"/>
    <w:rsid w:val="00AF11D8"/>
    <w:rsid w:val="00AF3F80"/>
    <w:rsid w:val="00AF5867"/>
    <w:rsid w:val="00AF62DF"/>
    <w:rsid w:val="00AF68CC"/>
    <w:rsid w:val="00AF70D7"/>
    <w:rsid w:val="00AF7D7C"/>
    <w:rsid w:val="00B001A9"/>
    <w:rsid w:val="00B01FF4"/>
    <w:rsid w:val="00B0263A"/>
    <w:rsid w:val="00B0326D"/>
    <w:rsid w:val="00B06478"/>
    <w:rsid w:val="00B06CCB"/>
    <w:rsid w:val="00B07533"/>
    <w:rsid w:val="00B07CFB"/>
    <w:rsid w:val="00B1059E"/>
    <w:rsid w:val="00B14A36"/>
    <w:rsid w:val="00B16123"/>
    <w:rsid w:val="00B16273"/>
    <w:rsid w:val="00B16F0D"/>
    <w:rsid w:val="00B170A5"/>
    <w:rsid w:val="00B176C8"/>
    <w:rsid w:val="00B17EE5"/>
    <w:rsid w:val="00B20109"/>
    <w:rsid w:val="00B205AA"/>
    <w:rsid w:val="00B22E84"/>
    <w:rsid w:val="00B233AD"/>
    <w:rsid w:val="00B23E25"/>
    <w:rsid w:val="00B25F75"/>
    <w:rsid w:val="00B26B3F"/>
    <w:rsid w:val="00B2778F"/>
    <w:rsid w:val="00B327E2"/>
    <w:rsid w:val="00B33635"/>
    <w:rsid w:val="00B35648"/>
    <w:rsid w:val="00B42AF4"/>
    <w:rsid w:val="00B43E90"/>
    <w:rsid w:val="00B467DC"/>
    <w:rsid w:val="00B5392A"/>
    <w:rsid w:val="00B56118"/>
    <w:rsid w:val="00B566E1"/>
    <w:rsid w:val="00B62C12"/>
    <w:rsid w:val="00B6773F"/>
    <w:rsid w:val="00B70E83"/>
    <w:rsid w:val="00B70EB3"/>
    <w:rsid w:val="00B7286D"/>
    <w:rsid w:val="00B72906"/>
    <w:rsid w:val="00B7525E"/>
    <w:rsid w:val="00B760FB"/>
    <w:rsid w:val="00B767AB"/>
    <w:rsid w:val="00B801BA"/>
    <w:rsid w:val="00B80EC5"/>
    <w:rsid w:val="00B81183"/>
    <w:rsid w:val="00B812D6"/>
    <w:rsid w:val="00B81756"/>
    <w:rsid w:val="00B84D5C"/>
    <w:rsid w:val="00B85AF6"/>
    <w:rsid w:val="00B942A8"/>
    <w:rsid w:val="00B956ED"/>
    <w:rsid w:val="00B96FCE"/>
    <w:rsid w:val="00BA2DA8"/>
    <w:rsid w:val="00BA347C"/>
    <w:rsid w:val="00BA6E89"/>
    <w:rsid w:val="00BB3469"/>
    <w:rsid w:val="00BB5875"/>
    <w:rsid w:val="00BB5C49"/>
    <w:rsid w:val="00BB6240"/>
    <w:rsid w:val="00BB6285"/>
    <w:rsid w:val="00BB69F5"/>
    <w:rsid w:val="00BB7EC3"/>
    <w:rsid w:val="00BC470E"/>
    <w:rsid w:val="00BC4B9A"/>
    <w:rsid w:val="00BD02C3"/>
    <w:rsid w:val="00BD3E47"/>
    <w:rsid w:val="00BD7483"/>
    <w:rsid w:val="00BD784C"/>
    <w:rsid w:val="00BE020A"/>
    <w:rsid w:val="00BE13DF"/>
    <w:rsid w:val="00BE25D7"/>
    <w:rsid w:val="00BE55D9"/>
    <w:rsid w:val="00BF092C"/>
    <w:rsid w:val="00BF16DA"/>
    <w:rsid w:val="00BF27A0"/>
    <w:rsid w:val="00BF4CB6"/>
    <w:rsid w:val="00C00DA7"/>
    <w:rsid w:val="00C04CDE"/>
    <w:rsid w:val="00C068A6"/>
    <w:rsid w:val="00C12768"/>
    <w:rsid w:val="00C12D70"/>
    <w:rsid w:val="00C13DDC"/>
    <w:rsid w:val="00C16724"/>
    <w:rsid w:val="00C1745A"/>
    <w:rsid w:val="00C21B09"/>
    <w:rsid w:val="00C2673A"/>
    <w:rsid w:val="00C27B58"/>
    <w:rsid w:val="00C30EBD"/>
    <w:rsid w:val="00C33186"/>
    <w:rsid w:val="00C333D2"/>
    <w:rsid w:val="00C34897"/>
    <w:rsid w:val="00C35996"/>
    <w:rsid w:val="00C417D0"/>
    <w:rsid w:val="00C4747E"/>
    <w:rsid w:val="00C5151E"/>
    <w:rsid w:val="00C5342C"/>
    <w:rsid w:val="00C53B2B"/>
    <w:rsid w:val="00C57465"/>
    <w:rsid w:val="00C60272"/>
    <w:rsid w:val="00C603D4"/>
    <w:rsid w:val="00C614D5"/>
    <w:rsid w:val="00C6256A"/>
    <w:rsid w:val="00C64EBC"/>
    <w:rsid w:val="00C664D2"/>
    <w:rsid w:val="00C710E2"/>
    <w:rsid w:val="00C71C3F"/>
    <w:rsid w:val="00C73466"/>
    <w:rsid w:val="00C7409E"/>
    <w:rsid w:val="00C74D6D"/>
    <w:rsid w:val="00C76657"/>
    <w:rsid w:val="00C767B0"/>
    <w:rsid w:val="00C76E76"/>
    <w:rsid w:val="00C77891"/>
    <w:rsid w:val="00C81879"/>
    <w:rsid w:val="00C829A9"/>
    <w:rsid w:val="00C87B80"/>
    <w:rsid w:val="00C87FC6"/>
    <w:rsid w:val="00C90EF6"/>
    <w:rsid w:val="00C91449"/>
    <w:rsid w:val="00C92D10"/>
    <w:rsid w:val="00CA12DB"/>
    <w:rsid w:val="00CA48D9"/>
    <w:rsid w:val="00CB1193"/>
    <w:rsid w:val="00CB13C1"/>
    <w:rsid w:val="00CB4767"/>
    <w:rsid w:val="00CB493D"/>
    <w:rsid w:val="00CC2043"/>
    <w:rsid w:val="00CC3B97"/>
    <w:rsid w:val="00CC3CA3"/>
    <w:rsid w:val="00CC4EFF"/>
    <w:rsid w:val="00CD0AC7"/>
    <w:rsid w:val="00CD312C"/>
    <w:rsid w:val="00CD7C0B"/>
    <w:rsid w:val="00CE10C4"/>
    <w:rsid w:val="00CE27B5"/>
    <w:rsid w:val="00CE6DAF"/>
    <w:rsid w:val="00CF066B"/>
    <w:rsid w:val="00CF410A"/>
    <w:rsid w:val="00D0321E"/>
    <w:rsid w:val="00D05FD9"/>
    <w:rsid w:val="00D069EB"/>
    <w:rsid w:val="00D07A8A"/>
    <w:rsid w:val="00D11199"/>
    <w:rsid w:val="00D1455A"/>
    <w:rsid w:val="00D14A70"/>
    <w:rsid w:val="00D22093"/>
    <w:rsid w:val="00D26648"/>
    <w:rsid w:val="00D30078"/>
    <w:rsid w:val="00D31150"/>
    <w:rsid w:val="00D3138B"/>
    <w:rsid w:val="00D31FCE"/>
    <w:rsid w:val="00D3280C"/>
    <w:rsid w:val="00D3297F"/>
    <w:rsid w:val="00D34011"/>
    <w:rsid w:val="00D3406A"/>
    <w:rsid w:val="00D36196"/>
    <w:rsid w:val="00D40B11"/>
    <w:rsid w:val="00D429EC"/>
    <w:rsid w:val="00D43F05"/>
    <w:rsid w:val="00D441F1"/>
    <w:rsid w:val="00D4572C"/>
    <w:rsid w:val="00D469B2"/>
    <w:rsid w:val="00D50310"/>
    <w:rsid w:val="00D54B09"/>
    <w:rsid w:val="00D55AA0"/>
    <w:rsid w:val="00D61B02"/>
    <w:rsid w:val="00D621CE"/>
    <w:rsid w:val="00D6243E"/>
    <w:rsid w:val="00D65658"/>
    <w:rsid w:val="00D66189"/>
    <w:rsid w:val="00D67983"/>
    <w:rsid w:val="00D67EB2"/>
    <w:rsid w:val="00D72B6F"/>
    <w:rsid w:val="00D741EB"/>
    <w:rsid w:val="00D7679C"/>
    <w:rsid w:val="00D820F3"/>
    <w:rsid w:val="00D82FCD"/>
    <w:rsid w:val="00D83605"/>
    <w:rsid w:val="00D84934"/>
    <w:rsid w:val="00D866EB"/>
    <w:rsid w:val="00D87935"/>
    <w:rsid w:val="00D87D1A"/>
    <w:rsid w:val="00D90B19"/>
    <w:rsid w:val="00D91271"/>
    <w:rsid w:val="00D91555"/>
    <w:rsid w:val="00D919F5"/>
    <w:rsid w:val="00D945F6"/>
    <w:rsid w:val="00D94F03"/>
    <w:rsid w:val="00D95161"/>
    <w:rsid w:val="00DA0A82"/>
    <w:rsid w:val="00DA0D14"/>
    <w:rsid w:val="00DA1FC9"/>
    <w:rsid w:val="00DA2CB5"/>
    <w:rsid w:val="00DA4BAC"/>
    <w:rsid w:val="00DB0151"/>
    <w:rsid w:val="00DB50E1"/>
    <w:rsid w:val="00DC0566"/>
    <w:rsid w:val="00DC0FEB"/>
    <w:rsid w:val="00DC1499"/>
    <w:rsid w:val="00DC2C3E"/>
    <w:rsid w:val="00DC3137"/>
    <w:rsid w:val="00DC4880"/>
    <w:rsid w:val="00DC4E8D"/>
    <w:rsid w:val="00DD32EE"/>
    <w:rsid w:val="00DD42AB"/>
    <w:rsid w:val="00DE06AF"/>
    <w:rsid w:val="00DE6D27"/>
    <w:rsid w:val="00DF01F8"/>
    <w:rsid w:val="00DF021D"/>
    <w:rsid w:val="00DF207F"/>
    <w:rsid w:val="00DF217D"/>
    <w:rsid w:val="00DF26A7"/>
    <w:rsid w:val="00DF3277"/>
    <w:rsid w:val="00DF77A1"/>
    <w:rsid w:val="00DF7919"/>
    <w:rsid w:val="00E0207E"/>
    <w:rsid w:val="00E02AE6"/>
    <w:rsid w:val="00E03912"/>
    <w:rsid w:val="00E04748"/>
    <w:rsid w:val="00E05532"/>
    <w:rsid w:val="00E078D9"/>
    <w:rsid w:val="00E10293"/>
    <w:rsid w:val="00E103A0"/>
    <w:rsid w:val="00E13E60"/>
    <w:rsid w:val="00E15627"/>
    <w:rsid w:val="00E164B3"/>
    <w:rsid w:val="00E16910"/>
    <w:rsid w:val="00E16C00"/>
    <w:rsid w:val="00E16F53"/>
    <w:rsid w:val="00E239E2"/>
    <w:rsid w:val="00E24E09"/>
    <w:rsid w:val="00E25937"/>
    <w:rsid w:val="00E27234"/>
    <w:rsid w:val="00E3495C"/>
    <w:rsid w:val="00E42BDB"/>
    <w:rsid w:val="00E5726D"/>
    <w:rsid w:val="00E57EEB"/>
    <w:rsid w:val="00E62D94"/>
    <w:rsid w:val="00E64F37"/>
    <w:rsid w:val="00E65091"/>
    <w:rsid w:val="00E65E54"/>
    <w:rsid w:val="00E661C7"/>
    <w:rsid w:val="00E74E41"/>
    <w:rsid w:val="00E80155"/>
    <w:rsid w:val="00E8134B"/>
    <w:rsid w:val="00E81E0D"/>
    <w:rsid w:val="00E81F28"/>
    <w:rsid w:val="00E82B1D"/>
    <w:rsid w:val="00E848C0"/>
    <w:rsid w:val="00E85776"/>
    <w:rsid w:val="00E90796"/>
    <w:rsid w:val="00E91B96"/>
    <w:rsid w:val="00E935DA"/>
    <w:rsid w:val="00E93D1E"/>
    <w:rsid w:val="00E941A1"/>
    <w:rsid w:val="00E95CE3"/>
    <w:rsid w:val="00E978B3"/>
    <w:rsid w:val="00EA0856"/>
    <w:rsid w:val="00EA1C2E"/>
    <w:rsid w:val="00EA252F"/>
    <w:rsid w:val="00EA2825"/>
    <w:rsid w:val="00EA312E"/>
    <w:rsid w:val="00EA3AED"/>
    <w:rsid w:val="00EA3D44"/>
    <w:rsid w:val="00EA6518"/>
    <w:rsid w:val="00EA71A2"/>
    <w:rsid w:val="00EA7466"/>
    <w:rsid w:val="00EA7EDE"/>
    <w:rsid w:val="00EB0B63"/>
    <w:rsid w:val="00EB0E68"/>
    <w:rsid w:val="00EB1936"/>
    <w:rsid w:val="00EB3545"/>
    <w:rsid w:val="00EB37BE"/>
    <w:rsid w:val="00EB5088"/>
    <w:rsid w:val="00EC2726"/>
    <w:rsid w:val="00EC4BB9"/>
    <w:rsid w:val="00EC6E5D"/>
    <w:rsid w:val="00ED1644"/>
    <w:rsid w:val="00ED2593"/>
    <w:rsid w:val="00ED7D55"/>
    <w:rsid w:val="00ED7D9C"/>
    <w:rsid w:val="00EE31A2"/>
    <w:rsid w:val="00EF0069"/>
    <w:rsid w:val="00EF21D6"/>
    <w:rsid w:val="00EF44A0"/>
    <w:rsid w:val="00EF4580"/>
    <w:rsid w:val="00EF4FED"/>
    <w:rsid w:val="00EF5F45"/>
    <w:rsid w:val="00EF5F76"/>
    <w:rsid w:val="00EF6843"/>
    <w:rsid w:val="00EF6E88"/>
    <w:rsid w:val="00EF6FB3"/>
    <w:rsid w:val="00F007C6"/>
    <w:rsid w:val="00F0172E"/>
    <w:rsid w:val="00F023FC"/>
    <w:rsid w:val="00F050BD"/>
    <w:rsid w:val="00F05657"/>
    <w:rsid w:val="00F05AB0"/>
    <w:rsid w:val="00F12319"/>
    <w:rsid w:val="00F12B5E"/>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4655F"/>
    <w:rsid w:val="00F5007E"/>
    <w:rsid w:val="00F50EC4"/>
    <w:rsid w:val="00F52232"/>
    <w:rsid w:val="00F52A82"/>
    <w:rsid w:val="00F52DC2"/>
    <w:rsid w:val="00F550CF"/>
    <w:rsid w:val="00F553D2"/>
    <w:rsid w:val="00F57A6D"/>
    <w:rsid w:val="00F62857"/>
    <w:rsid w:val="00F62F19"/>
    <w:rsid w:val="00F638CC"/>
    <w:rsid w:val="00F63E60"/>
    <w:rsid w:val="00F64C9E"/>
    <w:rsid w:val="00F64CC1"/>
    <w:rsid w:val="00F6728A"/>
    <w:rsid w:val="00F72317"/>
    <w:rsid w:val="00F73DC1"/>
    <w:rsid w:val="00F7499A"/>
    <w:rsid w:val="00F75BB8"/>
    <w:rsid w:val="00F80475"/>
    <w:rsid w:val="00F81390"/>
    <w:rsid w:val="00F81F7A"/>
    <w:rsid w:val="00F8247A"/>
    <w:rsid w:val="00F82E5C"/>
    <w:rsid w:val="00F83F58"/>
    <w:rsid w:val="00F87CEA"/>
    <w:rsid w:val="00F92F97"/>
    <w:rsid w:val="00F9629A"/>
    <w:rsid w:val="00F97EFC"/>
    <w:rsid w:val="00FA0C7C"/>
    <w:rsid w:val="00FA1BDD"/>
    <w:rsid w:val="00FA305C"/>
    <w:rsid w:val="00FA3B79"/>
    <w:rsid w:val="00FA3C24"/>
    <w:rsid w:val="00FA462E"/>
    <w:rsid w:val="00FA4DD5"/>
    <w:rsid w:val="00FA5883"/>
    <w:rsid w:val="00FA6055"/>
    <w:rsid w:val="00FB0B39"/>
    <w:rsid w:val="00FB322F"/>
    <w:rsid w:val="00FB442F"/>
    <w:rsid w:val="00FC118C"/>
    <w:rsid w:val="00FC1929"/>
    <w:rsid w:val="00FC5B46"/>
    <w:rsid w:val="00FD133B"/>
    <w:rsid w:val="00FD1D4F"/>
    <w:rsid w:val="00FD24BF"/>
    <w:rsid w:val="00FD3B6E"/>
    <w:rsid w:val="00FD57EB"/>
    <w:rsid w:val="00FD6D8E"/>
    <w:rsid w:val="00FE0663"/>
    <w:rsid w:val="00FE0E94"/>
    <w:rsid w:val="00FE2A63"/>
    <w:rsid w:val="00FE369C"/>
    <w:rsid w:val="00FE3CD3"/>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Styl moj,Akapit z listą11,ES Paragraph,PBAC ES Paragraph,PBAC normal points,Bullet List,Bullet Poin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2A6133"/>
    <w:rPr>
      <w:rFonts w:ascii="Arial Narrow" w:hAnsi="Arial Narrow"/>
      <w:b/>
      <w:bCs/>
      <w:color w:val="auto"/>
      <w:sz w:val="20"/>
      <w:szCs w:val="20"/>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unhideWhenUsed/>
    <w:rsid w:val="002A6133"/>
    <w:pPr>
      <w:spacing w:after="200"/>
    </w:pPr>
    <w:rPr>
      <w:i/>
      <w:iCs/>
      <w:color w:val="1F497D" w:themeColor="text2"/>
      <w:sz w:val="18"/>
      <w:szCs w:val="18"/>
    </w:rPr>
  </w:style>
  <w:style w:type="paragraph" w:customStyle="1" w:styleId="Default">
    <w:name w:val="Default"/>
    <w:rsid w:val="00337A1D"/>
    <w:pPr>
      <w:autoSpaceDE w:val="0"/>
      <w:autoSpaceDN w:val="0"/>
      <w:adjustRightInd w:val="0"/>
    </w:pPr>
    <w:rPr>
      <w:rFonts w:ascii="Arial" w:eastAsiaTheme="minorHAnsi" w:hAnsi="Arial" w:cs="Arial"/>
      <w:color w:val="000000"/>
      <w:sz w:val="24"/>
      <w:szCs w:val="24"/>
      <w:lang w:eastAsia="en-US"/>
    </w:rPr>
  </w:style>
  <w:style w:type="paragraph" w:customStyle="1" w:styleId="3-SubsectionHeading">
    <w:name w:val="3-Subsection Heading"/>
    <w:basedOn w:val="Heading2"/>
    <w:next w:val="Normal"/>
    <w:link w:val="3-SubsectionHeadingChar"/>
    <w:qFormat/>
    <w:rsid w:val="008D1D0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8D1D0C"/>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Bodytext">
    <w:name w:val="3. Body text"/>
    <w:basedOn w:val="ListParagraph"/>
    <w:qFormat/>
    <w:rsid w:val="00C767B0"/>
    <w:pPr>
      <w:ind w:left="720" w:hanging="720"/>
    </w:pPr>
    <w:rPr>
      <w:rFonts w:eastAsiaTheme="minorHAnsi" w:cstheme="minorBidi"/>
      <w:snapToGrid/>
      <w:szCs w:val="22"/>
    </w:rPr>
  </w:style>
  <w:style w:type="character" w:customStyle="1" w:styleId="ExecSumBodyTextChar">
    <w:name w:val="Exec Sum Body Text Char"/>
    <w:basedOn w:val="DefaultParagraphFont"/>
    <w:link w:val="ExecSumBodyText"/>
    <w:locked/>
    <w:rsid w:val="00133FC4"/>
    <w:rPr>
      <w:rFonts w:asciiTheme="minorHAnsi" w:hAnsiTheme="minorHAnsi" w:cs="Arial"/>
    </w:rPr>
  </w:style>
  <w:style w:type="paragraph" w:customStyle="1" w:styleId="ExecSumBodyText">
    <w:name w:val="Exec Sum Body Text"/>
    <w:basedOn w:val="Normal"/>
    <w:link w:val="ExecSumBodyTextChar"/>
    <w:qFormat/>
    <w:rsid w:val="00133FC4"/>
    <w:pPr>
      <w:snapToGrid w:val="0"/>
      <w:spacing w:after="120"/>
      <w:ind w:left="720" w:hanging="720"/>
    </w:pPr>
    <w:rPr>
      <w:rFonts w:asciiTheme="minorHAnsi" w:hAnsiTheme="minorHAnsi" w:cs="Arial"/>
      <w:sz w:val="20"/>
      <w:szCs w:val="20"/>
    </w:rPr>
  </w:style>
  <w:style w:type="character" w:styleId="UnresolvedMention">
    <w:name w:val="Unresolved Mention"/>
    <w:basedOn w:val="DefaultParagraphFont"/>
    <w:uiPriority w:val="99"/>
    <w:semiHidden/>
    <w:unhideWhenUsed/>
    <w:rsid w:val="00C7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9859368">
      <w:bodyDiv w:val="1"/>
      <w:marLeft w:val="0"/>
      <w:marRight w:val="0"/>
      <w:marTop w:val="0"/>
      <w:marBottom w:val="0"/>
      <w:divBdr>
        <w:top w:val="none" w:sz="0" w:space="0" w:color="auto"/>
        <w:left w:val="none" w:sz="0" w:space="0" w:color="auto"/>
        <w:bottom w:val="none" w:sz="0" w:space="0" w:color="auto"/>
        <w:right w:val="none" w:sz="0" w:space="0" w:color="auto"/>
      </w:divBdr>
    </w:div>
    <w:div w:id="202602506">
      <w:bodyDiv w:val="1"/>
      <w:marLeft w:val="0"/>
      <w:marRight w:val="0"/>
      <w:marTop w:val="0"/>
      <w:marBottom w:val="0"/>
      <w:divBdr>
        <w:top w:val="none" w:sz="0" w:space="0" w:color="auto"/>
        <w:left w:val="none" w:sz="0" w:space="0" w:color="auto"/>
        <w:bottom w:val="none" w:sz="0" w:space="0" w:color="auto"/>
        <w:right w:val="none" w:sz="0" w:space="0" w:color="auto"/>
      </w:divBdr>
    </w:div>
    <w:div w:id="210388074">
      <w:bodyDiv w:val="1"/>
      <w:marLeft w:val="0"/>
      <w:marRight w:val="0"/>
      <w:marTop w:val="0"/>
      <w:marBottom w:val="0"/>
      <w:divBdr>
        <w:top w:val="none" w:sz="0" w:space="0" w:color="auto"/>
        <w:left w:val="none" w:sz="0" w:space="0" w:color="auto"/>
        <w:bottom w:val="none" w:sz="0" w:space="0" w:color="auto"/>
        <w:right w:val="none" w:sz="0" w:space="0" w:color="auto"/>
      </w:divBdr>
    </w:div>
    <w:div w:id="242110374">
      <w:bodyDiv w:val="1"/>
      <w:marLeft w:val="0"/>
      <w:marRight w:val="0"/>
      <w:marTop w:val="0"/>
      <w:marBottom w:val="0"/>
      <w:divBdr>
        <w:top w:val="none" w:sz="0" w:space="0" w:color="auto"/>
        <w:left w:val="none" w:sz="0" w:space="0" w:color="auto"/>
        <w:bottom w:val="none" w:sz="0" w:space="0" w:color="auto"/>
        <w:right w:val="none" w:sz="0" w:space="0" w:color="auto"/>
      </w:divBdr>
    </w:div>
    <w:div w:id="305209528">
      <w:bodyDiv w:val="1"/>
      <w:marLeft w:val="0"/>
      <w:marRight w:val="0"/>
      <w:marTop w:val="0"/>
      <w:marBottom w:val="0"/>
      <w:divBdr>
        <w:top w:val="none" w:sz="0" w:space="0" w:color="auto"/>
        <w:left w:val="none" w:sz="0" w:space="0" w:color="auto"/>
        <w:bottom w:val="none" w:sz="0" w:space="0" w:color="auto"/>
        <w:right w:val="none" w:sz="0" w:space="0" w:color="auto"/>
      </w:divBdr>
    </w:div>
    <w:div w:id="384765369">
      <w:bodyDiv w:val="1"/>
      <w:marLeft w:val="0"/>
      <w:marRight w:val="0"/>
      <w:marTop w:val="0"/>
      <w:marBottom w:val="0"/>
      <w:divBdr>
        <w:top w:val="none" w:sz="0" w:space="0" w:color="auto"/>
        <w:left w:val="none" w:sz="0" w:space="0" w:color="auto"/>
        <w:bottom w:val="none" w:sz="0" w:space="0" w:color="auto"/>
        <w:right w:val="none" w:sz="0" w:space="0" w:color="auto"/>
      </w:divBdr>
    </w:div>
    <w:div w:id="41185874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2938072">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17499837">
      <w:bodyDiv w:val="1"/>
      <w:marLeft w:val="0"/>
      <w:marRight w:val="0"/>
      <w:marTop w:val="0"/>
      <w:marBottom w:val="0"/>
      <w:divBdr>
        <w:top w:val="none" w:sz="0" w:space="0" w:color="auto"/>
        <w:left w:val="none" w:sz="0" w:space="0" w:color="auto"/>
        <w:bottom w:val="none" w:sz="0" w:space="0" w:color="auto"/>
        <w:right w:val="none" w:sz="0" w:space="0" w:color="auto"/>
      </w:divBdr>
    </w:div>
    <w:div w:id="535853029">
      <w:bodyDiv w:val="1"/>
      <w:marLeft w:val="0"/>
      <w:marRight w:val="0"/>
      <w:marTop w:val="0"/>
      <w:marBottom w:val="0"/>
      <w:divBdr>
        <w:top w:val="none" w:sz="0" w:space="0" w:color="auto"/>
        <w:left w:val="none" w:sz="0" w:space="0" w:color="auto"/>
        <w:bottom w:val="none" w:sz="0" w:space="0" w:color="auto"/>
        <w:right w:val="none" w:sz="0" w:space="0" w:color="auto"/>
      </w:divBdr>
    </w:div>
    <w:div w:id="623923473">
      <w:bodyDiv w:val="1"/>
      <w:marLeft w:val="0"/>
      <w:marRight w:val="0"/>
      <w:marTop w:val="0"/>
      <w:marBottom w:val="0"/>
      <w:divBdr>
        <w:top w:val="none" w:sz="0" w:space="0" w:color="auto"/>
        <w:left w:val="none" w:sz="0" w:space="0" w:color="auto"/>
        <w:bottom w:val="none" w:sz="0" w:space="0" w:color="auto"/>
        <w:right w:val="none" w:sz="0" w:space="0" w:color="auto"/>
      </w:divBdr>
    </w:div>
    <w:div w:id="631250895">
      <w:bodyDiv w:val="1"/>
      <w:marLeft w:val="0"/>
      <w:marRight w:val="0"/>
      <w:marTop w:val="0"/>
      <w:marBottom w:val="0"/>
      <w:divBdr>
        <w:top w:val="none" w:sz="0" w:space="0" w:color="auto"/>
        <w:left w:val="none" w:sz="0" w:space="0" w:color="auto"/>
        <w:bottom w:val="none" w:sz="0" w:space="0" w:color="auto"/>
        <w:right w:val="none" w:sz="0" w:space="0" w:color="auto"/>
      </w:divBdr>
    </w:div>
    <w:div w:id="73697922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563396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6695360">
      <w:bodyDiv w:val="1"/>
      <w:marLeft w:val="0"/>
      <w:marRight w:val="0"/>
      <w:marTop w:val="0"/>
      <w:marBottom w:val="0"/>
      <w:divBdr>
        <w:top w:val="none" w:sz="0" w:space="0" w:color="auto"/>
        <w:left w:val="none" w:sz="0" w:space="0" w:color="auto"/>
        <w:bottom w:val="none" w:sz="0" w:space="0" w:color="auto"/>
        <w:right w:val="none" w:sz="0" w:space="0" w:color="auto"/>
      </w:divBdr>
    </w:div>
    <w:div w:id="922834389">
      <w:bodyDiv w:val="1"/>
      <w:marLeft w:val="0"/>
      <w:marRight w:val="0"/>
      <w:marTop w:val="0"/>
      <w:marBottom w:val="0"/>
      <w:divBdr>
        <w:top w:val="none" w:sz="0" w:space="0" w:color="auto"/>
        <w:left w:val="none" w:sz="0" w:space="0" w:color="auto"/>
        <w:bottom w:val="none" w:sz="0" w:space="0" w:color="auto"/>
        <w:right w:val="none" w:sz="0" w:space="0" w:color="auto"/>
      </w:divBdr>
    </w:div>
    <w:div w:id="93667205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2845301">
      <w:bodyDiv w:val="1"/>
      <w:marLeft w:val="0"/>
      <w:marRight w:val="0"/>
      <w:marTop w:val="0"/>
      <w:marBottom w:val="0"/>
      <w:divBdr>
        <w:top w:val="none" w:sz="0" w:space="0" w:color="auto"/>
        <w:left w:val="none" w:sz="0" w:space="0" w:color="auto"/>
        <w:bottom w:val="none" w:sz="0" w:space="0" w:color="auto"/>
        <w:right w:val="none" w:sz="0" w:space="0" w:color="auto"/>
      </w:divBdr>
    </w:div>
    <w:div w:id="114245584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8492607">
      <w:bodyDiv w:val="1"/>
      <w:marLeft w:val="0"/>
      <w:marRight w:val="0"/>
      <w:marTop w:val="0"/>
      <w:marBottom w:val="0"/>
      <w:divBdr>
        <w:top w:val="none" w:sz="0" w:space="0" w:color="auto"/>
        <w:left w:val="none" w:sz="0" w:space="0" w:color="auto"/>
        <w:bottom w:val="none" w:sz="0" w:space="0" w:color="auto"/>
        <w:right w:val="none" w:sz="0" w:space="0" w:color="auto"/>
      </w:divBdr>
      <w:divsChild>
        <w:div w:id="112215944">
          <w:marLeft w:val="446"/>
          <w:marRight w:val="0"/>
          <w:marTop w:val="0"/>
          <w:marBottom w:val="0"/>
          <w:divBdr>
            <w:top w:val="none" w:sz="0" w:space="0" w:color="auto"/>
            <w:left w:val="none" w:sz="0" w:space="0" w:color="auto"/>
            <w:bottom w:val="none" w:sz="0" w:space="0" w:color="auto"/>
            <w:right w:val="none" w:sz="0" w:space="0" w:color="auto"/>
          </w:divBdr>
        </w:div>
      </w:divsChild>
    </w:div>
    <w:div w:id="1231497984">
      <w:bodyDiv w:val="1"/>
      <w:marLeft w:val="0"/>
      <w:marRight w:val="0"/>
      <w:marTop w:val="0"/>
      <w:marBottom w:val="0"/>
      <w:divBdr>
        <w:top w:val="none" w:sz="0" w:space="0" w:color="auto"/>
        <w:left w:val="none" w:sz="0" w:space="0" w:color="auto"/>
        <w:bottom w:val="none" w:sz="0" w:space="0" w:color="auto"/>
        <w:right w:val="none" w:sz="0" w:space="0" w:color="auto"/>
      </w:divBdr>
    </w:div>
    <w:div w:id="124999579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9916184">
      <w:bodyDiv w:val="1"/>
      <w:marLeft w:val="0"/>
      <w:marRight w:val="0"/>
      <w:marTop w:val="0"/>
      <w:marBottom w:val="0"/>
      <w:divBdr>
        <w:top w:val="none" w:sz="0" w:space="0" w:color="auto"/>
        <w:left w:val="none" w:sz="0" w:space="0" w:color="auto"/>
        <w:bottom w:val="none" w:sz="0" w:space="0" w:color="auto"/>
        <w:right w:val="none" w:sz="0" w:space="0" w:color="auto"/>
      </w:divBdr>
    </w:div>
    <w:div w:id="1421634880">
      <w:bodyDiv w:val="1"/>
      <w:marLeft w:val="0"/>
      <w:marRight w:val="0"/>
      <w:marTop w:val="0"/>
      <w:marBottom w:val="0"/>
      <w:divBdr>
        <w:top w:val="none" w:sz="0" w:space="0" w:color="auto"/>
        <w:left w:val="none" w:sz="0" w:space="0" w:color="auto"/>
        <w:bottom w:val="none" w:sz="0" w:space="0" w:color="auto"/>
        <w:right w:val="none" w:sz="0" w:space="0" w:color="auto"/>
      </w:divBdr>
    </w:div>
    <w:div w:id="1515683655">
      <w:bodyDiv w:val="1"/>
      <w:marLeft w:val="0"/>
      <w:marRight w:val="0"/>
      <w:marTop w:val="0"/>
      <w:marBottom w:val="0"/>
      <w:divBdr>
        <w:top w:val="none" w:sz="0" w:space="0" w:color="auto"/>
        <w:left w:val="none" w:sz="0" w:space="0" w:color="auto"/>
        <w:bottom w:val="none" w:sz="0" w:space="0" w:color="auto"/>
        <w:right w:val="none" w:sz="0" w:space="0" w:color="auto"/>
      </w:divBdr>
    </w:div>
    <w:div w:id="152235271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5793944">
      <w:bodyDiv w:val="1"/>
      <w:marLeft w:val="0"/>
      <w:marRight w:val="0"/>
      <w:marTop w:val="0"/>
      <w:marBottom w:val="0"/>
      <w:divBdr>
        <w:top w:val="none" w:sz="0" w:space="0" w:color="auto"/>
        <w:left w:val="none" w:sz="0" w:space="0" w:color="auto"/>
        <w:bottom w:val="none" w:sz="0" w:space="0" w:color="auto"/>
        <w:right w:val="none" w:sz="0" w:space="0" w:color="auto"/>
      </w:divBdr>
    </w:div>
    <w:div w:id="1593852151">
      <w:bodyDiv w:val="1"/>
      <w:marLeft w:val="0"/>
      <w:marRight w:val="0"/>
      <w:marTop w:val="0"/>
      <w:marBottom w:val="0"/>
      <w:divBdr>
        <w:top w:val="none" w:sz="0" w:space="0" w:color="auto"/>
        <w:left w:val="none" w:sz="0" w:space="0" w:color="auto"/>
        <w:bottom w:val="none" w:sz="0" w:space="0" w:color="auto"/>
        <w:right w:val="none" w:sz="0" w:space="0" w:color="auto"/>
      </w:divBdr>
    </w:div>
    <w:div w:id="1605529246">
      <w:bodyDiv w:val="1"/>
      <w:marLeft w:val="0"/>
      <w:marRight w:val="0"/>
      <w:marTop w:val="0"/>
      <w:marBottom w:val="0"/>
      <w:divBdr>
        <w:top w:val="none" w:sz="0" w:space="0" w:color="auto"/>
        <w:left w:val="none" w:sz="0" w:space="0" w:color="auto"/>
        <w:bottom w:val="none" w:sz="0" w:space="0" w:color="auto"/>
        <w:right w:val="none" w:sz="0" w:space="0" w:color="auto"/>
      </w:divBdr>
    </w:div>
    <w:div w:id="16695953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1293473">
      <w:bodyDiv w:val="1"/>
      <w:marLeft w:val="0"/>
      <w:marRight w:val="0"/>
      <w:marTop w:val="0"/>
      <w:marBottom w:val="0"/>
      <w:divBdr>
        <w:top w:val="none" w:sz="0" w:space="0" w:color="auto"/>
        <w:left w:val="none" w:sz="0" w:space="0" w:color="auto"/>
        <w:bottom w:val="none" w:sz="0" w:space="0" w:color="auto"/>
        <w:right w:val="none" w:sz="0" w:space="0" w:color="auto"/>
      </w:divBdr>
    </w:div>
    <w:div w:id="176137220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3615272">
      <w:bodyDiv w:val="1"/>
      <w:marLeft w:val="0"/>
      <w:marRight w:val="0"/>
      <w:marTop w:val="0"/>
      <w:marBottom w:val="0"/>
      <w:divBdr>
        <w:top w:val="none" w:sz="0" w:space="0" w:color="auto"/>
        <w:left w:val="none" w:sz="0" w:space="0" w:color="auto"/>
        <w:bottom w:val="none" w:sz="0" w:space="0" w:color="auto"/>
        <w:right w:val="none" w:sz="0" w:space="0" w:color="auto"/>
      </w:divBdr>
    </w:div>
    <w:div w:id="195513807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3463471">
      <w:bodyDiv w:val="1"/>
      <w:marLeft w:val="0"/>
      <w:marRight w:val="0"/>
      <w:marTop w:val="0"/>
      <w:marBottom w:val="0"/>
      <w:divBdr>
        <w:top w:val="none" w:sz="0" w:space="0" w:color="auto"/>
        <w:left w:val="none" w:sz="0" w:space="0" w:color="auto"/>
        <w:bottom w:val="none" w:sz="0" w:space="0" w:color="auto"/>
        <w:right w:val="none" w:sz="0" w:space="0" w:color="auto"/>
      </w:divBdr>
    </w:div>
    <w:div w:id="2087414949">
      <w:bodyDiv w:val="1"/>
      <w:marLeft w:val="0"/>
      <w:marRight w:val="0"/>
      <w:marTop w:val="0"/>
      <w:marBottom w:val="0"/>
      <w:divBdr>
        <w:top w:val="none" w:sz="0" w:space="0" w:color="auto"/>
        <w:left w:val="none" w:sz="0" w:space="0" w:color="auto"/>
        <w:bottom w:val="none" w:sz="0" w:space="0" w:color="auto"/>
        <w:right w:val="none" w:sz="0" w:space="0" w:color="auto"/>
      </w:divBdr>
    </w:div>
    <w:div w:id="2098400535">
      <w:bodyDiv w:val="1"/>
      <w:marLeft w:val="0"/>
      <w:marRight w:val="0"/>
      <w:marTop w:val="0"/>
      <w:marBottom w:val="0"/>
      <w:divBdr>
        <w:top w:val="none" w:sz="0" w:space="0" w:color="auto"/>
        <w:left w:val="none" w:sz="0" w:space="0" w:color="auto"/>
        <w:bottom w:val="none" w:sz="0" w:space="0" w:color="auto"/>
        <w:right w:val="none" w:sz="0" w:space="0" w:color="auto"/>
      </w:divBdr>
    </w:div>
    <w:div w:id="2112973702">
      <w:bodyDiv w:val="1"/>
      <w:marLeft w:val="0"/>
      <w:marRight w:val="0"/>
      <w:marTop w:val="0"/>
      <w:marBottom w:val="0"/>
      <w:divBdr>
        <w:top w:val="none" w:sz="0" w:space="0" w:color="auto"/>
        <w:left w:val="none" w:sz="0" w:space="0" w:color="auto"/>
        <w:bottom w:val="none" w:sz="0" w:space="0" w:color="auto"/>
        <w:right w:val="none" w:sz="0" w:space="0" w:color="auto"/>
      </w:divBdr>
    </w:div>
    <w:div w:id="2135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3780</Words>
  <Characters>20423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2022-10-20T04:33:00Z</dcterms:created>
  <dcterms:modified xsi:type="dcterms:W3CDTF">2022-10-20T04:33:00Z</dcterms:modified>
</cp:coreProperties>
</file>