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64C5" w14:textId="0A996D5E" w:rsidR="00433044" w:rsidRPr="003E724E" w:rsidRDefault="00397376" w:rsidP="007578E5">
      <w:pPr>
        <w:pStyle w:val="1-MainHeading"/>
      </w:pPr>
      <w:bookmarkStart w:id="0" w:name="_Toc103772574"/>
      <w:r w:rsidRPr="00B22BCB">
        <w:t>5.02</w:t>
      </w:r>
      <w:r w:rsidR="00163F66" w:rsidRPr="00B22BCB">
        <w:tab/>
      </w:r>
      <w:bookmarkStart w:id="1" w:name="_Hlk101763938"/>
      <w:r w:rsidRPr="00B22BCB">
        <w:t>ASCIMINIB</w:t>
      </w:r>
      <w:r w:rsidR="00163F66" w:rsidRPr="00B22BCB">
        <w:t>,</w:t>
      </w:r>
      <w:r w:rsidR="00163F66" w:rsidRPr="00B22BCB">
        <w:br/>
      </w:r>
      <w:r w:rsidRPr="00B22BCB">
        <w:t>Tablet 20 mg</w:t>
      </w:r>
      <w:r w:rsidR="00163F66" w:rsidRPr="00B22BCB">
        <w:t>,</w:t>
      </w:r>
      <w:r w:rsidR="001F55C4">
        <w:t xml:space="preserve"> </w:t>
      </w:r>
      <w:r w:rsidRPr="00B22BCB">
        <w:t>Tablet 40 mg</w:t>
      </w:r>
      <w:r w:rsidR="00163F66" w:rsidRPr="00B22BCB">
        <w:t>,</w:t>
      </w:r>
      <w:r w:rsidR="00163F66" w:rsidRPr="00B22BCB">
        <w:br/>
      </w:r>
      <w:r w:rsidRPr="00B22BCB">
        <w:t>Scemblix</w:t>
      </w:r>
      <w:r w:rsidR="00B60939" w:rsidRPr="00B22BCB">
        <w:rPr>
          <w:vertAlign w:val="superscript"/>
        </w:rPr>
        <w:t>®</w:t>
      </w:r>
      <w:r w:rsidR="004A6040" w:rsidRPr="00B22BCB">
        <w:t>,</w:t>
      </w:r>
      <w:r w:rsidR="004A6040" w:rsidRPr="00B22BCB">
        <w:br/>
      </w:r>
      <w:r w:rsidRPr="00B22BCB">
        <w:t>Novartis Pharmaceuticals Australia Pty Limited</w:t>
      </w:r>
      <w:bookmarkEnd w:id="0"/>
      <w:bookmarkEnd w:id="1"/>
    </w:p>
    <w:p w14:paraId="11C00795" w14:textId="41FFE546" w:rsidR="00B50DB8" w:rsidRPr="00B22BCB" w:rsidRDefault="00B50DB8" w:rsidP="00457B0D">
      <w:pPr>
        <w:pStyle w:val="2-SectionHeading"/>
      </w:pPr>
      <w:bookmarkStart w:id="2" w:name="_Toc103772576"/>
      <w:r w:rsidRPr="00B22BCB">
        <w:t xml:space="preserve">Purpose </w:t>
      </w:r>
      <w:r w:rsidRPr="00457B0D">
        <w:t>of</w:t>
      </w:r>
      <w:r w:rsidRPr="00B22BCB">
        <w:t xml:space="preserve"> </w:t>
      </w:r>
      <w:r w:rsidR="00CD7193" w:rsidRPr="00B22BCB">
        <w:t>s</w:t>
      </w:r>
      <w:r w:rsidR="00BB3A45" w:rsidRPr="00B22BCB">
        <w:t>ubmission</w:t>
      </w:r>
      <w:bookmarkEnd w:id="2"/>
    </w:p>
    <w:p w14:paraId="19414AA1" w14:textId="5A2C79F5" w:rsidR="002C2775" w:rsidRPr="00B22BCB" w:rsidRDefault="009C0FDA" w:rsidP="00B76BAF">
      <w:pPr>
        <w:pStyle w:val="3-BodyText"/>
      </w:pPr>
      <w:r w:rsidRPr="00B22BCB">
        <w:t xml:space="preserve">The Category 1 submission requested a General Schedule Authority Required listing for the treatment of patients with </w:t>
      </w:r>
      <w:bookmarkStart w:id="3" w:name="_Hlk104890668"/>
      <w:r w:rsidRPr="00B22BCB">
        <w:t>Philadelphia chromosome-positive chronic myeloid leukaemia</w:t>
      </w:r>
      <w:r w:rsidR="002232CA">
        <w:t xml:space="preserve"> </w:t>
      </w:r>
      <w:r w:rsidR="002232CA" w:rsidRPr="002E7D71">
        <w:t>(</w:t>
      </w:r>
      <w:r w:rsidR="00A41C92">
        <w:t xml:space="preserve">Ph+ </w:t>
      </w:r>
      <w:r w:rsidR="002232CA" w:rsidRPr="002E7D71">
        <w:t>CML)</w:t>
      </w:r>
      <w:r w:rsidRPr="002E7D71">
        <w:t xml:space="preserve"> in chronic phase</w:t>
      </w:r>
      <w:r w:rsidR="002232CA" w:rsidRPr="002E7D71">
        <w:t xml:space="preserve"> (CP)</w:t>
      </w:r>
      <w:r w:rsidR="002656DC" w:rsidRPr="002E7D71">
        <w:t>,</w:t>
      </w:r>
      <w:r w:rsidR="002656DC" w:rsidRPr="00B22BCB">
        <w:t xml:space="preserve"> who had been</w:t>
      </w:r>
      <w:r w:rsidRPr="00B22BCB">
        <w:t xml:space="preserve"> previously treated with two or more tyrosine kinase inhibitors</w:t>
      </w:r>
      <w:r w:rsidR="00293F9C" w:rsidRPr="00B22BCB">
        <w:t xml:space="preserve"> (TKIs)</w:t>
      </w:r>
      <w:bookmarkEnd w:id="3"/>
      <w:r w:rsidRPr="00B22BCB">
        <w:t>.</w:t>
      </w:r>
      <w:r w:rsidR="008B1757" w:rsidRPr="00B22BCB">
        <w:t xml:space="preserve"> </w:t>
      </w:r>
      <w:r w:rsidR="00C84310" w:rsidRPr="00B22BCB">
        <w:t xml:space="preserve">This </w:t>
      </w:r>
      <w:r w:rsidR="00A41C92">
        <w:t>was</w:t>
      </w:r>
      <w:r w:rsidR="00C84310" w:rsidRPr="00B22BCB">
        <w:t xml:space="preserve"> the first consideration of asciminib by the PBAC.</w:t>
      </w:r>
    </w:p>
    <w:p w14:paraId="4E9FBCB5" w14:textId="0B9509AD" w:rsidR="00C2778B" w:rsidRPr="00B22BCB" w:rsidRDefault="002656DC" w:rsidP="004E18E9">
      <w:pPr>
        <w:pStyle w:val="3-BodyText"/>
      </w:pPr>
      <w:r w:rsidRPr="00B22BCB">
        <w:t>PBS l</w:t>
      </w:r>
      <w:r w:rsidR="005750C5" w:rsidRPr="00B22BCB">
        <w:t>isting was requested on the basis of a cost-minimisation</w:t>
      </w:r>
      <w:r w:rsidR="00293F9C" w:rsidRPr="00B22BCB">
        <w:t xml:space="preserve"> approach (CMA) versus nilotinib as the primary comparator, and ponatinib as a supplementary comparator. The key components of the clinical issue addressed by the submission are summarised </w:t>
      </w:r>
      <w:r w:rsidRPr="00B22BCB">
        <w:t xml:space="preserve">in </w:t>
      </w:r>
      <w:r w:rsidRPr="00B22BCB">
        <w:fldChar w:fldCharType="begin"/>
      </w:r>
      <w:r w:rsidRPr="00B22BCB">
        <w:instrText xml:space="preserve"> REF _Ref102927390 \h </w:instrText>
      </w:r>
      <w:r w:rsidRPr="00B22BCB">
        <w:fldChar w:fldCharType="separate"/>
      </w:r>
      <w:r w:rsidR="00A914F4" w:rsidRPr="00B22BCB">
        <w:t xml:space="preserve">Table </w:t>
      </w:r>
      <w:r w:rsidR="00A914F4">
        <w:rPr>
          <w:noProof/>
        </w:rPr>
        <w:t>1</w:t>
      </w:r>
      <w:r w:rsidRPr="00B22BCB">
        <w:fldChar w:fldCharType="end"/>
      </w:r>
      <w:r w:rsidR="00293F9C" w:rsidRPr="00B22BCB">
        <w:t xml:space="preserve">.  </w:t>
      </w:r>
    </w:p>
    <w:p w14:paraId="3718DE61" w14:textId="1C1847FD" w:rsidR="008B1757" w:rsidRPr="00B22BCB" w:rsidRDefault="00293F9C" w:rsidP="00293F9C">
      <w:pPr>
        <w:pStyle w:val="TableFigureHeading"/>
        <w:rPr>
          <w:rStyle w:val="CommentReference"/>
          <w:b/>
          <w:szCs w:val="24"/>
        </w:rPr>
      </w:pPr>
      <w:bookmarkStart w:id="4" w:name="_Ref102927390"/>
      <w:r w:rsidRPr="00B22BCB">
        <w:t xml:space="preserve">Table </w:t>
      </w:r>
      <w:r w:rsidR="00CA52C1">
        <w:fldChar w:fldCharType="begin"/>
      </w:r>
      <w:r w:rsidR="00CA52C1">
        <w:instrText xml:space="preserve"> SEQ Table \* ARABIC </w:instrText>
      </w:r>
      <w:r w:rsidR="00CA52C1">
        <w:fldChar w:fldCharType="separate"/>
      </w:r>
      <w:r w:rsidR="00A914F4">
        <w:rPr>
          <w:noProof/>
        </w:rPr>
        <w:t>1</w:t>
      </w:r>
      <w:r w:rsidR="00CA52C1">
        <w:rPr>
          <w:noProof/>
        </w:rPr>
        <w:fldChar w:fldCharType="end"/>
      </w:r>
      <w:bookmarkEnd w:id="4"/>
      <w:r w:rsidR="008B1757" w:rsidRPr="00B22BCB">
        <w:rPr>
          <w:rStyle w:val="CommentReference"/>
          <w:b/>
          <w:szCs w:val="24"/>
        </w:rPr>
        <w:t>:</w:t>
      </w:r>
      <w:r w:rsidR="00BC591F" w:rsidRPr="00B22BCB">
        <w:rPr>
          <w:rStyle w:val="CommentReference"/>
          <w:b/>
          <w:szCs w:val="24"/>
        </w:rPr>
        <w:t xml:space="preserve"> </w:t>
      </w:r>
      <w:r w:rsidR="008B1757" w:rsidRPr="00B22BCB">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B22BCB" w14:paraId="569F5103" w14:textId="77777777" w:rsidTr="002A2ADE">
        <w:trPr>
          <w:cantSplit/>
          <w:tblHeader/>
        </w:trPr>
        <w:tc>
          <w:tcPr>
            <w:tcW w:w="924" w:type="pct"/>
            <w:shd w:val="clear" w:color="auto" w:fill="auto"/>
          </w:tcPr>
          <w:p w14:paraId="501803FB" w14:textId="77777777" w:rsidR="008B1757" w:rsidRPr="00B22BCB" w:rsidRDefault="008B1757" w:rsidP="004A6040">
            <w:pPr>
              <w:pStyle w:val="In-tableHeading"/>
              <w:rPr>
                <w:szCs w:val="20"/>
                <w:lang w:val="en-AU"/>
              </w:rPr>
            </w:pPr>
            <w:r w:rsidRPr="00B22BCB">
              <w:rPr>
                <w:lang w:val="en-AU"/>
              </w:rPr>
              <w:t>Component</w:t>
            </w:r>
          </w:p>
        </w:tc>
        <w:tc>
          <w:tcPr>
            <w:tcW w:w="4076" w:type="pct"/>
            <w:shd w:val="clear" w:color="auto" w:fill="auto"/>
          </w:tcPr>
          <w:p w14:paraId="445D9EBB" w14:textId="77777777" w:rsidR="008B1757" w:rsidRPr="00B22BCB" w:rsidRDefault="008B1757" w:rsidP="004A6040">
            <w:pPr>
              <w:pStyle w:val="In-tableHeading"/>
              <w:rPr>
                <w:lang w:val="en-AU"/>
              </w:rPr>
            </w:pPr>
            <w:r w:rsidRPr="00B22BCB">
              <w:rPr>
                <w:lang w:val="en-AU"/>
              </w:rPr>
              <w:t>Description</w:t>
            </w:r>
          </w:p>
        </w:tc>
      </w:tr>
      <w:tr w:rsidR="00293F9C" w:rsidRPr="00B22BCB" w14:paraId="2EB546E2" w14:textId="77777777" w:rsidTr="002A2ADE">
        <w:trPr>
          <w:cantSplit/>
        </w:trPr>
        <w:tc>
          <w:tcPr>
            <w:tcW w:w="924" w:type="pct"/>
            <w:shd w:val="clear" w:color="auto" w:fill="auto"/>
          </w:tcPr>
          <w:p w14:paraId="38F3BB34" w14:textId="77777777" w:rsidR="00293F9C" w:rsidRPr="00B22BCB" w:rsidRDefault="00293F9C" w:rsidP="00394B6E">
            <w:pPr>
              <w:pStyle w:val="TableText0"/>
            </w:pPr>
            <w:r w:rsidRPr="00B22BCB">
              <w:t>Population</w:t>
            </w:r>
          </w:p>
        </w:tc>
        <w:tc>
          <w:tcPr>
            <w:tcW w:w="4076" w:type="pct"/>
            <w:shd w:val="clear" w:color="auto" w:fill="auto"/>
          </w:tcPr>
          <w:p w14:paraId="79618EEE" w14:textId="173C4609" w:rsidR="00293F9C" w:rsidRPr="00B22BCB" w:rsidRDefault="00293F9C" w:rsidP="00394B6E">
            <w:pPr>
              <w:pStyle w:val="TableText0"/>
              <w:rPr>
                <w:szCs w:val="20"/>
              </w:rPr>
            </w:pPr>
            <w:r w:rsidRPr="00B22BCB">
              <w:t>Adult patients with CML-CP who have failed or are intolerant of at least 2 TKIs</w:t>
            </w:r>
          </w:p>
        </w:tc>
      </w:tr>
      <w:tr w:rsidR="00293F9C" w:rsidRPr="00B22BCB" w14:paraId="0CA523AF" w14:textId="77777777" w:rsidTr="002A2ADE">
        <w:trPr>
          <w:cantSplit/>
        </w:trPr>
        <w:tc>
          <w:tcPr>
            <w:tcW w:w="924" w:type="pct"/>
            <w:shd w:val="clear" w:color="auto" w:fill="auto"/>
          </w:tcPr>
          <w:p w14:paraId="7B6D20D8" w14:textId="77777777" w:rsidR="00293F9C" w:rsidRPr="00B22BCB" w:rsidRDefault="00293F9C" w:rsidP="00394B6E">
            <w:pPr>
              <w:pStyle w:val="TableText0"/>
            </w:pPr>
            <w:r w:rsidRPr="00B22BCB">
              <w:t>Intervention</w:t>
            </w:r>
          </w:p>
        </w:tc>
        <w:tc>
          <w:tcPr>
            <w:tcW w:w="4076" w:type="pct"/>
            <w:shd w:val="clear" w:color="auto" w:fill="auto"/>
          </w:tcPr>
          <w:p w14:paraId="2491E905" w14:textId="7F098C2A" w:rsidR="00293F9C" w:rsidRPr="00B22BCB" w:rsidRDefault="00293F9C" w:rsidP="00394B6E">
            <w:pPr>
              <w:pStyle w:val="TableText0"/>
            </w:pPr>
            <w:bookmarkStart w:id="5" w:name="_Hlk106190510"/>
            <w:r w:rsidRPr="00B22BCB">
              <w:t>Asciminib 80 mg once daily or 40 mg twice daily</w:t>
            </w:r>
            <w:bookmarkEnd w:id="5"/>
          </w:p>
        </w:tc>
      </w:tr>
      <w:tr w:rsidR="00293F9C" w:rsidRPr="00B22BCB" w14:paraId="0F81EBE4" w14:textId="77777777" w:rsidTr="002A2ADE">
        <w:trPr>
          <w:cantSplit/>
        </w:trPr>
        <w:tc>
          <w:tcPr>
            <w:tcW w:w="924" w:type="pct"/>
            <w:shd w:val="clear" w:color="auto" w:fill="auto"/>
          </w:tcPr>
          <w:p w14:paraId="3656B343" w14:textId="77777777" w:rsidR="00293F9C" w:rsidRPr="00B22BCB" w:rsidRDefault="00293F9C" w:rsidP="00394B6E">
            <w:pPr>
              <w:pStyle w:val="TableText0"/>
            </w:pPr>
            <w:r w:rsidRPr="00B22BCB">
              <w:t>Comparator</w:t>
            </w:r>
          </w:p>
        </w:tc>
        <w:tc>
          <w:tcPr>
            <w:tcW w:w="4076" w:type="pct"/>
            <w:shd w:val="clear" w:color="auto" w:fill="auto"/>
          </w:tcPr>
          <w:p w14:paraId="0CFB2D2B" w14:textId="77777777" w:rsidR="00293F9C" w:rsidRPr="00B22BCB" w:rsidRDefault="00293F9C" w:rsidP="00394B6E">
            <w:pPr>
              <w:pStyle w:val="TableText0"/>
            </w:pPr>
            <w:r w:rsidRPr="00B22BCB">
              <w:t>Main comparator: Nilotinib</w:t>
            </w:r>
          </w:p>
          <w:p w14:paraId="3727DE24" w14:textId="1B008FB5" w:rsidR="00293F9C" w:rsidRPr="00B22BCB" w:rsidRDefault="00293F9C" w:rsidP="00394B6E">
            <w:pPr>
              <w:pStyle w:val="TableText0"/>
            </w:pPr>
            <w:r w:rsidRPr="00B22BCB">
              <w:t>Supplementary comparators: ponatinib</w:t>
            </w:r>
          </w:p>
        </w:tc>
      </w:tr>
      <w:tr w:rsidR="00293F9C" w:rsidRPr="00B22BCB" w14:paraId="02F86F0D" w14:textId="77777777" w:rsidTr="002A2ADE">
        <w:trPr>
          <w:cantSplit/>
        </w:trPr>
        <w:tc>
          <w:tcPr>
            <w:tcW w:w="924" w:type="pct"/>
            <w:shd w:val="clear" w:color="auto" w:fill="auto"/>
          </w:tcPr>
          <w:p w14:paraId="06433105" w14:textId="77777777" w:rsidR="00293F9C" w:rsidRPr="00B22BCB" w:rsidRDefault="00293F9C" w:rsidP="00394B6E">
            <w:pPr>
              <w:pStyle w:val="TableText0"/>
            </w:pPr>
            <w:r w:rsidRPr="00B22BCB">
              <w:t>Outcomes</w:t>
            </w:r>
          </w:p>
        </w:tc>
        <w:tc>
          <w:tcPr>
            <w:tcW w:w="4076" w:type="pct"/>
            <w:shd w:val="clear" w:color="auto" w:fill="auto"/>
          </w:tcPr>
          <w:p w14:paraId="5ABC4037" w14:textId="329A37CF" w:rsidR="00293F9C" w:rsidRPr="00B22BCB" w:rsidRDefault="00293F9C" w:rsidP="00394B6E">
            <w:pPr>
              <w:pStyle w:val="TableText0"/>
              <w:rPr>
                <w:rFonts w:eastAsia="Times New Roman" w:cs="Arial"/>
                <w:snapToGrid w:val="0"/>
                <w:color w:val="0066FF"/>
                <w:szCs w:val="20"/>
              </w:rPr>
            </w:pPr>
            <w:r w:rsidRPr="00B22BCB">
              <w:t>MMR, CCyR</w:t>
            </w:r>
          </w:p>
        </w:tc>
      </w:tr>
      <w:tr w:rsidR="00293F9C" w:rsidRPr="00B22BCB" w14:paraId="22223890" w14:textId="77777777" w:rsidTr="002A2ADE">
        <w:trPr>
          <w:cantSplit/>
        </w:trPr>
        <w:tc>
          <w:tcPr>
            <w:tcW w:w="924" w:type="pct"/>
            <w:shd w:val="clear" w:color="auto" w:fill="auto"/>
          </w:tcPr>
          <w:p w14:paraId="0FC8FCE0" w14:textId="77777777" w:rsidR="00293F9C" w:rsidRPr="00B22BCB" w:rsidRDefault="00293F9C" w:rsidP="00394B6E">
            <w:pPr>
              <w:pStyle w:val="TableText0"/>
            </w:pPr>
            <w:r w:rsidRPr="00B22BCB">
              <w:t>Clinical claim</w:t>
            </w:r>
          </w:p>
        </w:tc>
        <w:tc>
          <w:tcPr>
            <w:tcW w:w="4076" w:type="pct"/>
            <w:shd w:val="clear" w:color="auto" w:fill="auto"/>
          </w:tcPr>
          <w:p w14:paraId="1BBD03D3" w14:textId="77777777" w:rsidR="00293F9C" w:rsidRPr="00B22BCB" w:rsidRDefault="00293F9C" w:rsidP="00394B6E">
            <w:pPr>
              <w:pStyle w:val="TableText0"/>
            </w:pPr>
            <w:r w:rsidRPr="00B22BCB">
              <w:t>Non-inferior efficacy and superior for safety compared nilotinib</w:t>
            </w:r>
          </w:p>
          <w:p w14:paraId="2C99C4DE" w14:textId="3D48792A" w:rsidR="00293F9C" w:rsidRPr="00B22BCB" w:rsidRDefault="00293F9C" w:rsidP="00394B6E">
            <w:pPr>
              <w:pStyle w:val="TableText0"/>
              <w:rPr>
                <w:rFonts w:eastAsia="Times New Roman" w:cs="Arial"/>
                <w:snapToGrid w:val="0"/>
                <w:color w:val="0066FF"/>
                <w:szCs w:val="20"/>
              </w:rPr>
            </w:pPr>
            <w:r w:rsidRPr="00B22BCB">
              <w:t>Non-inferior efficacy and superior safety compared with ponatinib</w:t>
            </w:r>
          </w:p>
        </w:tc>
      </w:tr>
    </w:tbl>
    <w:p w14:paraId="4614CEC5" w14:textId="77777777" w:rsidR="00293F9C" w:rsidRPr="00B22BCB" w:rsidRDefault="00293F9C" w:rsidP="00293F9C">
      <w:pPr>
        <w:pStyle w:val="TableFigureFooter"/>
      </w:pPr>
      <w:r w:rsidRPr="00B22BCB">
        <w:t>Source: Table 1.1-1, p 4 of the submission.</w:t>
      </w:r>
    </w:p>
    <w:p w14:paraId="274D3AF4" w14:textId="77777777" w:rsidR="00293F9C" w:rsidRPr="00B22BCB" w:rsidRDefault="00293F9C" w:rsidP="00293F9C">
      <w:pPr>
        <w:pStyle w:val="TableFigureFooter"/>
      </w:pPr>
      <w:r w:rsidRPr="00B22BCB">
        <w:t>CCyR = complete cytogenetic response; CML-CP = chronic phase chronic myeloid leukaemia; MMR = major molecular response; TKI = tyrosine kinase inhibitor</w:t>
      </w:r>
    </w:p>
    <w:p w14:paraId="6B4AB6C2" w14:textId="7D3CFDD9" w:rsidR="005C25FF" w:rsidRPr="00B22BCB" w:rsidRDefault="005C25FF" w:rsidP="00457B0D">
      <w:pPr>
        <w:pStyle w:val="2-SectionHeading"/>
      </w:pPr>
      <w:bookmarkStart w:id="6" w:name="_Toc103772577"/>
      <w:r w:rsidRPr="00457B0D">
        <w:t>Background</w:t>
      </w:r>
      <w:bookmarkEnd w:id="6"/>
    </w:p>
    <w:p w14:paraId="2C521D6D" w14:textId="78CF03EE" w:rsidR="005C25FF" w:rsidRPr="00B22BCB" w:rsidRDefault="005C25FF" w:rsidP="004A6040">
      <w:pPr>
        <w:pStyle w:val="4-SubsectionHeading"/>
      </w:pPr>
      <w:bookmarkStart w:id="7" w:name="_Toc22897638"/>
      <w:bookmarkStart w:id="8" w:name="_Toc103772578"/>
      <w:r w:rsidRPr="00B22BCB">
        <w:t>Registration status</w:t>
      </w:r>
      <w:bookmarkEnd w:id="7"/>
      <w:bookmarkEnd w:id="8"/>
    </w:p>
    <w:p w14:paraId="57D61C24" w14:textId="5C0D4C59" w:rsidR="00F2255E" w:rsidRPr="00B22BCB" w:rsidRDefault="00293F9C" w:rsidP="00B07384">
      <w:pPr>
        <w:pStyle w:val="3-BodyText"/>
      </w:pPr>
      <w:r w:rsidRPr="00B22BCB">
        <w:t>The submission was made under the TGA/PBAC Parallel Process.</w:t>
      </w:r>
      <w:r w:rsidR="005C25FF" w:rsidRPr="00B22BCB">
        <w:t xml:space="preserve"> </w:t>
      </w:r>
      <w:r w:rsidR="00A0237F" w:rsidRPr="002B4570">
        <w:t>At the time of evaluation for PBAC consideration</w:t>
      </w:r>
      <w:r w:rsidR="00A0237F">
        <w:t>, t</w:t>
      </w:r>
      <w:r w:rsidR="00F2255E" w:rsidRPr="00B22BCB">
        <w:t xml:space="preserve">he proposed TGA indication </w:t>
      </w:r>
      <w:r w:rsidR="00A0237F">
        <w:t>was</w:t>
      </w:r>
      <w:r w:rsidR="00F2255E" w:rsidRPr="00B22BCB">
        <w:t>:</w:t>
      </w:r>
    </w:p>
    <w:p w14:paraId="3F5CBA64" w14:textId="7D6969E7" w:rsidR="00F2255E" w:rsidRPr="00BE3999" w:rsidRDefault="00A758F9" w:rsidP="00BE3999">
      <w:pPr>
        <w:pStyle w:val="3-BodyText"/>
        <w:numPr>
          <w:ilvl w:val="0"/>
          <w:numId w:val="0"/>
        </w:numPr>
        <w:ind w:left="720"/>
        <w:rPr>
          <w:i/>
          <w:iCs/>
        </w:rPr>
      </w:pPr>
      <w:r w:rsidRPr="00BE3999">
        <w:rPr>
          <w:i/>
          <w:iCs/>
        </w:rPr>
        <w:t>F</w:t>
      </w:r>
      <w:r w:rsidR="00F2255E" w:rsidRPr="00BE3999">
        <w:rPr>
          <w:i/>
          <w:iCs/>
        </w:rPr>
        <w:t>or the treatment of adult patients with Philadelphia chromosome-positive chronic myeloid leukaemia (Ph+ CML) in chronic phase (CP) previously treated with two or more tyrosine kinase inhibitors.</w:t>
      </w:r>
    </w:p>
    <w:p w14:paraId="335AF6F3" w14:textId="25C45D4F" w:rsidR="004A67B0" w:rsidRDefault="00A0237F" w:rsidP="001E6E72">
      <w:pPr>
        <w:pStyle w:val="3-BodyText"/>
      </w:pPr>
      <w:r>
        <w:t>T</w:t>
      </w:r>
      <w:r w:rsidR="00CF161A" w:rsidRPr="002B4570">
        <w:t>he Delegate’s Overview became available</w:t>
      </w:r>
      <w:r>
        <w:t xml:space="preserve"> during the evaluation period</w:t>
      </w:r>
      <w:r w:rsidR="00CF161A" w:rsidRPr="002B4570">
        <w:t xml:space="preserve">. </w:t>
      </w:r>
      <w:r w:rsidR="000E51A0" w:rsidRPr="002B4570">
        <w:t>The Delegate</w:t>
      </w:r>
      <w:r w:rsidR="00CF161A" w:rsidRPr="002B4570">
        <w:t xml:space="preserve"> </w:t>
      </w:r>
      <w:r w:rsidR="001E6E72" w:rsidRPr="002B4570">
        <w:t>stated that</w:t>
      </w:r>
      <w:r w:rsidR="00A758F9" w:rsidRPr="002B4570">
        <w:t xml:space="preserve"> “While a decision is yet to be made, at this stage I am inclined to approve the registration of the product.” The Delegate requested advice from the Advisory Committee on Medicines (ACM) regarding</w:t>
      </w:r>
      <w:r w:rsidR="004A67B0">
        <w:t>:</w:t>
      </w:r>
      <w:r w:rsidR="000902AA" w:rsidRPr="002B4570">
        <w:t xml:space="preserve"> </w:t>
      </w:r>
    </w:p>
    <w:p w14:paraId="05E6343D" w14:textId="1D0757BA" w:rsidR="004A67B0" w:rsidRDefault="004A67B0" w:rsidP="009458A3">
      <w:pPr>
        <w:pStyle w:val="3-BodyText"/>
        <w:numPr>
          <w:ilvl w:val="0"/>
          <w:numId w:val="18"/>
        </w:numPr>
        <w:ind w:left="1134"/>
      </w:pPr>
      <w:r>
        <w:lastRenderedPageBreak/>
        <w:t>E</w:t>
      </w:r>
      <w:r w:rsidR="000902AA" w:rsidRPr="002B4570">
        <w:t>xclusion of patients with</w:t>
      </w:r>
      <w:r w:rsidR="00A758F9" w:rsidRPr="002B4570">
        <w:t xml:space="preserve"> the</w:t>
      </w:r>
      <w:r w:rsidR="00B50AF2" w:rsidRPr="002B4570">
        <w:t xml:space="preserve"> T315I mutation</w:t>
      </w:r>
      <w:r w:rsidR="000902AA" w:rsidRPr="002B4570">
        <w:t xml:space="preserve"> from the indication</w:t>
      </w:r>
      <w:r>
        <w:t>.</w:t>
      </w:r>
      <w:r w:rsidR="00B50AF2" w:rsidRPr="002B4570">
        <w:t xml:space="preserve"> </w:t>
      </w:r>
      <w:r w:rsidR="00E924DD">
        <w:t>The ACM</w:t>
      </w:r>
      <w:r w:rsidR="00961FCC">
        <w:t xml:space="preserve"> expressed concern around the underdosing of patients with the T315I mutation, given that a higher dose of 200 mg twice daily is required, </w:t>
      </w:r>
      <w:r w:rsidR="007D37D7">
        <w:t xml:space="preserve">compared with 80 mg daily for the general </w:t>
      </w:r>
      <w:r w:rsidR="007D37D7" w:rsidRPr="00B22BCB">
        <w:t>CML</w:t>
      </w:r>
      <w:r w:rsidR="004A1D46">
        <w:t>-</w:t>
      </w:r>
      <w:r w:rsidR="007D37D7">
        <w:t>CP population. The ACM urged the sponsor to include CM</w:t>
      </w:r>
      <w:r w:rsidR="004A1D46">
        <w:t>L-</w:t>
      </w:r>
      <w:r w:rsidR="007D37D7">
        <w:t>CP</w:t>
      </w:r>
      <w:r w:rsidR="004A1D46">
        <w:t xml:space="preserve"> patients</w:t>
      </w:r>
      <w:r w:rsidR="007D37D7">
        <w:t xml:space="preserve"> with the T315I mutation in the indication, along with specific dosage instructions in the dosage and administration section of the Product Information (PI). The ACM acknowledged that all patients may not be tested for the T315I mutation, but considered that dosage consideration</w:t>
      </w:r>
      <w:r w:rsidR="00A0237F">
        <w:t xml:space="preserve"> of asciminib</w:t>
      </w:r>
      <w:r w:rsidR="007D37D7">
        <w:t xml:space="preserve"> is important should the presence of this mutation become known.</w:t>
      </w:r>
    </w:p>
    <w:p w14:paraId="560380D9" w14:textId="5836E8BB" w:rsidR="00961FCC" w:rsidRDefault="004A67B0" w:rsidP="009458A3">
      <w:pPr>
        <w:pStyle w:val="3-BodyText"/>
        <w:numPr>
          <w:ilvl w:val="0"/>
          <w:numId w:val="18"/>
        </w:numPr>
        <w:ind w:left="1134"/>
      </w:pPr>
      <w:r>
        <w:t>M</w:t>
      </w:r>
      <w:r w:rsidR="00B50AF2" w:rsidRPr="002B4570">
        <w:t>olecular response assessment</w:t>
      </w:r>
      <w:r w:rsidR="00961FCC">
        <w:t>.</w:t>
      </w:r>
      <w:r w:rsidR="00B50AF2" w:rsidRPr="002B4570">
        <w:t xml:space="preserve"> </w:t>
      </w:r>
      <w:r w:rsidR="004D5F40">
        <w:t xml:space="preserve">The ACM advised that major molecular response (MMR) is routinely assessed in patients receiving ongoing treatment for CML in Australia. The ACM noted that MMR is the goal of treatment and predicts survival, demonstrates treatment failure, </w:t>
      </w:r>
      <w:r w:rsidR="00A0237F">
        <w:t xml:space="preserve">disease </w:t>
      </w:r>
      <w:r w:rsidR="004D5F40">
        <w:t>progression and resistance. It also determines the need for change or discontinuation of TKIs and/or a need for bone marrow transplant. Treatment may also be discontinued if there is no MMR.</w:t>
      </w:r>
    </w:p>
    <w:p w14:paraId="12382CDB" w14:textId="724A5D04" w:rsidR="004A67B0" w:rsidRDefault="00961FCC" w:rsidP="009458A3">
      <w:pPr>
        <w:pStyle w:val="3-BodyText"/>
        <w:numPr>
          <w:ilvl w:val="0"/>
          <w:numId w:val="18"/>
        </w:numPr>
        <w:ind w:left="1134"/>
      </w:pPr>
      <w:r>
        <w:t>S</w:t>
      </w:r>
      <w:r w:rsidR="00B50AF2" w:rsidRPr="002B4570">
        <w:t>ubgroup analyses</w:t>
      </w:r>
      <w:r>
        <w:t xml:space="preserve"> of MMR</w:t>
      </w:r>
      <w:r w:rsidR="004A67B0">
        <w:t>.</w:t>
      </w:r>
      <w:r w:rsidR="00B50AF2" w:rsidRPr="002B4570">
        <w:t xml:space="preserve"> </w:t>
      </w:r>
      <w:r w:rsidR="00CE5889">
        <w:t>The ACM advised that the data regarding the subgroup analysis of MMR would be useful to treating physicians in Australia and should be included within the PI.</w:t>
      </w:r>
    </w:p>
    <w:p w14:paraId="26AFD3CC" w14:textId="7A11B040" w:rsidR="004A67B0" w:rsidRDefault="004A67B0" w:rsidP="009458A3">
      <w:pPr>
        <w:pStyle w:val="3-BodyText"/>
        <w:numPr>
          <w:ilvl w:val="0"/>
          <w:numId w:val="18"/>
        </w:numPr>
        <w:ind w:left="1134"/>
      </w:pPr>
      <w:r>
        <w:t>T</w:t>
      </w:r>
      <w:r w:rsidR="00B50AF2" w:rsidRPr="002B4570">
        <w:t xml:space="preserve">he use of asciminib in </w:t>
      </w:r>
      <w:r w:rsidR="000902AA" w:rsidRPr="002B4570">
        <w:t>patients &lt;18 years</w:t>
      </w:r>
      <w:r w:rsidR="00A758F9" w:rsidRPr="002B4570">
        <w:t>.</w:t>
      </w:r>
      <w:r w:rsidR="00E924DD">
        <w:t xml:space="preserve"> </w:t>
      </w:r>
      <w:r w:rsidR="004D5F40">
        <w:t>The ACM was of the view that the indication should be amended to exclude patients aged less than 18 years, and preferred the use of “patients 18 years and above” rather than “adults”.</w:t>
      </w:r>
    </w:p>
    <w:p w14:paraId="4204CB83" w14:textId="0F47F311" w:rsidR="00B84727" w:rsidRDefault="00B84727" w:rsidP="009458A3">
      <w:pPr>
        <w:pStyle w:val="3-BodyText"/>
        <w:numPr>
          <w:ilvl w:val="0"/>
          <w:numId w:val="18"/>
        </w:numPr>
        <w:ind w:left="1134"/>
      </w:pPr>
      <w:r>
        <w:t xml:space="preserve">Overall, the </w:t>
      </w:r>
      <w:r w:rsidRPr="00B84727">
        <w:t>ACM considered this product to have an overall positive benefit-risk profile</w:t>
      </w:r>
      <w:r w:rsidR="00A0237F">
        <w:t xml:space="preserve"> for the requested indication, with substitution of “patients 18 years and above” for “adults”.</w:t>
      </w:r>
    </w:p>
    <w:p w14:paraId="728C622A" w14:textId="2C5649B3" w:rsidR="004A67B0" w:rsidRDefault="00A0237F" w:rsidP="001E6E72">
      <w:pPr>
        <w:pStyle w:val="3-BodyText"/>
      </w:pPr>
      <w:bookmarkStart w:id="9" w:name="_Ref110096175"/>
      <w:r w:rsidRPr="00A0237F">
        <w:t>The pre-PBAC response</w:t>
      </w:r>
      <w:r w:rsidR="003F6150">
        <w:t xml:space="preserve"> </w:t>
      </w:r>
      <w:r w:rsidRPr="00A0237F">
        <w:t>provided an updated draft PI, which</w:t>
      </w:r>
      <w:r>
        <w:t xml:space="preserve"> modified the wording of the  indication to specifically include T315I mutation patients and added corresponding dosing instructions</w:t>
      </w:r>
      <w:r w:rsidR="001618FA">
        <w:t xml:space="preserve"> for this patient group</w:t>
      </w:r>
      <w:r>
        <w:t>. The updated proposed TGA indication is:</w:t>
      </w:r>
      <w:bookmarkEnd w:id="9"/>
    </w:p>
    <w:p w14:paraId="6AA41EF0" w14:textId="77777777" w:rsidR="00BE3999" w:rsidRPr="00BE3999" w:rsidRDefault="00BE3999" w:rsidP="00BE3999">
      <w:pPr>
        <w:spacing w:after="120"/>
        <w:ind w:left="720"/>
        <w:rPr>
          <w:rFonts w:asciiTheme="minorHAnsi" w:hAnsiTheme="minorHAnsi" w:cstheme="minorHAnsi"/>
          <w:i/>
          <w:iCs/>
        </w:rPr>
      </w:pPr>
      <w:r w:rsidRPr="00BE3999">
        <w:rPr>
          <w:rFonts w:asciiTheme="minorHAnsi" w:hAnsiTheme="minorHAnsi" w:cstheme="minorHAnsi"/>
          <w:i/>
          <w:iCs/>
        </w:rPr>
        <w:t>SCEMBLIX is indicated for the treatment of patients 18 years of age and above with:</w:t>
      </w:r>
    </w:p>
    <w:p w14:paraId="06C7947D" w14:textId="5CA64CD8" w:rsidR="00BE3999" w:rsidRPr="00BE3999" w:rsidRDefault="00BE3999" w:rsidP="009458A3">
      <w:pPr>
        <w:pStyle w:val="Default"/>
        <w:numPr>
          <w:ilvl w:val="0"/>
          <w:numId w:val="23"/>
        </w:numPr>
        <w:spacing w:after="120"/>
        <w:ind w:left="1134" w:hanging="357"/>
        <w:jc w:val="both"/>
        <w:rPr>
          <w:rFonts w:asciiTheme="minorHAnsi" w:hAnsiTheme="minorHAnsi" w:cstheme="minorHAnsi"/>
          <w:i/>
          <w:iCs/>
        </w:rPr>
      </w:pPr>
      <w:r w:rsidRPr="00BE3999">
        <w:rPr>
          <w:rFonts w:asciiTheme="minorHAnsi" w:hAnsiTheme="minorHAnsi" w:cstheme="minorHAnsi"/>
          <w:i/>
          <w:iCs/>
        </w:rPr>
        <w:t>Philadelphia chromosome-positive chronic myeloid leukaemia (Ph+ CML) in chronic phase (CP) previously treated with two or more tyrosine kinase inhibitors.</w:t>
      </w:r>
    </w:p>
    <w:p w14:paraId="1CE9DDD2" w14:textId="5D543ED5" w:rsidR="00B1627F" w:rsidRPr="0067478D" w:rsidRDefault="00BE3999" w:rsidP="009458A3">
      <w:pPr>
        <w:pStyle w:val="Default"/>
        <w:numPr>
          <w:ilvl w:val="0"/>
          <w:numId w:val="23"/>
        </w:numPr>
        <w:spacing w:after="120"/>
        <w:ind w:left="1134" w:hanging="357"/>
        <w:jc w:val="both"/>
        <w:rPr>
          <w:rFonts w:asciiTheme="minorHAnsi" w:hAnsiTheme="minorHAnsi" w:cstheme="minorHAnsi"/>
        </w:rPr>
      </w:pPr>
      <w:r w:rsidRPr="00BE3999">
        <w:rPr>
          <w:rFonts w:asciiTheme="minorHAnsi" w:hAnsiTheme="minorHAnsi" w:cstheme="minorHAnsi"/>
          <w:i/>
          <w:iCs/>
        </w:rPr>
        <w:t>Ph+ CML in CP with the T315I mutation.</w:t>
      </w:r>
    </w:p>
    <w:p w14:paraId="1733581D" w14:textId="47AF91BD" w:rsidR="008B10EA" w:rsidRPr="002B4570" w:rsidRDefault="008B10EA" w:rsidP="008B10EA">
      <w:pPr>
        <w:pStyle w:val="3-BodyText"/>
        <w:numPr>
          <w:ilvl w:val="0"/>
          <w:numId w:val="0"/>
        </w:numPr>
        <w:ind w:left="720"/>
      </w:pPr>
      <w:r w:rsidRPr="004A38DC">
        <w:rPr>
          <w:i/>
          <w:iCs/>
        </w:rPr>
        <w:t>For more detail on PBAC’s view, see section 7 PBAC outcome.</w:t>
      </w:r>
    </w:p>
    <w:p w14:paraId="76E4EF3C" w14:textId="3FBCC58C" w:rsidR="00B60939" w:rsidRDefault="00B50DB8" w:rsidP="00457B0D">
      <w:pPr>
        <w:pStyle w:val="2-SectionHeading"/>
      </w:pPr>
      <w:bookmarkStart w:id="10" w:name="_Toc103772579"/>
      <w:r w:rsidRPr="00457B0D">
        <w:t>Requested</w:t>
      </w:r>
      <w:r w:rsidRPr="00B22BCB">
        <w:t xml:space="preserve"> listing</w:t>
      </w:r>
      <w:bookmarkEnd w:id="10"/>
    </w:p>
    <w:p w14:paraId="3FBBD94F" w14:textId="551C22EE" w:rsidR="00ED524E" w:rsidRPr="000F48C4" w:rsidRDefault="000F48C4" w:rsidP="00D84193">
      <w:pPr>
        <w:pStyle w:val="3-BodyText"/>
      </w:pPr>
      <w:r w:rsidRPr="000F48C4">
        <w:t xml:space="preserve">The requested listing is presented below. </w:t>
      </w:r>
      <w:r w:rsidR="00ED524E" w:rsidRPr="000F48C4">
        <w:t>Suggest</w:t>
      </w:r>
      <w:r w:rsidRPr="000F48C4">
        <w:t>ions and</w:t>
      </w:r>
      <w:r w:rsidR="00ED524E" w:rsidRPr="000F48C4">
        <w:t xml:space="preserve"> additions</w:t>
      </w:r>
      <w:r w:rsidRPr="000F48C4">
        <w:t xml:space="preserve"> proposed by the Secretariat</w:t>
      </w:r>
      <w:r w:rsidR="00ED524E" w:rsidRPr="000F48C4">
        <w:t xml:space="preserve"> are</w:t>
      </w:r>
      <w:r w:rsidRPr="000F48C4">
        <w:t xml:space="preserve"> added</w:t>
      </w:r>
      <w:r w:rsidR="00ED524E" w:rsidRPr="000F48C4">
        <w:t xml:space="preserve"> in italics and</w:t>
      </w:r>
      <w:r w:rsidRPr="000F48C4">
        <w:t xml:space="preserve"> suggested</w:t>
      </w:r>
      <w:r w:rsidR="00ED524E" w:rsidRPr="000F48C4">
        <w:t xml:space="preserve"> deletions are </w:t>
      </w:r>
      <w:r w:rsidRPr="000F48C4">
        <w:t xml:space="preserve">crossed out with </w:t>
      </w:r>
      <w:r w:rsidR="00ED524E" w:rsidRPr="000F48C4">
        <w:t xml:space="preserve">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408"/>
        <w:gridCol w:w="1410"/>
        <w:gridCol w:w="1270"/>
        <w:gridCol w:w="986"/>
        <w:gridCol w:w="1408"/>
      </w:tblGrid>
      <w:tr w:rsidR="00ED524E" w:rsidRPr="000F48C4" w14:paraId="641EAFB7" w14:textId="77777777" w:rsidTr="00B36171">
        <w:trPr>
          <w:cantSplit/>
          <w:trHeight w:val="471"/>
        </w:trPr>
        <w:tc>
          <w:tcPr>
            <w:tcW w:w="1405" w:type="pct"/>
          </w:tcPr>
          <w:p w14:paraId="248C925A" w14:textId="77777777" w:rsidR="00ED524E" w:rsidRPr="000F48C4" w:rsidRDefault="00ED524E" w:rsidP="00B36171">
            <w:pPr>
              <w:keepNext/>
              <w:ind w:left="-57"/>
              <w:rPr>
                <w:rFonts w:ascii="Arial Narrow" w:hAnsi="Arial Narrow"/>
                <w:b/>
                <w:bCs/>
                <w:sz w:val="20"/>
                <w:szCs w:val="20"/>
              </w:rPr>
            </w:pPr>
            <w:r w:rsidRPr="000F48C4">
              <w:rPr>
                <w:rFonts w:ascii="Arial Narrow" w:hAnsi="Arial Narrow"/>
                <w:b/>
                <w:bCs/>
                <w:sz w:val="20"/>
                <w:szCs w:val="20"/>
              </w:rPr>
              <w:lastRenderedPageBreak/>
              <w:t>MEDICINAL PRODUCT</w:t>
            </w:r>
          </w:p>
          <w:p w14:paraId="3FD75AB1" w14:textId="77777777" w:rsidR="00ED524E" w:rsidRPr="000F48C4" w:rsidRDefault="00ED524E" w:rsidP="00B36171">
            <w:pPr>
              <w:keepNext/>
              <w:ind w:left="-57"/>
              <w:rPr>
                <w:rFonts w:ascii="Arial Narrow" w:hAnsi="Arial Narrow"/>
                <w:b/>
                <w:sz w:val="20"/>
                <w:szCs w:val="20"/>
              </w:rPr>
            </w:pPr>
            <w:r w:rsidRPr="000F48C4">
              <w:rPr>
                <w:rFonts w:ascii="Arial Narrow" w:hAnsi="Arial Narrow"/>
                <w:b/>
                <w:bCs/>
                <w:sz w:val="20"/>
                <w:szCs w:val="20"/>
              </w:rPr>
              <w:t>medicinal product pack</w:t>
            </w:r>
          </w:p>
        </w:tc>
        <w:tc>
          <w:tcPr>
            <w:tcW w:w="781" w:type="pct"/>
          </w:tcPr>
          <w:p w14:paraId="43BF0387" w14:textId="77777777" w:rsidR="00ED524E" w:rsidRPr="000F48C4" w:rsidRDefault="00ED524E" w:rsidP="00B36171">
            <w:pPr>
              <w:keepNext/>
              <w:ind w:left="-108"/>
              <w:jc w:val="center"/>
              <w:rPr>
                <w:rFonts w:ascii="Arial Narrow" w:hAnsi="Arial Narrow"/>
                <w:b/>
                <w:sz w:val="20"/>
                <w:szCs w:val="20"/>
              </w:rPr>
            </w:pPr>
            <w:r w:rsidRPr="000F48C4">
              <w:rPr>
                <w:rFonts w:ascii="Arial Narrow" w:hAnsi="Arial Narrow"/>
                <w:b/>
                <w:sz w:val="20"/>
                <w:szCs w:val="20"/>
              </w:rPr>
              <w:t>PBS item code</w:t>
            </w:r>
          </w:p>
        </w:tc>
        <w:tc>
          <w:tcPr>
            <w:tcW w:w="782" w:type="pct"/>
          </w:tcPr>
          <w:p w14:paraId="11F739F9" w14:textId="77777777" w:rsidR="00ED524E" w:rsidRPr="000F48C4" w:rsidRDefault="00ED524E" w:rsidP="00B36171">
            <w:pPr>
              <w:keepNext/>
              <w:ind w:left="-108"/>
              <w:jc w:val="center"/>
              <w:rPr>
                <w:rFonts w:ascii="Arial Narrow" w:hAnsi="Arial Narrow"/>
                <w:b/>
                <w:sz w:val="20"/>
                <w:szCs w:val="20"/>
              </w:rPr>
            </w:pPr>
            <w:r w:rsidRPr="000F48C4">
              <w:rPr>
                <w:rFonts w:ascii="Arial Narrow" w:hAnsi="Arial Narrow"/>
                <w:b/>
                <w:sz w:val="20"/>
                <w:szCs w:val="20"/>
              </w:rPr>
              <w:t>Max. qty packs</w:t>
            </w:r>
          </w:p>
        </w:tc>
        <w:tc>
          <w:tcPr>
            <w:tcW w:w="704" w:type="pct"/>
          </w:tcPr>
          <w:p w14:paraId="5477B676" w14:textId="77777777" w:rsidR="00ED524E" w:rsidRPr="000F48C4" w:rsidRDefault="00ED524E" w:rsidP="00B36171">
            <w:pPr>
              <w:keepNext/>
              <w:jc w:val="center"/>
              <w:rPr>
                <w:rFonts w:ascii="Arial Narrow" w:hAnsi="Arial Narrow"/>
                <w:b/>
                <w:sz w:val="20"/>
                <w:szCs w:val="20"/>
              </w:rPr>
            </w:pPr>
            <w:r w:rsidRPr="000F48C4">
              <w:rPr>
                <w:rFonts w:ascii="Arial Narrow" w:hAnsi="Arial Narrow"/>
                <w:b/>
                <w:sz w:val="20"/>
                <w:szCs w:val="20"/>
              </w:rPr>
              <w:t>Max. qty units</w:t>
            </w:r>
          </w:p>
        </w:tc>
        <w:tc>
          <w:tcPr>
            <w:tcW w:w="547" w:type="pct"/>
          </w:tcPr>
          <w:p w14:paraId="0F9F9EC4" w14:textId="77777777" w:rsidR="00ED524E" w:rsidRPr="000F48C4" w:rsidRDefault="00ED524E" w:rsidP="00B36171">
            <w:pPr>
              <w:keepNext/>
              <w:ind w:left="-108"/>
              <w:jc w:val="center"/>
              <w:rPr>
                <w:rFonts w:ascii="Arial Narrow" w:hAnsi="Arial Narrow"/>
                <w:b/>
                <w:sz w:val="20"/>
                <w:szCs w:val="20"/>
              </w:rPr>
            </w:pPr>
            <w:r w:rsidRPr="000F48C4">
              <w:rPr>
                <w:rFonts w:ascii="Arial Narrow" w:hAnsi="Arial Narrow"/>
                <w:b/>
                <w:sz w:val="20"/>
                <w:szCs w:val="20"/>
              </w:rPr>
              <w:t>№.of</w:t>
            </w:r>
          </w:p>
          <w:p w14:paraId="799A8D22" w14:textId="77777777" w:rsidR="00ED524E" w:rsidRPr="000F48C4" w:rsidRDefault="00ED524E" w:rsidP="00B36171">
            <w:pPr>
              <w:keepNext/>
              <w:ind w:left="-108"/>
              <w:jc w:val="center"/>
              <w:rPr>
                <w:rFonts w:ascii="Arial Narrow" w:hAnsi="Arial Narrow"/>
                <w:b/>
                <w:sz w:val="20"/>
                <w:szCs w:val="20"/>
              </w:rPr>
            </w:pPr>
            <w:r w:rsidRPr="000F48C4">
              <w:rPr>
                <w:rFonts w:ascii="Arial Narrow" w:hAnsi="Arial Narrow"/>
                <w:b/>
                <w:sz w:val="20"/>
                <w:szCs w:val="20"/>
              </w:rPr>
              <w:t>Rpts</w:t>
            </w:r>
          </w:p>
        </w:tc>
        <w:tc>
          <w:tcPr>
            <w:tcW w:w="781" w:type="pct"/>
          </w:tcPr>
          <w:p w14:paraId="39253994" w14:textId="77777777" w:rsidR="00ED524E" w:rsidRPr="000F48C4" w:rsidRDefault="00ED524E" w:rsidP="00B36171">
            <w:pPr>
              <w:keepNext/>
              <w:rPr>
                <w:rFonts w:ascii="Arial Narrow" w:hAnsi="Arial Narrow"/>
                <w:b/>
                <w:sz w:val="20"/>
                <w:szCs w:val="20"/>
                <w:lang w:val="fr-FR"/>
              </w:rPr>
            </w:pPr>
            <w:r w:rsidRPr="000F48C4">
              <w:rPr>
                <w:rFonts w:ascii="Arial Narrow" w:hAnsi="Arial Narrow"/>
                <w:b/>
                <w:sz w:val="20"/>
                <w:szCs w:val="20"/>
              </w:rPr>
              <w:t>Available brands</w:t>
            </w:r>
          </w:p>
        </w:tc>
      </w:tr>
      <w:tr w:rsidR="00ED524E" w:rsidRPr="000F48C4" w14:paraId="4A8AEC61" w14:textId="77777777" w:rsidTr="00B36171">
        <w:trPr>
          <w:cantSplit/>
          <w:trHeight w:val="224"/>
        </w:trPr>
        <w:tc>
          <w:tcPr>
            <w:tcW w:w="5000" w:type="pct"/>
            <w:gridSpan w:val="6"/>
          </w:tcPr>
          <w:p w14:paraId="0847EE3A" w14:textId="77777777" w:rsidR="00ED524E" w:rsidRPr="000F48C4" w:rsidRDefault="00ED524E" w:rsidP="00B36171">
            <w:pPr>
              <w:keepNext/>
              <w:ind w:left="-57"/>
              <w:rPr>
                <w:rFonts w:ascii="Arial Narrow" w:hAnsi="Arial Narrow"/>
                <w:sz w:val="20"/>
                <w:szCs w:val="20"/>
              </w:rPr>
            </w:pPr>
            <w:r w:rsidRPr="000F48C4">
              <w:rPr>
                <w:rFonts w:ascii="Arial Narrow" w:hAnsi="Arial Narrow"/>
                <w:sz w:val="20"/>
                <w:szCs w:val="20"/>
              </w:rPr>
              <w:t>ASCIMINIB</w:t>
            </w:r>
          </w:p>
        </w:tc>
      </w:tr>
      <w:tr w:rsidR="00ED524E" w:rsidRPr="000F48C4" w14:paraId="550A442F" w14:textId="77777777" w:rsidTr="00B36171">
        <w:trPr>
          <w:cantSplit/>
          <w:trHeight w:val="218"/>
        </w:trPr>
        <w:tc>
          <w:tcPr>
            <w:tcW w:w="1405" w:type="pct"/>
          </w:tcPr>
          <w:p w14:paraId="4E9B1FC0" w14:textId="77777777" w:rsidR="00ED524E" w:rsidRPr="000F48C4" w:rsidRDefault="00ED524E" w:rsidP="00B36171">
            <w:pPr>
              <w:keepNext/>
              <w:ind w:left="-57"/>
              <w:rPr>
                <w:rFonts w:ascii="Arial Narrow" w:hAnsi="Arial Narrow"/>
                <w:sz w:val="20"/>
                <w:szCs w:val="20"/>
              </w:rPr>
            </w:pPr>
            <w:r w:rsidRPr="000F48C4">
              <w:rPr>
                <w:rFonts w:ascii="Arial Narrow" w:hAnsi="Arial Narrow"/>
                <w:sz w:val="20"/>
                <w:szCs w:val="20"/>
              </w:rPr>
              <w:t xml:space="preserve">asciminib 20 mg capsule, 60 </w:t>
            </w:r>
          </w:p>
          <w:p w14:paraId="301DF2C6" w14:textId="77777777" w:rsidR="00ED524E" w:rsidRPr="000F48C4" w:rsidRDefault="00ED524E" w:rsidP="00B36171">
            <w:pPr>
              <w:keepNext/>
              <w:ind w:left="-57"/>
              <w:rPr>
                <w:rFonts w:ascii="Arial Narrow" w:hAnsi="Arial Narrow"/>
                <w:sz w:val="20"/>
                <w:szCs w:val="20"/>
              </w:rPr>
            </w:pPr>
            <w:r w:rsidRPr="000F48C4">
              <w:rPr>
                <w:rFonts w:ascii="Arial Narrow" w:hAnsi="Arial Narrow"/>
                <w:sz w:val="20"/>
                <w:szCs w:val="20"/>
              </w:rPr>
              <w:t>asciminib 40 mg capsule, 60</w:t>
            </w:r>
          </w:p>
        </w:tc>
        <w:tc>
          <w:tcPr>
            <w:tcW w:w="781" w:type="pct"/>
          </w:tcPr>
          <w:p w14:paraId="07F77099" w14:textId="77777777" w:rsidR="00ED524E" w:rsidRPr="000F48C4" w:rsidRDefault="00ED524E" w:rsidP="00B36171">
            <w:pPr>
              <w:keepNext/>
              <w:jc w:val="center"/>
              <w:rPr>
                <w:rFonts w:ascii="Arial Narrow" w:hAnsi="Arial Narrow"/>
                <w:sz w:val="20"/>
                <w:szCs w:val="20"/>
              </w:rPr>
            </w:pPr>
            <w:r w:rsidRPr="000F48C4">
              <w:rPr>
                <w:rFonts w:ascii="Arial Narrow" w:hAnsi="Arial Narrow"/>
                <w:sz w:val="20"/>
                <w:szCs w:val="20"/>
              </w:rPr>
              <w:t>NEW</w:t>
            </w:r>
          </w:p>
          <w:p w14:paraId="3AA748D1" w14:textId="77777777" w:rsidR="00ED524E" w:rsidRPr="000F48C4" w:rsidRDefault="00ED524E" w:rsidP="00B36171">
            <w:pPr>
              <w:keepNext/>
              <w:jc w:val="center"/>
              <w:rPr>
                <w:rFonts w:ascii="Arial Narrow" w:hAnsi="Arial Narrow"/>
                <w:sz w:val="20"/>
                <w:szCs w:val="20"/>
              </w:rPr>
            </w:pPr>
            <w:r w:rsidRPr="000F48C4">
              <w:rPr>
                <w:rFonts w:ascii="Arial Narrow" w:hAnsi="Arial Narrow"/>
                <w:sz w:val="20"/>
                <w:szCs w:val="20"/>
              </w:rPr>
              <w:t>NEW</w:t>
            </w:r>
          </w:p>
        </w:tc>
        <w:tc>
          <w:tcPr>
            <w:tcW w:w="782" w:type="pct"/>
            <w:vAlign w:val="center"/>
          </w:tcPr>
          <w:p w14:paraId="3EA14C59" w14:textId="77777777" w:rsidR="00ED524E" w:rsidRPr="000F48C4" w:rsidRDefault="00ED524E" w:rsidP="00B36171">
            <w:pPr>
              <w:keepNext/>
              <w:jc w:val="center"/>
              <w:rPr>
                <w:rFonts w:ascii="Arial Narrow" w:hAnsi="Arial Narrow"/>
                <w:sz w:val="20"/>
                <w:szCs w:val="20"/>
              </w:rPr>
            </w:pPr>
            <w:r w:rsidRPr="000F48C4">
              <w:rPr>
                <w:rFonts w:ascii="Arial Narrow" w:hAnsi="Arial Narrow"/>
                <w:sz w:val="20"/>
                <w:szCs w:val="20"/>
              </w:rPr>
              <w:t>1</w:t>
            </w:r>
          </w:p>
        </w:tc>
        <w:tc>
          <w:tcPr>
            <w:tcW w:w="704" w:type="pct"/>
            <w:vAlign w:val="center"/>
          </w:tcPr>
          <w:p w14:paraId="4CFAC4AE" w14:textId="77777777" w:rsidR="00ED524E" w:rsidRPr="000F48C4" w:rsidRDefault="00ED524E" w:rsidP="00B36171">
            <w:pPr>
              <w:keepNext/>
              <w:jc w:val="center"/>
              <w:rPr>
                <w:rFonts w:ascii="Arial Narrow" w:hAnsi="Arial Narrow"/>
                <w:sz w:val="20"/>
                <w:szCs w:val="20"/>
              </w:rPr>
            </w:pPr>
            <w:r w:rsidRPr="000F48C4">
              <w:rPr>
                <w:rFonts w:ascii="Arial Narrow" w:hAnsi="Arial Narrow"/>
                <w:sz w:val="20"/>
                <w:szCs w:val="20"/>
              </w:rPr>
              <w:t>60</w:t>
            </w:r>
          </w:p>
        </w:tc>
        <w:tc>
          <w:tcPr>
            <w:tcW w:w="547" w:type="pct"/>
            <w:vAlign w:val="center"/>
          </w:tcPr>
          <w:p w14:paraId="4B581297" w14:textId="77777777" w:rsidR="00ED524E" w:rsidRPr="000F48C4" w:rsidRDefault="00ED524E" w:rsidP="00B36171">
            <w:pPr>
              <w:keepNext/>
              <w:jc w:val="center"/>
              <w:rPr>
                <w:rFonts w:ascii="Arial Narrow" w:hAnsi="Arial Narrow"/>
                <w:sz w:val="20"/>
                <w:szCs w:val="20"/>
              </w:rPr>
            </w:pPr>
            <w:r w:rsidRPr="000F48C4">
              <w:rPr>
                <w:rFonts w:ascii="Arial Narrow" w:hAnsi="Arial Narrow"/>
                <w:sz w:val="20"/>
                <w:szCs w:val="20"/>
              </w:rPr>
              <w:t>5</w:t>
            </w:r>
          </w:p>
        </w:tc>
        <w:tc>
          <w:tcPr>
            <w:tcW w:w="781" w:type="pct"/>
            <w:vAlign w:val="center"/>
          </w:tcPr>
          <w:p w14:paraId="0CCDFA5C" w14:textId="77777777" w:rsidR="00ED524E" w:rsidRPr="000F48C4" w:rsidRDefault="00ED524E" w:rsidP="00B36171">
            <w:pPr>
              <w:keepNext/>
              <w:rPr>
                <w:rFonts w:ascii="Arial Narrow" w:hAnsi="Arial Narrow"/>
                <w:sz w:val="20"/>
                <w:szCs w:val="20"/>
              </w:rPr>
            </w:pPr>
            <w:r w:rsidRPr="000F48C4">
              <w:rPr>
                <w:rFonts w:ascii="Arial Narrow" w:hAnsi="Arial Narrow"/>
                <w:sz w:val="20"/>
                <w:szCs w:val="20"/>
              </w:rPr>
              <w:t>Scemblix</w:t>
            </w:r>
          </w:p>
        </w:tc>
      </w:tr>
    </w:tbl>
    <w:p w14:paraId="7387E231" w14:textId="77777777" w:rsidR="00341457" w:rsidRPr="00341457" w:rsidRDefault="00341457" w:rsidP="00ED524E">
      <w:pPr>
        <w:rPr>
          <w:rFonts w:asciiTheme="minorHAnsi" w:hAnsiTheme="minorHAnsi" w:cstheme="minorHAnsi"/>
          <w:iCs/>
        </w:rPr>
      </w:pPr>
    </w:p>
    <w:p w14:paraId="79712717" w14:textId="77777777" w:rsidR="00ED524E" w:rsidRPr="000F48C4" w:rsidRDefault="00ED524E" w:rsidP="00ED524E">
      <w:pPr>
        <w:pStyle w:val="Caption"/>
        <w:rPr>
          <w:rFonts w:eastAsia="Calibri" w:cs="Times New Roman"/>
          <w:b w:val="0"/>
          <w:color w:val="auto"/>
          <w:sz w:val="24"/>
          <w:szCs w:val="24"/>
        </w:rPr>
      </w:pPr>
      <w:r w:rsidRPr="000F48C4">
        <w:rPr>
          <w:color w:val="auto"/>
          <w:sz w:val="24"/>
          <w:szCs w:val="24"/>
        </w:rPr>
        <w:t>I</w:t>
      </w:r>
      <w:r w:rsidRPr="000F48C4">
        <w:rPr>
          <w:rFonts w:eastAsia="Calibri" w:cs="Times New Roman"/>
          <w:color w:val="auto"/>
          <w:sz w:val="24"/>
          <w:szCs w:val="24"/>
        </w:rPr>
        <w:t>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17"/>
      </w:tblGrid>
      <w:tr w:rsidR="003463DC" w:rsidRPr="000F48C4" w14:paraId="4D1CB082"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F0F682F" w14:textId="77777777" w:rsidR="003463DC" w:rsidRPr="000F48C4" w:rsidRDefault="003463DC" w:rsidP="00B36171">
            <w:pPr>
              <w:pStyle w:val="PBACbold"/>
              <w:rPr>
                <w:sz w:val="20"/>
                <w:szCs w:val="20"/>
              </w:rPr>
            </w:pPr>
            <w:r w:rsidRPr="000F48C4">
              <w:rPr>
                <w:sz w:val="20"/>
                <w:szCs w:val="20"/>
              </w:rPr>
              <w:t xml:space="preserve">Category / Program: </w:t>
            </w:r>
            <w:r w:rsidRPr="000F48C4">
              <w:rPr>
                <w:b w:val="0"/>
                <w:bCs/>
                <w:sz w:val="20"/>
                <w:szCs w:val="20"/>
              </w:rPr>
              <w:t>GENERAL – General Schedule (Code GE)</w:t>
            </w:r>
            <w:r w:rsidRPr="000F48C4">
              <w:rPr>
                <w:sz w:val="20"/>
                <w:szCs w:val="20"/>
              </w:rPr>
              <w:t xml:space="preserve"> </w:t>
            </w:r>
          </w:p>
        </w:tc>
      </w:tr>
      <w:tr w:rsidR="003463DC" w:rsidRPr="000F48C4" w14:paraId="5A0075E7"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ECAED5A" w14:textId="77777777" w:rsidR="003463DC" w:rsidRPr="000F48C4" w:rsidRDefault="003463DC" w:rsidP="00B36171">
            <w:pPr>
              <w:pStyle w:val="PBACtext"/>
              <w:keepNext w:val="0"/>
              <w:spacing w:line="240" w:lineRule="auto"/>
              <w:rPr>
                <w:b/>
                <w:sz w:val="20"/>
                <w:szCs w:val="20"/>
              </w:rPr>
            </w:pPr>
            <w:r w:rsidRPr="000F48C4">
              <w:rPr>
                <w:b/>
                <w:sz w:val="20"/>
                <w:szCs w:val="20"/>
              </w:rPr>
              <w:t xml:space="preserve">Prescriber type: </w:t>
            </w:r>
            <w:r w:rsidRPr="000F48C4">
              <w:rPr>
                <w:sz w:val="20"/>
                <w:szCs w:val="20"/>
              </w:rPr>
              <w:fldChar w:fldCharType="begin">
                <w:ffData>
                  <w:name w:val=""/>
                  <w:enabled/>
                  <w:calcOnExit w:val="0"/>
                  <w:checkBox>
                    <w:sizeAuto/>
                    <w:default w:val="1"/>
                  </w:checkBox>
                </w:ffData>
              </w:fldChar>
            </w:r>
            <w:r w:rsidRPr="000F48C4">
              <w:rPr>
                <w:sz w:val="20"/>
                <w:szCs w:val="20"/>
              </w:rPr>
              <w:instrText xml:space="preserve"> FORMCHECKBOX </w:instrText>
            </w:r>
            <w:r w:rsidR="00CA52C1">
              <w:rPr>
                <w:sz w:val="20"/>
                <w:szCs w:val="20"/>
              </w:rPr>
            </w:r>
            <w:r w:rsidR="00CA52C1">
              <w:rPr>
                <w:sz w:val="20"/>
                <w:szCs w:val="20"/>
              </w:rPr>
              <w:fldChar w:fldCharType="separate"/>
            </w:r>
            <w:r w:rsidRPr="000F48C4">
              <w:rPr>
                <w:sz w:val="20"/>
                <w:szCs w:val="20"/>
              </w:rPr>
              <w:fldChar w:fldCharType="end"/>
            </w:r>
            <w:r w:rsidRPr="000F48C4">
              <w:rPr>
                <w:sz w:val="20"/>
                <w:szCs w:val="20"/>
              </w:rPr>
              <w:t>Medical Practitioners</w:t>
            </w:r>
          </w:p>
        </w:tc>
      </w:tr>
      <w:tr w:rsidR="003463DC" w:rsidRPr="000F48C4" w14:paraId="61941282"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541C6D25" w14:textId="77777777" w:rsidR="003463DC" w:rsidRPr="000F48C4" w:rsidRDefault="003463DC" w:rsidP="00B36171">
            <w:pPr>
              <w:pStyle w:val="PBACbold"/>
              <w:rPr>
                <w:sz w:val="20"/>
                <w:szCs w:val="20"/>
              </w:rPr>
            </w:pPr>
            <w:r w:rsidRPr="000F48C4">
              <w:rPr>
                <w:sz w:val="20"/>
                <w:szCs w:val="20"/>
              </w:rPr>
              <w:t xml:space="preserve">Restriction Type: </w:t>
            </w:r>
            <w:r w:rsidRPr="000F48C4">
              <w:rPr>
                <w:b w:val="0"/>
                <w:bCs/>
                <w:sz w:val="20"/>
                <w:szCs w:val="20"/>
              </w:rPr>
              <w:fldChar w:fldCharType="begin">
                <w:ffData>
                  <w:name w:val="Check3"/>
                  <w:enabled/>
                  <w:calcOnExit w:val="0"/>
                  <w:checkBox>
                    <w:sizeAuto/>
                    <w:default w:val="1"/>
                  </w:checkBox>
                </w:ffData>
              </w:fldChar>
            </w:r>
            <w:r w:rsidRPr="000F48C4">
              <w:rPr>
                <w:b w:val="0"/>
                <w:bCs/>
                <w:sz w:val="20"/>
                <w:szCs w:val="20"/>
              </w:rPr>
              <w:instrText xml:space="preserve"> FORMCHECKBOX </w:instrText>
            </w:r>
            <w:r w:rsidR="00CA52C1">
              <w:rPr>
                <w:b w:val="0"/>
                <w:bCs/>
                <w:sz w:val="20"/>
                <w:szCs w:val="20"/>
              </w:rPr>
            </w:r>
            <w:r w:rsidR="00CA52C1">
              <w:rPr>
                <w:b w:val="0"/>
                <w:bCs/>
                <w:sz w:val="20"/>
                <w:szCs w:val="20"/>
              </w:rPr>
              <w:fldChar w:fldCharType="separate"/>
            </w:r>
            <w:r w:rsidRPr="000F48C4">
              <w:rPr>
                <w:b w:val="0"/>
                <w:bCs/>
                <w:sz w:val="20"/>
                <w:szCs w:val="20"/>
              </w:rPr>
              <w:fldChar w:fldCharType="end"/>
            </w:r>
            <w:r w:rsidRPr="000F48C4">
              <w:rPr>
                <w:b w:val="0"/>
                <w:bCs/>
                <w:sz w:val="20"/>
                <w:szCs w:val="20"/>
              </w:rPr>
              <w:t>Authority Required – immediate/real time assessment by Services Australia</w:t>
            </w:r>
          </w:p>
        </w:tc>
      </w:tr>
      <w:tr w:rsidR="003463DC" w:rsidRPr="000F48C4" w14:paraId="4C8E09C1" w14:textId="77777777" w:rsidTr="003463DC">
        <w:trPr>
          <w:trHeight w:val="284"/>
        </w:trPr>
        <w:tc>
          <w:tcPr>
            <w:tcW w:w="5000" w:type="pct"/>
            <w:vAlign w:val="center"/>
          </w:tcPr>
          <w:p w14:paraId="23BE09E3" w14:textId="77777777" w:rsidR="003463DC" w:rsidRPr="000F48C4" w:rsidRDefault="003463DC" w:rsidP="00B36171">
            <w:pPr>
              <w:pStyle w:val="PBACtext"/>
              <w:keepNext w:val="0"/>
              <w:spacing w:line="240" w:lineRule="auto"/>
              <w:rPr>
                <w:sz w:val="20"/>
                <w:szCs w:val="20"/>
                <w:lang w:eastAsia="en-AU"/>
              </w:rPr>
            </w:pPr>
            <w:r w:rsidRPr="000F48C4">
              <w:rPr>
                <w:b/>
                <w:bCs/>
                <w:sz w:val="20"/>
                <w:szCs w:val="20"/>
                <w:lang w:eastAsia="en-AU"/>
              </w:rPr>
              <w:t>Episodicity:</w:t>
            </w:r>
            <w:r w:rsidRPr="000F48C4">
              <w:rPr>
                <w:sz w:val="20"/>
                <w:szCs w:val="20"/>
                <w:lang w:eastAsia="en-AU"/>
              </w:rPr>
              <w:t xml:space="preserve"> Chronic</w:t>
            </w:r>
          </w:p>
        </w:tc>
      </w:tr>
      <w:tr w:rsidR="003463DC" w:rsidRPr="000F48C4" w14:paraId="3D2C06FB" w14:textId="77777777" w:rsidTr="003463DC">
        <w:trPr>
          <w:trHeight w:val="284"/>
        </w:trPr>
        <w:tc>
          <w:tcPr>
            <w:tcW w:w="5000" w:type="pct"/>
            <w:vAlign w:val="center"/>
          </w:tcPr>
          <w:p w14:paraId="5AE5CE66" w14:textId="77777777" w:rsidR="003463DC" w:rsidRPr="000F48C4" w:rsidRDefault="003463DC" w:rsidP="00B36171">
            <w:pPr>
              <w:pStyle w:val="PBACtext"/>
              <w:keepNext w:val="0"/>
              <w:spacing w:line="240" w:lineRule="auto"/>
              <w:rPr>
                <w:b/>
                <w:bCs/>
                <w:sz w:val="20"/>
                <w:szCs w:val="20"/>
                <w:lang w:eastAsia="en-AU"/>
              </w:rPr>
            </w:pPr>
            <w:r w:rsidRPr="000F48C4">
              <w:rPr>
                <w:b/>
                <w:bCs/>
                <w:sz w:val="20"/>
                <w:szCs w:val="20"/>
              </w:rPr>
              <w:t>Administrative Advice:</w:t>
            </w:r>
            <w:r w:rsidRPr="000F48C4">
              <w:rPr>
                <w:sz w:val="20"/>
                <w:szCs w:val="20"/>
              </w:rPr>
              <w:t xml:space="preserve"> Special Pricing Arrangements apply.</w:t>
            </w:r>
          </w:p>
        </w:tc>
      </w:tr>
      <w:tr w:rsidR="003463DC" w:rsidRPr="000F48C4" w14:paraId="15552E4C" w14:textId="77777777" w:rsidTr="003463DC">
        <w:trPr>
          <w:trHeight w:val="284"/>
        </w:trPr>
        <w:tc>
          <w:tcPr>
            <w:tcW w:w="5000" w:type="pct"/>
            <w:vAlign w:val="center"/>
          </w:tcPr>
          <w:p w14:paraId="7DB7F594" w14:textId="77777777" w:rsidR="003463DC" w:rsidRPr="000F48C4" w:rsidRDefault="003463DC" w:rsidP="00B36171">
            <w:pPr>
              <w:pStyle w:val="PBACtext"/>
              <w:keepNext w:val="0"/>
              <w:spacing w:line="240" w:lineRule="auto"/>
              <w:rPr>
                <w:b/>
                <w:sz w:val="20"/>
                <w:szCs w:val="20"/>
                <w:lang w:eastAsia="en-AU"/>
              </w:rPr>
            </w:pPr>
            <w:r w:rsidRPr="000F48C4">
              <w:rPr>
                <w:b/>
                <w:sz w:val="20"/>
                <w:szCs w:val="20"/>
                <w:lang w:eastAsia="en-AU"/>
              </w:rPr>
              <w:t xml:space="preserve">Condition: </w:t>
            </w:r>
            <w:r w:rsidRPr="000F48C4">
              <w:rPr>
                <w:sz w:val="20"/>
                <w:szCs w:val="20"/>
                <w:lang w:eastAsia="en-AU"/>
              </w:rPr>
              <w:t>Myeloid leukemia</w:t>
            </w:r>
          </w:p>
        </w:tc>
      </w:tr>
      <w:tr w:rsidR="003463DC" w:rsidRPr="000F48C4" w14:paraId="62CEE88C" w14:textId="77777777" w:rsidTr="003463DC">
        <w:trPr>
          <w:trHeight w:val="284"/>
        </w:trPr>
        <w:tc>
          <w:tcPr>
            <w:tcW w:w="5000" w:type="pct"/>
            <w:vAlign w:val="center"/>
            <w:hideMark/>
          </w:tcPr>
          <w:p w14:paraId="7BF78C51" w14:textId="77777777" w:rsidR="003463DC" w:rsidRPr="000F48C4" w:rsidRDefault="003463DC" w:rsidP="00B36171">
            <w:pPr>
              <w:pStyle w:val="PBACtext"/>
              <w:keepNext w:val="0"/>
              <w:spacing w:line="240" w:lineRule="auto"/>
              <w:rPr>
                <w:sz w:val="20"/>
                <w:szCs w:val="20"/>
                <w:lang w:eastAsia="en-AU"/>
              </w:rPr>
            </w:pPr>
            <w:r w:rsidRPr="000F48C4">
              <w:rPr>
                <w:b/>
                <w:sz w:val="20"/>
                <w:szCs w:val="20"/>
                <w:lang w:eastAsia="en-AU"/>
              </w:rPr>
              <w:t>Indication:</w:t>
            </w:r>
            <w:r w:rsidRPr="000F48C4">
              <w:rPr>
                <w:sz w:val="20"/>
                <w:szCs w:val="20"/>
                <w:lang w:eastAsia="en-AU"/>
              </w:rPr>
              <w:t xml:space="preserve"> Chronic myeloid leukemia</w:t>
            </w:r>
          </w:p>
        </w:tc>
      </w:tr>
      <w:tr w:rsidR="003463DC" w:rsidRPr="000F48C4" w14:paraId="3016ED2F" w14:textId="77777777" w:rsidTr="003463DC">
        <w:trPr>
          <w:trHeight w:val="284"/>
        </w:trPr>
        <w:tc>
          <w:tcPr>
            <w:tcW w:w="5000" w:type="pct"/>
            <w:vAlign w:val="center"/>
            <w:hideMark/>
          </w:tcPr>
          <w:p w14:paraId="6E7F98D4" w14:textId="77777777" w:rsidR="003463DC" w:rsidRPr="000F48C4" w:rsidRDefault="003463DC" w:rsidP="00B36171">
            <w:pPr>
              <w:pStyle w:val="PBACtext"/>
              <w:keepNext w:val="0"/>
              <w:spacing w:line="240" w:lineRule="auto"/>
              <w:rPr>
                <w:sz w:val="20"/>
                <w:szCs w:val="20"/>
                <w:lang w:eastAsia="en-AU"/>
              </w:rPr>
            </w:pPr>
            <w:r w:rsidRPr="000F48C4">
              <w:rPr>
                <w:b/>
                <w:sz w:val="20"/>
                <w:szCs w:val="20"/>
                <w:lang w:eastAsia="en-AU"/>
              </w:rPr>
              <w:t>Treatment Phase:</w:t>
            </w:r>
            <w:r w:rsidRPr="000F48C4">
              <w:rPr>
                <w:sz w:val="20"/>
                <w:szCs w:val="20"/>
                <w:lang w:eastAsia="en-AU"/>
              </w:rPr>
              <w:t xml:space="preserve"> Initial treatment</w:t>
            </w:r>
          </w:p>
        </w:tc>
      </w:tr>
      <w:tr w:rsidR="003463DC" w:rsidRPr="000F48C4" w14:paraId="3E174C31" w14:textId="77777777" w:rsidTr="003463DC">
        <w:trPr>
          <w:trHeight w:val="284"/>
        </w:trPr>
        <w:tc>
          <w:tcPr>
            <w:tcW w:w="5000" w:type="pct"/>
            <w:vAlign w:val="center"/>
            <w:hideMark/>
          </w:tcPr>
          <w:p w14:paraId="66C2111C" w14:textId="77777777" w:rsidR="003463DC" w:rsidRPr="000F48C4" w:rsidRDefault="003463DC" w:rsidP="00B36171">
            <w:pPr>
              <w:pStyle w:val="PBACbold"/>
              <w:rPr>
                <w:sz w:val="20"/>
                <w:szCs w:val="20"/>
                <w:lang w:eastAsia="en-AU"/>
              </w:rPr>
            </w:pPr>
            <w:r w:rsidRPr="000F48C4">
              <w:rPr>
                <w:sz w:val="20"/>
                <w:szCs w:val="20"/>
                <w:lang w:eastAsia="en-AU"/>
              </w:rPr>
              <w:t>Clinical criteria:</w:t>
            </w:r>
          </w:p>
        </w:tc>
      </w:tr>
      <w:tr w:rsidR="003463DC" w:rsidRPr="000F48C4" w14:paraId="1EF4E492" w14:textId="77777777" w:rsidTr="003463DC">
        <w:trPr>
          <w:trHeight w:val="284"/>
        </w:trPr>
        <w:tc>
          <w:tcPr>
            <w:tcW w:w="5000" w:type="pct"/>
            <w:vAlign w:val="center"/>
            <w:hideMark/>
          </w:tcPr>
          <w:p w14:paraId="19CE6B3E"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The treatment must be the sole PBS-subsidised therapy for this condition</w:t>
            </w:r>
          </w:p>
        </w:tc>
      </w:tr>
      <w:tr w:rsidR="003463DC" w:rsidRPr="000F48C4" w14:paraId="31B93115" w14:textId="77777777" w:rsidTr="003463DC">
        <w:trPr>
          <w:trHeight w:val="284"/>
        </w:trPr>
        <w:tc>
          <w:tcPr>
            <w:tcW w:w="5000" w:type="pct"/>
            <w:vAlign w:val="center"/>
            <w:hideMark/>
          </w:tcPr>
          <w:p w14:paraId="5006D8D5"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057C6CDA" w14:textId="77777777" w:rsidTr="003463DC">
        <w:trPr>
          <w:trHeight w:val="284"/>
        </w:trPr>
        <w:tc>
          <w:tcPr>
            <w:tcW w:w="5000" w:type="pct"/>
            <w:vAlign w:val="center"/>
          </w:tcPr>
          <w:p w14:paraId="1EB0F38F"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139DE9B2" w14:textId="77777777" w:rsidTr="003463DC">
        <w:trPr>
          <w:trHeight w:val="284"/>
        </w:trPr>
        <w:tc>
          <w:tcPr>
            <w:tcW w:w="5000" w:type="pct"/>
            <w:vAlign w:val="center"/>
            <w:hideMark/>
          </w:tcPr>
          <w:p w14:paraId="72286B01"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The condition must be in the chronic phase</w:t>
            </w:r>
          </w:p>
        </w:tc>
      </w:tr>
      <w:tr w:rsidR="003463DC" w:rsidRPr="000F48C4" w14:paraId="32817DE5" w14:textId="77777777" w:rsidTr="003463DC">
        <w:trPr>
          <w:trHeight w:val="284"/>
        </w:trPr>
        <w:tc>
          <w:tcPr>
            <w:tcW w:w="5000" w:type="pct"/>
            <w:vAlign w:val="center"/>
            <w:hideMark/>
          </w:tcPr>
          <w:p w14:paraId="24E2F944"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595B6CDA" w14:textId="77777777" w:rsidTr="003463DC">
        <w:trPr>
          <w:trHeight w:val="284"/>
        </w:trPr>
        <w:tc>
          <w:tcPr>
            <w:tcW w:w="5000" w:type="pct"/>
            <w:vAlign w:val="center"/>
          </w:tcPr>
          <w:p w14:paraId="7E53366A"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16B511E7" w14:textId="77777777" w:rsidTr="003463DC">
        <w:trPr>
          <w:trHeight w:val="284"/>
        </w:trPr>
        <w:tc>
          <w:tcPr>
            <w:tcW w:w="5000" w:type="pct"/>
            <w:vAlign w:val="center"/>
            <w:hideMark/>
          </w:tcPr>
          <w:p w14:paraId="2214BD35" w14:textId="77777777" w:rsidR="003463DC" w:rsidRPr="000F48C4" w:rsidRDefault="003463DC" w:rsidP="00B36171">
            <w:pPr>
              <w:pStyle w:val="PBACtext"/>
              <w:keepNext w:val="0"/>
              <w:spacing w:line="240" w:lineRule="auto"/>
              <w:rPr>
                <w:sz w:val="20"/>
                <w:szCs w:val="20"/>
              </w:rPr>
            </w:pPr>
            <w:r w:rsidRPr="000F48C4">
              <w:rPr>
                <w:sz w:val="20"/>
                <w:szCs w:val="20"/>
              </w:rPr>
              <w:t xml:space="preserve">The condition must be expressing the Philadelphia chromosome </w:t>
            </w:r>
            <w:r w:rsidRPr="000F48C4">
              <w:rPr>
                <w:i/>
                <w:iCs/>
                <w:sz w:val="20"/>
                <w:szCs w:val="20"/>
              </w:rPr>
              <w:t>confirmed through cytogenetic analysis</w:t>
            </w:r>
            <w:r w:rsidRPr="000F48C4">
              <w:rPr>
                <w:sz w:val="20"/>
                <w:szCs w:val="20"/>
              </w:rPr>
              <w:t xml:space="preserve">; OR </w:t>
            </w:r>
          </w:p>
          <w:p w14:paraId="10AB4CFC" w14:textId="77777777" w:rsidR="003463DC" w:rsidRPr="000F48C4" w:rsidRDefault="003463DC" w:rsidP="00B36171">
            <w:pPr>
              <w:pStyle w:val="PBACtext"/>
              <w:keepNext w:val="0"/>
              <w:spacing w:line="240" w:lineRule="auto"/>
              <w:rPr>
                <w:sz w:val="20"/>
                <w:szCs w:val="20"/>
              </w:rPr>
            </w:pPr>
            <w:r w:rsidRPr="000F48C4">
              <w:rPr>
                <w:sz w:val="20"/>
                <w:szCs w:val="20"/>
              </w:rPr>
              <w:t xml:space="preserve">The condition must have the transcript BCR-ABL tyrosine kinase </w:t>
            </w:r>
            <w:r w:rsidRPr="000F48C4">
              <w:rPr>
                <w:i/>
                <w:iCs/>
                <w:sz w:val="20"/>
                <w:szCs w:val="20"/>
              </w:rPr>
              <w:t>confirmed through quantitative polymerase chain reaction (PCR)</w:t>
            </w:r>
          </w:p>
        </w:tc>
      </w:tr>
      <w:tr w:rsidR="003463DC" w:rsidRPr="000F48C4" w14:paraId="030C97AE" w14:textId="77777777" w:rsidTr="003463DC">
        <w:trPr>
          <w:trHeight w:val="284"/>
        </w:trPr>
        <w:tc>
          <w:tcPr>
            <w:tcW w:w="5000" w:type="pct"/>
            <w:vAlign w:val="center"/>
            <w:hideMark/>
          </w:tcPr>
          <w:p w14:paraId="3265B63A"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76DD9884" w14:textId="77777777" w:rsidTr="003463DC">
        <w:trPr>
          <w:trHeight w:val="284"/>
        </w:trPr>
        <w:tc>
          <w:tcPr>
            <w:tcW w:w="5000" w:type="pct"/>
            <w:vAlign w:val="center"/>
          </w:tcPr>
          <w:p w14:paraId="130D0DF8"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66B25DBC" w14:textId="77777777" w:rsidTr="003463DC">
        <w:trPr>
          <w:trHeight w:val="284"/>
        </w:trPr>
        <w:tc>
          <w:tcPr>
            <w:tcW w:w="5000" w:type="pct"/>
            <w:vAlign w:val="center"/>
            <w:hideMark/>
          </w:tcPr>
          <w:p w14:paraId="260E50AA"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 xml:space="preserve">Patient must have failed an adequate trial of at least two tyrosine kinase inhibitors </w:t>
            </w:r>
            <w:r w:rsidRPr="000F48C4">
              <w:rPr>
                <w:strike/>
                <w:sz w:val="20"/>
                <w:szCs w:val="20"/>
                <w:lang w:eastAsia="en-AU"/>
              </w:rPr>
              <w:t>(imatinib, dasatinib, nilotinib or ponatinib)</w:t>
            </w:r>
            <w:r w:rsidRPr="000F48C4">
              <w:rPr>
                <w:sz w:val="20"/>
                <w:szCs w:val="20"/>
                <w:lang w:eastAsia="en-AU"/>
              </w:rPr>
              <w:t>; OR</w:t>
            </w:r>
          </w:p>
          <w:p w14:paraId="0E3961BA"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 xml:space="preserve">Patient must have developed intolerance to at least two tyrosine kinase inhibitors </w:t>
            </w:r>
            <w:r w:rsidRPr="000F48C4">
              <w:rPr>
                <w:strike/>
                <w:sz w:val="20"/>
                <w:szCs w:val="20"/>
                <w:lang w:eastAsia="en-AU"/>
              </w:rPr>
              <w:t>(imatinib, dasatinib, nilotinib or ponatinib)</w:t>
            </w:r>
            <w:r w:rsidRPr="000F48C4">
              <w:rPr>
                <w:sz w:val="20"/>
                <w:szCs w:val="20"/>
                <w:lang w:eastAsia="en-AU"/>
              </w:rPr>
              <w:t>; OR</w:t>
            </w:r>
          </w:p>
          <w:p w14:paraId="4A66D97D"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Patient must have failed an adequate trial of at least one tyrosine kinase inhibitor AND developed intolerance to at least another tyrosine kinase inhibitor</w:t>
            </w:r>
          </w:p>
        </w:tc>
      </w:tr>
      <w:tr w:rsidR="003463DC" w:rsidRPr="000F48C4" w14:paraId="7960FD7C" w14:textId="77777777" w:rsidTr="003463DC">
        <w:trPr>
          <w:trHeight w:val="284"/>
        </w:trPr>
        <w:tc>
          <w:tcPr>
            <w:tcW w:w="5000" w:type="pct"/>
            <w:vAlign w:val="center"/>
            <w:hideMark/>
          </w:tcPr>
          <w:p w14:paraId="462C2562" w14:textId="77777777" w:rsidR="003463DC" w:rsidRPr="000F48C4" w:rsidRDefault="003463DC" w:rsidP="00B36171">
            <w:pPr>
              <w:pStyle w:val="PBACbold"/>
              <w:rPr>
                <w:sz w:val="20"/>
                <w:szCs w:val="20"/>
                <w:lang w:eastAsia="en-AU"/>
              </w:rPr>
            </w:pPr>
            <w:r w:rsidRPr="000F48C4">
              <w:rPr>
                <w:sz w:val="20"/>
                <w:szCs w:val="20"/>
                <w:lang w:eastAsia="en-AU"/>
              </w:rPr>
              <w:t xml:space="preserve">Prescribing Instructions: </w:t>
            </w:r>
          </w:p>
          <w:p w14:paraId="26A2FCFD"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Failure of an adequate trial of a tyrosine kinase inhibitor is defined as:</w:t>
            </w:r>
          </w:p>
          <w:p w14:paraId="55D04E53"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1. Lack of response defined as either:</w:t>
            </w:r>
          </w:p>
          <w:p w14:paraId="3359ACE1"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(i) failure to achieve a haematological response after a minimum of 3 months therapy; or</w:t>
            </w:r>
          </w:p>
          <w:p w14:paraId="124A0EB4"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(ii) failure to achieve any cytogenetic response after a minimum of 6 months therapy as demonstrated on bone marrow biopsy by presence of greater than 95% Philadelphia chromosome positive cells; or</w:t>
            </w:r>
          </w:p>
          <w:p w14:paraId="3E22D67F"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(iii) failure to achieve or maintain a major cytogenetic response or a peripheral blood BCR-ABL level of less than 1% after a minimum of 12 months therapy; OR</w:t>
            </w:r>
          </w:p>
          <w:p w14:paraId="598BAE70" w14:textId="77777777" w:rsidR="003463DC" w:rsidRPr="000F48C4" w:rsidRDefault="003463DC" w:rsidP="00B36171">
            <w:pPr>
              <w:pStyle w:val="PBACtext"/>
              <w:keepNext w:val="0"/>
              <w:spacing w:line="240" w:lineRule="auto"/>
              <w:rPr>
                <w:sz w:val="20"/>
                <w:szCs w:val="20"/>
                <w:lang w:eastAsia="en-AU"/>
              </w:rPr>
            </w:pPr>
          </w:p>
          <w:p w14:paraId="5EAFD288"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2. Loss of a previously documented major cytogenetic response (demonstrated by the presence of greater than 35% Ph positive cells on bone marrow biopsy), during ongoing tyrosine kinase inhibitor (TKI) therapy; OR</w:t>
            </w:r>
          </w:p>
          <w:p w14:paraId="1A2C8F10" w14:textId="77777777" w:rsidR="003463DC" w:rsidRPr="000F48C4" w:rsidRDefault="003463DC" w:rsidP="00B36171">
            <w:pPr>
              <w:pStyle w:val="PBACtext"/>
              <w:keepNext w:val="0"/>
              <w:spacing w:line="240" w:lineRule="auto"/>
              <w:rPr>
                <w:sz w:val="20"/>
                <w:szCs w:val="20"/>
                <w:lang w:eastAsia="en-AU"/>
              </w:rPr>
            </w:pPr>
          </w:p>
          <w:p w14:paraId="3A79229E"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3. Loss of a previously demonstrated molecular response (demonstrated by peripheral blood BCR-ABL levels increasing consecutively in value by at least 5 fold to a level of greater than 0.1% confirmed on a subsequent test), during ongoing tyrosine kinase inhibitor (TKI) therapy; OR</w:t>
            </w:r>
          </w:p>
          <w:p w14:paraId="5431DE04" w14:textId="77777777" w:rsidR="003463DC" w:rsidRPr="000F48C4" w:rsidRDefault="003463DC" w:rsidP="00B36171">
            <w:pPr>
              <w:pStyle w:val="PBACtext"/>
              <w:keepNext w:val="0"/>
              <w:spacing w:line="240" w:lineRule="auto"/>
              <w:rPr>
                <w:sz w:val="20"/>
                <w:szCs w:val="20"/>
                <w:lang w:eastAsia="en-AU"/>
              </w:rPr>
            </w:pPr>
          </w:p>
          <w:p w14:paraId="181F1865"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lastRenderedPageBreak/>
              <w:t xml:space="preserve">4. Development of accelerated phase or blast crisis in a patient previously prescribed a tyrosine kinase inhibitor for any phase of chronic myeloid leukaemia; </w:t>
            </w:r>
            <w:r w:rsidRPr="0064757D">
              <w:rPr>
                <w:strike/>
                <w:sz w:val="20"/>
                <w:szCs w:val="20"/>
                <w:lang w:eastAsia="en-AU"/>
              </w:rPr>
              <w:t>OR</w:t>
            </w:r>
          </w:p>
          <w:p w14:paraId="7BF7A577" w14:textId="77777777" w:rsidR="003463DC" w:rsidRPr="000F48C4" w:rsidRDefault="003463DC" w:rsidP="00B36171">
            <w:pPr>
              <w:pStyle w:val="PBACtext"/>
              <w:keepNext w:val="0"/>
              <w:spacing w:line="240" w:lineRule="auto"/>
              <w:rPr>
                <w:sz w:val="20"/>
                <w:szCs w:val="20"/>
                <w:lang w:eastAsia="en-AU"/>
              </w:rPr>
            </w:pPr>
          </w:p>
          <w:p w14:paraId="6693D112"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 xml:space="preserve">Accelerated phase is defined by the presence of 1 or more of the following: </w:t>
            </w:r>
          </w:p>
          <w:p w14:paraId="4FC88FB5"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1. Percentage of blasts in the peripheral blood or bone marrow greater than or equal to 15% but less than 30%; or</w:t>
            </w:r>
          </w:p>
          <w:p w14:paraId="5C3DE95F" w14:textId="77777777" w:rsidR="003463DC" w:rsidRPr="000F48C4" w:rsidRDefault="003463DC" w:rsidP="00B36171">
            <w:pPr>
              <w:pStyle w:val="PBACtext"/>
              <w:keepNext w:val="0"/>
              <w:spacing w:line="240" w:lineRule="auto"/>
              <w:rPr>
                <w:sz w:val="20"/>
                <w:szCs w:val="20"/>
                <w:lang w:eastAsia="en-AU"/>
              </w:rPr>
            </w:pPr>
          </w:p>
          <w:p w14:paraId="4E2EBA73"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2. Percentage of blasts plus promyelocytes in the peripheral blood or bone marrow greater than or equal to 30%, provided that blast count is less than 30%; or</w:t>
            </w:r>
          </w:p>
          <w:p w14:paraId="71B3BEEB" w14:textId="77777777" w:rsidR="003463DC" w:rsidRPr="000F48C4" w:rsidRDefault="003463DC" w:rsidP="00B36171">
            <w:pPr>
              <w:pStyle w:val="PBACtext"/>
              <w:keepNext w:val="0"/>
              <w:spacing w:line="240" w:lineRule="auto"/>
              <w:rPr>
                <w:sz w:val="20"/>
                <w:szCs w:val="20"/>
                <w:lang w:eastAsia="en-AU"/>
              </w:rPr>
            </w:pPr>
          </w:p>
          <w:p w14:paraId="17B021DA"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3. Peripheral basophils greater than or equal to 20%; or</w:t>
            </w:r>
          </w:p>
          <w:p w14:paraId="5B0F7200" w14:textId="77777777" w:rsidR="003463DC" w:rsidRPr="000F48C4" w:rsidRDefault="003463DC" w:rsidP="00B36171">
            <w:pPr>
              <w:pStyle w:val="PBACtext"/>
              <w:keepNext w:val="0"/>
              <w:spacing w:line="240" w:lineRule="auto"/>
              <w:rPr>
                <w:sz w:val="20"/>
                <w:szCs w:val="20"/>
                <w:lang w:eastAsia="en-AU"/>
              </w:rPr>
            </w:pPr>
          </w:p>
          <w:p w14:paraId="7A95409D"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4. Progressive splenomegaly to a size greater than or equal to 10 cm below the left costal margin to be confirmed on 2 occasions at least 4 weeks apart, or a greater than or equal to 50% increase in size below the left costal margin over 4 weeks; or</w:t>
            </w:r>
          </w:p>
          <w:p w14:paraId="4ADCC657" w14:textId="77777777" w:rsidR="003463DC" w:rsidRPr="000F48C4" w:rsidRDefault="003463DC" w:rsidP="00B36171">
            <w:pPr>
              <w:pStyle w:val="PBACtext"/>
              <w:keepNext w:val="0"/>
              <w:spacing w:line="240" w:lineRule="auto"/>
              <w:rPr>
                <w:sz w:val="20"/>
                <w:szCs w:val="20"/>
                <w:lang w:eastAsia="en-AU"/>
              </w:rPr>
            </w:pPr>
          </w:p>
          <w:p w14:paraId="12B1C276"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5. Karyotypic evolution (chromosomal abnormalities in addition to a single Philadelphia chromosome).</w:t>
            </w:r>
          </w:p>
          <w:p w14:paraId="487DEDF3" w14:textId="77777777" w:rsidR="003463DC" w:rsidRPr="000F48C4" w:rsidRDefault="003463DC" w:rsidP="00B36171">
            <w:pPr>
              <w:pStyle w:val="PBACtext"/>
              <w:keepNext w:val="0"/>
              <w:spacing w:line="240" w:lineRule="auto"/>
              <w:rPr>
                <w:sz w:val="20"/>
                <w:szCs w:val="20"/>
                <w:lang w:eastAsia="en-AU"/>
              </w:rPr>
            </w:pPr>
          </w:p>
          <w:p w14:paraId="221E6F40"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Blast crisis is defined as either:</w:t>
            </w:r>
          </w:p>
          <w:p w14:paraId="049EBA47"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1. Percentage of blasts in the peripheral blood or bone marrow greater than or equal to 30%; or</w:t>
            </w:r>
          </w:p>
          <w:p w14:paraId="585CE8F8" w14:textId="77777777" w:rsidR="003463DC" w:rsidRPr="000F48C4" w:rsidRDefault="003463DC" w:rsidP="00B36171">
            <w:pPr>
              <w:pStyle w:val="PBACtext"/>
              <w:keepNext w:val="0"/>
              <w:spacing w:line="240" w:lineRule="auto"/>
              <w:rPr>
                <w:sz w:val="20"/>
                <w:szCs w:val="20"/>
                <w:lang w:eastAsia="en-AU"/>
              </w:rPr>
            </w:pPr>
          </w:p>
          <w:p w14:paraId="7F624E41"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2. Extramedullary involvement other than spleen and liver.</w:t>
            </w:r>
          </w:p>
        </w:tc>
      </w:tr>
      <w:tr w:rsidR="003463DC" w:rsidRPr="000F48C4" w14:paraId="52BA0EF2" w14:textId="77777777" w:rsidTr="003463DC">
        <w:trPr>
          <w:trHeight w:val="284"/>
        </w:trPr>
        <w:tc>
          <w:tcPr>
            <w:tcW w:w="5000" w:type="pct"/>
            <w:vAlign w:val="center"/>
          </w:tcPr>
          <w:p w14:paraId="4544D405" w14:textId="77777777" w:rsidR="003463DC" w:rsidRPr="000F48C4" w:rsidRDefault="003463DC" w:rsidP="00B36171">
            <w:pPr>
              <w:pStyle w:val="PBACbold"/>
              <w:rPr>
                <w:rFonts w:cstheme="minorBidi"/>
                <w:b w:val="0"/>
                <w:i/>
                <w:iCs/>
                <w:sz w:val="20"/>
                <w:szCs w:val="20"/>
              </w:rPr>
            </w:pPr>
            <w:r w:rsidRPr="000F48C4">
              <w:rPr>
                <w:rFonts w:cstheme="minorBidi"/>
                <w:b w:val="0"/>
                <w:i/>
                <w:iCs/>
                <w:sz w:val="20"/>
                <w:szCs w:val="20"/>
              </w:rPr>
              <w:lastRenderedPageBreak/>
              <w:t>Administration instruction</w:t>
            </w:r>
          </w:p>
          <w:p w14:paraId="7C869975" w14:textId="77777777" w:rsidR="003463DC" w:rsidRPr="000F48C4" w:rsidRDefault="003463DC" w:rsidP="00B36171">
            <w:pPr>
              <w:pStyle w:val="PBACbold"/>
              <w:rPr>
                <w:i/>
                <w:iCs/>
                <w:sz w:val="20"/>
                <w:szCs w:val="20"/>
                <w:lang w:eastAsia="en-AU"/>
              </w:rPr>
            </w:pPr>
            <w:r w:rsidRPr="000F48C4">
              <w:rPr>
                <w:rFonts w:cstheme="minorBidi"/>
                <w:b w:val="0"/>
                <w:i/>
                <w:iCs/>
                <w:sz w:val="20"/>
                <w:szCs w:val="20"/>
              </w:rPr>
              <w:t>Applications for authorisation under this restriction may be made in real time using the Online PBS Authorities system (see www.servicesaustralia.gov.au/HPOS) or by telephone by contacting Services</w:t>
            </w:r>
            <w:r w:rsidRPr="000F48C4">
              <w:rPr>
                <w:rFonts w:ascii="Arial" w:hAnsi="Arial"/>
                <w:i/>
                <w:iCs/>
                <w:color w:val="333333"/>
                <w:sz w:val="22"/>
                <w:szCs w:val="22"/>
                <w:shd w:val="clear" w:color="auto" w:fill="FFFFFF"/>
              </w:rPr>
              <w:t xml:space="preserve"> </w:t>
            </w:r>
            <w:r w:rsidRPr="000F48C4">
              <w:rPr>
                <w:rFonts w:cstheme="minorBidi"/>
                <w:b w:val="0"/>
                <w:i/>
                <w:iCs/>
                <w:sz w:val="20"/>
                <w:szCs w:val="20"/>
              </w:rPr>
              <w:t>Australia on 1800 700 270 (hours of operation 8 a.m. to 5 p.m. Monday to Friday).</w:t>
            </w:r>
          </w:p>
        </w:tc>
      </w:tr>
    </w:tbl>
    <w:p w14:paraId="3EFD56BB" w14:textId="77777777" w:rsidR="00341457" w:rsidRPr="00341457" w:rsidRDefault="00341457" w:rsidP="00ED524E">
      <w:pPr>
        <w:rPr>
          <w:rFonts w:ascii="Arial Narrow" w:eastAsia="Calibri" w:hAnsi="Arial Narrow"/>
          <w:sz w:val="20"/>
          <w:szCs w:val="20"/>
        </w:rPr>
      </w:pPr>
    </w:p>
    <w:p w14:paraId="08C5C446" w14:textId="77777777" w:rsidR="00ED524E" w:rsidRPr="000F48C4" w:rsidRDefault="00ED524E" w:rsidP="00ED524E">
      <w:pPr>
        <w:pStyle w:val="Caption"/>
        <w:rPr>
          <w:rFonts w:asciiTheme="minorHAnsi" w:eastAsia="Calibri" w:hAnsiTheme="minorHAnsi" w:cstheme="minorHAnsi"/>
          <w:b w:val="0"/>
          <w:color w:val="auto"/>
          <w:sz w:val="24"/>
          <w:szCs w:val="24"/>
        </w:rPr>
      </w:pPr>
      <w:r w:rsidRPr="000F48C4">
        <w:rPr>
          <w:rFonts w:asciiTheme="minorHAnsi" w:eastAsia="Calibri" w:hAnsiTheme="minorHAnsi" w:cstheme="minorHAnsi"/>
          <w:color w:val="auto"/>
          <w:sz w:val="24"/>
          <w:szCs w:val="24"/>
        </w:rPr>
        <w:t>First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17"/>
      </w:tblGrid>
      <w:tr w:rsidR="003463DC" w:rsidRPr="000F48C4" w14:paraId="7D00A64E"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E1093BE" w14:textId="77777777" w:rsidR="003463DC" w:rsidRPr="000F48C4" w:rsidRDefault="003463DC" w:rsidP="00B36171">
            <w:pPr>
              <w:pStyle w:val="PBACbold"/>
              <w:rPr>
                <w:sz w:val="20"/>
                <w:szCs w:val="20"/>
              </w:rPr>
            </w:pPr>
            <w:r w:rsidRPr="000F48C4">
              <w:rPr>
                <w:sz w:val="20"/>
                <w:szCs w:val="20"/>
              </w:rPr>
              <w:t xml:space="preserve">Category / Program: </w:t>
            </w:r>
            <w:r w:rsidRPr="000F48C4">
              <w:rPr>
                <w:b w:val="0"/>
                <w:bCs/>
                <w:sz w:val="20"/>
                <w:szCs w:val="20"/>
              </w:rPr>
              <w:t>GENERAL – General Schedule (Code GE)</w:t>
            </w:r>
            <w:r w:rsidRPr="000F48C4">
              <w:rPr>
                <w:sz w:val="20"/>
                <w:szCs w:val="20"/>
              </w:rPr>
              <w:t xml:space="preserve"> </w:t>
            </w:r>
          </w:p>
        </w:tc>
      </w:tr>
      <w:tr w:rsidR="003463DC" w:rsidRPr="000F48C4" w14:paraId="472FBC6E"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172A273B" w14:textId="77777777" w:rsidR="003463DC" w:rsidRPr="000F48C4" w:rsidRDefault="003463DC" w:rsidP="00B36171">
            <w:pPr>
              <w:pStyle w:val="PBACtext"/>
              <w:spacing w:line="240" w:lineRule="auto"/>
              <w:rPr>
                <w:b/>
                <w:sz w:val="20"/>
                <w:szCs w:val="20"/>
              </w:rPr>
            </w:pPr>
            <w:r w:rsidRPr="000F48C4">
              <w:rPr>
                <w:b/>
                <w:sz w:val="20"/>
                <w:szCs w:val="20"/>
              </w:rPr>
              <w:t xml:space="preserve">Prescriber type: </w:t>
            </w:r>
            <w:r w:rsidRPr="000F48C4">
              <w:rPr>
                <w:sz w:val="20"/>
                <w:szCs w:val="20"/>
              </w:rPr>
              <w:fldChar w:fldCharType="begin">
                <w:ffData>
                  <w:name w:val=""/>
                  <w:enabled/>
                  <w:calcOnExit w:val="0"/>
                  <w:checkBox>
                    <w:sizeAuto/>
                    <w:default w:val="1"/>
                  </w:checkBox>
                </w:ffData>
              </w:fldChar>
            </w:r>
            <w:r w:rsidRPr="000F48C4">
              <w:rPr>
                <w:sz w:val="20"/>
                <w:szCs w:val="20"/>
              </w:rPr>
              <w:instrText xml:space="preserve"> FORMCHECKBOX </w:instrText>
            </w:r>
            <w:r w:rsidR="00CA52C1">
              <w:rPr>
                <w:sz w:val="20"/>
                <w:szCs w:val="20"/>
              </w:rPr>
            </w:r>
            <w:r w:rsidR="00CA52C1">
              <w:rPr>
                <w:sz w:val="20"/>
                <w:szCs w:val="20"/>
              </w:rPr>
              <w:fldChar w:fldCharType="separate"/>
            </w:r>
            <w:r w:rsidRPr="000F48C4">
              <w:rPr>
                <w:sz w:val="20"/>
                <w:szCs w:val="20"/>
              </w:rPr>
              <w:fldChar w:fldCharType="end"/>
            </w:r>
            <w:r w:rsidRPr="000F48C4">
              <w:rPr>
                <w:sz w:val="20"/>
                <w:szCs w:val="20"/>
              </w:rPr>
              <w:t>Medical Practitioners</w:t>
            </w:r>
          </w:p>
        </w:tc>
      </w:tr>
      <w:tr w:rsidR="003463DC" w:rsidRPr="000F48C4" w14:paraId="7A3412CA"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35C624E" w14:textId="77777777" w:rsidR="003463DC" w:rsidRPr="000F48C4" w:rsidRDefault="003463DC" w:rsidP="00B36171">
            <w:pPr>
              <w:pStyle w:val="PBACbold"/>
              <w:rPr>
                <w:sz w:val="20"/>
                <w:szCs w:val="20"/>
              </w:rPr>
            </w:pPr>
            <w:r w:rsidRPr="000F48C4">
              <w:rPr>
                <w:sz w:val="20"/>
                <w:szCs w:val="20"/>
              </w:rPr>
              <w:t xml:space="preserve">Restriction Type: </w:t>
            </w:r>
            <w:r w:rsidRPr="000F48C4">
              <w:rPr>
                <w:sz w:val="20"/>
                <w:szCs w:val="20"/>
              </w:rPr>
              <w:fldChar w:fldCharType="begin">
                <w:ffData>
                  <w:name w:val=""/>
                  <w:enabled/>
                  <w:calcOnExit w:val="0"/>
                  <w:checkBox>
                    <w:sizeAuto/>
                    <w:default w:val="1"/>
                  </w:checkBox>
                </w:ffData>
              </w:fldChar>
            </w:r>
            <w:r w:rsidRPr="000F48C4">
              <w:rPr>
                <w:sz w:val="20"/>
                <w:szCs w:val="20"/>
              </w:rPr>
              <w:instrText xml:space="preserve"> FORMCHECKBOX </w:instrText>
            </w:r>
            <w:r w:rsidR="00CA52C1">
              <w:rPr>
                <w:sz w:val="20"/>
                <w:szCs w:val="20"/>
              </w:rPr>
            </w:r>
            <w:r w:rsidR="00CA52C1">
              <w:rPr>
                <w:sz w:val="20"/>
                <w:szCs w:val="20"/>
              </w:rPr>
              <w:fldChar w:fldCharType="separate"/>
            </w:r>
            <w:r w:rsidRPr="000F48C4">
              <w:rPr>
                <w:sz w:val="20"/>
                <w:szCs w:val="20"/>
              </w:rPr>
              <w:fldChar w:fldCharType="end"/>
            </w:r>
            <w:r w:rsidRPr="000F48C4">
              <w:rPr>
                <w:b w:val="0"/>
                <w:bCs/>
                <w:sz w:val="20"/>
                <w:szCs w:val="20"/>
              </w:rPr>
              <w:t>Authority Required – Streamlined</w:t>
            </w:r>
          </w:p>
        </w:tc>
      </w:tr>
      <w:tr w:rsidR="003463DC" w:rsidRPr="000F48C4" w14:paraId="6569292D" w14:textId="77777777" w:rsidTr="003463DC">
        <w:trPr>
          <w:trHeight w:val="284"/>
        </w:trPr>
        <w:tc>
          <w:tcPr>
            <w:tcW w:w="5000" w:type="pct"/>
            <w:vAlign w:val="center"/>
          </w:tcPr>
          <w:p w14:paraId="363D36B9" w14:textId="77777777" w:rsidR="003463DC" w:rsidRPr="000F48C4" w:rsidRDefault="003463DC" w:rsidP="00B36171">
            <w:pPr>
              <w:pStyle w:val="PBACtext"/>
              <w:spacing w:line="240" w:lineRule="auto"/>
              <w:rPr>
                <w:sz w:val="20"/>
                <w:szCs w:val="20"/>
                <w:lang w:eastAsia="en-AU"/>
              </w:rPr>
            </w:pPr>
            <w:r w:rsidRPr="000F48C4">
              <w:rPr>
                <w:b/>
                <w:bCs/>
                <w:sz w:val="20"/>
                <w:szCs w:val="20"/>
                <w:lang w:eastAsia="en-AU"/>
              </w:rPr>
              <w:t>Episodicity:</w:t>
            </w:r>
            <w:r w:rsidRPr="000F48C4">
              <w:rPr>
                <w:sz w:val="20"/>
                <w:szCs w:val="20"/>
                <w:lang w:eastAsia="en-AU"/>
              </w:rPr>
              <w:t xml:space="preserve"> Chronic </w:t>
            </w:r>
          </w:p>
        </w:tc>
      </w:tr>
      <w:tr w:rsidR="003463DC" w:rsidRPr="000F48C4" w14:paraId="2223AB8C" w14:textId="77777777" w:rsidTr="003463DC">
        <w:trPr>
          <w:trHeight w:val="284"/>
        </w:trPr>
        <w:tc>
          <w:tcPr>
            <w:tcW w:w="5000" w:type="pct"/>
            <w:vAlign w:val="center"/>
          </w:tcPr>
          <w:p w14:paraId="37B47CC7" w14:textId="77777777" w:rsidR="003463DC" w:rsidRPr="000F48C4" w:rsidRDefault="003463DC" w:rsidP="00B36171">
            <w:pPr>
              <w:pStyle w:val="PBACtext"/>
              <w:spacing w:line="240" w:lineRule="auto"/>
              <w:rPr>
                <w:b/>
                <w:bCs/>
                <w:sz w:val="20"/>
                <w:szCs w:val="20"/>
                <w:lang w:eastAsia="en-AU"/>
              </w:rPr>
            </w:pPr>
            <w:r w:rsidRPr="000F48C4">
              <w:rPr>
                <w:b/>
                <w:bCs/>
                <w:sz w:val="20"/>
                <w:szCs w:val="20"/>
              </w:rPr>
              <w:t>Administrative Advice:</w:t>
            </w:r>
            <w:r w:rsidRPr="000F48C4">
              <w:rPr>
                <w:sz w:val="20"/>
                <w:szCs w:val="20"/>
              </w:rPr>
              <w:t xml:space="preserve"> Special Pricing Arrangements apply.</w:t>
            </w:r>
          </w:p>
        </w:tc>
      </w:tr>
      <w:tr w:rsidR="003463DC" w:rsidRPr="000F48C4" w14:paraId="1AABC234" w14:textId="77777777" w:rsidTr="003463DC">
        <w:trPr>
          <w:trHeight w:val="284"/>
        </w:trPr>
        <w:tc>
          <w:tcPr>
            <w:tcW w:w="5000" w:type="pct"/>
            <w:vAlign w:val="center"/>
          </w:tcPr>
          <w:p w14:paraId="2FF9BBF0" w14:textId="77777777" w:rsidR="003463DC" w:rsidRPr="000F48C4" w:rsidRDefault="003463DC" w:rsidP="00B36171">
            <w:pPr>
              <w:pStyle w:val="PBACtext"/>
              <w:spacing w:line="240" w:lineRule="auto"/>
              <w:rPr>
                <w:b/>
                <w:sz w:val="20"/>
                <w:szCs w:val="20"/>
                <w:lang w:eastAsia="en-AU"/>
              </w:rPr>
            </w:pPr>
            <w:r w:rsidRPr="000F48C4">
              <w:rPr>
                <w:b/>
                <w:sz w:val="20"/>
                <w:szCs w:val="20"/>
                <w:lang w:eastAsia="en-AU"/>
              </w:rPr>
              <w:t xml:space="preserve">Condition: </w:t>
            </w:r>
            <w:r w:rsidRPr="000F48C4">
              <w:rPr>
                <w:sz w:val="20"/>
                <w:szCs w:val="20"/>
                <w:lang w:eastAsia="en-AU"/>
              </w:rPr>
              <w:t>Myeloid leukemia</w:t>
            </w:r>
          </w:p>
        </w:tc>
      </w:tr>
      <w:tr w:rsidR="003463DC" w:rsidRPr="000F48C4" w14:paraId="02F7899F" w14:textId="77777777" w:rsidTr="003463DC">
        <w:trPr>
          <w:trHeight w:val="284"/>
        </w:trPr>
        <w:tc>
          <w:tcPr>
            <w:tcW w:w="5000" w:type="pct"/>
            <w:vAlign w:val="center"/>
            <w:hideMark/>
          </w:tcPr>
          <w:p w14:paraId="79A67C32" w14:textId="77777777" w:rsidR="003463DC" w:rsidRPr="000F48C4" w:rsidRDefault="003463DC" w:rsidP="00B36171">
            <w:pPr>
              <w:pStyle w:val="PBACtext"/>
              <w:spacing w:line="240" w:lineRule="auto"/>
              <w:rPr>
                <w:sz w:val="20"/>
                <w:szCs w:val="20"/>
                <w:lang w:eastAsia="en-AU"/>
              </w:rPr>
            </w:pPr>
            <w:r w:rsidRPr="000F48C4">
              <w:rPr>
                <w:b/>
                <w:sz w:val="20"/>
                <w:szCs w:val="20"/>
                <w:lang w:eastAsia="en-AU"/>
              </w:rPr>
              <w:t>Indication:</w:t>
            </w:r>
            <w:r w:rsidRPr="000F48C4">
              <w:rPr>
                <w:sz w:val="20"/>
                <w:szCs w:val="20"/>
                <w:lang w:eastAsia="en-AU"/>
              </w:rPr>
              <w:t xml:space="preserve"> Chronic myeloid leukemia</w:t>
            </w:r>
          </w:p>
        </w:tc>
      </w:tr>
      <w:tr w:rsidR="003463DC" w:rsidRPr="000F48C4" w14:paraId="09E1BE61" w14:textId="77777777" w:rsidTr="003463DC">
        <w:trPr>
          <w:trHeight w:val="284"/>
        </w:trPr>
        <w:tc>
          <w:tcPr>
            <w:tcW w:w="5000" w:type="pct"/>
            <w:vAlign w:val="center"/>
            <w:hideMark/>
          </w:tcPr>
          <w:p w14:paraId="2EBC53A5" w14:textId="77777777" w:rsidR="003463DC" w:rsidRPr="000F48C4" w:rsidRDefault="003463DC" w:rsidP="00B36171">
            <w:pPr>
              <w:pStyle w:val="PBACtext"/>
              <w:spacing w:line="240" w:lineRule="auto"/>
              <w:rPr>
                <w:sz w:val="20"/>
                <w:szCs w:val="20"/>
                <w:lang w:eastAsia="en-AU"/>
              </w:rPr>
            </w:pPr>
            <w:r w:rsidRPr="000F48C4">
              <w:rPr>
                <w:b/>
                <w:sz w:val="20"/>
                <w:szCs w:val="20"/>
                <w:lang w:eastAsia="en-AU"/>
              </w:rPr>
              <w:t>Treatment Phase:</w:t>
            </w:r>
            <w:r w:rsidRPr="000F48C4">
              <w:rPr>
                <w:sz w:val="20"/>
                <w:szCs w:val="20"/>
                <w:lang w:eastAsia="en-AU"/>
              </w:rPr>
              <w:t xml:space="preserve"> First continuing treatment</w:t>
            </w:r>
          </w:p>
        </w:tc>
      </w:tr>
      <w:tr w:rsidR="003463DC" w:rsidRPr="000F48C4" w14:paraId="52A92B3D" w14:textId="77777777" w:rsidTr="003463DC">
        <w:trPr>
          <w:trHeight w:val="284"/>
        </w:trPr>
        <w:tc>
          <w:tcPr>
            <w:tcW w:w="5000" w:type="pct"/>
            <w:vAlign w:val="center"/>
            <w:hideMark/>
          </w:tcPr>
          <w:p w14:paraId="2F61B6A9" w14:textId="77777777" w:rsidR="003463DC" w:rsidRPr="000F48C4" w:rsidRDefault="003463DC" w:rsidP="00B36171">
            <w:pPr>
              <w:pStyle w:val="PBACbold"/>
              <w:rPr>
                <w:sz w:val="20"/>
                <w:szCs w:val="20"/>
                <w:lang w:eastAsia="en-AU"/>
              </w:rPr>
            </w:pPr>
            <w:r w:rsidRPr="000F48C4">
              <w:rPr>
                <w:sz w:val="20"/>
                <w:szCs w:val="20"/>
                <w:lang w:eastAsia="en-AU"/>
              </w:rPr>
              <w:t>Clinical criteria:</w:t>
            </w:r>
          </w:p>
        </w:tc>
      </w:tr>
      <w:tr w:rsidR="003463DC" w:rsidRPr="000F48C4" w14:paraId="086CCD32" w14:textId="77777777" w:rsidTr="003463DC">
        <w:trPr>
          <w:trHeight w:val="284"/>
        </w:trPr>
        <w:tc>
          <w:tcPr>
            <w:tcW w:w="5000" w:type="pct"/>
            <w:vAlign w:val="center"/>
            <w:hideMark/>
          </w:tcPr>
          <w:p w14:paraId="179D4BAC"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Patient must have received initial PBS subsidised treatment with this drug for this condition</w:t>
            </w:r>
          </w:p>
        </w:tc>
      </w:tr>
      <w:tr w:rsidR="003463DC" w:rsidRPr="000F48C4" w14:paraId="660B9F26" w14:textId="77777777" w:rsidTr="003463DC">
        <w:trPr>
          <w:trHeight w:val="284"/>
        </w:trPr>
        <w:tc>
          <w:tcPr>
            <w:tcW w:w="5000" w:type="pct"/>
            <w:vAlign w:val="center"/>
            <w:hideMark/>
          </w:tcPr>
          <w:p w14:paraId="538D1280"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4469A1F9" w14:textId="77777777" w:rsidTr="003463DC">
        <w:trPr>
          <w:trHeight w:val="284"/>
        </w:trPr>
        <w:tc>
          <w:tcPr>
            <w:tcW w:w="5000" w:type="pct"/>
            <w:vAlign w:val="center"/>
          </w:tcPr>
          <w:p w14:paraId="0AE6697D" w14:textId="77777777" w:rsidR="003463DC" w:rsidRPr="000F48C4" w:rsidRDefault="003463DC" w:rsidP="00B36171">
            <w:pPr>
              <w:pStyle w:val="PBACbold"/>
              <w:rPr>
                <w:i/>
                <w:iCs/>
                <w:sz w:val="20"/>
                <w:szCs w:val="20"/>
                <w:lang w:eastAsia="en-AU"/>
              </w:rPr>
            </w:pPr>
            <w:r w:rsidRPr="000F48C4">
              <w:rPr>
                <w:i/>
                <w:iCs/>
                <w:sz w:val="20"/>
                <w:szCs w:val="20"/>
                <w:lang w:eastAsia="en-AU"/>
              </w:rPr>
              <w:t>Clinical criteria:</w:t>
            </w:r>
          </w:p>
        </w:tc>
      </w:tr>
      <w:tr w:rsidR="003463DC" w:rsidRPr="000F48C4" w14:paraId="1BEA5D28" w14:textId="77777777" w:rsidTr="003463DC">
        <w:trPr>
          <w:trHeight w:val="284"/>
        </w:trPr>
        <w:tc>
          <w:tcPr>
            <w:tcW w:w="5000" w:type="pct"/>
            <w:vAlign w:val="center"/>
            <w:hideMark/>
          </w:tcPr>
          <w:p w14:paraId="3FFB048D"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The treatment must be the sole PBS-subsidised therapy for this condition</w:t>
            </w:r>
          </w:p>
        </w:tc>
      </w:tr>
      <w:tr w:rsidR="003463DC" w:rsidRPr="000F48C4" w14:paraId="3E770674" w14:textId="77777777" w:rsidTr="003463DC">
        <w:trPr>
          <w:trHeight w:val="284"/>
        </w:trPr>
        <w:tc>
          <w:tcPr>
            <w:tcW w:w="5000" w:type="pct"/>
            <w:vAlign w:val="center"/>
            <w:hideMark/>
          </w:tcPr>
          <w:p w14:paraId="0E17B492"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6AE57BF7" w14:textId="77777777" w:rsidTr="003463DC">
        <w:trPr>
          <w:trHeight w:val="284"/>
        </w:trPr>
        <w:tc>
          <w:tcPr>
            <w:tcW w:w="5000" w:type="pct"/>
            <w:vAlign w:val="center"/>
          </w:tcPr>
          <w:p w14:paraId="545C102D"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7EA75749" w14:textId="77777777" w:rsidTr="003463DC">
        <w:trPr>
          <w:trHeight w:val="284"/>
        </w:trPr>
        <w:tc>
          <w:tcPr>
            <w:tcW w:w="5000" w:type="pct"/>
            <w:vAlign w:val="center"/>
            <w:hideMark/>
          </w:tcPr>
          <w:p w14:paraId="2C5639D0"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Patient must have demonstrated a major cytogenetic response; OR</w:t>
            </w:r>
          </w:p>
          <w:p w14:paraId="02F4A695"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Patient must have demonstrated a peripheral blood level of BCR-ABL of less than 1%</w:t>
            </w:r>
          </w:p>
        </w:tc>
      </w:tr>
    </w:tbl>
    <w:p w14:paraId="74CC9A12" w14:textId="77777777" w:rsidR="00ED524E" w:rsidRPr="000F48C4" w:rsidRDefault="00ED524E" w:rsidP="00ED524E">
      <w:pPr>
        <w:rPr>
          <w:rFonts w:ascii="Arial Narrow" w:eastAsia="Calibri" w:hAnsi="Arial Narrow"/>
          <w:sz w:val="20"/>
          <w:szCs w:val="20"/>
        </w:rPr>
      </w:pPr>
    </w:p>
    <w:p w14:paraId="683F9827" w14:textId="77777777" w:rsidR="00ED524E" w:rsidRPr="000F48C4" w:rsidRDefault="00ED524E" w:rsidP="00ED524E">
      <w:pPr>
        <w:pStyle w:val="Caption"/>
        <w:rPr>
          <w:rFonts w:asciiTheme="minorHAnsi" w:hAnsiTheme="minorHAnsi" w:cstheme="minorHAnsi"/>
          <w:color w:val="auto"/>
          <w:sz w:val="24"/>
          <w:szCs w:val="24"/>
        </w:rPr>
      </w:pPr>
      <w:r w:rsidRPr="000F48C4">
        <w:rPr>
          <w:rFonts w:asciiTheme="minorHAnsi" w:hAnsiTheme="minorHAnsi" w:cstheme="minorHAnsi"/>
          <w:color w:val="auto"/>
          <w:sz w:val="24"/>
          <w:szCs w:val="24"/>
        </w:rPr>
        <w:t xml:space="preserve">Subsequent continuing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17"/>
      </w:tblGrid>
      <w:tr w:rsidR="003463DC" w:rsidRPr="000F48C4" w14:paraId="48113A1A"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0CEBAB24" w14:textId="77777777" w:rsidR="003463DC" w:rsidRPr="000F48C4" w:rsidRDefault="003463DC" w:rsidP="00B36171">
            <w:pPr>
              <w:pStyle w:val="PBACbold"/>
              <w:rPr>
                <w:sz w:val="20"/>
                <w:szCs w:val="20"/>
              </w:rPr>
            </w:pPr>
            <w:r w:rsidRPr="000F48C4">
              <w:rPr>
                <w:sz w:val="20"/>
                <w:szCs w:val="20"/>
              </w:rPr>
              <w:t xml:space="preserve">Category / Program: </w:t>
            </w:r>
            <w:r w:rsidRPr="000F48C4">
              <w:rPr>
                <w:b w:val="0"/>
                <w:bCs/>
                <w:sz w:val="20"/>
                <w:szCs w:val="20"/>
              </w:rPr>
              <w:t>GENERAL – General Schedule (Code GE)</w:t>
            </w:r>
            <w:r w:rsidRPr="000F48C4">
              <w:rPr>
                <w:sz w:val="20"/>
                <w:szCs w:val="20"/>
              </w:rPr>
              <w:t xml:space="preserve"> </w:t>
            </w:r>
          </w:p>
        </w:tc>
      </w:tr>
      <w:tr w:rsidR="003463DC" w:rsidRPr="000F48C4" w14:paraId="1416E845"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7FA911A5" w14:textId="77777777" w:rsidR="003463DC" w:rsidRPr="000F48C4" w:rsidRDefault="003463DC" w:rsidP="00B36171">
            <w:pPr>
              <w:pStyle w:val="PBACtext"/>
              <w:keepNext w:val="0"/>
              <w:spacing w:line="240" w:lineRule="auto"/>
              <w:rPr>
                <w:b/>
                <w:sz w:val="20"/>
                <w:szCs w:val="20"/>
              </w:rPr>
            </w:pPr>
            <w:r w:rsidRPr="000F48C4">
              <w:rPr>
                <w:b/>
                <w:sz w:val="20"/>
                <w:szCs w:val="20"/>
              </w:rPr>
              <w:t xml:space="preserve">Prescriber type: </w:t>
            </w:r>
            <w:r w:rsidRPr="000F48C4">
              <w:rPr>
                <w:sz w:val="20"/>
                <w:szCs w:val="20"/>
              </w:rPr>
              <w:fldChar w:fldCharType="begin">
                <w:ffData>
                  <w:name w:val=""/>
                  <w:enabled/>
                  <w:calcOnExit w:val="0"/>
                  <w:checkBox>
                    <w:sizeAuto/>
                    <w:default w:val="1"/>
                  </w:checkBox>
                </w:ffData>
              </w:fldChar>
            </w:r>
            <w:r w:rsidRPr="000F48C4">
              <w:rPr>
                <w:sz w:val="20"/>
                <w:szCs w:val="20"/>
              </w:rPr>
              <w:instrText xml:space="preserve"> FORMCHECKBOX </w:instrText>
            </w:r>
            <w:r w:rsidR="00CA52C1">
              <w:rPr>
                <w:sz w:val="20"/>
                <w:szCs w:val="20"/>
              </w:rPr>
            </w:r>
            <w:r w:rsidR="00CA52C1">
              <w:rPr>
                <w:sz w:val="20"/>
                <w:szCs w:val="20"/>
              </w:rPr>
              <w:fldChar w:fldCharType="separate"/>
            </w:r>
            <w:r w:rsidRPr="000F48C4">
              <w:rPr>
                <w:sz w:val="20"/>
                <w:szCs w:val="20"/>
              </w:rPr>
              <w:fldChar w:fldCharType="end"/>
            </w:r>
            <w:r w:rsidRPr="000F48C4">
              <w:rPr>
                <w:sz w:val="20"/>
                <w:szCs w:val="20"/>
              </w:rPr>
              <w:t>Medical Practitioners</w:t>
            </w:r>
          </w:p>
        </w:tc>
      </w:tr>
      <w:tr w:rsidR="003463DC" w:rsidRPr="000F48C4" w14:paraId="6CB92E25"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28374E07" w14:textId="77777777" w:rsidR="003463DC" w:rsidRPr="000F48C4" w:rsidRDefault="003463DC" w:rsidP="00B36171">
            <w:pPr>
              <w:pStyle w:val="PBACbold"/>
              <w:rPr>
                <w:sz w:val="20"/>
                <w:szCs w:val="20"/>
              </w:rPr>
            </w:pPr>
            <w:r w:rsidRPr="000F48C4">
              <w:rPr>
                <w:sz w:val="20"/>
                <w:szCs w:val="20"/>
              </w:rPr>
              <w:lastRenderedPageBreak/>
              <w:t xml:space="preserve">Restriction Type: </w:t>
            </w:r>
            <w:r w:rsidRPr="000F48C4">
              <w:rPr>
                <w:b w:val="0"/>
                <w:bCs/>
                <w:sz w:val="20"/>
                <w:szCs w:val="20"/>
              </w:rPr>
              <w:fldChar w:fldCharType="begin">
                <w:ffData>
                  <w:name w:val=""/>
                  <w:enabled/>
                  <w:calcOnExit w:val="0"/>
                  <w:checkBox>
                    <w:sizeAuto/>
                    <w:default w:val="1"/>
                  </w:checkBox>
                </w:ffData>
              </w:fldChar>
            </w:r>
            <w:r w:rsidRPr="000F48C4">
              <w:rPr>
                <w:b w:val="0"/>
                <w:bCs/>
                <w:sz w:val="20"/>
                <w:szCs w:val="20"/>
              </w:rPr>
              <w:instrText xml:space="preserve"> FORMCHECKBOX </w:instrText>
            </w:r>
            <w:r w:rsidR="00CA52C1">
              <w:rPr>
                <w:b w:val="0"/>
                <w:bCs/>
                <w:sz w:val="20"/>
                <w:szCs w:val="20"/>
              </w:rPr>
            </w:r>
            <w:r w:rsidR="00CA52C1">
              <w:rPr>
                <w:b w:val="0"/>
                <w:bCs/>
                <w:sz w:val="20"/>
                <w:szCs w:val="20"/>
              </w:rPr>
              <w:fldChar w:fldCharType="separate"/>
            </w:r>
            <w:r w:rsidRPr="000F48C4">
              <w:rPr>
                <w:b w:val="0"/>
                <w:bCs/>
                <w:sz w:val="20"/>
                <w:szCs w:val="20"/>
              </w:rPr>
              <w:fldChar w:fldCharType="end"/>
            </w:r>
            <w:r w:rsidRPr="000F48C4">
              <w:rPr>
                <w:b w:val="0"/>
                <w:bCs/>
                <w:sz w:val="20"/>
                <w:szCs w:val="20"/>
              </w:rPr>
              <w:t>Authority Required – Streamlined</w:t>
            </w:r>
          </w:p>
        </w:tc>
      </w:tr>
      <w:tr w:rsidR="003463DC" w:rsidRPr="000F48C4" w14:paraId="171A72FE" w14:textId="77777777" w:rsidTr="003463DC">
        <w:trPr>
          <w:trHeight w:val="284"/>
        </w:trPr>
        <w:tc>
          <w:tcPr>
            <w:tcW w:w="5000" w:type="pct"/>
            <w:vAlign w:val="center"/>
          </w:tcPr>
          <w:p w14:paraId="13B4B899" w14:textId="77777777" w:rsidR="003463DC" w:rsidRPr="000F48C4" w:rsidRDefault="003463DC" w:rsidP="00B36171">
            <w:pPr>
              <w:pStyle w:val="PBACtext"/>
              <w:keepNext w:val="0"/>
              <w:spacing w:line="240" w:lineRule="auto"/>
              <w:rPr>
                <w:sz w:val="20"/>
                <w:szCs w:val="20"/>
                <w:lang w:eastAsia="en-AU"/>
              </w:rPr>
            </w:pPr>
            <w:r w:rsidRPr="000F48C4">
              <w:rPr>
                <w:b/>
                <w:bCs/>
                <w:sz w:val="20"/>
                <w:szCs w:val="20"/>
                <w:lang w:eastAsia="en-AU"/>
              </w:rPr>
              <w:t>Episodicity:</w:t>
            </w:r>
            <w:r w:rsidRPr="000F48C4">
              <w:rPr>
                <w:sz w:val="20"/>
                <w:szCs w:val="20"/>
                <w:lang w:eastAsia="en-AU"/>
              </w:rPr>
              <w:t xml:space="preserve"> Chronic </w:t>
            </w:r>
          </w:p>
        </w:tc>
      </w:tr>
      <w:tr w:rsidR="003463DC" w:rsidRPr="000F48C4" w14:paraId="687CF078" w14:textId="77777777" w:rsidTr="003463DC">
        <w:trPr>
          <w:trHeight w:val="284"/>
        </w:trPr>
        <w:tc>
          <w:tcPr>
            <w:tcW w:w="5000" w:type="pct"/>
            <w:vAlign w:val="center"/>
          </w:tcPr>
          <w:p w14:paraId="3DE72B82" w14:textId="77777777" w:rsidR="003463DC" w:rsidRPr="000F48C4" w:rsidRDefault="003463DC" w:rsidP="00B36171">
            <w:pPr>
              <w:pStyle w:val="PBACtext"/>
              <w:keepNext w:val="0"/>
              <w:spacing w:line="240" w:lineRule="auto"/>
              <w:rPr>
                <w:b/>
                <w:bCs/>
                <w:sz w:val="20"/>
                <w:szCs w:val="20"/>
                <w:lang w:eastAsia="en-AU"/>
              </w:rPr>
            </w:pPr>
            <w:r w:rsidRPr="000F48C4">
              <w:rPr>
                <w:b/>
                <w:bCs/>
                <w:sz w:val="20"/>
                <w:szCs w:val="20"/>
              </w:rPr>
              <w:t>Administrative Advice:</w:t>
            </w:r>
            <w:r w:rsidRPr="000F48C4">
              <w:rPr>
                <w:sz w:val="20"/>
                <w:szCs w:val="20"/>
              </w:rPr>
              <w:t xml:space="preserve"> Special Pricing Arrangements apply.</w:t>
            </w:r>
          </w:p>
        </w:tc>
      </w:tr>
      <w:tr w:rsidR="003463DC" w:rsidRPr="000F48C4" w14:paraId="56FF3E33" w14:textId="77777777" w:rsidTr="003463DC">
        <w:trPr>
          <w:trHeight w:val="284"/>
        </w:trPr>
        <w:tc>
          <w:tcPr>
            <w:tcW w:w="5000" w:type="pct"/>
            <w:vAlign w:val="center"/>
          </w:tcPr>
          <w:p w14:paraId="609BE078" w14:textId="77777777" w:rsidR="003463DC" w:rsidRPr="000F48C4" w:rsidRDefault="003463DC" w:rsidP="00B36171">
            <w:pPr>
              <w:pStyle w:val="PBACtext"/>
              <w:keepNext w:val="0"/>
              <w:spacing w:line="240" w:lineRule="auto"/>
              <w:rPr>
                <w:b/>
                <w:sz w:val="20"/>
                <w:szCs w:val="20"/>
                <w:lang w:eastAsia="en-AU"/>
              </w:rPr>
            </w:pPr>
            <w:r w:rsidRPr="000F48C4">
              <w:rPr>
                <w:b/>
                <w:sz w:val="20"/>
                <w:szCs w:val="20"/>
                <w:lang w:eastAsia="en-AU"/>
              </w:rPr>
              <w:t xml:space="preserve">Condition: </w:t>
            </w:r>
            <w:r w:rsidRPr="000F48C4">
              <w:rPr>
                <w:sz w:val="20"/>
                <w:szCs w:val="20"/>
                <w:lang w:eastAsia="en-AU"/>
              </w:rPr>
              <w:t>Myeloid leukemia</w:t>
            </w:r>
          </w:p>
        </w:tc>
      </w:tr>
      <w:tr w:rsidR="003463DC" w:rsidRPr="000F48C4" w14:paraId="2B45A67E" w14:textId="77777777" w:rsidTr="003463DC">
        <w:trPr>
          <w:trHeight w:val="284"/>
        </w:trPr>
        <w:tc>
          <w:tcPr>
            <w:tcW w:w="5000" w:type="pct"/>
            <w:vAlign w:val="center"/>
            <w:hideMark/>
          </w:tcPr>
          <w:p w14:paraId="7DA7D93B" w14:textId="77777777" w:rsidR="003463DC" w:rsidRPr="000F48C4" w:rsidRDefault="003463DC" w:rsidP="00B36171">
            <w:pPr>
              <w:pStyle w:val="PBACtext"/>
              <w:keepNext w:val="0"/>
              <w:spacing w:line="240" w:lineRule="auto"/>
              <w:rPr>
                <w:sz w:val="20"/>
                <w:szCs w:val="20"/>
                <w:lang w:eastAsia="en-AU"/>
              </w:rPr>
            </w:pPr>
            <w:r w:rsidRPr="000F48C4">
              <w:rPr>
                <w:b/>
                <w:sz w:val="20"/>
                <w:szCs w:val="20"/>
                <w:lang w:eastAsia="en-AU"/>
              </w:rPr>
              <w:t>Indication:</w:t>
            </w:r>
            <w:r w:rsidRPr="000F48C4">
              <w:rPr>
                <w:sz w:val="20"/>
                <w:szCs w:val="20"/>
                <w:lang w:eastAsia="en-AU"/>
              </w:rPr>
              <w:t xml:space="preserve"> Chronic myeloid leukemia</w:t>
            </w:r>
          </w:p>
        </w:tc>
      </w:tr>
      <w:tr w:rsidR="003463DC" w:rsidRPr="000F48C4" w14:paraId="6B96AC0C" w14:textId="77777777" w:rsidTr="003463DC">
        <w:trPr>
          <w:trHeight w:val="284"/>
        </w:trPr>
        <w:tc>
          <w:tcPr>
            <w:tcW w:w="5000" w:type="pct"/>
            <w:vAlign w:val="center"/>
            <w:hideMark/>
          </w:tcPr>
          <w:p w14:paraId="6A0F64B0" w14:textId="77777777" w:rsidR="003463DC" w:rsidRPr="000F48C4" w:rsidRDefault="003463DC" w:rsidP="00B36171">
            <w:pPr>
              <w:pStyle w:val="PBACtext"/>
              <w:keepNext w:val="0"/>
              <w:spacing w:line="240" w:lineRule="auto"/>
              <w:rPr>
                <w:sz w:val="20"/>
                <w:szCs w:val="20"/>
                <w:lang w:eastAsia="en-AU"/>
              </w:rPr>
            </w:pPr>
            <w:r w:rsidRPr="000F48C4">
              <w:rPr>
                <w:b/>
                <w:sz w:val="20"/>
                <w:szCs w:val="20"/>
                <w:lang w:eastAsia="en-AU"/>
              </w:rPr>
              <w:t>Treatment Phase:</w:t>
            </w:r>
            <w:r w:rsidRPr="000F48C4">
              <w:rPr>
                <w:sz w:val="20"/>
                <w:szCs w:val="20"/>
                <w:lang w:eastAsia="en-AU"/>
              </w:rPr>
              <w:t xml:space="preserve"> Subsequent continuing treatment</w:t>
            </w:r>
          </w:p>
        </w:tc>
      </w:tr>
      <w:tr w:rsidR="003463DC" w:rsidRPr="000F48C4" w14:paraId="725ACA25" w14:textId="77777777" w:rsidTr="003463DC">
        <w:trPr>
          <w:trHeight w:val="284"/>
        </w:trPr>
        <w:tc>
          <w:tcPr>
            <w:tcW w:w="5000" w:type="pct"/>
            <w:vAlign w:val="center"/>
            <w:hideMark/>
          </w:tcPr>
          <w:p w14:paraId="274DE519" w14:textId="77777777" w:rsidR="003463DC" w:rsidRPr="000F48C4" w:rsidRDefault="003463DC" w:rsidP="00B36171">
            <w:pPr>
              <w:pStyle w:val="PBACbold"/>
              <w:rPr>
                <w:sz w:val="20"/>
                <w:szCs w:val="20"/>
                <w:lang w:eastAsia="en-AU"/>
              </w:rPr>
            </w:pPr>
            <w:r w:rsidRPr="000F48C4">
              <w:rPr>
                <w:sz w:val="20"/>
                <w:szCs w:val="20"/>
                <w:lang w:eastAsia="en-AU"/>
              </w:rPr>
              <w:t>Clinical criteria:</w:t>
            </w:r>
          </w:p>
        </w:tc>
      </w:tr>
      <w:tr w:rsidR="003463DC" w:rsidRPr="000F48C4" w14:paraId="071F5DB1" w14:textId="77777777" w:rsidTr="003463DC">
        <w:trPr>
          <w:trHeight w:val="284"/>
        </w:trPr>
        <w:tc>
          <w:tcPr>
            <w:tcW w:w="5000" w:type="pct"/>
            <w:vAlign w:val="center"/>
            <w:hideMark/>
          </w:tcPr>
          <w:p w14:paraId="341790EB"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Patient must have previously received PBS-subsidised treatment with this drug for this condition under the First continuing treatment restriction</w:t>
            </w:r>
          </w:p>
        </w:tc>
      </w:tr>
      <w:tr w:rsidR="003463DC" w:rsidRPr="000F48C4" w14:paraId="0A3B9821" w14:textId="77777777" w:rsidTr="003463DC">
        <w:trPr>
          <w:trHeight w:val="284"/>
        </w:trPr>
        <w:tc>
          <w:tcPr>
            <w:tcW w:w="5000" w:type="pct"/>
            <w:vAlign w:val="center"/>
            <w:hideMark/>
          </w:tcPr>
          <w:p w14:paraId="6E994D69"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3B648927" w14:textId="77777777" w:rsidTr="003463DC">
        <w:trPr>
          <w:trHeight w:val="284"/>
        </w:trPr>
        <w:tc>
          <w:tcPr>
            <w:tcW w:w="5000" w:type="pct"/>
            <w:vAlign w:val="center"/>
          </w:tcPr>
          <w:p w14:paraId="7EBD3343"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074CFE80" w14:textId="77777777" w:rsidTr="003463DC">
        <w:trPr>
          <w:trHeight w:val="284"/>
        </w:trPr>
        <w:tc>
          <w:tcPr>
            <w:tcW w:w="5000" w:type="pct"/>
            <w:vAlign w:val="center"/>
            <w:hideMark/>
          </w:tcPr>
          <w:p w14:paraId="4627FE20"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The treatment must be the sole PBS-subsidised therapy for this condition</w:t>
            </w:r>
          </w:p>
        </w:tc>
      </w:tr>
      <w:tr w:rsidR="003463DC" w:rsidRPr="000F48C4" w14:paraId="7F6F606C" w14:textId="77777777" w:rsidTr="003463DC">
        <w:trPr>
          <w:trHeight w:val="284"/>
        </w:trPr>
        <w:tc>
          <w:tcPr>
            <w:tcW w:w="5000" w:type="pct"/>
            <w:vAlign w:val="center"/>
            <w:hideMark/>
          </w:tcPr>
          <w:p w14:paraId="45B65889"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29133E0C" w14:textId="77777777" w:rsidTr="003463DC">
        <w:trPr>
          <w:trHeight w:val="284"/>
        </w:trPr>
        <w:tc>
          <w:tcPr>
            <w:tcW w:w="5000" w:type="pct"/>
            <w:vAlign w:val="center"/>
          </w:tcPr>
          <w:p w14:paraId="33D5B87C"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7E6A7232" w14:textId="77777777" w:rsidTr="003463DC">
        <w:trPr>
          <w:trHeight w:val="284"/>
        </w:trPr>
        <w:tc>
          <w:tcPr>
            <w:tcW w:w="5000" w:type="pct"/>
            <w:vAlign w:val="center"/>
            <w:hideMark/>
          </w:tcPr>
          <w:p w14:paraId="3EDAFE1C"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Patient must have maintained a major cytogenic response at 12 month intervals; OR</w:t>
            </w:r>
          </w:p>
          <w:p w14:paraId="72533D7A" w14:textId="77777777" w:rsidR="003463DC" w:rsidRPr="000F48C4" w:rsidRDefault="003463DC" w:rsidP="00B36171">
            <w:pPr>
              <w:pStyle w:val="PBACtext"/>
              <w:keepNext w:val="0"/>
              <w:spacing w:line="240" w:lineRule="auto"/>
              <w:rPr>
                <w:sz w:val="20"/>
                <w:szCs w:val="20"/>
                <w:lang w:eastAsia="en-AU"/>
              </w:rPr>
            </w:pPr>
            <w:r w:rsidRPr="000F48C4">
              <w:rPr>
                <w:sz w:val="20"/>
                <w:szCs w:val="20"/>
                <w:lang w:eastAsia="en-AU"/>
              </w:rPr>
              <w:t>Patient must have maintained a peripheral blood level of BCR-ABL of less than 1% at 12 month intervals</w:t>
            </w:r>
          </w:p>
        </w:tc>
      </w:tr>
    </w:tbl>
    <w:p w14:paraId="54ABD230" w14:textId="77777777" w:rsidR="00ED524E" w:rsidRPr="000F48C4" w:rsidRDefault="00ED524E" w:rsidP="00ED524E">
      <w:pPr>
        <w:rPr>
          <w:rFonts w:ascii="Arial Narrow" w:hAnsi="Arial Narrow"/>
          <w:sz w:val="20"/>
          <w:szCs w:val="20"/>
        </w:rPr>
      </w:pPr>
    </w:p>
    <w:p w14:paraId="5EAB562D" w14:textId="77777777" w:rsidR="00ED524E" w:rsidRPr="000F48C4" w:rsidRDefault="00ED524E" w:rsidP="00ED524E">
      <w:pPr>
        <w:pStyle w:val="Caption"/>
        <w:rPr>
          <w:rFonts w:asciiTheme="minorHAnsi" w:eastAsia="Calibri" w:hAnsiTheme="minorHAnsi" w:cstheme="minorHAnsi"/>
          <w:color w:val="auto"/>
          <w:sz w:val="24"/>
          <w:szCs w:val="24"/>
        </w:rPr>
      </w:pPr>
      <w:r w:rsidRPr="000F48C4">
        <w:rPr>
          <w:rFonts w:asciiTheme="minorHAnsi" w:eastAsia="Calibri" w:hAnsiTheme="minorHAnsi" w:cstheme="minorHAnsi"/>
          <w:color w:val="auto"/>
          <w:sz w:val="24"/>
          <w:szCs w:val="24"/>
        </w:rPr>
        <w:t>Grandfather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17"/>
      </w:tblGrid>
      <w:tr w:rsidR="003463DC" w:rsidRPr="000F48C4" w14:paraId="1D7176F7"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F3E207F" w14:textId="77777777" w:rsidR="003463DC" w:rsidRPr="000F48C4" w:rsidRDefault="003463DC" w:rsidP="00B36171">
            <w:pPr>
              <w:pStyle w:val="PBACbold"/>
              <w:keepNext/>
              <w:rPr>
                <w:sz w:val="20"/>
                <w:szCs w:val="20"/>
              </w:rPr>
            </w:pPr>
            <w:r w:rsidRPr="000F48C4">
              <w:rPr>
                <w:sz w:val="20"/>
                <w:szCs w:val="20"/>
              </w:rPr>
              <w:t xml:space="preserve">Category / Program: </w:t>
            </w:r>
            <w:r w:rsidRPr="000F48C4">
              <w:rPr>
                <w:b w:val="0"/>
                <w:bCs/>
                <w:sz w:val="20"/>
                <w:szCs w:val="20"/>
              </w:rPr>
              <w:t>GENERAL – General Schedule (Code GE)</w:t>
            </w:r>
            <w:r w:rsidRPr="000F48C4">
              <w:rPr>
                <w:sz w:val="20"/>
                <w:szCs w:val="20"/>
              </w:rPr>
              <w:t xml:space="preserve"> </w:t>
            </w:r>
          </w:p>
        </w:tc>
      </w:tr>
      <w:tr w:rsidR="003463DC" w:rsidRPr="000F48C4" w14:paraId="0B2C07AE"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4A005E3C" w14:textId="77777777" w:rsidR="003463DC" w:rsidRPr="000F48C4" w:rsidRDefault="003463DC" w:rsidP="00B36171">
            <w:pPr>
              <w:pStyle w:val="PBACtext"/>
              <w:spacing w:line="240" w:lineRule="auto"/>
              <w:rPr>
                <w:b/>
                <w:sz w:val="20"/>
                <w:szCs w:val="20"/>
              </w:rPr>
            </w:pPr>
            <w:r w:rsidRPr="000F48C4">
              <w:rPr>
                <w:b/>
                <w:sz w:val="20"/>
                <w:szCs w:val="20"/>
              </w:rPr>
              <w:t xml:space="preserve">Prescriber type: </w:t>
            </w:r>
            <w:r w:rsidRPr="000F48C4">
              <w:rPr>
                <w:sz w:val="20"/>
                <w:szCs w:val="20"/>
              </w:rPr>
              <w:fldChar w:fldCharType="begin">
                <w:ffData>
                  <w:name w:val=""/>
                  <w:enabled/>
                  <w:calcOnExit w:val="0"/>
                  <w:checkBox>
                    <w:sizeAuto/>
                    <w:default w:val="1"/>
                  </w:checkBox>
                </w:ffData>
              </w:fldChar>
            </w:r>
            <w:r w:rsidRPr="000F48C4">
              <w:rPr>
                <w:sz w:val="20"/>
                <w:szCs w:val="20"/>
              </w:rPr>
              <w:instrText xml:space="preserve"> FORMCHECKBOX </w:instrText>
            </w:r>
            <w:r w:rsidR="00CA52C1">
              <w:rPr>
                <w:sz w:val="20"/>
                <w:szCs w:val="20"/>
              </w:rPr>
            </w:r>
            <w:r w:rsidR="00CA52C1">
              <w:rPr>
                <w:sz w:val="20"/>
                <w:szCs w:val="20"/>
              </w:rPr>
              <w:fldChar w:fldCharType="separate"/>
            </w:r>
            <w:r w:rsidRPr="000F48C4">
              <w:rPr>
                <w:sz w:val="20"/>
                <w:szCs w:val="20"/>
              </w:rPr>
              <w:fldChar w:fldCharType="end"/>
            </w:r>
            <w:r w:rsidRPr="000F48C4">
              <w:rPr>
                <w:sz w:val="20"/>
                <w:szCs w:val="20"/>
              </w:rPr>
              <w:t>Medical Practitioners</w:t>
            </w:r>
          </w:p>
        </w:tc>
      </w:tr>
      <w:tr w:rsidR="003463DC" w:rsidRPr="000F48C4" w14:paraId="577B82F4" w14:textId="77777777" w:rsidTr="003463DC">
        <w:trPr>
          <w:trHeight w:val="284"/>
        </w:trPr>
        <w:tc>
          <w:tcPr>
            <w:tcW w:w="5000" w:type="pct"/>
            <w:tcBorders>
              <w:top w:val="single" w:sz="4" w:space="0" w:color="auto"/>
              <w:left w:val="single" w:sz="4" w:space="0" w:color="auto"/>
              <w:bottom w:val="single" w:sz="4" w:space="0" w:color="auto"/>
              <w:right w:val="single" w:sz="4" w:space="0" w:color="auto"/>
            </w:tcBorders>
            <w:vAlign w:val="center"/>
          </w:tcPr>
          <w:p w14:paraId="3A187634" w14:textId="77777777" w:rsidR="003463DC" w:rsidRPr="000F48C4" w:rsidRDefault="003463DC" w:rsidP="00B36171">
            <w:pPr>
              <w:pStyle w:val="PBACbold"/>
              <w:rPr>
                <w:sz w:val="20"/>
                <w:szCs w:val="20"/>
              </w:rPr>
            </w:pPr>
            <w:r w:rsidRPr="000F48C4">
              <w:rPr>
                <w:sz w:val="20"/>
                <w:szCs w:val="20"/>
              </w:rPr>
              <w:t xml:space="preserve">Restriction Type: </w:t>
            </w:r>
            <w:r w:rsidRPr="000F48C4">
              <w:rPr>
                <w:b w:val="0"/>
                <w:bCs/>
                <w:sz w:val="20"/>
                <w:szCs w:val="20"/>
              </w:rPr>
              <w:fldChar w:fldCharType="begin">
                <w:ffData>
                  <w:name w:val=""/>
                  <w:enabled/>
                  <w:calcOnExit w:val="0"/>
                  <w:checkBox>
                    <w:sizeAuto/>
                    <w:default w:val="1"/>
                  </w:checkBox>
                </w:ffData>
              </w:fldChar>
            </w:r>
            <w:r w:rsidRPr="000F48C4">
              <w:rPr>
                <w:b w:val="0"/>
                <w:bCs/>
                <w:sz w:val="20"/>
                <w:szCs w:val="20"/>
              </w:rPr>
              <w:instrText xml:space="preserve"> FORMCHECKBOX </w:instrText>
            </w:r>
            <w:r w:rsidR="00CA52C1">
              <w:rPr>
                <w:b w:val="0"/>
                <w:bCs/>
                <w:sz w:val="20"/>
                <w:szCs w:val="20"/>
              </w:rPr>
            </w:r>
            <w:r w:rsidR="00CA52C1">
              <w:rPr>
                <w:b w:val="0"/>
                <w:bCs/>
                <w:sz w:val="20"/>
                <w:szCs w:val="20"/>
              </w:rPr>
              <w:fldChar w:fldCharType="separate"/>
            </w:r>
            <w:r w:rsidRPr="000F48C4">
              <w:rPr>
                <w:b w:val="0"/>
                <w:bCs/>
                <w:sz w:val="20"/>
                <w:szCs w:val="20"/>
              </w:rPr>
              <w:fldChar w:fldCharType="end"/>
            </w:r>
            <w:r w:rsidRPr="000F48C4">
              <w:rPr>
                <w:b w:val="0"/>
                <w:bCs/>
                <w:sz w:val="20"/>
                <w:szCs w:val="20"/>
              </w:rPr>
              <w:t>Authority Required – Streamlined</w:t>
            </w:r>
          </w:p>
        </w:tc>
      </w:tr>
      <w:tr w:rsidR="003463DC" w:rsidRPr="000F48C4" w14:paraId="17BED1DD" w14:textId="77777777" w:rsidTr="003463DC">
        <w:trPr>
          <w:trHeight w:val="284"/>
        </w:trPr>
        <w:tc>
          <w:tcPr>
            <w:tcW w:w="5000" w:type="pct"/>
            <w:vAlign w:val="center"/>
          </w:tcPr>
          <w:p w14:paraId="30AA7E5F" w14:textId="77777777" w:rsidR="003463DC" w:rsidRPr="000F48C4" w:rsidRDefault="003463DC" w:rsidP="00B36171">
            <w:pPr>
              <w:pStyle w:val="PBACtext"/>
              <w:spacing w:line="240" w:lineRule="auto"/>
              <w:rPr>
                <w:sz w:val="20"/>
                <w:szCs w:val="20"/>
                <w:lang w:eastAsia="en-AU"/>
              </w:rPr>
            </w:pPr>
            <w:r w:rsidRPr="000F48C4">
              <w:rPr>
                <w:b/>
                <w:bCs/>
                <w:sz w:val="20"/>
                <w:szCs w:val="20"/>
                <w:lang w:eastAsia="en-AU"/>
              </w:rPr>
              <w:t>Episodicity:</w:t>
            </w:r>
            <w:r w:rsidRPr="000F48C4">
              <w:rPr>
                <w:sz w:val="20"/>
                <w:szCs w:val="20"/>
                <w:lang w:eastAsia="en-AU"/>
              </w:rPr>
              <w:t xml:space="preserve"> Chronic </w:t>
            </w:r>
          </w:p>
        </w:tc>
      </w:tr>
      <w:tr w:rsidR="003463DC" w:rsidRPr="000F48C4" w14:paraId="717FFCF8" w14:textId="77777777" w:rsidTr="003463DC">
        <w:trPr>
          <w:trHeight w:val="284"/>
        </w:trPr>
        <w:tc>
          <w:tcPr>
            <w:tcW w:w="5000" w:type="pct"/>
            <w:vAlign w:val="center"/>
          </w:tcPr>
          <w:p w14:paraId="3E0218D8" w14:textId="77777777" w:rsidR="003463DC" w:rsidRPr="000F48C4" w:rsidRDefault="003463DC" w:rsidP="00B36171">
            <w:pPr>
              <w:pStyle w:val="PBACtext"/>
              <w:spacing w:line="240" w:lineRule="auto"/>
              <w:rPr>
                <w:b/>
                <w:bCs/>
                <w:sz w:val="20"/>
                <w:szCs w:val="20"/>
                <w:lang w:eastAsia="en-AU"/>
              </w:rPr>
            </w:pPr>
            <w:r w:rsidRPr="000F48C4">
              <w:rPr>
                <w:b/>
                <w:bCs/>
                <w:sz w:val="20"/>
                <w:szCs w:val="20"/>
              </w:rPr>
              <w:t>Administrative Advice:</w:t>
            </w:r>
            <w:r w:rsidRPr="000F48C4">
              <w:rPr>
                <w:sz w:val="20"/>
                <w:szCs w:val="20"/>
              </w:rPr>
              <w:t xml:space="preserve"> Special Pricing Arrangements apply.</w:t>
            </w:r>
          </w:p>
        </w:tc>
      </w:tr>
      <w:tr w:rsidR="003463DC" w:rsidRPr="000F48C4" w14:paraId="73EB7747" w14:textId="77777777" w:rsidTr="003463DC">
        <w:trPr>
          <w:trHeight w:val="284"/>
        </w:trPr>
        <w:tc>
          <w:tcPr>
            <w:tcW w:w="5000" w:type="pct"/>
            <w:vAlign w:val="center"/>
          </w:tcPr>
          <w:p w14:paraId="0A1F7580" w14:textId="77777777" w:rsidR="003463DC" w:rsidRPr="000F48C4" w:rsidRDefault="003463DC" w:rsidP="00B36171">
            <w:pPr>
              <w:pStyle w:val="PBACtext"/>
              <w:spacing w:line="240" w:lineRule="auto"/>
              <w:rPr>
                <w:b/>
                <w:sz w:val="20"/>
                <w:szCs w:val="20"/>
                <w:lang w:eastAsia="en-AU"/>
              </w:rPr>
            </w:pPr>
            <w:r w:rsidRPr="000F48C4">
              <w:rPr>
                <w:b/>
                <w:sz w:val="20"/>
                <w:szCs w:val="20"/>
                <w:lang w:eastAsia="en-AU"/>
              </w:rPr>
              <w:t xml:space="preserve">Condition: </w:t>
            </w:r>
            <w:r w:rsidRPr="000F48C4">
              <w:rPr>
                <w:sz w:val="20"/>
                <w:szCs w:val="20"/>
                <w:lang w:eastAsia="en-AU"/>
              </w:rPr>
              <w:t>Myeloid leukemia</w:t>
            </w:r>
          </w:p>
        </w:tc>
      </w:tr>
      <w:tr w:rsidR="003463DC" w:rsidRPr="000F48C4" w14:paraId="48F3414E" w14:textId="77777777" w:rsidTr="003463DC">
        <w:trPr>
          <w:trHeight w:val="284"/>
        </w:trPr>
        <w:tc>
          <w:tcPr>
            <w:tcW w:w="5000" w:type="pct"/>
            <w:vAlign w:val="center"/>
            <w:hideMark/>
          </w:tcPr>
          <w:p w14:paraId="18C7ED9C" w14:textId="77777777" w:rsidR="003463DC" w:rsidRPr="000F48C4" w:rsidRDefault="003463DC" w:rsidP="00B36171">
            <w:pPr>
              <w:pStyle w:val="PBACtext"/>
              <w:spacing w:line="240" w:lineRule="auto"/>
              <w:rPr>
                <w:sz w:val="20"/>
                <w:szCs w:val="20"/>
                <w:lang w:eastAsia="en-AU"/>
              </w:rPr>
            </w:pPr>
            <w:r w:rsidRPr="000F48C4">
              <w:rPr>
                <w:b/>
                <w:sz w:val="20"/>
                <w:szCs w:val="20"/>
                <w:lang w:eastAsia="en-AU"/>
              </w:rPr>
              <w:t>Indication:</w:t>
            </w:r>
            <w:r w:rsidRPr="000F48C4">
              <w:rPr>
                <w:sz w:val="20"/>
                <w:szCs w:val="20"/>
                <w:lang w:eastAsia="en-AU"/>
              </w:rPr>
              <w:t xml:space="preserve"> Chronic myeloid leukemia</w:t>
            </w:r>
          </w:p>
        </w:tc>
      </w:tr>
      <w:tr w:rsidR="003463DC" w:rsidRPr="000F48C4" w14:paraId="33B513E3" w14:textId="77777777" w:rsidTr="003463DC">
        <w:trPr>
          <w:trHeight w:val="284"/>
        </w:trPr>
        <w:tc>
          <w:tcPr>
            <w:tcW w:w="5000" w:type="pct"/>
            <w:vAlign w:val="center"/>
            <w:hideMark/>
          </w:tcPr>
          <w:p w14:paraId="726F524C" w14:textId="77777777" w:rsidR="003463DC" w:rsidRPr="000F48C4" w:rsidRDefault="003463DC" w:rsidP="00B36171">
            <w:pPr>
              <w:pStyle w:val="PBACtext"/>
              <w:spacing w:line="240" w:lineRule="auto"/>
              <w:rPr>
                <w:sz w:val="20"/>
                <w:szCs w:val="20"/>
                <w:lang w:eastAsia="en-AU"/>
              </w:rPr>
            </w:pPr>
            <w:r w:rsidRPr="000F48C4">
              <w:rPr>
                <w:b/>
                <w:bCs/>
                <w:sz w:val="20"/>
                <w:szCs w:val="20"/>
                <w:lang w:eastAsia="en-AU"/>
              </w:rPr>
              <w:t>Treatment Phase:</w:t>
            </w:r>
            <w:r w:rsidRPr="000F48C4">
              <w:rPr>
                <w:sz w:val="20"/>
                <w:szCs w:val="20"/>
                <w:lang w:eastAsia="en-AU"/>
              </w:rPr>
              <w:t xml:space="preserve"> Grandfather</w:t>
            </w:r>
          </w:p>
        </w:tc>
      </w:tr>
      <w:tr w:rsidR="003463DC" w:rsidRPr="000F48C4" w14:paraId="6013A465" w14:textId="77777777" w:rsidTr="003463DC">
        <w:trPr>
          <w:trHeight w:val="284"/>
        </w:trPr>
        <w:tc>
          <w:tcPr>
            <w:tcW w:w="5000" w:type="pct"/>
            <w:vAlign w:val="center"/>
            <w:hideMark/>
          </w:tcPr>
          <w:p w14:paraId="64EFD6E3" w14:textId="77777777" w:rsidR="003463DC" w:rsidRPr="000F48C4" w:rsidRDefault="003463DC" w:rsidP="00B36171">
            <w:pPr>
              <w:pStyle w:val="PBACbold"/>
              <w:rPr>
                <w:sz w:val="20"/>
                <w:szCs w:val="20"/>
                <w:lang w:eastAsia="en-AU"/>
              </w:rPr>
            </w:pPr>
            <w:r w:rsidRPr="000F48C4">
              <w:rPr>
                <w:sz w:val="20"/>
                <w:szCs w:val="20"/>
                <w:lang w:eastAsia="en-AU"/>
              </w:rPr>
              <w:t>Clinical criteria:</w:t>
            </w:r>
          </w:p>
        </w:tc>
      </w:tr>
      <w:tr w:rsidR="003463DC" w:rsidRPr="000F48C4" w14:paraId="69280F18" w14:textId="77777777" w:rsidTr="003463DC">
        <w:trPr>
          <w:trHeight w:val="284"/>
        </w:trPr>
        <w:tc>
          <w:tcPr>
            <w:tcW w:w="5000" w:type="pct"/>
            <w:vAlign w:val="center"/>
          </w:tcPr>
          <w:p w14:paraId="6986884E"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 xml:space="preserve">Patient must have previously received non-PBS subsidised </w:t>
            </w:r>
            <w:r w:rsidRPr="000F48C4">
              <w:rPr>
                <w:i/>
                <w:iCs/>
                <w:sz w:val="20"/>
                <w:szCs w:val="20"/>
                <w:lang w:eastAsia="en-AU"/>
              </w:rPr>
              <w:t>with this</w:t>
            </w:r>
            <w:r w:rsidRPr="000F48C4">
              <w:rPr>
                <w:sz w:val="20"/>
                <w:szCs w:val="20"/>
                <w:lang w:eastAsia="en-AU"/>
              </w:rPr>
              <w:t xml:space="preserve"> drug for this condition prior to [list date]</w:t>
            </w:r>
          </w:p>
        </w:tc>
      </w:tr>
      <w:tr w:rsidR="003463DC" w:rsidRPr="000F48C4" w14:paraId="49500CBF" w14:textId="77777777" w:rsidTr="003463DC">
        <w:trPr>
          <w:trHeight w:val="284"/>
        </w:trPr>
        <w:tc>
          <w:tcPr>
            <w:tcW w:w="5000" w:type="pct"/>
            <w:vAlign w:val="center"/>
          </w:tcPr>
          <w:p w14:paraId="3ABB9501"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2828FA43" w14:textId="77777777" w:rsidTr="003463DC">
        <w:trPr>
          <w:trHeight w:val="284"/>
        </w:trPr>
        <w:tc>
          <w:tcPr>
            <w:tcW w:w="5000" w:type="pct"/>
            <w:vAlign w:val="center"/>
          </w:tcPr>
          <w:p w14:paraId="3EF7168D"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5E839C28" w14:textId="77777777" w:rsidTr="003463DC">
        <w:trPr>
          <w:trHeight w:val="284"/>
        </w:trPr>
        <w:tc>
          <w:tcPr>
            <w:tcW w:w="5000" w:type="pct"/>
            <w:vAlign w:val="center"/>
            <w:hideMark/>
          </w:tcPr>
          <w:p w14:paraId="253788B0"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The treatment must be the sole PBS-subsidised therapy for this condition</w:t>
            </w:r>
          </w:p>
        </w:tc>
      </w:tr>
      <w:tr w:rsidR="003463DC" w:rsidRPr="000F48C4" w14:paraId="38CC5D6E" w14:textId="77777777" w:rsidTr="003463DC">
        <w:trPr>
          <w:trHeight w:val="284"/>
        </w:trPr>
        <w:tc>
          <w:tcPr>
            <w:tcW w:w="5000" w:type="pct"/>
            <w:vAlign w:val="center"/>
            <w:hideMark/>
          </w:tcPr>
          <w:p w14:paraId="01767753"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73BEA5B6" w14:textId="77777777" w:rsidTr="003463DC">
        <w:trPr>
          <w:trHeight w:val="284"/>
        </w:trPr>
        <w:tc>
          <w:tcPr>
            <w:tcW w:w="5000" w:type="pct"/>
            <w:vAlign w:val="center"/>
          </w:tcPr>
          <w:p w14:paraId="2AE02380"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7F24CB06" w14:textId="77777777" w:rsidTr="003463DC">
        <w:trPr>
          <w:trHeight w:val="284"/>
        </w:trPr>
        <w:tc>
          <w:tcPr>
            <w:tcW w:w="5000" w:type="pct"/>
            <w:vAlign w:val="center"/>
            <w:hideMark/>
          </w:tcPr>
          <w:p w14:paraId="2CB38C94"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The condition must be in the chronic phase</w:t>
            </w:r>
          </w:p>
        </w:tc>
      </w:tr>
      <w:tr w:rsidR="003463DC" w:rsidRPr="000F48C4" w14:paraId="46B6C2DD" w14:textId="77777777" w:rsidTr="003463DC">
        <w:trPr>
          <w:trHeight w:val="284"/>
        </w:trPr>
        <w:tc>
          <w:tcPr>
            <w:tcW w:w="5000" w:type="pct"/>
            <w:vAlign w:val="center"/>
            <w:hideMark/>
          </w:tcPr>
          <w:p w14:paraId="73420495" w14:textId="77777777" w:rsidR="003463DC" w:rsidRPr="000F48C4" w:rsidRDefault="003463DC" w:rsidP="00B36171">
            <w:pPr>
              <w:pStyle w:val="PBACbold"/>
              <w:rPr>
                <w:sz w:val="20"/>
                <w:szCs w:val="20"/>
                <w:lang w:eastAsia="en-AU"/>
              </w:rPr>
            </w:pPr>
            <w:r w:rsidRPr="000F48C4">
              <w:rPr>
                <w:sz w:val="20"/>
                <w:szCs w:val="20"/>
                <w:lang w:eastAsia="en-AU"/>
              </w:rPr>
              <w:t>AND</w:t>
            </w:r>
          </w:p>
        </w:tc>
      </w:tr>
      <w:tr w:rsidR="003463DC" w:rsidRPr="000F48C4" w14:paraId="0A1A8265" w14:textId="77777777" w:rsidTr="003463DC">
        <w:trPr>
          <w:trHeight w:val="284"/>
        </w:trPr>
        <w:tc>
          <w:tcPr>
            <w:tcW w:w="5000" w:type="pct"/>
            <w:vAlign w:val="center"/>
          </w:tcPr>
          <w:p w14:paraId="7B9B2655" w14:textId="77777777" w:rsidR="003463DC" w:rsidRPr="000F48C4" w:rsidRDefault="003463DC" w:rsidP="00B36171">
            <w:pPr>
              <w:pStyle w:val="PBACbold"/>
              <w:rPr>
                <w:sz w:val="20"/>
                <w:szCs w:val="20"/>
                <w:lang w:eastAsia="en-AU"/>
              </w:rPr>
            </w:pPr>
            <w:r w:rsidRPr="000F48C4">
              <w:rPr>
                <w:i/>
                <w:iCs/>
                <w:sz w:val="20"/>
                <w:szCs w:val="20"/>
                <w:lang w:eastAsia="en-AU"/>
              </w:rPr>
              <w:t>Clinical criteria:</w:t>
            </w:r>
          </w:p>
        </w:tc>
      </w:tr>
      <w:tr w:rsidR="003463DC" w:rsidRPr="000F48C4" w14:paraId="4BA2A9AB" w14:textId="77777777" w:rsidTr="003463DC">
        <w:trPr>
          <w:trHeight w:val="284"/>
        </w:trPr>
        <w:tc>
          <w:tcPr>
            <w:tcW w:w="5000" w:type="pct"/>
            <w:vAlign w:val="center"/>
            <w:hideMark/>
          </w:tcPr>
          <w:p w14:paraId="535B6D61"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Patient must have demonstrated a major cytogenetic response; OR</w:t>
            </w:r>
          </w:p>
          <w:p w14:paraId="7580073D" w14:textId="77777777" w:rsidR="003463DC" w:rsidRPr="000F48C4" w:rsidRDefault="003463DC" w:rsidP="00B36171">
            <w:pPr>
              <w:pStyle w:val="PBACtext"/>
              <w:spacing w:line="240" w:lineRule="auto"/>
              <w:rPr>
                <w:sz w:val="20"/>
                <w:szCs w:val="20"/>
                <w:lang w:eastAsia="en-AU"/>
              </w:rPr>
            </w:pPr>
            <w:r w:rsidRPr="000F48C4">
              <w:rPr>
                <w:sz w:val="20"/>
                <w:szCs w:val="20"/>
                <w:lang w:eastAsia="en-AU"/>
              </w:rPr>
              <w:t>Patient must have demonstrated a peripheral blood level of BCR-ABL of less than 1%</w:t>
            </w:r>
          </w:p>
        </w:tc>
      </w:tr>
      <w:tr w:rsidR="003463DC" w:rsidRPr="000F48C4" w14:paraId="326044C9" w14:textId="77777777" w:rsidTr="003463DC">
        <w:trPr>
          <w:trHeight w:val="284"/>
        </w:trPr>
        <w:tc>
          <w:tcPr>
            <w:tcW w:w="5000" w:type="pct"/>
            <w:vAlign w:val="center"/>
          </w:tcPr>
          <w:p w14:paraId="3E865613" w14:textId="77777777" w:rsidR="003463DC" w:rsidRPr="000F48C4" w:rsidRDefault="003463DC" w:rsidP="00B36171">
            <w:pPr>
              <w:pStyle w:val="PBACtext"/>
              <w:spacing w:line="240" w:lineRule="auto"/>
              <w:rPr>
                <w:b/>
                <w:bCs/>
                <w:i/>
                <w:iCs/>
                <w:sz w:val="20"/>
                <w:szCs w:val="20"/>
                <w:lang w:eastAsia="en-AU"/>
              </w:rPr>
            </w:pPr>
            <w:r w:rsidRPr="000F48C4">
              <w:rPr>
                <w:b/>
                <w:bCs/>
                <w:i/>
                <w:iCs/>
                <w:sz w:val="20"/>
                <w:szCs w:val="20"/>
                <w:lang w:eastAsia="en-AU"/>
              </w:rPr>
              <w:t xml:space="preserve">Prescriber Instructions: </w:t>
            </w:r>
          </w:p>
          <w:p w14:paraId="42A0EAE6" w14:textId="77777777" w:rsidR="003463DC" w:rsidRPr="000F48C4" w:rsidRDefault="003463DC" w:rsidP="00B36171">
            <w:pPr>
              <w:pStyle w:val="PBACtext"/>
              <w:spacing w:line="240" w:lineRule="auto"/>
              <w:rPr>
                <w:i/>
                <w:iCs/>
                <w:sz w:val="20"/>
                <w:szCs w:val="20"/>
                <w:lang w:eastAsia="en-AU"/>
              </w:rPr>
            </w:pPr>
            <w:r w:rsidRPr="000F48C4">
              <w:rPr>
                <w:i/>
                <w:iCs/>
                <w:sz w:val="20"/>
                <w:szCs w:val="20"/>
                <w:lang w:eastAsia="en-AU"/>
              </w:rPr>
              <w:t>A Grandfathered patient may qualify for PBS-subsidised treatment under this restriction once only. For continuing PBS-subsidised treatment, a Grandfathered patient must qualify under the first continuing treatment criteria.</w:t>
            </w:r>
          </w:p>
        </w:tc>
      </w:tr>
      <w:tr w:rsidR="003463DC" w:rsidRPr="005B2320" w14:paraId="0D21FA34" w14:textId="77777777" w:rsidTr="003463DC">
        <w:trPr>
          <w:trHeight w:val="284"/>
        </w:trPr>
        <w:tc>
          <w:tcPr>
            <w:tcW w:w="5000" w:type="pct"/>
            <w:vAlign w:val="center"/>
          </w:tcPr>
          <w:p w14:paraId="32BFEF7F" w14:textId="77777777" w:rsidR="003463DC" w:rsidRPr="000F48C4" w:rsidRDefault="003463DC" w:rsidP="00B36171">
            <w:pPr>
              <w:pStyle w:val="PBACtext"/>
              <w:spacing w:line="240" w:lineRule="auto"/>
              <w:rPr>
                <w:i/>
                <w:iCs/>
                <w:sz w:val="20"/>
                <w:szCs w:val="20"/>
                <w:lang w:eastAsia="en-AU"/>
              </w:rPr>
            </w:pPr>
            <w:r w:rsidRPr="000F48C4">
              <w:rPr>
                <w:i/>
                <w:iCs/>
                <w:sz w:val="20"/>
                <w:szCs w:val="20"/>
                <w:lang w:eastAsia="en-AU"/>
              </w:rPr>
              <w:t>Prescribing Instructions</w:t>
            </w:r>
          </w:p>
          <w:p w14:paraId="0853AD09" w14:textId="77777777" w:rsidR="003463DC" w:rsidRPr="00D526F1" w:rsidRDefault="003463DC" w:rsidP="00B36171">
            <w:pPr>
              <w:pStyle w:val="PBACtext"/>
              <w:spacing w:line="240" w:lineRule="auto"/>
              <w:rPr>
                <w:i/>
                <w:iCs/>
                <w:sz w:val="20"/>
                <w:szCs w:val="20"/>
                <w:lang w:eastAsia="en-AU"/>
              </w:rPr>
            </w:pPr>
            <w:r w:rsidRPr="000F48C4">
              <w:rPr>
                <w:i/>
                <w:iCs/>
                <w:sz w:val="20"/>
                <w:szCs w:val="20"/>
                <w:lang w:eastAsia="en-AU"/>
              </w:rPr>
              <w:t>This grandfather restriction will cease to operate from 12 months after the date specified in the clinical criteria.</w:t>
            </w:r>
          </w:p>
        </w:tc>
      </w:tr>
    </w:tbl>
    <w:p w14:paraId="63D59907" w14:textId="77777777" w:rsidR="00ED524E" w:rsidRDefault="00ED524E" w:rsidP="00ED524E">
      <w:pPr>
        <w:pStyle w:val="3-BodyText"/>
        <w:numPr>
          <w:ilvl w:val="0"/>
          <w:numId w:val="0"/>
        </w:numPr>
        <w:ind w:left="720" w:hanging="720"/>
      </w:pPr>
    </w:p>
    <w:p w14:paraId="7E87BD52" w14:textId="557E33D3" w:rsidR="00591957" w:rsidRPr="002B4570" w:rsidRDefault="00C4431B" w:rsidP="009A26CF">
      <w:pPr>
        <w:pStyle w:val="3-BodyText"/>
      </w:pPr>
      <w:r w:rsidRPr="00B22BCB">
        <w:lastRenderedPageBreak/>
        <w:t xml:space="preserve">The submission proposed a special pricing arrangement (SPA), </w:t>
      </w:r>
      <w:r w:rsidR="00A401E1" w:rsidRPr="00B22BCB">
        <w:t>where the proposed effective approved ex-</w:t>
      </w:r>
      <w:r w:rsidR="00A401E1" w:rsidRPr="002B4570">
        <w:t>manufacturer price (AEMPs) reflects the weighted average cost of treatment of nilotinib (</w:t>
      </w:r>
      <w:r w:rsidR="00341457" w:rsidRPr="00CA52C1">
        <w:rPr>
          <w:color w:val="000000"/>
          <w:w w:val="15"/>
          <w:shd w:val="solid" w:color="000000" w:fill="000000"/>
          <w:fitText w:val="-20" w:id="-1436313344"/>
          <w14:textFill>
            <w14:solidFill>
              <w14:srgbClr w14:val="000000">
                <w14:alpha w14:val="100000"/>
              </w14:srgbClr>
            </w14:solidFill>
          </w14:textFill>
        </w:rPr>
        <w:t xml:space="preserve">|  </w:t>
      </w:r>
      <w:r w:rsidR="00341457" w:rsidRPr="00CA52C1">
        <w:rPr>
          <w:color w:val="000000"/>
          <w:spacing w:val="-69"/>
          <w:w w:val="15"/>
          <w:shd w:val="solid" w:color="000000" w:fill="000000"/>
          <w:fitText w:val="-20" w:id="-1436313344"/>
          <w14:textFill>
            <w14:solidFill>
              <w14:srgbClr w14:val="000000">
                <w14:alpha w14:val="100000"/>
              </w14:srgbClr>
            </w14:solidFill>
          </w14:textFill>
        </w:rPr>
        <w:t>|</w:t>
      </w:r>
      <w:r w:rsidR="00A401E1" w:rsidRPr="002B4570">
        <w:t>%) and ponatinib (</w:t>
      </w:r>
      <w:r w:rsidR="00341457" w:rsidRPr="00CA52C1">
        <w:rPr>
          <w:color w:val="000000"/>
          <w:w w:val="15"/>
          <w:shd w:val="solid" w:color="000000" w:fill="000000"/>
          <w:fitText w:val="-20" w:id="-1436313343"/>
          <w14:textFill>
            <w14:solidFill>
              <w14:srgbClr w14:val="000000">
                <w14:alpha w14:val="100000"/>
              </w14:srgbClr>
            </w14:solidFill>
          </w14:textFill>
        </w:rPr>
        <w:t xml:space="preserve">|  </w:t>
      </w:r>
      <w:r w:rsidR="00341457" w:rsidRPr="00CA52C1">
        <w:rPr>
          <w:color w:val="000000"/>
          <w:spacing w:val="-69"/>
          <w:w w:val="15"/>
          <w:shd w:val="solid" w:color="000000" w:fill="000000"/>
          <w:fitText w:val="-20" w:id="-1436313343"/>
          <w14:textFill>
            <w14:solidFill>
              <w14:srgbClr w14:val="000000">
                <w14:alpha w14:val="100000"/>
              </w14:srgbClr>
            </w14:solidFill>
          </w14:textFill>
        </w:rPr>
        <w:t>|</w:t>
      </w:r>
      <w:r w:rsidR="00A401E1" w:rsidRPr="002B4570">
        <w:t>%)</w:t>
      </w:r>
      <w:r w:rsidR="000F48C4">
        <w:t>;</w:t>
      </w:r>
      <w:r w:rsidR="00D744E8" w:rsidRPr="002B4570">
        <w:t xml:space="preserve"> </w:t>
      </w:r>
      <w:r w:rsidR="000F48C4">
        <w:t>t</w:t>
      </w:r>
      <w:r w:rsidR="00D744E8" w:rsidRPr="002B4570">
        <w:t xml:space="preserve">he basis for this split was </w:t>
      </w:r>
      <w:r w:rsidR="00E4103E" w:rsidRPr="002B4570">
        <w:t>not provided</w:t>
      </w:r>
      <w:r w:rsidR="00D744E8" w:rsidRPr="002B4570">
        <w:t>.</w:t>
      </w:r>
      <w:r w:rsidR="007A5DC4" w:rsidRPr="002B4570">
        <w:t xml:space="preserve"> The submission expected approximately 120 patients </w:t>
      </w:r>
      <w:r w:rsidR="00E4103E" w:rsidRPr="002B4570">
        <w:t>would</w:t>
      </w:r>
      <w:r w:rsidR="007A5DC4" w:rsidRPr="002B4570">
        <w:t xml:space="preserve"> be grandfathered if asciminib </w:t>
      </w:r>
      <w:r w:rsidR="00E4103E" w:rsidRPr="002B4570">
        <w:t>wa</w:t>
      </w:r>
      <w:r w:rsidR="007A5DC4" w:rsidRPr="002B4570">
        <w:t>s PBS listed by 1 December 2022. Subsequent access should then be via the subsequent continuing treatment restriction.</w:t>
      </w:r>
    </w:p>
    <w:p w14:paraId="21FDA32A" w14:textId="7012AC22" w:rsidR="00457B0D" w:rsidRPr="00945C76" w:rsidRDefault="00E4103E" w:rsidP="002751AA">
      <w:pPr>
        <w:pStyle w:val="3-BodyText"/>
      </w:pPr>
      <w:bookmarkStart w:id="11" w:name="_Ref110183626"/>
      <w:r w:rsidRPr="002B4570">
        <w:t>The proposed restriction was consistent with the TGA draft PI</w:t>
      </w:r>
      <w:r w:rsidR="000F48C4">
        <w:t xml:space="preserve"> provided</w:t>
      </w:r>
      <w:r w:rsidR="003463DC">
        <w:t xml:space="preserve"> at the time the submission was lodged</w:t>
      </w:r>
      <w:r w:rsidRPr="002B4570">
        <w:t xml:space="preserve">. The basis for these restrictions was the key trial (ASCEMBL) population, which only enrolled patients who had failed two or more TKIs before receiving </w:t>
      </w:r>
      <w:r w:rsidR="00337BFF" w:rsidRPr="002B4570">
        <w:t>asciminib</w:t>
      </w:r>
      <w:r w:rsidRPr="002B4570">
        <w:t xml:space="preserve">. </w:t>
      </w:r>
      <w:r w:rsidR="00206D10" w:rsidRPr="002B4570">
        <w:t>ASCEMBL</w:t>
      </w:r>
      <w:r w:rsidR="00B50AF2" w:rsidRPr="002B4570">
        <w:t xml:space="preserve"> also</w:t>
      </w:r>
      <w:r w:rsidRPr="002B4570">
        <w:t xml:space="preserve"> only enrolled patients with an Eastern Cooperative Oncology Group (ECOG) performance status (PS) of 0 to 2, and excluded patients with T315I</w:t>
      </w:r>
      <w:r w:rsidR="000A0D1D" w:rsidRPr="002B4570">
        <w:t>-</w:t>
      </w:r>
      <w:r w:rsidRPr="002B4570">
        <w:t>mutated CML; these exclusion criteria were not, however, reflected in the proposed restrictions.</w:t>
      </w:r>
      <w:r w:rsidR="00797E8B" w:rsidRPr="002B4570">
        <w:t xml:space="preserve"> The submission stated that T315I-mutated CML patients</w:t>
      </w:r>
      <w:r w:rsidR="00457B0D">
        <w:t xml:space="preserve"> </w:t>
      </w:r>
      <w:r w:rsidR="00457B0D" w:rsidRPr="008B10EA">
        <w:t>were excluded</w:t>
      </w:r>
      <w:r w:rsidR="00797E8B" w:rsidRPr="002B4570">
        <w:t xml:space="preserve"> </w:t>
      </w:r>
      <w:r w:rsidR="007D7D64">
        <w:t xml:space="preserve">from the trial </w:t>
      </w:r>
      <w:r w:rsidR="00797E8B" w:rsidRPr="002B4570">
        <w:t>to facilitate the use of bosutinib in the comparator arm,</w:t>
      </w:r>
      <w:r w:rsidR="00102512" w:rsidRPr="002B4570">
        <w:t xml:space="preserve"> as</w:t>
      </w:r>
      <w:r w:rsidR="000175F8">
        <w:t xml:space="preserve"> </w:t>
      </w:r>
      <w:r w:rsidR="000175F8" w:rsidRPr="008F0001">
        <w:t>patients with this mutation would not be expected to respond to bosutinib</w:t>
      </w:r>
      <w:r w:rsidR="00797E8B" w:rsidRPr="002B4570">
        <w:t>.</w:t>
      </w:r>
      <w:r w:rsidR="00AA766F" w:rsidRPr="002B4570">
        <w:t xml:space="preserve"> The</w:t>
      </w:r>
      <w:r w:rsidR="00F44952" w:rsidRPr="002B4570">
        <w:t xml:space="preserve"> submission claimed asciminib would be effective in patients with a T315I mutation, and the</w:t>
      </w:r>
      <w:r w:rsidR="00AA766F" w:rsidRPr="002B4570">
        <w:t xml:space="preserve"> proposed restriction would allow substitution of asciminib for ponatinib in </w:t>
      </w:r>
      <w:r w:rsidR="00F44952" w:rsidRPr="002B4570">
        <w:t xml:space="preserve">these </w:t>
      </w:r>
      <w:r w:rsidR="00AA766F" w:rsidRPr="002B4570">
        <w:t>patients</w:t>
      </w:r>
      <w:r w:rsidR="0014629C" w:rsidRPr="002B4570">
        <w:t xml:space="preserve">; this issue is further </w:t>
      </w:r>
      <w:r w:rsidR="0014629C" w:rsidRPr="00945C76">
        <w:t>discussed in paragraph</w:t>
      </w:r>
      <w:r w:rsidR="00A2486E" w:rsidRPr="00945C76">
        <w:t>s</w:t>
      </w:r>
      <w:r w:rsidR="00E23CAB" w:rsidRPr="00945C76">
        <w:t xml:space="preserve"> </w:t>
      </w:r>
      <w:r w:rsidR="00E23CAB" w:rsidRPr="00945C76">
        <w:fldChar w:fldCharType="begin"/>
      </w:r>
      <w:r w:rsidR="00E23CAB" w:rsidRPr="00945C76">
        <w:instrText xml:space="preserve"> REF _Ref106194017 \r \h  \* MERGEFORMAT </w:instrText>
      </w:r>
      <w:r w:rsidR="00E23CAB" w:rsidRPr="00945C76">
        <w:fldChar w:fldCharType="separate"/>
      </w:r>
      <w:r w:rsidR="00A914F4">
        <w:t>4.8</w:t>
      </w:r>
      <w:r w:rsidR="00E23CAB" w:rsidRPr="00945C76">
        <w:fldChar w:fldCharType="end"/>
      </w:r>
      <w:r w:rsidR="00E23CAB" w:rsidRPr="00945C76">
        <w:t xml:space="preserve">, </w:t>
      </w:r>
      <w:r w:rsidR="00945C76" w:rsidRPr="00945C76">
        <w:fldChar w:fldCharType="begin"/>
      </w:r>
      <w:r w:rsidR="00945C76" w:rsidRPr="00945C76">
        <w:instrText xml:space="preserve"> REF _Ref111209748 \r \h </w:instrText>
      </w:r>
      <w:r w:rsidR="00945C76">
        <w:instrText xml:space="preserve"> \* MERGEFORMAT </w:instrText>
      </w:r>
      <w:r w:rsidR="00945C76" w:rsidRPr="00945C76">
        <w:fldChar w:fldCharType="separate"/>
      </w:r>
      <w:r w:rsidR="00A914F4">
        <w:t>6.22</w:t>
      </w:r>
      <w:r w:rsidR="00945C76" w:rsidRPr="00945C76">
        <w:fldChar w:fldCharType="end"/>
      </w:r>
      <w:r w:rsidR="00187E81" w:rsidRPr="00945C76">
        <w:t xml:space="preserve"> </w:t>
      </w:r>
      <w:r w:rsidR="00E23CAB" w:rsidRPr="00945C76">
        <w:t xml:space="preserve">and </w:t>
      </w:r>
      <w:r w:rsidR="00E23CAB" w:rsidRPr="00945C76">
        <w:fldChar w:fldCharType="begin"/>
      </w:r>
      <w:r w:rsidR="00E23CAB" w:rsidRPr="00945C76">
        <w:instrText xml:space="preserve"> REF _Ref106194063 \r \h  \* MERGEFORMAT </w:instrText>
      </w:r>
      <w:r w:rsidR="00E23CAB" w:rsidRPr="00945C76">
        <w:fldChar w:fldCharType="separate"/>
      </w:r>
      <w:r w:rsidR="00A914F4">
        <w:t>6.31</w:t>
      </w:r>
      <w:r w:rsidR="00E23CAB" w:rsidRPr="00945C76">
        <w:fldChar w:fldCharType="end"/>
      </w:r>
      <w:r w:rsidR="0014629C" w:rsidRPr="00945C76">
        <w:t xml:space="preserve"> below.</w:t>
      </w:r>
      <w:r w:rsidR="002751AA" w:rsidRPr="00945C76">
        <w:t xml:space="preserve"> </w:t>
      </w:r>
      <w:bookmarkEnd w:id="11"/>
    </w:p>
    <w:p w14:paraId="42D2C520" w14:textId="2570D15E" w:rsidR="00FA29E4" w:rsidRDefault="00FA29E4" w:rsidP="002751AA">
      <w:pPr>
        <w:pStyle w:val="3-BodyText"/>
      </w:pPr>
      <w:bookmarkStart w:id="12" w:name="_Ref106193981"/>
      <w:r w:rsidRPr="002E7D71">
        <w:t xml:space="preserve">The </w:t>
      </w:r>
      <w:r w:rsidR="00834C0D">
        <w:t>Pre-Sub Committee Response (</w:t>
      </w:r>
      <w:r w:rsidRPr="002E7D71">
        <w:t>PSCR</w:t>
      </w:r>
      <w:r w:rsidR="00834C0D">
        <w:t>)</w:t>
      </w:r>
      <w:r w:rsidRPr="002E7D71">
        <w:t xml:space="preserve"> noted that ponatinib has two separate PBS restrictions</w:t>
      </w:r>
      <w:r w:rsidR="00EF6341" w:rsidRPr="002E7D71">
        <w:t xml:space="preserve"> for</w:t>
      </w:r>
      <w:r w:rsidRPr="002E7D71">
        <w:t>: 1) patients who demonstrate resistance or intolerance to two prior TKIs (nilotinib or dasatinib)</w:t>
      </w:r>
      <w:r w:rsidR="00EF6341" w:rsidRPr="002E7D71">
        <w:t>;</w:t>
      </w:r>
      <w:r w:rsidRPr="002E7D71">
        <w:t xml:space="preserve"> and 2) patients with the T315I mutation who have failed at least one prior TKI (imatinib, nilotinib or dasatinib). The ESC considered that it may be necessary for asciminib to</w:t>
      </w:r>
      <w:r w:rsidR="00732FDC" w:rsidRPr="002E7D71">
        <w:t xml:space="preserve"> also</w:t>
      </w:r>
      <w:r w:rsidRPr="002E7D71">
        <w:t xml:space="preserve"> have 2 restrictions</w:t>
      </w:r>
      <w:r w:rsidR="002A5633" w:rsidRPr="002E7D71">
        <w:t>:</w:t>
      </w:r>
      <w:r w:rsidRPr="002E7D71">
        <w:t xml:space="preserve"> one for</w:t>
      </w:r>
      <w:r w:rsidR="002A5633" w:rsidRPr="002E7D71">
        <w:t xml:space="preserve"> the general population</w:t>
      </w:r>
      <w:r w:rsidRPr="002E7D71">
        <w:t xml:space="preserve"> who have failed/are intolerant to prior TKIs</w:t>
      </w:r>
      <w:r w:rsidR="002A5633" w:rsidRPr="002E7D71">
        <w:t xml:space="preserve"> (as per the requested restriction)</w:t>
      </w:r>
      <w:r w:rsidRPr="002E7D71">
        <w:t>, and</w:t>
      </w:r>
      <w:r w:rsidR="002A5633" w:rsidRPr="002E7D71">
        <w:t xml:space="preserve"> a separate restriction</w:t>
      </w:r>
      <w:r w:rsidRPr="002E7D71">
        <w:t xml:space="preserve"> for patients</w:t>
      </w:r>
      <w:r w:rsidR="002A5633" w:rsidRPr="002E7D71">
        <w:t xml:space="preserve"> with</w:t>
      </w:r>
      <w:r w:rsidRPr="002E7D71">
        <w:t xml:space="preserve"> the T315I mutation, noting that </w:t>
      </w:r>
      <w:r w:rsidR="00CD7CA4" w:rsidRPr="002E7D71">
        <w:t xml:space="preserve">a </w:t>
      </w:r>
      <w:r w:rsidR="002A5633" w:rsidRPr="002E7D71">
        <w:t>higher</w:t>
      </w:r>
      <w:r w:rsidR="00CD7CA4" w:rsidRPr="002E7D71">
        <w:t xml:space="preserve"> dose is required for the latter patients (</w:t>
      </w:r>
      <w:r w:rsidR="00EF6341" w:rsidRPr="002E7D71">
        <w:t>200 mg twice daily, compared with 80 mg once daily or 40 mg twice daily for the non-T315I mutation patients</w:t>
      </w:r>
      <w:r w:rsidR="00CD7CA4" w:rsidRPr="002E7D71">
        <w:t>).</w:t>
      </w:r>
      <w:r w:rsidR="00732FDC" w:rsidRPr="002E7D71">
        <w:t xml:space="preserve"> The ESC noted that patients who harbour the T315I mutation are in a poor prognosis subgroup who require a different dose and specific listing via a separate restriction</w:t>
      </w:r>
      <w:r w:rsidR="00732FDC">
        <w:rPr>
          <w:i/>
          <w:iCs/>
        </w:rPr>
        <w:t>.</w:t>
      </w:r>
      <w:bookmarkEnd w:id="12"/>
    </w:p>
    <w:p w14:paraId="3B5BC7D6" w14:textId="7ACF58BB" w:rsidR="008976FA" w:rsidRDefault="00B3436B" w:rsidP="008976FA">
      <w:pPr>
        <w:pStyle w:val="3-BodyText"/>
      </w:pPr>
      <w:r w:rsidRPr="00A0237F">
        <w:t xml:space="preserve">The pre-PBAC </w:t>
      </w:r>
      <w:r w:rsidRPr="00945C76">
        <w:t>response provided an updated draft PI, which modified the wording of the indication to specifically include T315I mutation patients</w:t>
      </w:r>
      <w:r w:rsidR="00B36171" w:rsidRPr="00945C76">
        <w:t xml:space="preserve"> in line with advice from the ACM</w:t>
      </w:r>
      <w:r w:rsidRPr="00945C76">
        <w:t xml:space="preserve"> (paragraph </w:t>
      </w:r>
      <w:r w:rsidRPr="00945C76">
        <w:fldChar w:fldCharType="begin"/>
      </w:r>
      <w:r w:rsidRPr="00945C76">
        <w:instrText xml:space="preserve"> REF _Ref110096175 \r \h  \* MERGEFORMAT </w:instrText>
      </w:r>
      <w:r w:rsidRPr="00945C76">
        <w:fldChar w:fldCharType="separate"/>
      </w:r>
      <w:r w:rsidR="00A914F4">
        <w:t>2.3</w:t>
      </w:r>
      <w:r w:rsidRPr="00945C76">
        <w:fldChar w:fldCharType="end"/>
      </w:r>
      <w:r w:rsidRPr="00945C76">
        <w:t>)</w:t>
      </w:r>
      <w:r w:rsidR="00B36171" w:rsidRPr="00945C76">
        <w:t>.  The pre-PBAC response stated that the sponsor “… will take advice from the PBAC as to the</w:t>
      </w:r>
      <w:r w:rsidR="00B36171" w:rsidRPr="00D84193">
        <w:t xml:space="preserve"> PBS restriction for asciminib”.</w:t>
      </w:r>
      <w:r w:rsidR="008976FA">
        <w:t xml:space="preserve"> The PBAC agreed with the ESC that patients with the T315I mutation are a poor prognosis subgroup </w:t>
      </w:r>
      <w:r w:rsidR="004362A6">
        <w:t>who</w:t>
      </w:r>
      <w:r w:rsidR="008976FA">
        <w:t xml:space="preserve"> should be treated with asciminib </w:t>
      </w:r>
      <w:r w:rsidR="007D7D64">
        <w:t>and that</w:t>
      </w:r>
      <w:r w:rsidR="008976FA">
        <w:t xml:space="preserve"> a separate restriction</w:t>
      </w:r>
      <w:r w:rsidR="007D7D64">
        <w:t xml:space="preserve"> would be required given the different dosing</w:t>
      </w:r>
      <w:r w:rsidR="008976FA">
        <w:t xml:space="preserve">. </w:t>
      </w:r>
    </w:p>
    <w:p w14:paraId="69848DFD" w14:textId="165C0AAC" w:rsidR="00D040E4" w:rsidRPr="008B7ECA" w:rsidRDefault="00971BDA" w:rsidP="00422C68">
      <w:pPr>
        <w:pStyle w:val="3-BodyText"/>
        <w:tabs>
          <w:tab w:val="left" w:pos="6379"/>
        </w:tabs>
      </w:pPr>
      <w:r w:rsidRPr="008B7ECA">
        <w:rPr>
          <w:rFonts w:cstheme="minorHAnsi"/>
          <w:iCs/>
        </w:rPr>
        <w:t xml:space="preserve">The </w:t>
      </w:r>
      <w:r w:rsidR="004362A6" w:rsidRPr="008B7ECA">
        <w:rPr>
          <w:rFonts w:cstheme="minorHAnsi"/>
          <w:iCs/>
        </w:rPr>
        <w:t xml:space="preserve">PBAC noted the comments from the </w:t>
      </w:r>
      <w:r w:rsidRPr="008B7ECA">
        <w:rPr>
          <w:rFonts w:cstheme="minorHAnsi"/>
          <w:iCs/>
        </w:rPr>
        <w:t xml:space="preserve">Secretariat that the PBS patient populations for the </w:t>
      </w:r>
      <w:r w:rsidR="00422C68" w:rsidRPr="008B7ECA">
        <w:rPr>
          <w:rFonts w:cstheme="minorHAnsi"/>
          <w:iCs/>
        </w:rPr>
        <w:t xml:space="preserve">nominated </w:t>
      </w:r>
      <w:r w:rsidRPr="008B7ECA">
        <w:rPr>
          <w:rFonts w:cstheme="minorHAnsi"/>
          <w:iCs/>
        </w:rPr>
        <w:t xml:space="preserve">comparators, nilotinib and ponatinib, differ from the intended population for asciminib as follows: (1) While the requested asciminib restriction for initial treatment specifies that patients must express the Philadelphia chromosome or have the transcript BCR-ABL tyrosine kinase in the clinical criteria, the comparator restrictions for initial treatment in the third-line setting do not specify this (because </w:t>
      </w:r>
      <w:r w:rsidRPr="008B7ECA">
        <w:rPr>
          <w:rFonts w:cstheme="minorHAnsi"/>
          <w:iCs/>
        </w:rPr>
        <w:lastRenderedPageBreak/>
        <w:t>patients have already received first-line imatinib or dasatinib, which do specify this clinical criteria in their restrictions for initial treatment, as does first-line nilotinib). (2)</w:t>
      </w:r>
      <w:r w:rsidR="00BC506F">
        <w:rPr>
          <w:rFonts w:cstheme="minorHAnsi"/>
          <w:iCs/>
        </w:rPr>
        <w:t> </w:t>
      </w:r>
      <w:r w:rsidRPr="008B7ECA">
        <w:rPr>
          <w:rFonts w:cstheme="minorHAnsi"/>
          <w:iCs/>
        </w:rPr>
        <w:t>While the requested asciminib restriction specifies that patients must have failed or developed an intolerance to at least 2 TKIs (imatinib, dasatinib, nilotinib or ponatinib), or failed one TKI and developed intolerance to another TKI, the nilotinib listing specifically names the prior lines of therapy (i.e. to receive third-line nilotinib, patients must have failed first-line therapy with imatinib and second-line therapy with dasatinib); in contrast, to receive ponatinib, the order of prior therapy is not specified, in that patients must have failed or been intolerant to both dasatinib and nilotinib or they must have failed treatment with one prior TKI and be expressing the T315I mutation. The prior therapies used by patients randomised to the asciminib arm of the ASCEMBL trial were imatinib (82.8%), dasatinib (83.4%), nilotinib (66.2%) and/or ponatinib (14.6%); the trial inclusion criteria also allowed prior therapy with radotinib.</w:t>
      </w:r>
    </w:p>
    <w:p w14:paraId="57DDBDFD" w14:textId="0D6C10F1" w:rsidR="00E61290" w:rsidRPr="00336955" w:rsidRDefault="00E61290" w:rsidP="00E4103E">
      <w:pPr>
        <w:pStyle w:val="3-BodyText"/>
        <w:rPr>
          <w:rFonts w:cstheme="minorHAnsi"/>
        </w:rPr>
      </w:pPr>
      <w:r>
        <w:t>A summary of the restrictions for</w:t>
      </w:r>
      <w:r w:rsidR="00A2486E">
        <w:t xml:space="preserve"> TKI therapies</w:t>
      </w:r>
      <w:r>
        <w:t xml:space="preserve"> currently available</w:t>
      </w:r>
      <w:r w:rsidR="00A2486E">
        <w:t xml:space="preserve"> on the PBS</w:t>
      </w:r>
      <w:r>
        <w:t xml:space="preserve"> is provided in</w:t>
      </w:r>
      <w:r w:rsidRPr="00430CEE">
        <w:rPr>
          <w:rFonts w:cstheme="minorHAnsi"/>
        </w:rPr>
        <w:t xml:space="preserve"> </w:t>
      </w:r>
      <w:r w:rsidRPr="00430CEE">
        <w:rPr>
          <w:rFonts w:cstheme="minorHAnsi"/>
        </w:rPr>
        <w:fldChar w:fldCharType="begin"/>
      </w:r>
      <w:r w:rsidRPr="00430CEE">
        <w:rPr>
          <w:rFonts w:cstheme="minorHAnsi"/>
        </w:rPr>
        <w:instrText xml:space="preserve"> REF _Ref103742131 \h </w:instrText>
      </w:r>
      <w:r w:rsidR="00430CEE" w:rsidRPr="00430CEE">
        <w:rPr>
          <w:rFonts w:cstheme="minorHAnsi"/>
        </w:rPr>
        <w:instrText xml:space="preserve"> \* MERGEFORMAT </w:instrText>
      </w:r>
      <w:r w:rsidRPr="00430CEE">
        <w:rPr>
          <w:rFonts w:cstheme="minorHAnsi"/>
        </w:rPr>
      </w:r>
      <w:r w:rsidRPr="00430CEE">
        <w:rPr>
          <w:rFonts w:cstheme="minorHAnsi"/>
        </w:rPr>
        <w:fldChar w:fldCharType="separate"/>
      </w:r>
      <w:r w:rsidR="00A914F4" w:rsidRPr="00A914F4">
        <w:rPr>
          <w:rFonts w:eastAsiaTheme="majorEastAsia" w:cstheme="minorHAnsi"/>
        </w:rPr>
        <w:t xml:space="preserve">Table </w:t>
      </w:r>
      <w:r w:rsidR="00A914F4" w:rsidRPr="00A914F4">
        <w:rPr>
          <w:rFonts w:eastAsiaTheme="majorEastAsia" w:cstheme="minorHAnsi"/>
          <w:noProof/>
        </w:rPr>
        <w:t>2</w:t>
      </w:r>
      <w:r w:rsidRPr="00430CEE">
        <w:rPr>
          <w:rFonts w:cstheme="minorHAnsi"/>
        </w:rPr>
        <w:fldChar w:fldCharType="end"/>
      </w:r>
      <w:r w:rsidRPr="00430CEE">
        <w:rPr>
          <w:rFonts w:cstheme="minorHAnsi"/>
        </w:rPr>
        <w:t xml:space="preserve">. </w:t>
      </w:r>
      <w:r w:rsidR="00336955" w:rsidRPr="008B10EA">
        <w:rPr>
          <w:rFonts w:cstheme="minorHAnsi"/>
        </w:rPr>
        <w:t>There is</w:t>
      </w:r>
      <w:r w:rsidR="00336955" w:rsidRPr="00336955">
        <w:rPr>
          <w:rFonts w:cstheme="minorHAnsi"/>
          <w:i/>
          <w:iCs/>
        </w:rPr>
        <w:t xml:space="preserve"> </w:t>
      </w:r>
      <w:r w:rsidR="00336955">
        <w:t>a</w:t>
      </w:r>
      <w:r w:rsidR="00486960">
        <w:t xml:space="preserve"> </w:t>
      </w:r>
      <w:r w:rsidR="00486960" w:rsidRPr="00486960">
        <w:t xml:space="preserve">maximum of 18 months of </w:t>
      </w:r>
      <w:r w:rsidR="00486960" w:rsidRPr="002E7D71">
        <w:t>therapy</w:t>
      </w:r>
      <w:r w:rsidR="00336955" w:rsidRPr="002E7D71">
        <w:t xml:space="preserve"> available</w:t>
      </w:r>
      <w:r w:rsidR="00486960" w:rsidRPr="002E7D71">
        <w:t xml:space="preserve"> with dasatinib, imatinib or nilotinib from the date the first application for initial treatment was approved</w:t>
      </w:r>
      <w:r w:rsidR="00336955" w:rsidRPr="002E7D71">
        <w:t xml:space="preserve"> to </w:t>
      </w:r>
      <w:r w:rsidR="00336955" w:rsidRPr="002E7D71">
        <w:rPr>
          <w:rFonts w:cstheme="minorHAnsi"/>
        </w:rPr>
        <w:t xml:space="preserve">demonstrate </w:t>
      </w:r>
      <w:r w:rsidR="00336955" w:rsidRPr="002E7D71">
        <w:rPr>
          <w:rFonts w:cstheme="minorHAnsi"/>
          <w:color w:val="222222"/>
        </w:rPr>
        <w:t>a major cytogenetic response or peripheral blood BCR</w:t>
      </w:r>
      <w:r w:rsidR="00336955" w:rsidRPr="002E7D71">
        <w:rPr>
          <w:rFonts w:cstheme="minorHAnsi"/>
          <w:color w:val="222222"/>
        </w:rPr>
        <w:noBreakHyphen/>
        <w:t>ABL level of less than 1% on the international scale</w:t>
      </w:r>
      <w:r w:rsidR="00486960" w:rsidRPr="002E7D71">
        <w:rPr>
          <w:rFonts w:cstheme="minorHAnsi"/>
        </w:rPr>
        <w:t>.</w:t>
      </w:r>
    </w:p>
    <w:p w14:paraId="3AD5669D" w14:textId="0E4EAB7F" w:rsidR="00AA4110" w:rsidRPr="00AA4110" w:rsidRDefault="00AA4110" w:rsidP="00AA4110">
      <w:pPr>
        <w:keepNext/>
        <w:jc w:val="left"/>
        <w:rPr>
          <w:rFonts w:ascii="Arial Narrow" w:eastAsiaTheme="majorEastAsia" w:hAnsi="Arial Narrow" w:cs="Times New Roman"/>
          <w:b/>
          <w:bCs/>
          <w:sz w:val="20"/>
        </w:rPr>
      </w:pPr>
      <w:bookmarkStart w:id="13" w:name="_Ref103742131"/>
      <w:r w:rsidRPr="00AA4110">
        <w:rPr>
          <w:rFonts w:ascii="Arial Narrow" w:eastAsiaTheme="majorEastAsia" w:hAnsi="Arial Narrow" w:cs="Times New Roman"/>
          <w:b/>
          <w:bCs/>
          <w:sz w:val="20"/>
        </w:rPr>
        <w:lastRenderedPageBreak/>
        <w:t xml:space="preserve">Table </w:t>
      </w:r>
      <w:r w:rsidRPr="00AA4110">
        <w:rPr>
          <w:rFonts w:ascii="Arial Narrow" w:eastAsiaTheme="majorEastAsia" w:hAnsi="Arial Narrow" w:cs="Times New Roman"/>
          <w:b/>
          <w:bCs/>
          <w:sz w:val="20"/>
        </w:rPr>
        <w:fldChar w:fldCharType="begin"/>
      </w:r>
      <w:r w:rsidRPr="00AA4110">
        <w:rPr>
          <w:rFonts w:ascii="Arial Narrow" w:eastAsiaTheme="majorEastAsia" w:hAnsi="Arial Narrow" w:cs="Times New Roman"/>
          <w:b/>
          <w:bCs/>
          <w:sz w:val="20"/>
        </w:rPr>
        <w:instrText xml:space="preserve"> SEQ Table \* ARABIC </w:instrText>
      </w:r>
      <w:r w:rsidRPr="00AA4110">
        <w:rPr>
          <w:rFonts w:ascii="Arial Narrow" w:eastAsiaTheme="majorEastAsia" w:hAnsi="Arial Narrow" w:cs="Times New Roman"/>
          <w:b/>
          <w:bCs/>
          <w:sz w:val="20"/>
        </w:rPr>
        <w:fldChar w:fldCharType="separate"/>
      </w:r>
      <w:r w:rsidR="00A914F4">
        <w:rPr>
          <w:rFonts w:ascii="Arial Narrow" w:eastAsiaTheme="majorEastAsia" w:hAnsi="Arial Narrow" w:cs="Times New Roman"/>
          <w:b/>
          <w:bCs/>
          <w:noProof/>
          <w:sz w:val="20"/>
        </w:rPr>
        <w:t>2</w:t>
      </w:r>
      <w:r w:rsidRPr="00AA4110">
        <w:rPr>
          <w:rFonts w:ascii="Arial Narrow" w:eastAsiaTheme="majorEastAsia" w:hAnsi="Arial Narrow" w:cs="Times New Roman"/>
          <w:b/>
          <w:bCs/>
          <w:sz w:val="20"/>
        </w:rPr>
        <w:fldChar w:fldCharType="end"/>
      </w:r>
      <w:bookmarkEnd w:id="13"/>
      <w:r w:rsidRPr="00AA4110">
        <w:rPr>
          <w:rFonts w:ascii="Arial Narrow" w:eastAsiaTheme="majorEastAsia" w:hAnsi="Arial Narrow" w:cs="Times New Roman"/>
          <w:b/>
          <w:bCs/>
          <w:sz w:val="20"/>
        </w:rPr>
        <w:t>: Restrictions of PBS-listed treatments for CML-CP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AA4110" w:rsidRPr="00AA4110" w14:paraId="46FFB990" w14:textId="77777777" w:rsidTr="00430CEE">
        <w:trPr>
          <w:cantSplit/>
          <w:tblHeader/>
        </w:trPr>
        <w:tc>
          <w:tcPr>
            <w:tcW w:w="924" w:type="pct"/>
          </w:tcPr>
          <w:p w14:paraId="27CE752C" w14:textId="77777777" w:rsidR="00AA4110" w:rsidRPr="00AA4110" w:rsidRDefault="00AA4110" w:rsidP="00AA4110">
            <w:pPr>
              <w:keepNext/>
              <w:jc w:val="left"/>
              <w:rPr>
                <w:rFonts w:ascii="Arial Narrow" w:eastAsiaTheme="majorEastAsia" w:hAnsi="Arial Narrow" w:cs="Times New Roman"/>
                <w:b/>
                <w:sz w:val="20"/>
                <w:szCs w:val="20"/>
              </w:rPr>
            </w:pPr>
            <w:r w:rsidRPr="00AA4110">
              <w:rPr>
                <w:rFonts w:ascii="Arial Narrow" w:eastAsiaTheme="majorEastAsia" w:hAnsi="Arial Narrow" w:cs="Times New Roman"/>
                <w:b/>
                <w:sz w:val="20"/>
                <w:szCs w:val="20"/>
              </w:rPr>
              <w:t>Component</w:t>
            </w:r>
          </w:p>
        </w:tc>
        <w:tc>
          <w:tcPr>
            <w:tcW w:w="4076" w:type="pct"/>
          </w:tcPr>
          <w:p w14:paraId="3671CE2F" w14:textId="77777777" w:rsidR="00AA4110" w:rsidRPr="00AA4110" w:rsidRDefault="00AA4110" w:rsidP="00AA4110">
            <w:pPr>
              <w:keepNext/>
              <w:jc w:val="left"/>
              <w:rPr>
                <w:rFonts w:ascii="Arial Narrow" w:eastAsiaTheme="majorEastAsia" w:hAnsi="Arial Narrow" w:cs="Times New Roman"/>
                <w:b/>
                <w:sz w:val="20"/>
                <w:szCs w:val="20"/>
              </w:rPr>
            </w:pPr>
            <w:r w:rsidRPr="00AA4110">
              <w:rPr>
                <w:rFonts w:ascii="Arial Narrow" w:eastAsiaTheme="majorEastAsia" w:hAnsi="Arial Narrow" w:cs="Times New Roman"/>
                <w:b/>
                <w:sz w:val="20"/>
                <w:szCs w:val="20"/>
              </w:rPr>
              <w:t>Description</w:t>
            </w:r>
          </w:p>
        </w:tc>
      </w:tr>
      <w:tr w:rsidR="00AA4110" w:rsidRPr="00AA4110" w14:paraId="4EC6E651" w14:textId="77777777" w:rsidTr="00430CEE">
        <w:trPr>
          <w:cantSplit/>
        </w:trPr>
        <w:tc>
          <w:tcPr>
            <w:tcW w:w="924" w:type="pct"/>
          </w:tcPr>
          <w:p w14:paraId="5B7EB702" w14:textId="77777777" w:rsidR="00AA4110" w:rsidRPr="00AA4110" w:rsidRDefault="00AA4110" w:rsidP="00AA4110">
            <w:pPr>
              <w:keepNext/>
              <w:jc w:val="left"/>
              <w:rPr>
                <w:rFonts w:ascii="Arial Narrow" w:eastAsiaTheme="majorEastAsia" w:hAnsi="Arial Narrow" w:cs="Times New Roman"/>
                <w:bCs/>
                <w:sz w:val="20"/>
                <w:szCs w:val="20"/>
              </w:rPr>
            </w:pPr>
            <w:r w:rsidRPr="00AA4110">
              <w:rPr>
                <w:rFonts w:ascii="Arial Narrow" w:eastAsiaTheme="majorEastAsia" w:hAnsi="Arial Narrow" w:cs="Times New Roman"/>
                <w:bCs/>
                <w:sz w:val="20"/>
                <w:szCs w:val="20"/>
              </w:rPr>
              <w:t>Imatinib</w:t>
            </w:r>
          </w:p>
        </w:tc>
        <w:tc>
          <w:tcPr>
            <w:tcW w:w="4076" w:type="pct"/>
          </w:tcPr>
          <w:p w14:paraId="273F9E92" w14:textId="77777777" w:rsidR="00AA4110" w:rsidRPr="00AA4110" w:rsidRDefault="00AA4110" w:rsidP="00AA4110">
            <w:pPr>
              <w:rPr>
                <w:rFonts w:ascii="Arial Narrow" w:hAnsi="Arial Narrow" w:cs="Calibri"/>
                <w:sz w:val="20"/>
                <w:szCs w:val="20"/>
              </w:rPr>
            </w:pPr>
            <w:r w:rsidRPr="00AA4110">
              <w:rPr>
                <w:rFonts w:ascii="Arial Narrow" w:hAnsi="Arial Narrow" w:cs="Times New Roman"/>
                <w:b/>
                <w:bCs/>
                <w:sz w:val="20"/>
                <w:szCs w:val="20"/>
              </w:rPr>
              <w:t>1L</w:t>
            </w:r>
            <w:r w:rsidRPr="00AA4110">
              <w:rPr>
                <w:rFonts w:ascii="Arial Narrow" w:hAnsi="Arial Narrow" w:cs="Times New Roman"/>
                <w:sz w:val="20"/>
                <w:szCs w:val="20"/>
              </w:rPr>
              <w:t xml:space="preserve"> (chronic phase)</w:t>
            </w:r>
          </w:p>
          <w:p w14:paraId="4EB30E85" w14:textId="77777777" w:rsidR="00AA4110" w:rsidRPr="00AA4110" w:rsidRDefault="00AA4110" w:rsidP="00AA4110">
            <w:pPr>
              <w:rPr>
                <w:rFonts w:ascii="Arial Narrow" w:hAnsi="Arial Narrow" w:cs="Calibri"/>
                <w:sz w:val="20"/>
                <w:szCs w:val="20"/>
              </w:rPr>
            </w:pPr>
            <w:r w:rsidRPr="00AA4110">
              <w:rPr>
                <w:rFonts w:ascii="Arial Narrow" w:hAnsi="Arial Narrow" w:cs="Times New Roman"/>
                <w:sz w:val="20"/>
                <w:szCs w:val="20"/>
              </w:rPr>
              <w:t>Initial treatment or</w:t>
            </w:r>
          </w:p>
          <w:p w14:paraId="4640E918" w14:textId="77777777" w:rsidR="00AA4110" w:rsidRPr="00AA4110" w:rsidRDefault="00AA4110" w:rsidP="00AA4110">
            <w:pPr>
              <w:rPr>
                <w:rFonts w:ascii="Arial Narrow" w:hAnsi="Arial Narrow" w:cs="Calibri"/>
                <w:sz w:val="20"/>
                <w:szCs w:val="20"/>
              </w:rPr>
            </w:pPr>
            <w:r w:rsidRPr="00AA4110">
              <w:rPr>
                <w:rFonts w:ascii="Arial Narrow" w:hAnsi="Arial Narrow" w:cs="Times New Roman"/>
                <w:sz w:val="20"/>
                <w:szCs w:val="20"/>
              </w:rPr>
              <w:t>Intolerance (not failure to respond) to dasatinib or</w:t>
            </w:r>
          </w:p>
          <w:p w14:paraId="433B2352" w14:textId="77777777" w:rsidR="00AA4110" w:rsidRPr="00AA4110" w:rsidRDefault="00AA4110" w:rsidP="00AA4110">
            <w:pPr>
              <w:rPr>
                <w:rFonts w:ascii="Arial Narrow" w:hAnsi="Arial Narrow" w:cs="Calibri"/>
                <w:sz w:val="20"/>
                <w:szCs w:val="20"/>
              </w:rPr>
            </w:pPr>
            <w:r w:rsidRPr="00AA4110">
              <w:rPr>
                <w:rFonts w:ascii="Arial Narrow" w:hAnsi="Arial Narrow" w:cs="Times New Roman"/>
                <w:sz w:val="20"/>
                <w:szCs w:val="20"/>
              </w:rPr>
              <w:t>Intolerance (not failure to respond) to nilotinib</w:t>
            </w:r>
          </w:p>
        </w:tc>
      </w:tr>
      <w:tr w:rsidR="00AA4110" w:rsidRPr="00AA4110" w14:paraId="24DDA18D" w14:textId="77777777" w:rsidTr="00430CEE">
        <w:trPr>
          <w:cantSplit/>
        </w:trPr>
        <w:tc>
          <w:tcPr>
            <w:tcW w:w="924" w:type="pct"/>
          </w:tcPr>
          <w:p w14:paraId="3F7E8FFC" w14:textId="77777777" w:rsidR="00AA4110" w:rsidRPr="00AA4110" w:rsidRDefault="00AA4110" w:rsidP="00AA4110">
            <w:pPr>
              <w:keepNext/>
              <w:jc w:val="left"/>
              <w:rPr>
                <w:rFonts w:ascii="Arial Narrow" w:eastAsiaTheme="majorEastAsia" w:hAnsi="Arial Narrow" w:cs="Times New Roman"/>
                <w:bCs/>
                <w:sz w:val="20"/>
                <w:szCs w:val="20"/>
              </w:rPr>
            </w:pPr>
            <w:r w:rsidRPr="00AA4110">
              <w:rPr>
                <w:rFonts w:ascii="Arial Narrow" w:eastAsiaTheme="majorEastAsia" w:hAnsi="Arial Narrow" w:cs="Times New Roman"/>
                <w:bCs/>
                <w:sz w:val="20"/>
                <w:szCs w:val="20"/>
              </w:rPr>
              <w:t>Dasatinib</w:t>
            </w:r>
          </w:p>
        </w:tc>
        <w:tc>
          <w:tcPr>
            <w:tcW w:w="4076" w:type="pct"/>
          </w:tcPr>
          <w:p w14:paraId="75669939"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1L</w:t>
            </w:r>
            <w:r w:rsidRPr="00AA4110">
              <w:rPr>
                <w:rFonts w:ascii="Arial Narrow" w:hAnsi="Arial Narrow" w:cs="Times New Roman"/>
                <w:sz w:val="20"/>
                <w:szCs w:val="20"/>
              </w:rPr>
              <w:t xml:space="preserve"> (chronic phase)</w:t>
            </w:r>
          </w:p>
          <w:p w14:paraId="7C11285F"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Initial treatment or</w:t>
            </w:r>
          </w:p>
          <w:p w14:paraId="3946D0B4"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(not failure to respond) to imatinib or</w:t>
            </w:r>
          </w:p>
          <w:p w14:paraId="6CC15D88"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(not failure to respond) to nilotinib</w:t>
            </w:r>
          </w:p>
          <w:p w14:paraId="512E29EF" w14:textId="77777777" w:rsidR="00AA4110" w:rsidRPr="00AA4110" w:rsidRDefault="00AA4110" w:rsidP="00AA4110">
            <w:pPr>
              <w:rPr>
                <w:rFonts w:ascii="Arial Narrow" w:hAnsi="Arial Narrow" w:cs="Times New Roman"/>
                <w:sz w:val="20"/>
                <w:szCs w:val="20"/>
              </w:rPr>
            </w:pPr>
          </w:p>
          <w:p w14:paraId="730B95A8"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 xml:space="preserve">2L </w:t>
            </w:r>
            <w:r w:rsidRPr="00AA4110">
              <w:rPr>
                <w:rFonts w:ascii="Arial Narrow" w:hAnsi="Arial Narrow" w:cs="Times New Roman"/>
                <w:sz w:val="20"/>
                <w:szCs w:val="20"/>
              </w:rPr>
              <w:t>(chronic, blast, accelerated phase)</w:t>
            </w:r>
          </w:p>
          <w:p w14:paraId="0AF98AE9" w14:textId="531DEA07" w:rsidR="00AA4110" w:rsidRDefault="00AA4110" w:rsidP="00AA4110">
            <w:pPr>
              <w:rPr>
                <w:rFonts w:ascii="Arial Narrow" w:hAnsi="Arial Narrow" w:cs="Times New Roman"/>
                <w:sz w:val="20"/>
                <w:szCs w:val="20"/>
              </w:rPr>
            </w:pPr>
            <w:r>
              <w:rPr>
                <w:rFonts w:ascii="Arial Narrow" w:hAnsi="Arial Narrow" w:cs="Times New Roman"/>
                <w:sz w:val="20"/>
                <w:szCs w:val="20"/>
              </w:rPr>
              <w:t>Not failed dasatinib 1L</w:t>
            </w:r>
          </w:p>
          <w:p w14:paraId="1E793416" w14:textId="74F58B9A"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 xml:space="preserve">Failed imatinib 1L OR </w:t>
            </w:r>
          </w:p>
          <w:p w14:paraId="06A0A9E3" w14:textId="4D780C50"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Failed nilotinib 1L OR</w:t>
            </w:r>
          </w:p>
          <w:p w14:paraId="5CA21FC9"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(not failure to respond) to 2L nilotinib</w:t>
            </w:r>
          </w:p>
          <w:p w14:paraId="52AA564F" w14:textId="77777777" w:rsidR="00AA4110" w:rsidRPr="00AA4110" w:rsidRDefault="00AA4110" w:rsidP="00AA4110">
            <w:pPr>
              <w:rPr>
                <w:rFonts w:ascii="Arial Narrow" w:hAnsi="Arial Narrow" w:cs="Times New Roman"/>
                <w:sz w:val="20"/>
                <w:szCs w:val="20"/>
              </w:rPr>
            </w:pPr>
          </w:p>
          <w:p w14:paraId="6BBDEAF0"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3L</w:t>
            </w:r>
            <w:r w:rsidRPr="00AA4110">
              <w:rPr>
                <w:rFonts w:ascii="Arial Narrow" w:hAnsi="Arial Narrow" w:cs="Times New Roman"/>
                <w:sz w:val="20"/>
                <w:szCs w:val="20"/>
              </w:rPr>
              <w:t xml:space="preserve"> (chronic, blast, accelerated phase)</w:t>
            </w:r>
          </w:p>
          <w:p w14:paraId="6FEAFC02"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Not failed dasatinib 1L or 2L</w:t>
            </w:r>
          </w:p>
          <w:p w14:paraId="24D2DEA0"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Failed imatinib 1L</w:t>
            </w:r>
          </w:p>
          <w:p w14:paraId="2604E54E" w14:textId="21547C55" w:rsidR="00AA4110" w:rsidRPr="00AA4110" w:rsidRDefault="00AA4110" w:rsidP="003F44D8">
            <w:pPr>
              <w:rPr>
                <w:rFonts w:ascii="Arial Narrow" w:hAnsi="Arial Narrow" w:cs="Times New Roman"/>
                <w:sz w:val="20"/>
                <w:szCs w:val="20"/>
              </w:rPr>
            </w:pPr>
            <w:r w:rsidRPr="00AA4110">
              <w:rPr>
                <w:rFonts w:ascii="Arial Narrow" w:hAnsi="Arial Narrow" w:cs="Times New Roman"/>
                <w:sz w:val="20"/>
                <w:szCs w:val="20"/>
              </w:rPr>
              <w:t>Failed nilotinib 2L</w:t>
            </w:r>
          </w:p>
        </w:tc>
      </w:tr>
      <w:tr w:rsidR="00AA4110" w:rsidRPr="00AA4110" w14:paraId="7970BF5B" w14:textId="77777777" w:rsidTr="00430CEE">
        <w:trPr>
          <w:cantSplit/>
        </w:trPr>
        <w:tc>
          <w:tcPr>
            <w:tcW w:w="924" w:type="pct"/>
          </w:tcPr>
          <w:p w14:paraId="658B6B3F" w14:textId="77777777" w:rsidR="00AA4110" w:rsidRPr="00AA4110" w:rsidRDefault="00AA4110" w:rsidP="00AA4110">
            <w:pPr>
              <w:keepNext/>
              <w:jc w:val="left"/>
              <w:rPr>
                <w:rFonts w:ascii="Arial Narrow" w:eastAsiaTheme="majorEastAsia" w:hAnsi="Arial Narrow" w:cs="Times New Roman"/>
                <w:bCs/>
                <w:sz w:val="20"/>
                <w:szCs w:val="20"/>
              </w:rPr>
            </w:pPr>
            <w:r w:rsidRPr="00AA4110">
              <w:rPr>
                <w:rFonts w:ascii="Arial Narrow" w:eastAsiaTheme="majorEastAsia" w:hAnsi="Arial Narrow" w:cs="Times New Roman"/>
                <w:bCs/>
                <w:sz w:val="20"/>
                <w:szCs w:val="20"/>
              </w:rPr>
              <w:t>Nilotinib</w:t>
            </w:r>
          </w:p>
        </w:tc>
        <w:tc>
          <w:tcPr>
            <w:tcW w:w="4076" w:type="pct"/>
          </w:tcPr>
          <w:p w14:paraId="309E459A"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Similar to dasatinib</w:t>
            </w:r>
          </w:p>
          <w:p w14:paraId="42E0E622" w14:textId="77777777" w:rsidR="00AA4110" w:rsidRPr="00AA4110" w:rsidRDefault="00AA4110" w:rsidP="00AA4110">
            <w:pPr>
              <w:rPr>
                <w:rFonts w:ascii="Arial Narrow" w:hAnsi="Arial Narrow" w:cs="Times New Roman"/>
                <w:sz w:val="20"/>
                <w:szCs w:val="20"/>
              </w:rPr>
            </w:pPr>
          </w:p>
          <w:p w14:paraId="48E9813D"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1L</w:t>
            </w:r>
            <w:r w:rsidRPr="00AA4110">
              <w:rPr>
                <w:rFonts w:ascii="Arial Narrow" w:hAnsi="Arial Narrow" w:cs="Times New Roman"/>
                <w:sz w:val="20"/>
                <w:szCs w:val="20"/>
              </w:rPr>
              <w:t xml:space="preserve"> (chronic phase)</w:t>
            </w:r>
          </w:p>
          <w:p w14:paraId="410FE7AA"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Initial treatment or</w:t>
            </w:r>
          </w:p>
          <w:p w14:paraId="1A372AD2"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(not failure to respond) to imatinib or</w:t>
            </w:r>
          </w:p>
          <w:p w14:paraId="51726765"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(not failure to respond) to dasatinib</w:t>
            </w:r>
          </w:p>
          <w:p w14:paraId="2CF574DF" w14:textId="77777777" w:rsidR="00AA4110" w:rsidRPr="00AA4110" w:rsidRDefault="00AA4110" w:rsidP="00AA4110">
            <w:pPr>
              <w:rPr>
                <w:rFonts w:ascii="Arial Narrow" w:hAnsi="Arial Narrow" w:cs="Times New Roman"/>
                <w:sz w:val="20"/>
                <w:szCs w:val="20"/>
              </w:rPr>
            </w:pPr>
          </w:p>
          <w:p w14:paraId="5F91470E"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2L</w:t>
            </w:r>
            <w:r w:rsidRPr="00AA4110">
              <w:rPr>
                <w:rFonts w:ascii="Arial Narrow" w:hAnsi="Arial Narrow" w:cs="Times New Roman"/>
                <w:sz w:val="20"/>
                <w:szCs w:val="20"/>
              </w:rPr>
              <w:t xml:space="preserve"> (chronic, accelerated phase)</w:t>
            </w:r>
          </w:p>
          <w:p w14:paraId="439CE5CE" w14:textId="0A6805A6" w:rsidR="00AA4110" w:rsidRDefault="00AA4110" w:rsidP="00AA4110">
            <w:pPr>
              <w:rPr>
                <w:rFonts w:ascii="Arial Narrow" w:hAnsi="Arial Narrow" w:cs="Times New Roman"/>
                <w:sz w:val="20"/>
                <w:szCs w:val="20"/>
              </w:rPr>
            </w:pPr>
            <w:r>
              <w:rPr>
                <w:rFonts w:ascii="Arial Narrow" w:hAnsi="Arial Narrow" w:cs="Times New Roman"/>
                <w:sz w:val="20"/>
                <w:szCs w:val="20"/>
              </w:rPr>
              <w:t>Not failed nilotinib 1L</w:t>
            </w:r>
          </w:p>
          <w:p w14:paraId="635FDF31" w14:textId="11068EB1"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Failed imatinib 1L OR</w:t>
            </w:r>
          </w:p>
          <w:p w14:paraId="70024559"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Failed dasatinib 1L OR</w:t>
            </w:r>
          </w:p>
          <w:p w14:paraId="222B4C6A"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Intolerance to 2L dasatinib</w:t>
            </w:r>
          </w:p>
          <w:p w14:paraId="721F3354" w14:textId="77777777" w:rsidR="00AA4110" w:rsidRPr="00AA4110" w:rsidRDefault="00AA4110" w:rsidP="00AA4110">
            <w:pPr>
              <w:rPr>
                <w:rFonts w:ascii="Arial Narrow" w:hAnsi="Arial Narrow" w:cs="Times New Roman"/>
                <w:sz w:val="20"/>
                <w:szCs w:val="20"/>
              </w:rPr>
            </w:pPr>
          </w:p>
          <w:p w14:paraId="32011FE4"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b/>
                <w:bCs/>
                <w:sz w:val="20"/>
                <w:szCs w:val="20"/>
              </w:rPr>
              <w:t>3L</w:t>
            </w:r>
            <w:r w:rsidRPr="00AA4110">
              <w:rPr>
                <w:rFonts w:ascii="Arial Narrow" w:hAnsi="Arial Narrow" w:cs="Times New Roman"/>
                <w:sz w:val="20"/>
                <w:szCs w:val="20"/>
              </w:rPr>
              <w:t xml:space="preserve"> (chronic, accelerated phase)</w:t>
            </w:r>
          </w:p>
          <w:p w14:paraId="703149C3"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Not failed nilotinib 1L or 2L</w:t>
            </w:r>
          </w:p>
          <w:p w14:paraId="2DE7B92C"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Failure of imatinib 1L</w:t>
            </w:r>
          </w:p>
          <w:p w14:paraId="2DB7A63A" w14:textId="77777777" w:rsidR="00AA4110" w:rsidRPr="00AA4110" w:rsidRDefault="00AA4110" w:rsidP="00AA4110">
            <w:pPr>
              <w:keepNext/>
              <w:jc w:val="left"/>
              <w:rPr>
                <w:rFonts w:ascii="Arial Narrow" w:hAnsi="Arial Narrow" w:cs="Times New Roman"/>
                <w:sz w:val="20"/>
                <w:szCs w:val="20"/>
              </w:rPr>
            </w:pPr>
            <w:r w:rsidRPr="00AA4110">
              <w:rPr>
                <w:rFonts w:ascii="Arial Narrow" w:hAnsi="Arial Narrow" w:cs="Times New Roman"/>
                <w:sz w:val="20"/>
                <w:szCs w:val="20"/>
              </w:rPr>
              <w:t xml:space="preserve">Failure of dasatinib 2L </w:t>
            </w:r>
          </w:p>
        </w:tc>
      </w:tr>
      <w:tr w:rsidR="00AA4110" w:rsidRPr="00AA4110" w14:paraId="3F13F338" w14:textId="77777777" w:rsidTr="00430CEE">
        <w:trPr>
          <w:cantSplit/>
        </w:trPr>
        <w:tc>
          <w:tcPr>
            <w:tcW w:w="924" w:type="pct"/>
          </w:tcPr>
          <w:p w14:paraId="756A006A" w14:textId="77777777" w:rsidR="00AA4110" w:rsidRPr="00AA4110" w:rsidRDefault="00AA4110" w:rsidP="00AA4110">
            <w:pPr>
              <w:keepNext/>
              <w:jc w:val="left"/>
              <w:rPr>
                <w:rFonts w:ascii="Arial Narrow" w:eastAsiaTheme="majorEastAsia" w:hAnsi="Arial Narrow" w:cs="Times New Roman"/>
                <w:bCs/>
                <w:sz w:val="20"/>
                <w:szCs w:val="20"/>
              </w:rPr>
            </w:pPr>
            <w:r w:rsidRPr="00AA4110">
              <w:rPr>
                <w:rFonts w:ascii="Arial Narrow" w:eastAsiaTheme="majorEastAsia" w:hAnsi="Arial Narrow" w:cs="Times New Roman"/>
                <w:bCs/>
                <w:sz w:val="20"/>
                <w:szCs w:val="20"/>
              </w:rPr>
              <w:t>Ponatinib</w:t>
            </w:r>
          </w:p>
        </w:tc>
        <w:tc>
          <w:tcPr>
            <w:tcW w:w="4076" w:type="pct"/>
          </w:tcPr>
          <w:p w14:paraId="7E9ED42C" w14:textId="749F6041" w:rsidR="00AA4110" w:rsidRPr="00AA4110" w:rsidRDefault="00AA4110" w:rsidP="00AA4110">
            <w:pPr>
              <w:rPr>
                <w:rFonts w:ascii="Arial Narrow" w:hAnsi="Arial Narrow" w:cs="Times New Roman"/>
                <w:b/>
                <w:bCs/>
                <w:sz w:val="20"/>
                <w:szCs w:val="20"/>
              </w:rPr>
            </w:pPr>
            <w:r w:rsidRPr="00AA4110">
              <w:rPr>
                <w:rFonts w:ascii="Arial Narrow" w:hAnsi="Arial Narrow" w:cs="Times New Roman"/>
                <w:b/>
                <w:bCs/>
                <w:sz w:val="20"/>
                <w:szCs w:val="20"/>
              </w:rPr>
              <w:t>All</w:t>
            </w:r>
            <w:r w:rsidR="00A2486E">
              <w:rPr>
                <w:rFonts w:ascii="Arial Narrow" w:hAnsi="Arial Narrow" w:cs="Times New Roman"/>
                <w:b/>
                <w:bCs/>
                <w:sz w:val="20"/>
                <w:szCs w:val="20"/>
              </w:rPr>
              <w:t xml:space="preserve"> patients</w:t>
            </w:r>
          </w:p>
          <w:p w14:paraId="2E3E8AF4"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Patients must have failed or developed intolerance to dasatinib AND nilotinib, and must not be eligible for treatment with nilotinib due to a blast crisis.</w:t>
            </w:r>
          </w:p>
          <w:p w14:paraId="30658CEE" w14:textId="77777777" w:rsidR="00AA4110" w:rsidRPr="00AA4110" w:rsidRDefault="00AA4110" w:rsidP="00AA4110">
            <w:pPr>
              <w:rPr>
                <w:rFonts w:ascii="Arial Narrow" w:hAnsi="Arial Narrow" w:cs="Times New Roman"/>
                <w:sz w:val="20"/>
                <w:szCs w:val="20"/>
              </w:rPr>
            </w:pPr>
          </w:p>
          <w:p w14:paraId="42DC5B94" w14:textId="77777777" w:rsidR="00AA4110" w:rsidRPr="00AA4110" w:rsidRDefault="00AA4110" w:rsidP="00AA4110">
            <w:pPr>
              <w:rPr>
                <w:rFonts w:ascii="Arial Narrow" w:hAnsi="Arial Narrow" w:cs="Times New Roman"/>
                <w:b/>
                <w:bCs/>
                <w:sz w:val="20"/>
                <w:szCs w:val="20"/>
              </w:rPr>
            </w:pPr>
            <w:r w:rsidRPr="00AA4110">
              <w:rPr>
                <w:rFonts w:ascii="Arial Narrow" w:hAnsi="Arial Narrow" w:cs="Times New Roman"/>
                <w:b/>
                <w:bCs/>
                <w:sz w:val="20"/>
                <w:szCs w:val="20"/>
              </w:rPr>
              <w:t>T315I-mutated patients</w:t>
            </w:r>
          </w:p>
          <w:p w14:paraId="1AB223CB" w14:textId="77777777" w:rsidR="00AA4110" w:rsidRPr="00AA4110" w:rsidRDefault="00AA4110" w:rsidP="00AA4110">
            <w:pPr>
              <w:rPr>
                <w:rFonts w:ascii="Arial Narrow" w:hAnsi="Arial Narrow" w:cs="Times New Roman"/>
                <w:sz w:val="20"/>
                <w:szCs w:val="20"/>
              </w:rPr>
            </w:pPr>
            <w:r w:rsidRPr="00AA4110">
              <w:rPr>
                <w:rFonts w:ascii="Arial Narrow" w:hAnsi="Arial Narrow" w:cs="Times New Roman"/>
                <w:sz w:val="20"/>
                <w:szCs w:val="20"/>
              </w:rPr>
              <w:t>Failure of 1L imatinib OR dasatinib OR nilotinib</w:t>
            </w:r>
          </w:p>
        </w:tc>
      </w:tr>
    </w:tbl>
    <w:p w14:paraId="7B668854" w14:textId="77777777" w:rsidR="00AA4110" w:rsidRPr="00AA4110" w:rsidRDefault="00AA4110" w:rsidP="00AA4110">
      <w:pPr>
        <w:spacing w:after="120"/>
        <w:contextualSpacing/>
        <w:rPr>
          <w:rFonts w:ascii="Arial Narrow" w:hAnsi="Arial Narrow"/>
          <w:sz w:val="18"/>
          <w:szCs w:val="22"/>
        </w:rPr>
      </w:pPr>
      <w:r w:rsidRPr="00AA4110">
        <w:rPr>
          <w:rFonts w:ascii="Arial Narrow" w:hAnsi="Arial Narrow"/>
          <w:sz w:val="18"/>
          <w:szCs w:val="22"/>
        </w:rPr>
        <w:t>Source: Summarised from respective PBS restrictions.</w:t>
      </w:r>
    </w:p>
    <w:p w14:paraId="2788E851" w14:textId="3576D514" w:rsidR="00AA4110" w:rsidRDefault="00AA4110" w:rsidP="00AA4110">
      <w:pPr>
        <w:spacing w:after="120"/>
        <w:contextualSpacing/>
        <w:rPr>
          <w:rFonts w:ascii="Arial Narrow" w:hAnsi="Arial Narrow"/>
          <w:sz w:val="18"/>
          <w:szCs w:val="22"/>
        </w:rPr>
      </w:pPr>
      <w:r w:rsidRPr="00AA4110">
        <w:rPr>
          <w:rFonts w:ascii="Arial Narrow" w:hAnsi="Arial Narrow"/>
          <w:sz w:val="18"/>
          <w:szCs w:val="22"/>
        </w:rPr>
        <w:t>1L = first-line; 2L = second-line; 3L = third-line; CML-CP = chronic myeloid leukaemia in the chronic phase.</w:t>
      </w:r>
    </w:p>
    <w:p w14:paraId="2AD93CCE" w14:textId="6AFE6AD3" w:rsidR="008B10EA" w:rsidRPr="00AA4110" w:rsidRDefault="008B10EA" w:rsidP="008B10EA">
      <w:pPr>
        <w:pStyle w:val="3-BodyText"/>
        <w:numPr>
          <w:ilvl w:val="0"/>
          <w:numId w:val="0"/>
        </w:numPr>
        <w:ind w:left="720"/>
      </w:pPr>
      <w:r w:rsidRPr="00C34E70">
        <w:rPr>
          <w:i/>
          <w:iCs/>
        </w:rPr>
        <w:t>For more detail on PBAC’s view, see section 7 PBAC outcome.</w:t>
      </w:r>
    </w:p>
    <w:p w14:paraId="7075B85C" w14:textId="16367CFF" w:rsidR="00B50DB8" w:rsidRPr="00B22BCB" w:rsidRDefault="00203181" w:rsidP="004E18E9">
      <w:pPr>
        <w:pStyle w:val="2-SectionHeading"/>
      </w:pPr>
      <w:bookmarkStart w:id="14" w:name="_Toc103772580"/>
      <w:r w:rsidRPr="00B22BCB">
        <w:t xml:space="preserve">Population and </w:t>
      </w:r>
      <w:r w:rsidR="008E0D3C" w:rsidRPr="00B22BCB">
        <w:t>d</w:t>
      </w:r>
      <w:r w:rsidRPr="00B22BCB">
        <w:t>isease</w:t>
      </w:r>
      <w:bookmarkEnd w:id="14"/>
    </w:p>
    <w:p w14:paraId="267C4575" w14:textId="130F4CC2" w:rsidR="006E6D2D" w:rsidRPr="00B22BCB" w:rsidRDefault="009A3B2F" w:rsidP="00B76BAF">
      <w:pPr>
        <w:pStyle w:val="3-BodyText"/>
      </w:pPr>
      <w:r w:rsidRPr="00B22BCB">
        <w:t xml:space="preserve">CML is a myeloproliferative disorder associated with the Philadelphia chromosome t(9;22)(q34;q11) resulting in </w:t>
      </w:r>
      <w:r w:rsidRPr="002B4570">
        <w:t>a BCR-ABL</w:t>
      </w:r>
      <w:r w:rsidRPr="00B22BCB">
        <w:t xml:space="preserve"> fusion gene. This genetic abnormality results in the formation of a unique gene product (</w:t>
      </w:r>
      <w:r w:rsidRPr="008B10EA">
        <w:t>BCR-ABL1</w:t>
      </w:r>
      <w:r w:rsidRPr="00B22BCB">
        <w:t xml:space="preserve">), which is a constitutively active </w:t>
      </w:r>
      <w:r w:rsidRPr="00B22BCB">
        <w:lastRenderedPageBreak/>
        <w:t xml:space="preserve">tyrosine kinase, implicated in the development of CML, and a primary target for the treatment of this disease. </w:t>
      </w:r>
      <w:r w:rsidR="006E6D2D" w:rsidRPr="00B22BCB">
        <w:t xml:space="preserve">In Australia in 2017, CML had an annual incidence of 1.3 cases per 100,000 (15-20% of all leukaemias in adults), with a median age of 63 years, and a slight male </w:t>
      </w:r>
      <w:r w:rsidR="0023777A" w:rsidRPr="00B22BCB">
        <w:t>preponderance</w:t>
      </w:r>
      <w:r w:rsidR="00791372" w:rsidRPr="00B22BCB">
        <w:rPr>
          <w:rStyle w:val="FootnoteReference"/>
        </w:rPr>
        <w:footnoteReference w:id="1"/>
      </w:r>
      <w:r w:rsidR="006E6D2D" w:rsidRPr="00B22BCB">
        <w:t xml:space="preserve">. </w:t>
      </w:r>
    </w:p>
    <w:p w14:paraId="5184E376" w14:textId="55DA571E" w:rsidR="009A3B2F" w:rsidRPr="00B22BCB" w:rsidRDefault="009A3B2F" w:rsidP="009A3B2F">
      <w:pPr>
        <w:pStyle w:val="3-BodyText"/>
      </w:pPr>
      <w:r w:rsidRPr="00B22BCB">
        <w:t>CML has three disease phases:</w:t>
      </w:r>
    </w:p>
    <w:p w14:paraId="77DB0EBB" w14:textId="174CE0E4" w:rsidR="009A3B2F" w:rsidRPr="00B22BCB" w:rsidRDefault="009A3B2F" w:rsidP="009458A3">
      <w:pPr>
        <w:pStyle w:val="3-BodyText"/>
        <w:numPr>
          <w:ilvl w:val="1"/>
          <w:numId w:val="12"/>
        </w:numPr>
        <w:ind w:left="1134"/>
      </w:pPr>
      <w:r w:rsidRPr="00B22BCB">
        <w:t>Chronic phase</w:t>
      </w:r>
    </w:p>
    <w:p w14:paraId="29D12654" w14:textId="6B263EA0" w:rsidR="009A3B2F" w:rsidRPr="00B22BCB" w:rsidRDefault="009A3B2F" w:rsidP="009458A3">
      <w:pPr>
        <w:pStyle w:val="3-BodyText"/>
        <w:numPr>
          <w:ilvl w:val="1"/>
          <w:numId w:val="12"/>
        </w:numPr>
        <w:ind w:left="1134"/>
      </w:pPr>
      <w:r w:rsidRPr="00B22BCB">
        <w:t>Accelerated phase</w:t>
      </w:r>
    </w:p>
    <w:p w14:paraId="4AA6EA0F" w14:textId="25C7F54E" w:rsidR="009A3B2F" w:rsidRPr="00B22BCB" w:rsidRDefault="009A3B2F" w:rsidP="009458A3">
      <w:pPr>
        <w:pStyle w:val="3-BodyText"/>
        <w:numPr>
          <w:ilvl w:val="1"/>
          <w:numId w:val="12"/>
        </w:numPr>
        <w:ind w:left="1134"/>
      </w:pPr>
      <w:r w:rsidRPr="00B22BCB">
        <w:t>Blast crisis</w:t>
      </w:r>
      <w:r w:rsidR="00FA3E29">
        <w:t>.</w:t>
      </w:r>
    </w:p>
    <w:p w14:paraId="0B8B9CB5" w14:textId="3FD699D7" w:rsidR="009A3B2F" w:rsidRPr="00B22BCB" w:rsidRDefault="007F0885" w:rsidP="00B76BAF">
      <w:pPr>
        <w:pStyle w:val="3-BodyText"/>
      </w:pPr>
      <w:r w:rsidRPr="00B22BCB">
        <w:t>The initial, chronic phase</w:t>
      </w:r>
      <w:r w:rsidR="008B0E1C" w:rsidRPr="00B22BCB">
        <w:t xml:space="preserve"> </w:t>
      </w:r>
      <w:r w:rsidRPr="00B22BCB">
        <w:t xml:space="preserve">is indolent and may last 5-6 years. </w:t>
      </w:r>
      <w:r w:rsidR="00E4103E" w:rsidRPr="00B22BCB">
        <w:t>The disease</w:t>
      </w:r>
      <w:r w:rsidRPr="00B22BCB">
        <w:t xml:space="preserve"> will progress to a more aggressive disorder (accelerated phase), during which time disease control is more difficult to achieve. In virtually all patients, the disease culminates in an acute leukaemia, termed ‘blast crisis’. Prior to the availability of tyrosine kinase inhibitors</w:t>
      </w:r>
      <w:r w:rsidR="00F557E3" w:rsidRPr="00B22BCB">
        <w:t xml:space="preserve"> (TKIs)</w:t>
      </w:r>
      <w:r w:rsidRPr="00B22BCB">
        <w:t>, this phase, which is generally refractory to treatment, occurred approximately three to five years after the diagnosis of CML and 18 months after the onset of the accelerated phase.</w:t>
      </w:r>
    </w:p>
    <w:p w14:paraId="5E2F0B84" w14:textId="6FA114C7" w:rsidR="008E180F" w:rsidRPr="00B22BCB" w:rsidRDefault="008E180F" w:rsidP="008E180F">
      <w:pPr>
        <w:pStyle w:val="3-BodyText"/>
      </w:pPr>
      <w:r w:rsidRPr="00B22BCB">
        <w:t>The four TKIs available on the PBS for the treatment of CML-CP are:</w:t>
      </w:r>
    </w:p>
    <w:p w14:paraId="4DD9AA62" w14:textId="77777777" w:rsidR="008E180F" w:rsidRPr="00B22BCB" w:rsidRDefault="008E180F" w:rsidP="009458A3">
      <w:pPr>
        <w:pStyle w:val="3-BodyText"/>
        <w:numPr>
          <w:ilvl w:val="1"/>
          <w:numId w:val="13"/>
        </w:numPr>
        <w:ind w:left="1134"/>
      </w:pPr>
      <w:r w:rsidRPr="00B22BCB">
        <w:t>First generation: imatinib</w:t>
      </w:r>
    </w:p>
    <w:p w14:paraId="326A4CDE" w14:textId="77777777" w:rsidR="008E180F" w:rsidRPr="00B22BCB" w:rsidRDefault="008E180F" w:rsidP="009458A3">
      <w:pPr>
        <w:pStyle w:val="3-BodyText"/>
        <w:numPr>
          <w:ilvl w:val="1"/>
          <w:numId w:val="13"/>
        </w:numPr>
        <w:ind w:left="1134"/>
      </w:pPr>
      <w:r w:rsidRPr="00B22BCB">
        <w:t>Second generation: nilotinib and dasatinib</w:t>
      </w:r>
    </w:p>
    <w:p w14:paraId="31961A88" w14:textId="62979C4F" w:rsidR="008E180F" w:rsidRPr="00B22BCB" w:rsidRDefault="008E180F" w:rsidP="009458A3">
      <w:pPr>
        <w:pStyle w:val="3-BodyText"/>
        <w:numPr>
          <w:ilvl w:val="1"/>
          <w:numId w:val="13"/>
        </w:numPr>
        <w:ind w:left="1134"/>
      </w:pPr>
      <w:r w:rsidRPr="00B22BCB">
        <w:t>Third generation: ponatinib</w:t>
      </w:r>
      <w:r w:rsidR="00FA3E29">
        <w:t>.</w:t>
      </w:r>
    </w:p>
    <w:p w14:paraId="1A5605CF" w14:textId="21B1C4F3" w:rsidR="007F0885" w:rsidRPr="00B22BCB" w:rsidRDefault="007F0885" w:rsidP="00B76BAF">
      <w:pPr>
        <w:pStyle w:val="3-BodyText"/>
      </w:pPr>
      <w:r w:rsidRPr="00B22BCB">
        <w:t>With TKI-adherent therapy, patients with CML-CP achieve</w:t>
      </w:r>
      <w:r w:rsidR="00602DB3" w:rsidRPr="00B22BCB">
        <w:t xml:space="preserve"> a</w:t>
      </w:r>
      <w:r w:rsidRPr="00B22BCB">
        <w:t xml:space="preserve"> life expectancy comparable to the general population</w:t>
      </w:r>
      <w:r w:rsidR="00EB244C">
        <w:t>.</w:t>
      </w:r>
      <w:r w:rsidR="00791372" w:rsidRPr="00B22BCB">
        <w:rPr>
          <w:rStyle w:val="FootnoteReference"/>
        </w:rPr>
        <w:footnoteReference w:id="2"/>
      </w:r>
    </w:p>
    <w:p w14:paraId="41535174" w14:textId="408F4343" w:rsidR="007F0885" w:rsidRPr="00B22BCB" w:rsidRDefault="007F0885" w:rsidP="00B76BAF">
      <w:pPr>
        <w:pStyle w:val="3-BodyText"/>
      </w:pPr>
      <w:r w:rsidRPr="00B22BCB">
        <w:t>Patients in CML-CP must be monitored for response. There are three categories of response in CML:</w:t>
      </w:r>
    </w:p>
    <w:p w14:paraId="61F6DF5F" w14:textId="2ECBCE92" w:rsidR="007F0885" w:rsidRPr="00B22BCB" w:rsidRDefault="007F0885" w:rsidP="009458A3">
      <w:pPr>
        <w:pStyle w:val="3-BodyText"/>
        <w:numPr>
          <w:ilvl w:val="1"/>
          <w:numId w:val="12"/>
        </w:numPr>
        <w:ind w:left="1134"/>
      </w:pPr>
      <w:r w:rsidRPr="00B22BCB">
        <w:rPr>
          <w:b/>
          <w:bCs/>
        </w:rPr>
        <w:t>Hematologic response</w:t>
      </w:r>
      <w:r w:rsidRPr="00B22BCB">
        <w:t xml:space="preserve"> is assessed by the white blood cell count, differential, and platelet count. Complete hematologic response (CHR) is defined by a white blood cell count &lt;10,000/microL with no immature granulocytes and &lt;5 percent basophils on differential; platelet count &lt;450,000/microL; and spleen not palpable.</w:t>
      </w:r>
    </w:p>
    <w:p w14:paraId="56E43B11" w14:textId="277F68FF" w:rsidR="007F0885" w:rsidRPr="00B22BCB" w:rsidRDefault="007F0885" w:rsidP="009458A3">
      <w:pPr>
        <w:pStyle w:val="3-BodyText"/>
        <w:numPr>
          <w:ilvl w:val="1"/>
          <w:numId w:val="12"/>
        </w:numPr>
        <w:ind w:left="1134"/>
      </w:pPr>
      <w:r w:rsidRPr="00B22BCB">
        <w:rPr>
          <w:b/>
          <w:bCs/>
        </w:rPr>
        <w:t>Cytogenetic response</w:t>
      </w:r>
      <w:r w:rsidRPr="00B22BCB">
        <w:t xml:space="preserve"> is assessed by chromosome banding analysis of marrow cell metaphases. Cytogenetic response is classified according to the percent Philadelphia chromosome positive (Ph+) cells into: no response (&gt;95%), minimal (66-95%), minor (36-65%), major (1-35%), and complete (no Ph+ cells)</w:t>
      </w:r>
      <w:r w:rsidR="004A264B" w:rsidRPr="00B22BCB">
        <w:t xml:space="preserve"> response</w:t>
      </w:r>
      <w:r w:rsidRPr="00B22BCB">
        <w:t xml:space="preserve">. For patients with an inadequate number of metaphases, complete cytogenetic </w:t>
      </w:r>
      <w:r w:rsidRPr="00B22BCB">
        <w:lastRenderedPageBreak/>
        <w:t>response (CCyR) can also be documented by</w:t>
      </w:r>
      <w:r w:rsidR="00896650">
        <w:t xml:space="preserve"> f</w:t>
      </w:r>
      <w:r w:rsidR="00896650" w:rsidRPr="00896650">
        <w:t>luorescence in situ hybridi</w:t>
      </w:r>
      <w:r w:rsidR="00896650">
        <w:t>s</w:t>
      </w:r>
      <w:r w:rsidR="00896650" w:rsidRPr="00896650">
        <w:t>ation</w:t>
      </w:r>
      <w:r w:rsidRPr="00B22BCB">
        <w:t xml:space="preserve"> </w:t>
      </w:r>
      <w:r w:rsidR="00896650">
        <w:t>(</w:t>
      </w:r>
      <w:r w:rsidRPr="00B22BCB">
        <w:t>FISH</w:t>
      </w:r>
      <w:r w:rsidR="00896650">
        <w:t>)</w:t>
      </w:r>
      <w:r w:rsidRPr="00B22BCB">
        <w:t xml:space="preserve"> of blood interphase cell nuclei demonstrating &lt;1 percent </w:t>
      </w:r>
      <w:r w:rsidRPr="008B10EA">
        <w:t>BCR-ABL1</w:t>
      </w:r>
      <w:r w:rsidRPr="00B22BCB">
        <w:t>-positive nuclei of at least 200 nuclei.</w:t>
      </w:r>
      <w:r w:rsidR="00AA766F" w:rsidRPr="00AA766F">
        <w:t xml:space="preserve"> </w:t>
      </w:r>
      <w:r w:rsidR="00AA766F" w:rsidRPr="00B22BCB">
        <w:t xml:space="preserve">Patients may achieve a complete cytogenic response (no </w:t>
      </w:r>
      <w:r w:rsidR="00AA766F" w:rsidRPr="008B10EA">
        <w:t>BCR-ABL1</w:t>
      </w:r>
      <w:r w:rsidR="00AA766F" w:rsidRPr="00B22BCB">
        <w:t xml:space="preserve"> expression), which provides the possibility of therapy discontinuation.</w:t>
      </w:r>
    </w:p>
    <w:p w14:paraId="6B0A38C5" w14:textId="4E576EB7" w:rsidR="00470900" w:rsidRPr="00B22BCB" w:rsidRDefault="007F0885" w:rsidP="009458A3">
      <w:pPr>
        <w:pStyle w:val="3-BodyText"/>
        <w:numPr>
          <w:ilvl w:val="1"/>
          <w:numId w:val="12"/>
        </w:numPr>
        <w:ind w:left="1134"/>
      </w:pPr>
      <w:r w:rsidRPr="00B22BCB">
        <w:rPr>
          <w:b/>
          <w:bCs/>
        </w:rPr>
        <w:t>Molecular response</w:t>
      </w:r>
      <w:r w:rsidRPr="00B22BCB">
        <w:t xml:space="preserve"> is assessed by quantitative polymerase chain reaction (Q</w:t>
      </w:r>
      <w:r w:rsidR="00E23CAB">
        <w:noBreakHyphen/>
      </w:r>
      <w:r w:rsidRPr="00B22BCB">
        <w:t xml:space="preserve">PCR) of the peripheral blood and defined according to the level of detection of the assay. The most recent European </w:t>
      </w:r>
      <w:r w:rsidR="00E4103E" w:rsidRPr="00B22BCB">
        <w:t>Leukaemia</w:t>
      </w:r>
      <w:r w:rsidRPr="00B22BCB">
        <w:t xml:space="preserve">Net (ELN) definition of a MMR is </w:t>
      </w:r>
      <w:r w:rsidRPr="002B4570">
        <w:t xml:space="preserve">when </w:t>
      </w:r>
      <w:r w:rsidRPr="008B10EA">
        <w:t xml:space="preserve">BCR-ABL1 </w:t>
      </w:r>
      <w:r w:rsidRPr="002B4570">
        <w:t>expression</w:t>
      </w:r>
      <w:r w:rsidRPr="00B22BCB">
        <w:t xml:space="preserve"> is &lt;0.1%.</w:t>
      </w:r>
      <w:r w:rsidR="00D17B5D" w:rsidRPr="00B22BCB">
        <w:t xml:space="preserve"> </w:t>
      </w:r>
    </w:p>
    <w:p w14:paraId="382EBB0A" w14:textId="21DA572A" w:rsidR="00336955" w:rsidRPr="00336955" w:rsidRDefault="008E180F" w:rsidP="00B76BAF">
      <w:pPr>
        <w:pStyle w:val="3-BodyText"/>
        <w:rPr>
          <w:color w:val="0066FF"/>
        </w:rPr>
      </w:pPr>
      <w:r w:rsidRPr="00B22BCB">
        <w:t xml:space="preserve">Whilst TKIs offer effective therapy, there are some patients who are unable to tolerate the side effects of treatment or develop resistance to treatment. </w:t>
      </w:r>
      <w:r w:rsidR="00FA3E29">
        <w:t>Up to</w:t>
      </w:r>
      <w:r w:rsidRPr="00B22BCB">
        <w:t xml:space="preserve"> 5% of patients treated with a TKI will be unable to tolerate long-term treatment due to side effects.</w:t>
      </w:r>
      <w:r w:rsidR="00797E8B" w:rsidRPr="00B22BCB">
        <w:rPr>
          <w:rStyle w:val="FootnoteReference"/>
        </w:rPr>
        <w:footnoteReference w:id="3"/>
      </w:r>
      <w:r w:rsidRPr="00B22BCB">
        <w:t xml:space="preserve"> Patients who require </w:t>
      </w:r>
      <w:r w:rsidR="00F557E3" w:rsidRPr="00B22BCB">
        <w:t>additional</w:t>
      </w:r>
      <w:r w:rsidRPr="00B22BCB">
        <w:t xml:space="preserve"> lines of treatment due to resistance to prior TKIs are less likely to respond to subsequent TKI therapy, which correlates with poorer survival.</w:t>
      </w:r>
      <w:r w:rsidR="00797E8B" w:rsidRPr="00B22BCB">
        <w:rPr>
          <w:rStyle w:val="FootnoteReference"/>
        </w:rPr>
        <w:footnoteReference w:id="4"/>
      </w:r>
      <w:r w:rsidR="00797E8B" w:rsidRPr="00B22BCB">
        <w:rPr>
          <w:vertAlign w:val="superscript"/>
        </w:rPr>
        <w:t>,</w:t>
      </w:r>
      <w:r w:rsidR="00797E8B" w:rsidRPr="00B22BCB">
        <w:rPr>
          <w:rStyle w:val="FootnoteReference"/>
        </w:rPr>
        <w:footnoteReference w:id="5"/>
      </w:r>
      <w:r w:rsidR="00815139" w:rsidRPr="00B22BCB">
        <w:t xml:space="preserve"> This is reflected in the classification used in Australia, where patients only progress in ‘lines’ of therapy if they demonstrate resistance</w:t>
      </w:r>
      <w:r w:rsidR="00CB5094">
        <w:t>, not intolerance,</w:t>
      </w:r>
      <w:r w:rsidR="00815139" w:rsidRPr="00B22BCB">
        <w:t xml:space="preserve"> to a previous TKI.</w:t>
      </w:r>
      <w:r w:rsidR="00E601F6" w:rsidRPr="00B22BCB">
        <w:t xml:space="preserve"> </w:t>
      </w:r>
      <w:r w:rsidR="001440EE">
        <w:t>The PBAC noted that asciminib could be used after 2 prior TKIs, but would be considered the third drug being used in the first line if the patient had been intolerant to both prior TKIs.</w:t>
      </w:r>
    </w:p>
    <w:p w14:paraId="3B504736" w14:textId="2E0C8A58" w:rsidR="008E180F" w:rsidRPr="002B4570" w:rsidRDefault="008F0001" w:rsidP="00B76BAF">
      <w:pPr>
        <w:pStyle w:val="3-BodyText"/>
        <w:rPr>
          <w:color w:val="0066FF"/>
        </w:rPr>
      </w:pPr>
      <w:bookmarkStart w:id="15" w:name="_Ref106194017"/>
      <w:r w:rsidRPr="008F0001">
        <w:t xml:space="preserve">Disease mutations may confer </w:t>
      </w:r>
      <w:r w:rsidRPr="00945C76">
        <w:t>resistance to particular TKIs and susceptibility to other treatments. The most clinically relevant is the T315I mutation, which is resistant to all currently listed TKI therapy except ponatinib</w:t>
      </w:r>
      <w:r w:rsidR="00E23CAB" w:rsidRPr="00945C76">
        <w:t xml:space="preserve"> (paragraph</w:t>
      </w:r>
      <w:r w:rsidR="004A1D46" w:rsidRPr="00945C76">
        <w:t xml:space="preserve">s </w:t>
      </w:r>
      <w:r w:rsidR="004A1D46" w:rsidRPr="00945C76">
        <w:fldChar w:fldCharType="begin"/>
      </w:r>
      <w:r w:rsidR="004A1D46" w:rsidRPr="00945C76">
        <w:instrText xml:space="preserve"> REF _Ref110183626 \r \h  \* MERGEFORMAT </w:instrText>
      </w:r>
      <w:r w:rsidR="004A1D46" w:rsidRPr="00945C76">
        <w:fldChar w:fldCharType="separate"/>
      </w:r>
      <w:r w:rsidR="00A914F4">
        <w:t>3.3</w:t>
      </w:r>
      <w:r w:rsidR="004A1D46" w:rsidRPr="00945C76">
        <w:fldChar w:fldCharType="end"/>
      </w:r>
      <w:r w:rsidR="004A1D46" w:rsidRPr="00945C76">
        <w:t xml:space="preserve"> and</w:t>
      </w:r>
      <w:r w:rsidR="00E23CAB" w:rsidRPr="00945C76">
        <w:t xml:space="preserve"> </w:t>
      </w:r>
      <w:r w:rsidR="00E23CAB" w:rsidRPr="00945C76">
        <w:fldChar w:fldCharType="begin"/>
      </w:r>
      <w:r w:rsidR="00E23CAB" w:rsidRPr="00945C76">
        <w:instrText xml:space="preserve"> REF _Ref106193981 \r \h  \* MERGEFORMAT </w:instrText>
      </w:r>
      <w:r w:rsidR="00E23CAB" w:rsidRPr="00945C76">
        <w:fldChar w:fldCharType="separate"/>
      </w:r>
      <w:r w:rsidR="00A914F4">
        <w:t>3.4</w:t>
      </w:r>
      <w:r w:rsidR="00E23CAB" w:rsidRPr="00945C76">
        <w:fldChar w:fldCharType="end"/>
      </w:r>
      <w:r w:rsidR="00E23CAB" w:rsidRPr="00945C76">
        <w:t>)</w:t>
      </w:r>
      <w:r w:rsidRPr="00945C76">
        <w:t>. The</w:t>
      </w:r>
      <w:r w:rsidRPr="008F0001">
        <w:t xml:space="preserve"> pivotal ASCEMBL trial excluded patients with the T315I mutation; however, asciminib is active against the T315I mutation and</w:t>
      </w:r>
      <w:r w:rsidR="00621A3F">
        <w:t xml:space="preserve"> the ACM supported the inclusion of patients with the T315I mutation in the indication.</w:t>
      </w:r>
      <w:r w:rsidRPr="008F0001">
        <w:t xml:space="preserve"> </w:t>
      </w:r>
      <w:r w:rsidR="00AA766F" w:rsidRPr="002B4570">
        <w:t>The PBAC previously estimated that 15% of patients who fail first-line TKI therapy will have the T315I mutation (para</w:t>
      </w:r>
      <w:r w:rsidR="00430CEE" w:rsidRPr="002B4570">
        <w:t>graph</w:t>
      </w:r>
      <w:r w:rsidR="00AA766F" w:rsidRPr="002B4570">
        <w:t xml:space="preserve"> 6.41, ponatinib </w:t>
      </w:r>
      <w:r w:rsidR="00576C70">
        <w:t>P</w:t>
      </w:r>
      <w:r w:rsidR="00AA766F" w:rsidRPr="002B4570">
        <w:t xml:space="preserve">ublic </w:t>
      </w:r>
      <w:r w:rsidR="00576C70">
        <w:t>S</w:t>
      </w:r>
      <w:r w:rsidR="00AA766F" w:rsidRPr="002B4570">
        <w:t xml:space="preserve">ummary </w:t>
      </w:r>
      <w:r w:rsidR="00576C70">
        <w:t>D</w:t>
      </w:r>
      <w:r w:rsidR="00AA766F" w:rsidRPr="002B4570">
        <w:t>ocument</w:t>
      </w:r>
      <w:r w:rsidR="00576C70">
        <w:t xml:space="preserve"> (PSD)</w:t>
      </w:r>
      <w:r w:rsidR="00AA766F" w:rsidRPr="002B4570">
        <w:t>, November 2014 PBAC meeting)</w:t>
      </w:r>
      <w:r w:rsidR="006D677B" w:rsidRPr="002B4570">
        <w:t>.</w:t>
      </w:r>
      <w:bookmarkEnd w:id="15"/>
    </w:p>
    <w:p w14:paraId="5DCBA4BC" w14:textId="77ABD8F3" w:rsidR="00E601F6" w:rsidRPr="00B22BCB" w:rsidRDefault="00E601F6" w:rsidP="00B76BAF">
      <w:pPr>
        <w:pStyle w:val="3-BodyText"/>
        <w:rPr>
          <w:color w:val="0066FF"/>
        </w:rPr>
      </w:pPr>
      <w:bookmarkStart w:id="16" w:name="_Ref106194298"/>
      <w:r w:rsidRPr="00B22BCB">
        <w:t>There are no randomi</w:t>
      </w:r>
      <w:r w:rsidR="00CF45F1">
        <w:t>s</w:t>
      </w:r>
      <w:r w:rsidRPr="00B22BCB">
        <w:t>ed trials that have directly compared the efficacy of second generation TKIs</w:t>
      </w:r>
      <w:r w:rsidR="004323D7">
        <w:t xml:space="preserve"> (nilotinib and dasatinib)</w:t>
      </w:r>
      <w:r w:rsidRPr="00B22BCB">
        <w:t xml:space="preserve"> in patients with chronic phase CML who experience failure of an initial TKI. </w:t>
      </w:r>
      <w:r w:rsidR="00B12F33" w:rsidRPr="00B22BCB">
        <w:t xml:space="preserve">Comparisons of </w:t>
      </w:r>
      <w:r w:rsidR="00D709A2" w:rsidRPr="00B22BCB">
        <w:t xml:space="preserve">TKIs in </w:t>
      </w:r>
      <w:r w:rsidR="00B12F33" w:rsidRPr="00B22BCB">
        <w:t>p</w:t>
      </w:r>
      <w:r w:rsidRPr="00B22BCB">
        <w:t xml:space="preserve">hase II </w:t>
      </w:r>
      <w:r w:rsidR="00B12F33" w:rsidRPr="00B22BCB">
        <w:t>trials</w:t>
      </w:r>
      <w:r w:rsidRPr="00B22BCB">
        <w:t xml:space="preserve"> in this population suggest that they have similar efficacy, however second-generation TKIs </w:t>
      </w:r>
      <w:r w:rsidR="00AC41CA" w:rsidRPr="00B22BCB">
        <w:lastRenderedPageBreak/>
        <w:t>demonstrated significantly deeper and faster responses</w:t>
      </w:r>
      <w:r w:rsidRPr="00B22BCB">
        <w:t xml:space="preserve"> than imatinib.</w:t>
      </w:r>
      <w:r w:rsidR="00797E8B" w:rsidRPr="00B22BCB">
        <w:rPr>
          <w:rStyle w:val="FootnoteReference"/>
        </w:rPr>
        <w:footnoteReference w:id="6"/>
      </w:r>
      <w:r w:rsidRPr="00B22BCB">
        <w:t xml:space="preserve"> Modelling based on clinical trials of imatinib, nilotinib, dasatinib and bosutinib suggest that in patients with newly </w:t>
      </w:r>
      <w:r w:rsidRPr="00945C76">
        <w:t>diagnosed CML-CP, early aggressive treatment with second-generation TKIs, instead of imatinib</w:t>
      </w:r>
      <w:r w:rsidR="00E23CAB" w:rsidRPr="00945C76">
        <w:t xml:space="preserve"> (</w:t>
      </w:r>
      <w:r w:rsidR="004A1D46" w:rsidRPr="00945C76">
        <w:t xml:space="preserve">see </w:t>
      </w:r>
      <w:r w:rsidR="00E23CAB" w:rsidRPr="00945C76">
        <w:t xml:space="preserve">paragraph </w:t>
      </w:r>
      <w:r w:rsidR="00E23CAB" w:rsidRPr="00945C76">
        <w:fldChar w:fldCharType="begin"/>
      </w:r>
      <w:r w:rsidR="00E23CAB" w:rsidRPr="00945C76">
        <w:instrText xml:space="preserve"> REF _Ref106194365 \r \h  \* MERGEFORMAT </w:instrText>
      </w:r>
      <w:r w:rsidR="00E23CAB" w:rsidRPr="00945C76">
        <w:fldChar w:fldCharType="separate"/>
      </w:r>
      <w:r w:rsidR="00A914F4">
        <w:t>5.1</w:t>
      </w:r>
      <w:r w:rsidR="00E23CAB" w:rsidRPr="00945C76">
        <w:fldChar w:fldCharType="end"/>
      </w:r>
      <w:r w:rsidR="004A1D46" w:rsidRPr="00945C76">
        <w:t xml:space="preserve"> below</w:t>
      </w:r>
      <w:r w:rsidR="00E23CAB" w:rsidRPr="00945C76">
        <w:t>)</w:t>
      </w:r>
      <w:r w:rsidRPr="00945C76">
        <w:t>,</w:t>
      </w:r>
      <w:r w:rsidRPr="00187E81">
        <w:t xml:space="preserve"> may reduce the risk of disease resistance/mutation, halving the proportion of patients who</w:t>
      </w:r>
      <w:r w:rsidRPr="00B22BCB">
        <w:t xml:space="preserve"> will fail 3 TKIs (6% vs 12% in patients initially treated with imatinib).</w:t>
      </w:r>
      <w:r w:rsidR="00797E8B" w:rsidRPr="00B22BCB">
        <w:rPr>
          <w:rStyle w:val="FootnoteReference"/>
        </w:rPr>
        <w:footnoteReference w:id="7"/>
      </w:r>
      <w:bookmarkEnd w:id="16"/>
    </w:p>
    <w:p w14:paraId="42BB52E1" w14:textId="640CCC03" w:rsidR="0072630B" w:rsidRPr="00B22BCB" w:rsidRDefault="0072630B" w:rsidP="00B76BAF">
      <w:pPr>
        <w:pStyle w:val="3-BodyText"/>
        <w:rPr>
          <w:color w:val="0066FF"/>
        </w:rPr>
      </w:pPr>
      <w:r w:rsidRPr="00B22BCB">
        <w:t>The available TKIs have unique safety profiles, which must be considered in the long-term care of patients with CML-CP. The choice of TKI is based on the side effect profiles and comorbid conditions of individual patients</w:t>
      </w:r>
      <w:r w:rsidR="00D334C6" w:rsidRPr="00B22BCB">
        <w:t>, combined with testing for any mutations which may confer treatment resistance</w:t>
      </w:r>
      <w:r w:rsidRPr="00B22BCB">
        <w:t>.</w:t>
      </w:r>
    </w:p>
    <w:p w14:paraId="4B248C56" w14:textId="77777777" w:rsidR="004323D7" w:rsidRPr="004323D7" w:rsidRDefault="00766CE6" w:rsidP="004E18E9">
      <w:pPr>
        <w:pStyle w:val="3-BodyText"/>
        <w:rPr>
          <w:color w:val="0066FF"/>
        </w:rPr>
      </w:pPr>
      <w:r w:rsidRPr="00B22BCB">
        <w:t xml:space="preserve">All the TKIs available on the PBS for CML bind to the ATP receptor site of the </w:t>
      </w:r>
      <w:r w:rsidRPr="008B10EA">
        <w:t xml:space="preserve">BCR-ABL tyrosine kinase. In contrast, </w:t>
      </w:r>
      <w:r w:rsidR="00337BFF" w:rsidRPr="008B10EA">
        <w:t>asciminib</w:t>
      </w:r>
      <w:r w:rsidRPr="008B10EA">
        <w:t xml:space="preserve"> inhibits the kinase activity of the BCR-ABL</w:t>
      </w:r>
      <w:r w:rsidRPr="00B22BCB">
        <w:t xml:space="preserve"> fusion protein, by specifically targeting the </w:t>
      </w:r>
      <w:r w:rsidRPr="008B10EA">
        <w:t xml:space="preserve">ABL </w:t>
      </w:r>
      <w:r w:rsidRPr="00B22BCB">
        <w:t xml:space="preserve">myristoyl pocket. For this reason, </w:t>
      </w:r>
      <w:r w:rsidR="00337BFF" w:rsidRPr="00B22BCB">
        <w:t>asciminib</w:t>
      </w:r>
      <w:r w:rsidRPr="00B22BCB">
        <w:t xml:space="preserve"> is the first and only medicine to be considered a Specifically Targeting the ABL Myristoyl Pocket (STAMP) inhibitor. </w:t>
      </w:r>
    </w:p>
    <w:p w14:paraId="5CAF3634" w14:textId="3D54FF23" w:rsidR="00766CE6" w:rsidRPr="008B10EA" w:rsidRDefault="00766CE6" w:rsidP="004E18E9">
      <w:pPr>
        <w:pStyle w:val="3-BodyText"/>
        <w:rPr>
          <w:iCs/>
          <w:color w:val="0066FF"/>
        </w:rPr>
      </w:pPr>
      <w:r w:rsidRPr="00B22BCB">
        <w:t xml:space="preserve">The submission proposed </w:t>
      </w:r>
      <w:r w:rsidR="00337BFF" w:rsidRPr="00B22BCB">
        <w:t>asciminib</w:t>
      </w:r>
      <w:r w:rsidRPr="00B22BCB">
        <w:t xml:space="preserve"> 80 mg once daily or 40 mg twice daily in patients with CML-CP, who had been previously treated with two or more TKIs. </w:t>
      </w:r>
      <w:r w:rsidRPr="002B4570">
        <w:rPr>
          <w:iCs/>
        </w:rPr>
        <w:t>This is consistent with the draft PI</w:t>
      </w:r>
      <w:r w:rsidR="00815139" w:rsidRPr="002B4570">
        <w:rPr>
          <w:iCs/>
        </w:rPr>
        <w:t xml:space="preserve">, and means </w:t>
      </w:r>
      <w:r w:rsidR="00337BFF" w:rsidRPr="002B4570">
        <w:rPr>
          <w:iCs/>
        </w:rPr>
        <w:t>asciminib</w:t>
      </w:r>
      <w:r w:rsidR="00815139" w:rsidRPr="002B4570">
        <w:rPr>
          <w:iCs/>
        </w:rPr>
        <w:t xml:space="preserve"> may be prescribed as ‘first line’ (intolerant to two prior TKIs)</w:t>
      </w:r>
      <w:r w:rsidR="00A32C46" w:rsidRPr="002B4570">
        <w:rPr>
          <w:iCs/>
        </w:rPr>
        <w:t xml:space="preserve"> and</w:t>
      </w:r>
      <w:r w:rsidR="00815139" w:rsidRPr="002B4570">
        <w:rPr>
          <w:iCs/>
        </w:rPr>
        <w:t xml:space="preserve"> up to ‘fourth line’ (resistant to three prior TKIs).</w:t>
      </w:r>
    </w:p>
    <w:p w14:paraId="0FB384AB" w14:textId="40FF8BF0" w:rsidR="000E062A" w:rsidRPr="00B22BCB" w:rsidRDefault="00B50DB8" w:rsidP="000E062A">
      <w:pPr>
        <w:pStyle w:val="2-SectionHeading"/>
      </w:pPr>
      <w:bookmarkStart w:id="17" w:name="_Toc103772581"/>
      <w:r w:rsidRPr="00B22BCB">
        <w:t>Comparator</w:t>
      </w:r>
      <w:bookmarkEnd w:id="17"/>
    </w:p>
    <w:p w14:paraId="06E37179" w14:textId="4B001F5D" w:rsidR="00BC75C9" w:rsidRPr="002B4570" w:rsidRDefault="000E062A" w:rsidP="00882E3C">
      <w:pPr>
        <w:pStyle w:val="3-BodyText"/>
        <w:rPr>
          <w:snapToGrid/>
        </w:rPr>
      </w:pPr>
      <w:bookmarkStart w:id="18" w:name="_Ref106194365"/>
      <w:r w:rsidRPr="00B22BCB">
        <w:t xml:space="preserve">The submission nominated nilotinib as the main comparator. This was based on drug sequence data from the 10% PBS sample, which suggested that, </w:t>
      </w:r>
      <w:r w:rsidR="00AB29C0" w:rsidRPr="00B22BCB">
        <w:t>from</w:t>
      </w:r>
      <w:r w:rsidRPr="00B22BCB">
        <w:t xml:space="preserve"> 2016</w:t>
      </w:r>
      <w:r w:rsidR="00AB29C0" w:rsidRPr="00B22BCB">
        <w:t xml:space="preserve"> – 2021</w:t>
      </w:r>
      <w:r w:rsidRPr="00B22BCB">
        <w:t>, nilotinib made up 49.1% of third-line usage</w:t>
      </w:r>
      <w:r w:rsidR="00BC75C9" w:rsidRPr="00B22BCB">
        <w:t xml:space="preserve">. </w:t>
      </w:r>
      <w:r w:rsidR="00BC75C9" w:rsidRPr="002B4570">
        <w:t>These data are derived from the low number of patients (N=108) who had recorded specific sequential use of three TKIs</w:t>
      </w:r>
      <w:r w:rsidR="00102512" w:rsidRPr="002B4570">
        <w:t xml:space="preserve"> at any time between 2016–2021</w:t>
      </w:r>
      <w:r w:rsidR="00BC75C9" w:rsidRPr="002B4570">
        <w:t>, and do not account for</w:t>
      </w:r>
      <w:r w:rsidR="00A14E8F" w:rsidRPr="002B4570">
        <w:t xml:space="preserve"> recent changes in</w:t>
      </w:r>
      <w:r w:rsidR="00BC75C9" w:rsidRPr="002B4570">
        <w:t xml:space="preserve"> prescribing trends. The most comprehensive prescription data are provided in the 10% PBS </w:t>
      </w:r>
      <w:r w:rsidR="00841DD0" w:rsidRPr="002B4570">
        <w:t>s</w:t>
      </w:r>
      <w:r w:rsidR="00BC75C9" w:rsidRPr="002B4570">
        <w:t>ample</w:t>
      </w:r>
      <w:r w:rsidR="000A0D1D" w:rsidRPr="002B4570">
        <w:t xml:space="preserve"> </w:t>
      </w:r>
      <w:r w:rsidR="00BC75C9" w:rsidRPr="002B4570">
        <w:t>describ</w:t>
      </w:r>
      <w:r w:rsidR="000A0D1D" w:rsidRPr="002B4570">
        <w:t>ing</w:t>
      </w:r>
      <w:r w:rsidR="00BC75C9" w:rsidRPr="002B4570">
        <w:t xml:space="preserve"> </w:t>
      </w:r>
      <w:r w:rsidR="00414674" w:rsidRPr="002B4570">
        <w:t xml:space="preserve">patient </w:t>
      </w:r>
      <w:r w:rsidR="00BC75C9" w:rsidRPr="002B4570">
        <w:t xml:space="preserve">data </w:t>
      </w:r>
      <w:r w:rsidR="00567063" w:rsidRPr="002B4570">
        <w:t xml:space="preserve">for </w:t>
      </w:r>
      <w:r w:rsidR="00414674" w:rsidRPr="002B4570">
        <w:t>nearly 4,000 patients who required</w:t>
      </w:r>
      <w:r w:rsidR="00BC75C9" w:rsidRPr="002B4570">
        <w:t xml:space="preserve"> TKIs</w:t>
      </w:r>
      <w:r w:rsidR="008E7D9B" w:rsidRPr="002B4570">
        <w:t>, by line of use,</w:t>
      </w:r>
      <w:r w:rsidR="00BC75C9" w:rsidRPr="002B4570">
        <w:t xml:space="preserve"> from June 2016–June 2021. These data show that nilotinib was the most-</w:t>
      </w:r>
      <w:r w:rsidR="00414674" w:rsidRPr="002B4570">
        <w:t>used</w:t>
      </w:r>
      <w:r w:rsidR="00BC75C9" w:rsidRPr="002B4570">
        <w:t xml:space="preserve"> third TKI in late 2016 (approximately 50% of all third-TKIs prescribed), but since then has declined in use, while imatinib has recently increased in use as the third TKI prescribed, whilst declining as the first TKI used. This trend change is reflective of shifting </w:t>
      </w:r>
      <w:r w:rsidR="00BC75C9" w:rsidRPr="00187E81">
        <w:t xml:space="preserve">clinical </w:t>
      </w:r>
      <w:r w:rsidR="00BC75C9" w:rsidRPr="00945C76">
        <w:t>practice; there is evidence to suggest that CML-CP should be ‘hit hard and hit early’, where use of second-generation TKIs</w:t>
      </w:r>
      <w:r w:rsidR="00747312" w:rsidRPr="00945C76">
        <w:t xml:space="preserve"> (nilotinib and dasatinib)</w:t>
      </w:r>
      <w:r w:rsidR="00BC75C9" w:rsidRPr="00945C76">
        <w:t xml:space="preserve"> in the </w:t>
      </w:r>
      <w:r w:rsidR="00BC75C9" w:rsidRPr="00945C76">
        <w:lastRenderedPageBreak/>
        <w:t>first-line</w:t>
      </w:r>
      <w:r w:rsidR="00E23CAB" w:rsidRPr="00945C76">
        <w:t xml:space="preserve"> (paragraph </w:t>
      </w:r>
      <w:r w:rsidR="00E23CAB" w:rsidRPr="00945C76">
        <w:fldChar w:fldCharType="begin"/>
      </w:r>
      <w:r w:rsidR="00E23CAB" w:rsidRPr="00945C76">
        <w:instrText xml:space="preserve"> REF _Ref106194298 \r \h  \* MERGEFORMAT </w:instrText>
      </w:r>
      <w:r w:rsidR="00E23CAB" w:rsidRPr="00945C76">
        <w:fldChar w:fldCharType="separate"/>
      </w:r>
      <w:r w:rsidR="00A914F4">
        <w:t>4.9</w:t>
      </w:r>
      <w:r w:rsidR="00E23CAB" w:rsidRPr="00945C76">
        <w:fldChar w:fldCharType="end"/>
      </w:r>
      <w:r w:rsidR="00E23CAB" w:rsidRPr="00945C76">
        <w:t>)</w:t>
      </w:r>
      <w:r w:rsidR="00BC75C9" w:rsidRPr="00945C76">
        <w:t xml:space="preserve"> may produce more enduring disease control with less potential for mutation/resistance, compared</w:t>
      </w:r>
      <w:r w:rsidR="00BC75C9" w:rsidRPr="002B4570">
        <w:t xml:space="preserve"> to using imatinib in the first line.</w:t>
      </w:r>
      <w:bookmarkEnd w:id="18"/>
      <w:r w:rsidR="00BC75C9" w:rsidRPr="002B4570">
        <w:t xml:space="preserve"> </w:t>
      </w:r>
    </w:p>
    <w:p w14:paraId="5E207841" w14:textId="02C48DAD" w:rsidR="00BD409B" w:rsidRPr="00BD409B" w:rsidRDefault="00575FF4" w:rsidP="00DF1ADA">
      <w:pPr>
        <w:pStyle w:val="3-BodyText"/>
        <w:rPr>
          <w:snapToGrid/>
        </w:rPr>
      </w:pPr>
      <w:r>
        <w:t>The evaluation provided a</w:t>
      </w:r>
      <w:r w:rsidR="00BC75C9" w:rsidRPr="00B22BCB">
        <w:t xml:space="preserve"> summary of prescription frequencies in third-line therapy, based on the 10% PBS sample</w:t>
      </w:r>
      <w:r>
        <w:t xml:space="preserve"> </w:t>
      </w:r>
      <w:r w:rsidRPr="002B4570">
        <w:t>between 2016–2021</w:t>
      </w:r>
      <w:r w:rsidR="00BC75C9" w:rsidRPr="00B22BCB">
        <w:t xml:space="preserve"> </w:t>
      </w:r>
      <w:r>
        <w:t>(</w:t>
      </w:r>
      <w:r w:rsidR="00C07859" w:rsidRPr="00B22BCB">
        <w:fldChar w:fldCharType="begin"/>
      </w:r>
      <w:r w:rsidR="00C07859" w:rsidRPr="00B22BCB">
        <w:instrText xml:space="preserve"> REF _Ref102929731 \h </w:instrText>
      </w:r>
      <w:r w:rsidR="00C07859" w:rsidRPr="00B22BCB">
        <w:fldChar w:fldCharType="separate"/>
      </w:r>
      <w:r w:rsidR="00A914F4" w:rsidRPr="00B22BCB">
        <w:t xml:space="preserve">Table </w:t>
      </w:r>
      <w:r w:rsidR="00A914F4">
        <w:rPr>
          <w:noProof/>
        </w:rPr>
        <w:t>3</w:t>
      </w:r>
      <w:r w:rsidR="00C07859" w:rsidRPr="00B22BCB">
        <w:fldChar w:fldCharType="end"/>
      </w:r>
      <w:r>
        <w:t>)</w:t>
      </w:r>
      <w:r w:rsidR="00BC75C9" w:rsidRPr="00B22BCB">
        <w:t xml:space="preserve">. </w:t>
      </w:r>
      <w:r w:rsidR="00BC75C9" w:rsidRPr="002B4570">
        <w:t>According to these data</w:t>
      </w:r>
      <w:r w:rsidR="00844771" w:rsidRPr="002B4570">
        <w:t>,</w:t>
      </w:r>
      <w:r w:rsidR="00C47D93" w:rsidRPr="002B4570">
        <w:t xml:space="preserve"> dasatinib, not</w:t>
      </w:r>
      <w:r w:rsidR="00BC75C9" w:rsidRPr="002B4570">
        <w:t xml:space="preserve"> nilotinib</w:t>
      </w:r>
      <w:r w:rsidR="00C47D93" w:rsidRPr="002B4570">
        <w:t>,</w:t>
      </w:r>
      <w:r w:rsidR="00BC75C9" w:rsidRPr="002B4570">
        <w:t xml:space="preserve"> is</w:t>
      </w:r>
      <w:r w:rsidR="00C47D93" w:rsidRPr="002B4570">
        <w:t xml:space="preserve"> the most-used therapy as ‘third TKI’ in Australia.</w:t>
      </w:r>
      <w:r w:rsidR="00942839">
        <w:t xml:space="preserve"> </w:t>
      </w:r>
      <w:r w:rsidR="00942839" w:rsidRPr="002E7D71">
        <w:t>The PSCR argued that the figures presented by the evaluation correspond to the share of medicines used in third or later lines (i.e., a combined total) in the original data set</w:t>
      </w:r>
      <w:r w:rsidR="00F4482B" w:rsidRPr="002E7D71">
        <w:t>, and that in later lines of treatment there is less certainty that patients are in the chronic phase, as opposed to the accelerated or blast phases. However, the ESC noted that the vast majority of prescriptions are for the chronic phase; if a patient progressed due to an accelerated or blast phase, the goal of treatment is to return them to the chronic phase. If they cannot be returned to chronic phase, then their management is progressed beyond TKI therapy to transplant, and if they are returned to chronic phase, they remain on treatment until disease progression, at which point they may try an alternative TKI. The ESC noted that allogen</w:t>
      </w:r>
      <w:r w:rsidR="00B404A0" w:rsidRPr="002E7D71">
        <w:t>e</w:t>
      </w:r>
      <w:r w:rsidR="00F4482B" w:rsidRPr="002E7D71">
        <w:t xml:space="preserve">ic bone marrow transplant would be discussed with a patient as a future option at the </w:t>
      </w:r>
      <w:r w:rsidR="00612141" w:rsidRPr="002E7D71">
        <w:t>third-line</w:t>
      </w:r>
      <w:r w:rsidR="00F4482B" w:rsidRPr="002E7D71">
        <w:t xml:space="preserve"> stage of treatment. </w:t>
      </w:r>
    </w:p>
    <w:p w14:paraId="13EC5BD7" w14:textId="61A9282E" w:rsidR="00BC75C9" w:rsidRPr="00B22BCB" w:rsidRDefault="00BC75C9" w:rsidP="00BC75C9">
      <w:pPr>
        <w:pStyle w:val="TableFigureHeading"/>
      </w:pPr>
      <w:bookmarkStart w:id="19" w:name="_Ref102929731"/>
      <w:r w:rsidRPr="00B22BCB">
        <w:t xml:space="preserve">Table </w:t>
      </w:r>
      <w:r w:rsidR="00CA52C1">
        <w:fldChar w:fldCharType="begin"/>
      </w:r>
      <w:r w:rsidR="00CA52C1">
        <w:instrText xml:space="preserve"> SEQ Table \* ARABIC </w:instrText>
      </w:r>
      <w:r w:rsidR="00CA52C1">
        <w:fldChar w:fldCharType="separate"/>
      </w:r>
      <w:r w:rsidR="00A914F4">
        <w:rPr>
          <w:noProof/>
        </w:rPr>
        <w:t>3</w:t>
      </w:r>
      <w:r w:rsidR="00CA52C1">
        <w:rPr>
          <w:noProof/>
        </w:rPr>
        <w:fldChar w:fldCharType="end"/>
      </w:r>
      <w:bookmarkEnd w:id="19"/>
      <w:r w:rsidRPr="00B22BCB">
        <w:t>: Australian prescription rates and costs of TKI use in treatment of CML</w:t>
      </w:r>
    </w:p>
    <w:tbl>
      <w:tblPr>
        <w:tblStyle w:val="TableGrid"/>
        <w:tblW w:w="0" w:type="auto"/>
        <w:tblLook w:val="04A0" w:firstRow="1" w:lastRow="0" w:firstColumn="1" w:lastColumn="0" w:noHBand="0" w:noVBand="1"/>
      </w:tblPr>
      <w:tblGrid>
        <w:gridCol w:w="1980"/>
        <w:gridCol w:w="1276"/>
        <w:gridCol w:w="1701"/>
        <w:gridCol w:w="2551"/>
        <w:gridCol w:w="1418"/>
      </w:tblGrid>
      <w:tr w:rsidR="00C43F75" w:rsidRPr="00B22BCB" w14:paraId="3A4687EA" w14:textId="77777777" w:rsidTr="003C3192">
        <w:trPr>
          <w:trHeight w:val="288"/>
        </w:trPr>
        <w:tc>
          <w:tcPr>
            <w:tcW w:w="1980" w:type="dxa"/>
            <w:vMerge w:val="restart"/>
          </w:tcPr>
          <w:p w14:paraId="6D8C115B" w14:textId="77777777" w:rsidR="00C43F75" w:rsidRPr="00B22BCB" w:rsidRDefault="00C43F75" w:rsidP="00144CAC">
            <w:pPr>
              <w:pStyle w:val="Tabletext"/>
              <w:keepNext/>
              <w:rPr>
                <w:b/>
                <w:bCs/>
              </w:rPr>
            </w:pPr>
            <w:r w:rsidRPr="00B22BCB">
              <w:rPr>
                <w:b/>
                <w:bCs/>
              </w:rPr>
              <w:t>PBS-subsidised TKI</w:t>
            </w:r>
          </w:p>
        </w:tc>
        <w:tc>
          <w:tcPr>
            <w:tcW w:w="2977" w:type="dxa"/>
            <w:gridSpan w:val="2"/>
          </w:tcPr>
          <w:p w14:paraId="09A173E2" w14:textId="085E4D2D" w:rsidR="00567063" w:rsidRDefault="00C43F75" w:rsidP="00A32C46">
            <w:pPr>
              <w:pStyle w:val="Tabletext"/>
              <w:keepNext/>
              <w:jc w:val="center"/>
              <w:rPr>
                <w:b/>
                <w:bCs/>
              </w:rPr>
            </w:pPr>
            <w:r w:rsidRPr="00B22BCB">
              <w:rPr>
                <w:b/>
                <w:bCs/>
              </w:rPr>
              <w:t>Share of use as third TKI</w:t>
            </w:r>
          </w:p>
          <w:p w14:paraId="02850BC7" w14:textId="162895B2" w:rsidR="00C43F75" w:rsidRPr="00B22BCB" w:rsidRDefault="00567063" w:rsidP="00A32C46">
            <w:pPr>
              <w:pStyle w:val="Tabletext"/>
              <w:keepNext/>
              <w:jc w:val="center"/>
              <w:rPr>
                <w:b/>
                <w:bCs/>
              </w:rPr>
            </w:pPr>
            <w:r>
              <w:t>(number of patients, %)</w:t>
            </w:r>
          </w:p>
        </w:tc>
        <w:tc>
          <w:tcPr>
            <w:tcW w:w="2551" w:type="dxa"/>
            <w:vMerge w:val="restart"/>
          </w:tcPr>
          <w:p w14:paraId="077C82DE" w14:textId="77777777" w:rsidR="00631625" w:rsidRDefault="00C43F75" w:rsidP="00A32C46">
            <w:pPr>
              <w:pStyle w:val="Tabletext"/>
              <w:keepNext/>
              <w:jc w:val="center"/>
              <w:rPr>
                <w:b/>
                <w:bCs/>
              </w:rPr>
            </w:pPr>
            <w:r w:rsidRPr="00B22BCB">
              <w:rPr>
                <w:b/>
                <w:bCs/>
              </w:rPr>
              <w:t xml:space="preserve">Mean use as third TKI, </w:t>
            </w:r>
          </w:p>
          <w:p w14:paraId="4B69401F" w14:textId="7D678594" w:rsidR="003C3192" w:rsidRDefault="00C43F75" w:rsidP="00A32C46">
            <w:pPr>
              <w:pStyle w:val="Tabletext"/>
              <w:keepNext/>
              <w:jc w:val="center"/>
              <w:rPr>
                <w:b/>
                <w:bCs/>
              </w:rPr>
            </w:pPr>
            <w:r w:rsidRPr="00B22BCB">
              <w:rPr>
                <w:b/>
                <w:bCs/>
              </w:rPr>
              <w:t>June 2020 – June 2021</w:t>
            </w:r>
          </w:p>
          <w:p w14:paraId="08F8E22A" w14:textId="77777777" w:rsidR="00C43F75" w:rsidRDefault="003C3192" w:rsidP="00A32C46">
            <w:pPr>
              <w:pStyle w:val="Tabletext"/>
              <w:keepNext/>
              <w:jc w:val="center"/>
              <w:rPr>
                <w:b/>
                <w:bCs/>
              </w:rPr>
            </w:pPr>
            <w:r>
              <w:rPr>
                <w:b/>
                <w:bCs/>
              </w:rPr>
              <w:t>(mean number of patients, %)</w:t>
            </w:r>
          </w:p>
          <w:p w14:paraId="452185E5" w14:textId="4E610348" w:rsidR="00631625" w:rsidRPr="00354247" w:rsidRDefault="00631625" w:rsidP="00A32C46">
            <w:pPr>
              <w:pStyle w:val="Tabletext"/>
              <w:keepNext/>
              <w:jc w:val="center"/>
            </w:pPr>
            <w:r w:rsidRPr="00354247">
              <w:t>N=437</w:t>
            </w:r>
          </w:p>
        </w:tc>
        <w:tc>
          <w:tcPr>
            <w:tcW w:w="1418" w:type="dxa"/>
            <w:vMerge w:val="restart"/>
          </w:tcPr>
          <w:p w14:paraId="321A694D" w14:textId="77777777" w:rsidR="00C43F75" w:rsidRPr="00B22BCB" w:rsidRDefault="00C43F75" w:rsidP="00A32C46">
            <w:pPr>
              <w:pStyle w:val="Tabletext"/>
              <w:keepNext/>
              <w:jc w:val="right"/>
              <w:rPr>
                <w:b/>
                <w:bCs/>
              </w:rPr>
            </w:pPr>
            <w:r w:rsidRPr="00B22BCB">
              <w:rPr>
                <w:b/>
                <w:bCs/>
              </w:rPr>
              <w:t>DPMQ</w:t>
            </w:r>
          </w:p>
        </w:tc>
      </w:tr>
      <w:tr w:rsidR="00C43F75" w:rsidRPr="00B22BCB" w14:paraId="077BE549" w14:textId="77777777" w:rsidTr="003C3192">
        <w:trPr>
          <w:trHeight w:val="288"/>
        </w:trPr>
        <w:tc>
          <w:tcPr>
            <w:tcW w:w="1980" w:type="dxa"/>
            <w:vMerge/>
          </w:tcPr>
          <w:p w14:paraId="3ED8E6C9" w14:textId="77777777" w:rsidR="00C43F75" w:rsidRPr="00B22BCB" w:rsidRDefault="00C43F75" w:rsidP="00144CAC">
            <w:pPr>
              <w:pStyle w:val="Tabletext"/>
              <w:keepNext/>
              <w:rPr>
                <w:b/>
                <w:bCs/>
              </w:rPr>
            </w:pPr>
          </w:p>
        </w:tc>
        <w:tc>
          <w:tcPr>
            <w:tcW w:w="1276" w:type="dxa"/>
          </w:tcPr>
          <w:p w14:paraId="4315C272" w14:textId="77777777" w:rsidR="00C43F75" w:rsidRPr="00354247" w:rsidRDefault="00C43F75" w:rsidP="00A32C46">
            <w:pPr>
              <w:pStyle w:val="Tabletext"/>
              <w:keepNext/>
              <w:jc w:val="center"/>
            </w:pPr>
            <w:r w:rsidRPr="00354247">
              <w:t>June 2016</w:t>
            </w:r>
          </w:p>
          <w:p w14:paraId="704CA53A" w14:textId="1067E922" w:rsidR="00631625" w:rsidRPr="00354247" w:rsidRDefault="00631625" w:rsidP="00A32C46">
            <w:pPr>
              <w:pStyle w:val="Tabletext"/>
              <w:keepNext/>
              <w:jc w:val="center"/>
            </w:pPr>
            <w:r w:rsidRPr="00354247">
              <w:t>N=190</w:t>
            </w:r>
          </w:p>
        </w:tc>
        <w:tc>
          <w:tcPr>
            <w:tcW w:w="1701" w:type="dxa"/>
          </w:tcPr>
          <w:p w14:paraId="19A9B7C8" w14:textId="77777777" w:rsidR="00C43F75" w:rsidRPr="00354247" w:rsidRDefault="00C43F75" w:rsidP="00A32C46">
            <w:pPr>
              <w:pStyle w:val="Tabletext"/>
              <w:keepNext/>
              <w:jc w:val="center"/>
            </w:pPr>
            <w:r w:rsidRPr="00354247">
              <w:t>June 2021</w:t>
            </w:r>
          </w:p>
          <w:p w14:paraId="476B9815" w14:textId="5098FFE8" w:rsidR="00631625" w:rsidRPr="00354247" w:rsidRDefault="00631625" w:rsidP="00A32C46">
            <w:pPr>
              <w:pStyle w:val="Tabletext"/>
              <w:keepNext/>
              <w:jc w:val="center"/>
            </w:pPr>
            <w:r w:rsidRPr="00354247">
              <w:t>N=463</w:t>
            </w:r>
          </w:p>
        </w:tc>
        <w:tc>
          <w:tcPr>
            <w:tcW w:w="2551" w:type="dxa"/>
            <w:vMerge/>
          </w:tcPr>
          <w:p w14:paraId="05B63AC5" w14:textId="77777777" w:rsidR="00C43F75" w:rsidRPr="00B22BCB" w:rsidRDefault="00C43F75" w:rsidP="00A32C46">
            <w:pPr>
              <w:pStyle w:val="Tabletext"/>
              <w:keepNext/>
              <w:jc w:val="center"/>
              <w:rPr>
                <w:b/>
                <w:bCs/>
              </w:rPr>
            </w:pPr>
          </w:p>
        </w:tc>
        <w:tc>
          <w:tcPr>
            <w:tcW w:w="1418" w:type="dxa"/>
            <w:vMerge/>
          </w:tcPr>
          <w:p w14:paraId="3AF94293" w14:textId="77777777" w:rsidR="00C43F75" w:rsidRPr="00B22BCB" w:rsidRDefault="00C43F75" w:rsidP="00A32C46">
            <w:pPr>
              <w:pStyle w:val="Tabletext"/>
              <w:keepNext/>
              <w:jc w:val="right"/>
              <w:rPr>
                <w:b/>
                <w:bCs/>
              </w:rPr>
            </w:pPr>
          </w:p>
        </w:tc>
      </w:tr>
      <w:tr w:rsidR="00C43F75" w:rsidRPr="00B22BCB" w14:paraId="06F5CF31" w14:textId="77777777" w:rsidTr="003C3192">
        <w:tc>
          <w:tcPr>
            <w:tcW w:w="1980" w:type="dxa"/>
          </w:tcPr>
          <w:p w14:paraId="3717D9DE" w14:textId="77777777" w:rsidR="00C43F75" w:rsidRPr="00A32C46" w:rsidRDefault="00C43F75" w:rsidP="00144CAC">
            <w:pPr>
              <w:pStyle w:val="Tabletext"/>
              <w:keepNext/>
              <w:rPr>
                <w:b/>
                <w:bCs/>
              </w:rPr>
            </w:pPr>
            <w:r w:rsidRPr="00A32C46">
              <w:rPr>
                <w:b/>
                <w:bCs/>
              </w:rPr>
              <w:t>Imatinib</w:t>
            </w:r>
          </w:p>
        </w:tc>
        <w:tc>
          <w:tcPr>
            <w:tcW w:w="1276" w:type="dxa"/>
          </w:tcPr>
          <w:p w14:paraId="14ECEEFC" w14:textId="612DE362" w:rsidR="00C43F75" w:rsidRPr="00B22BCB" w:rsidRDefault="00A0423F" w:rsidP="00A32C46">
            <w:pPr>
              <w:pStyle w:val="Tabletext"/>
              <w:keepNext/>
              <w:jc w:val="center"/>
            </w:pPr>
            <w:r>
              <w:t>32 (</w:t>
            </w:r>
            <w:r w:rsidR="00C43F75" w:rsidRPr="00B22BCB">
              <w:t>17%</w:t>
            </w:r>
            <w:r>
              <w:t>)</w:t>
            </w:r>
          </w:p>
        </w:tc>
        <w:tc>
          <w:tcPr>
            <w:tcW w:w="1701" w:type="dxa"/>
          </w:tcPr>
          <w:p w14:paraId="6098F9C2" w14:textId="6D56D423" w:rsidR="00C43F75" w:rsidRPr="00B22BCB" w:rsidRDefault="00A0423F" w:rsidP="00A32C46">
            <w:pPr>
              <w:pStyle w:val="Tabletext"/>
              <w:keepNext/>
              <w:jc w:val="center"/>
            </w:pPr>
            <w:r>
              <w:t>116 (</w:t>
            </w:r>
            <w:r w:rsidR="00C43F75" w:rsidRPr="00B22BCB">
              <w:t>25%</w:t>
            </w:r>
            <w:r>
              <w:t>)</w:t>
            </w:r>
          </w:p>
        </w:tc>
        <w:tc>
          <w:tcPr>
            <w:tcW w:w="2551" w:type="dxa"/>
          </w:tcPr>
          <w:p w14:paraId="67B27ADD" w14:textId="2A39D8B3" w:rsidR="00C43F75" w:rsidRPr="00B22BCB" w:rsidRDefault="003E4876" w:rsidP="00A32C46">
            <w:pPr>
              <w:pStyle w:val="Tabletext"/>
              <w:keepNext/>
              <w:jc w:val="center"/>
            </w:pPr>
            <w:r>
              <w:t>87</w:t>
            </w:r>
            <w:r w:rsidR="003C3192">
              <w:t xml:space="preserve"> (</w:t>
            </w:r>
            <w:r w:rsidR="00C43F75" w:rsidRPr="00B22BCB">
              <w:t>20%</w:t>
            </w:r>
            <w:r w:rsidR="003C3192">
              <w:t>)</w:t>
            </w:r>
          </w:p>
        </w:tc>
        <w:tc>
          <w:tcPr>
            <w:tcW w:w="1418" w:type="dxa"/>
          </w:tcPr>
          <w:p w14:paraId="452065FF" w14:textId="77777777" w:rsidR="00C43F75" w:rsidRPr="00B22BCB" w:rsidRDefault="00C43F75" w:rsidP="00A32C46">
            <w:pPr>
              <w:pStyle w:val="Tabletext"/>
              <w:keepNext/>
              <w:jc w:val="right"/>
            </w:pPr>
            <w:r w:rsidRPr="00B22BCB">
              <w:t>$662.61</w:t>
            </w:r>
          </w:p>
        </w:tc>
      </w:tr>
      <w:tr w:rsidR="00C43F75" w:rsidRPr="00B22BCB" w14:paraId="3574C7A4" w14:textId="77777777" w:rsidTr="003C3192">
        <w:tc>
          <w:tcPr>
            <w:tcW w:w="1980" w:type="dxa"/>
          </w:tcPr>
          <w:p w14:paraId="1F1A3F54" w14:textId="77777777" w:rsidR="00C43F75" w:rsidRPr="00A32C46" w:rsidRDefault="00C43F75" w:rsidP="00144CAC">
            <w:pPr>
              <w:pStyle w:val="Tabletext"/>
              <w:keepNext/>
              <w:rPr>
                <w:b/>
                <w:bCs/>
              </w:rPr>
            </w:pPr>
            <w:r w:rsidRPr="00A32C46">
              <w:rPr>
                <w:b/>
                <w:bCs/>
              </w:rPr>
              <w:t>Dasatinib</w:t>
            </w:r>
          </w:p>
        </w:tc>
        <w:tc>
          <w:tcPr>
            <w:tcW w:w="1276" w:type="dxa"/>
          </w:tcPr>
          <w:p w14:paraId="033CA818" w14:textId="016E7752" w:rsidR="00C43F75" w:rsidRPr="00B22BCB" w:rsidRDefault="00A0423F" w:rsidP="00A32C46">
            <w:pPr>
              <w:pStyle w:val="Tabletext"/>
              <w:keepNext/>
              <w:jc w:val="center"/>
            </w:pPr>
            <w:r>
              <w:t>74 (</w:t>
            </w:r>
            <w:r w:rsidR="00C43F75" w:rsidRPr="00B22BCB">
              <w:t>39%</w:t>
            </w:r>
            <w:r>
              <w:t>)</w:t>
            </w:r>
          </w:p>
        </w:tc>
        <w:tc>
          <w:tcPr>
            <w:tcW w:w="1701" w:type="dxa"/>
          </w:tcPr>
          <w:p w14:paraId="49094DD3" w14:textId="4BF4233D" w:rsidR="00C43F75" w:rsidRPr="00B22BCB" w:rsidRDefault="00A0423F" w:rsidP="00A32C46">
            <w:pPr>
              <w:pStyle w:val="Tabletext"/>
              <w:keepNext/>
              <w:jc w:val="center"/>
            </w:pPr>
            <w:r>
              <w:t>168 (</w:t>
            </w:r>
            <w:r w:rsidR="00C43F75" w:rsidRPr="00B22BCB">
              <w:t>36%</w:t>
            </w:r>
            <w:r>
              <w:t>)</w:t>
            </w:r>
          </w:p>
        </w:tc>
        <w:tc>
          <w:tcPr>
            <w:tcW w:w="2551" w:type="dxa"/>
          </w:tcPr>
          <w:p w14:paraId="04FB7ED6" w14:textId="7C2A97E2" w:rsidR="00C43F75" w:rsidRPr="00B22BCB" w:rsidRDefault="003E4876" w:rsidP="00A32C46">
            <w:pPr>
              <w:pStyle w:val="Tabletext"/>
              <w:keepNext/>
              <w:jc w:val="center"/>
            </w:pPr>
            <w:r>
              <w:t>167</w:t>
            </w:r>
            <w:r w:rsidR="003C3192">
              <w:t xml:space="preserve"> (</w:t>
            </w:r>
            <w:r w:rsidR="00C43F75" w:rsidRPr="00B22BCB">
              <w:t>38%</w:t>
            </w:r>
            <w:r w:rsidR="003C3192">
              <w:t>)</w:t>
            </w:r>
          </w:p>
        </w:tc>
        <w:tc>
          <w:tcPr>
            <w:tcW w:w="1418" w:type="dxa"/>
          </w:tcPr>
          <w:p w14:paraId="3F3D806E" w14:textId="77777777" w:rsidR="00C43F75" w:rsidRPr="00B22BCB" w:rsidRDefault="00C43F75" w:rsidP="00A32C46">
            <w:pPr>
              <w:pStyle w:val="Tabletext"/>
              <w:keepNext/>
              <w:jc w:val="right"/>
            </w:pPr>
            <w:r w:rsidRPr="00B22BCB">
              <w:t>$3,247.11</w:t>
            </w:r>
          </w:p>
        </w:tc>
      </w:tr>
      <w:tr w:rsidR="00C43F75" w:rsidRPr="00B22BCB" w14:paraId="1B6D4FC2" w14:textId="77777777" w:rsidTr="003C3192">
        <w:tc>
          <w:tcPr>
            <w:tcW w:w="1980" w:type="dxa"/>
          </w:tcPr>
          <w:p w14:paraId="5C1BA396" w14:textId="77777777" w:rsidR="00C43F75" w:rsidRPr="00A32C46" w:rsidRDefault="00C43F75" w:rsidP="00144CAC">
            <w:pPr>
              <w:pStyle w:val="Tabletext"/>
              <w:keepNext/>
              <w:rPr>
                <w:b/>
                <w:bCs/>
              </w:rPr>
            </w:pPr>
            <w:r w:rsidRPr="00A32C46">
              <w:rPr>
                <w:b/>
                <w:bCs/>
              </w:rPr>
              <w:t>Nilotinib</w:t>
            </w:r>
          </w:p>
        </w:tc>
        <w:tc>
          <w:tcPr>
            <w:tcW w:w="1276" w:type="dxa"/>
          </w:tcPr>
          <w:p w14:paraId="0D1D5A49" w14:textId="04CE91C2" w:rsidR="00C43F75" w:rsidRPr="00B22BCB" w:rsidRDefault="00A0423F" w:rsidP="00A32C46">
            <w:pPr>
              <w:pStyle w:val="Tabletext"/>
              <w:keepNext/>
              <w:jc w:val="center"/>
            </w:pPr>
            <w:r>
              <w:t>84 (</w:t>
            </w:r>
            <w:r w:rsidR="00C43F75" w:rsidRPr="00B22BCB">
              <w:t>44%</w:t>
            </w:r>
            <w:r>
              <w:t>)</w:t>
            </w:r>
          </w:p>
        </w:tc>
        <w:tc>
          <w:tcPr>
            <w:tcW w:w="1701" w:type="dxa"/>
          </w:tcPr>
          <w:p w14:paraId="3A1D5552" w14:textId="052275A0" w:rsidR="00C43F75" w:rsidRPr="00B22BCB" w:rsidRDefault="00A0423F" w:rsidP="00A32C46">
            <w:pPr>
              <w:pStyle w:val="Tabletext"/>
              <w:keepNext/>
              <w:jc w:val="center"/>
            </w:pPr>
            <w:r>
              <w:t>137 (</w:t>
            </w:r>
            <w:r w:rsidR="00C43F75" w:rsidRPr="00B22BCB">
              <w:t>30%</w:t>
            </w:r>
            <w:r>
              <w:t>)</w:t>
            </w:r>
          </w:p>
        </w:tc>
        <w:tc>
          <w:tcPr>
            <w:tcW w:w="2551" w:type="dxa"/>
          </w:tcPr>
          <w:p w14:paraId="125F0A7A" w14:textId="2ABE77FF" w:rsidR="00C43F75" w:rsidRPr="00B22BCB" w:rsidRDefault="003E4876" w:rsidP="00A32C46">
            <w:pPr>
              <w:pStyle w:val="Tabletext"/>
              <w:keepNext/>
              <w:jc w:val="center"/>
            </w:pPr>
            <w:r>
              <w:t>146</w:t>
            </w:r>
            <w:r w:rsidR="003C3192">
              <w:t xml:space="preserve"> (</w:t>
            </w:r>
            <w:r w:rsidR="00C43F75" w:rsidRPr="00B22BCB">
              <w:t>33%</w:t>
            </w:r>
            <w:r w:rsidR="003C3192">
              <w:t>)</w:t>
            </w:r>
          </w:p>
        </w:tc>
        <w:tc>
          <w:tcPr>
            <w:tcW w:w="1418" w:type="dxa"/>
          </w:tcPr>
          <w:p w14:paraId="63219C12" w14:textId="77777777" w:rsidR="00C43F75" w:rsidRPr="00B22BCB" w:rsidRDefault="00C43F75" w:rsidP="00A32C46">
            <w:pPr>
              <w:pStyle w:val="Tabletext"/>
              <w:keepNext/>
              <w:jc w:val="right"/>
            </w:pPr>
            <w:r w:rsidRPr="00B22BCB">
              <w:t>$5,056.76</w:t>
            </w:r>
          </w:p>
        </w:tc>
      </w:tr>
      <w:tr w:rsidR="00C43F75" w:rsidRPr="00B22BCB" w14:paraId="02E67C60" w14:textId="77777777" w:rsidTr="003C3192">
        <w:tc>
          <w:tcPr>
            <w:tcW w:w="1980" w:type="dxa"/>
          </w:tcPr>
          <w:p w14:paraId="4B998A8F" w14:textId="77777777" w:rsidR="00C43F75" w:rsidRPr="00A32C46" w:rsidRDefault="00C43F75" w:rsidP="00144CAC">
            <w:pPr>
              <w:pStyle w:val="Tabletext"/>
              <w:keepNext/>
              <w:rPr>
                <w:b/>
                <w:bCs/>
              </w:rPr>
            </w:pPr>
            <w:r w:rsidRPr="00A32C46">
              <w:rPr>
                <w:b/>
                <w:bCs/>
              </w:rPr>
              <w:t>Ponatinib</w:t>
            </w:r>
          </w:p>
        </w:tc>
        <w:tc>
          <w:tcPr>
            <w:tcW w:w="1276" w:type="dxa"/>
          </w:tcPr>
          <w:p w14:paraId="3C4FDCC2" w14:textId="596AD2A2" w:rsidR="00C43F75" w:rsidRPr="00B22BCB" w:rsidRDefault="00A0423F" w:rsidP="00A32C46">
            <w:pPr>
              <w:pStyle w:val="Tabletext"/>
              <w:keepNext/>
              <w:jc w:val="center"/>
            </w:pPr>
            <w:r>
              <w:t>0 (</w:t>
            </w:r>
            <w:r w:rsidR="00C43F75" w:rsidRPr="00B22BCB">
              <w:t>0%</w:t>
            </w:r>
            <w:r>
              <w:t>)</w:t>
            </w:r>
          </w:p>
        </w:tc>
        <w:tc>
          <w:tcPr>
            <w:tcW w:w="1701" w:type="dxa"/>
          </w:tcPr>
          <w:p w14:paraId="5ED4D804" w14:textId="788F6230" w:rsidR="00C43F75" w:rsidRPr="00B22BCB" w:rsidRDefault="00A0423F" w:rsidP="00A32C46">
            <w:pPr>
              <w:pStyle w:val="Tabletext"/>
              <w:keepNext/>
              <w:jc w:val="center"/>
            </w:pPr>
            <w:r>
              <w:t>42 (</w:t>
            </w:r>
            <w:r w:rsidR="00C43F75" w:rsidRPr="00B22BCB">
              <w:t>9%</w:t>
            </w:r>
            <w:r>
              <w:t>)</w:t>
            </w:r>
          </w:p>
        </w:tc>
        <w:tc>
          <w:tcPr>
            <w:tcW w:w="2551" w:type="dxa"/>
          </w:tcPr>
          <w:p w14:paraId="266FED9E" w14:textId="314D8DE3" w:rsidR="00C43F75" w:rsidRPr="00B22BCB" w:rsidRDefault="003E4876" w:rsidP="00A32C46">
            <w:pPr>
              <w:pStyle w:val="Tabletext"/>
              <w:keepNext/>
              <w:jc w:val="center"/>
            </w:pPr>
            <w:r>
              <w:t>37</w:t>
            </w:r>
            <w:r w:rsidR="003C3192">
              <w:t xml:space="preserve"> (</w:t>
            </w:r>
            <w:r w:rsidR="00C43F75" w:rsidRPr="00B22BCB">
              <w:t>8%</w:t>
            </w:r>
            <w:r w:rsidR="003C3192">
              <w:t>)</w:t>
            </w:r>
          </w:p>
        </w:tc>
        <w:tc>
          <w:tcPr>
            <w:tcW w:w="1418" w:type="dxa"/>
          </w:tcPr>
          <w:p w14:paraId="2EFB89E9" w14:textId="77777777" w:rsidR="00C43F75" w:rsidRPr="00B22BCB" w:rsidRDefault="00C43F75" w:rsidP="00A32C46">
            <w:pPr>
              <w:pStyle w:val="Tabletext"/>
              <w:keepNext/>
              <w:jc w:val="right"/>
            </w:pPr>
            <w:r w:rsidRPr="00B22BCB">
              <w:t>$6,172.87</w:t>
            </w:r>
          </w:p>
        </w:tc>
      </w:tr>
    </w:tbl>
    <w:p w14:paraId="5F3E2259" w14:textId="1C5F207C" w:rsidR="00BC75C9" w:rsidRPr="00B22BCB" w:rsidRDefault="00BC75C9" w:rsidP="00BC75C9">
      <w:pPr>
        <w:pStyle w:val="TableFigureFooter"/>
      </w:pPr>
      <w:r w:rsidRPr="00B22BCB">
        <w:t>Source: ‘Total patients on Drugs by line’ tab, 10% PBS sample DUSC Reanalysis.xlsx, PBS listings of DPMQ</w:t>
      </w:r>
      <w:r w:rsidR="00566191" w:rsidRPr="00B22BCB">
        <w:t xml:space="preserve"> as of 10/04/2022.</w:t>
      </w:r>
    </w:p>
    <w:p w14:paraId="7D134E96" w14:textId="77AF0612" w:rsidR="00BC75C9" w:rsidRPr="00B22BCB" w:rsidRDefault="00BC75C9" w:rsidP="00C31F78">
      <w:pPr>
        <w:pStyle w:val="TableFigureFooter"/>
        <w:rPr>
          <w:iCs/>
        </w:rPr>
      </w:pPr>
      <w:r w:rsidRPr="00B22BCB">
        <w:t>CML = chronic myeloid leukaemia; DPMQ = Dispensed Price for Maximum Quantity; TKI = tyrosine kinase inhibitor.</w:t>
      </w:r>
    </w:p>
    <w:p w14:paraId="61E1AE2A" w14:textId="30278D00" w:rsidR="00631625" w:rsidRPr="002E7D71" w:rsidRDefault="00D56E18" w:rsidP="00DD0110">
      <w:pPr>
        <w:pStyle w:val="3-BodyText"/>
        <w:rPr>
          <w:snapToGrid/>
        </w:rPr>
      </w:pPr>
      <w:r w:rsidRPr="002E7D71">
        <w:t>The PSCR maintained that nilotinib is the appropriate comparator. It stated that asciminib will only replace therapies when patients fail or experience intolerance to their current treatment, and</w:t>
      </w:r>
      <w:r w:rsidR="00631625" w:rsidRPr="002E7D71">
        <w:t xml:space="preserve"> thus</w:t>
      </w:r>
      <w:r w:rsidRPr="002E7D71">
        <w:t xml:space="preserve"> provided an</w:t>
      </w:r>
      <w:r w:rsidR="00D84294" w:rsidRPr="002E7D71">
        <w:t xml:space="preserve"> updated</w:t>
      </w:r>
      <w:r w:rsidRPr="002E7D71">
        <w:t xml:space="preserve"> analysis of treatment sequences to determine which TKI is the most frequently used to initiate treatment after failure or intolerance to a second TKI. The PSCR stated that the analysis presented in the submission, and the PSCR analysis, showed that nilotinib was the most commonly used third TKI in all treatment sequences</w:t>
      </w:r>
      <w:r w:rsidR="007E5CFD" w:rsidRPr="002E7D71">
        <w:t xml:space="preserve"> (</w:t>
      </w:r>
      <w:r w:rsidR="00D84294" w:rsidRPr="002E7D71">
        <w:t xml:space="preserve">49.1% and </w:t>
      </w:r>
      <w:r w:rsidR="007E5CFD" w:rsidRPr="002E7D71">
        <w:t>54.5%</w:t>
      </w:r>
      <w:r w:rsidR="00D84294" w:rsidRPr="002E7D71">
        <w:t xml:space="preserve"> (re-analysis)</w:t>
      </w:r>
      <w:r w:rsidR="007E5CFD" w:rsidRPr="002E7D71">
        <w:t xml:space="preserve"> </w:t>
      </w:r>
      <w:r w:rsidR="00D84294" w:rsidRPr="002E7D71">
        <w:t xml:space="preserve">of </w:t>
      </w:r>
      <w:r w:rsidR="007E5CFD" w:rsidRPr="002E7D71">
        <w:t>patients)</w:t>
      </w:r>
      <w:r w:rsidR="00631625" w:rsidRPr="002E7D71">
        <w:t>.</w:t>
      </w:r>
      <w:r w:rsidR="007E5CFD" w:rsidRPr="002E7D71">
        <w:t xml:space="preserve"> The ESC noted that </w:t>
      </w:r>
      <w:r w:rsidR="00D84294" w:rsidRPr="002E7D71">
        <w:t>these data only represent 108 patients with specific sequences and the updated data only represent 116 patients</w:t>
      </w:r>
      <w:r w:rsidR="00845815" w:rsidRPr="002E7D71">
        <w:t>, and</w:t>
      </w:r>
      <w:r w:rsidR="008C345B" w:rsidRPr="002E7D71">
        <w:t xml:space="preserve"> furthermore</w:t>
      </w:r>
      <w:r w:rsidR="00845815" w:rsidRPr="002E7D71">
        <w:t xml:space="preserve"> considered it to be out of date</w:t>
      </w:r>
      <w:r w:rsidR="008C345B" w:rsidRPr="002E7D71">
        <w:t xml:space="preserve"> (data range started at 2016)</w:t>
      </w:r>
      <w:r w:rsidR="00845815" w:rsidRPr="002E7D71">
        <w:t>.</w:t>
      </w:r>
      <w:r w:rsidR="002C3C70">
        <w:t xml:space="preserve"> The pre-PBAC response maintained that nilotinib is the appropriate main comparator, and stated </w:t>
      </w:r>
      <w:r w:rsidR="002C3C70" w:rsidRPr="002C3C70">
        <w:t>that dasatinib is listed on the PBS for patients in all three CML phases</w:t>
      </w:r>
      <w:r w:rsidR="002C3C70">
        <w:t xml:space="preserve"> (chronic, accelerated or </w:t>
      </w:r>
      <w:r w:rsidR="002C3C70" w:rsidRPr="00F1344D">
        <w:rPr>
          <w:rFonts w:cstheme="minorHAnsi"/>
        </w:rPr>
        <w:t>blast</w:t>
      </w:r>
      <w:r w:rsidR="00F1344D" w:rsidRPr="00F1344D">
        <w:rPr>
          <w:rFonts w:cstheme="minorHAnsi"/>
        </w:rPr>
        <w:t xml:space="preserve">; </w:t>
      </w:r>
      <w:r w:rsidR="00F1344D" w:rsidRPr="00F1344D">
        <w:rPr>
          <w:rFonts w:cstheme="minorHAnsi"/>
        </w:rPr>
        <w:fldChar w:fldCharType="begin"/>
      </w:r>
      <w:r w:rsidR="00F1344D" w:rsidRPr="00F1344D">
        <w:rPr>
          <w:rFonts w:cstheme="minorHAnsi"/>
        </w:rPr>
        <w:instrText xml:space="preserve"> REF _Ref103742131 \h  \* MERGEFORMAT </w:instrText>
      </w:r>
      <w:r w:rsidR="00F1344D" w:rsidRPr="00F1344D">
        <w:rPr>
          <w:rFonts w:cstheme="minorHAnsi"/>
        </w:rPr>
      </w:r>
      <w:r w:rsidR="00F1344D" w:rsidRPr="00F1344D">
        <w:rPr>
          <w:rFonts w:cstheme="minorHAnsi"/>
        </w:rPr>
        <w:fldChar w:fldCharType="separate"/>
      </w:r>
      <w:r w:rsidR="00A914F4" w:rsidRPr="00A914F4">
        <w:rPr>
          <w:rFonts w:eastAsiaTheme="majorEastAsia" w:cstheme="minorHAnsi"/>
        </w:rPr>
        <w:t xml:space="preserve">Table </w:t>
      </w:r>
      <w:r w:rsidR="00A914F4" w:rsidRPr="00A914F4">
        <w:rPr>
          <w:rFonts w:eastAsiaTheme="majorEastAsia" w:cstheme="minorHAnsi"/>
          <w:noProof/>
        </w:rPr>
        <w:t>2</w:t>
      </w:r>
      <w:r w:rsidR="00F1344D" w:rsidRPr="00F1344D">
        <w:rPr>
          <w:rFonts w:cstheme="minorHAnsi"/>
        </w:rPr>
        <w:fldChar w:fldCharType="end"/>
      </w:r>
      <w:r w:rsidR="002C3C70">
        <w:t>)</w:t>
      </w:r>
      <w:r w:rsidR="00F1344D">
        <w:t>, whereas nilotinib has restrictions for only chronic or accelerated phases,</w:t>
      </w:r>
      <w:r w:rsidR="002C3C70" w:rsidRPr="002C3C70">
        <w:t xml:space="preserve"> and that the proportion of dasatinib use in third or later lines in CML therefore reflects a wider population relative to nilotinib</w:t>
      </w:r>
      <w:r w:rsidR="00F1344D">
        <w:t>.</w:t>
      </w:r>
    </w:p>
    <w:p w14:paraId="55F2A96C" w14:textId="7858FCBB" w:rsidR="00351F93" w:rsidRPr="00AC2450" w:rsidRDefault="00BD7683" w:rsidP="0076682F">
      <w:pPr>
        <w:pStyle w:val="3-BodyText"/>
        <w:rPr>
          <w:iCs/>
          <w:snapToGrid/>
          <w:color w:val="0066FF"/>
        </w:rPr>
      </w:pPr>
      <w:r>
        <w:lastRenderedPageBreak/>
        <w:t xml:space="preserve">The submission stated that asciminib may also be used in later lines of treatment. In the pivotal ASCEMBL trial, </w:t>
      </w:r>
      <w:r w:rsidRPr="00234053">
        <w:t xml:space="preserve">56.7% of patients </w:t>
      </w:r>
      <w:r>
        <w:t>in the</w:t>
      </w:r>
      <w:r w:rsidRPr="00234053">
        <w:t xml:space="preserve"> asciminib</w:t>
      </w:r>
      <w:r>
        <w:t xml:space="preserve"> arm</w:t>
      </w:r>
      <w:r w:rsidRPr="00234053">
        <w:t xml:space="preserve"> had been treated with </w:t>
      </w:r>
      <w:r>
        <w:t>two</w:t>
      </w:r>
      <w:r w:rsidRPr="00234053">
        <w:t xml:space="preserve"> prior TKIs and 33.8% had been treated with </w:t>
      </w:r>
      <w:r>
        <w:t>three</w:t>
      </w:r>
      <w:r w:rsidRPr="00234053">
        <w:t xml:space="preserve"> prior TKIs</w:t>
      </w:r>
      <w:r>
        <w:t xml:space="preserve">. </w:t>
      </w:r>
      <w:r w:rsidR="007519C5" w:rsidRPr="00B22BCB">
        <w:t xml:space="preserve">For patients who have received three prior TKIs, ponatinib is the only remaining choice of PBS-subsidised therapy. As such, ponatinib was nominated as the supplementary comparator. </w:t>
      </w:r>
      <w:r w:rsidR="007519C5" w:rsidRPr="00AC2450">
        <w:rPr>
          <w:iCs/>
        </w:rPr>
        <w:t>This is</w:t>
      </w:r>
      <w:r w:rsidR="00701D71" w:rsidRPr="00AC2450">
        <w:rPr>
          <w:iCs/>
        </w:rPr>
        <w:t xml:space="preserve"> the most appropriate comparator for patients who have failed 3 prior TKIs, however </w:t>
      </w:r>
      <w:r w:rsidR="00D34806" w:rsidRPr="00AC2450">
        <w:rPr>
          <w:iCs/>
        </w:rPr>
        <w:t>only in patients who do not have the T315I mutation; this represents a minority market share of ponatinib use in Australia</w:t>
      </w:r>
      <w:r w:rsidR="007519C5" w:rsidRPr="00AC2450">
        <w:rPr>
          <w:iCs/>
        </w:rPr>
        <w:t>.</w:t>
      </w:r>
      <w:r w:rsidR="00E23AD0" w:rsidRPr="00AC2450">
        <w:rPr>
          <w:iCs/>
          <w:snapToGrid/>
          <w:color w:val="0066FF"/>
        </w:rPr>
        <w:t xml:space="preserve"> </w:t>
      </w:r>
      <w:r w:rsidR="005765CE" w:rsidRPr="00AC2450">
        <w:rPr>
          <w:iCs/>
          <w:snapToGrid/>
        </w:rPr>
        <w:t>The pre-PBAC response further clarified</w:t>
      </w:r>
      <w:r w:rsidR="005D2DC9" w:rsidRPr="00AC2450">
        <w:rPr>
          <w:iCs/>
          <w:snapToGrid/>
        </w:rPr>
        <w:t xml:space="preserve"> that ponatinib was not nominated as the supplementary comparator on the basis that it was likely used in patients with the T315I mutation</w:t>
      </w:r>
      <w:r w:rsidR="00AC2450" w:rsidRPr="00AC2450">
        <w:rPr>
          <w:iCs/>
          <w:snapToGrid/>
        </w:rPr>
        <w:t>; r</w:t>
      </w:r>
      <w:r w:rsidR="005D2DC9" w:rsidRPr="00AC2450">
        <w:rPr>
          <w:iCs/>
          <w:snapToGrid/>
        </w:rPr>
        <w:t xml:space="preserve">ather, the claim of non-inferior efficacy of asciminib versus ponatinib was based on the comparison between asciminib and the resistant/intolerant cohort of the PACE trial (with </w:t>
      </w:r>
      <w:r w:rsidR="005D2DC9" w:rsidRPr="00AC2450">
        <w:t>98% of the patients in this cohort having received at least two prior TKIs</w:t>
      </w:r>
      <w:r w:rsidR="005D2DC9" w:rsidRPr="00AC2450">
        <w:rPr>
          <w:iCs/>
          <w:snapToGrid/>
        </w:rPr>
        <w:t xml:space="preserve">). </w:t>
      </w:r>
    </w:p>
    <w:p w14:paraId="6D536C05" w14:textId="21DB12E5" w:rsidR="00612141" w:rsidRPr="002E7D71" w:rsidRDefault="00E82399" w:rsidP="003C24C7">
      <w:pPr>
        <w:pStyle w:val="3-BodyText"/>
        <w:rPr>
          <w:snapToGrid/>
          <w:color w:val="0066FF"/>
        </w:rPr>
      </w:pPr>
      <w:r w:rsidRPr="002E7D71">
        <w:t xml:space="preserve">The PBAC </w:t>
      </w:r>
      <w:r w:rsidRPr="00945C76">
        <w:t>previously estimated that 15% of patients who fail first-line TKI therapy will have the T315I mutation</w:t>
      </w:r>
      <w:r w:rsidR="00351F93" w:rsidRPr="00945C76">
        <w:t xml:space="preserve"> (paragraph </w:t>
      </w:r>
      <w:r w:rsidR="00351F93" w:rsidRPr="00945C76">
        <w:fldChar w:fldCharType="begin"/>
      </w:r>
      <w:r w:rsidR="00351F93" w:rsidRPr="00945C76">
        <w:instrText xml:space="preserve"> REF _Ref106194017 \r \h  \* MERGEFORMAT </w:instrText>
      </w:r>
      <w:r w:rsidR="00351F93" w:rsidRPr="00945C76">
        <w:fldChar w:fldCharType="separate"/>
      </w:r>
      <w:r w:rsidR="00A914F4">
        <w:t>4.8</w:t>
      </w:r>
      <w:r w:rsidR="00351F93" w:rsidRPr="00945C76">
        <w:fldChar w:fldCharType="end"/>
      </w:r>
      <w:r w:rsidR="00351F93" w:rsidRPr="00945C76">
        <w:t>), and ponatinib</w:t>
      </w:r>
      <w:r w:rsidR="00351F93" w:rsidRPr="002E7D71">
        <w:t xml:space="preserve"> will be used in &gt;90% of these patients</w:t>
      </w:r>
      <w:r w:rsidRPr="002E7D71">
        <w:t>.</w:t>
      </w:r>
      <w:r w:rsidR="003C24C7" w:rsidRPr="002E7D71">
        <w:t xml:space="preserve"> The PBAC estimation of ponatinib uptake is consistent with the submission’s projected ponatinib use in 9-11% of the target population over the next 6 years, assuming the vast majority of this use is in patients with the T315I mutation.</w:t>
      </w:r>
      <w:r w:rsidR="003C24C7" w:rsidRPr="002E7D71">
        <w:rPr>
          <w:snapToGrid/>
          <w:color w:val="0066FF"/>
        </w:rPr>
        <w:t xml:space="preserve"> </w:t>
      </w:r>
      <w:r w:rsidRPr="002E7D71">
        <w:t>The submission did not present any comparative evidence between asciminib and ponatinib in patients</w:t>
      </w:r>
      <w:r w:rsidR="00AB48CF" w:rsidRPr="002E7D71">
        <w:t xml:space="preserve"> with the T315I mutation</w:t>
      </w:r>
      <w:r w:rsidRPr="002E7D71">
        <w:t>, but claimed that asciminib is non-inferior to ponatinib in terms of its effectiveness.</w:t>
      </w:r>
      <w:r w:rsidR="003C24C7" w:rsidRPr="002E7D71">
        <w:t xml:space="preserve"> </w:t>
      </w:r>
      <w:r w:rsidR="003B1C49" w:rsidRPr="002E7D71">
        <w:t>The ESC noted that t</w:t>
      </w:r>
      <w:r w:rsidR="003C24C7" w:rsidRPr="002E7D71">
        <w:t xml:space="preserve">here are single arm data </w:t>
      </w:r>
      <w:r w:rsidR="003C24C7" w:rsidRPr="00945C76">
        <w:t>available</w:t>
      </w:r>
      <w:r w:rsidR="003B1C49" w:rsidRPr="00945C76">
        <w:t xml:space="preserve"> for 45 patients with Ph+ CML in CP with the T315I mutation treated with asciminib in a multi-centre, open-label clinical trial, </w:t>
      </w:r>
      <w:r w:rsidR="00020512" w:rsidRPr="00945C76">
        <w:rPr>
          <w:bCs/>
        </w:rPr>
        <w:t>CABL001</w:t>
      </w:r>
      <w:r w:rsidR="003B1C49" w:rsidRPr="00945C76">
        <w:t>X2101</w:t>
      </w:r>
      <w:r w:rsidR="00DC2B2F" w:rsidRPr="00945C76">
        <w:t>; this trial was excluded from the</w:t>
      </w:r>
      <w:r w:rsidR="00020512" w:rsidRPr="00945C76">
        <w:t xml:space="preserve"> main analysis of the</w:t>
      </w:r>
      <w:r w:rsidR="00DC2B2F" w:rsidRPr="00945C76">
        <w:t xml:space="preserve"> submission as it was a dose-finding study</w:t>
      </w:r>
      <w:r w:rsidR="00020512" w:rsidRPr="00945C76">
        <w:t>, but presented in an appendix</w:t>
      </w:r>
      <w:r w:rsidR="00DC2B2F" w:rsidRPr="00945C76">
        <w:t>. The evaluation provided a</w:t>
      </w:r>
      <w:r w:rsidR="007F0B16" w:rsidRPr="00945C76">
        <w:t xml:space="preserve"> brief</w:t>
      </w:r>
      <w:r w:rsidR="00DC2B2F" w:rsidRPr="00945C76">
        <w:t xml:space="preserve"> analysis of the T315I-mutated patients in the </w:t>
      </w:r>
      <w:r w:rsidR="00020512" w:rsidRPr="00945C76">
        <w:rPr>
          <w:bCs/>
        </w:rPr>
        <w:t>CABL001</w:t>
      </w:r>
      <w:r w:rsidR="00DC2B2F" w:rsidRPr="00945C76">
        <w:t>X2101 (asciminib) and PACE (ponatinib) trials (see paragraph</w:t>
      </w:r>
      <w:r w:rsidR="003151C5" w:rsidRPr="00945C76">
        <w:t xml:space="preserve"> </w:t>
      </w:r>
      <w:r w:rsidR="003151C5" w:rsidRPr="00945C76">
        <w:fldChar w:fldCharType="begin"/>
      </w:r>
      <w:r w:rsidR="003151C5" w:rsidRPr="00945C76">
        <w:instrText xml:space="preserve"> REF _Ref106270781 \r \h </w:instrText>
      </w:r>
      <w:r w:rsidR="00A900A7" w:rsidRPr="00945C76">
        <w:instrText xml:space="preserve"> \* MERGEFORMAT </w:instrText>
      </w:r>
      <w:r w:rsidR="003151C5" w:rsidRPr="00945C76">
        <w:fldChar w:fldCharType="separate"/>
      </w:r>
      <w:r w:rsidR="00A914F4">
        <w:t>6.22</w:t>
      </w:r>
      <w:r w:rsidR="003151C5" w:rsidRPr="00945C76">
        <w:fldChar w:fldCharType="end"/>
      </w:r>
      <w:r w:rsidR="00DC2B2F" w:rsidRPr="00945C76">
        <w:t xml:space="preserve"> below)</w:t>
      </w:r>
      <w:r w:rsidR="003B1C49" w:rsidRPr="00945C76">
        <w:t>.</w:t>
      </w:r>
    </w:p>
    <w:p w14:paraId="4CA3A007" w14:textId="7F653BC7" w:rsidR="008C0D3B" w:rsidRPr="008C0D3B" w:rsidRDefault="00612141" w:rsidP="003C24C7">
      <w:pPr>
        <w:pStyle w:val="3-BodyText"/>
        <w:rPr>
          <w:snapToGrid/>
          <w:color w:val="0066FF"/>
        </w:rPr>
      </w:pPr>
      <w:bookmarkStart w:id="20" w:name="_Ref110192458"/>
      <w:r w:rsidRPr="002E7D71">
        <w:t>In the PBAC consideration of ponatinib in CML (November 2014 and July 2015), the PBAC noted that the comparators for ponatinib were complex. It considered that depending on different clinical scenarios, the comparators could be dasatinib or nilotinib or other non-TKI therapies, e.g. allogeneic transplantation. The PBAC considered that benchmarking against nilotinib and dasatinib in second- and subsequent line therapy in CML was a reasonable basis for establishing a cost-effective price for ponatinib (</w:t>
      </w:r>
      <w:r w:rsidR="00125C2C">
        <w:t>paragraph 7.7</w:t>
      </w:r>
      <w:r w:rsidRPr="002E7D71">
        <w:t xml:space="preserve">, ponatinib PSD, </w:t>
      </w:r>
      <w:r w:rsidR="00125C2C">
        <w:t>November</w:t>
      </w:r>
      <w:r w:rsidRPr="002E7D71">
        <w:t xml:space="preserve"> 201</w:t>
      </w:r>
      <w:r w:rsidR="00125C2C">
        <w:t>4 PBAC meeting</w:t>
      </w:r>
      <w:r w:rsidRPr="002E7D71">
        <w:t>). The ESC</w:t>
      </w:r>
      <w:r w:rsidR="00FB07C2">
        <w:t xml:space="preserve"> and the PBAC</w:t>
      </w:r>
      <w:r w:rsidRPr="002E7D71">
        <w:t xml:space="preserve"> considered that the same principles could apply in the current consideration for asciminib.</w:t>
      </w:r>
      <w:bookmarkEnd w:id="20"/>
      <w:r w:rsidRPr="002E7D71">
        <w:t xml:space="preserve"> </w:t>
      </w:r>
    </w:p>
    <w:p w14:paraId="3FFC2EED" w14:textId="275CA8BE" w:rsidR="00E82399" w:rsidRPr="00F35310" w:rsidRDefault="008C0D3B" w:rsidP="00076753">
      <w:pPr>
        <w:pStyle w:val="3-BodyText"/>
        <w:rPr>
          <w:snapToGrid/>
        </w:rPr>
      </w:pPr>
      <w:r w:rsidRPr="00F35310">
        <w:rPr>
          <w:snapToGrid/>
        </w:rPr>
        <w:t xml:space="preserve">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w:t>
      </w:r>
      <w:r w:rsidRPr="00F35310">
        <w:rPr>
          <w:snapToGrid/>
        </w:rPr>
        <w:lastRenderedPageBreak/>
        <w:t>satisfied, it must make a statement to this effect. For the requested population, imatinib and dasatinib</w:t>
      </w:r>
      <w:r w:rsidRPr="00F35310" w:rsidDel="00AC2450">
        <w:rPr>
          <w:snapToGrid/>
        </w:rPr>
        <w:t xml:space="preserve"> </w:t>
      </w:r>
      <w:r w:rsidRPr="00F35310">
        <w:rPr>
          <w:snapToGrid/>
        </w:rPr>
        <w:t>are less costly than nilotinib and ponatinib, and are possible alternative therapies. The ESC noted that imatinib, as a first generation TKI, is less effective than the second generation TKIs. Specifically, dasatinib was recommended for listing in March 2007 for CML-CP patients not responding to imatinib because of resistance or intolerance, on the basis of significant advantages in effectiveness over imatinib in this patient group. The PBAC was satisfied that asciminib provides</w:t>
      </w:r>
      <w:r w:rsidR="00A33EB6">
        <w:rPr>
          <w:snapToGrid/>
        </w:rPr>
        <w:t>,</w:t>
      </w:r>
      <w:r w:rsidR="00A33EB6" w:rsidRPr="00A33EB6">
        <w:rPr>
          <w:snapToGrid/>
        </w:rPr>
        <w:t xml:space="preserve"> </w:t>
      </w:r>
      <w:r w:rsidR="00A33EB6" w:rsidRPr="00F35310">
        <w:rPr>
          <w:snapToGrid/>
        </w:rPr>
        <w:t>for some patients</w:t>
      </w:r>
      <w:r w:rsidR="00A33EB6">
        <w:rPr>
          <w:snapToGrid/>
        </w:rPr>
        <w:t>,</w:t>
      </w:r>
      <w:r w:rsidRPr="00F35310">
        <w:rPr>
          <w:snapToGrid/>
        </w:rPr>
        <w:t xml:space="preserve"> a significant improvement in efficacy over imatinib.</w:t>
      </w:r>
      <w:r w:rsidR="00F35310">
        <w:rPr>
          <w:snapToGrid/>
        </w:rPr>
        <w:t xml:space="preserve"> </w:t>
      </w:r>
      <w:r w:rsidRPr="00F35310">
        <w:rPr>
          <w:snapToGrid/>
        </w:rPr>
        <w:t xml:space="preserve">The PBAC considered that the clinical data presented in the submission did not adequately support that asciminib would provide a significant improvement in efficacy and/or reduction in toxicity over the second generation TKIs. However, the PBAC </w:t>
      </w:r>
      <w:r w:rsidR="009C5C74">
        <w:rPr>
          <w:snapToGrid/>
        </w:rPr>
        <w:t>was sati</w:t>
      </w:r>
      <w:r w:rsidR="00020512">
        <w:rPr>
          <w:snapToGrid/>
        </w:rPr>
        <w:t>s</w:t>
      </w:r>
      <w:r w:rsidR="009C5C74">
        <w:rPr>
          <w:snapToGrid/>
        </w:rPr>
        <w:t>fied</w:t>
      </w:r>
      <w:r w:rsidRPr="00F35310">
        <w:rPr>
          <w:snapToGrid/>
        </w:rPr>
        <w:t xml:space="preserve"> that asciminib, as an additional TKI with a different mechanism of action, may provide a significant improvement in efficacy and/or reduction in toxicity </w:t>
      </w:r>
      <w:r w:rsidR="00171014">
        <w:rPr>
          <w:snapToGrid/>
        </w:rPr>
        <w:t xml:space="preserve">over standard of care (non-TKI therapy) </w:t>
      </w:r>
      <w:r w:rsidRPr="00F35310">
        <w:rPr>
          <w:snapToGrid/>
        </w:rPr>
        <w:t>for patients who have either failed, or unable to tolerate, both dasatinib and nilotinib.</w:t>
      </w:r>
    </w:p>
    <w:p w14:paraId="63FBB212" w14:textId="5BE0799D" w:rsidR="00DD0110" w:rsidRPr="002E7D71" w:rsidRDefault="00DD0110" w:rsidP="00DD0110">
      <w:pPr>
        <w:pStyle w:val="3-BodyText"/>
        <w:rPr>
          <w:iCs/>
          <w:snapToGrid/>
        </w:rPr>
      </w:pPr>
      <w:bookmarkStart w:id="21" w:name="_Ref110504816"/>
      <w:r w:rsidRPr="002E7D71">
        <w:rPr>
          <w:iCs/>
        </w:rPr>
        <w:t>Overall, the ESC</w:t>
      </w:r>
      <w:r w:rsidR="00FB07C2">
        <w:rPr>
          <w:iCs/>
        </w:rPr>
        <w:t xml:space="preserve"> and the PBAC</w:t>
      </w:r>
      <w:r w:rsidRPr="002E7D71">
        <w:rPr>
          <w:iCs/>
        </w:rPr>
        <w:t xml:space="preserve"> considered that:</w:t>
      </w:r>
      <w:bookmarkEnd w:id="21"/>
      <w:r w:rsidRPr="002E7D71">
        <w:rPr>
          <w:iCs/>
        </w:rPr>
        <w:t xml:space="preserve"> </w:t>
      </w:r>
    </w:p>
    <w:p w14:paraId="49EB4FC7" w14:textId="0984BF75" w:rsidR="00DD0110" w:rsidRPr="002E7D71" w:rsidRDefault="00DD0110" w:rsidP="009458A3">
      <w:pPr>
        <w:pStyle w:val="3-BodyText"/>
        <w:numPr>
          <w:ilvl w:val="0"/>
          <w:numId w:val="19"/>
        </w:numPr>
        <w:ind w:left="1077" w:hanging="357"/>
        <w:rPr>
          <w:iCs/>
          <w:snapToGrid/>
        </w:rPr>
      </w:pPr>
      <w:r w:rsidRPr="002E7D71">
        <w:rPr>
          <w:iCs/>
        </w:rPr>
        <w:t>Prescription data from 2016 is not likely to be representative of current or future use of TKIs in CML-CP</w:t>
      </w:r>
      <w:r w:rsidR="00D1198F" w:rsidRPr="002E7D71">
        <w:rPr>
          <w:iCs/>
        </w:rPr>
        <w:t>.</w:t>
      </w:r>
      <w:r w:rsidRPr="002E7D71">
        <w:rPr>
          <w:iCs/>
        </w:rPr>
        <w:t xml:space="preserve"> </w:t>
      </w:r>
      <w:r w:rsidR="00B82C75" w:rsidRPr="002E7D71">
        <w:rPr>
          <w:iCs/>
        </w:rPr>
        <w:t xml:space="preserve">Prescription data from 2021 reflects increased use of </w:t>
      </w:r>
      <w:r w:rsidR="00B82C75">
        <w:rPr>
          <w:iCs/>
        </w:rPr>
        <w:t>imatinib</w:t>
      </w:r>
      <w:r w:rsidR="00B82C75" w:rsidRPr="002E7D71">
        <w:rPr>
          <w:iCs/>
        </w:rPr>
        <w:t xml:space="preserve"> in the third-line setting, and may also indicate that there is increased use of second generation TKIs (nilotinib and dasatinib) as first-line therapy.</w:t>
      </w:r>
    </w:p>
    <w:p w14:paraId="4DA64563" w14:textId="57C0BFAD" w:rsidR="00714894" w:rsidRPr="00B82C75" w:rsidRDefault="000F1504" w:rsidP="00B82C75">
      <w:pPr>
        <w:pStyle w:val="3-BodyText"/>
        <w:numPr>
          <w:ilvl w:val="0"/>
          <w:numId w:val="19"/>
        </w:numPr>
        <w:ind w:left="1077" w:hanging="357"/>
        <w:rPr>
          <w:iCs/>
          <w:snapToGrid/>
        </w:rPr>
      </w:pPr>
      <w:r w:rsidRPr="002E7D71">
        <w:rPr>
          <w:iCs/>
        </w:rPr>
        <w:t>Second-generation TKIs have demonstrated significantly deeper and faster responses than imatinib</w:t>
      </w:r>
      <w:r w:rsidR="00D1198F" w:rsidRPr="002E7D71">
        <w:rPr>
          <w:iCs/>
        </w:rPr>
        <w:t>.</w:t>
      </w:r>
    </w:p>
    <w:p w14:paraId="6707B88C" w14:textId="092981DD" w:rsidR="00622EE6" w:rsidRPr="002E7D71" w:rsidRDefault="00622EE6" w:rsidP="009458A3">
      <w:pPr>
        <w:pStyle w:val="3-BodyText"/>
        <w:numPr>
          <w:ilvl w:val="0"/>
          <w:numId w:val="19"/>
        </w:numPr>
        <w:ind w:left="1077" w:hanging="357"/>
        <w:rPr>
          <w:iCs/>
          <w:snapToGrid/>
        </w:rPr>
      </w:pPr>
      <w:r w:rsidRPr="002E7D71">
        <w:rPr>
          <w:iCs/>
          <w:snapToGrid/>
        </w:rPr>
        <w:t>A benchmarking approach may be appropriate for asciminib to establish a cost-effective price (consistent with the approach for the listing of ponatinib), given that</w:t>
      </w:r>
      <w:r w:rsidRPr="002E7D71">
        <w:rPr>
          <w:iCs/>
        </w:rPr>
        <w:t xml:space="preserve"> </w:t>
      </w:r>
      <w:r w:rsidRPr="002E7D71">
        <w:rPr>
          <w:iCs/>
          <w:snapToGrid/>
        </w:rPr>
        <w:t>TKI treatments are used in sequence following failure or intolerance</w:t>
      </w:r>
      <w:r w:rsidR="00D1198F" w:rsidRPr="002E7D71">
        <w:rPr>
          <w:iCs/>
          <w:snapToGrid/>
        </w:rPr>
        <w:t>.</w:t>
      </w:r>
    </w:p>
    <w:p w14:paraId="1893581B" w14:textId="5DB87BF7" w:rsidR="002C640A" w:rsidRPr="002E7D71" w:rsidRDefault="00050D8D" w:rsidP="009458A3">
      <w:pPr>
        <w:pStyle w:val="3-BodyText"/>
        <w:numPr>
          <w:ilvl w:val="0"/>
          <w:numId w:val="19"/>
        </w:numPr>
        <w:ind w:left="1077" w:hanging="357"/>
        <w:rPr>
          <w:iCs/>
          <w:snapToGrid/>
        </w:rPr>
      </w:pPr>
      <w:r w:rsidRPr="002E7D71">
        <w:rPr>
          <w:iCs/>
          <w:snapToGrid/>
        </w:rPr>
        <w:t>Either d</w:t>
      </w:r>
      <w:r w:rsidR="002C640A" w:rsidRPr="002E7D71">
        <w:rPr>
          <w:iCs/>
          <w:snapToGrid/>
        </w:rPr>
        <w:t xml:space="preserve">asatinib or </w:t>
      </w:r>
      <w:r w:rsidRPr="002E7D71">
        <w:rPr>
          <w:iCs/>
          <w:snapToGrid/>
        </w:rPr>
        <w:t xml:space="preserve">both dasatinib and </w:t>
      </w:r>
      <w:r w:rsidR="002C640A" w:rsidRPr="002E7D71">
        <w:rPr>
          <w:iCs/>
          <w:snapToGrid/>
        </w:rPr>
        <w:t>nilotinib may be appropriate comparator/s in patients without the T315I mutation</w:t>
      </w:r>
      <w:r w:rsidR="0040631A" w:rsidRPr="002E7D71">
        <w:rPr>
          <w:iCs/>
          <w:snapToGrid/>
        </w:rPr>
        <w:t>. A comparison of asciminib and dasatinib was not included in the submission, however nilotinib was listed on a cost-minimisation basis versus dasatinib (</w:t>
      </w:r>
      <w:r w:rsidR="00B5590C" w:rsidRPr="002E7D71">
        <w:rPr>
          <w:iCs/>
          <w:snapToGrid/>
        </w:rPr>
        <w:t xml:space="preserve">nilotinib </w:t>
      </w:r>
      <w:r w:rsidR="0040631A" w:rsidRPr="002E7D71">
        <w:rPr>
          <w:iCs/>
          <w:snapToGrid/>
        </w:rPr>
        <w:t>PSD</w:t>
      </w:r>
      <w:r w:rsidR="00B5590C" w:rsidRPr="002E7D71">
        <w:rPr>
          <w:iCs/>
          <w:snapToGrid/>
        </w:rPr>
        <w:t xml:space="preserve">, p11, </w:t>
      </w:r>
      <w:r w:rsidR="00562826" w:rsidRPr="002E7D71">
        <w:rPr>
          <w:iCs/>
        </w:rPr>
        <w:t>March 2008</w:t>
      </w:r>
      <w:r w:rsidR="0040631A" w:rsidRPr="002E7D71">
        <w:rPr>
          <w:iCs/>
          <w:snapToGrid/>
        </w:rPr>
        <w:t>)</w:t>
      </w:r>
      <w:r w:rsidR="00622EE6" w:rsidRPr="002E7D71">
        <w:rPr>
          <w:iCs/>
          <w:snapToGrid/>
        </w:rPr>
        <w:t>. Dasatinib is less costly than nilotinib</w:t>
      </w:r>
      <w:r w:rsidR="00D1198F" w:rsidRPr="002E7D71">
        <w:rPr>
          <w:iCs/>
          <w:snapToGrid/>
        </w:rPr>
        <w:t>.</w:t>
      </w:r>
      <w:r w:rsidR="0040631A" w:rsidRPr="002E7D71">
        <w:rPr>
          <w:iCs/>
          <w:snapToGrid/>
        </w:rPr>
        <w:t xml:space="preserve"> </w:t>
      </w:r>
    </w:p>
    <w:p w14:paraId="317FD7AE" w14:textId="05246687" w:rsidR="005242B5" w:rsidRDefault="0040631A" w:rsidP="009458A3">
      <w:pPr>
        <w:pStyle w:val="3-BodyText"/>
        <w:numPr>
          <w:ilvl w:val="0"/>
          <w:numId w:val="19"/>
        </w:numPr>
        <w:ind w:left="1077" w:hanging="357"/>
        <w:rPr>
          <w:iCs/>
          <w:snapToGrid/>
        </w:rPr>
      </w:pPr>
      <w:r w:rsidRPr="002E7D71">
        <w:rPr>
          <w:iCs/>
          <w:snapToGrid/>
        </w:rPr>
        <w:t xml:space="preserve">Ponatinib is the appropriate comparator for </w:t>
      </w:r>
      <w:r w:rsidR="003C24C7" w:rsidRPr="002E7D71">
        <w:rPr>
          <w:iCs/>
          <w:snapToGrid/>
        </w:rPr>
        <w:t>patients with the T315I mutation</w:t>
      </w:r>
      <w:r w:rsidR="00622EE6" w:rsidRPr="002E7D71">
        <w:rPr>
          <w:iCs/>
          <w:snapToGrid/>
        </w:rPr>
        <w:t>.</w:t>
      </w:r>
    </w:p>
    <w:p w14:paraId="607E061C" w14:textId="3F9DF44E" w:rsidR="008B10EA" w:rsidRPr="002E7D71" w:rsidRDefault="008B10EA" w:rsidP="008B10EA">
      <w:pPr>
        <w:pStyle w:val="3-BodyText"/>
        <w:numPr>
          <w:ilvl w:val="0"/>
          <w:numId w:val="0"/>
        </w:numPr>
        <w:ind w:left="720"/>
        <w:rPr>
          <w:iCs/>
          <w:snapToGrid/>
        </w:rPr>
      </w:pPr>
      <w:r w:rsidRPr="00ED77BD">
        <w:rPr>
          <w:i/>
          <w:iCs/>
        </w:rPr>
        <w:t>For more detail on PBAC’s view, see section 7 PBAC outcome.</w:t>
      </w:r>
    </w:p>
    <w:p w14:paraId="7F9C27C8" w14:textId="77777777" w:rsidR="00223D5A" w:rsidRPr="00B22BCB" w:rsidRDefault="00223D5A" w:rsidP="00223D5A">
      <w:pPr>
        <w:pStyle w:val="2-SectionHeading"/>
        <w:numPr>
          <w:ilvl w:val="0"/>
          <w:numId w:val="1"/>
        </w:numPr>
      </w:pPr>
      <w:bookmarkStart w:id="22" w:name="_Toc103772582"/>
      <w:bookmarkStart w:id="23" w:name="_Toc22897640"/>
      <w:r w:rsidRPr="00B22BCB">
        <w:t>Consideration of the evidence</w:t>
      </w:r>
      <w:bookmarkEnd w:id="22"/>
    </w:p>
    <w:p w14:paraId="64D01FE5" w14:textId="77777777" w:rsidR="00F25244" w:rsidRPr="00F25244" w:rsidRDefault="00F25244" w:rsidP="004A2AFB">
      <w:pPr>
        <w:pStyle w:val="4-SubsectionHeading"/>
      </w:pPr>
      <w:bookmarkStart w:id="24" w:name="_Toc103772583"/>
      <w:r w:rsidRPr="00F25244">
        <w:t>Sponsor hearing</w:t>
      </w:r>
    </w:p>
    <w:p w14:paraId="6DF47703" w14:textId="1CD24016" w:rsidR="00F25244" w:rsidRPr="00F25244" w:rsidRDefault="00F25244" w:rsidP="00F25244">
      <w:pPr>
        <w:widowControl w:val="0"/>
        <w:numPr>
          <w:ilvl w:val="1"/>
          <w:numId w:val="1"/>
        </w:numPr>
        <w:spacing w:after="120"/>
        <w:rPr>
          <w:rFonts w:cs="Calibri"/>
          <w:bCs/>
          <w:snapToGrid w:val="0"/>
        </w:rPr>
      </w:pPr>
      <w:r w:rsidRPr="00F25244">
        <w:rPr>
          <w:rFonts w:cs="Calibri"/>
          <w:bCs/>
          <w:snapToGrid w:val="0"/>
        </w:rPr>
        <w:t xml:space="preserve"> There was no hearing for this item.</w:t>
      </w:r>
    </w:p>
    <w:p w14:paraId="04ABC985" w14:textId="77777777" w:rsidR="00F25244" w:rsidRPr="00DC5A49" w:rsidRDefault="00F25244" w:rsidP="004A2AFB">
      <w:pPr>
        <w:pStyle w:val="4-SubsectionHeading"/>
      </w:pPr>
      <w:r w:rsidRPr="00DC5A49">
        <w:t>Consumer comments</w:t>
      </w:r>
    </w:p>
    <w:p w14:paraId="25C1E628" w14:textId="417074EA" w:rsidR="00AA22E6" w:rsidRPr="00C9382F" w:rsidRDefault="00DC5A49" w:rsidP="00F25244">
      <w:pPr>
        <w:widowControl w:val="0"/>
        <w:numPr>
          <w:ilvl w:val="1"/>
          <w:numId w:val="1"/>
        </w:numPr>
        <w:spacing w:after="120"/>
        <w:rPr>
          <w:rFonts w:asciiTheme="minorHAnsi" w:hAnsiTheme="minorHAnsi"/>
          <w:bCs/>
          <w:snapToGrid w:val="0"/>
        </w:rPr>
      </w:pPr>
      <w:r w:rsidRPr="00C9382F">
        <w:rPr>
          <w:rFonts w:asciiTheme="minorHAnsi" w:hAnsiTheme="minorHAnsi"/>
          <w:bCs/>
          <w:snapToGrid w:val="0"/>
        </w:rPr>
        <w:t>The PBAC noted and welcomed the input from a health care professional</w:t>
      </w:r>
      <w:r w:rsidR="00C9382F" w:rsidRPr="00C9382F">
        <w:rPr>
          <w:rFonts w:asciiTheme="minorHAnsi" w:hAnsiTheme="minorHAnsi"/>
          <w:bCs/>
          <w:snapToGrid w:val="0"/>
        </w:rPr>
        <w:t xml:space="preserve"> (HCP)</w:t>
      </w:r>
      <w:r w:rsidRPr="00C9382F">
        <w:rPr>
          <w:rFonts w:asciiTheme="minorHAnsi" w:hAnsiTheme="minorHAnsi"/>
          <w:bCs/>
          <w:snapToGrid w:val="0"/>
        </w:rPr>
        <w:t xml:space="preserve"> and </w:t>
      </w:r>
      <w:r w:rsidRPr="00C9382F">
        <w:rPr>
          <w:rFonts w:asciiTheme="minorHAnsi" w:hAnsiTheme="minorHAnsi"/>
          <w:bCs/>
          <w:snapToGrid w:val="0"/>
        </w:rPr>
        <w:lastRenderedPageBreak/>
        <w:t>organisations (2</w:t>
      </w:r>
      <w:r w:rsidR="005F1225">
        <w:rPr>
          <w:rFonts w:asciiTheme="minorHAnsi" w:hAnsiTheme="minorHAnsi"/>
          <w:bCs/>
          <w:snapToGrid w:val="0"/>
        </w:rPr>
        <w:t>; The Leukemia Foundation and Rare Cancers Australia</w:t>
      </w:r>
      <w:r w:rsidRPr="00C9382F">
        <w:rPr>
          <w:rFonts w:asciiTheme="minorHAnsi" w:hAnsiTheme="minorHAnsi"/>
          <w:bCs/>
          <w:snapToGrid w:val="0"/>
        </w:rPr>
        <w:t>) via the Consumer Comments facility on the PBS website.</w:t>
      </w:r>
    </w:p>
    <w:p w14:paraId="4D5EB5B4" w14:textId="187D0B9C" w:rsidR="00F25244" w:rsidRPr="00C9382F" w:rsidRDefault="00C9382F" w:rsidP="00F25244">
      <w:pPr>
        <w:widowControl w:val="0"/>
        <w:numPr>
          <w:ilvl w:val="1"/>
          <w:numId w:val="1"/>
        </w:numPr>
        <w:spacing w:after="120"/>
        <w:rPr>
          <w:rFonts w:asciiTheme="minorHAnsi" w:hAnsiTheme="minorHAnsi"/>
          <w:bCs/>
          <w:snapToGrid w:val="0"/>
        </w:rPr>
      </w:pPr>
      <w:r w:rsidRPr="00C9382F">
        <w:rPr>
          <w:rFonts w:asciiTheme="minorHAnsi" w:hAnsiTheme="minorHAnsi"/>
          <w:bCs/>
          <w:snapToGrid w:val="0"/>
        </w:rPr>
        <w:t>The comments from a HCP described a range of benefits of treatment with asciminb, including effectiveness where other TKIs have failed and a lower level of toxicity than all the currently available TKIs. The HCP considered asciminib to be an essential medication for a small number of patients with CML who have no other options.</w:t>
      </w:r>
    </w:p>
    <w:p w14:paraId="730E753F" w14:textId="225DDC9F" w:rsidR="005F1225" w:rsidRPr="00834CCA" w:rsidRDefault="0076682F" w:rsidP="006B599F">
      <w:pPr>
        <w:pStyle w:val="3-BodyText"/>
        <w:rPr>
          <w:bCs/>
        </w:rPr>
      </w:pPr>
      <w:r w:rsidRPr="00BC1A64">
        <w:t xml:space="preserve">The PBAC </w:t>
      </w:r>
      <w:r w:rsidRPr="00834CCA">
        <w:t xml:space="preserve">noted </w:t>
      </w:r>
      <w:r w:rsidR="00F7409A">
        <w:t>that</w:t>
      </w:r>
      <w:r w:rsidRPr="00834CCA">
        <w:t xml:space="preserve"> The Leuk</w:t>
      </w:r>
      <w:r w:rsidR="00715567" w:rsidRPr="00834CCA">
        <w:t>a</w:t>
      </w:r>
      <w:r w:rsidRPr="00834CCA">
        <w:t>emia Foundation</w:t>
      </w:r>
      <w:r w:rsidR="00F7409A">
        <w:t xml:space="preserve"> </w:t>
      </w:r>
      <w:r w:rsidRPr="00834CCA">
        <w:t>receive</w:t>
      </w:r>
      <w:r w:rsidR="00715567" w:rsidRPr="00834CCA">
        <w:t>d</w:t>
      </w:r>
      <w:r w:rsidRPr="00834CCA">
        <w:t xml:space="preserve"> feedback from Australian clinicians using asciminib </w:t>
      </w:r>
      <w:r w:rsidR="00715567" w:rsidRPr="00834CCA">
        <w:t xml:space="preserve">via </w:t>
      </w:r>
      <w:r w:rsidRPr="00834CCA">
        <w:t>the ASCEND-CML trial (in combination with imatinib)</w:t>
      </w:r>
      <w:r w:rsidR="00834CCA" w:rsidRPr="00834CCA">
        <w:t xml:space="preserve"> and</w:t>
      </w:r>
      <w:r w:rsidR="00715567" w:rsidRPr="00834CCA">
        <w:t xml:space="preserve"> the sponsor’s Compassionate Access Scheme</w:t>
      </w:r>
      <w:r w:rsidR="00834CCA" w:rsidRPr="00834CCA">
        <w:t>,</w:t>
      </w:r>
      <w:r w:rsidRPr="00834CCA">
        <w:t xml:space="preserve"> </w:t>
      </w:r>
      <w:r w:rsidR="00834CCA" w:rsidRPr="00834CCA">
        <w:t>as well as</w:t>
      </w:r>
      <w:r w:rsidRPr="00834CCA">
        <w:t xml:space="preserve"> from a patient being treated with the second generation TKIs nilotinib and dasatinib. The clinicians noted that </w:t>
      </w:r>
      <w:r w:rsidRPr="00834CCA">
        <w:rPr>
          <w:bCs/>
        </w:rPr>
        <w:t>the tolerability of asciminib compares favourably with imatinib (</w:t>
      </w:r>
      <w:r w:rsidR="00F7409A">
        <w:rPr>
          <w:bCs/>
        </w:rPr>
        <w:t xml:space="preserve">with respect to </w:t>
      </w:r>
      <w:r w:rsidRPr="00834CCA">
        <w:rPr>
          <w:bCs/>
        </w:rPr>
        <w:t>gastrointestinal side effects) or dasatinib (</w:t>
      </w:r>
      <w:r w:rsidR="00F7409A">
        <w:rPr>
          <w:bCs/>
        </w:rPr>
        <w:t xml:space="preserve">with respect to </w:t>
      </w:r>
      <w:r w:rsidRPr="00834CCA">
        <w:rPr>
          <w:bCs/>
        </w:rPr>
        <w:t>pleural effusions)</w:t>
      </w:r>
      <w:r w:rsidR="00715567" w:rsidRPr="00834CCA">
        <w:rPr>
          <w:bCs/>
        </w:rPr>
        <w:t>, and considered it to be</w:t>
      </w:r>
      <w:r w:rsidRPr="00834CCA">
        <w:rPr>
          <w:bCs/>
        </w:rPr>
        <w:t xml:space="preserve"> efficacious in reducing leukemia load rapidly.</w:t>
      </w:r>
      <w:r w:rsidR="006B599F" w:rsidRPr="00834CCA">
        <w:rPr>
          <w:bCs/>
        </w:rPr>
        <w:t xml:space="preserve"> The clinicians noted the</w:t>
      </w:r>
      <w:r w:rsidRPr="00834CCA">
        <w:rPr>
          <w:bCs/>
        </w:rPr>
        <w:t xml:space="preserve"> achievement of deeper molecular responses than with previous</w:t>
      </w:r>
      <w:r w:rsidR="00F7409A">
        <w:rPr>
          <w:bCs/>
        </w:rPr>
        <w:t>ly prescribed</w:t>
      </w:r>
      <w:r w:rsidRPr="00834CCA">
        <w:rPr>
          <w:bCs/>
        </w:rPr>
        <w:t xml:space="preserve"> TKI</w:t>
      </w:r>
      <w:r w:rsidR="006B599F" w:rsidRPr="00834CCA">
        <w:rPr>
          <w:bCs/>
        </w:rPr>
        <w:t>s</w:t>
      </w:r>
      <w:r w:rsidRPr="00834CCA">
        <w:rPr>
          <w:bCs/>
        </w:rPr>
        <w:t>.</w:t>
      </w:r>
      <w:r w:rsidR="00834CCA" w:rsidRPr="00834CCA">
        <w:rPr>
          <w:bCs/>
        </w:rPr>
        <w:t xml:space="preserve"> They noted that r</w:t>
      </w:r>
      <w:r w:rsidRPr="00834CCA">
        <w:rPr>
          <w:bCs/>
        </w:rPr>
        <w:t>esponses</w:t>
      </w:r>
      <w:r w:rsidR="00834CCA" w:rsidRPr="00834CCA">
        <w:rPr>
          <w:bCs/>
        </w:rPr>
        <w:t xml:space="preserve"> to asciminib</w:t>
      </w:r>
      <w:r w:rsidRPr="00834CCA">
        <w:rPr>
          <w:bCs/>
        </w:rPr>
        <w:t xml:space="preserve"> have been variable </w:t>
      </w:r>
      <w:r w:rsidR="00F7409A">
        <w:rPr>
          <w:bCs/>
        </w:rPr>
        <w:t>(</w:t>
      </w:r>
      <w:r w:rsidRPr="00834CCA">
        <w:rPr>
          <w:bCs/>
        </w:rPr>
        <w:t>as expected in the resistant setting</w:t>
      </w:r>
      <w:r w:rsidR="00F7409A">
        <w:rPr>
          <w:bCs/>
        </w:rPr>
        <w:t>)</w:t>
      </w:r>
      <w:r w:rsidRPr="00834CCA">
        <w:rPr>
          <w:bCs/>
        </w:rPr>
        <w:t xml:space="preserve"> but</w:t>
      </w:r>
      <w:r w:rsidR="00834CCA" w:rsidRPr="00834CCA">
        <w:rPr>
          <w:bCs/>
        </w:rPr>
        <w:t xml:space="preserve"> can be</w:t>
      </w:r>
      <w:r w:rsidRPr="00834CCA">
        <w:rPr>
          <w:bCs/>
        </w:rPr>
        <w:t xml:space="preserve"> excellent</w:t>
      </w:r>
      <w:r w:rsidR="00F7409A">
        <w:rPr>
          <w:bCs/>
        </w:rPr>
        <w:t xml:space="preserve"> in some patients</w:t>
      </w:r>
      <w:r w:rsidR="00834CCA" w:rsidRPr="00834CCA">
        <w:rPr>
          <w:bCs/>
        </w:rPr>
        <w:t>, and</w:t>
      </w:r>
      <w:r w:rsidRPr="00834CCA">
        <w:rPr>
          <w:bCs/>
        </w:rPr>
        <w:t xml:space="preserve"> </w:t>
      </w:r>
      <w:r w:rsidR="00834CCA" w:rsidRPr="00834CCA">
        <w:rPr>
          <w:bCs/>
        </w:rPr>
        <w:t>d</w:t>
      </w:r>
      <w:r w:rsidRPr="00834CCA">
        <w:rPr>
          <w:bCs/>
        </w:rPr>
        <w:t>ay</w:t>
      </w:r>
      <w:r w:rsidR="00834CCA" w:rsidRPr="00834CCA">
        <w:rPr>
          <w:bCs/>
        </w:rPr>
        <w:t>-</w:t>
      </w:r>
      <w:r w:rsidRPr="00834CCA">
        <w:rPr>
          <w:bCs/>
        </w:rPr>
        <w:t>to</w:t>
      </w:r>
      <w:r w:rsidR="00834CCA" w:rsidRPr="00834CCA">
        <w:rPr>
          <w:bCs/>
        </w:rPr>
        <w:t>-</w:t>
      </w:r>
      <w:r w:rsidRPr="00834CCA">
        <w:rPr>
          <w:bCs/>
        </w:rPr>
        <w:t xml:space="preserve">day side effects are non-existent for the majority of patients. </w:t>
      </w:r>
      <w:r w:rsidR="00834CCA" w:rsidRPr="00834CCA">
        <w:rPr>
          <w:bCs/>
        </w:rPr>
        <w:t xml:space="preserve">The clinicians stated that some patients </w:t>
      </w:r>
      <w:r w:rsidRPr="00834CCA">
        <w:rPr>
          <w:bCs/>
        </w:rPr>
        <w:t>who could</w:t>
      </w:r>
      <w:r w:rsidR="00834CCA" w:rsidRPr="00834CCA">
        <w:rPr>
          <w:bCs/>
        </w:rPr>
        <w:t xml:space="preserve"> not </w:t>
      </w:r>
      <w:r w:rsidRPr="00834CCA">
        <w:rPr>
          <w:bCs/>
        </w:rPr>
        <w:t>tolerate any other TKI have shown good tolerance to asciminib</w:t>
      </w:r>
      <w:r w:rsidR="00834CCA" w:rsidRPr="00834CCA">
        <w:rPr>
          <w:bCs/>
        </w:rPr>
        <w:t xml:space="preserve"> and that</w:t>
      </w:r>
      <w:r w:rsidRPr="00834CCA">
        <w:rPr>
          <w:bCs/>
        </w:rPr>
        <w:t xml:space="preserve"> the only alternative would have been an allograft. </w:t>
      </w:r>
      <w:r w:rsidR="00834CCA" w:rsidRPr="00834CCA">
        <w:t xml:space="preserve">The patient being treated with second generation TKIs nilotinib and dasatinib described the serious toxicity associated with these agents and associated hospitalisations for recovery. The patient stated that the side effects of the drugs have significantly reduced their quality of life. </w:t>
      </w:r>
      <w:r w:rsidR="00715567" w:rsidRPr="00834CCA">
        <w:t>Overall, t</w:t>
      </w:r>
      <w:r w:rsidR="004B0166" w:rsidRPr="00834CCA">
        <w:t>he Leukemia Foundation stated that asciminib has been shown in the ASCEMBL trial to be comparative</w:t>
      </w:r>
      <w:r w:rsidR="00C51BB6">
        <w:t>ly</w:t>
      </w:r>
      <w:r w:rsidR="004B0166" w:rsidRPr="00834CCA">
        <w:t xml:space="preserve"> effective and well tolerated, and urged the PBAC to recommend listing for eligible patients who have already undergone treatment with TKIs.</w:t>
      </w:r>
    </w:p>
    <w:p w14:paraId="157305A0" w14:textId="014AC5F5" w:rsidR="005F1225" w:rsidRPr="00C51BB6" w:rsidRDefault="005F1225" w:rsidP="00C51BB6">
      <w:pPr>
        <w:pStyle w:val="3-BodyText"/>
        <w:rPr>
          <w:bCs/>
        </w:rPr>
      </w:pPr>
      <w:r>
        <w:rPr>
          <w:bCs/>
        </w:rPr>
        <w:t>Rare Cancers Australia</w:t>
      </w:r>
      <w:r w:rsidR="00C51BB6">
        <w:rPr>
          <w:bCs/>
        </w:rPr>
        <w:t xml:space="preserve"> </w:t>
      </w:r>
      <w:r w:rsidR="00C51BB6" w:rsidRPr="00C51BB6">
        <w:rPr>
          <w:bCs/>
        </w:rPr>
        <w:t>have previously supported a number of patients with CML</w:t>
      </w:r>
      <w:r w:rsidR="00C51BB6">
        <w:rPr>
          <w:bCs/>
        </w:rPr>
        <w:t xml:space="preserve"> </w:t>
      </w:r>
      <w:r w:rsidR="00C51BB6" w:rsidRPr="00C51BB6">
        <w:rPr>
          <w:bCs/>
        </w:rPr>
        <w:t xml:space="preserve">and </w:t>
      </w:r>
      <w:r w:rsidR="00C82A0F">
        <w:rPr>
          <w:bCs/>
        </w:rPr>
        <w:t>state that they</w:t>
      </w:r>
      <w:r w:rsidR="00C51BB6" w:rsidRPr="00C51BB6">
        <w:rPr>
          <w:bCs/>
        </w:rPr>
        <w:t xml:space="preserve"> would welcome the listing of </w:t>
      </w:r>
      <w:r w:rsidR="00C82A0F">
        <w:rPr>
          <w:bCs/>
        </w:rPr>
        <w:t>a</w:t>
      </w:r>
      <w:r w:rsidR="00C51BB6" w:rsidRPr="00C51BB6">
        <w:rPr>
          <w:bCs/>
        </w:rPr>
        <w:t xml:space="preserve">sciminib on the PBS </w:t>
      </w:r>
      <w:r w:rsidR="00C82A0F">
        <w:rPr>
          <w:bCs/>
        </w:rPr>
        <w:t>as it</w:t>
      </w:r>
      <w:r w:rsidR="00C51BB6" w:rsidRPr="00C51BB6">
        <w:rPr>
          <w:bCs/>
        </w:rPr>
        <w:t xml:space="preserve"> is well tolerated and does not have the</w:t>
      </w:r>
      <w:r w:rsidR="00C51BB6">
        <w:rPr>
          <w:bCs/>
        </w:rPr>
        <w:t xml:space="preserve"> </w:t>
      </w:r>
      <w:r w:rsidR="00C51BB6" w:rsidRPr="00C51BB6">
        <w:rPr>
          <w:bCs/>
        </w:rPr>
        <w:t>same side-effect profile as other treatments for this population.</w:t>
      </w:r>
    </w:p>
    <w:p w14:paraId="5E28AC73" w14:textId="6B27436E" w:rsidR="001179B3" w:rsidRPr="00BC1A64" w:rsidRDefault="00715567" w:rsidP="00F25244">
      <w:pPr>
        <w:widowControl w:val="0"/>
        <w:numPr>
          <w:ilvl w:val="1"/>
          <w:numId w:val="1"/>
        </w:numPr>
        <w:spacing w:after="120"/>
        <w:rPr>
          <w:rFonts w:asciiTheme="minorHAnsi" w:hAnsiTheme="minorHAnsi"/>
          <w:bCs/>
          <w:snapToGrid w:val="0"/>
        </w:rPr>
      </w:pPr>
      <w:r>
        <w:rPr>
          <w:rFonts w:asciiTheme="minorHAnsi" w:hAnsiTheme="minorHAnsi"/>
          <w:bCs/>
          <w:snapToGrid w:val="0"/>
        </w:rPr>
        <w:t>In general</w:t>
      </w:r>
      <w:r w:rsidR="001513C0">
        <w:rPr>
          <w:rFonts w:asciiTheme="minorHAnsi" w:hAnsiTheme="minorHAnsi"/>
          <w:bCs/>
          <w:snapToGrid w:val="0"/>
        </w:rPr>
        <w:t>, t</w:t>
      </w:r>
      <w:r w:rsidR="001513C0" w:rsidRPr="00BC1A64">
        <w:rPr>
          <w:rFonts w:asciiTheme="minorHAnsi" w:hAnsiTheme="minorHAnsi"/>
          <w:bCs/>
          <w:snapToGrid w:val="0"/>
        </w:rPr>
        <w:t xml:space="preserve">he PBAC noted that </w:t>
      </w:r>
      <w:r w:rsidR="001513C0">
        <w:rPr>
          <w:rFonts w:asciiTheme="minorHAnsi" w:hAnsiTheme="minorHAnsi"/>
          <w:bCs/>
          <w:snapToGrid w:val="0"/>
        </w:rPr>
        <w:t xml:space="preserve">the advice </w:t>
      </w:r>
      <w:r w:rsidR="001513C0" w:rsidRPr="00BC1A64">
        <w:rPr>
          <w:rFonts w:asciiTheme="minorHAnsi" w:hAnsiTheme="minorHAnsi"/>
          <w:bCs/>
          <w:snapToGrid w:val="0"/>
        </w:rPr>
        <w:t>was supportive of the evidence provided in the submission.</w:t>
      </w:r>
    </w:p>
    <w:p w14:paraId="609C0765" w14:textId="686C1C02" w:rsidR="00B60939" w:rsidRPr="00B22BCB" w:rsidRDefault="00B60939" w:rsidP="002E4F02">
      <w:pPr>
        <w:pStyle w:val="4-SubsectionHeading"/>
      </w:pPr>
      <w:r w:rsidRPr="00B22BCB">
        <w:t>Clinical trials</w:t>
      </w:r>
      <w:bookmarkEnd w:id="23"/>
      <w:bookmarkEnd w:id="24"/>
    </w:p>
    <w:p w14:paraId="17DE34DC" w14:textId="2E566D6F" w:rsidR="007F1017" w:rsidRPr="00B22BCB" w:rsidRDefault="00815139" w:rsidP="002E4F02">
      <w:pPr>
        <w:pStyle w:val="3-BodyText"/>
        <w:rPr>
          <w:color w:val="0066FF"/>
        </w:rPr>
      </w:pPr>
      <w:r w:rsidRPr="00B22BCB">
        <w:rPr>
          <w:snapToGrid/>
        </w:rPr>
        <w:t>The submission presented</w:t>
      </w:r>
      <w:r w:rsidR="00A73134" w:rsidRPr="00B22BCB">
        <w:rPr>
          <w:snapToGrid/>
        </w:rPr>
        <w:t xml:space="preserve"> one head-to-head trial</w:t>
      </w:r>
      <w:r w:rsidR="001615AD" w:rsidRPr="00B22BCB">
        <w:rPr>
          <w:snapToGrid/>
        </w:rPr>
        <w:t xml:space="preserve"> </w:t>
      </w:r>
      <w:r w:rsidR="00A73134" w:rsidRPr="00B22BCB">
        <w:rPr>
          <w:snapToGrid/>
        </w:rPr>
        <w:t xml:space="preserve">comparing </w:t>
      </w:r>
      <w:r w:rsidR="00337BFF" w:rsidRPr="00B22BCB">
        <w:rPr>
          <w:snapToGrid/>
        </w:rPr>
        <w:t>asciminib</w:t>
      </w:r>
      <w:r w:rsidR="00A73134" w:rsidRPr="00B22BCB">
        <w:rPr>
          <w:snapToGrid/>
        </w:rPr>
        <w:t xml:space="preserve"> to </w:t>
      </w:r>
      <w:r w:rsidR="001615AD" w:rsidRPr="00B22BCB">
        <w:rPr>
          <w:snapToGrid/>
        </w:rPr>
        <w:t xml:space="preserve">bosutinib </w:t>
      </w:r>
      <w:r w:rsidR="00A73134" w:rsidRPr="00B22BCB">
        <w:rPr>
          <w:snapToGrid/>
        </w:rPr>
        <w:t>(</w:t>
      </w:r>
      <w:r w:rsidR="00612D7D" w:rsidRPr="00B22BCB">
        <w:rPr>
          <w:snapToGrid/>
        </w:rPr>
        <w:t>N</w:t>
      </w:r>
      <w:r w:rsidR="00A73134" w:rsidRPr="00B22BCB">
        <w:rPr>
          <w:snapToGrid/>
        </w:rPr>
        <w:t>=</w:t>
      </w:r>
      <w:r w:rsidR="00612D7D" w:rsidRPr="00B22BCB">
        <w:rPr>
          <w:snapToGrid/>
        </w:rPr>
        <w:t>233</w:t>
      </w:r>
      <w:r w:rsidR="00A73134" w:rsidRPr="00B22BCB">
        <w:rPr>
          <w:snapToGrid/>
        </w:rPr>
        <w:t>)</w:t>
      </w:r>
      <w:r w:rsidR="00612D7D" w:rsidRPr="00B22BCB">
        <w:rPr>
          <w:snapToGrid/>
        </w:rPr>
        <w:t>, ASCEMBL</w:t>
      </w:r>
      <w:r w:rsidR="00A73134" w:rsidRPr="00B22BCB">
        <w:rPr>
          <w:snapToGrid/>
        </w:rPr>
        <w:t>.</w:t>
      </w:r>
      <w:r w:rsidR="00612D7D" w:rsidRPr="00B22BCB">
        <w:rPr>
          <w:snapToGrid/>
        </w:rPr>
        <w:t xml:space="preserve"> As bosutinib is not PBS-listed in Australia, efficacy and safety data from the </w:t>
      </w:r>
      <w:r w:rsidR="00337BFF" w:rsidRPr="00B22BCB">
        <w:rPr>
          <w:snapToGrid/>
        </w:rPr>
        <w:t>asciminib</w:t>
      </w:r>
      <w:r w:rsidR="00612D7D" w:rsidRPr="00B22BCB">
        <w:rPr>
          <w:snapToGrid/>
        </w:rPr>
        <w:t xml:space="preserve"> arm of ASCEMBL w</w:t>
      </w:r>
      <w:r w:rsidR="00FF5296" w:rsidRPr="00B22BCB">
        <w:rPr>
          <w:snapToGrid/>
        </w:rPr>
        <w:t>ere</w:t>
      </w:r>
      <w:r w:rsidR="00612D7D" w:rsidRPr="00B22BCB">
        <w:rPr>
          <w:snapToGrid/>
        </w:rPr>
        <w:t xml:space="preserve"> used to perform a</w:t>
      </w:r>
      <w:r w:rsidR="00E90A23">
        <w:rPr>
          <w:snapToGrid/>
        </w:rPr>
        <w:t>n</w:t>
      </w:r>
      <w:r w:rsidR="00612D7D" w:rsidRPr="00B22BCB">
        <w:rPr>
          <w:snapToGrid/>
        </w:rPr>
        <w:t xml:space="preserve"> </w:t>
      </w:r>
      <w:r w:rsidR="009D1658" w:rsidRPr="00B22BCB">
        <w:t>unadjusted</w:t>
      </w:r>
      <w:r w:rsidR="009D1658">
        <w:t>,</w:t>
      </w:r>
      <w:r w:rsidR="009D1658" w:rsidRPr="00B22BCB">
        <w:rPr>
          <w:snapToGrid/>
        </w:rPr>
        <w:t xml:space="preserve"> </w:t>
      </w:r>
      <w:r w:rsidR="00612D7D" w:rsidRPr="00B22BCB">
        <w:rPr>
          <w:snapToGrid/>
        </w:rPr>
        <w:t xml:space="preserve">unanchored indirect treatment comparison (ITC) against two single-arm nilotinib trials, ENACT and </w:t>
      </w:r>
      <w:r w:rsidR="0038675B" w:rsidRPr="0038675B">
        <w:rPr>
          <w:snapToGrid/>
        </w:rPr>
        <w:t xml:space="preserve">Giles </w:t>
      </w:r>
      <w:r w:rsidR="0038675B" w:rsidRPr="0038675B">
        <w:rPr>
          <w:i/>
          <w:snapToGrid/>
        </w:rPr>
        <w:t>et al.</w:t>
      </w:r>
      <w:r w:rsidR="00612D7D" w:rsidRPr="00B22BCB">
        <w:rPr>
          <w:snapToGrid/>
        </w:rPr>
        <w:t xml:space="preserve"> (2010), and one single-arm ponatinib trial, PACE.</w:t>
      </w:r>
      <w:r w:rsidR="009F4B2E" w:rsidRPr="00B22BCB">
        <w:rPr>
          <w:snapToGrid/>
        </w:rPr>
        <w:t xml:space="preserve"> The outcome measures compared were MMR and CCyR, which have previously been accepted by the </w:t>
      </w:r>
      <w:r w:rsidR="009F4B2E" w:rsidRPr="00B22BCB">
        <w:t>PBAC (Nilotinib PSD July 2011; Ponatinib PSD July 2015)</w:t>
      </w:r>
      <w:r w:rsidR="009F4B2E" w:rsidRPr="00B22BCB">
        <w:rPr>
          <w:snapToGrid/>
        </w:rPr>
        <w:t>.</w:t>
      </w:r>
    </w:p>
    <w:p w14:paraId="2B59ABAC" w14:textId="64BD579A" w:rsidR="00862502" w:rsidRPr="002B4570" w:rsidRDefault="00A73134" w:rsidP="002E4F02">
      <w:pPr>
        <w:pStyle w:val="3-BodyText"/>
      </w:pPr>
      <w:r w:rsidRPr="00B22BCB">
        <w:rPr>
          <w:snapToGrid/>
        </w:rPr>
        <w:t xml:space="preserve">Details of the </w:t>
      </w:r>
      <w:r w:rsidR="00612D7D" w:rsidRPr="00B22BCB">
        <w:rPr>
          <w:snapToGrid/>
        </w:rPr>
        <w:t>trials</w:t>
      </w:r>
      <w:r w:rsidRPr="00B22BCB">
        <w:rPr>
          <w:snapToGrid/>
        </w:rPr>
        <w:t xml:space="preserve"> presented in the submission are provided in </w:t>
      </w:r>
      <w:r w:rsidR="00C07859" w:rsidRPr="00B22BCB">
        <w:rPr>
          <w:snapToGrid/>
        </w:rPr>
        <w:fldChar w:fldCharType="begin"/>
      </w:r>
      <w:r w:rsidR="00C07859" w:rsidRPr="00B22BCB">
        <w:rPr>
          <w:snapToGrid/>
        </w:rPr>
        <w:instrText xml:space="preserve"> REF _Ref102929778 \h </w:instrText>
      </w:r>
      <w:r w:rsidR="00C07859" w:rsidRPr="00B22BCB">
        <w:rPr>
          <w:snapToGrid/>
        </w:rPr>
      </w:r>
      <w:r w:rsidR="00C07859" w:rsidRPr="00B22BCB">
        <w:rPr>
          <w:snapToGrid/>
        </w:rPr>
        <w:fldChar w:fldCharType="separate"/>
      </w:r>
      <w:r w:rsidR="00A914F4" w:rsidRPr="00B22BCB">
        <w:t xml:space="preserve">Table </w:t>
      </w:r>
      <w:r w:rsidR="00A914F4">
        <w:rPr>
          <w:noProof/>
        </w:rPr>
        <w:t>4</w:t>
      </w:r>
      <w:r w:rsidR="00C07859" w:rsidRPr="00B22BCB">
        <w:rPr>
          <w:snapToGrid/>
        </w:rPr>
        <w:fldChar w:fldCharType="end"/>
      </w:r>
      <w:r w:rsidRPr="00B22BCB">
        <w:rPr>
          <w:snapToGrid/>
        </w:rPr>
        <w:t>.</w:t>
      </w:r>
      <w:r w:rsidR="00BC591F" w:rsidRPr="00B22BCB">
        <w:rPr>
          <w:snapToGrid/>
        </w:rPr>
        <w:t xml:space="preserve"> </w:t>
      </w:r>
      <w:r w:rsidR="00C07859" w:rsidRPr="002B4570">
        <w:rPr>
          <w:snapToGrid/>
        </w:rPr>
        <w:t>Whilst</w:t>
      </w:r>
      <w:r w:rsidR="00D71BD5">
        <w:rPr>
          <w:snapToGrid/>
        </w:rPr>
        <w:t xml:space="preserve"> the</w:t>
      </w:r>
      <w:r w:rsidR="00C07859" w:rsidRPr="002B4570">
        <w:rPr>
          <w:snapToGrid/>
        </w:rPr>
        <w:t xml:space="preserve"> ENACT and </w:t>
      </w:r>
      <w:r w:rsidR="0038675B" w:rsidRPr="002B4570">
        <w:rPr>
          <w:snapToGrid/>
        </w:rPr>
        <w:t>Giles et al.</w:t>
      </w:r>
      <w:r w:rsidR="00C07859" w:rsidRPr="002B4570">
        <w:rPr>
          <w:snapToGrid/>
        </w:rPr>
        <w:t xml:space="preserve"> (2010)</w:t>
      </w:r>
      <w:r w:rsidR="00D71BD5">
        <w:rPr>
          <w:snapToGrid/>
        </w:rPr>
        <w:t xml:space="preserve"> trials</w:t>
      </w:r>
      <w:r w:rsidR="00C07859" w:rsidRPr="002B4570">
        <w:rPr>
          <w:snapToGrid/>
        </w:rPr>
        <w:t xml:space="preserve"> also enrolled patients in accelerated phase and blast crisis, these groups were excluded from the comparison.</w:t>
      </w:r>
    </w:p>
    <w:p w14:paraId="03F82FC6" w14:textId="1C4D15FA" w:rsidR="00612D7D" w:rsidRPr="00B22BCB" w:rsidRDefault="00612D7D" w:rsidP="00612D7D">
      <w:pPr>
        <w:pStyle w:val="TableFigureHeading"/>
      </w:pPr>
      <w:bookmarkStart w:id="25" w:name="_Ref102929778"/>
      <w:r w:rsidRPr="00B22BCB">
        <w:t xml:space="preserve">Table </w:t>
      </w:r>
      <w:r w:rsidR="00CA52C1">
        <w:fldChar w:fldCharType="begin"/>
      </w:r>
      <w:r w:rsidR="00CA52C1">
        <w:instrText xml:space="preserve"> SEQ Table \* ARABIC </w:instrText>
      </w:r>
      <w:r w:rsidR="00CA52C1">
        <w:fldChar w:fldCharType="separate"/>
      </w:r>
      <w:r w:rsidR="00A914F4">
        <w:rPr>
          <w:noProof/>
        </w:rPr>
        <w:t>4</w:t>
      </w:r>
      <w:r w:rsidR="00CA52C1">
        <w:rPr>
          <w:noProof/>
        </w:rPr>
        <w:fldChar w:fldCharType="end"/>
      </w:r>
      <w:bookmarkEnd w:id="25"/>
      <w:r w:rsidRPr="00B22BCB">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12D7D" w:rsidRPr="002B4570" w14:paraId="3C83D4C2" w14:textId="77777777" w:rsidTr="00B76BAF">
        <w:trPr>
          <w:tblHeader/>
        </w:trPr>
        <w:tc>
          <w:tcPr>
            <w:tcW w:w="796" w:type="pct"/>
            <w:vAlign w:val="center"/>
          </w:tcPr>
          <w:p w14:paraId="634D6584" w14:textId="77777777" w:rsidR="00612D7D" w:rsidRPr="002B4570" w:rsidRDefault="00612D7D" w:rsidP="00B76BAF">
            <w:pPr>
              <w:pStyle w:val="In-tableHeading"/>
              <w:rPr>
                <w:lang w:val="en-AU"/>
              </w:rPr>
            </w:pPr>
            <w:r w:rsidRPr="002B4570">
              <w:rPr>
                <w:lang w:val="en-AU"/>
              </w:rPr>
              <w:t>Trial ID</w:t>
            </w:r>
          </w:p>
        </w:tc>
        <w:tc>
          <w:tcPr>
            <w:tcW w:w="3027" w:type="pct"/>
            <w:vAlign w:val="center"/>
          </w:tcPr>
          <w:p w14:paraId="2B3C67B3" w14:textId="77777777" w:rsidR="00612D7D" w:rsidRPr="002B4570" w:rsidRDefault="00612D7D" w:rsidP="00B76BAF">
            <w:pPr>
              <w:pStyle w:val="In-tableHeading"/>
              <w:rPr>
                <w:lang w:val="en-AU"/>
              </w:rPr>
            </w:pPr>
            <w:r w:rsidRPr="002B4570">
              <w:rPr>
                <w:lang w:val="en-AU"/>
              </w:rPr>
              <w:t>Protocol title/ Publication title</w:t>
            </w:r>
          </w:p>
        </w:tc>
        <w:tc>
          <w:tcPr>
            <w:tcW w:w="1177" w:type="pct"/>
            <w:vAlign w:val="center"/>
          </w:tcPr>
          <w:p w14:paraId="47630356" w14:textId="77777777" w:rsidR="00612D7D" w:rsidRPr="002B4570" w:rsidRDefault="00612D7D" w:rsidP="00B76BAF">
            <w:pPr>
              <w:pStyle w:val="In-tableHeading"/>
              <w:rPr>
                <w:lang w:val="en-AU"/>
              </w:rPr>
            </w:pPr>
            <w:r w:rsidRPr="002B4570">
              <w:rPr>
                <w:lang w:val="en-AU"/>
              </w:rPr>
              <w:t>Publication citation</w:t>
            </w:r>
          </w:p>
        </w:tc>
      </w:tr>
      <w:tr w:rsidR="00612D7D" w:rsidRPr="002B4570" w14:paraId="320E4B61" w14:textId="77777777" w:rsidTr="00B76BAF">
        <w:trPr>
          <w:tblHeader/>
        </w:trPr>
        <w:tc>
          <w:tcPr>
            <w:tcW w:w="5000" w:type="pct"/>
            <w:gridSpan w:val="3"/>
            <w:vAlign w:val="center"/>
          </w:tcPr>
          <w:p w14:paraId="2885DA23" w14:textId="77777777" w:rsidR="00612D7D" w:rsidRPr="002B4570" w:rsidRDefault="00612D7D" w:rsidP="00B76BAF">
            <w:pPr>
              <w:pStyle w:val="In-tableHeading"/>
              <w:rPr>
                <w:lang w:val="en-AU"/>
              </w:rPr>
            </w:pPr>
            <w:r w:rsidRPr="002B4570">
              <w:rPr>
                <w:lang w:val="en-AU"/>
              </w:rPr>
              <w:t>Asciminib trial</w:t>
            </w:r>
          </w:p>
        </w:tc>
      </w:tr>
      <w:tr w:rsidR="00612D7D" w:rsidRPr="002B4570" w14:paraId="0A402271" w14:textId="77777777" w:rsidTr="00B76BAF">
        <w:tc>
          <w:tcPr>
            <w:tcW w:w="796" w:type="pct"/>
            <w:vMerge w:val="restart"/>
          </w:tcPr>
          <w:p w14:paraId="696E99D5" w14:textId="77777777" w:rsidR="00612D7D" w:rsidRPr="002B4570" w:rsidRDefault="00612D7D" w:rsidP="00B76BAF">
            <w:pPr>
              <w:pStyle w:val="TableText0"/>
            </w:pPr>
            <w:r w:rsidRPr="002B4570">
              <w:t>ASCEMBL</w:t>
            </w:r>
          </w:p>
        </w:tc>
        <w:tc>
          <w:tcPr>
            <w:tcW w:w="3027" w:type="pct"/>
            <w:tcBorders>
              <w:bottom w:val="nil"/>
            </w:tcBorders>
          </w:tcPr>
          <w:p w14:paraId="5310792A" w14:textId="36AD73F6" w:rsidR="00612D7D" w:rsidRPr="002B4570" w:rsidRDefault="00612D7D" w:rsidP="00B76BAF">
            <w:pPr>
              <w:pStyle w:val="TableText0"/>
              <w:rPr>
                <w:szCs w:val="18"/>
              </w:rPr>
            </w:pPr>
            <w:r w:rsidRPr="002B4570">
              <w:rPr>
                <w:szCs w:val="18"/>
              </w:rPr>
              <w:t xml:space="preserve">ASCEMBL CSR: A Phase III, multi-center, open-label, randomised study of oral ABL001 (asciminib) versus bosutinib in patients with chronic myelogenous </w:t>
            </w:r>
            <w:r w:rsidR="00E4103E" w:rsidRPr="002B4570">
              <w:rPr>
                <w:szCs w:val="18"/>
              </w:rPr>
              <w:t>leukaemia</w:t>
            </w:r>
            <w:r w:rsidRPr="002B4570">
              <w:rPr>
                <w:szCs w:val="18"/>
              </w:rPr>
              <w:t xml:space="preserve"> in chronic phase (CML-CP), previously treated with 2 or more tyrosine kinase inhibitors. </w:t>
            </w:r>
          </w:p>
        </w:tc>
        <w:tc>
          <w:tcPr>
            <w:tcW w:w="1177" w:type="pct"/>
            <w:tcBorders>
              <w:bottom w:val="nil"/>
            </w:tcBorders>
            <w:vAlign w:val="center"/>
          </w:tcPr>
          <w:p w14:paraId="3A05129B" w14:textId="77777777" w:rsidR="00612D7D" w:rsidRPr="002B4570" w:rsidRDefault="00612D7D" w:rsidP="00B76BAF">
            <w:pPr>
              <w:pStyle w:val="TableText0"/>
            </w:pPr>
            <w:r w:rsidRPr="002B4570">
              <w:rPr>
                <w:bCs w:val="0"/>
              </w:rPr>
              <w:t>-</w:t>
            </w:r>
            <w:r w:rsidRPr="002B4570">
              <w:t xml:space="preserve"> Version date: 20 September 2019 (Week 24 data – primary endpoint analysis)</w:t>
            </w:r>
          </w:p>
          <w:p w14:paraId="6FA78FAF" w14:textId="77777777" w:rsidR="00612D7D" w:rsidRPr="002B4570" w:rsidRDefault="00612D7D" w:rsidP="00B76BAF">
            <w:pPr>
              <w:pStyle w:val="TableText0"/>
            </w:pPr>
            <w:r w:rsidRPr="002B4570">
              <w:t>- Version date: 5 March 2021 (supplementary CSR to support 30 day efficacy and safety update)</w:t>
            </w:r>
          </w:p>
        </w:tc>
      </w:tr>
      <w:tr w:rsidR="00612D7D" w:rsidRPr="002B4570" w14:paraId="65B52571" w14:textId="77777777" w:rsidTr="00B76BAF">
        <w:tc>
          <w:tcPr>
            <w:tcW w:w="796" w:type="pct"/>
            <w:vMerge/>
            <w:vAlign w:val="center"/>
          </w:tcPr>
          <w:p w14:paraId="5975F1E3" w14:textId="77777777" w:rsidR="00612D7D" w:rsidRPr="002B4570" w:rsidRDefault="00612D7D" w:rsidP="00B76BAF">
            <w:pPr>
              <w:pStyle w:val="TableText0"/>
            </w:pPr>
          </w:p>
        </w:tc>
        <w:tc>
          <w:tcPr>
            <w:tcW w:w="3027" w:type="pct"/>
            <w:tcBorders>
              <w:top w:val="nil"/>
              <w:bottom w:val="nil"/>
            </w:tcBorders>
            <w:vAlign w:val="center"/>
          </w:tcPr>
          <w:p w14:paraId="1CCD6B15" w14:textId="2A9FEE2E" w:rsidR="00612D7D" w:rsidRPr="002B4570" w:rsidRDefault="00612D7D" w:rsidP="00B76BAF">
            <w:pPr>
              <w:pStyle w:val="TableText0"/>
              <w:rPr>
                <w:szCs w:val="18"/>
              </w:rPr>
            </w:pPr>
            <w:r w:rsidRPr="002B4570">
              <w:rPr>
                <w:szCs w:val="18"/>
              </w:rPr>
              <w:t xml:space="preserve">Réa </w:t>
            </w:r>
            <w:r w:rsidR="0038675B" w:rsidRPr="002B4570">
              <w:rPr>
                <w:szCs w:val="18"/>
              </w:rPr>
              <w:t>et al.</w:t>
            </w:r>
            <w:r w:rsidRPr="002B4570">
              <w:rPr>
                <w:szCs w:val="18"/>
              </w:rPr>
              <w:t xml:space="preserve"> A Phase 3, Open-Label, Randomised Study of Asciminib, a STAMP Inhibitor, vs Bosutinib in CML After ≥ 2 Prior TKIs.</w:t>
            </w:r>
          </w:p>
        </w:tc>
        <w:tc>
          <w:tcPr>
            <w:tcW w:w="1177" w:type="pct"/>
            <w:tcBorders>
              <w:top w:val="nil"/>
              <w:bottom w:val="nil"/>
            </w:tcBorders>
            <w:vAlign w:val="center"/>
          </w:tcPr>
          <w:p w14:paraId="0F91C166" w14:textId="77777777" w:rsidR="00612D7D" w:rsidRPr="002B4570" w:rsidRDefault="00612D7D" w:rsidP="00B76BAF">
            <w:pPr>
              <w:pStyle w:val="TableText0"/>
              <w:rPr>
                <w:szCs w:val="18"/>
              </w:rPr>
            </w:pPr>
            <w:r w:rsidRPr="002B4570">
              <w:rPr>
                <w:szCs w:val="18"/>
              </w:rPr>
              <w:t>Blood 2021; 138(21): 2031-2041.</w:t>
            </w:r>
          </w:p>
        </w:tc>
      </w:tr>
      <w:tr w:rsidR="00612D7D" w:rsidRPr="002B4570" w14:paraId="5959A266" w14:textId="77777777" w:rsidTr="00B76BAF">
        <w:tc>
          <w:tcPr>
            <w:tcW w:w="796" w:type="pct"/>
            <w:vMerge/>
            <w:tcBorders>
              <w:bottom w:val="single" w:sz="4" w:space="0" w:color="auto"/>
            </w:tcBorders>
            <w:vAlign w:val="center"/>
          </w:tcPr>
          <w:p w14:paraId="716A5383" w14:textId="77777777" w:rsidR="00612D7D" w:rsidRPr="002B4570" w:rsidRDefault="00612D7D" w:rsidP="00B76BAF">
            <w:pPr>
              <w:pStyle w:val="TableText0"/>
            </w:pPr>
          </w:p>
        </w:tc>
        <w:tc>
          <w:tcPr>
            <w:tcW w:w="3027" w:type="pct"/>
            <w:tcBorders>
              <w:top w:val="nil"/>
              <w:bottom w:val="single" w:sz="4" w:space="0" w:color="auto"/>
            </w:tcBorders>
            <w:vAlign w:val="center"/>
          </w:tcPr>
          <w:p w14:paraId="1712C546" w14:textId="77777777" w:rsidR="00612D7D" w:rsidRPr="002B4570" w:rsidRDefault="00612D7D" w:rsidP="00B76BAF">
            <w:pPr>
              <w:pStyle w:val="TableText0"/>
              <w:rPr>
                <w:szCs w:val="18"/>
              </w:rPr>
            </w:pPr>
          </w:p>
        </w:tc>
        <w:tc>
          <w:tcPr>
            <w:tcW w:w="1177" w:type="pct"/>
            <w:tcBorders>
              <w:top w:val="nil"/>
              <w:bottom w:val="single" w:sz="4" w:space="0" w:color="auto"/>
            </w:tcBorders>
            <w:vAlign w:val="center"/>
          </w:tcPr>
          <w:p w14:paraId="4626CB7F" w14:textId="77777777" w:rsidR="00612D7D" w:rsidRPr="002B4570" w:rsidRDefault="00612D7D" w:rsidP="00B76BAF">
            <w:pPr>
              <w:pStyle w:val="TableText0"/>
              <w:rPr>
                <w:szCs w:val="18"/>
              </w:rPr>
            </w:pPr>
          </w:p>
        </w:tc>
      </w:tr>
      <w:tr w:rsidR="00612D7D" w:rsidRPr="002B4570" w14:paraId="54CC5F16" w14:textId="77777777" w:rsidTr="00B76BAF">
        <w:tc>
          <w:tcPr>
            <w:tcW w:w="5000" w:type="pct"/>
            <w:gridSpan w:val="3"/>
            <w:tcBorders>
              <w:top w:val="single" w:sz="4" w:space="0" w:color="auto"/>
              <w:bottom w:val="single" w:sz="4" w:space="0" w:color="auto"/>
            </w:tcBorders>
            <w:vAlign w:val="center"/>
          </w:tcPr>
          <w:p w14:paraId="5EB80609" w14:textId="77777777" w:rsidR="00612D7D" w:rsidRPr="002B4570" w:rsidRDefault="00612D7D" w:rsidP="00B76BAF">
            <w:pPr>
              <w:pStyle w:val="TableText0"/>
              <w:rPr>
                <w:b/>
                <w:bCs w:val="0"/>
                <w:szCs w:val="18"/>
              </w:rPr>
            </w:pPr>
            <w:r w:rsidRPr="002B4570">
              <w:rPr>
                <w:b/>
                <w:bCs w:val="0"/>
                <w:szCs w:val="18"/>
              </w:rPr>
              <w:t>Nilotinib trials</w:t>
            </w:r>
          </w:p>
        </w:tc>
      </w:tr>
      <w:tr w:rsidR="00612D7D" w:rsidRPr="002B4570" w14:paraId="34CB2398" w14:textId="77777777" w:rsidTr="00B76BAF">
        <w:tc>
          <w:tcPr>
            <w:tcW w:w="796" w:type="pct"/>
            <w:vMerge w:val="restart"/>
            <w:tcBorders>
              <w:top w:val="single" w:sz="4" w:space="0" w:color="auto"/>
            </w:tcBorders>
          </w:tcPr>
          <w:p w14:paraId="3F68A456" w14:textId="77777777" w:rsidR="00612D7D" w:rsidRPr="002B4570" w:rsidRDefault="00612D7D" w:rsidP="00B76BAF">
            <w:pPr>
              <w:pStyle w:val="TableText0"/>
            </w:pPr>
            <w:r w:rsidRPr="002B4570">
              <w:t xml:space="preserve">ENACT </w:t>
            </w:r>
          </w:p>
        </w:tc>
        <w:tc>
          <w:tcPr>
            <w:tcW w:w="3027" w:type="pct"/>
            <w:tcBorders>
              <w:top w:val="single" w:sz="4" w:space="0" w:color="auto"/>
              <w:bottom w:val="nil"/>
            </w:tcBorders>
            <w:vAlign w:val="center"/>
          </w:tcPr>
          <w:p w14:paraId="2C754CD0" w14:textId="23CC86CD" w:rsidR="00612D7D" w:rsidRPr="002B4570" w:rsidRDefault="00612D7D" w:rsidP="00B76BAF">
            <w:pPr>
              <w:pStyle w:val="TableText0"/>
            </w:pPr>
            <w:r w:rsidRPr="002B4570">
              <w:rPr>
                <w:szCs w:val="18"/>
              </w:rPr>
              <w:t xml:space="preserve">An open-label, multicenter, expanded access study of oral AMN 107 in adult patients with Imatinib (Glivec®/Gleevec®) - resistant or - intolerant chronic myeloid </w:t>
            </w:r>
            <w:r w:rsidR="00E4103E" w:rsidRPr="002B4570">
              <w:rPr>
                <w:szCs w:val="18"/>
              </w:rPr>
              <w:t>leukaemia</w:t>
            </w:r>
            <w:r w:rsidRPr="002B4570">
              <w:rPr>
                <w:szCs w:val="18"/>
              </w:rPr>
              <w:t xml:space="preserve"> in blast crisis, accelerated phase or chronic phase.</w:t>
            </w:r>
          </w:p>
        </w:tc>
        <w:tc>
          <w:tcPr>
            <w:tcW w:w="1177" w:type="pct"/>
            <w:tcBorders>
              <w:top w:val="single" w:sz="4" w:space="0" w:color="auto"/>
              <w:bottom w:val="nil"/>
            </w:tcBorders>
            <w:vAlign w:val="center"/>
          </w:tcPr>
          <w:p w14:paraId="2B108BAD" w14:textId="77777777" w:rsidR="00612D7D" w:rsidRPr="002B4570" w:rsidRDefault="00612D7D" w:rsidP="00B76BAF">
            <w:pPr>
              <w:pStyle w:val="TableText0"/>
            </w:pPr>
            <w:r w:rsidRPr="002B4570">
              <w:t>15 September 2009.</w:t>
            </w:r>
          </w:p>
        </w:tc>
      </w:tr>
      <w:tr w:rsidR="00612D7D" w:rsidRPr="002B4570" w14:paraId="4978FA3C" w14:textId="77777777" w:rsidTr="00B76BAF">
        <w:tc>
          <w:tcPr>
            <w:tcW w:w="796" w:type="pct"/>
            <w:vMerge/>
          </w:tcPr>
          <w:p w14:paraId="70215D73" w14:textId="77777777" w:rsidR="00612D7D" w:rsidRPr="002B4570" w:rsidRDefault="00612D7D" w:rsidP="00B76BAF">
            <w:pPr>
              <w:pStyle w:val="TableText0"/>
            </w:pPr>
          </w:p>
        </w:tc>
        <w:tc>
          <w:tcPr>
            <w:tcW w:w="3027" w:type="pct"/>
            <w:tcBorders>
              <w:top w:val="nil"/>
              <w:bottom w:val="nil"/>
            </w:tcBorders>
            <w:vAlign w:val="center"/>
          </w:tcPr>
          <w:p w14:paraId="4B0AFFCF" w14:textId="78A21B3B" w:rsidR="00612D7D" w:rsidRPr="002B4570" w:rsidRDefault="00612D7D" w:rsidP="00B76BAF">
            <w:pPr>
              <w:pStyle w:val="TableText0"/>
              <w:rPr>
                <w:szCs w:val="18"/>
              </w:rPr>
            </w:pPr>
            <w:r w:rsidRPr="002B4570">
              <w:rPr>
                <w:szCs w:val="18"/>
              </w:rPr>
              <w:t xml:space="preserve">Nicolini </w:t>
            </w:r>
            <w:r w:rsidR="0038675B" w:rsidRPr="002B4570">
              <w:rPr>
                <w:szCs w:val="18"/>
              </w:rPr>
              <w:t>et al.</w:t>
            </w:r>
            <w:r w:rsidRPr="002B4570">
              <w:rPr>
                <w:szCs w:val="18"/>
              </w:rPr>
              <w:t xml:space="preserve"> Expanding Nilotinib Access in Clinical Trials (ENACT). An Open-Label, Multicenter Study of Oral Nilotinib in Adult Patients With Imatinib-Resistant or Imatinib-Intolerant Philadelphia Chromosome-Positive Chronic Myeloid </w:t>
            </w:r>
            <w:r w:rsidR="00E4103E" w:rsidRPr="002B4570">
              <w:rPr>
                <w:szCs w:val="18"/>
              </w:rPr>
              <w:t>Leukaemia</w:t>
            </w:r>
            <w:r w:rsidRPr="002B4570">
              <w:rPr>
                <w:szCs w:val="18"/>
              </w:rPr>
              <w:t xml:space="preserve"> in the Chronic Phase.</w:t>
            </w:r>
          </w:p>
        </w:tc>
        <w:tc>
          <w:tcPr>
            <w:tcW w:w="1177" w:type="pct"/>
            <w:tcBorders>
              <w:top w:val="nil"/>
              <w:bottom w:val="nil"/>
            </w:tcBorders>
            <w:vAlign w:val="center"/>
          </w:tcPr>
          <w:p w14:paraId="00048BEF" w14:textId="77777777" w:rsidR="00612D7D" w:rsidRPr="002B4570" w:rsidRDefault="00612D7D" w:rsidP="00B76BAF">
            <w:pPr>
              <w:pStyle w:val="TableText0"/>
            </w:pPr>
            <w:r w:rsidRPr="002B4570">
              <w:rPr>
                <w:szCs w:val="18"/>
              </w:rPr>
              <w:t>Cancer 2012; 118 (1): 118-126.</w:t>
            </w:r>
          </w:p>
        </w:tc>
      </w:tr>
      <w:tr w:rsidR="00612D7D" w:rsidRPr="002B4570" w14:paraId="2370B5B0" w14:textId="77777777" w:rsidTr="00B76BAF">
        <w:tc>
          <w:tcPr>
            <w:tcW w:w="796" w:type="pct"/>
            <w:vMerge/>
            <w:tcBorders>
              <w:bottom w:val="nil"/>
            </w:tcBorders>
          </w:tcPr>
          <w:p w14:paraId="4124A24B" w14:textId="77777777" w:rsidR="00612D7D" w:rsidRPr="002B4570" w:rsidRDefault="00612D7D" w:rsidP="00B76BAF">
            <w:pPr>
              <w:pStyle w:val="TableText0"/>
            </w:pPr>
          </w:p>
        </w:tc>
        <w:tc>
          <w:tcPr>
            <w:tcW w:w="3027" w:type="pct"/>
            <w:tcBorders>
              <w:top w:val="nil"/>
              <w:bottom w:val="nil"/>
            </w:tcBorders>
            <w:vAlign w:val="center"/>
          </w:tcPr>
          <w:p w14:paraId="3572FE6C" w14:textId="3B346161" w:rsidR="00612D7D" w:rsidRPr="002B4570" w:rsidRDefault="00612D7D" w:rsidP="00B76BAF">
            <w:pPr>
              <w:pStyle w:val="TableText0"/>
              <w:rPr>
                <w:szCs w:val="18"/>
              </w:rPr>
            </w:pPr>
            <w:r w:rsidRPr="002B4570">
              <w:rPr>
                <w:szCs w:val="18"/>
              </w:rPr>
              <w:t xml:space="preserve">Nicolini </w:t>
            </w:r>
            <w:r w:rsidR="0038675B" w:rsidRPr="002B4570">
              <w:rPr>
                <w:szCs w:val="18"/>
              </w:rPr>
              <w:t>et al.</w:t>
            </w:r>
            <w:r w:rsidRPr="002B4570">
              <w:rPr>
                <w:szCs w:val="18"/>
              </w:rPr>
              <w:t xml:space="preserve"> Expanding nilotinib access in clinical trials (ENACT) study in adult patients (PTS) with imatinib-resistant or -intolerant chronic myeloid </w:t>
            </w:r>
            <w:r w:rsidR="00E4103E" w:rsidRPr="002B4570">
              <w:rPr>
                <w:szCs w:val="18"/>
              </w:rPr>
              <w:t>leukaemia</w:t>
            </w:r>
            <w:r w:rsidRPr="002B4570">
              <w:rPr>
                <w:szCs w:val="18"/>
              </w:rPr>
              <w:t xml:space="preserve"> (CML): subgroup analysis of patients who failed prior dasatinib therapy.</w:t>
            </w:r>
          </w:p>
        </w:tc>
        <w:tc>
          <w:tcPr>
            <w:tcW w:w="1177" w:type="pct"/>
            <w:tcBorders>
              <w:top w:val="nil"/>
              <w:bottom w:val="nil"/>
            </w:tcBorders>
            <w:vAlign w:val="center"/>
          </w:tcPr>
          <w:p w14:paraId="179753A6" w14:textId="77777777" w:rsidR="00612D7D" w:rsidRPr="002B4570" w:rsidRDefault="00612D7D" w:rsidP="00B76BAF">
            <w:pPr>
              <w:pStyle w:val="TableText0"/>
            </w:pPr>
            <w:r w:rsidRPr="002B4570">
              <w:rPr>
                <w:szCs w:val="18"/>
              </w:rPr>
              <w:t>Blood 2009; 94 (S2): p 257</w:t>
            </w:r>
          </w:p>
        </w:tc>
      </w:tr>
      <w:tr w:rsidR="00612D7D" w:rsidRPr="002B4570" w14:paraId="24CA0EE4" w14:textId="77777777" w:rsidTr="00B76BAF">
        <w:trPr>
          <w:trHeight w:val="698"/>
        </w:trPr>
        <w:tc>
          <w:tcPr>
            <w:tcW w:w="796" w:type="pct"/>
          </w:tcPr>
          <w:p w14:paraId="35F6E520" w14:textId="0B8C41F1" w:rsidR="00612D7D" w:rsidRPr="002B4570" w:rsidRDefault="00612D7D" w:rsidP="00963658">
            <w:pPr>
              <w:pStyle w:val="TableText0"/>
            </w:pPr>
            <w:r w:rsidRPr="002B4570">
              <w:fldChar w:fldCharType="begin">
                <w:fldData xml:space="preserve">PEVuZE5vdGU+PENpdGUgQXV0aG9yWWVhcj0iMSI+PEF1dGhvcj5HaWxlczwvQXV0aG9yPjxZZWFy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</w:fldData>
              </w:fldChar>
            </w:r>
            <w:r w:rsidR="00963658" w:rsidRPr="002B4570">
              <w:instrText xml:space="preserve"> ADDIN EN.CITE </w:instrText>
            </w:r>
            <w:r w:rsidR="00963658" w:rsidRPr="002B4570">
              <w:fldChar w:fldCharType="begin">
                <w:fldData xml:space="preserve">PEVuZE5vdGU+PENpdGUgQXV0aG9yWWVhcj0iMSI+PEF1dGhvcj5HaWxlczwvQXV0aG9yPjxZZWFy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</w:fldData>
              </w:fldChar>
            </w:r>
            <w:r w:rsidR="00963658" w:rsidRPr="002B4570">
              <w:instrText xml:space="preserve"> ADDIN EN.CITE.DATA </w:instrText>
            </w:r>
            <w:r w:rsidR="00963658" w:rsidRPr="002B4570">
              <w:fldChar w:fldCharType="end"/>
            </w:r>
            <w:r w:rsidRPr="002B4570">
              <w:fldChar w:fldCharType="separate"/>
            </w:r>
            <w:r w:rsidR="00963658" w:rsidRPr="002B4570">
              <w:rPr>
                <w:noProof/>
              </w:rPr>
              <w:t xml:space="preserve">Giles, Abruzzese </w:t>
            </w:r>
            <w:r w:rsidR="00963658" w:rsidRPr="002B4570">
              <w:rPr>
                <w:noProof/>
                <w:vertAlign w:val="superscript"/>
              </w:rPr>
              <w:t>1</w:t>
            </w:r>
            <w:r w:rsidRPr="002B4570">
              <w:fldChar w:fldCharType="end"/>
            </w:r>
          </w:p>
        </w:tc>
        <w:tc>
          <w:tcPr>
            <w:tcW w:w="3027" w:type="pct"/>
            <w:vAlign w:val="center"/>
          </w:tcPr>
          <w:p w14:paraId="5BC0BB57" w14:textId="225880C9" w:rsidR="00612D7D" w:rsidRPr="002B4570" w:rsidRDefault="0038675B" w:rsidP="00B76BAF">
            <w:pPr>
              <w:pStyle w:val="TableText0"/>
            </w:pPr>
            <w:r w:rsidRPr="002B4570">
              <w:t>Giles et al.</w:t>
            </w:r>
            <w:r w:rsidR="00612D7D" w:rsidRPr="002B4570">
              <w:t xml:space="preserve"> (2010). Nilotinib is active in chronic and accelerated phase chronic myeloid </w:t>
            </w:r>
            <w:r w:rsidR="00E4103E" w:rsidRPr="002B4570">
              <w:t>leukaemia</w:t>
            </w:r>
            <w:r w:rsidR="00612D7D" w:rsidRPr="002B4570">
              <w:t xml:space="preserve"> following failure of imatinib and dasatinib therapy.</w:t>
            </w:r>
          </w:p>
        </w:tc>
        <w:tc>
          <w:tcPr>
            <w:tcW w:w="1177" w:type="pct"/>
            <w:vAlign w:val="center"/>
          </w:tcPr>
          <w:p w14:paraId="0BDFD3B9" w14:textId="54912DA5" w:rsidR="00612D7D" w:rsidRPr="002B4570" w:rsidRDefault="00E4103E" w:rsidP="00B76BAF">
            <w:pPr>
              <w:pStyle w:val="TableText0"/>
            </w:pPr>
            <w:r w:rsidRPr="002B4570">
              <w:t>Leukaemia</w:t>
            </w:r>
            <w:r w:rsidR="00612D7D" w:rsidRPr="002B4570">
              <w:t xml:space="preserve"> 2010; 24 (7): 1299-1301.</w:t>
            </w:r>
          </w:p>
        </w:tc>
      </w:tr>
      <w:tr w:rsidR="00612D7D" w:rsidRPr="002B4570" w14:paraId="71FCBB45" w14:textId="77777777" w:rsidTr="00B76BAF">
        <w:trPr>
          <w:trHeight w:val="223"/>
        </w:trPr>
        <w:tc>
          <w:tcPr>
            <w:tcW w:w="5000" w:type="pct"/>
            <w:gridSpan w:val="3"/>
          </w:tcPr>
          <w:p w14:paraId="76A9FA85" w14:textId="77777777" w:rsidR="00612D7D" w:rsidRPr="002B4570" w:rsidRDefault="00612D7D" w:rsidP="00B76BAF">
            <w:pPr>
              <w:pStyle w:val="TableText0"/>
              <w:rPr>
                <w:b/>
                <w:bCs w:val="0"/>
              </w:rPr>
            </w:pPr>
            <w:r w:rsidRPr="002B4570">
              <w:rPr>
                <w:b/>
                <w:bCs w:val="0"/>
              </w:rPr>
              <w:t>Ponatinib trial</w:t>
            </w:r>
          </w:p>
        </w:tc>
      </w:tr>
      <w:tr w:rsidR="00612D7D" w:rsidRPr="002B4570" w14:paraId="4DDAD48B" w14:textId="77777777" w:rsidTr="00B76BAF">
        <w:trPr>
          <w:trHeight w:val="235"/>
        </w:trPr>
        <w:tc>
          <w:tcPr>
            <w:tcW w:w="796" w:type="pct"/>
            <w:vMerge w:val="restart"/>
          </w:tcPr>
          <w:p w14:paraId="07A9491F" w14:textId="77777777" w:rsidR="00612D7D" w:rsidRPr="002B4570" w:rsidRDefault="00612D7D" w:rsidP="00B76BAF">
            <w:pPr>
              <w:pStyle w:val="TableText0"/>
            </w:pPr>
            <w:r w:rsidRPr="002B4570">
              <w:t>PACE</w:t>
            </w:r>
          </w:p>
        </w:tc>
        <w:tc>
          <w:tcPr>
            <w:tcW w:w="3027" w:type="pct"/>
            <w:vAlign w:val="center"/>
          </w:tcPr>
          <w:p w14:paraId="0466D1E7" w14:textId="255A86D7" w:rsidR="00612D7D" w:rsidRPr="002B4570" w:rsidRDefault="00612D7D" w:rsidP="00B76BAF">
            <w:pPr>
              <w:pStyle w:val="TableText0"/>
            </w:pPr>
            <w:r w:rsidRPr="002B4570">
              <w:t xml:space="preserve">Cortes </w:t>
            </w:r>
            <w:r w:rsidR="0038675B" w:rsidRPr="002B4570">
              <w:t>et al.</w:t>
            </w:r>
            <w:r w:rsidRPr="002B4570">
              <w:t xml:space="preserve"> A Phase 2 trial of ponatinib in Philadelphia chromosome-positive </w:t>
            </w:r>
            <w:r w:rsidR="00E4103E" w:rsidRPr="002B4570">
              <w:t>leukaemia</w:t>
            </w:r>
            <w:r w:rsidRPr="002B4570">
              <w:t>s.</w:t>
            </w:r>
          </w:p>
        </w:tc>
        <w:tc>
          <w:tcPr>
            <w:tcW w:w="1177" w:type="pct"/>
            <w:vAlign w:val="center"/>
          </w:tcPr>
          <w:p w14:paraId="778F41C3" w14:textId="77777777" w:rsidR="00612D7D" w:rsidRPr="002B4570" w:rsidRDefault="00612D7D" w:rsidP="00B76BAF">
            <w:pPr>
              <w:pStyle w:val="TableText0"/>
            </w:pPr>
            <w:r w:rsidRPr="002B4570">
              <w:t>New Eng J Med 2013; 369 (19): 1783-1796.</w:t>
            </w:r>
          </w:p>
        </w:tc>
      </w:tr>
      <w:tr w:rsidR="00612D7D" w:rsidRPr="002B4570" w14:paraId="09B6F781" w14:textId="77777777" w:rsidTr="00B76BAF">
        <w:trPr>
          <w:trHeight w:val="516"/>
        </w:trPr>
        <w:tc>
          <w:tcPr>
            <w:tcW w:w="796" w:type="pct"/>
            <w:vMerge/>
          </w:tcPr>
          <w:p w14:paraId="5F18B854" w14:textId="77777777" w:rsidR="00612D7D" w:rsidRPr="002B4570" w:rsidRDefault="00612D7D" w:rsidP="00B76BAF">
            <w:pPr>
              <w:pStyle w:val="TableText0"/>
            </w:pPr>
          </w:p>
        </w:tc>
        <w:tc>
          <w:tcPr>
            <w:tcW w:w="3027" w:type="pct"/>
            <w:vAlign w:val="center"/>
          </w:tcPr>
          <w:p w14:paraId="52645491" w14:textId="4DAA3D80" w:rsidR="00612D7D" w:rsidRPr="002B4570" w:rsidRDefault="00612D7D" w:rsidP="00B76BAF">
            <w:pPr>
              <w:pStyle w:val="TableText0"/>
            </w:pPr>
            <w:r w:rsidRPr="002B4570">
              <w:t xml:space="preserve">Cortes </w:t>
            </w:r>
            <w:r w:rsidR="0038675B" w:rsidRPr="002B4570">
              <w:t>et al.</w:t>
            </w:r>
            <w:r w:rsidRPr="002B4570">
              <w:t xml:space="preserve"> Ponatinib efficacy and safety in Philadelphia chromosome-positive </w:t>
            </w:r>
            <w:r w:rsidR="00E4103E" w:rsidRPr="002B4570">
              <w:t>leukaemia</w:t>
            </w:r>
            <w:r w:rsidRPr="002B4570">
              <w:t>: final 5-year results of the phase 2 PACE trial.</w:t>
            </w:r>
          </w:p>
        </w:tc>
        <w:tc>
          <w:tcPr>
            <w:tcW w:w="1177" w:type="pct"/>
            <w:vAlign w:val="center"/>
          </w:tcPr>
          <w:p w14:paraId="6E0D27A6" w14:textId="77777777" w:rsidR="00612D7D" w:rsidRPr="002B4570" w:rsidRDefault="00612D7D" w:rsidP="00B76BAF">
            <w:pPr>
              <w:pStyle w:val="TableText0"/>
            </w:pPr>
            <w:r w:rsidRPr="002B4570">
              <w:t>Blood 2018; 132 (4): 393-404.</w:t>
            </w:r>
          </w:p>
        </w:tc>
      </w:tr>
    </w:tbl>
    <w:p w14:paraId="4B41CE6E" w14:textId="3A1C90B4" w:rsidR="00612D7D" w:rsidRPr="00B22BCB" w:rsidRDefault="00612D7D" w:rsidP="00612D7D">
      <w:pPr>
        <w:pStyle w:val="TableFigureFooter"/>
        <w:rPr>
          <w:sz w:val="20"/>
        </w:rPr>
      </w:pPr>
      <w:r w:rsidRPr="00B22BCB">
        <w:t xml:space="preserve">Source: Table 2.2-1, p </w:t>
      </w:r>
      <w:r w:rsidR="00B22BCB" w:rsidRPr="00B22BCB">
        <w:t>38 and</w:t>
      </w:r>
      <w:r w:rsidRPr="00B22BCB">
        <w:t xml:space="preserve"> Table 2(a).2-1, p 116 of the submission.</w:t>
      </w:r>
    </w:p>
    <w:p w14:paraId="1DD06D7D" w14:textId="1803D616" w:rsidR="007F1017" w:rsidRPr="002B4570" w:rsidRDefault="008F120A" w:rsidP="00EC5836">
      <w:pPr>
        <w:pStyle w:val="3-BodyText"/>
        <w:rPr>
          <w:color w:val="0066FF"/>
        </w:rPr>
      </w:pPr>
      <w:r w:rsidRPr="00B22BCB">
        <w:t xml:space="preserve">The key features </w:t>
      </w:r>
      <w:r w:rsidRPr="002B4570">
        <w:t>of</w:t>
      </w:r>
      <w:r w:rsidR="00FF5296" w:rsidRPr="002B4570">
        <w:t xml:space="preserve"> </w:t>
      </w:r>
      <w:r w:rsidR="00781AC5" w:rsidRPr="002B4570">
        <w:t xml:space="preserve">the </w:t>
      </w:r>
      <w:r w:rsidR="00FF5296" w:rsidRPr="002B4570">
        <w:t>evidence informing</w:t>
      </w:r>
      <w:r w:rsidRPr="002B4570">
        <w:t xml:space="preserve"> the </w:t>
      </w:r>
      <w:r w:rsidR="009D1658" w:rsidRPr="002B4570">
        <w:t xml:space="preserve">unadjusted, </w:t>
      </w:r>
      <w:r w:rsidR="00FF5296" w:rsidRPr="002B4570">
        <w:t>unanchored ITC</w:t>
      </w:r>
      <w:r w:rsidRPr="002B4570">
        <w:t xml:space="preserve"> are summarised in </w:t>
      </w:r>
      <w:r w:rsidR="000C0136" w:rsidRPr="002B4570">
        <w:fldChar w:fldCharType="begin"/>
      </w:r>
      <w:r w:rsidR="000C0136" w:rsidRPr="002B4570">
        <w:instrText xml:space="preserve"> REF _Ref102929885 \h </w:instrText>
      </w:r>
      <w:r w:rsidR="002B4570" w:rsidRPr="002B4570">
        <w:instrText xml:space="preserve"> \* MERGEFORMAT </w:instrText>
      </w:r>
      <w:r w:rsidR="000C0136" w:rsidRPr="002B4570">
        <w:fldChar w:fldCharType="separate"/>
      </w:r>
      <w:r w:rsidR="00A914F4" w:rsidRPr="00B22BCB">
        <w:t xml:space="preserve">Table </w:t>
      </w:r>
      <w:r w:rsidR="00A914F4">
        <w:rPr>
          <w:noProof/>
        </w:rPr>
        <w:t>5</w:t>
      </w:r>
      <w:r w:rsidR="000C0136" w:rsidRPr="002B4570">
        <w:fldChar w:fldCharType="end"/>
      </w:r>
      <w:r w:rsidRPr="002B4570">
        <w:t>.</w:t>
      </w:r>
      <w:r w:rsidR="00BC591F" w:rsidRPr="002B4570">
        <w:t xml:space="preserve"> </w:t>
      </w:r>
      <w:r w:rsidR="007121C6" w:rsidRPr="002B4570">
        <w:t>ASCEMBL excluded patients with the T315I mutation, while the nilotinib</w:t>
      </w:r>
      <w:r w:rsidR="00E80B6D" w:rsidRPr="002B4570">
        <w:t xml:space="preserve"> </w:t>
      </w:r>
      <w:r w:rsidR="007121C6" w:rsidRPr="002B4570">
        <w:t xml:space="preserve">trials did not; 8% of patients in </w:t>
      </w:r>
      <w:r w:rsidR="0038675B" w:rsidRPr="002B4570">
        <w:t>Giles et al.</w:t>
      </w:r>
      <w:r w:rsidR="007121C6" w:rsidRPr="002B4570">
        <w:t xml:space="preserve"> (2010) had this mutation, and it was not tested for in ENACT. Nilotinib is ineffective in patients with this mutation, </w:t>
      </w:r>
      <w:r w:rsidR="00781AC5" w:rsidRPr="002B4570">
        <w:t>and this</w:t>
      </w:r>
      <w:r w:rsidR="007121C6" w:rsidRPr="002B4570">
        <w:t xml:space="preserve"> may </w:t>
      </w:r>
      <w:r w:rsidR="00781AC5" w:rsidRPr="002B4570">
        <w:t>have biased the</w:t>
      </w:r>
      <w:r w:rsidR="007121C6" w:rsidRPr="002B4570">
        <w:t xml:space="preserve"> efficacy results against nilotinib.</w:t>
      </w:r>
      <w:r w:rsidR="000F1E78" w:rsidRPr="002B4570">
        <w:t xml:space="preserve"> </w:t>
      </w:r>
      <w:r w:rsidR="000C0136" w:rsidRPr="002B4570">
        <w:t>The risk of bias in individual studies was found to be low, however the risk of bias in the ITC are considered to be high, due to the combination of transitivity issues, bias in ASCEMBL safety data reporting</w:t>
      </w:r>
      <w:r w:rsidR="0005483D">
        <w:t xml:space="preserve"> with fewer AEs considered treatment</w:t>
      </w:r>
      <w:r w:rsidR="003A6A0C">
        <w:t>-</w:t>
      </w:r>
      <w:r w:rsidR="0005483D">
        <w:t>related for asciminib</w:t>
      </w:r>
      <w:r w:rsidR="00881FD3">
        <w:t xml:space="preserve"> versus </w:t>
      </w:r>
      <w:r w:rsidR="00881FD3" w:rsidRPr="002B4570">
        <w:rPr>
          <w:szCs w:val="18"/>
        </w:rPr>
        <w:t>bosutinib</w:t>
      </w:r>
      <w:r w:rsidR="000C0136" w:rsidRPr="002B4570">
        <w:t>, and mismatched patient exposure/follow-up between the asciminib arm of ASCEMBL and the PACE trial population.</w:t>
      </w:r>
      <w:r w:rsidR="000F1E78" w:rsidRPr="002B4570">
        <w:t xml:space="preserve"> </w:t>
      </w:r>
    </w:p>
    <w:p w14:paraId="355E2F15" w14:textId="497BED8A" w:rsidR="007F1017" w:rsidRPr="00B22BCB" w:rsidRDefault="00817D15" w:rsidP="00817D15">
      <w:pPr>
        <w:pStyle w:val="TableFigureHeading"/>
        <w:rPr>
          <w:rStyle w:val="CommentReference"/>
          <w:b/>
          <w:szCs w:val="24"/>
        </w:rPr>
      </w:pPr>
      <w:bookmarkStart w:id="26" w:name="_Ref102929885"/>
      <w:r w:rsidRPr="00B22BCB">
        <w:t xml:space="preserve">Table </w:t>
      </w:r>
      <w:r w:rsidR="00CA52C1">
        <w:fldChar w:fldCharType="begin"/>
      </w:r>
      <w:r w:rsidR="00CA52C1">
        <w:instrText xml:space="preserve"> SEQ Table \* ARABIC </w:instrText>
      </w:r>
      <w:r w:rsidR="00CA52C1">
        <w:fldChar w:fldCharType="separate"/>
      </w:r>
      <w:r w:rsidR="00A914F4">
        <w:rPr>
          <w:noProof/>
        </w:rPr>
        <w:t>5</w:t>
      </w:r>
      <w:r w:rsidR="00CA52C1">
        <w:rPr>
          <w:noProof/>
        </w:rPr>
        <w:fldChar w:fldCharType="end"/>
      </w:r>
      <w:bookmarkEnd w:id="26"/>
      <w:r w:rsidR="007F1017" w:rsidRPr="00B22BCB">
        <w:rPr>
          <w:rStyle w:val="CommentReference"/>
          <w:b/>
          <w:szCs w:val="24"/>
        </w:rPr>
        <w:t>: Key features of the included evidence</w:t>
      </w:r>
      <w:r w:rsidRPr="00B22BCB">
        <w:rPr>
          <w:rStyle w:val="CommentReference"/>
          <w:b/>
          <w:szCs w:val="24"/>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992"/>
        <w:gridCol w:w="1562"/>
        <w:gridCol w:w="1277"/>
        <w:gridCol w:w="2126"/>
        <w:gridCol w:w="1647"/>
      </w:tblGrid>
      <w:tr w:rsidR="001564A4" w:rsidRPr="002B4570" w14:paraId="53DD7CC6" w14:textId="77777777" w:rsidTr="007C238C">
        <w:trPr>
          <w:cantSplit/>
          <w:tblHeader/>
        </w:trPr>
        <w:tc>
          <w:tcPr>
            <w:tcW w:w="784" w:type="pct"/>
            <w:shd w:val="clear" w:color="auto" w:fill="auto"/>
            <w:vAlign w:val="center"/>
          </w:tcPr>
          <w:p w14:paraId="794116BC" w14:textId="77777777" w:rsidR="001564A4" w:rsidRPr="002B4570" w:rsidRDefault="001564A4" w:rsidP="001E34DF">
            <w:pPr>
              <w:pStyle w:val="In-tableHeading"/>
              <w:rPr>
                <w:lang w:val="en-AU"/>
              </w:rPr>
            </w:pPr>
            <w:r w:rsidRPr="002B4570">
              <w:rPr>
                <w:lang w:val="en-AU"/>
              </w:rPr>
              <w:t>Trial</w:t>
            </w:r>
          </w:p>
        </w:tc>
        <w:tc>
          <w:tcPr>
            <w:tcW w:w="550" w:type="pct"/>
            <w:shd w:val="clear" w:color="auto" w:fill="auto"/>
            <w:vAlign w:val="center"/>
          </w:tcPr>
          <w:p w14:paraId="51122FE5" w14:textId="77777777" w:rsidR="001564A4" w:rsidRPr="002B4570" w:rsidRDefault="001564A4" w:rsidP="00EC5836">
            <w:pPr>
              <w:pStyle w:val="In-tableHeading"/>
              <w:jc w:val="center"/>
              <w:rPr>
                <w:lang w:val="en-AU"/>
              </w:rPr>
            </w:pPr>
            <w:r w:rsidRPr="002B4570">
              <w:rPr>
                <w:lang w:val="en-AU"/>
              </w:rPr>
              <w:t>N</w:t>
            </w:r>
          </w:p>
        </w:tc>
        <w:tc>
          <w:tcPr>
            <w:tcW w:w="866" w:type="pct"/>
            <w:shd w:val="clear" w:color="auto" w:fill="auto"/>
            <w:vAlign w:val="center"/>
          </w:tcPr>
          <w:p w14:paraId="41C438EF" w14:textId="77777777" w:rsidR="001564A4" w:rsidRPr="002B4570" w:rsidRDefault="001564A4" w:rsidP="00EC5836">
            <w:pPr>
              <w:pStyle w:val="In-tableHeading"/>
              <w:jc w:val="center"/>
              <w:rPr>
                <w:lang w:val="en-AU"/>
              </w:rPr>
            </w:pPr>
            <w:r w:rsidRPr="002B4570">
              <w:rPr>
                <w:lang w:val="en-AU"/>
              </w:rPr>
              <w:t>Design/ duration</w:t>
            </w:r>
          </w:p>
        </w:tc>
        <w:tc>
          <w:tcPr>
            <w:tcW w:w="708" w:type="pct"/>
            <w:shd w:val="clear" w:color="auto" w:fill="auto"/>
            <w:vAlign w:val="center"/>
          </w:tcPr>
          <w:p w14:paraId="1FC91360" w14:textId="6862C2C7" w:rsidR="001564A4" w:rsidRPr="002B4570" w:rsidRDefault="000C0136" w:rsidP="00EC5836">
            <w:pPr>
              <w:pStyle w:val="In-tableHeading"/>
              <w:jc w:val="center"/>
              <w:rPr>
                <w:lang w:val="en-AU"/>
              </w:rPr>
            </w:pPr>
            <w:r w:rsidRPr="002B4570">
              <w:rPr>
                <w:lang w:val="en-AU"/>
              </w:rPr>
              <w:t xml:space="preserve">Risk of bias </w:t>
            </w:r>
          </w:p>
        </w:tc>
        <w:tc>
          <w:tcPr>
            <w:tcW w:w="1179" w:type="pct"/>
            <w:shd w:val="clear" w:color="auto" w:fill="auto"/>
            <w:vAlign w:val="center"/>
          </w:tcPr>
          <w:p w14:paraId="7FF90896" w14:textId="77777777" w:rsidR="001564A4" w:rsidRPr="002B4570" w:rsidRDefault="001564A4" w:rsidP="00EC5836">
            <w:pPr>
              <w:pStyle w:val="In-tableHeading"/>
              <w:jc w:val="center"/>
              <w:rPr>
                <w:lang w:val="en-AU"/>
              </w:rPr>
            </w:pPr>
            <w:r w:rsidRPr="002B4570">
              <w:rPr>
                <w:lang w:val="en-AU"/>
              </w:rPr>
              <w:t>Patient population</w:t>
            </w:r>
          </w:p>
        </w:tc>
        <w:tc>
          <w:tcPr>
            <w:tcW w:w="914" w:type="pct"/>
            <w:shd w:val="clear" w:color="auto" w:fill="auto"/>
            <w:vAlign w:val="center"/>
          </w:tcPr>
          <w:p w14:paraId="08C6F624" w14:textId="53A64A98" w:rsidR="001564A4" w:rsidRPr="002B4570" w:rsidRDefault="001564A4" w:rsidP="00EC5836">
            <w:pPr>
              <w:pStyle w:val="In-tableHeading"/>
              <w:jc w:val="center"/>
              <w:rPr>
                <w:lang w:val="en-AU"/>
              </w:rPr>
            </w:pPr>
            <w:r w:rsidRPr="002B4570">
              <w:rPr>
                <w:lang w:val="en-AU"/>
              </w:rPr>
              <w:t>Key outcomes</w:t>
            </w:r>
          </w:p>
        </w:tc>
      </w:tr>
      <w:tr w:rsidR="007F1017" w:rsidRPr="002B4570" w14:paraId="2A03CD4B" w14:textId="77777777" w:rsidTr="00682BA6">
        <w:trPr>
          <w:cantSplit/>
        </w:trPr>
        <w:tc>
          <w:tcPr>
            <w:tcW w:w="5000" w:type="pct"/>
            <w:gridSpan w:val="6"/>
            <w:shd w:val="clear" w:color="auto" w:fill="auto"/>
            <w:vAlign w:val="center"/>
          </w:tcPr>
          <w:p w14:paraId="73088C85" w14:textId="1BE725D0" w:rsidR="007F1017" w:rsidRPr="002B4570" w:rsidRDefault="00337BFF" w:rsidP="00EC5836">
            <w:pPr>
              <w:pStyle w:val="In-tableHeading"/>
              <w:rPr>
                <w:lang w:val="en-AU"/>
              </w:rPr>
            </w:pPr>
            <w:r w:rsidRPr="002B4570">
              <w:rPr>
                <w:lang w:val="en-AU"/>
              </w:rPr>
              <w:t>asciminib</w:t>
            </w:r>
            <w:r w:rsidR="006E31D7" w:rsidRPr="002B4570">
              <w:rPr>
                <w:lang w:val="en-AU"/>
              </w:rPr>
              <w:t xml:space="preserve"> vs bosutinib</w:t>
            </w:r>
          </w:p>
        </w:tc>
      </w:tr>
      <w:tr w:rsidR="001564A4" w:rsidRPr="002B4570" w14:paraId="4EE88DCB" w14:textId="77777777" w:rsidTr="007C238C">
        <w:trPr>
          <w:cantSplit/>
        </w:trPr>
        <w:tc>
          <w:tcPr>
            <w:tcW w:w="784" w:type="pct"/>
            <w:shd w:val="clear" w:color="auto" w:fill="auto"/>
            <w:vAlign w:val="center"/>
          </w:tcPr>
          <w:p w14:paraId="6EE77D33" w14:textId="77BAEFC5" w:rsidR="001564A4" w:rsidRPr="002B4570" w:rsidRDefault="001564A4" w:rsidP="00EC5836">
            <w:pPr>
              <w:pStyle w:val="TableText0"/>
            </w:pPr>
            <w:r w:rsidRPr="002B4570">
              <w:t>ASCEMBL</w:t>
            </w:r>
          </w:p>
        </w:tc>
        <w:tc>
          <w:tcPr>
            <w:tcW w:w="550" w:type="pct"/>
            <w:shd w:val="clear" w:color="auto" w:fill="auto"/>
            <w:vAlign w:val="center"/>
          </w:tcPr>
          <w:p w14:paraId="41BB0E41" w14:textId="4E88D63C" w:rsidR="001564A4" w:rsidRPr="002B4570" w:rsidRDefault="001564A4" w:rsidP="00EC5836">
            <w:pPr>
              <w:pStyle w:val="TableText0"/>
              <w:jc w:val="center"/>
            </w:pPr>
            <w:r w:rsidRPr="002B4570">
              <w:t>233</w:t>
            </w:r>
          </w:p>
        </w:tc>
        <w:tc>
          <w:tcPr>
            <w:tcW w:w="866" w:type="pct"/>
            <w:shd w:val="clear" w:color="auto" w:fill="auto"/>
            <w:vAlign w:val="center"/>
          </w:tcPr>
          <w:p w14:paraId="401EAFDA" w14:textId="08F83CD2" w:rsidR="001564A4" w:rsidRPr="002B4570" w:rsidRDefault="001564A4" w:rsidP="00EC5836">
            <w:pPr>
              <w:pStyle w:val="TableText0"/>
              <w:jc w:val="center"/>
            </w:pPr>
            <w:r w:rsidRPr="002B4570">
              <w:t>R,</w:t>
            </w:r>
            <w:r w:rsidR="00ED3E16" w:rsidRPr="002B4570">
              <w:t xml:space="preserve"> MC,</w:t>
            </w:r>
            <w:r w:rsidRPr="002B4570">
              <w:t xml:space="preserve"> OL</w:t>
            </w:r>
          </w:p>
          <w:p w14:paraId="744D08AC" w14:textId="55ECAE5B" w:rsidR="001564A4" w:rsidRPr="002B4570" w:rsidRDefault="001564A4" w:rsidP="00EC5836">
            <w:pPr>
              <w:pStyle w:val="TableText0"/>
              <w:jc w:val="center"/>
            </w:pPr>
            <w:r w:rsidRPr="002B4570">
              <w:t>22.3 mths</w:t>
            </w:r>
            <w:r w:rsidRPr="002B4570">
              <w:rPr>
                <w:vertAlign w:val="superscript"/>
              </w:rPr>
              <w:t>a</w:t>
            </w:r>
          </w:p>
        </w:tc>
        <w:tc>
          <w:tcPr>
            <w:tcW w:w="708" w:type="pct"/>
            <w:shd w:val="clear" w:color="auto" w:fill="auto"/>
            <w:vAlign w:val="center"/>
          </w:tcPr>
          <w:p w14:paraId="4A529D74" w14:textId="77777777" w:rsidR="001564A4" w:rsidRPr="002B4570" w:rsidRDefault="001564A4" w:rsidP="00EC5836">
            <w:pPr>
              <w:pStyle w:val="TableText0"/>
              <w:jc w:val="center"/>
            </w:pPr>
            <w:r w:rsidRPr="002B4570">
              <w:t>Low</w:t>
            </w:r>
          </w:p>
        </w:tc>
        <w:tc>
          <w:tcPr>
            <w:tcW w:w="1179" w:type="pct"/>
            <w:shd w:val="clear" w:color="auto" w:fill="auto"/>
            <w:vAlign w:val="center"/>
          </w:tcPr>
          <w:p w14:paraId="5E6F456D" w14:textId="6AE42F29" w:rsidR="001564A4" w:rsidRPr="002B4570" w:rsidRDefault="001564A4" w:rsidP="00EC5836">
            <w:pPr>
              <w:pStyle w:val="TableText0"/>
              <w:jc w:val="center"/>
            </w:pPr>
            <w:r w:rsidRPr="002B4570">
              <w:t>Failed at least 2 prior TKIs</w:t>
            </w:r>
          </w:p>
        </w:tc>
        <w:tc>
          <w:tcPr>
            <w:tcW w:w="914" w:type="pct"/>
            <w:shd w:val="clear" w:color="auto" w:fill="auto"/>
            <w:vAlign w:val="center"/>
          </w:tcPr>
          <w:p w14:paraId="150A804C" w14:textId="318BC89D" w:rsidR="001564A4" w:rsidRPr="002B4570" w:rsidRDefault="001564A4" w:rsidP="00EC5836">
            <w:pPr>
              <w:pStyle w:val="TableText0"/>
              <w:jc w:val="center"/>
            </w:pPr>
            <w:r w:rsidRPr="002B4570">
              <w:t>MMR and CCyR</w:t>
            </w:r>
          </w:p>
        </w:tc>
      </w:tr>
      <w:tr w:rsidR="005A1761" w:rsidRPr="002B4570" w14:paraId="3852E43A" w14:textId="77777777" w:rsidTr="005A1761">
        <w:trPr>
          <w:cantSplit/>
        </w:trPr>
        <w:tc>
          <w:tcPr>
            <w:tcW w:w="5000" w:type="pct"/>
            <w:gridSpan w:val="6"/>
            <w:shd w:val="clear" w:color="auto" w:fill="auto"/>
            <w:vAlign w:val="center"/>
          </w:tcPr>
          <w:p w14:paraId="2716FF75" w14:textId="38EA8981" w:rsidR="005A1761" w:rsidRPr="002B4570" w:rsidRDefault="005A1761" w:rsidP="005A1761">
            <w:pPr>
              <w:pStyle w:val="TableText0"/>
              <w:rPr>
                <w:b/>
                <w:bCs w:val="0"/>
              </w:rPr>
            </w:pPr>
            <w:r w:rsidRPr="002B4570">
              <w:rPr>
                <w:b/>
                <w:bCs w:val="0"/>
              </w:rPr>
              <w:t>Nilotinib Trials</w:t>
            </w:r>
          </w:p>
        </w:tc>
      </w:tr>
      <w:tr w:rsidR="001564A4" w:rsidRPr="002B4570" w14:paraId="13A6895C" w14:textId="77777777" w:rsidTr="007C238C">
        <w:trPr>
          <w:cantSplit/>
        </w:trPr>
        <w:tc>
          <w:tcPr>
            <w:tcW w:w="784" w:type="pct"/>
            <w:shd w:val="clear" w:color="auto" w:fill="auto"/>
            <w:vAlign w:val="center"/>
          </w:tcPr>
          <w:p w14:paraId="4A9488B3" w14:textId="69CE06DF" w:rsidR="001564A4" w:rsidRPr="002B4570" w:rsidRDefault="001564A4" w:rsidP="00EC5836">
            <w:pPr>
              <w:pStyle w:val="TableText0"/>
            </w:pPr>
            <w:r w:rsidRPr="002B4570">
              <w:t>ENACT</w:t>
            </w:r>
          </w:p>
        </w:tc>
        <w:tc>
          <w:tcPr>
            <w:tcW w:w="550" w:type="pct"/>
            <w:shd w:val="clear" w:color="auto" w:fill="auto"/>
            <w:vAlign w:val="center"/>
          </w:tcPr>
          <w:p w14:paraId="3F4D20B5" w14:textId="3DCF5D65" w:rsidR="001564A4" w:rsidRPr="002B4570" w:rsidRDefault="001564A4" w:rsidP="00EC5836">
            <w:pPr>
              <w:pStyle w:val="TableText0"/>
              <w:jc w:val="center"/>
            </w:pPr>
            <w:r w:rsidRPr="002B4570">
              <w:t>1,422</w:t>
            </w:r>
          </w:p>
        </w:tc>
        <w:tc>
          <w:tcPr>
            <w:tcW w:w="866" w:type="pct"/>
            <w:shd w:val="clear" w:color="auto" w:fill="auto"/>
            <w:vAlign w:val="center"/>
          </w:tcPr>
          <w:p w14:paraId="0CEC85E4" w14:textId="12A8EC7C" w:rsidR="001564A4" w:rsidRPr="002B4570" w:rsidRDefault="00ED3E16" w:rsidP="00EC5836">
            <w:pPr>
              <w:pStyle w:val="TableText0"/>
              <w:jc w:val="center"/>
            </w:pPr>
            <w:r w:rsidRPr="002B4570">
              <w:t xml:space="preserve">SA, </w:t>
            </w:r>
            <w:r w:rsidR="005A1761" w:rsidRPr="002B4570">
              <w:t xml:space="preserve">MC, </w:t>
            </w:r>
            <w:r w:rsidR="001564A4" w:rsidRPr="002B4570">
              <w:t>OL</w:t>
            </w:r>
          </w:p>
          <w:p w14:paraId="68D92FE7" w14:textId="392706C9" w:rsidR="001564A4" w:rsidRPr="002B4570" w:rsidRDefault="00ED3E16" w:rsidP="00EC5836">
            <w:pPr>
              <w:pStyle w:val="TableText0"/>
              <w:jc w:val="center"/>
            </w:pPr>
            <w:r w:rsidRPr="002B4570">
              <w:t>7.4</w:t>
            </w:r>
            <w:r w:rsidR="001564A4" w:rsidRPr="002B4570">
              <w:t xml:space="preserve"> mths</w:t>
            </w:r>
          </w:p>
        </w:tc>
        <w:tc>
          <w:tcPr>
            <w:tcW w:w="708" w:type="pct"/>
            <w:shd w:val="clear" w:color="auto" w:fill="auto"/>
            <w:vAlign w:val="center"/>
          </w:tcPr>
          <w:p w14:paraId="6F0F93F8" w14:textId="55CF0F08" w:rsidR="001564A4" w:rsidRPr="002B4570" w:rsidRDefault="005A1761" w:rsidP="00EC5836">
            <w:pPr>
              <w:pStyle w:val="TableText0"/>
              <w:jc w:val="center"/>
            </w:pPr>
            <w:r w:rsidRPr="002B4570">
              <w:t>Low</w:t>
            </w:r>
          </w:p>
        </w:tc>
        <w:tc>
          <w:tcPr>
            <w:tcW w:w="1179" w:type="pct"/>
            <w:shd w:val="clear" w:color="auto" w:fill="auto"/>
            <w:vAlign w:val="center"/>
          </w:tcPr>
          <w:p w14:paraId="43AC963E" w14:textId="73AA89F5" w:rsidR="001564A4" w:rsidRPr="002B4570" w:rsidRDefault="005A1761" w:rsidP="00EC5836">
            <w:pPr>
              <w:pStyle w:val="TableText0"/>
              <w:jc w:val="center"/>
            </w:pPr>
            <w:r w:rsidRPr="002B4570">
              <w:t>Prior imatinib failure; subgroup (n=218) failed 2 prior TKIs</w:t>
            </w:r>
          </w:p>
        </w:tc>
        <w:tc>
          <w:tcPr>
            <w:tcW w:w="914" w:type="pct"/>
            <w:shd w:val="clear" w:color="auto" w:fill="auto"/>
            <w:vAlign w:val="center"/>
          </w:tcPr>
          <w:p w14:paraId="3175EA34" w14:textId="0C6CCF80" w:rsidR="001564A4" w:rsidRPr="002B4570" w:rsidRDefault="005A1761" w:rsidP="00EC5836">
            <w:pPr>
              <w:pStyle w:val="TableText0"/>
              <w:jc w:val="center"/>
            </w:pPr>
            <w:r w:rsidRPr="002B4570">
              <w:t>MMR and CCyR</w:t>
            </w:r>
          </w:p>
        </w:tc>
      </w:tr>
      <w:tr w:rsidR="005A1761" w:rsidRPr="002B4570" w14:paraId="6DAFAEAF" w14:textId="77777777" w:rsidTr="007C238C">
        <w:trPr>
          <w:cantSplit/>
        </w:trPr>
        <w:tc>
          <w:tcPr>
            <w:tcW w:w="784" w:type="pct"/>
            <w:shd w:val="clear" w:color="auto" w:fill="auto"/>
            <w:vAlign w:val="center"/>
          </w:tcPr>
          <w:p w14:paraId="76F0584C" w14:textId="668E8D8D" w:rsidR="005A1761" w:rsidRPr="002B4570" w:rsidRDefault="0038675B" w:rsidP="005A1761">
            <w:pPr>
              <w:pStyle w:val="TableText0"/>
            </w:pPr>
            <w:r w:rsidRPr="002B4570">
              <w:t>Giles et al.</w:t>
            </w:r>
            <w:r w:rsidR="005A1761" w:rsidRPr="002B4570">
              <w:t xml:space="preserve"> (2010)</w:t>
            </w:r>
          </w:p>
        </w:tc>
        <w:tc>
          <w:tcPr>
            <w:tcW w:w="550" w:type="pct"/>
            <w:shd w:val="clear" w:color="auto" w:fill="auto"/>
            <w:vAlign w:val="center"/>
          </w:tcPr>
          <w:p w14:paraId="7D785F8E" w14:textId="1CF6DF31" w:rsidR="005A1761" w:rsidRPr="002B4570" w:rsidRDefault="005A1761" w:rsidP="005A1761">
            <w:pPr>
              <w:pStyle w:val="TableText0"/>
              <w:jc w:val="center"/>
            </w:pPr>
            <w:r w:rsidRPr="002B4570">
              <w:t>39</w:t>
            </w:r>
          </w:p>
        </w:tc>
        <w:tc>
          <w:tcPr>
            <w:tcW w:w="866" w:type="pct"/>
            <w:shd w:val="clear" w:color="auto" w:fill="auto"/>
            <w:vAlign w:val="center"/>
          </w:tcPr>
          <w:p w14:paraId="0DF6C5D9" w14:textId="59ECDF85" w:rsidR="005A1761" w:rsidRPr="002B4570" w:rsidRDefault="005A1761" w:rsidP="005A1761">
            <w:pPr>
              <w:pStyle w:val="TableText0"/>
              <w:jc w:val="center"/>
            </w:pPr>
            <w:r w:rsidRPr="002B4570">
              <w:t xml:space="preserve">SA, MC, OL </w:t>
            </w:r>
          </w:p>
          <w:p w14:paraId="4F10C1AA" w14:textId="1A4BD163" w:rsidR="005A1761" w:rsidRPr="002B4570" w:rsidRDefault="005A1761" w:rsidP="005A1761">
            <w:pPr>
              <w:pStyle w:val="TableText0"/>
              <w:jc w:val="center"/>
            </w:pPr>
            <w:r w:rsidRPr="002B4570">
              <w:t>12 mths</w:t>
            </w:r>
          </w:p>
        </w:tc>
        <w:tc>
          <w:tcPr>
            <w:tcW w:w="708" w:type="pct"/>
            <w:shd w:val="clear" w:color="auto" w:fill="auto"/>
            <w:vAlign w:val="center"/>
          </w:tcPr>
          <w:p w14:paraId="50E27A90" w14:textId="77777777" w:rsidR="005A1761" w:rsidRPr="002B4570" w:rsidRDefault="005A1761" w:rsidP="005A1761">
            <w:pPr>
              <w:pStyle w:val="TableText0"/>
              <w:jc w:val="center"/>
            </w:pPr>
            <w:r w:rsidRPr="002B4570">
              <w:t>Low</w:t>
            </w:r>
          </w:p>
        </w:tc>
        <w:tc>
          <w:tcPr>
            <w:tcW w:w="1179" w:type="pct"/>
            <w:shd w:val="clear" w:color="auto" w:fill="auto"/>
            <w:vAlign w:val="center"/>
          </w:tcPr>
          <w:p w14:paraId="1B84BE0E" w14:textId="0A19CE8D" w:rsidR="005A1761" w:rsidRPr="002B4570" w:rsidRDefault="005A1761" w:rsidP="005A1761">
            <w:pPr>
              <w:pStyle w:val="TableText0"/>
              <w:jc w:val="center"/>
            </w:pPr>
            <w:r w:rsidRPr="002B4570">
              <w:t>Failed 2 prior TKIs</w:t>
            </w:r>
          </w:p>
        </w:tc>
        <w:tc>
          <w:tcPr>
            <w:tcW w:w="914" w:type="pct"/>
            <w:shd w:val="clear" w:color="auto" w:fill="auto"/>
            <w:vAlign w:val="center"/>
          </w:tcPr>
          <w:p w14:paraId="0351A18F" w14:textId="54A89762" w:rsidR="005A1761" w:rsidRPr="002B4570" w:rsidRDefault="005A1761" w:rsidP="005A1761">
            <w:pPr>
              <w:pStyle w:val="TableText0"/>
              <w:jc w:val="center"/>
            </w:pPr>
            <w:r w:rsidRPr="002B4570">
              <w:t>MMR and CCyR</w:t>
            </w:r>
          </w:p>
        </w:tc>
      </w:tr>
      <w:tr w:rsidR="005A1761" w:rsidRPr="002B4570" w14:paraId="28762BB8" w14:textId="77777777" w:rsidTr="005A1761">
        <w:trPr>
          <w:cantSplit/>
        </w:trPr>
        <w:tc>
          <w:tcPr>
            <w:tcW w:w="5000" w:type="pct"/>
            <w:gridSpan w:val="6"/>
            <w:shd w:val="clear" w:color="auto" w:fill="auto"/>
            <w:vAlign w:val="center"/>
          </w:tcPr>
          <w:p w14:paraId="0276F3DE" w14:textId="675C46D0" w:rsidR="005A1761" w:rsidRPr="002B4570" w:rsidRDefault="005A1761" w:rsidP="005A1761">
            <w:pPr>
              <w:pStyle w:val="TableText0"/>
              <w:rPr>
                <w:b/>
                <w:bCs w:val="0"/>
              </w:rPr>
            </w:pPr>
            <w:r w:rsidRPr="002B4570">
              <w:rPr>
                <w:b/>
                <w:bCs w:val="0"/>
              </w:rPr>
              <w:t>Ponatinib trial</w:t>
            </w:r>
          </w:p>
        </w:tc>
      </w:tr>
      <w:tr w:rsidR="005A1761" w:rsidRPr="002B4570" w14:paraId="6BB16954" w14:textId="77777777" w:rsidTr="007C238C">
        <w:trPr>
          <w:cantSplit/>
        </w:trPr>
        <w:tc>
          <w:tcPr>
            <w:tcW w:w="784" w:type="pct"/>
            <w:shd w:val="clear" w:color="auto" w:fill="auto"/>
            <w:vAlign w:val="center"/>
          </w:tcPr>
          <w:p w14:paraId="587801CB" w14:textId="4A1304FA" w:rsidR="005A1761" w:rsidRPr="002B4570" w:rsidRDefault="005A1761" w:rsidP="005A1761">
            <w:pPr>
              <w:pStyle w:val="TableText0"/>
            </w:pPr>
            <w:r w:rsidRPr="002B4570">
              <w:t>PACE</w:t>
            </w:r>
          </w:p>
        </w:tc>
        <w:tc>
          <w:tcPr>
            <w:tcW w:w="550" w:type="pct"/>
            <w:shd w:val="clear" w:color="auto" w:fill="auto"/>
            <w:vAlign w:val="center"/>
          </w:tcPr>
          <w:p w14:paraId="0EE9B253" w14:textId="0D1DC4C5" w:rsidR="005A1761" w:rsidRPr="002B4570" w:rsidRDefault="001B3A25" w:rsidP="005A1761">
            <w:pPr>
              <w:pStyle w:val="TableText0"/>
              <w:jc w:val="center"/>
            </w:pPr>
            <w:r w:rsidRPr="002B4570">
              <w:t>270</w:t>
            </w:r>
          </w:p>
        </w:tc>
        <w:tc>
          <w:tcPr>
            <w:tcW w:w="866" w:type="pct"/>
            <w:shd w:val="clear" w:color="auto" w:fill="auto"/>
            <w:vAlign w:val="center"/>
          </w:tcPr>
          <w:p w14:paraId="3EEB5C4F" w14:textId="033FF00E" w:rsidR="001B3A25" w:rsidRPr="002B4570" w:rsidRDefault="001B3A25" w:rsidP="005A1761">
            <w:pPr>
              <w:pStyle w:val="TableText0"/>
              <w:jc w:val="center"/>
            </w:pPr>
            <w:r w:rsidRPr="002B4570">
              <w:t>SA, MC, OL</w:t>
            </w:r>
          </w:p>
          <w:p w14:paraId="366ACB02" w14:textId="4A12664C" w:rsidR="005A1761" w:rsidRPr="002B4570" w:rsidRDefault="005A1761" w:rsidP="005A1761">
            <w:pPr>
              <w:pStyle w:val="TableText0"/>
              <w:jc w:val="center"/>
            </w:pPr>
            <w:r w:rsidRPr="002B4570">
              <w:t>15 mths</w:t>
            </w:r>
            <w:r w:rsidRPr="002B4570">
              <w:rPr>
                <w:vertAlign w:val="superscript"/>
              </w:rPr>
              <w:t>b</w:t>
            </w:r>
          </w:p>
        </w:tc>
        <w:tc>
          <w:tcPr>
            <w:tcW w:w="708" w:type="pct"/>
            <w:shd w:val="clear" w:color="auto" w:fill="auto"/>
            <w:vAlign w:val="center"/>
          </w:tcPr>
          <w:p w14:paraId="39FACFB0" w14:textId="023665DB" w:rsidR="005A1761" w:rsidRPr="002B4570" w:rsidRDefault="005A1761" w:rsidP="005A1761">
            <w:pPr>
              <w:pStyle w:val="TableText0"/>
              <w:jc w:val="center"/>
            </w:pPr>
            <w:r w:rsidRPr="002B4570">
              <w:t>Low</w:t>
            </w:r>
          </w:p>
        </w:tc>
        <w:tc>
          <w:tcPr>
            <w:tcW w:w="1179" w:type="pct"/>
            <w:shd w:val="clear" w:color="auto" w:fill="auto"/>
            <w:vAlign w:val="center"/>
          </w:tcPr>
          <w:p w14:paraId="65FE631C" w14:textId="4874954D" w:rsidR="005A1761" w:rsidRPr="002B4570" w:rsidRDefault="001B3A25" w:rsidP="005A1761">
            <w:pPr>
              <w:pStyle w:val="TableText0"/>
              <w:jc w:val="center"/>
            </w:pPr>
            <w:r w:rsidRPr="002B4570">
              <w:t>Failed at least 2 prior TKIs</w:t>
            </w:r>
          </w:p>
        </w:tc>
        <w:tc>
          <w:tcPr>
            <w:tcW w:w="914" w:type="pct"/>
            <w:shd w:val="clear" w:color="auto" w:fill="auto"/>
            <w:vAlign w:val="center"/>
          </w:tcPr>
          <w:p w14:paraId="3AE4843A" w14:textId="336C979A" w:rsidR="005A1761" w:rsidRPr="002B4570" w:rsidRDefault="005A1761" w:rsidP="005A1761">
            <w:pPr>
              <w:pStyle w:val="TableText0"/>
              <w:jc w:val="center"/>
            </w:pPr>
            <w:r w:rsidRPr="002B4570">
              <w:t>MMR and CCyR</w:t>
            </w:r>
          </w:p>
        </w:tc>
      </w:tr>
    </w:tbl>
    <w:p w14:paraId="560080D2" w14:textId="68097A36" w:rsidR="00045017" w:rsidRPr="00B22BCB" w:rsidRDefault="00045017" w:rsidP="00817D15">
      <w:pPr>
        <w:pStyle w:val="TableFigureFooter"/>
      </w:pPr>
      <w:r w:rsidRPr="00B22BCB">
        <w:t xml:space="preserve">Source: </w:t>
      </w:r>
      <w:r w:rsidR="00290F3C" w:rsidRPr="00B22BCB">
        <w:t>Table 2(a).3-4, p 126 of the submission and Appendix 12 to the submission</w:t>
      </w:r>
      <w:r w:rsidRPr="00B22BCB">
        <w:t>.</w:t>
      </w:r>
    </w:p>
    <w:p w14:paraId="1095487C" w14:textId="13EAC75E" w:rsidR="00620C25" w:rsidRPr="00B22BCB" w:rsidRDefault="00B46E6D" w:rsidP="00817D15">
      <w:pPr>
        <w:pStyle w:val="TableFigureFooter"/>
      </w:pPr>
      <w:r w:rsidRPr="00B22BCB">
        <w:t xml:space="preserve">CCyR = complete cytogenetic response; </w:t>
      </w:r>
      <w:r w:rsidR="00620C25" w:rsidRPr="00B22BCB">
        <w:t xml:space="preserve">DB = double blind; MC = multi-centre; </w:t>
      </w:r>
      <w:r w:rsidRPr="00B22BCB">
        <w:t xml:space="preserve">MMR = major molecular response; </w:t>
      </w:r>
      <w:r w:rsidR="00620C25" w:rsidRPr="00B22BCB">
        <w:t>OL = open label; OS = overall survival; PFS = progression-free survival; R = randomised</w:t>
      </w:r>
      <w:r w:rsidR="00EC6F32" w:rsidRPr="00B22BCB">
        <w:t>;</w:t>
      </w:r>
      <w:r w:rsidR="00ED3E16" w:rsidRPr="00B22BCB">
        <w:t xml:space="preserve"> SA = single arm;</w:t>
      </w:r>
      <w:r w:rsidR="00EC6F32" w:rsidRPr="00B22BCB">
        <w:t xml:space="preserve"> TKI = tyrosine kinase inhibitor</w:t>
      </w:r>
      <w:r w:rsidRPr="00B22BCB">
        <w:t xml:space="preserve">. </w:t>
      </w:r>
    </w:p>
    <w:p w14:paraId="69A03AC8" w14:textId="36244874" w:rsidR="006E31D7" w:rsidRPr="00B22BCB" w:rsidRDefault="006E31D7" w:rsidP="00817D15">
      <w:pPr>
        <w:pStyle w:val="TableFigureFooter"/>
      </w:pPr>
      <w:r w:rsidRPr="00B22BCB">
        <w:rPr>
          <w:vertAlign w:val="superscript"/>
        </w:rPr>
        <w:t>a</w:t>
      </w:r>
      <w:r w:rsidRPr="00B22BCB">
        <w:t xml:space="preserve"> Updated analysis</w:t>
      </w:r>
    </w:p>
    <w:p w14:paraId="28FC5F90" w14:textId="3328A481" w:rsidR="005A1761" w:rsidRDefault="005A1761" w:rsidP="00817D15">
      <w:pPr>
        <w:pStyle w:val="TableFigureFooter"/>
      </w:pPr>
      <w:r w:rsidRPr="00B22BCB">
        <w:rPr>
          <w:vertAlign w:val="superscript"/>
        </w:rPr>
        <w:t>b</w:t>
      </w:r>
      <w:r w:rsidRPr="00B22BCB">
        <w:t xml:space="preserve"> Primary analysis; the updated analysis provided 56.8 months of follow-up.</w:t>
      </w:r>
    </w:p>
    <w:p w14:paraId="393BC267" w14:textId="4432921A" w:rsidR="00E90A23" w:rsidRPr="00B22BCB" w:rsidRDefault="00E90A23" w:rsidP="00E90A23">
      <w:pPr>
        <w:pStyle w:val="3-BodyText"/>
      </w:pPr>
      <w:r>
        <w:fldChar w:fldCharType="begin"/>
      </w:r>
      <w:r>
        <w:instrText xml:space="preserve"> REF _Ref102049883 \h </w:instrText>
      </w:r>
      <w:r>
        <w:fldChar w:fldCharType="separate"/>
      </w:r>
      <w:r w:rsidR="00A914F4" w:rsidRPr="00B22BCB">
        <w:t xml:space="preserve">Table </w:t>
      </w:r>
      <w:r w:rsidR="00A914F4">
        <w:rPr>
          <w:noProof/>
        </w:rPr>
        <w:t>6</w:t>
      </w:r>
      <w:r>
        <w:fldChar w:fldCharType="end"/>
      </w:r>
      <w:r>
        <w:t xml:space="preserve"> shows the median duration of treatment</w:t>
      </w:r>
      <w:r w:rsidR="004C1CE1">
        <w:t xml:space="preserve"> </w:t>
      </w:r>
      <w:r w:rsidR="002B4793">
        <w:t xml:space="preserve">and dose </w:t>
      </w:r>
      <w:r w:rsidR="004C1CE1">
        <w:t>across the asciminib, nilotinib and ponatinib trials.</w:t>
      </w:r>
    </w:p>
    <w:p w14:paraId="041F8B0F" w14:textId="2CCCF6F9" w:rsidR="005444D6" w:rsidRPr="00B22BCB" w:rsidRDefault="005444D6" w:rsidP="005444D6">
      <w:pPr>
        <w:pStyle w:val="TableFigureHeading"/>
      </w:pPr>
      <w:bookmarkStart w:id="27" w:name="_Ref102049883"/>
      <w:r w:rsidRPr="00B22BCB">
        <w:t xml:space="preserve">Table </w:t>
      </w:r>
      <w:r w:rsidR="00CA52C1">
        <w:fldChar w:fldCharType="begin"/>
      </w:r>
      <w:r w:rsidR="00CA52C1">
        <w:instrText xml:space="preserve"> SEQ Table \* ARABIC </w:instrText>
      </w:r>
      <w:r w:rsidR="00CA52C1">
        <w:fldChar w:fldCharType="separate"/>
      </w:r>
      <w:r w:rsidR="00A914F4">
        <w:rPr>
          <w:noProof/>
        </w:rPr>
        <w:t>6</w:t>
      </w:r>
      <w:r w:rsidR="00CA52C1">
        <w:rPr>
          <w:noProof/>
        </w:rPr>
        <w:fldChar w:fldCharType="end"/>
      </w:r>
      <w:bookmarkEnd w:id="27"/>
      <w:r w:rsidRPr="00B22BCB">
        <w:rPr>
          <w:noProof/>
        </w:rPr>
        <w:t>:</w:t>
      </w:r>
      <w:r w:rsidRPr="00B22BCB">
        <w:t xml:space="preserve"> Median duration of treatment between studies</w:t>
      </w:r>
    </w:p>
    <w:tbl>
      <w:tblPr>
        <w:tblStyle w:val="TableGrid"/>
        <w:tblW w:w="5114" w:type="pct"/>
        <w:tblLook w:val="04A0" w:firstRow="1" w:lastRow="0" w:firstColumn="1" w:lastColumn="0" w:noHBand="0" w:noVBand="1"/>
      </w:tblPr>
      <w:tblGrid>
        <w:gridCol w:w="3113"/>
        <w:gridCol w:w="2083"/>
        <w:gridCol w:w="2221"/>
        <w:gridCol w:w="1806"/>
      </w:tblGrid>
      <w:tr w:rsidR="00F323EE" w:rsidRPr="00B22BCB" w14:paraId="13E7F995" w14:textId="5D6FF127" w:rsidTr="00F323EE">
        <w:trPr>
          <w:trHeight w:val="244"/>
        </w:trPr>
        <w:tc>
          <w:tcPr>
            <w:tcW w:w="1688" w:type="pct"/>
            <w:shd w:val="clear" w:color="auto" w:fill="auto"/>
            <w:vAlign w:val="center"/>
          </w:tcPr>
          <w:p w14:paraId="49267093" w14:textId="77777777" w:rsidR="0012104C" w:rsidRPr="00B22BCB" w:rsidRDefault="0012104C" w:rsidP="0012104C">
            <w:pPr>
              <w:pStyle w:val="Tableheading0"/>
              <w:rPr>
                <w:rFonts w:ascii="Arial Narrow" w:hAnsi="Arial Narrow"/>
              </w:rPr>
            </w:pPr>
            <w:r w:rsidRPr="00B22BCB">
              <w:rPr>
                <w:rFonts w:ascii="Arial Narrow" w:hAnsi="Arial Narrow"/>
              </w:rPr>
              <w:t>Trial ID</w:t>
            </w:r>
          </w:p>
        </w:tc>
        <w:tc>
          <w:tcPr>
            <w:tcW w:w="1129" w:type="pct"/>
            <w:shd w:val="clear" w:color="auto" w:fill="auto"/>
          </w:tcPr>
          <w:p w14:paraId="62B9A518" w14:textId="1DF68F7B" w:rsidR="0012104C" w:rsidRPr="00B22BCB" w:rsidRDefault="0012104C" w:rsidP="0012104C">
            <w:pPr>
              <w:pStyle w:val="Tableheading0"/>
              <w:rPr>
                <w:rFonts w:ascii="Arial Narrow" w:hAnsi="Arial Narrow"/>
              </w:rPr>
            </w:pPr>
            <w:r w:rsidRPr="00B22BCB">
              <w:rPr>
                <w:rFonts w:ascii="Arial Narrow" w:hAnsi="Arial Narrow"/>
              </w:rPr>
              <w:t xml:space="preserve">Duration of treatment </w:t>
            </w:r>
          </w:p>
          <w:p w14:paraId="06FF86ED" w14:textId="53529AAB" w:rsidR="0012104C" w:rsidRPr="00B22BCB" w:rsidRDefault="0012104C" w:rsidP="0012104C">
            <w:pPr>
              <w:pStyle w:val="Tableheading0"/>
              <w:rPr>
                <w:rFonts w:ascii="Arial Narrow" w:hAnsi="Arial Narrow"/>
              </w:rPr>
            </w:pPr>
            <w:r w:rsidRPr="00B22BCB">
              <w:rPr>
                <w:rFonts w:ascii="Arial Narrow" w:hAnsi="Arial Narrow"/>
              </w:rPr>
              <w:t>Median (range)</w:t>
            </w:r>
            <w:r w:rsidR="00FA79D5" w:rsidRPr="00B22BCB">
              <w:rPr>
                <w:rFonts w:ascii="Arial Narrow" w:hAnsi="Arial Narrow"/>
              </w:rPr>
              <w:t xml:space="preserve"> (weeks)</w:t>
            </w:r>
          </w:p>
        </w:tc>
        <w:tc>
          <w:tcPr>
            <w:tcW w:w="1204" w:type="pct"/>
            <w:shd w:val="clear" w:color="auto" w:fill="auto"/>
          </w:tcPr>
          <w:p w14:paraId="7BEEB90F" w14:textId="405E5104" w:rsidR="0012104C" w:rsidRPr="00B22BCB" w:rsidRDefault="0012104C" w:rsidP="0012104C">
            <w:pPr>
              <w:pStyle w:val="Tableheading0"/>
              <w:rPr>
                <w:rFonts w:ascii="Arial Narrow" w:hAnsi="Arial Narrow"/>
              </w:rPr>
            </w:pPr>
            <w:r w:rsidRPr="00B22BCB">
              <w:rPr>
                <w:rFonts w:ascii="Arial Narrow" w:hAnsi="Arial Narrow"/>
              </w:rPr>
              <w:t xml:space="preserve">Duration of follow-up </w:t>
            </w:r>
          </w:p>
          <w:p w14:paraId="46823E6A" w14:textId="06524CAB" w:rsidR="0012104C" w:rsidRPr="00B22BCB" w:rsidRDefault="0012104C" w:rsidP="0012104C">
            <w:pPr>
              <w:pStyle w:val="Tableheading0"/>
              <w:rPr>
                <w:rFonts w:ascii="Arial Narrow" w:hAnsi="Arial Narrow"/>
              </w:rPr>
            </w:pPr>
            <w:r w:rsidRPr="00B22BCB">
              <w:rPr>
                <w:rFonts w:ascii="Arial Narrow" w:hAnsi="Arial Narrow"/>
              </w:rPr>
              <w:t>Median (range)</w:t>
            </w:r>
            <w:r w:rsidR="00FA79D5" w:rsidRPr="00B22BCB">
              <w:rPr>
                <w:rFonts w:ascii="Arial Narrow" w:hAnsi="Arial Narrow"/>
              </w:rPr>
              <w:t xml:space="preserve"> (months)</w:t>
            </w:r>
          </w:p>
        </w:tc>
        <w:tc>
          <w:tcPr>
            <w:tcW w:w="979" w:type="pct"/>
            <w:shd w:val="clear" w:color="auto" w:fill="auto"/>
          </w:tcPr>
          <w:p w14:paraId="2A835736" w14:textId="37EABE8F" w:rsidR="0012104C" w:rsidRPr="00B22BCB" w:rsidRDefault="0012104C" w:rsidP="0012104C">
            <w:pPr>
              <w:pStyle w:val="Tableheading0"/>
              <w:rPr>
                <w:rFonts w:ascii="Arial Narrow" w:hAnsi="Arial Narrow"/>
              </w:rPr>
            </w:pPr>
            <w:r w:rsidRPr="00B22BCB">
              <w:rPr>
                <w:rFonts w:ascii="Arial Narrow" w:hAnsi="Arial Narrow"/>
              </w:rPr>
              <w:t>Mean / median dose intensity per day</w:t>
            </w:r>
          </w:p>
        </w:tc>
      </w:tr>
      <w:tr w:rsidR="0065771E" w:rsidRPr="00B22BCB" w14:paraId="5682C519" w14:textId="0BB577A1" w:rsidTr="00F323EE">
        <w:trPr>
          <w:trHeight w:val="244"/>
        </w:trPr>
        <w:tc>
          <w:tcPr>
            <w:tcW w:w="5000" w:type="pct"/>
            <w:gridSpan w:val="4"/>
            <w:shd w:val="clear" w:color="auto" w:fill="auto"/>
          </w:tcPr>
          <w:p w14:paraId="4BBB1A21" w14:textId="71F7A82F" w:rsidR="0065771E" w:rsidRPr="00B22BCB" w:rsidRDefault="0065771E" w:rsidP="0012104C">
            <w:pPr>
              <w:pStyle w:val="Btable"/>
              <w:rPr>
                <w:rFonts w:ascii="Arial Narrow" w:hAnsi="Arial Narrow"/>
              </w:rPr>
            </w:pPr>
            <w:r w:rsidRPr="00B22BCB">
              <w:rPr>
                <w:rFonts w:ascii="Arial Narrow" w:hAnsi="Arial Narrow"/>
              </w:rPr>
              <w:t>Asciminib (Primary and secondary analyses)</w:t>
            </w:r>
          </w:p>
        </w:tc>
      </w:tr>
      <w:tr w:rsidR="00F323EE" w:rsidRPr="00B22BCB" w14:paraId="77353A43" w14:textId="63E63822" w:rsidTr="00F323EE">
        <w:trPr>
          <w:trHeight w:val="244"/>
        </w:trPr>
        <w:tc>
          <w:tcPr>
            <w:tcW w:w="1688" w:type="pct"/>
            <w:tcBorders>
              <w:bottom w:val="single" w:sz="4" w:space="0" w:color="auto"/>
            </w:tcBorders>
            <w:shd w:val="clear" w:color="auto" w:fill="auto"/>
          </w:tcPr>
          <w:p w14:paraId="71D0359B" w14:textId="1CF10469" w:rsidR="0012104C" w:rsidRPr="00B22BCB" w:rsidRDefault="0012104C" w:rsidP="0012104C">
            <w:pPr>
              <w:pStyle w:val="Tabletext"/>
              <w:rPr>
                <w:szCs w:val="20"/>
              </w:rPr>
            </w:pPr>
            <w:r w:rsidRPr="00B22BCB">
              <w:rPr>
                <w:szCs w:val="20"/>
              </w:rPr>
              <w:t>ASCEMBL (DCO 25 May 2020</w:t>
            </w:r>
            <w:r w:rsidR="00F323EE">
              <w:rPr>
                <w:szCs w:val="20"/>
              </w:rPr>
              <w:t>; Wk 24</w:t>
            </w:r>
            <w:r w:rsidRPr="00B22BCB">
              <w:rPr>
                <w:szCs w:val="20"/>
              </w:rPr>
              <w:t>)</w:t>
            </w:r>
          </w:p>
        </w:tc>
        <w:tc>
          <w:tcPr>
            <w:tcW w:w="1129" w:type="pct"/>
            <w:shd w:val="clear" w:color="auto" w:fill="auto"/>
            <w:vAlign w:val="center"/>
          </w:tcPr>
          <w:p w14:paraId="5BA5803B" w14:textId="77777777" w:rsidR="0012104C" w:rsidRPr="00B22BCB" w:rsidRDefault="0012104C" w:rsidP="0012104C">
            <w:pPr>
              <w:pStyle w:val="Tablecentre"/>
              <w:rPr>
                <w:rFonts w:ascii="Arial Narrow" w:hAnsi="Arial Narrow"/>
              </w:rPr>
            </w:pPr>
            <w:r w:rsidRPr="00B22BCB">
              <w:rPr>
                <w:rFonts w:ascii="Arial Narrow" w:hAnsi="Arial Narrow"/>
              </w:rPr>
              <w:t>43.36 (0.1-129.9)</w:t>
            </w:r>
          </w:p>
        </w:tc>
        <w:tc>
          <w:tcPr>
            <w:tcW w:w="1204" w:type="pct"/>
            <w:shd w:val="clear" w:color="auto" w:fill="auto"/>
          </w:tcPr>
          <w:p w14:paraId="1696F238" w14:textId="41C4BB88" w:rsidR="0012104C" w:rsidRPr="00B22BCB" w:rsidRDefault="00C83C49" w:rsidP="0012104C">
            <w:pPr>
              <w:pStyle w:val="Tablecentre"/>
              <w:rPr>
                <w:rFonts w:ascii="Arial Narrow" w:hAnsi="Arial Narrow"/>
              </w:rPr>
            </w:pPr>
            <w:r w:rsidRPr="00B22BCB">
              <w:rPr>
                <w:rFonts w:ascii="Arial Narrow" w:hAnsi="Arial Narrow"/>
              </w:rPr>
              <w:t>14.9 (5.7-30.3)</w:t>
            </w:r>
          </w:p>
        </w:tc>
        <w:tc>
          <w:tcPr>
            <w:tcW w:w="979" w:type="pct"/>
            <w:shd w:val="clear" w:color="auto" w:fill="auto"/>
          </w:tcPr>
          <w:p w14:paraId="12044985" w14:textId="4AF43DB6" w:rsidR="0012104C" w:rsidRPr="00B22BCB" w:rsidRDefault="00F80448" w:rsidP="0012104C">
            <w:pPr>
              <w:pStyle w:val="Tablecentre"/>
              <w:rPr>
                <w:rFonts w:ascii="Arial Narrow" w:hAnsi="Arial Narrow"/>
              </w:rPr>
            </w:pPr>
            <w:r w:rsidRPr="00B22BCB">
              <w:rPr>
                <w:rFonts w:ascii="Arial Narrow" w:hAnsi="Arial Narrow"/>
              </w:rPr>
              <w:t>74.2</w:t>
            </w:r>
            <w:r w:rsidR="005F27B9" w:rsidRPr="00B22BCB">
              <w:rPr>
                <w:rFonts w:ascii="Arial Narrow" w:hAnsi="Arial Narrow"/>
              </w:rPr>
              <w:t xml:space="preserve"> mg</w:t>
            </w:r>
            <w:r w:rsidRPr="00B22BCB">
              <w:rPr>
                <w:rFonts w:ascii="Arial Narrow" w:hAnsi="Arial Narrow"/>
              </w:rPr>
              <w:t xml:space="preserve"> / 80.0</w:t>
            </w:r>
            <w:r w:rsidR="005F27B9" w:rsidRPr="00B22BCB">
              <w:rPr>
                <w:rFonts w:ascii="Arial Narrow" w:hAnsi="Arial Narrow"/>
              </w:rPr>
              <w:t xml:space="preserve"> mg</w:t>
            </w:r>
          </w:p>
        </w:tc>
      </w:tr>
      <w:tr w:rsidR="00F323EE" w:rsidRPr="00B22BCB" w14:paraId="29333A0B" w14:textId="49852CA3" w:rsidTr="00F323EE">
        <w:trPr>
          <w:trHeight w:val="244"/>
        </w:trPr>
        <w:tc>
          <w:tcPr>
            <w:tcW w:w="1688" w:type="pct"/>
            <w:tcBorders>
              <w:bottom w:val="single" w:sz="4" w:space="0" w:color="auto"/>
            </w:tcBorders>
            <w:shd w:val="clear" w:color="auto" w:fill="auto"/>
          </w:tcPr>
          <w:p w14:paraId="50090C95" w14:textId="1D4CD8C6" w:rsidR="0012104C" w:rsidRPr="00B22BCB" w:rsidRDefault="0012104C" w:rsidP="0012104C">
            <w:pPr>
              <w:pStyle w:val="Tabletext"/>
              <w:rPr>
                <w:szCs w:val="20"/>
              </w:rPr>
            </w:pPr>
            <w:r w:rsidRPr="00B22BCB">
              <w:rPr>
                <w:szCs w:val="20"/>
              </w:rPr>
              <w:t>ASCEMBL (DCO 6 Jan 202</w:t>
            </w:r>
            <w:r w:rsidR="00C12C09" w:rsidRPr="00B22BCB">
              <w:rPr>
                <w:szCs w:val="20"/>
              </w:rPr>
              <w:t>1</w:t>
            </w:r>
            <w:r w:rsidR="005736C5">
              <w:rPr>
                <w:szCs w:val="20"/>
              </w:rPr>
              <w:t>; Wk 48</w:t>
            </w:r>
            <w:r w:rsidRPr="00B22BCB">
              <w:rPr>
                <w:szCs w:val="20"/>
              </w:rPr>
              <w:t>)</w:t>
            </w:r>
          </w:p>
        </w:tc>
        <w:tc>
          <w:tcPr>
            <w:tcW w:w="1129" w:type="pct"/>
            <w:shd w:val="clear" w:color="auto" w:fill="auto"/>
            <w:vAlign w:val="center"/>
          </w:tcPr>
          <w:p w14:paraId="06348DDE" w14:textId="77777777" w:rsidR="0012104C" w:rsidRPr="00B22BCB" w:rsidRDefault="0012104C" w:rsidP="0012104C">
            <w:pPr>
              <w:pStyle w:val="Tablecentre"/>
              <w:rPr>
                <w:rFonts w:ascii="Arial Narrow" w:hAnsi="Arial Narrow"/>
              </w:rPr>
            </w:pPr>
            <w:r w:rsidRPr="00B22BCB">
              <w:rPr>
                <w:rFonts w:ascii="Arial Narrow" w:hAnsi="Arial Narrow"/>
              </w:rPr>
              <w:t>67.14 (0.1-162.1)</w:t>
            </w:r>
          </w:p>
        </w:tc>
        <w:tc>
          <w:tcPr>
            <w:tcW w:w="1204" w:type="pct"/>
            <w:shd w:val="clear" w:color="auto" w:fill="auto"/>
            <w:vAlign w:val="center"/>
          </w:tcPr>
          <w:p w14:paraId="4E9E84C3" w14:textId="66C57FCD" w:rsidR="0012104C" w:rsidRPr="00B22BCB" w:rsidRDefault="0012104C" w:rsidP="0012104C">
            <w:pPr>
              <w:pStyle w:val="Tablecentre"/>
              <w:rPr>
                <w:rFonts w:ascii="Arial Narrow" w:hAnsi="Arial Narrow"/>
              </w:rPr>
            </w:pPr>
            <w:r w:rsidRPr="00B22BCB">
              <w:rPr>
                <w:rFonts w:ascii="Arial Narrow" w:hAnsi="Arial Narrow"/>
              </w:rPr>
              <w:t>22.3 (13.1-37.7)</w:t>
            </w:r>
          </w:p>
        </w:tc>
        <w:tc>
          <w:tcPr>
            <w:tcW w:w="979" w:type="pct"/>
            <w:shd w:val="clear" w:color="auto" w:fill="auto"/>
          </w:tcPr>
          <w:p w14:paraId="150E4155" w14:textId="207C2161" w:rsidR="0012104C" w:rsidRPr="00B22BCB" w:rsidRDefault="0012104C" w:rsidP="0012104C">
            <w:pPr>
              <w:pStyle w:val="Tablecentre"/>
              <w:rPr>
                <w:rFonts w:ascii="Arial Narrow" w:hAnsi="Arial Narrow"/>
              </w:rPr>
            </w:pPr>
            <w:r w:rsidRPr="00B22BCB">
              <w:rPr>
                <w:rFonts w:ascii="Arial Narrow" w:hAnsi="Arial Narrow"/>
              </w:rPr>
              <w:t>71.1 mg / 79.8 mg</w:t>
            </w:r>
          </w:p>
        </w:tc>
      </w:tr>
      <w:tr w:rsidR="00F323EE" w:rsidRPr="00B22BCB" w14:paraId="1866C435" w14:textId="77777777" w:rsidTr="00F323EE">
        <w:trPr>
          <w:trHeight w:val="244"/>
        </w:trPr>
        <w:tc>
          <w:tcPr>
            <w:tcW w:w="1688" w:type="pct"/>
            <w:tcBorders>
              <w:bottom w:val="single" w:sz="4" w:space="0" w:color="auto"/>
            </w:tcBorders>
            <w:shd w:val="clear" w:color="auto" w:fill="auto"/>
          </w:tcPr>
          <w:p w14:paraId="5AD14043" w14:textId="202C2125" w:rsidR="00D71BD5" w:rsidRPr="00B22BCB" w:rsidRDefault="00D71BD5" w:rsidP="0012104C">
            <w:pPr>
              <w:pStyle w:val="Tabletext"/>
              <w:rPr>
                <w:szCs w:val="20"/>
              </w:rPr>
            </w:pPr>
            <w:r>
              <w:rPr>
                <w:szCs w:val="20"/>
              </w:rPr>
              <w:t>ASCEMBL (DCO</w:t>
            </w:r>
            <w:r w:rsidR="00E334E3">
              <w:rPr>
                <w:szCs w:val="20"/>
              </w:rPr>
              <w:t xml:space="preserve"> 6</w:t>
            </w:r>
            <w:r>
              <w:rPr>
                <w:szCs w:val="20"/>
              </w:rPr>
              <w:t xml:space="preserve"> Oct 2021</w:t>
            </w:r>
            <w:r w:rsidR="00E334E3">
              <w:rPr>
                <w:szCs w:val="20"/>
              </w:rPr>
              <w:t>; Wk 96</w:t>
            </w:r>
            <w:r>
              <w:rPr>
                <w:szCs w:val="20"/>
              </w:rPr>
              <w:t>)</w:t>
            </w:r>
            <w:r w:rsidR="00C17F08" w:rsidRPr="00C17F08">
              <w:rPr>
                <w:szCs w:val="20"/>
                <w:vertAlign w:val="superscript"/>
              </w:rPr>
              <w:t>c</w:t>
            </w:r>
          </w:p>
        </w:tc>
        <w:tc>
          <w:tcPr>
            <w:tcW w:w="1129" w:type="pct"/>
            <w:shd w:val="clear" w:color="auto" w:fill="auto"/>
            <w:vAlign w:val="center"/>
          </w:tcPr>
          <w:p w14:paraId="289B374A" w14:textId="2A8C1883" w:rsidR="00D71BD5" w:rsidRPr="00B22BCB" w:rsidRDefault="00D71BD5" w:rsidP="0012104C">
            <w:pPr>
              <w:pStyle w:val="Tablecentre"/>
              <w:rPr>
                <w:rFonts w:ascii="Arial Narrow" w:hAnsi="Arial Narrow"/>
              </w:rPr>
            </w:pPr>
            <w:r w:rsidRPr="00D71BD5">
              <w:rPr>
                <w:rFonts w:ascii="Arial Narrow" w:hAnsi="Arial Narrow"/>
              </w:rPr>
              <w:t xml:space="preserve">103.1 </w:t>
            </w:r>
            <w:r>
              <w:rPr>
                <w:rFonts w:ascii="Arial Narrow" w:hAnsi="Arial Narrow"/>
              </w:rPr>
              <w:t>(</w:t>
            </w:r>
            <w:r w:rsidRPr="00D71BD5">
              <w:rPr>
                <w:rFonts w:ascii="Arial Narrow" w:hAnsi="Arial Narrow"/>
              </w:rPr>
              <w:t>0.1</w:t>
            </w:r>
            <w:r>
              <w:rPr>
                <w:rFonts w:ascii="Arial Narrow" w:hAnsi="Arial Narrow"/>
              </w:rPr>
              <w:t>-</w:t>
            </w:r>
            <w:r w:rsidRPr="00D71BD5">
              <w:rPr>
                <w:rFonts w:ascii="Arial Narrow" w:hAnsi="Arial Narrow"/>
              </w:rPr>
              <w:t>201.1</w:t>
            </w:r>
            <w:r>
              <w:rPr>
                <w:rFonts w:ascii="Arial Narrow" w:hAnsi="Arial Narrow"/>
              </w:rPr>
              <w:t>)</w:t>
            </w:r>
          </w:p>
        </w:tc>
        <w:tc>
          <w:tcPr>
            <w:tcW w:w="1204" w:type="pct"/>
            <w:shd w:val="clear" w:color="auto" w:fill="auto"/>
            <w:vAlign w:val="center"/>
          </w:tcPr>
          <w:p w14:paraId="65A4C967" w14:textId="096543F2" w:rsidR="00D71BD5" w:rsidRPr="00B22BCB" w:rsidRDefault="00570199" w:rsidP="0012104C">
            <w:pPr>
              <w:pStyle w:val="Tablecentre"/>
              <w:rPr>
                <w:rFonts w:ascii="Arial Narrow" w:hAnsi="Arial Narrow"/>
              </w:rPr>
            </w:pPr>
            <w:r>
              <w:rPr>
                <w:rFonts w:ascii="Arial Narrow" w:hAnsi="Arial Narrow"/>
              </w:rPr>
              <w:t>NR</w:t>
            </w:r>
          </w:p>
        </w:tc>
        <w:tc>
          <w:tcPr>
            <w:tcW w:w="979" w:type="pct"/>
            <w:shd w:val="clear" w:color="auto" w:fill="auto"/>
          </w:tcPr>
          <w:p w14:paraId="7DCF651B" w14:textId="62129DB4" w:rsidR="00D71BD5" w:rsidRPr="00B22BCB" w:rsidRDefault="00D71BD5" w:rsidP="0012104C">
            <w:pPr>
              <w:pStyle w:val="Tablecentre"/>
              <w:rPr>
                <w:rFonts w:ascii="Arial Narrow" w:hAnsi="Arial Narrow"/>
              </w:rPr>
            </w:pPr>
            <w:r w:rsidRPr="00B22BCB">
              <w:rPr>
                <w:rFonts w:ascii="Arial Narrow" w:hAnsi="Arial Narrow"/>
              </w:rPr>
              <w:t>NR / NR</w:t>
            </w:r>
          </w:p>
        </w:tc>
      </w:tr>
      <w:tr w:rsidR="0065771E" w:rsidRPr="00B22BCB" w14:paraId="03E5F7FE" w14:textId="5EED24BB" w:rsidTr="00F323EE">
        <w:trPr>
          <w:trHeight w:val="244"/>
        </w:trPr>
        <w:tc>
          <w:tcPr>
            <w:tcW w:w="5000" w:type="pct"/>
            <w:gridSpan w:val="4"/>
            <w:shd w:val="clear" w:color="auto" w:fill="auto"/>
          </w:tcPr>
          <w:p w14:paraId="4AA70561" w14:textId="33387FAF" w:rsidR="0065771E" w:rsidRPr="00B22BCB" w:rsidRDefault="0065771E" w:rsidP="0012104C">
            <w:pPr>
              <w:pStyle w:val="Btable"/>
              <w:rPr>
                <w:rFonts w:ascii="Arial Narrow" w:hAnsi="Arial Narrow"/>
              </w:rPr>
            </w:pPr>
            <w:r w:rsidRPr="00B22BCB">
              <w:rPr>
                <w:rFonts w:ascii="Arial Narrow" w:hAnsi="Arial Narrow"/>
              </w:rPr>
              <w:t>Nilotinib</w:t>
            </w:r>
          </w:p>
        </w:tc>
      </w:tr>
      <w:tr w:rsidR="00F323EE" w:rsidRPr="00B22BCB" w14:paraId="060226C1" w14:textId="04864637" w:rsidTr="00F323EE">
        <w:trPr>
          <w:trHeight w:val="244"/>
        </w:trPr>
        <w:tc>
          <w:tcPr>
            <w:tcW w:w="1688" w:type="pct"/>
            <w:tcBorders>
              <w:bottom w:val="single" w:sz="4" w:space="0" w:color="auto"/>
            </w:tcBorders>
            <w:shd w:val="clear" w:color="auto" w:fill="auto"/>
          </w:tcPr>
          <w:p w14:paraId="2867795B" w14:textId="77777777" w:rsidR="0012104C" w:rsidRPr="00B22BCB" w:rsidRDefault="0012104C" w:rsidP="0012104C">
            <w:pPr>
              <w:pStyle w:val="Tabletext"/>
              <w:rPr>
                <w:szCs w:val="20"/>
              </w:rPr>
            </w:pPr>
            <w:r w:rsidRPr="00B22BCB">
              <w:rPr>
                <w:szCs w:val="20"/>
              </w:rPr>
              <w:t>ENACT</w:t>
            </w:r>
          </w:p>
        </w:tc>
        <w:tc>
          <w:tcPr>
            <w:tcW w:w="1129" w:type="pct"/>
            <w:shd w:val="clear" w:color="auto" w:fill="auto"/>
            <w:vAlign w:val="center"/>
          </w:tcPr>
          <w:p w14:paraId="24A766BC" w14:textId="49549782" w:rsidR="0012104C" w:rsidRPr="00B22BCB" w:rsidRDefault="0012104C" w:rsidP="0012104C">
            <w:pPr>
              <w:pStyle w:val="Tablecentre"/>
              <w:rPr>
                <w:rFonts w:ascii="Arial Narrow" w:hAnsi="Arial Narrow"/>
              </w:rPr>
            </w:pPr>
            <w:r w:rsidRPr="00B22BCB">
              <w:rPr>
                <w:rFonts w:ascii="Arial Narrow" w:hAnsi="Arial Narrow"/>
              </w:rPr>
              <w:t xml:space="preserve">All CML-CP: 37.9 </w:t>
            </w:r>
            <w:r w:rsidR="0065771E">
              <w:rPr>
                <w:rFonts w:ascii="Arial Narrow" w:hAnsi="Arial Narrow"/>
              </w:rPr>
              <w:br/>
            </w:r>
            <w:r w:rsidRPr="00B22BCB">
              <w:rPr>
                <w:rFonts w:ascii="Arial Narrow" w:hAnsi="Arial Narrow"/>
              </w:rPr>
              <w:t>(0.1-115.0)</w:t>
            </w:r>
          </w:p>
          <w:p w14:paraId="451D097F" w14:textId="4D452B32" w:rsidR="0012104C" w:rsidRPr="00B22BCB" w:rsidRDefault="0012104C" w:rsidP="0012104C">
            <w:pPr>
              <w:pStyle w:val="Tablecentre"/>
              <w:rPr>
                <w:rFonts w:ascii="Arial Narrow" w:hAnsi="Arial Narrow"/>
              </w:rPr>
            </w:pPr>
            <w:r w:rsidRPr="00B22BCB">
              <w:rPr>
                <w:rFonts w:ascii="Arial Narrow" w:hAnsi="Arial Narrow"/>
              </w:rPr>
              <w:t xml:space="preserve">2 prior TKIs: 32.2 </w:t>
            </w:r>
            <w:r w:rsidR="0065771E">
              <w:rPr>
                <w:rFonts w:ascii="Arial Narrow" w:hAnsi="Arial Narrow"/>
              </w:rPr>
              <w:br/>
            </w:r>
            <w:r w:rsidRPr="00B22BCB">
              <w:rPr>
                <w:rFonts w:ascii="Arial Narrow" w:hAnsi="Arial Narrow"/>
              </w:rPr>
              <w:t>(0.6-108.0)</w:t>
            </w:r>
          </w:p>
        </w:tc>
        <w:tc>
          <w:tcPr>
            <w:tcW w:w="1204" w:type="pct"/>
            <w:shd w:val="clear" w:color="auto" w:fill="auto"/>
          </w:tcPr>
          <w:p w14:paraId="3DA1C4ED" w14:textId="77777777" w:rsidR="0012104C" w:rsidRPr="00B22BCB" w:rsidRDefault="0012104C" w:rsidP="0012104C">
            <w:pPr>
              <w:pStyle w:val="Tablecentre"/>
              <w:rPr>
                <w:rFonts w:ascii="Arial Narrow" w:hAnsi="Arial Narrow"/>
              </w:rPr>
            </w:pPr>
            <w:r w:rsidRPr="00B22BCB">
              <w:rPr>
                <w:rFonts w:ascii="Arial Narrow" w:hAnsi="Arial Narrow"/>
              </w:rPr>
              <w:t>All CML-CP: 7.4 (0.03-26.5)</w:t>
            </w:r>
          </w:p>
          <w:p w14:paraId="52454DD4" w14:textId="1101AB1B" w:rsidR="0012104C" w:rsidRPr="00B22BCB" w:rsidRDefault="0012104C" w:rsidP="0012104C">
            <w:pPr>
              <w:pStyle w:val="Tablecentre"/>
              <w:rPr>
                <w:rFonts w:ascii="Arial Narrow" w:hAnsi="Arial Narrow"/>
              </w:rPr>
            </w:pPr>
            <w:r w:rsidRPr="00B22BCB">
              <w:rPr>
                <w:rFonts w:ascii="Arial Narrow" w:hAnsi="Arial Narrow"/>
              </w:rPr>
              <w:t>2 prior TKIs: NR</w:t>
            </w:r>
          </w:p>
        </w:tc>
        <w:tc>
          <w:tcPr>
            <w:tcW w:w="979" w:type="pct"/>
            <w:shd w:val="clear" w:color="auto" w:fill="auto"/>
          </w:tcPr>
          <w:p w14:paraId="44264A9E" w14:textId="77777777" w:rsidR="00C83C49" w:rsidRPr="00B22BCB" w:rsidRDefault="00C83C49" w:rsidP="00C83C49">
            <w:pPr>
              <w:pStyle w:val="Tablecentre"/>
              <w:rPr>
                <w:rFonts w:ascii="Arial Narrow" w:hAnsi="Arial Narrow"/>
              </w:rPr>
            </w:pPr>
            <w:r w:rsidRPr="00B22BCB">
              <w:rPr>
                <w:rFonts w:ascii="Arial Narrow" w:hAnsi="Arial Narrow"/>
              </w:rPr>
              <w:t xml:space="preserve">All CML-CP: </w:t>
            </w:r>
          </w:p>
          <w:p w14:paraId="0C095DB4" w14:textId="77777777" w:rsidR="00C83C49" w:rsidRPr="00B22BCB" w:rsidRDefault="00C83C49" w:rsidP="00C83C49">
            <w:pPr>
              <w:pStyle w:val="Tablecentre"/>
              <w:rPr>
                <w:rFonts w:ascii="Arial Narrow" w:hAnsi="Arial Narrow"/>
              </w:rPr>
            </w:pPr>
            <w:r w:rsidRPr="00B22BCB">
              <w:rPr>
                <w:rFonts w:ascii="Arial Narrow" w:hAnsi="Arial Narrow"/>
              </w:rPr>
              <w:t>NR / 782.5 mg</w:t>
            </w:r>
          </w:p>
          <w:p w14:paraId="2E4055A4" w14:textId="5020FBB7" w:rsidR="0012104C" w:rsidRPr="00B22BCB" w:rsidRDefault="00C83C49" w:rsidP="00C83C49">
            <w:pPr>
              <w:pStyle w:val="Tablecentre"/>
              <w:rPr>
                <w:rFonts w:ascii="Arial Narrow" w:hAnsi="Arial Narrow"/>
              </w:rPr>
            </w:pPr>
            <w:r w:rsidRPr="00B22BCB">
              <w:rPr>
                <w:rFonts w:ascii="Arial Narrow" w:hAnsi="Arial Narrow"/>
              </w:rPr>
              <w:t>2 prior TKIs: NR / NR</w:t>
            </w:r>
          </w:p>
        </w:tc>
      </w:tr>
      <w:tr w:rsidR="00F323EE" w:rsidRPr="00B22BCB" w14:paraId="70D45DDF" w14:textId="75224E1D" w:rsidTr="00F323EE">
        <w:trPr>
          <w:trHeight w:val="244"/>
        </w:trPr>
        <w:tc>
          <w:tcPr>
            <w:tcW w:w="1688" w:type="pct"/>
            <w:shd w:val="clear" w:color="auto" w:fill="auto"/>
          </w:tcPr>
          <w:p w14:paraId="1B9576E2" w14:textId="4D2F45AE" w:rsidR="0012104C" w:rsidRPr="00B22BCB" w:rsidRDefault="0012104C" w:rsidP="00963658">
            <w:pPr>
              <w:pStyle w:val="Tabletext"/>
              <w:rPr>
                <w:szCs w:val="20"/>
              </w:rPr>
            </w:pPr>
            <w:r w:rsidRPr="00B22BCB">
              <w:rPr>
                <w:szCs w:val="20"/>
              </w:rPr>
              <w:fldChar w:fldCharType="begin">
                <w:fldData xml:space="preserve">PEVuZE5vdGU+PENpdGUgQXV0aG9yWWVhcj0iMSI+PEF1dGhvcj5HaWxlczwvQXV0aG9yPjxZZWFy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</w:fldData>
              </w:fldChar>
            </w:r>
            <w:r w:rsidR="00963658">
              <w:rPr>
                <w:szCs w:val="20"/>
              </w:rPr>
              <w:instrText xml:space="preserve"> ADDIN EN.CITE </w:instrText>
            </w:r>
            <w:r w:rsidR="00963658">
              <w:rPr>
                <w:szCs w:val="20"/>
              </w:rPr>
              <w:fldChar w:fldCharType="begin">
                <w:fldData xml:space="preserve">PEVuZE5vdGU+PENpdGUgQXV0aG9yWWVhcj0iMSI+PEF1dGhvcj5HaWxlczwvQXV0aG9yPjxZZWFy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</w:fldData>
              </w:fldChar>
            </w:r>
            <w:r w:rsidR="00963658">
              <w:rPr>
                <w:szCs w:val="20"/>
              </w:rPr>
              <w:instrText xml:space="preserve"> ADDIN EN.CITE.DATA </w:instrText>
            </w:r>
            <w:r w:rsidR="00963658">
              <w:rPr>
                <w:szCs w:val="20"/>
              </w:rPr>
            </w:r>
            <w:r w:rsidR="00963658">
              <w:rPr>
                <w:szCs w:val="20"/>
              </w:rPr>
              <w:fldChar w:fldCharType="end"/>
            </w:r>
            <w:r w:rsidRPr="00B22BCB">
              <w:rPr>
                <w:szCs w:val="20"/>
              </w:rPr>
            </w:r>
            <w:r w:rsidRPr="00B22BCB">
              <w:rPr>
                <w:szCs w:val="20"/>
              </w:rPr>
              <w:fldChar w:fldCharType="separate"/>
            </w:r>
            <w:r w:rsidR="00963658">
              <w:rPr>
                <w:noProof/>
                <w:szCs w:val="20"/>
              </w:rPr>
              <w:t xml:space="preserve">Giles, Abruzzese </w:t>
            </w:r>
            <w:r w:rsidR="00963658" w:rsidRPr="00963658">
              <w:rPr>
                <w:noProof/>
                <w:szCs w:val="20"/>
                <w:vertAlign w:val="superscript"/>
              </w:rPr>
              <w:t>1</w:t>
            </w:r>
            <w:r w:rsidRPr="00B22BCB">
              <w:rPr>
                <w:szCs w:val="20"/>
              </w:rPr>
              <w:fldChar w:fldCharType="end"/>
            </w:r>
          </w:p>
        </w:tc>
        <w:tc>
          <w:tcPr>
            <w:tcW w:w="1129" w:type="pct"/>
            <w:shd w:val="clear" w:color="auto" w:fill="auto"/>
            <w:vAlign w:val="center"/>
          </w:tcPr>
          <w:p w14:paraId="4FFE7B7E" w14:textId="77777777" w:rsidR="0012104C" w:rsidRPr="00B22BCB" w:rsidRDefault="0012104C" w:rsidP="0012104C">
            <w:pPr>
              <w:pStyle w:val="Tablecentre"/>
              <w:rPr>
                <w:rFonts w:ascii="Arial Narrow" w:hAnsi="Arial Narrow"/>
              </w:rPr>
            </w:pPr>
            <w:r w:rsidRPr="00B22BCB">
              <w:rPr>
                <w:rFonts w:ascii="Arial Narrow" w:hAnsi="Arial Narrow"/>
              </w:rPr>
              <w:t>47.7 (&lt; 4.3-126.5)</w:t>
            </w:r>
          </w:p>
        </w:tc>
        <w:tc>
          <w:tcPr>
            <w:tcW w:w="1204" w:type="pct"/>
            <w:shd w:val="clear" w:color="auto" w:fill="auto"/>
          </w:tcPr>
          <w:p w14:paraId="4F307D32" w14:textId="27396180" w:rsidR="0012104C" w:rsidRPr="00B22BCB" w:rsidRDefault="0012104C" w:rsidP="0012104C">
            <w:pPr>
              <w:pStyle w:val="Tablecentre"/>
              <w:rPr>
                <w:rFonts w:ascii="Arial Narrow" w:hAnsi="Arial Narrow"/>
              </w:rPr>
            </w:pPr>
            <w:r w:rsidRPr="00B22BCB">
              <w:rPr>
                <w:rFonts w:ascii="Arial Narrow" w:hAnsi="Arial Narrow"/>
              </w:rPr>
              <w:t>12</w:t>
            </w:r>
          </w:p>
        </w:tc>
        <w:tc>
          <w:tcPr>
            <w:tcW w:w="979" w:type="pct"/>
            <w:shd w:val="clear" w:color="auto" w:fill="auto"/>
          </w:tcPr>
          <w:p w14:paraId="401BB110" w14:textId="34E4BF18" w:rsidR="0012104C" w:rsidRPr="00B22BCB" w:rsidRDefault="00C83C49" w:rsidP="0012104C">
            <w:pPr>
              <w:pStyle w:val="Tablecentre"/>
              <w:rPr>
                <w:rFonts w:ascii="Arial Narrow" w:hAnsi="Arial Narrow"/>
              </w:rPr>
            </w:pPr>
            <w:r w:rsidRPr="00B22BCB">
              <w:rPr>
                <w:rFonts w:ascii="Arial Narrow" w:hAnsi="Arial Narrow"/>
              </w:rPr>
              <w:t>NR / NR</w:t>
            </w:r>
          </w:p>
        </w:tc>
      </w:tr>
      <w:tr w:rsidR="0065771E" w:rsidRPr="00B22BCB" w14:paraId="20B2D9BC" w14:textId="0164767A" w:rsidTr="00F323EE">
        <w:trPr>
          <w:trHeight w:val="244"/>
        </w:trPr>
        <w:tc>
          <w:tcPr>
            <w:tcW w:w="5000" w:type="pct"/>
            <w:gridSpan w:val="4"/>
            <w:shd w:val="clear" w:color="auto" w:fill="auto"/>
          </w:tcPr>
          <w:p w14:paraId="0621DAA0" w14:textId="562AD666" w:rsidR="0065771E" w:rsidRPr="00B22BCB" w:rsidRDefault="0065771E" w:rsidP="0012104C">
            <w:pPr>
              <w:pStyle w:val="Tablecentre"/>
              <w:jc w:val="left"/>
              <w:rPr>
                <w:rFonts w:ascii="Arial Narrow" w:hAnsi="Arial Narrow"/>
                <w:b/>
                <w:bCs/>
              </w:rPr>
            </w:pPr>
            <w:r w:rsidRPr="00B22BCB">
              <w:rPr>
                <w:rFonts w:ascii="Arial Narrow" w:hAnsi="Arial Narrow"/>
                <w:b/>
                <w:bCs/>
              </w:rPr>
              <w:t>Ponatinib</w:t>
            </w:r>
          </w:p>
        </w:tc>
      </w:tr>
      <w:tr w:rsidR="00F323EE" w:rsidRPr="00B22BCB" w14:paraId="101B8643" w14:textId="5BCCD75C" w:rsidTr="00F323EE">
        <w:trPr>
          <w:trHeight w:val="244"/>
        </w:trPr>
        <w:tc>
          <w:tcPr>
            <w:tcW w:w="1688" w:type="pct"/>
            <w:shd w:val="clear" w:color="auto" w:fill="auto"/>
          </w:tcPr>
          <w:p w14:paraId="0857B633" w14:textId="77777777" w:rsidR="00C83C49" w:rsidRPr="00B22BCB" w:rsidRDefault="00C83C49" w:rsidP="00C83C49">
            <w:pPr>
              <w:pStyle w:val="Tabletext"/>
              <w:rPr>
                <w:szCs w:val="20"/>
              </w:rPr>
            </w:pPr>
            <w:r w:rsidRPr="00B22BCB">
              <w:rPr>
                <w:szCs w:val="20"/>
              </w:rPr>
              <w:t>PACE primary analysis</w:t>
            </w:r>
          </w:p>
        </w:tc>
        <w:tc>
          <w:tcPr>
            <w:tcW w:w="1129" w:type="pct"/>
            <w:shd w:val="clear" w:color="auto" w:fill="auto"/>
          </w:tcPr>
          <w:p w14:paraId="27F57F25" w14:textId="77777777" w:rsidR="00C83C49" w:rsidRPr="00B22BCB" w:rsidRDefault="00C83C49" w:rsidP="007C238C">
            <w:pPr>
              <w:pStyle w:val="Tablecentre"/>
              <w:rPr>
                <w:rFonts w:ascii="Arial Narrow" w:hAnsi="Arial Narrow"/>
              </w:rPr>
            </w:pPr>
            <w:r w:rsidRPr="00B22BCB">
              <w:rPr>
                <w:rFonts w:ascii="Arial Narrow" w:hAnsi="Arial Narrow"/>
              </w:rPr>
              <w:t>55.5 (0.1 – 107.5)</w:t>
            </w:r>
            <w:r w:rsidRPr="00B22BCB">
              <w:rPr>
                <w:rFonts w:ascii="Arial Narrow" w:hAnsi="Arial Narrow"/>
                <w:vertAlign w:val="superscript"/>
              </w:rPr>
              <w:t>a</w:t>
            </w:r>
          </w:p>
        </w:tc>
        <w:tc>
          <w:tcPr>
            <w:tcW w:w="1204" w:type="pct"/>
            <w:shd w:val="clear" w:color="auto" w:fill="auto"/>
          </w:tcPr>
          <w:p w14:paraId="3C140611" w14:textId="77777777" w:rsidR="00C83C49" w:rsidRPr="00B22BCB" w:rsidRDefault="00C83C49" w:rsidP="00C83C49">
            <w:pPr>
              <w:pStyle w:val="Tablecentre"/>
              <w:rPr>
                <w:rFonts w:ascii="Arial Narrow" w:hAnsi="Arial Narrow"/>
              </w:rPr>
            </w:pPr>
            <w:r w:rsidRPr="00B22BCB">
              <w:rPr>
                <w:rFonts w:ascii="Arial Narrow" w:hAnsi="Arial Narrow"/>
              </w:rPr>
              <w:t>All CML-CP: 15 (&lt; 1-25)</w:t>
            </w:r>
          </w:p>
          <w:p w14:paraId="79B47600" w14:textId="67398028" w:rsidR="00C83C49" w:rsidRPr="00B22BCB" w:rsidRDefault="00C83C49" w:rsidP="00C83C49">
            <w:pPr>
              <w:pStyle w:val="Tablecentre"/>
              <w:rPr>
                <w:rFonts w:ascii="Arial Narrow" w:hAnsi="Arial Narrow"/>
              </w:rPr>
            </w:pPr>
            <w:r w:rsidRPr="00B22BCB">
              <w:rPr>
                <w:rFonts w:ascii="Arial Narrow" w:hAnsi="Arial Narrow"/>
              </w:rPr>
              <w:t>Resistant/intolerant cohort: 16 (0.1-25)</w:t>
            </w:r>
          </w:p>
        </w:tc>
        <w:tc>
          <w:tcPr>
            <w:tcW w:w="979" w:type="pct"/>
            <w:shd w:val="clear" w:color="auto" w:fill="auto"/>
          </w:tcPr>
          <w:p w14:paraId="5C6EC257" w14:textId="153237BB" w:rsidR="00C83C49" w:rsidRPr="00B22BCB" w:rsidRDefault="00C83C49" w:rsidP="00C83C49">
            <w:pPr>
              <w:pStyle w:val="Tablecentre"/>
              <w:rPr>
                <w:rFonts w:ascii="Arial Narrow" w:hAnsi="Arial Narrow"/>
              </w:rPr>
            </w:pPr>
            <w:r w:rsidRPr="00B22BCB">
              <w:rPr>
                <w:rFonts w:ascii="Arial Narrow" w:hAnsi="Arial Narrow"/>
              </w:rPr>
              <w:t>NR / 30 mg</w:t>
            </w:r>
          </w:p>
        </w:tc>
      </w:tr>
      <w:tr w:rsidR="00F323EE" w:rsidRPr="00B22BCB" w14:paraId="037AAF89" w14:textId="20225CFF" w:rsidTr="00F323EE">
        <w:trPr>
          <w:trHeight w:val="244"/>
        </w:trPr>
        <w:tc>
          <w:tcPr>
            <w:tcW w:w="1688" w:type="pct"/>
            <w:tcBorders>
              <w:bottom w:val="single" w:sz="4" w:space="0" w:color="auto"/>
            </w:tcBorders>
            <w:shd w:val="clear" w:color="auto" w:fill="auto"/>
          </w:tcPr>
          <w:p w14:paraId="0AFA6753" w14:textId="77777777" w:rsidR="00C83C49" w:rsidRPr="00B22BCB" w:rsidRDefault="00C83C49" w:rsidP="00C83C49">
            <w:pPr>
              <w:pStyle w:val="Tabletext"/>
              <w:rPr>
                <w:szCs w:val="20"/>
              </w:rPr>
            </w:pPr>
            <w:r w:rsidRPr="00B22BCB">
              <w:rPr>
                <w:szCs w:val="20"/>
              </w:rPr>
              <w:t>PACE end of study analysis</w:t>
            </w:r>
          </w:p>
        </w:tc>
        <w:tc>
          <w:tcPr>
            <w:tcW w:w="1129" w:type="pct"/>
            <w:shd w:val="clear" w:color="auto" w:fill="auto"/>
            <w:vAlign w:val="center"/>
          </w:tcPr>
          <w:p w14:paraId="435A8A5B" w14:textId="77777777" w:rsidR="00C83C49" w:rsidRPr="00B22BCB" w:rsidRDefault="00C83C49" w:rsidP="00C83C49">
            <w:pPr>
              <w:pStyle w:val="Tablecentre"/>
              <w:rPr>
                <w:rFonts w:ascii="Arial Narrow" w:hAnsi="Arial Narrow"/>
              </w:rPr>
            </w:pPr>
            <w:r w:rsidRPr="00B22BCB">
              <w:rPr>
                <w:rFonts w:ascii="Arial Narrow" w:hAnsi="Arial Narrow"/>
              </w:rPr>
              <w:t>139.1 (0.4-316.3)</w:t>
            </w:r>
            <w:r w:rsidRPr="00B22BCB">
              <w:rPr>
                <w:rFonts w:ascii="Arial Narrow" w:hAnsi="Arial Narrow"/>
                <w:vertAlign w:val="superscript"/>
              </w:rPr>
              <w:t>b</w:t>
            </w:r>
          </w:p>
        </w:tc>
        <w:tc>
          <w:tcPr>
            <w:tcW w:w="1204" w:type="pct"/>
            <w:shd w:val="clear" w:color="auto" w:fill="auto"/>
          </w:tcPr>
          <w:p w14:paraId="2E299ED5" w14:textId="5B4F276C" w:rsidR="00C83C49" w:rsidRPr="00B22BCB" w:rsidRDefault="00C83C49" w:rsidP="00C83C49">
            <w:pPr>
              <w:pStyle w:val="Tablecentre"/>
              <w:rPr>
                <w:rFonts w:ascii="Arial Narrow" w:hAnsi="Arial Narrow"/>
              </w:rPr>
            </w:pPr>
            <w:r w:rsidRPr="00B22BCB">
              <w:rPr>
                <w:rFonts w:ascii="Arial Narrow" w:hAnsi="Arial Narrow"/>
              </w:rPr>
              <w:t>All CML-CP: 56.8 (0.1-73.1)</w:t>
            </w:r>
          </w:p>
        </w:tc>
        <w:tc>
          <w:tcPr>
            <w:tcW w:w="979" w:type="pct"/>
            <w:shd w:val="clear" w:color="auto" w:fill="auto"/>
          </w:tcPr>
          <w:p w14:paraId="615670DC" w14:textId="7196F640" w:rsidR="00C83C49" w:rsidRPr="00B22BCB" w:rsidRDefault="00C83C49" w:rsidP="0065771E">
            <w:pPr>
              <w:pStyle w:val="Tablecentre"/>
              <w:rPr>
                <w:rFonts w:ascii="Arial Narrow" w:hAnsi="Arial Narrow"/>
              </w:rPr>
            </w:pPr>
            <w:r w:rsidRPr="00B22BCB">
              <w:rPr>
                <w:rFonts w:ascii="Arial Narrow" w:hAnsi="Arial Narrow"/>
              </w:rPr>
              <w:t>NR / 27.2 mg</w:t>
            </w:r>
          </w:p>
        </w:tc>
      </w:tr>
    </w:tbl>
    <w:p w14:paraId="14ACD285" w14:textId="6DFE7358" w:rsidR="005444D6" w:rsidRPr="00B22BCB" w:rsidRDefault="005444D6" w:rsidP="005444D6">
      <w:pPr>
        <w:pStyle w:val="TableFigureFooter"/>
      </w:pPr>
      <w:r w:rsidRPr="00B22BCB">
        <w:t>Source: Table 2.6-7, p 95 and Table 2(a).4-1, p 131 of the submission</w:t>
      </w:r>
      <w:r w:rsidR="005F27B9" w:rsidRPr="00B22BCB">
        <w:t>, Table 12-02, p 98 of the ASCEMBL CSR</w:t>
      </w:r>
      <w:r w:rsidRPr="00B22BCB">
        <w:t>.</w:t>
      </w:r>
    </w:p>
    <w:p w14:paraId="4514F130" w14:textId="5EB43CA4" w:rsidR="005444D6" w:rsidRPr="00B22BCB" w:rsidRDefault="005444D6" w:rsidP="005444D6">
      <w:pPr>
        <w:pStyle w:val="TableFigureFooter"/>
      </w:pPr>
      <w:r w:rsidRPr="00B22BCB">
        <w:t xml:space="preserve">CML-CP = chronic myeloid </w:t>
      </w:r>
      <w:r w:rsidR="00E4103E" w:rsidRPr="00B22BCB">
        <w:t>leukaemia</w:t>
      </w:r>
      <w:r w:rsidRPr="00B22BCB">
        <w:t xml:space="preserve">-chronic phase; </w:t>
      </w:r>
      <w:r w:rsidR="0012104C" w:rsidRPr="00B22BCB">
        <w:t xml:space="preserve">DCO = data cut-off; </w:t>
      </w:r>
      <w:r w:rsidRPr="00B22BCB">
        <w:t>NR = not reported</w:t>
      </w:r>
      <w:r w:rsidR="00E334E3">
        <w:t>; Wk = week</w:t>
      </w:r>
    </w:p>
    <w:p w14:paraId="4F75931B" w14:textId="77777777" w:rsidR="005444D6" w:rsidRPr="00B22BCB" w:rsidRDefault="005444D6" w:rsidP="005444D6">
      <w:pPr>
        <w:pStyle w:val="TableFigureFooter"/>
      </w:pPr>
      <w:r w:rsidRPr="00B22BCB">
        <w:rPr>
          <w:vertAlign w:val="superscript"/>
        </w:rPr>
        <w:t>a</w:t>
      </w:r>
      <w:r w:rsidRPr="00B22BCB">
        <w:t xml:space="preserve"> Reported for entire PACE population (including patients with CML-CP, AP, BP and Ph+ ALL)</w:t>
      </w:r>
    </w:p>
    <w:p w14:paraId="6C995663" w14:textId="1130AFE5" w:rsidR="005444D6" w:rsidRDefault="005444D6" w:rsidP="005444D6">
      <w:pPr>
        <w:pStyle w:val="TableFigureFooter"/>
      </w:pPr>
      <w:r w:rsidRPr="00B22BCB">
        <w:rPr>
          <w:vertAlign w:val="superscript"/>
        </w:rPr>
        <w:t>b</w:t>
      </w:r>
      <w:r w:rsidRPr="00B22BCB">
        <w:t xml:space="preserve"> Reported in the total CML-CP population</w:t>
      </w:r>
    </w:p>
    <w:p w14:paraId="13D8B03F" w14:textId="3201A293" w:rsidR="00C17F08" w:rsidRPr="00B22BCB" w:rsidRDefault="00C17F08" w:rsidP="005444D6">
      <w:pPr>
        <w:pStyle w:val="TableFigureFooter"/>
      </w:pPr>
      <w:r w:rsidRPr="00C17F08">
        <w:rPr>
          <w:vertAlign w:val="superscript"/>
        </w:rPr>
        <w:t>c</w:t>
      </w:r>
      <w:r>
        <w:t xml:space="preserve"> </w:t>
      </w:r>
      <w:r w:rsidRPr="00C17F08">
        <w:t>The pre-PBAC response present</w:t>
      </w:r>
      <w:r>
        <w:t>ed</w:t>
      </w:r>
      <w:r w:rsidRPr="00C17F08">
        <w:t xml:space="preserve"> additional data from ASCEMBL trial (data cutoff of Oct 2021</w:t>
      </w:r>
      <w:r>
        <w:t>,</w:t>
      </w:r>
      <w:r w:rsidRPr="00C17F08">
        <w:t xml:space="preserve"> compared to Jan 2021 in the ESC ADV</w:t>
      </w:r>
      <w:r>
        <w:t>).</w:t>
      </w:r>
    </w:p>
    <w:p w14:paraId="481FB996" w14:textId="2FEA979A" w:rsidR="005444D6" w:rsidRDefault="005444D6" w:rsidP="00817D15">
      <w:pPr>
        <w:pStyle w:val="TableFigureFooter"/>
      </w:pPr>
    </w:p>
    <w:p w14:paraId="7A8F61AA" w14:textId="6390ADA1" w:rsidR="00857DC0" w:rsidRPr="00857DC0" w:rsidRDefault="00857DC0" w:rsidP="00857DC0">
      <w:pPr>
        <w:pStyle w:val="TableFigureFooter"/>
        <w:keepNext/>
        <w:keepLines/>
        <w:rPr>
          <w:rFonts w:asciiTheme="minorHAnsi" w:hAnsiTheme="minorHAnsi" w:cstheme="minorHAnsi"/>
          <w:b/>
          <w:bCs/>
          <w:i/>
          <w:iCs/>
          <w:sz w:val="24"/>
          <w:szCs w:val="24"/>
          <w:u w:val="single"/>
        </w:rPr>
      </w:pPr>
      <w:r w:rsidRPr="00857DC0">
        <w:rPr>
          <w:rFonts w:asciiTheme="minorHAnsi" w:hAnsiTheme="minorHAnsi" w:cstheme="minorHAnsi"/>
          <w:b/>
          <w:bCs/>
          <w:i/>
          <w:iCs/>
          <w:sz w:val="24"/>
          <w:szCs w:val="24"/>
          <w:u w:val="single"/>
        </w:rPr>
        <w:t>Asciminib versus nilotinib</w:t>
      </w:r>
    </w:p>
    <w:p w14:paraId="6DBE3AEC" w14:textId="3DA86217" w:rsidR="00F01C94" w:rsidRPr="00B22BCB" w:rsidRDefault="00570CA8" w:rsidP="00857DC0">
      <w:pPr>
        <w:pStyle w:val="3-BodyText"/>
        <w:keepNext/>
        <w:keepLines/>
      </w:pPr>
      <w:r w:rsidRPr="00B22BCB">
        <w:t xml:space="preserve">Age, gender and race </w:t>
      </w:r>
      <w:r w:rsidR="00777282" w:rsidRPr="00B22BCB">
        <w:t>were</w:t>
      </w:r>
      <w:r w:rsidR="00C12C09" w:rsidRPr="00B22BCB">
        <w:t xml:space="preserve"> reasonably similar</w:t>
      </w:r>
      <w:r w:rsidRPr="00B22BCB">
        <w:t xml:space="preserve"> between</w:t>
      </w:r>
      <w:r w:rsidR="00FA79D5" w:rsidRPr="00B22BCB">
        <w:t xml:space="preserve"> patients enrolled in</w:t>
      </w:r>
      <w:r w:rsidRPr="00B22BCB">
        <w:t xml:space="preserve"> </w:t>
      </w:r>
      <w:r w:rsidR="006D0A11">
        <w:t xml:space="preserve">the </w:t>
      </w:r>
      <w:r w:rsidRPr="00B22BCB">
        <w:t>ASCEMBL and ENACT</w:t>
      </w:r>
      <w:r w:rsidR="006D0A11">
        <w:t xml:space="preserve"> trials</w:t>
      </w:r>
      <w:r w:rsidRPr="00B22BCB">
        <w:t>. ASCEMBL enrolled fit</w:t>
      </w:r>
      <w:r w:rsidR="00474B5D" w:rsidRPr="00B22BCB">
        <w:t>ter</w:t>
      </w:r>
      <w:r w:rsidRPr="00B22BCB">
        <w:t xml:space="preserve"> patients, reflected in the better ECOG PS (ECOG PS = 0 in 80%</w:t>
      </w:r>
      <w:r w:rsidR="00EF44A2">
        <w:t xml:space="preserve"> of patients,</w:t>
      </w:r>
      <w:r w:rsidRPr="00B22BCB">
        <w:t xml:space="preserve"> </w:t>
      </w:r>
      <w:r w:rsidR="00474B5D" w:rsidRPr="00B22BCB">
        <w:t xml:space="preserve">compared to the ENACT and </w:t>
      </w:r>
      <w:r w:rsidR="0038675B" w:rsidRPr="0038675B">
        <w:t xml:space="preserve">Giles </w:t>
      </w:r>
      <w:r w:rsidR="0038675B" w:rsidRPr="0038675B">
        <w:rPr>
          <w:i/>
        </w:rPr>
        <w:t>et al.</w:t>
      </w:r>
      <w:r w:rsidR="00474B5D" w:rsidRPr="00B22BCB">
        <w:t xml:space="preserve"> (2010) rates of </w:t>
      </w:r>
      <w:r w:rsidRPr="00B22BCB">
        <w:t>vs 73.3% and 64%</w:t>
      </w:r>
      <w:r w:rsidR="00EF44A2">
        <w:t>,</w:t>
      </w:r>
      <w:r w:rsidRPr="00B22BCB">
        <w:t xml:space="preserve"> respectively), and patients in the ASCEMBL trial </w:t>
      </w:r>
      <w:r w:rsidR="006D0A11">
        <w:t xml:space="preserve">had </w:t>
      </w:r>
      <w:r w:rsidRPr="00B22BCB">
        <w:t>a substantially shorter time since initial diagnosis, compared with the nilotinib trials (3.8 years vs 6.7 and 7.4 years</w:t>
      </w:r>
      <w:r w:rsidR="00C17F08">
        <w:t>, respectively</w:t>
      </w:r>
      <w:r w:rsidRPr="00B22BCB">
        <w:t xml:space="preserve">). The proportion of patients with resistance to the prior TKI differed substantially </w:t>
      </w:r>
      <w:r w:rsidRPr="008B10EA">
        <w:t>between</w:t>
      </w:r>
      <w:r w:rsidR="00EF44A2" w:rsidRPr="008B10EA">
        <w:t xml:space="preserve"> the</w:t>
      </w:r>
      <w:r w:rsidRPr="008B10EA">
        <w:t xml:space="preserve"> ASCEMBL (60.5%) and </w:t>
      </w:r>
      <w:r w:rsidR="0038675B" w:rsidRPr="008B10EA">
        <w:t>Giles et al.</w:t>
      </w:r>
      <w:r w:rsidR="002B047F" w:rsidRPr="008B10EA">
        <w:t xml:space="preserve"> (2010)</w:t>
      </w:r>
      <w:r w:rsidRPr="008B10EA">
        <w:t xml:space="preserve"> (31%)</w:t>
      </w:r>
      <w:r w:rsidR="00EF44A2" w:rsidRPr="008B10EA">
        <w:t xml:space="preserve"> trials</w:t>
      </w:r>
      <w:r w:rsidRPr="008B10EA">
        <w:t>, a difference which may</w:t>
      </w:r>
      <w:r w:rsidR="00857DC0" w:rsidRPr="008B10EA">
        <w:t xml:space="preserve"> bias the results in</w:t>
      </w:r>
      <w:r w:rsidRPr="008B10EA">
        <w:t xml:space="preserve"> favour</w:t>
      </w:r>
      <w:r w:rsidR="00857DC0" w:rsidRPr="008B10EA">
        <w:t xml:space="preserve"> of</w:t>
      </w:r>
      <w:r w:rsidRPr="008B10EA">
        <w:t xml:space="preserve"> nilotinib. Patients in ASCEMBL had higher rates of baseline MCyR compared to the nilotinib trials, which recorded MCyR as ‘best response to prior TKI’ (28</w:t>
      </w:r>
      <w:r w:rsidR="00B05626" w:rsidRPr="008B10EA">
        <w:t>-36%</w:t>
      </w:r>
      <w:r w:rsidRPr="008B10EA">
        <w:t xml:space="preserve"> vs 14.2% [2 prior TKI subgroup of ENACT] and 21%</w:t>
      </w:r>
      <w:r w:rsidR="005461CA" w:rsidRPr="008B10EA">
        <w:t xml:space="preserve"> in </w:t>
      </w:r>
      <w:r w:rsidR="0038675B" w:rsidRPr="008B10EA">
        <w:t>Giles et al.</w:t>
      </w:r>
      <w:r w:rsidR="005461CA" w:rsidRPr="008B10EA">
        <w:t xml:space="preserve"> [2010]</w:t>
      </w:r>
      <w:r w:rsidRPr="008B10EA">
        <w:t>)</w:t>
      </w:r>
      <w:r w:rsidR="00673264" w:rsidRPr="008B10EA">
        <w:t>, which may</w:t>
      </w:r>
      <w:r w:rsidR="00857DC0" w:rsidRPr="008B10EA">
        <w:t xml:space="preserve"> bias the results in</w:t>
      </w:r>
      <w:r w:rsidR="00673264" w:rsidRPr="008B10EA">
        <w:t xml:space="preserve"> favour</w:t>
      </w:r>
      <w:r w:rsidR="00857DC0" w:rsidRPr="008B10EA">
        <w:t xml:space="preserve"> of </w:t>
      </w:r>
      <w:r w:rsidR="00673264" w:rsidRPr="008B10EA">
        <w:t>asciminib</w:t>
      </w:r>
      <w:r w:rsidRPr="008B10EA">
        <w:t xml:space="preserve">. </w:t>
      </w:r>
      <w:r w:rsidR="00CF4DD6" w:rsidRPr="008B10EA">
        <w:t>The PSCR noted (p2) that the outcome of CCyR in ASCEMBL is measured in the CCyR analysis set (defined as the patients</w:t>
      </w:r>
      <w:r w:rsidR="00CF4DD6" w:rsidRPr="002E7D71">
        <w:t xml:space="preserve"> who were not in CCyR at baseline), but is measured in all patients in ENACT, which is likely to bias the indirect comparison of CCyR against asciminib; however, this highlights the difficulty of the comparison, as ENACT listed the ‘best response to second-line TKI’, where ASCEMBL listed baseline MCyR rates. It is unknown how many patients in the ENACT trial had a baseline CCyR.</w:t>
      </w:r>
    </w:p>
    <w:p w14:paraId="72CDC9ED" w14:textId="1A038DC2" w:rsidR="00227616" w:rsidRDefault="00570CA8" w:rsidP="00227616">
      <w:pPr>
        <w:pStyle w:val="3-BodyText"/>
      </w:pPr>
      <w:r w:rsidRPr="00B22BCB">
        <w:t xml:space="preserve">Patients in ASCEMBL had more prior </w:t>
      </w:r>
      <w:r w:rsidR="00F01C94" w:rsidRPr="00B22BCB">
        <w:t>TKIs (approximately 5</w:t>
      </w:r>
      <w:r w:rsidR="00220CAA" w:rsidRPr="00B22BCB">
        <w:t>7</w:t>
      </w:r>
      <w:r w:rsidR="00F01C94" w:rsidRPr="00B22BCB">
        <w:t xml:space="preserve">% had 2 prior, and </w:t>
      </w:r>
      <w:r w:rsidR="00220CAA" w:rsidRPr="00B22BCB">
        <w:t>43</w:t>
      </w:r>
      <w:r w:rsidR="00F01C94" w:rsidRPr="00B22BCB">
        <w:t xml:space="preserve">% had </w:t>
      </w:r>
      <w:r w:rsidR="00F01C94" w:rsidRPr="00B22BCB">
        <w:rPr>
          <w:rFonts w:cstheme="minorHAnsi"/>
        </w:rPr>
        <w:t>≥</w:t>
      </w:r>
      <w:r w:rsidR="00F01C94" w:rsidRPr="00B22BCB">
        <w:t xml:space="preserve">3 prior) compared to </w:t>
      </w:r>
      <w:r w:rsidR="00403F79" w:rsidRPr="002B4570">
        <w:t>those in</w:t>
      </w:r>
      <w:r w:rsidRPr="002B4570">
        <w:t xml:space="preserve"> ENACT</w:t>
      </w:r>
      <w:r w:rsidR="00F01C94" w:rsidRPr="002B4570">
        <w:t xml:space="preserve"> (1 prior TKI, apart from a subgroup of 218 </w:t>
      </w:r>
      <w:r w:rsidR="00F01C94" w:rsidRPr="008B10EA">
        <w:t xml:space="preserve">patients who had 2 prior) and </w:t>
      </w:r>
      <w:r w:rsidR="0038675B" w:rsidRPr="008B10EA">
        <w:t>Giles et al.</w:t>
      </w:r>
      <w:r w:rsidR="00F01C94" w:rsidRPr="008B10EA">
        <w:t xml:space="preserve"> (2010) (2 prior TKIs). This difference</w:t>
      </w:r>
      <w:r w:rsidR="00857DC0" w:rsidRPr="008B10EA">
        <w:t xml:space="preserve"> may bias the results in</w:t>
      </w:r>
      <w:r w:rsidR="00F01C94" w:rsidRPr="008B10EA">
        <w:t xml:space="preserve"> favour</w:t>
      </w:r>
      <w:r w:rsidR="00857DC0" w:rsidRPr="008B10EA">
        <w:t xml:space="preserve"> of</w:t>
      </w:r>
      <w:r w:rsidR="00F01C94" w:rsidRPr="008B10EA">
        <w:t xml:space="preserve"> nilotinib</w:t>
      </w:r>
      <w:r w:rsidR="00F01C94" w:rsidRPr="002B4570">
        <w:t xml:space="preserve"> in the ITC</w:t>
      </w:r>
      <w:r w:rsidR="003F786F" w:rsidRPr="002B4570">
        <w:t>.</w:t>
      </w:r>
      <w:r w:rsidR="00F01C94" w:rsidRPr="002B4570">
        <w:t xml:space="preserve"> ASCEMBL only reported the discontinuation reason </w:t>
      </w:r>
      <w:r w:rsidR="005220AD" w:rsidRPr="002B4570">
        <w:t>for</w:t>
      </w:r>
      <w:r w:rsidR="00F01C94" w:rsidRPr="002B4570">
        <w:t xml:space="preserve"> the last TKI (6</w:t>
      </w:r>
      <w:r w:rsidR="00220CAA" w:rsidRPr="002B4570">
        <w:t>1</w:t>
      </w:r>
      <w:r w:rsidR="00F01C94" w:rsidRPr="002B4570">
        <w:t>% resistance, 38% intolerance).  According to the Australian definition, the patient populations in these trials represent an unknown mixture of first-line (all prior TKIs failed due to intolerance), second-line (one prior TKI failed due to intolerance</w:t>
      </w:r>
      <w:r w:rsidR="00220CAA" w:rsidRPr="002B4570">
        <w:t>),</w:t>
      </w:r>
      <w:r w:rsidR="00F01C94" w:rsidRPr="002B4570">
        <w:t xml:space="preserve"> third</w:t>
      </w:r>
      <w:r w:rsidR="00220CAA" w:rsidRPr="002B4570">
        <w:t>-</w:t>
      </w:r>
      <w:r w:rsidR="00F01C94" w:rsidRPr="002B4570">
        <w:t xml:space="preserve"> </w:t>
      </w:r>
      <w:r w:rsidR="00220CAA" w:rsidRPr="002B4570">
        <w:t xml:space="preserve">and fourth-line </w:t>
      </w:r>
      <w:r w:rsidR="00F01C94" w:rsidRPr="002B4570">
        <w:t>(</w:t>
      </w:r>
      <w:r w:rsidR="00220CAA" w:rsidRPr="002B4570">
        <w:t>two</w:t>
      </w:r>
      <w:r w:rsidR="00F01C94" w:rsidRPr="002B4570">
        <w:t xml:space="preserve"> </w:t>
      </w:r>
      <w:r w:rsidR="00220CAA" w:rsidRPr="002B4570">
        <w:t xml:space="preserve">and three </w:t>
      </w:r>
      <w:r w:rsidR="00F01C94" w:rsidRPr="002B4570">
        <w:t>prior therapies failed due to resistance) therapies.</w:t>
      </w:r>
    </w:p>
    <w:p w14:paraId="4D3DCCD8" w14:textId="1CE84013" w:rsidR="00857DC0" w:rsidRPr="002B4570" w:rsidRDefault="00857DC0" w:rsidP="00857DC0">
      <w:pPr>
        <w:pStyle w:val="3-BodyText"/>
        <w:numPr>
          <w:ilvl w:val="0"/>
          <w:numId w:val="0"/>
        </w:numPr>
      </w:pPr>
      <w:r w:rsidRPr="00857DC0">
        <w:rPr>
          <w:rFonts w:cstheme="minorHAnsi"/>
          <w:b/>
          <w:bCs/>
          <w:i/>
          <w:iCs/>
          <w:u w:val="single"/>
        </w:rPr>
        <w:t xml:space="preserve">Asciminib versus </w:t>
      </w:r>
      <w:r>
        <w:rPr>
          <w:rFonts w:cstheme="minorHAnsi"/>
          <w:b/>
          <w:bCs/>
          <w:i/>
          <w:iCs/>
          <w:u w:val="single"/>
        </w:rPr>
        <w:t>ponatinib</w:t>
      </w:r>
    </w:p>
    <w:p w14:paraId="6D854F6B" w14:textId="20AEE880" w:rsidR="00220CAA" w:rsidRPr="00B22BCB" w:rsidRDefault="00220CAA" w:rsidP="00227616">
      <w:pPr>
        <w:pStyle w:val="3-BodyText"/>
      </w:pPr>
      <w:bookmarkStart w:id="28" w:name="_Ref110434675"/>
      <w:r w:rsidRPr="00B22BCB">
        <w:t xml:space="preserve">Comparing the </w:t>
      </w:r>
      <w:r w:rsidR="00337BFF" w:rsidRPr="00B22BCB">
        <w:t>asciminib</w:t>
      </w:r>
      <w:r w:rsidRPr="00B22BCB">
        <w:t xml:space="preserve"> arm of </w:t>
      </w:r>
      <w:r w:rsidR="006D0A11">
        <w:t xml:space="preserve">the </w:t>
      </w:r>
      <w:r w:rsidRPr="00B22BCB">
        <w:t>ASCEMBL</w:t>
      </w:r>
      <w:r w:rsidR="006D0A11">
        <w:t xml:space="preserve"> trial</w:t>
      </w:r>
      <w:r w:rsidRPr="00B22BCB">
        <w:t xml:space="preserve"> vs ponatinib in </w:t>
      </w:r>
      <w:r w:rsidR="006D0A11">
        <w:t xml:space="preserve">the </w:t>
      </w:r>
      <w:r w:rsidRPr="00B22BCB">
        <w:t>PACE</w:t>
      </w:r>
      <w:r w:rsidR="006D0A11">
        <w:t xml:space="preserve"> trial</w:t>
      </w:r>
      <w:r w:rsidRPr="00B22BCB">
        <w:t xml:space="preserve">, </w:t>
      </w:r>
      <w:r w:rsidRPr="00B22BCB">
        <w:rPr>
          <w:bCs/>
        </w:rPr>
        <w:t xml:space="preserve">ponatinib patients were older (52 vs 60 years), not as fit (ECOG PS of 0 in 80.3% vs 70%), had fewer </w:t>
      </w:r>
      <w:r w:rsidR="00131EC9">
        <w:rPr>
          <w:bCs/>
        </w:rPr>
        <w:t xml:space="preserve">patients </w:t>
      </w:r>
      <w:r w:rsidR="00100F1B">
        <w:rPr>
          <w:bCs/>
        </w:rPr>
        <w:t>with a baseline</w:t>
      </w:r>
      <w:r w:rsidR="000309BF">
        <w:rPr>
          <w:bCs/>
        </w:rPr>
        <w:t xml:space="preserve"> </w:t>
      </w:r>
      <w:r w:rsidRPr="00B22BCB">
        <w:rPr>
          <w:bCs/>
        </w:rPr>
        <w:t>MCyR (28</w:t>
      </w:r>
      <w:r w:rsidR="00B05626" w:rsidRPr="00B22BCB">
        <w:rPr>
          <w:bCs/>
        </w:rPr>
        <w:t>-36</w:t>
      </w:r>
      <w:r w:rsidRPr="00B22BCB">
        <w:rPr>
          <w:bCs/>
        </w:rPr>
        <w:t>% vs 20%), had more prior TKIs (</w:t>
      </w:r>
      <w:r w:rsidRPr="00B22BCB">
        <w:rPr>
          <w:rFonts w:cs="Calibri"/>
          <w:bCs/>
        </w:rPr>
        <w:t>≥</w:t>
      </w:r>
      <w:r w:rsidRPr="00B22BCB">
        <w:rPr>
          <w:bCs/>
        </w:rPr>
        <w:t xml:space="preserve">3 prior TKIs 43% vs 56%), </w:t>
      </w:r>
      <w:r w:rsidRPr="008B10EA">
        <w:rPr>
          <w:bCs/>
        </w:rPr>
        <w:t>and more failure of prior TKI due to lack of efficacy (61% vs 84%).</w:t>
      </w:r>
      <w:r w:rsidR="00100F1B" w:rsidRPr="008B10EA">
        <w:rPr>
          <w:bCs/>
        </w:rPr>
        <w:t xml:space="preserve"> All of these differences </w:t>
      </w:r>
      <w:r w:rsidR="001354EB" w:rsidRPr="008B10EA">
        <w:rPr>
          <w:bCs/>
        </w:rPr>
        <w:t>suggested a poor prognosis in patients in the PACE trial and thus</w:t>
      </w:r>
      <w:r w:rsidR="00043734" w:rsidRPr="008B10EA">
        <w:rPr>
          <w:bCs/>
        </w:rPr>
        <w:t xml:space="preserve"> biased the results in</w:t>
      </w:r>
      <w:r w:rsidR="001354EB" w:rsidRPr="008B10EA">
        <w:rPr>
          <w:bCs/>
        </w:rPr>
        <w:t xml:space="preserve"> favour</w:t>
      </w:r>
      <w:r w:rsidR="00043734" w:rsidRPr="008B10EA">
        <w:rPr>
          <w:bCs/>
        </w:rPr>
        <w:t xml:space="preserve"> of</w:t>
      </w:r>
      <w:r w:rsidR="001354EB" w:rsidRPr="008B10EA">
        <w:rPr>
          <w:bCs/>
        </w:rPr>
        <w:t xml:space="preserve"> asciminib over ponatinib in the unanchored comparison.</w:t>
      </w:r>
      <w:r w:rsidRPr="008B10EA">
        <w:rPr>
          <w:bCs/>
        </w:rPr>
        <w:t xml:space="preserve"> The difference</w:t>
      </w:r>
      <w:r w:rsidRPr="00B22BCB">
        <w:rPr>
          <w:bCs/>
        </w:rPr>
        <w:t xml:space="preserve"> in lack of efficacy</w:t>
      </w:r>
      <w:r w:rsidR="009D1658">
        <w:rPr>
          <w:bCs/>
        </w:rPr>
        <w:t xml:space="preserve"> of prior TKIs</w:t>
      </w:r>
      <w:r w:rsidRPr="00B22BCB">
        <w:rPr>
          <w:bCs/>
        </w:rPr>
        <w:t xml:space="preserve"> may be influenced by the inclusion of the T315I mutation subgroup</w:t>
      </w:r>
      <w:r w:rsidR="00B01312" w:rsidRPr="00B22BCB">
        <w:rPr>
          <w:bCs/>
        </w:rPr>
        <w:t xml:space="preserve"> in PACE</w:t>
      </w:r>
      <w:r w:rsidRPr="00B22BCB">
        <w:rPr>
          <w:bCs/>
        </w:rPr>
        <w:t xml:space="preserve"> (24% of the study population), which renders CML-CP resistant to other TKIs</w:t>
      </w:r>
      <w:r w:rsidR="00C17F08">
        <w:rPr>
          <w:bCs/>
        </w:rPr>
        <w:t xml:space="preserve"> (imatinib, dasatinib, nilotinib)</w:t>
      </w:r>
      <w:r w:rsidRPr="00B22BCB">
        <w:rPr>
          <w:bCs/>
        </w:rPr>
        <w:t xml:space="preserve">. These differences prognostically favour patients in the </w:t>
      </w:r>
      <w:r w:rsidR="00337BFF" w:rsidRPr="00B22BCB">
        <w:rPr>
          <w:bCs/>
        </w:rPr>
        <w:t>asciminib</w:t>
      </w:r>
      <w:r w:rsidRPr="00B22BCB">
        <w:rPr>
          <w:bCs/>
        </w:rPr>
        <w:t xml:space="preserve"> arm of ASCEMBL compared to PACE. </w:t>
      </w:r>
      <w:r w:rsidR="002D3B6F" w:rsidRPr="002B4570">
        <w:t xml:space="preserve">The PACE trial excluded patients who had a baseline CCyR, whilst ASCEMBL did not, which may bias efficacy results in favour of asciminib. </w:t>
      </w:r>
      <w:r w:rsidRPr="00B22BCB">
        <w:rPr>
          <w:bCs/>
        </w:rPr>
        <w:t xml:space="preserve">The </w:t>
      </w:r>
      <w:r w:rsidR="00337BFF" w:rsidRPr="00B22BCB">
        <w:rPr>
          <w:bCs/>
        </w:rPr>
        <w:t>asciminib</w:t>
      </w:r>
      <w:r w:rsidRPr="00B22BCB">
        <w:rPr>
          <w:bCs/>
        </w:rPr>
        <w:t xml:space="preserve"> arm </w:t>
      </w:r>
      <w:r w:rsidR="00B01312" w:rsidRPr="00B22BCB">
        <w:rPr>
          <w:bCs/>
        </w:rPr>
        <w:t xml:space="preserve">also had </w:t>
      </w:r>
      <w:r w:rsidRPr="00B22BCB">
        <w:rPr>
          <w:bCs/>
        </w:rPr>
        <w:t xml:space="preserve">substantially fewer prior TKIs compared to the resistant/intolerant (R/I) cohort </w:t>
      </w:r>
      <w:r w:rsidR="00B05626" w:rsidRPr="00B22BCB">
        <w:rPr>
          <w:bCs/>
        </w:rPr>
        <w:t xml:space="preserve">of PACE </w:t>
      </w:r>
      <w:r w:rsidRPr="00B22BCB">
        <w:rPr>
          <w:bCs/>
        </w:rPr>
        <w:t>(</w:t>
      </w:r>
      <w:r w:rsidRPr="00B22BCB">
        <w:rPr>
          <w:rFonts w:cs="Calibri"/>
          <w:bCs/>
        </w:rPr>
        <w:t>≥</w:t>
      </w:r>
      <w:r w:rsidRPr="00B22BCB">
        <w:rPr>
          <w:bCs/>
        </w:rPr>
        <w:t>3 prior TKIs 43.3% vs 66.5%)</w:t>
      </w:r>
      <w:r w:rsidR="00B01312" w:rsidRPr="00B22BCB">
        <w:rPr>
          <w:bCs/>
        </w:rPr>
        <w:t>; these two populations are the most comparable (no T315I mutatio</w:t>
      </w:r>
      <w:r w:rsidR="002A1636" w:rsidRPr="00B22BCB">
        <w:rPr>
          <w:bCs/>
        </w:rPr>
        <w:t>ns</w:t>
      </w:r>
      <w:r w:rsidR="00B01312" w:rsidRPr="00B22BCB">
        <w:rPr>
          <w:bCs/>
        </w:rPr>
        <w:t>)</w:t>
      </w:r>
      <w:r w:rsidRPr="00B22BCB">
        <w:rPr>
          <w:bCs/>
        </w:rPr>
        <w:t>.</w:t>
      </w:r>
      <w:bookmarkEnd w:id="28"/>
    </w:p>
    <w:p w14:paraId="08D2E28E" w14:textId="20C54214" w:rsidR="009F30A7" w:rsidRPr="00737E5B" w:rsidRDefault="009F30A7" w:rsidP="00227616">
      <w:pPr>
        <w:pStyle w:val="3-BodyText"/>
      </w:pPr>
      <w:r w:rsidRPr="002B4570">
        <w:rPr>
          <w:bCs/>
        </w:rPr>
        <w:t xml:space="preserve">The patients in </w:t>
      </w:r>
      <w:r w:rsidR="006D0A11" w:rsidRPr="002B4570">
        <w:rPr>
          <w:bCs/>
        </w:rPr>
        <w:t xml:space="preserve">the </w:t>
      </w:r>
      <w:r w:rsidRPr="002B4570">
        <w:rPr>
          <w:bCs/>
        </w:rPr>
        <w:t>ASCEMBL</w:t>
      </w:r>
      <w:r w:rsidR="006D0A11" w:rsidRPr="002B4570">
        <w:rPr>
          <w:bCs/>
        </w:rPr>
        <w:t xml:space="preserve"> trial</w:t>
      </w:r>
      <w:r w:rsidRPr="002B4570">
        <w:rPr>
          <w:bCs/>
        </w:rPr>
        <w:t xml:space="preserve"> were approximately 10 years younger compared with the</w:t>
      </w:r>
      <w:r w:rsidR="0030498A" w:rsidRPr="002B4570">
        <w:rPr>
          <w:bCs/>
        </w:rPr>
        <w:t xml:space="preserve"> age of patients newly diagnosed with CML in </w:t>
      </w:r>
      <w:r w:rsidRPr="002B4570">
        <w:rPr>
          <w:bCs/>
        </w:rPr>
        <w:t>Australia (mean 51 vs 61.1; median 52 vs 63 respectively), according to AIHW data</w:t>
      </w:r>
      <w:r w:rsidR="00F12F87" w:rsidRPr="002B4570">
        <w:rPr>
          <w:bCs/>
        </w:rPr>
        <w:t xml:space="preserve"> from 2017</w:t>
      </w:r>
      <w:r w:rsidRPr="002B4570">
        <w:rPr>
          <w:bCs/>
        </w:rPr>
        <w:t>.</w:t>
      </w:r>
      <w:r w:rsidR="00797E8B" w:rsidRPr="002B4570">
        <w:rPr>
          <w:rStyle w:val="FootnoteReference"/>
          <w:bCs/>
        </w:rPr>
        <w:footnoteReference w:id="8"/>
      </w:r>
      <w:r w:rsidR="0030498A" w:rsidRPr="002B4570">
        <w:rPr>
          <w:bCs/>
        </w:rPr>
        <w:t xml:space="preserve"> </w:t>
      </w:r>
      <w:r w:rsidR="00D709A2" w:rsidRPr="002B4570">
        <w:rPr>
          <w:bCs/>
        </w:rPr>
        <w:t xml:space="preserve">Median time since diagnosis ranged from 3.8 years (ASCEMBL) to 7.0 years (PACE), meaning the target Australian population may have a median age </w:t>
      </w:r>
      <w:r w:rsidR="00071C3E" w:rsidRPr="002B4570">
        <w:rPr>
          <w:bCs/>
        </w:rPr>
        <w:t>of approximately</w:t>
      </w:r>
      <w:r w:rsidR="00766908" w:rsidRPr="002B4570">
        <w:rPr>
          <w:bCs/>
        </w:rPr>
        <w:t xml:space="preserve"> 67</w:t>
      </w:r>
      <w:r w:rsidR="00071C3E" w:rsidRPr="002B4570">
        <w:rPr>
          <w:bCs/>
        </w:rPr>
        <w:t xml:space="preserve"> </w:t>
      </w:r>
      <w:r w:rsidR="00667434" w:rsidRPr="002B4570">
        <w:rPr>
          <w:bCs/>
        </w:rPr>
        <w:t>-</w:t>
      </w:r>
      <w:r w:rsidR="00071C3E" w:rsidRPr="002B4570">
        <w:rPr>
          <w:bCs/>
        </w:rPr>
        <w:t xml:space="preserve"> 70 years </w:t>
      </w:r>
      <w:r w:rsidR="00D709A2" w:rsidRPr="002B4570">
        <w:rPr>
          <w:bCs/>
        </w:rPr>
        <w:t>by the time they require a third TKI, which represents an applicability issue for the</w:t>
      </w:r>
      <w:r w:rsidR="002F2984">
        <w:rPr>
          <w:bCs/>
        </w:rPr>
        <w:t xml:space="preserve"> efficacy and</w:t>
      </w:r>
      <w:r w:rsidR="00D709A2" w:rsidRPr="002B4570">
        <w:rPr>
          <w:bCs/>
        </w:rPr>
        <w:t xml:space="preserve"> safety data from ASCEMBL.</w:t>
      </w:r>
    </w:p>
    <w:p w14:paraId="491C4292" w14:textId="44F20D03" w:rsidR="00737E5B" w:rsidRPr="002E7D71" w:rsidRDefault="00737E5B" w:rsidP="00227616">
      <w:pPr>
        <w:pStyle w:val="3-BodyText"/>
      </w:pPr>
      <w:bookmarkStart w:id="29" w:name="_Ref106265767"/>
      <w:r w:rsidRPr="002E7D71">
        <w:rPr>
          <w:bCs/>
        </w:rPr>
        <w:t>In response to the above mentioned concerns, the PSCR provided a matching adjusted indirect comparison (MAIC) between</w:t>
      </w:r>
      <w:r w:rsidR="00C74F05" w:rsidRPr="002E7D71">
        <w:rPr>
          <w:bCs/>
        </w:rPr>
        <w:t xml:space="preserve"> the </w:t>
      </w:r>
      <w:r w:rsidR="006D489A" w:rsidRPr="002B4570">
        <w:t>ASCEMBL</w:t>
      </w:r>
      <w:r w:rsidRPr="002E7D71">
        <w:rPr>
          <w:bCs/>
        </w:rPr>
        <w:t xml:space="preserve"> </w:t>
      </w:r>
      <w:r w:rsidR="00C74F05" w:rsidRPr="002E7D71">
        <w:rPr>
          <w:bCs/>
        </w:rPr>
        <w:t>(</w:t>
      </w:r>
      <w:r w:rsidRPr="002E7D71">
        <w:rPr>
          <w:bCs/>
        </w:rPr>
        <w:t>asciminib</w:t>
      </w:r>
      <w:r w:rsidR="00C74F05" w:rsidRPr="002E7D71">
        <w:rPr>
          <w:bCs/>
        </w:rPr>
        <w:t>)</w:t>
      </w:r>
      <w:r w:rsidRPr="002E7D71">
        <w:rPr>
          <w:bCs/>
        </w:rPr>
        <w:t xml:space="preserve"> and</w:t>
      </w:r>
      <w:r w:rsidR="00C74F05" w:rsidRPr="002E7D71">
        <w:rPr>
          <w:bCs/>
        </w:rPr>
        <w:t xml:space="preserve"> PACE</w:t>
      </w:r>
      <w:r w:rsidRPr="002E7D71">
        <w:rPr>
          <w:bCs/>
        </w:rPr>
        <w:t xml:space="preserve"> </w:t>
      </w:r>
      <w:r w:rsidR="00C74F05" w:rsidRPr="002E7D71">
        <w:rPr>
          <w:bCs/>
        </w:rPr>
        <w:t>(</w:t>
      </w:r>
      <w:r w:rsidRPr="002E7D71">
        <w:rPr>
          <w:bCs/>
        </w:rPr>
        <w:t>ponatinib</w:t>
      </w:r>
      <w:r w:rsidR="00C74F05" w:rsidRPr="002E7D71">
        <w:rPr>
          <w:bCs/>
        </w:rPr>
        <w:t>) trials</w:t>
      </w:r>
      <w:r w:rsidRPr="002E7D71">
        <w:rPr>
          <w:bCs/>
        </w:rPr>
        <w:t xml:space="preserve">, </w:t>
      </w:r>
      <w:r w:rsidRPr="002E7D71">
        <w:t>adjusting for sex, median age, race, PCyR at baseline, prior TKIs, resistance/intolerance to prior TKIs, mutation status and ECOG performance status.</w:t>
      </w:r>
      <w:bookmarkEnd w:id="29"/>
    </w:p>
    <w:p w14:paraId="4A4FE085" w14:textId="1C5613CC" w:rsidR="00B60939" w:rsidRPr="00B22BCB" w:rsidRDefault="00B60939" w:rsidP="00EC5836">
      <w:pPr>
        <w:pStyle w:val="4-SubsectionHeading"/>
      </w:pPr>
      <w:bookmarkStart w:id="30" w:name="_Toc22897641"/>
      <w:bookmarkStart w:id="31" w:name="_Toc103772584"/>
      <w:r w:rsidRPr="00B22BCB">
        <w:t>Comparative effectiveness</w:t>
      </w:r>
      <w:bookmarkEnd w:id="30"/>
      <w:bookmarkEnd w:id="31"/>
    </w:p>
    <w:p w14:paraId="52A7ED12" w14:textId="4D11759F" w:rsidR="00B82C9F" w:rsidRPr="00B82C9F" w:rsidRDefault="00FB7591" w:rsidP="00EC5836">
      <w:pPr>
        <w:pStyle w:val="3-BodyText"/>
        <w:rPr>
          <w:color w:val="0066FF"/>
        </w:rPr>
      </w:pPr>
      <w:r w:rsidRPr="00B22BCB">
        <w:t xml:space="preserve">An unadjusted, unanchored ITC was performed in the submission, comparing MMR and CCyR between </w:t>
      </w:r>
      <w:r w:rsidR="00337BFF" w:rsidRPr="00B22BCB">
        <w:t>asciminib</w:t>
      </w:r>
      <w:r w:rsidRPr="00B22BCB">
        <w:t xml:space="preserve"> and nilotinib or ponatinib treatment, to justify the clinical claim that </w:t>
      </w:r>
      <w:r w:rsidR="00337BFF" w:rsidRPr="00B22BCB">
        <w:t>asciminib</w:t>
      </w:r>
      <w:r w:rsidRPr="00B22BCB">
        <w:t xml:space="preserve"> demonstrated non-inferior efficacy. </w:t>
      </w:r>
      <w:r w:rsidR="00CC0AA7">
        <w:t>Data were analysed</w:t>
      </w:r>
      <w:r w:rsidR="00351218">
        <w:t xml:space="preserve"> for the ITC</w:t>
      </w:r>
      <w:r w:rsidR="00CC0AA7">
        <w:t xml:space="preserve"> at</w:t>
      </w:r>
      <w:r w:rsidR="00351218">
        <w:t xml:space="preserve"> Weeks</w:t>
      </w:r>
      <w:r w:rsidR="00CC0AA7">
        <w:t xml:space="preserve"> 24 and 48, where available. The pre-PBAC response provided</w:t>
      </w:r>
      <w:r w:rsidR="00351218">
        <w:t xml:space="preserve"> a Week 96 update, however </w:t>
      </w:r>
      <w:r w:rsidR="008A2EC7">
        <w:t>data from this update</w:t>
      </w:r>
      <w:r w:rsidR="00351218">
        <w:t xml:space="preserve"> have not been</w:t>
      </w:r>
      <w:r w:rsidR="008A2EC7">
        <w:t xml:space="preserve"> formally</w:t>
      </w:r>
      <w:r w:rsidR="00351218">
        <w:t xml:space="preserve"> evaluated.</w:t>
      </w:r>
    </w:p>
    <w:p w14:paraId="6FDCFD1C" w14:textId="0BE6FF94" w:rsidR="00B82C9F" w:rsidRPr="00B82C9F" w:rsidRDefault="00B82C9F" w:rsidP="00B82C9F">
      <w:pPr>
        <w:pStyle w:val="3-BodyText"/>
        <w:numPr>
          <w:ilvl w:val="0"/>
          <w:numId w:val="0"/>
        </w:numPr>
        <w:rPr>
          <w:color w:val="0066FF"/>
        </w:rPr>
      </w:pPr>
      <w:r w:rsidRPr="00857DC0">
        <w:rPr>
          <w:rFonts w:cstheme="minorHAnsi"/>
          <w:b/>
          <w:bCs/>
          <w:i/>
          <w:iCs/>
          <w:u w:val="single"/>
        </w:rPr>
        <w:t>Asciminib versus nilotinib</w:t>
      </w:r>
    </w:p>
    <w:p w14:paraId="4C384292" w14:textId="7CA45600" w:rsidR="00D17578" w:rsidRPr="00D17578" w:rsidRDefault="00FB7591" w:rsidP="00EC5836">
      <w:pPr>
        <w:pStyle w:val="3-BodyText"/>
        <w:rPr>
          <w:color w:val="0066FF"/>
        </w:rPr>
      </w:pPr>
      <w:bookmarkStart w:id="32" w:name="_Ref106263962"/>
      <w:r w:rsidRPr="00B22BCB">
        <w:t xml:space="preserve">The outcome of MMR was only provided in the French subgroup of ENACT (n/N = 168/1,422), as described in </w:t>
      </w:r>
      <w:r w:rsidRPr="00B22BCB">
        <w:fldChar w:fldCharType="begin"/>
      </w:r>
      <w:r w:rsidRPr="00B22BCB">
        <w:instrText xml:space="preserve"> REF _Ref102930367 \h </w:instrText>
      </w:r>
      <w:r w:rsidRPr="00B22BCB">
        <w:fldChar w:fldCharType="separate"/>
      </w:r>
      <w:r w:rsidR="00A914F4" w:rsidRPr="00B22BCB">
        <w:t xml:space="preserve">Table </w:t>
      </w:r>
      <w:r w:rsidR="00A914F4">
        <w:rPr>
          <w:noProof/>
        </w:rPr>
        <w:t>7</w:t>
      </w:r>
      <w:r w:rsidRPr="00B22BCB">
        <w:fldChar w:fldCharType="end"/>
      </w:r>
      <w:r w:rsidRPr="00B22BCB">
        <w:t>.</w:t>
      </w:r>
      <w:r w:rsidRPr="00B22BCB">
        <w:rPr>
          <w:i/>
          <w:iCs/>
        </w:rPr>
        <w:t xml:space="preserve"> </w:t>
      </w:r>
      <w:r w:rsidRPr="002B4570">
        <w:t>This represents a potential source of bias, as the baseline demographic and disease characteristics are unknown for this French subgroup.</w:t>
      </w:r>
      <w:r w:rsidR="00D17578">
        <w:t xml:space="preserve"> </w:t>
      </w:r>
      <w:r w:rsidR="00D17578" w:rsidRPr="002E7D71">
        <w:t>The PSCR stated that although the full</w:t>
      </w:r>
      <w:r w:rsidR="00D17578" w:rsidRPr="002E7D71">
        <w:noBreakHyphen/>
        <w:t xml:space="preserve">text publication </w:t>
      </w:r>
      <w:r w:rsidR="00D17578" w:rsidRPr="002E7D71">
        <w:fldChar w:fldCharType="begin">
          <w:fldData xml:space="preserve">PEVuZE5vdGU+PENpdGU+PEF1dGhvcj5OaWNvbGluaTwvQXV0aG9yPjxZZWFyPjIwMTI8L1llYXI+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</w:fldData>
        </w:fldChar>
      </w:r>
      <w:r w:rsidR="00D17578" w:rsidRPr="002E7D71">
        <w:instrText xml:space="preserve"> ADDIN EN.CITE </w:instrText>
      </w:r>
      <w:r w:rsidR="00D17578" w:rsidRPr="002E7D71">
        <w:fldChar w:fldCharType="begin">
          <w:fldData xml:space="preserve">PEVuZE5vdGU+PENpdGU+PEF1dGhvcj5OaWNvbGluaTwvQXV0aG9yPjxZZWFyPjIwMTI8L1llYXI+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</w:fldData>
        </w:fldChar>
      </w:r>
      <w:r w:rsidR="00D17578" w:rsidRPr="002E7D71">
        <w:instrText xml:space="preserve"> ADDIN EN.CITE.DATA </w:instrText>
      </w:r>
      <w:r w:rsidR="00D17578" w:rsidRPr="002E7D71">
        <w:fldChar w:fldCharType="end"/>
      </w:r>
      <w:r w:rsidR="00D17578" w:rsidRPr="002E7D71">
        <w:fldChar w:fldCharType="separate"/>
      </w:r>
      <w:r w:rsidR="00D17578" w:rsidRPr="002E7D71">
        <w:rPr>
          <w:noProof/>
        </w:rPr>
        <w:t>(Nicolini et al., 2012)</w:t>
      </w:r>
      <w:r w:rsidR="00D17578" w:rsidRPr="002E7D71">
        <w:fldChar w:fldCharType="end"/>
      </w:r>
      <w:r w:rsidR="00D17578" w:rsidRPr="002E7D71">
        <w:t xml:space="preserve"> did not report the baseline demographic and disease characteristics of the 168 French patients, an earlier conference abstract reported that the median age of patients was 57 years, 56% were imatinib</w:t>
      </w:r>
      <w:r w:rsidR="00D17578" w:rsidRPr="002E7D71">
        <w:noBreakHyphen/>
        <w:t>resistant and 43% were imatinib</w:t>
      </w:r>
      <w:r w:rsidR="00D17578" w:rsidRPr="002E7D71">
        <w:noBreakHyphen/>
        <w:t xml:space="preserve">intolerant </w:t>
      </w:r>
      <w:r w:rsidR="00D17578" w:rsidRPr="002E7D71">
        <w:fldChar w:fldCharType="begin"/>
      </w:r>
      <w:r w:rsidR="00D17578" w:rsidRPr="002E7D71">
        <w:instrText xml:space="preserve"> ADDIN EN.CITE &lt;EndNote&gt;&lt;Cite&gt;&lt;Author&gt;Nicolini&lt;/Author&gt;&lt;Year&gt;2009&lt;/Year&gt;&lt;RecNum&gt;27&lt;/RecNum&gt;&lt;DisplayText&gt;(Nicolini&lt;style face="italic"&gt; et al.&lt;/style&gt;, 2009)&lt;/DisplayText&gt;&lt;record&gt;&lt;rec-number&gt;27&lt;/rec-number&gt;&lt;foreign-keys&gt;&lt;key app="EN" db-id="0evavwe2nasp55e0fpav9srmdz5p5sftetpw" timestamp="1644539216"&gt;27&lt;/key&gt;&lt;/foreign-keys&gt;&lt;ref-type name="Journal Article"&gt;17&lt;/ref-type&gt;&lt;contributors&gt;&lt;authors&gt;&lt;author&gt;Nicolini, F. E.&lt;/author&gt;&lt;author&gt;Alimena, G.&lt;/author&gt;&lt;author&gt;Al-Ali, H. K.&lt;/author&gt;&lt;author&gt;Turkina, A. T.&lt;/author&gt;&lt;author&gt;Shen, Z.&lt;/author&gt;&lt;author&gt;Jootar, S.&lt;/author&gt;&lt;author&gt;Smith, G.&lt;/author&gt;&lt;author&gt;Conchon, M.&lt;/author&gt;&lt;author&gt;Wang, J.&lt;/author&gt;&lt;author&gt;Berton, M. &lt;/author&gt;&lt;author&gt;Szczudlo, T.&lt;/author&gt;&lt;author&gt;Rizzieri, D. A.&lt;/author&gt;&lt;/authors&gt;&lt;/contributors&gt;&lt;titles&gt;&lt;title&gt;Expanding nilotinib access in clinical trials (ENACT) study in adult patients (PTS) with imatinib-resistant or -intolerant chronic myeloid leukemia (CML): subgroup analysis of patients who failed prior dasatinib therapy&lt;/title&gt;&lt;secondary-title&gt;Haematologica&lt;/secondary-title&gt;&lt;/titles&gt;&lt;periodical&gt;&lt;full-title&gt;Haematologica&lt;/full-title&gt;&lt;/periodical&gt;&lt;pages&gt;257&lt;/pages&gt;&lt;volume&gt;94&lt;/volume&gt;&lt;number&gt;S2&lt;/number&gt;&lt;dates&gt;&lt;year&gt;2009&lt;/year&gt;&lt;/dates&gt;&lt;urls&gt;&lt;/urls&gt;&lt;/record&gt;&lt;/Cite&gt;&lt;/EndNote&gt;</w:instrText>
      </w:r>
      <w:r w:rsidR="00D17578" w:rsidRPr="002E7D71">
        <w:fldChar w:fldCharType="separate"/>
      </w:r>
      <w:r w:rsidR="00D17578" w:rsidRPr="002E7D71">
        <w:rPr>
          <w:noProof/>
        </w:rPr>
        <w:t>(Nicolini et al., 2009)</w:t>
      </w:r>
      <w:r w:rsidR="00D17578" w:rsidRPr="002E7D71">
        <w:fldChar w:fldCharType="end"/>
      </w:r>
      <w:r w:rsidR="00D17578" w:rsidRPr="002E7D71">
        <w:t>. This compares to a median age of 52 years in the asciminib arm of ASCEMBL, of whom 60.5% discontinued their last TKI due to lack of efficacy and 37.6% due to intolerance. The PSCR noted that as response rates decrease with increasing prior TKI use, especially if a patient was resistant to the prior TKI, the naïve (indirect) comparison may be biased against asciminib. Notwithstanding, the abstract has not listed comprehensive baseline characteristics, such as best response to prior TKI, time since initial diagnosis, or their ECOG PS</w:t>
      </w:r>
      <w:r w:rsidR="00D17578" w:rsidRPr="00D17578">
        <w:rPr>
          <w:i/>
        </w:rPr>
        <w:t>.</w:t>
      </w:r>
      <w:bookmarkEnd w:id="32"/>
      <w:r w:rsidRPr="002B4570">
        <w:t xml:space="preserve"> </w:t>
      </w:r>
    </w:p>
    <w:p w14:paraId="61E0C602" w14:textId="5F6F4F0B" w:rsidR="00247925" w:rsidRPr="00B22BCB" w:rsidRDefault="00FB7591" w:rsidP="00EC5836">
      <w:pPr>
        <w:pStyle w:val="3-BodyText"/>
        <w:rPr>
          <w:color w:val="0066FF"/>
        </w:rPr>
      </w:pPr>
      <w:r w:rsidRPr="002B4570">
        <w:t xml:space="preserve">The submission did not perform an ITC with Giles </w:t>
      </w:r>
      <w:r w:rsidR="0038675B" w:rsidRPr="002B4570">
        <w:t xml:space="preserve">et al. </w:t>
      </w:r>
      <w:r w:rsidRPr="002B4570">
        <w:t xml:space="preserve">(2010) because they did not report the specific timepoint of analysis. The submission did not propose any non-inferiority </w:t>
      </w:r>
      <w:r w:rsidR="000F1E78" w:rsidRPr="002B4570">
        <w:t>margins</w:t>
      </w:r>
      <w:r w:rsidR="00861CF7" w:rsidRPr="002B4570">
        <w:t>.</w:t>
      </w:r>
    </w:p>
    <w:p w14:paraId="2CA1EEA3" w14:textId="2ED229F4" w:rsidR="005C0650" w:rsidRPr="00B22BCB" w:rsidRDefault="005C0650" w:rsidP="005C0650">
      <w:pPr>
        <w:pStyle w:val="TableFigureHeading"/>
      </w:pPr>
      <w:bookmarkStart w:id="33" w:name="_Ref102930367"/>
      <w:r w:rsidRPr="00B22BCB">
        <w:t xml:space="preserve">Table </w:t>
      </w:r>
      <w:r w:rsidR="00CA52C1">
        <w:fldChar w:fldCharType="begin"/>
      </w:r>
      <w:r w:rsidR="00CA52C1">
        <w:instrText xml:space="preserve"> SEQ Table \* ARABIC </w:instrText>
      </w:r>
      <w:r w:rsidR="00CA52C1">
        <w:fldChar w:fldCharType="separate"/>
      </w:r>
      <w:r w:rsidR="00A914F4">
        <w:rPr>
          <w:noProof/>
        </w:rPr>
        <w:t>7</w:t>
      </w:r>
      <w:r w:rsidR="00CA52C1">
        <w:rPr>
          <w:noProof/>
        </w:rPr>
        <w:fldChar w:fldCharType="end"/>
      </w:r>
      <w:bookmarkEnd w:id="33"/>
      <w:r w:rsidRPr="00B22BCB">
        <w:t xml:space="preserve">: </w:t>
      </w:r>
      <w:r w:rsidR="00E9298A">
        <w:t>Unadjusted, unanchored</w:t>
      </w:r>
      <w:r w:rsidR="00E9298A" w:rsidRPr="00B22BCB">
        <w:t xml:space="preserve"> </w:t>
      </w:r>
      <w:r w:rsidRPr="00B22BCB">
        <w:t>comparison: Cumulative MMR rates, ASCEMBL ITT primary analysis vs</w:t>
      </w:r>
      <w:r w:rsidR="00BB78E3" w:rsidRPr="00B22BCB">
        <w:t xml:space="preserve"> </w:t>
      </w:r>
      <w:r w:rsidR="00E2505B" w:rsidRPr="00B22BCB">
        <w:t>nilotinib</w:t>
      </w:r>
      <w:r w:rsidRPr="00B22BCB">
        <w:t xml:space="preserve"> </w:t>
      </w:r>
      <w:r w:rsidR="00BB78E3" w:rsidRPr="00B22BCB">
        <w:t>(</w:t>
      </w:r>
      <w:r w:rsidRPr="00B22BCB">
        <w:t>ENACT French subgroup</w:t>
      </w:r>
      <w:r w:rsidR="00BB78E3" w:rsidRPr="00B22BCB">
        <w:t>)</w:t>
      </w:r>
    </w:p>
    <w:tbl>
      <w:tblPr>
        <w:tblStyle w:val="TableGrid"/>
        <w:tblW w:w="5000" w:type="pct"/>
        <w:tblLook w:val="04A0" w:firstRow="1" w:lastRow="0" w:firstColumn="1" w:lastColumn="0" w:noHBand="0" w:noVBand="1"/>
      </w:tblPr>
      <w:tblGrid>
        <w:gridCol w:w="1272"/>
        <w:gridCol w:w="1134"/>
        <w:gridCol w:w="1134"/>
        <w:gridCol w:w="1825"/>
        <w:gridCol w:w="1827"/>
        <w:gridCol w:w="1825"/>
      </w:tblGrid>
      <w:tr w:rsidR="005C0650" w:rsidRPr="00B22BCB" w14:paraId="31B7BB66" w14:textId="77777777" w:rsidTr="00E135C1">
        <w:tc>
          <w:tcPr>
            <w:tcW w:w="705" w:type="pct"/>
            <w:tcBorders>
              <w:bottom w:val="single" w:sz="4" w:space="0" w:color="auto"/>
            </w:tcBorders>
            <w:shd w:val="clear" w:color="auto" w:fill="auto"/>
          </w:tcPr>
          <w:p w14:paraId="65DD2784" w14:textId="77777777" w:rsidR="00E135C1" w:rsidRDefault="005C0650" w:rsidP="00FB7591">
            <w:pPr>
              <w:pStyle w:val="Tableheading0"/>
              <w:jc w:val="left"/>
              <w:rPr>
                <w:rFonts w:ascii="Arial Narrow" w:hAnsi="Arial Narrow"/>
              </w:rPr>
            </w:pPr>
            <w:r w:rsidRPr="00B22BCB">
              <w:rPr>
                <w:rFonts w:ascii="Arial Narrow" w:hAnsi="Arial Narrow"/>
              </w:rPr>
              <w:t>Outcomes/</w:t>
            </w:r>
          </w:p>
          <w:p w14:paraId="5B4CABF8" w14:textId="4AFCF8AF" w:rsidR="005C0650" w:rsidRPr="00B22BCB" w:rsidRDefault="005C0650" w:rsidP="00FB7591">
            <w:pPr>
              <w:pStyle w:val="Tableheading0"/>
              <w:jc w:val="left"/>
              <w:rPr>
                <w:rFonts w:ascii="Arial Narrow" w:hAnsi="Arial Narrow"/>
              </w:rPr>
            </w:pPr>
            <w:r w:rsidRPr="00B22BCB">
              <w:rPr>
                <w:rFonts w:ascii="Arial Narrow" w:hAnsi="Arial Narrow"/>
              </w:rPr>
              <w:t>Timepoint</w:t>
            </w:r>
          </w:p>
        </w:tc>
        <w:tc>
          <w:tcPr>
            <w:tcW w:w="629" w:type="pct"/>
            <w:tcBorders>
              <w:bottom w:val="single" w:sz="4" w:space="0" w:color="auto"/>
            </w:tcBorders>
            <w:shd w:val="clear" w:color="auto" w:fill="auto"/>
          </w:tcPr>
          <w:p w14:paraId="4EFFA619" w14:textId="438C47BA" w:rsidR="005C0650" w:rsidRDefault="005C0650" w:rsidP="00B913C3">
            <w:pPr>
              <w:pStyle w:val="Tableheading0"/>
              <w:rPr>
                <w:rFonts w:ascii="Arial Narrow" w:hAnsi="Arial Narrow"/>
              </w:rPr>
            </w:pPr>
            <w:r w:rsidRPr="00B22BCB">
              <w:rPr>
                <w:rFonts w:ascii="Arial Narrow" w:hAnsi="Arial Narrow"/>
              </w:rPr>
              <w:t>Asciminib</w:t>
            </w:r>
          </w:p>
          <w:p w14:paraId="77A889BA" w14:textId="1FC466A1" w:rsidR="00B913C3" w:rsidRDefault="00B913C3" w:rsidP="00B913C3">
            <w:pPr>
              <w:pStyle w:val="Tableheading0"/>
              <w:rPr>
                <w:rFonts w:ascii="Arial Narrow" w:hAnsi="Arial Narrow"/>
              </w:rPr>
            </w:pPr>
            <w:r>
              <w:rPr>
                <w:rFonts w:ascii="Arial Narrow" w:hAnsi="Arial Narrow"/>
              </w:rPr>
              <w:t>N</w:t>
            </w:r>
          </w:p>
          <w:p w14:paraId="276E313F" w14:textId="2412A6CB" w:rsidR="00B913C3" w:rsidRPr="00B22BCB" w:rsidRDefault="00B913C3" w:rsidP="00B913C3">
            <w:pPr>
              <w:pStyle w:val="Tableheading0"/>
              <w:rPr>
                <w:rFonts w:ascii="Arial Narrow" w:hAnsi="Arial Narrow"/>
              </w:rPr>
            </w:pPr>
            <w:r>
              <w:rPr>
                <w:rFonts w:ascii="Arial Narrow" w:hAnsi="Arial Narrow"/>
              </w:rPr>
              <w:t>n (%)</w:t>
            </w:r>
          </w:p>
        </w:tc>
        <w:tc>
          <w:tcPr>
            <w:tcW w:w="629" w:type="pct"/>
            <w:tcBorders>
              <w:bottom w:val="single" w:sz="4" w:space="0" w:color="auto"/>
            </w:tcBorders>
            <w:shd w:val="clear" w:color="auto" w:fill="auto"/>
          </w:tcPr>
          <w:p w14:paraId="4D346AC5" w14:textId="77777777" w:rsidR="005C0650" w:rsidRDefault="005C0650" w:rsidP="00B913C3">
            <w:pPr>
              <w:pStyle w:val="Tableheading0"/>
              <w:rPr>
                <w:rFonts w:ascii="Arial Narrow" w:hAnsi="Arial Narrow"/>
              </w:rPr>
            </w:pPr>
            <w:r w:rsidRPr="00B22BCB">
              <w:rPr>
                <w:rFonts w:ascii="Arial Narrow" w:hAnsi="Arial Narrow"/>
              </w:rPr>
              <w:t>Nilotinib</w:t>
            </w:r>
          </w:p>
          <w:p w14:paraId="6EF0F136" w14:textId="77777777" w:rsidR="00B913C3" w:rsidRDefault="00B913C3" w:rsidP="00B913C3">
            <w:pPr>
              <w:pStyle w:val="Tableheading0"/>
              <w:rPr>
                <w:rFonts w:ascii="Arial Narrow" w:hAnsi="Arial Narrow"/>
              </w:rPr>
            </w:pPr>
            <w:r>
              <w:rPr>
                <w:rFonts w:ascii="Arial Narrow" w:hAnsi="Arial Narrow"/>
              </w:rPr>
              <w:t>N</w:t>
            </w:r>
          </w:p>
          <w:p w14:paraId="496403CB" w14:textId="2C62A92B" w:rsidR="00B913C3" w:rsidRPr="00B22BCB" w:rsidRDefault="00B913C3" w:rsidP="00B913C3">
            <w:pPr>
              <w:pStyle w:val="Tableheading0"/>
              <w:rPr>
                <w:rFonts w:ascii="Arial Narrow" w:hAnsi="Arial Narrow"/>
              </w:rPr>
            </w:pPr>
            <w:r>
              <w:rPr>
                <w:rFonts w:ascii="Arial Narrow" w:hAnsi="Arial Narrow"/>
              </w:rPr>
              <w:t>n (%)</w:t>
            </w:r>
          </w:p>
        </w:tc>
        <w:tc>
          <w:tcPr>
            <w:tcW w:w="1012" w:type="pct"/>
            <w:tcBorders>
              <w:bottom w:val="single" w:sz="4" w:space="0" w:color="auto"/>
            </w:tcBorders>
            <w:shd w:val="clear" w:color="auto" w:fill="auto"/>
          </w:tcPr>
          <w:p w14:paraId="119BDD4A" w14:textId="77777777" w:rsidR="005C0650" w:rsidRDefault="00FB7591" w:rsidP="00B913C3">
            <w:pPr>
              <w:pStyle w:val="Tableheading0"/>
              <w:rPr>
                <w:rFonts w:ascii="Arial Narrow" w:hAnsi="Arial Narrow"/>
              </w:rPr>
            </w:pPr>
            <w:r w:rsidRPr="00B22BCB">
              <w:rPr>
                <w:rFonts w:ascii="Arial Narrow" w:hAnsi="Arial Narrow"/>
              </w:rPr>
              <w:t xml:space="preserve">Unadjusted </w:t>
            </w:r>
            <w:r w:rsidR="005C0650" w:rsidRPr="00B22BCB">
              <w:rPr>
                <w:rFonts w:ascii="Arial Narrow" w:hAnsi="Arial Narrow"/>
              </w:rPr>
              <w:t>OR (95% CI)</w:t>
            </w:r>
            <w:r w:rsidR="00466440" w:rsidRPr="00B22BCB">
              <w:rPr>
                <w:rFonts w:ascii="Arial Narrow" w:hAnsi="Arial Narrow"/>
                <w:vertAlign w:val="superscript"/>
              </w:rPr>
              <w:t>a</w:t>
            </w:r>
          </w:p>
          <w:p w14:paraId="1CF26EA5" w14:textId="18D4B8BD" w:rsidR="00B913C3" w:rsidRPr="00B913C3" w:rsidRDefault="00B913C3" w:rsidP="00B913C3">
            <w:pPr>
              <w:pStyle w:val="Tableheading0"/>
              <w:rPr>
                <w:rFonts w:ascii="Arial Narrow" w:hAnsi="Arial Narrow"/>
              </w:rPr>
            </w:pPr>
            <w:r>
              <w:rPr>
                <w:rFonts w:ascii="Arial Narrow" w:hAnsi="Arial Narrow"/>
              </w:rPr>
              <w:t>P-value</w:t>
            </w:r>
          </w:p>
        </w:tc>
        <w:tc>
          <w:tcPr>
            <w:tcW w:w="1013" w:type="pct"/>
            <w:tcBorders>
              <w:bottom w:val="single" w:sz="4" w:space="0" w:color="auto"/>
            </w:tcBorders>
            <w:shd w:val="clear" w:color="auto" w:fill="auto"/>
          </w:tcPr>
          <w:p w14:paraId="3734F69F" w14:textId="54CC7961" w:rsidR="00B913C3" w:rsidRDefault="00FB7591" w:rsidP="00B913C3">
            <w:pPr>
              <w:pStyle w:val="Tableheading0"/>
              <w:rPr>
                <w:rFonts w:ascii="Arial Narrow" w:hAnsi="Arial Narrow"/>
              </w:rPr>
            </w:pPr>
            <w:r w:rsidRPr="00B22BCB">
              <w:rPr>
                <w:rFonts w:ascii="Arial Narrow" w:hAnsi="Arial Narrow"/>
              </w:rPr>
              <w:t>Unadjusted</w:t>
            </w:r>
            <w:r w:rsidR="00B913C3">
              <w:rPr>
                <w:rFonts w:ascii="Arial Narrow" w:hAnsi="Arial Narrow"/>
              </w:rPr>
              <w:t xml:space="preserve"> RR</w:t>
            </w:r>
            <w:r w:rsidR="005C0650" w:rsidRPr="00B22BCB">
              <w:rPr>
                <w:rFonts w:ascii="Arial Narrow" w:hAnsi="Arial Narrow"/>
              </w:rPr>
              <w:t xml:space="preserve"> </w:t>
            </w:r>
          </w:p>
          <w:p w14:paraId="65A234E4" w14:textId="16D652D8" w:rsidR="005C0650" w:rsidRDefault="005C0650" w:rsidP="00B913C3">
            <w:pPr>
              <w:pStyle w:val="Tableheading0"/>
              <w:rPr>
                <w:rFonts w:ascii="Arial Narrow" w:hAnsi="Arial Narrow"/>
              </w:rPr>
            </w:pPr>
            <w:r w:rsidRPr="00B22BCB">
              <w:rPr>
                <w:rFonts w:ascii="Arial Narrow" w:hAnsi="Arial Narrow"/>
              </w:rPr>
              <w:t>(95% CI)</w:t>
            </w:r>
            <w:r w:rsidR="00466440" w:rsidRPr="00B22BCB">
              <w:rPr>
                <w:rFonts w:ascii="Arial Narrow" w:hAnsi="Arial Narrow"/>
                <w:vertAlign w:val="superscript"/>
              </w:rPr>
              <w:t>a</w:t>
            </w:r>
          </w:p>
          <w:p w14:paraId="1B8B7900" w14:textId="7A4A7E25" w:rsidR="00B913C3" w:rsidRPr="00B913C3" w:rsidRDefault="00B913C3" w:rsidP="00B913C3">
            <w:pPr>
              <w:pStyle w:val="Tableheading0"/>
              <w:rPr>
                <w:rFonts w:ascii="Arial Narrow" w:hAnsi="Arial Narrow"/>
              </w:rPr>
            </w:pPr>
            <w:r>
              <w:rPr>
                <w:rFonts w:ascii="Arial Narrow" w:hAnsi="Arial Narrow"/>
              </w:rPr>
              <w:t>P-value</w:t>
            </w:r>
          </w:p>
        </w:tc>
        <w:tc>
          <w:tcPr>
            <w:tcW w:w="1012" w:type="pct"/>
            <w:tcBorders>
              <w:bottom w:val="single" w:sz="4" w:space="0" w:color="auto"/>
            </w:tcBorders>
            <w:shd w:val="clear" w:color="auto" w:fill="auto"/>
          </w:tcPr>
          <w:p w14:paraId="26E269AC" w14:textId="77777777" w:rsidR="00B913C3" w:rsidRDefault="00FB7591" w:rsidP="00B913C3">
            <w:pPr>
              <w:pStyle w:val="Tableheading0"/>
              <w:rPr>
                <w:rFonts w:ascii="Arial Narrow" w:hAnsi="Arial Narrow"/>
              </w:rPr>
            </w:pPr>
            <w:r w:rsidRPr="00B22BCB">
              <w:rPr>
                <w:rFonts w:ascii="Arial Narrow" w:hAnsi="Arial Narrow"/>
              </w:rPr>
              <w:t>Unadjusted</w:t>
            </w:r>
            <w:r w:rsidR="00B913C3">
              <w:rPr>
                <w:rFonts w:ascii="Arial Narrow" w:hAnsi="Arial Narrow"/>
              </w:rPr>
              <w:t xml:space="preserve"> RD</w:t>
            </w:r>
          </w:p>
          <w:p w14:paraId="34FACE93" w14:textId="77777777" w:rsidR="005C0650" w:rsidRDefault="005C0650" w:rsidP="00B913C3">
            <w:pPr>
              <w:pStyle w:val="Tableheading0"/>
              <w:rPr>
                <w:rFonts w:ascii="Arial Narrow" w:hAnsi="Arial Narrow"/>
              </w:rPr>
            </w:pPr>
            <w:r w:rsidRPr="00B22BCB">
              <w:rPr>
                <w:rFonts w:ascii="Arial Narrow" w:hAnsi="Arial Narrow"/>
              </w:rPr>
              <w:t>(95% CI)</w:t>
            </w:r>
            <w:r w:rsidR="00466440" w:rsidRPr="00B22BCB">
              <w:rPr>
                <w:rFonts w:ascii="Arial Narrow" w:hAnsi="Arial Narrow"/>
                <w:vertAlign w:val="superscript"/>
              </w:rPr>
              <w:t>a</w:t>
            </w:r>
          </w:p>
          <w:p w14:paraId="50ADAC4C" w14:textId="4CFC4EF3" w:rsidR="00B913C3" w:rsidRPr="00B913C3" w:rsidRDefault="00B913C3" w:rsidP="00B913C3">
            <w:pPr>
              <w:pStyle w:val="Tableheading0"/>
              <w:rPr>
                <w:rFonts w:ascii="Arial Narrow" w:hAnsi="Arial Narrow"/>
              </w:rPr>
            </w:pPr>
            <w:r>
              <w:rPr>
                <w:rFonts w:ascii="Arial Narrow" w:hAnsi="Arial Narrow"/>
              </w:rPr>
              <w:t>P-value</w:t>
            </w:r>
          </w:p>
        </w:tc>
      </w:tr>
      <w:tr w:rsidR="005C0650" w:rsidRPr="00B22BCB" w14:paraId="51F2D053" w14:textId="77777777" w:rsidTr="00D428E6">
        <w:tc>
          <w:tcPr>
            <w:tcW w:w="5000" w:type="pct"/>
            <w:gridSpan w:val="6"/>
            <w:tcBorders>
              <w:top w:val="single" w:sz="4" w:space="0" w:color="auto"/>
              <w:bottom w:val="nil"/>
            </w:tcBorders>
            <w:shd w:val="clear" w:color="auto" w:fill="auto"/>
          </w:tcPr>
          <w:p w14:paraId="709CFF16" w14:textId="77777777" w:rsidR="005C0650" w:rsidRPr="00B22BCB" w:rsidRDefault="005C0650" w:rsidP="00B76BAF">
            <w:pPr>
              <w:pStyle w:val="Btable"/>
              <w:rPr>
                <w:rFonts w:ascii="Arial Narrow" w:hAnsi="Arial Narrow"/>
              </w:rPr>
            </w:pPr>
            <w:r w:rsidRPr="00B22BCB">
              <w:rPr>
                <w:rFonts w:ascii="Arial Narrow" w:hAnsi="Arial Narrow"/>
              </w:rPr>
              <w:t>Asciminib (</w:t>
            </w:r>
            <w:r w:rsidRPr="00B22BCB">
              <w:rPr>
                <w:rFonts w:ascii="Arial Narrow" w:hAnsi="Arial Narrow" w:cs="Calibri"/>
              </w:rPr>
              <w:t>≥</w:t>
            </w:r>
            <w:r w:rsidRPr="00B22BCB">
              <w:rPr>
                <w:rFonts w:ascii="Arial Narrow" w:hAnsi="Arial Narrow"/>
              </w:rPr>
              <w:t xml:space="preserve"> 2 prior TKIs) vs French CML-CP ENACT (</w:t>
            </w:r>
            <w:r w:rsidRPr="00B22BCB">
              <w:rPr>
                <w:rFonts w:ascii="Arial Narrow" w:hAnsi="Arial Narrow" w:cs="Calibri"/>
              </w:rPr>
              <w:t>≥</w:t>
            </w:r>
            <w:r w:rsidRPr="00B22BCB">
              <w:rPr>
                <w:rFonts w:ascii="Arial Narrow" w:hAnsi="Arial Narrow"/>
              </w:rPr>
              <w:t xml:space="preserve"> 1 prior TKI)</w:t>
            </w:r>
          </w:p>
        </w:tc>
      </w:tr>
      <w:tr w:rsidR="005C0650" w:rsidRPr="00B22BCB" w14:paraId="7BB92E31" w14:textId="77777777" w:rsidTr="00E135C1">
        <w:tc>
          <w:tcPr>
            <w:tcW w:w="705" w:type="pct"/>
            <w:tcBorders>
              <w:top w:val="single" w:sz="4" w:space="0" w:color="auto"/>
              <w:bottom w:val="single" w:sz="4" w:space="0" w:color="auto"/>
            </w:tcBorders>
            <w:shd w:val="clear" w:color="auto" w:fill="auto"/>
          </w:tcPr>
          <w:p w14:paraId="6B2ED831" w14:textId="77777777" w:rsidR="005C0650" w:rsidRPr="00B22BCB" w:rsidRDefault="005C0650" w:rsidP="00B76BAF">
            <w:pPr>
              <w:pStyle w:val="Tabletext"/>
              <w:rPr>
                <w:szCs w:val="20"/>
              </w:rPr>
            </w:pPr>
            <w:r w:rsidRPr="00B22BCB">
              <w:rPr>
                <w:szCs w:val="20"/>
              </w:rPr>
              <w:t>By 24 weeks (6 months)</w:t>
            </w:r>
          </w:p>
        </w:tc>
        <w:tc>
          <w:tcPr>
            <w:tcW w:w="629" w:type="pct"/>
            <w:tcBorders>
              <w:top w:val="single" w:sz="4" w:space="0" w:color="auto"/>
              <w:bottom w:val="single" w:sz="4" w:space="0" w:color="auto"/>
            </w:tcBorders>
            <w:shd w:val="clear" w:color="auto" w:fill="auto"/>
          </w:tcPr>
          <w:p w14:paraId="7F28BA0C" w14:textId="77777777" w:rsidR="005C0650" w:rsidRPr="00B22BCB" w:rsidRDefault="005C0650" w:rsidP="00B76BAF">
            <w:pPr>
              <w:pStyle w:val="Tablecentre"/>
              <w:rPr>
                <w:rFonts w:ascii="Arial Narrow" w:hAnsi="Arial Narrow"/>
              </w:rPr>
            </w:pPr>
            <w:r w:rsidRPr="00B22BCB">
              <w:rPr>
                <w:rFonts w:ascii="Arial Narrow" w:hAnsi="Arial Narrow"/>
              </w:rPr>
              <w:t>N = 157</w:t>
            </w:r>
          </w:p>
          <w:p w14:paraId="58764E14" w14:textId="77777777" w:rsidR="005C0650" w:rsidRPr="00B22BCB" w:rsidRDefault="005C0650" w:rsidP="00B76BAF">
            <w:pPr>
              <w:pStyle w:val="Tablecentre"/>
              <w:rPr>
                <w:rFonts w:ascii="Arial Narrow" w:hAnsi="Arial Narrow"/>
              </w:rPr>
            </w:pPr>
            <w:r w:rsidRPr="00B22BCB">
              <w:rPr>
                <w:rFonts w:ascii="Arial Narrow" w:hAnsi="Arial Narrow"/>
              </w:rPr>
              <w:t>43 (27.4)</w:t>
            </w:r>
          </w:p>
        </w:tc>
        <w:tc>
          <w:tcPr>
            <w:tcW w:w="629" w:type="pct"/>
            <w:tcBorders>
              <w:top w:val="single" w:sz="4" w:space="0" w:color="auto"/>
              <w:bottom w:val="single" w:sz="4" w:space="0" w:color="auto"/>
            </w:tcBorders>
            <w:shd w:val="clear" w:color="auto" w:fill="auto"/>
          </w:tcPr>
          <w:p w14:paraId="4D9E2883" w14:textId="77777777" w:rsidR="005C0650" w:rsidRPr="00B22BCB" w:rsidRDefault="005C0650" w:rsidP="00B76BAF">
            <w:pPr>
              <w:pStyle w:val="Tablecentre"/>
              <w:rPr>
                <w:rFonts w:ascii="Arial Narrow" w:hAnsi="Arial Narrow"/>
              </w:rPr>
            </w:pPr>
            <w:r w:rsidRPr="00B22BCB">
              <w:rPr>
                <w:rFonts w:ascii="Arial Narrow" w:hAnsi="Arial Narrow"/>
              </w:rPr>
              <w:t>N = 168</w:t>
            </w:r>
          </w:p>
          <w:p w14:paraId="4784FBDC" w14:textId="77777777" w:rsidR="005C0650" w:rsidRPr="00B22BCB" w:rsidRDefault="005C0650" w:rsidP="00B76BAF">
            <w:pPr>
              <w:pStyle w:val="Tablecentre"/>
              <w:rPr>
                <w:rFonts w:ascii="Arial Narrow" w:hAnsi="Arial Narrow"/>
              </w:rPr>
            </w:pPr>
            <w:r w:rsidRPr="00B22BCB">
              <w:rPr>
                <w:rFonts w:ascii="Arial Narrow" w:hAnsi="Arial Narrow"/>
              </w:rPr>
              <w:t>42 (25.0)</w:t>
            </w:r>
          </w:p>
        </w:tc>
        <w:tc>
          <w:tcPr>
            <w:tcW w:w="1012" w:type="pct"/>
            <w:tcBorders>
              <w:top w:val="single" w:sz="4" w:space="0" w:color="auto"/>
              <w:bottom w:val="single" w:sz="4" w:space="0" w:color="auto"/>
            </w:tcBorders>
            <w:shd w:val="clear" w:color="auto" w:fill="auto"/>
          </w:tcPr>
          <w:p w14:paraId="53BF11B2" w14:textId="3D8EEAA5" w:rsidR="005C0650" w:rsidRPr="00B22BCB" w:rsidRDefault="005C0650" w:rsidP="00E135C1">
            <w:pPr>
              <w:pStyle w:val="Tablecentre"/>
              <w:rPr>
                <w:rFonts w:ascii="Arial Narrow" w:hAnsi="Arial Narrow"/>
              </w:rPr>
            </w:pPr>
            <w:r w:rsidRPr="00B22BCB">
              <w:rPr>
                <w:rFonts w:ascii="Arial Narrow" w:hAnsi="Arial Narrow"/>
              </w:rPr>
              <w:t>1.13 (0.69, 1.86)</w:t>
            </w:r>
          </w:p>
          <w:p w14:paraId="6416AD48" w14:textId="77777777" w:rsidR="005C0650" w:rsidRPr="00B22BCB" w:rsidRDefault="005C0650" w:rsidP="00B76BAF">
            <w:pPr>
              <w:pStyle w:val="Tablecentre"/>
              <w:rPr>
                <w:rFonts w:ascii="Arial Narrow" w:hAnsi="Arial Narrow"/>
              </w:rPr>
            </w:pPr>
            <w:r w:rsidRPr="00B22BCB">
              <w:rPr>
                <w:rFonts w:ascii="Arial Narrow" w:hAnsi="Arial Narrow"/>
              </w:rPr>
              <w:t>P = 0.62</w:t>
            </w:r>
          </w:p>
        </w:tc>
        <w:tc>
          <w:tcPr>
            <w:tcW w:w="1013" w:type="pct"/>
            <w:tcBorders>
              <w:top w:val="single" w:sz="4" w:space="0" w:color="auto"/>
              <w:bottom w:val="single" w:sz="4" w:space="0" w:color="auto"/>
            </w:tcBorders>
            <w:shd w:val="clear" w:color="auto" w:fill="auto"/>
          </w:tcPr>
          <w:p w14:paraId="55029845" w14:textId="1BC6C959" w:rsidR="005C0650" w:rsidRPr="00B22BCB" w:rsidRDefault="005C0650" w:rsidP="00E135C1">
            <w:pPr>
              <w:pStyle w:val="Tablecentre"/>
              <w:rPr>
                <w:rFonts w:ascii="Arial Narrow" w:hAnsi="Arial Narrow"/>
              </w:rPr>
            </w:pPr>
            <w:r w:rsidRPr="00B22BCB">
              <w:rPr>
                <w:rFonts w:ascii="Arial Narrow" w:hAnsi="Arial Narrow"/>
              </w:rPr>
              <w:t>1.10 (0.76, 1.58)</w:t>
            </w:r>
          </w:p>
          <w:p w14:paraId="5F98653B" w14:textId="77777777" w:rsidR="005C0650" w:rsidRPr="00B22BCB" w:rsidRDefault="005C0650" w:rsidP="00B76BAF">
            <w:pPr>
              <w:pStyle w:val="Tablecentre"/>
              <w:rPr>
                <w:rFonts w:ascii="Arial Narrow" w:hAnsi="Arial Narrow"/>
              </w:rPr>
            </w:pPr>
            <w:r w:rsidRPr="00B22BCB">
              <w:rPr>
                <w:rFonts w:ascii="Arial Narrow" w:hAnsi="Arial Narrow"/>
              </w:rPr>
              <w:t>P = 0.62</w:t>
            </w:r>
          </w:p>
        </w:tc>
        <w:tc>
          <w:tcPr>
            <w:tcW w:w="1012" w:type="pct"/>
            <w:tcBorders>
              <w:top w:val="single" w:sz="4" w:space="0" w:color="auto"/>
              <w:bottom w:val="single" w:sz="4" w:space="0" w:color="auto"/>
            </w:tcBorders>
            <w:shd w:val="clear" w:color="auto" w:fill="auto"/>
          </w:tcPr>
          <w:p w14:paraId="7470844A" w14:textId="02EC7C81" w:rsidR="005C0650" w:rsidRPr="00B22BCB" w:rsidRDefault="005C0650" w:rsidP="00E135C1">
            <w:pPr>
              <w:pStyle w:val="Tablecentre"/>
              <w:rPr>
                <w:rFonts w:ascii="Arial Narrow" w:hAnsi="Arial Narrow"/>
              </w:rPr>
            </w:pPr>
            <w:r w:rsidRPr="00B22BCB">
              <w:rPr>
                <w:rFonts w:ascii="Arial Narrow" w:hAnsi="Arial Narrow"/>
              </w:rPr>
              <w:t>0.02 (-0.07, 0.12)</w:t>
            </w:r>
          </w:p>
          <w:p w14:paraId="1B8FEE64" w14:textId="77777777" w:rsidR="005C0650" w:rsidRPr="00B22BCB" w:rsidRDefault="005C0650" w:rsidP="00B76BAF">
            <w:pPr>
              <w:pStyle w:val="Tablecentre"/>
              <w:rPr>
                <w:rFonts w:ascii="Arial Narrow" w:hAnsi="Arial Narrow"/>
              </w:rPr>
            </w:pPr>
            <w:r w:rsidRPr="00B22BCB">
              <w:rPr>
                <w:rFonts w:ascii="Arial Narrow" w:hAnsi="Arial Narrow"/>
              </w:rPr>
              <w:t>P = 0.62</w:t>
            </w:r>
          </w:p>
        </w:tc>
      </w:tr>
      <w:tr w:rsidR="005C0650" w:rsidRPr="00B22BCB" w14:paraId="44AEE6F8" w14:textId="77777777" w:rsidTr="00E135C1">
        <w:tc>
          <w:tcPr>
            <w:tcW w:w="705" w:type="pct"/>
            <w:tcBorders>
              <w:top w:val="single" w:sz="4" w:space="0" w:color="auto"/>
              <w:bottom w:val="single" w:sz="4" w:space="0" w:color="auto"/>
            </w:tcBorders>
            <w:shd w:val="clear" w:color="auto" w:fill="auto"/>
          </w:tcPr>
          <w:p w14:paraId="0A2E1307" w14:textId="77777777" w:rsidR="005C0650" w:rsidRPr="00B22BCB" w:rsidRDefault="005C0650" w:rsidP="00B76BAF">
            <w:pPr>
              <w:pStyle w:val="Tabletext"/>
              <w:rPr>
                <w:szCs w:val="20"/>
              </w:rPr>
            </w:pPr>
            <w:r w:rsidRPr="00B22BCB">
              <w:rPr>
                <w:szCs w:val="20"/>
              </w:rPr>
              <w:t>By 48 weeks (12 months)</w:t>
            </w:r>
          </w:p>
        </w:tc>
        <w:tc>
          <w:tcPr>
            <w:tcW w:w="629" w:type="pct"/>
            <w:tcBorders>
              <w:top w:val="single" w:sz="4" w:space="0" w:color="auto"/>
              <w:bottom w:val="single" w:sz="4" w:space="0" w:color="auto"/>
            </w:tcBorders>
            <w:shd w:val="clear" w:color="auto" w:fill="auto"/>
          </w:tcPr>
          <w:p w14:paraId="249CA586" w14:textId="77777777" w:rsidR="005C0650" w:rsidRPr="00B22BCB" w:rsidRDefault="005C0650" w:rsidP="00B76BAF">
            <w:pPr>
              <w:pStyle w:val="Tablecentre"/>
              <w:rPr>
                <w:rFonts w:ascii="Arial Narrow" w:hAnsi="Arial Narrow"/>
              </w:rPr>
            </w:pPr>
            <w:r w:rsidRPr="00B22BCB">
              <w:rPr>
                <w:rFonts w:ascii="Arial Narrow" w:hAnsi="Arial Narrow"/>
              </w:rPr>
              <w:t>N = 157</w:t>
            </w:r>
          </w:p>
          <w:p w14:paraId="2886BF14" w14:textId="77777777" w:rsidR="005C0650" w:rsidRPr="00B22BCB" w:rsidRDefault="005C0650" w:rsidP="00B76BAF">
            <w:pPr>
              <w:pStyle w:val="Tablecentre"/>
              <w:rPr>
                <w:rFonts w:ascii="Arial Narrow" w:hAnsi="Arial Narrow"/>
              </w:rPr>
            </w:pPr>
            <w:r w:rsidRPr="00B22BCB">
              <w:rPr>
                <w:rFonts w:ascii="Arial Narrow" w:hAnsi="Arial Narrow"/>
              </w:rPr>
              <w:t>55 (35.0)</w:t>
            </w:r>
          </w:p>
        </w:tc>
        <w:tc>
          <w:tcPr>
            <w:tcW w:w="629" w:type="pct"/>
            <w:tcBorders>
              <w:top w:val="single" w:sz="4" w:space="0" w:color="auto"/>
              <w:bottom w:val="single" w:sz="4" w:space="0" w:color="auto"/>
            </w:tcBorders>
            <w:shd w:val="clear" w:color="auto" w:fill="auto"/>
          </w:tcPr>
          <w:p w14:paraId="545D1AFC" w14:textId="77777777" w:rsidR="005C0650" w:rsidRPr="00B22BCB" w:rsidRDefault="005C0650" w:rsidP="00B76BAF">
            <w:pPr>
              <w:pStyle w:val="Tablecentre"/>
              <w:rPr>
                <w:rFonts w:ascii="Arial Narrow" w:hAnsi="Arial Narrow"/>
              </w:rPr>
            </w:pPr>
            <w:r w:rsidRPr="00B22BCB">
              <w:rPr>
                <w:rFonts w:ascii="Arial Narrow" w:hAnsi="Arial Narrow"/>
              </w:rPr>
              <w:t>N = 168</w:t>
            </w:r>
          </w:p>
          <w:p w14:paraId="12E122A5" w14:textId="77777777" w:rsidR="005C0650" w:rsidRPr="00B22BCB" w:rsidRDefault="005C0650" w:rsidP="00B76BAF">
            <w:pPr>
              <w:pStyle w:val="Tablecentre"/>
              <w:rPr>
                <w:rFonts w:ascii="Arial Narrow" w:hAnsi="Arial Narrow"/>
              </w:rPr>
            </w:pPr>
            <w:r w:rsidRPr="00B22BCB">
              <w:rPr>
                <w:rFonts w:ascii="Arial Narrow" w:hAnsi="Arial Narrow"/>
              </w:rPr>
              <w:t>62 (36.9)</w:t>
            </w:r>
          </w:p>
        </w:tc>
        <w:tc>
          <w:tcPr>
            <w:tcW w:w="1012" w:type="pct"/>
            <w:tcBorders>
              <w:top w:val="single" w:sz="4" w:space="0" w:color="auto"/>
              <w:bottom w:val="single" w:sz="4" w:space="0" w:color="auto"/>
            </w:tcBorders>
            <w:shd w:val="clear" w:color="auto" w:fill="auto"/>
          </w:tcPr>
          <w:p w14:paraId="61FAD966" w14:textId="2ECC97BB" w:rsidR="005C0650" w:rsidRPr="00B22BCB" w:rsidRDefault="005C0650" w:rsidP="00E135C1">
            <w:pPr>
              <w:pStyle w:val="Tablecentre"/>
              <w:rPr>
                <w:rFonts w:ascii="Arial Narrow" w:hAnsi="Arial Narrow"/>
              </w:rPr>
            </w:pPr>
            <w:r w:rsidRPr="00B22BCB">
              <w:rPr>
                <w:rFonts w:ascii="Arial Narrow" w:hAnsi="Arial Narrow"/>
              </w:rPr>
              <w:t>0.92 (0.59, 1.45)</w:t>
            </w:r>
          </w:p>
          <w:p w14:paraId="6F730681" w14:textId="77777777" w:rsidR="005C0650" w:rsidRPr="00B22BCB" w:rsidRDefault="005C0650" w:rsidP="00B76BAF">
            <w:pPr>
              <w:pStyle w:val="Tablecentre"/>
              <w:rPr>
                <w:rFonts w:ascii="Arial Narrow" w:hAnsi="Arial Narrow"/>
              </w:rPr>
            </w:pPr>
            <w:r w:rsidRPr="00B22BCB">
              <w:rPr>
                <w:rFonts w:ascii="Arial Narrow" w:hAnsi="Arial Narrow"/>
              </w:rPr>
              <w:t>P = 0.73</w:t>
            </w:r>
          </w:p>
        </w:tc>
        <w:tc>
          <w:tcPr>
            <w:tcW w:w="1013" w:type="pct"/>
            <w:tcBorders>
              <w:top w:val="single" w:sz="4" w:space="0" w:color="auto"/>
              <w:bottom w:val="single" w:sz="4" w:space="0" w:color="auto"/>
            </w:tcBorders>
            <w:shd w:val="clear" w:color="auto" w:fill="auto"/>
          </w:tcPr>
          <w:p w14:paraId="2ACD64A5" w14:textId="77777777" w:rsidR="005C0650" w:rsidRPr="00B22BCB" w:rsidRDefault="005C0650" w:rsidP="00B76BAF">
            <w:pPr>
              <w:pStyle w:val="Tablecentre"/>
              <w:rPr>
                <w:rFonts w:ascii="Arial Narrow" w:hAnsi="Arial Narrow"/>
              </w:rPr>
            </w:pPr>
            <w:r w:rsidRPr="00B22BCB">
              <w:rPr>
                <w:rFonts w:ascii="Arial Narrow" w:hAnsi="Arial Narrow"/>
              </w:rPr>
              <w:t>0.95 (0.71, 1.27)</w:t>
            </w:r>
          </w:p>
          <w:p w14:paraId="249AE96E" w14:textId="77777777" w:rsidR="005C0650" w:rsidRPr="00B22BCB" w:rsidRDefault="005C0650" w:rsidP="00B76BAF">
            <w:pPr>
              <w:pStyle w:val="Tablecentre"/>
              <w:rPr>
                <w:rFonts w:ascii="Arial Narrow" w:hAnsi="Arial Narrow"/>
              </w:rPr>
            </w:pPr>
            <w:r w:rsidRPr="00B22BCB">
              <w:rPr>
                <w:rFonts w:ascii="Arial Narrow" w:hAnsi="Arial Narrow"/>
              </w:rPr>
              <w:t>P = 0.73</w:t>
            </w:r>
          </w:p>
        </w:tc>
        <w:tc>
          <w:tcPr>
            <w:tcW w:w="1012" w:type="pct"/>
            <w:tcBorders>
              <w:top w:val="single" w:sz="4" w:space="0" w:color="auto"/>
              <w:bottom w:val="single" w:sz="4" w:space="0" w:color="auto"/>
            </w:tcBorders>
            <w:shd w:val="clear" w:color="auto" w:fill="auto"/>
          </w:tcPr>
          <w:p w14:paraId="65F9F27B" w14:textId="77777777" w:rsidR="005C0650" w:rsidRPr="00B22BCB" w:rsidRDefault="005C0650" w:rsidP="00B76BAF">
            <w:pPr>
              <w:pStyle w:val="Tablecentre"/>
              <w:rPr>
                <w:rFonts w:ascii="Arial Narrow" w:hAnsi="Arial Narrow"/>
              </w:rPr>
            </w:pPr>
            <w:r w:rsidRPr="00B22BCB">
              <w:rPr>
                <w:rFonts w:ascii="Arial Narrow" w:hAnsi="Arial Narrow"/>
              </w:rPr>
              <w:t>-0.02 (-0.12, 0.09)</w:t>
            </w:r>
          </w:p>
          <w:p w14:paraId="40D84A80" w14:textId="77777777" w:rsidR="005C0650" w:rsidRPr="00B22BCB" w:rsidRDefault="005C0650" w:rsidP="00B76BAF">
            <w:pPr>
              <w:pStyle w:val="Tablecentre"/>
              <w:rPr>
                <w:rFonts w:ascii="Arial Narrow" w:hAnsi="Arial Narrow"/>
              </w:rPr>
            </w:pPr>
            <w:r w:rsidRPr="00B22BCB">
              <w:rPr>
                <w:rFonts w:ascii="Arial Narrow" w:hAnsi="Arial Narrow"/>
              </w:rPr>
              <w:t>P = 0.73</w:t>
            </w:r>
          </w:p>
        </w:tc>
      </w:tr>
      <w:tr w:rsidR="005C0650" w:rsidRPr="00B22BCB" w14:paraId="0DB5291B" w14:textId="77777777" w:rsidTr="00D428E6">
        <w:tc>
          <w:tcPr>
            <w:tcW w:w="5000" w:type="pct"/>
            <w:gridSpan w:val="6"/>
            <w:tcBorders>
              <w:top w:val="single" w:sz="4" w:space="0" w:color="auto"/>
              <w:bottom w:val="single" w:sz="4" w:space="0" w:color="auto"/>
            </w:tcBorders>
            <w:shd w:val="clear" w:color="auto" w:fill="auto"/>
          </w:tcPr>
          <w:p w14:paraId="04DF831A" w14:textId="77777777" w:rsidR="005C0650" w:rsidRPr="00B22BCB" w:rsidRDefault="005C0650" w:rsidP="00B76BAF">
            <w:pPr>
              <w:pStyle w:val="Btable"/>
              <w:rPr>
                <w:rFonts w:ascii="Arial Narrow" w:hAnsi="Arial Narrow"/>
              </w:rPr>
            </w:pPr>
            <w:r w:rsidRPr="00B22BCB">
              <w:rPr>
                <w:rFonts w:ascii="Arial Narrow" w:hAnsi="Arial Narrow"/>
              </w:rPr>
              <w:t>Asciminib (2 prior TKIs) vs French CML-CP ENACT (</w:t>
            </w:r>
            <w:r w:rsidRPr="00B22BCB">
              <w:rPr>
                <w:rFonts w:ascii="Arial Narrow" w:hAnsi="Arial Narrow" w:cs="Calibri"/>
              </w:rPr>
              <w:t>≥</w:t>
            </w:r>
            <w:r w:rsidRPr="00B22BCB">
              <w:rPr>
                <w:rFonts w:ascii="Arial Narrow" w:hAnsi="Arial Narrow"/>
              </w:rPr>
              <w:t xml:space="preserve"> 1 prior TKI)</w:t>
            </w:r>
          </w:p>
        </w:tc>
      </w:tr>
      <w:tr w:rsidR="005C0650" w:rsidRPr="00B22BCB" w14:paraId="7B928019" w14:textId="77777777" w:rsidTr="00E135C1">
        <w:tc>
          <w:tcPr>
            <w:tcW w:w="705" w:type="pct"/>
            <w:tcBorders>
              <w:top w:val="single" w:sz="4" w:space="0" w:color="auto"/>
              <w:bottom w:val="single" w:sz="4" w:space="0" w:color="auto"/>
            </w:tcBorders>
            <w:shd w:val="clear" w:color="auto" w:fill="auto"/>
          </w:tcPr>
          <w:p w14:paraId="79F6AE2C" w14:textId="77777777" w:rsidR="005C0650" w:rsidRPr="00B22BCB" w:rsidRDefault="005C0650" w:rsidP="00B76BAF">
            <w:pPr>
              <w:pStyle w:val="Tabletext"/>
              <w:rPr>
                <w:szCs w:val="20"/>
              </w:rPr>
            </w:pPr>
            <w:r w:rsidRPr="00B22BCB">
              <w:rPr>
                <w:szCs w:val="20"/>
              </w:rPr>
              <w:t>By 24 weeks (6 months)</w:t>
            </w:r>
          </w:p>
        </w:tc>
        <w:tc>
          <w:tcPr>
            <w:tcW w:w="629" w:type="pct"/>
            <w:tcBorders>
              <w:top w:val="single" w:sz="4" w:space="0" w:color="auto"/>
              <w:bottom w:val="single" w:sz="4" w:space="0" w:color="auto"/>
            </w:tcBorders>
            <w:shd w:val="clear" w:color="auto" w:fill="auto"/>
          </w:tcPr>
          <w:p w14:paraId="0784C520" w14:textId="77777777" w:rsidR="005C0650" w:rsidRPr="00B22BCB" w:rsidRDefault="005C0650" w:rsidP="00B76BAF">
            <w:pPr>
              <w:pStyle w:val="Tablecentre"/>
              <w:rPr>
                <w:rFonts w:ascii="Arial Narrow" w:hAnsi="Arial Narrow"/>
              </w:rPr>
            </w:pPr>
            <w:r w:rsidRPr="00B22BCB">
              <w:rPr>
                <w:rFonts w:ascii="Arial Narrow" w:hAnsi="Arial Narrow"/>
              </w:rPr>
              <w:t>N = 89</w:t>
            </w:r>
          </w:p>
          <w:p w14:paraId="0B8B08E9" w14:textId="77777777" w:rsidR="005C0650" w:rsidRPr="00B22BCB" w:rsidRDefault="005C0650" w:rsidP="00B76BAF">
            <w:pPr>
              <w:pStyle w:val="Tablecentre"/>
              <w:rPr>
                <w:rFonts w:ascii="Arial Narrow" w:hAnsi="Arial Narrow"/>
              </w:rPr>
            </w:pPr>
            <w:r w:rsidRPr="00B22BCB">
              <w:rPr>
                <w:rFonts w:ascii="Arial Narrow" w:hAnsi="Arial Narrow"/>
              </w:rPr>
              <w:t>29 (32.6)</w:t>
            </w:r>
          </w:p>
        </w:tc>
        <w:tc>
          <w:tcPr>
            <w:tcW w:w="629" w:type="pct"/>
            <w:tcBorders>
              <w:top w:val="single" w:sz="4" w:space="0" w:color="auto"/>
              <w:bottom w:val="single" w:sz="4" w:space="0" w:color="auto"/>
            </w:tcBorders>
            <w:shd w:val="clear" w:color="auto" w:fill="auto"/>
          </w:tcPr>
          <w:p w14:paraId="6FE19388" w14:textId="77777777" w:rsidR="005C0650" w:rsidRPr="00B22BCB" w:rsidRDefault="005C0650" w:rsidP="00B76BAF">
            <w:pPr>
              <w:pStyle w:val="Tablecentre"/>
              <w:rPr>
                <w:rFonts w:ascii="Arial Narrow" w:hAnsi="Arial Narrow"/>
              </w:rPr>
            </w:pPr>
            <w:r w:rsidRPr="00B22BCB">
              <w:rPr>
                <w:rFonts w:ascii="Arial Narrow" w:hAnsi="Arial Narrow"/>
              </w:rPr>
              <w:t>N = 168</w:t>
            </w:r>
          </w:p>
          <w:p w14:paraId="3BE5ADC9" w14:textId="77777777" w:rsidR="005C0650" w:rsidRPr="00B22BCB" w:rsidRDefault="005C0650" w:rsidP="00B76BAF">
            <w:pPr>
              <w:pStyle w:val="Tablecentre"/>
              <w:rPr>
                <w:rFonts w:ascii="Arial Narrow" w:hAnsi="Arial Narrow"/>
              </w:rPr>
            </w:pPr>
            <w:r w:rsidRPr="00B22BCB">
              <w:rPr>
                <w:rFonts w:ascii="Arial Narrow" w:hAnsi="Arial Narrow"/>
              </w:rPr>
              <w:t>42 (25.0)</w:t>
            </w:r>
          </w:p>
        </w:tc>
        <w:tc>
          <w:tcPr>
            <w:tcW w:w="1012" w:type="pct"/>
            <w:tcBorders>
              <w:top w:val="single" w:sz="4" w:space="0" w:color="auto"/>
              <w:bottom w:val="single" w:sz="4" w:space="0" w:color="auto"/>
            </w:tcBorders>
            <w:shd w:val="clear" w:color="auto" w:fill="auto"/>
          </w:tcPr>
          <w:p w14:paraId="7548C8B7" w14:textId="77777777" w:rsidR="005C0650" w:rsidRPr="00B22BCB" w:rsidRDefault="005C0650" w:rsidP="00B76BAF">
            <w:pPr>
              <w:pStyle w:val="Tablecentre"/>
              <w:rPr>
                <w:rFonts w:ascii="Arial Narrow" w:hAnsi="Arial Narrow"/>
              </w:rPr>
            </w:pPr>
            <w:r w:rsidRPr="00B22BCB">
              <w:rPr>
                <w:rFonts w:ascii="Arial Narrow" w:hAnsi="Arial Narrow"/>
              </w:rPr>
              <w:t>1.45 (0.82, 2.55)</w:t>
            </w:r>
          </w:p>
          <w:p w14:paraId="04490660" w14:textId="77777777" w:rsidR="005C0650" w:rsidRPr="00B22BCB" w:rsidRDefault="005C0650" w:rsidP="00B76BAF">
            <w:pPr>
              <w:pStyle w:val="Tablecentre"/>
              <w:rPr>
                <w:rFonts w:ascii="Arial Narrow" w:hAnsi="Arial Narrow"/>
              </w:rPr>
            </w:pPr>
            <w:r w:rsidRPr="00B22BCB">
              <w:rPr>
                <w:rFonts w:ascii="Arial Narrow" w:hAnsi="Arial Narrow"/>
              </w:rPr>
              <w:t>P = 0.20</w:t>
            </w:r>
          </w:p>
        </w:tc>
        <w:tc>
          <w:tcPr>
            <w:tcW w:w="1013" w:type="pct"/>
            <w:tcBorders>
              <w:top w:val="single" w:sz="4" w:space="0" w:color="auto"/>
              <w:bottom w:val="single" w:sz="4" w:space="0" w:color="auto"/>
            </w:tcBorders>
            <w:shd w:val="clear" w:color="auto" w:fill="auto"/>
          </w:tcPr>
          <w:p w14:paraId="008647F4" w14:textId="77777777" w:rsidR="005C0650" w:rsidRPr="00B22BCB" w:rsidRDefault="005C0650" w:rsidP="00B76BAF">
            <w:pPr>
              <w:pStyle w:val="Tablecentre"/>
              <w:rPr>
                <w:rFonts w:ascii="Arial Narrow" w:hAnsi="Arial Narrow"/>
              </w:rPr>
            </w:pPr>
            <w:r w:rsidRPr="00B22BCB">
              <w:rPr>
                <w:rFonts w:ascii="Arial Narrow" w:hAnsi="Arial Narrow"/>
              </w:rPr>
              <w:t>1.30 (0.88, 1.94)</w:t>
            </w:r>
          </w:p>
          <w:p w14:paraId="3A82FC29" w14:textId="77777777" w:rsidR="005C0650" w:rsidRPr="00B22BCB" w:rsidRDefault="005C0650" w:rsidP="00B76BAF">
            <w:pPr>
              <w:pStyle w:val="Tablecentre"/>
              <w:rPr>
                <w:rFonts w:ascii="Arial Narrow" w:hAnsi="Arial Narrow"/>
              </w:rPr>
            </w:pPr>
            <w:r w:rsidRPr="00B22BCB">
              <w:rPr>
                <w:rFonts w:ascii="Arial Narrow" w:hAnsi="Arial Narrow"/>
              </w:rPr>
              <w:t>P = 0.19</w:t>
            </w:r>
          </w:p>
        </w:tc>
        <w:tc>
          <w:tcPr>
            <w:tcW w:w="1013" w:type="pct"/>
            <w:tcBorders>
              <w:top w:val="single" w:sz="4" w:space="0" w:color="auto"/>
              <w:bottom w:val="single" w:sz="4" w:space="0" w:color="auto"/>
            </w:tcBorders>
            <w:shd w:val="clear" w:color="auto" w:fill="auto"/>
          </w:tcPr>
          <w:p w14:paraId="4E10844A" w14:textId="77777777" w:rsidR="005C0650" w:rsidRPr="00B22BCB" w:rsidRDefault="005C0650" w:rsidP="00B76BAF">
            <w:pPr>
              <w:pStyle w:val="Tablecentre"/>
              <w:rPr>
                <w:rFonts w:ascii="Arial Narrow" w:hAnsi="Arial Narrow"/>
              </w:rPr>
            </w:pPr>
            <w:r w:rsidRPr="00B22BCB">
              <w:rPr>
                <w:rFonts w:ascii="Arial Narrow" w:hAnsi="Arial Narrow"/>
              </w:rPr>
              <w:t>0.08 (-0.04, 0.19)</w:t>
            </w:r>
          </w:p>
          <w:p w14:paraId="6AAFF68D" w14:textId="77777777" w:rsidR="005C0650" w:rsidRPr="00B22BCB" w:rsidRDefault="005C0650" w:rsidP="00B76BAF">
            <w:pPr>
              <w:pStyle w:val="Tablecentre"/>
              <w:rPr>
                <w:rFonts w:ascii="Arial Narrow" w:hAnsi="Arial Narrow"/>
              </w:rPr>
            </w:pPr>
            <w:r w:rsidRPr="00B22BCB">
              <w:rPr>
                <w:rFonts w:ascii="Arial Narrow" w:hAnsi="Arial Narrow"/>
              </w:rPr>
              <w:t>P = 0.21</w:t>
            </w:r>
          </w:p>
        </w:tc>
      </w:tr>
      <w:tr w:rsidR="005C0650" w:rsidRPr="00B22BCB" w14:paraId="7FB89412" w14:textId="77777777" w:rsidTr="00E135C1">
        <w:tc>
          <w:tcPr>
            <w:tcW w:w="705" w:type="pct"/>
            <w:tcBorders>
              <w:top w:val="single" w:sz="4" w:space="0" w:color="auto"/>
              <w:bottom w:val="single" w:sz="4" w:space="0" w:color="auto"/>
            </w:tcBorders>
            <w:shd w:val="clear" w:color="auto" w:fill="auto"/>
          </w:tcPr>
          <w:p w14:paraId="3E49291B" w14:textId="77777777" w:rsidR="005C0650" w:rsidRPr="00B22BCB" w:rsidRDefault="005C0650" w:rsidP="00B76BAF">
            <w:pPr>
              <w:pStyle w:val="Tabletext"/>
              <w:rPr>
                <w:szCs w:val="20"/>
              </w:rPr>
            </w:pPr>
            <w:r w:rsidRPr="00B22BCB">
              <w:rPr>
                <w:szCs w:val="20"/>
              </w:rPr>
              <w:t>By 48 weeks (12 months)</w:t>
            </w:r>
          </w:p>
        </w:tc>
        <w:tc>
          <w:tcPr>
            <w:tcW w:w="629" w:type="pct"/>
            <w:tcBorders>
              <w:top w:val="single" w:sz="4" w:space="0" w:color="auto"/>
              <w:bottom w:val="single" w:sz="4" w:space="0" w:color="auto"/>
            </w:tcBorders>
            <w:shd w:val="clear" w:color="auto" w:fill="auto"/>
          </w:tcPr>
          <w:p w14:paraId="17BACB8D" w14:textId="77777777" w:rsidR="005C0650" w:rsidRPr="00B22BCB" w:rsidRDefault="005C0650" w:rsidP="00B76BAF">
            <w:pPr>
              <w:pStyle w:val="Tablecentre"/>
              <w:rPr>
                <w:rFonts w:ascii="Arial Narrow" w:hAnsi="Arial Narrow"/>
              </w:rPr>
            </w:pPr>
            <w:r w:rsidRPr="00B22BCB">
              <w:rPr>
                <w:rFonts w:ascii="Arial Narrow" w:hAnsi="Arial Narrow"/>
              </w:rPr>
              <w:t>N = 89</w:t>
            </w:r>
          </w:p>
          <w:p w14:paraId="741F926C" w14:textId="77777777" w:rsidR="005C0650" w:rsidRPr="00B22BCB" w:rsidRDefault="005C0650" w:rsidP="00B76BAF">
            <w:pPr>
              <w:pStyle w:val="Tablecentre"/>
              <w:rPr>
                <w:rFonts w:ascii="Arial Narrow" w:hAnsi="Arial Narrow"/>
              </w:rPr>
            </w:pPr>
            <w:r w:rsidRPr="00B22BCB">
              <w:rPr>
                <w:rFonts w:ascii="Arial Narrow" w:hAnsi="Arial Narrow"/>
              </w:rPr>
              <w:t>36 (40.5)</w:t>
            </w:r>
          </w:p>
        </w:tc>
        <w:tc>
          <w:tcPr>
            <w:tcW w:w="629" w:type="pct"/>
            <w:tcBorders>
              <w:top w:val="single" w:sz="4" w:space="0" w:color="auto"/>
              <w:bottom w:val="single" w:sz="4" w:space="0" w:color="auto"/>
            </w:tcBorders>
            <w:shd w:val="clear" w:color="auto" w:fill="auto"/>
          </w:tcPr>
          <w:p w14:paraId="7A412DE5" w14:textId="77777777" w:rsidR="005C0650" w:rsidRPr="00B22BCB" w:rsidRDefault="005C0650" w:rsidP="00B76BAF">
            <w:pPr>
              <w:pStyle w:val="Tablecentre"/>
              <w:rPr>
                <w:rFonts w:ascii="Arial Narrow" w:hAnsi="Arial Narrow"/>
              </w:rPr>
            </w:pPr>
            <w:r w:rsidRPr="00B22BCB">
              <w:rPr>
                <w:rFonts w:ascii="Arial Narrow" w:hAnsi="Arial Narrow"/>
              </w:rPr>
              <w:t>N = 168</w:t>
            </w:r>
          </w:p>
          <w:p w14:paraId="318AA35A" w14:textId="77777777" w:rsidR="005C0650" w:rsidRPr="00B22BCB" w:rsidRDefault="005C0650" w:rsidP="00B76BAF">
            <w:pPr>
              <w:pStyle w:val="Tablecentre"/>
              <w:rPr>
                <w:rFonts w:ascii="Arial Narrow" w:hAnsi="Arial Narrow"/>
              </w:rPr>
            </w:pPr>
            <w:r w:rsidRPr="00B22BCB">
              <w:rPr>
                <w:rFonts w:ascii="Arial Narrow" w:hAnsi="Arial Narrow"/>
              </w:rPr>
              <w:t>62 (36.9)</w:t>
            </w:r>
          </w:p>
        </w:tc>
        <w:tc>
          <w:tcPr>
            <w:tcW w:w="1012" w:type="pct"/>
            <w:tcBorders>
              <w:top w:val="single" w:sz="4" w:space="0" w:color="auto"/>
              <w:bottom w:val="single" w:sz="4" w:space="0" w:color="auto"/>
            </w:tcBorders>
            <w:shd w:val="clear" w:color="auto" w:fill="auto"/>
          </w:tcPr>
          <w:p w14:paraId="2EA98299" w14:textId="77777777" w:rsidR="005C0650" w:rsidRPr="00B22BCB" w:rsidRDefault="005C0650" w:rsidP="00B76BAF">
            <w:pPr>
              <w:pStyle w:val="Tablecentre"/>
              <w:rPr>
                <w:rFonts w:ascii="Arial Narrow" w:hAnsi="Arial Narrow"/>
              </w:rPr>
            </w:pPr>
            <w:r w:rsidRPr="00B22BCB">
              <w:rPr>
                <w:rFonts w:ascii="Arial Narrow" w:hAnsi="Arial Narrow"/>
              </w:rPr>
              <w:t>1.16 (0.69, 1.97)</w:t>
            </w:r>
          </w:p>
          <w:p w14:paraId="3803E553" w14:textId="77777777" w:rsidR="005C0650" w:rsidRPr="00B22BCB" w:rsidRDefault="005C0650" w:rsidP="00B76BAF">
            <w:pPr>
              <w:pStyle w:val="Tablecentre"/>
              <w:rPr>
                <w:rFonts w:ascii="Arial Narrow" w:hAnsi="Arial Narrow"/>
              </w:rPr>
            </w:pPr>
            <w:r w:rsidRPr="00B22BCB">
              <w:rPr>
                <w:rFonts w:ascii="Arial Narrow" w:hAnsi="Arial Narrow"/>
              </w:rPr>
              <w:t>P = 0.58</w:t>
            </w:r>
          </w:p>
        </w:tc>
        <w:tc>
          <w:tcPr>
            <w:tcW w:w="1013" w:type="pct"/>
            <w:tcBorders>
              <w:top w:val="single" w:sz="4" w:space="0" w:color="auto"/>
              <w:bottom w:val="single" w:sz="4" w:space="0" w:color="auto"/>
            </w:tcBorders>
            <w:shd w:val="clear" w:color="auto" w:fill="auto"/>
          </w:tcPr>
          <w:p w14:paraId="08816E68" w14:textId="77777777" w:rsidR="005C0650" w:rsidRPr="00B22BCB" w:rsidRDefault="005C0650" w:rsidP="00B76BAF">
            <w:pPr>
              <w:pStyle w:val="Tablecentre"/>
              <w:rPr>
                <w:rFonts w:ascii="Arial Narrow" w:hAnsi="Arial Narrow"/>
              </w:rPr>
            </w:pPr>
            <w:r w:rsidRPr="00B22BCB">
              <w:rPr>
                <w:rFonts w:ascii="Arial Narrow" w:hAnsi="Arial Narrow"/>
              </w:rPr>
              <w:t>1.10 (0.80, 1.51)</w:t>
            </w:r>
          </w:p>
          <w:p w14:paraId="687549AB" w14:textId="77777777" w:rsidR="005C0650" w:rsidRPr="00B22BCB" w:rsidRDefault="005C0650" w:rsidP="00B76BAF">
            <w:pPr>
              <w:pStyle w:val="Tablecentre"/>
              <w:rPr>
                <w:rFonts w:ascii="Arial Narrow" w:hAnsi="Arial Narrow"/>
              </w:rPr>
            </w:pPr>
            <w:r w:rsidRPr="00B22BCB">
              <w:rPr>
                <w:rFonts w:ascii="Arial Narrow" w:hAnsi="Arial Narrow"/>
              </w:rPr>
              <w:t>P = 0.57</w:t>
            </w:r>
          </w:p>
        </w:tc>
        <w:tc>
          <w:tcPr>
            <w:tcW w:w="1013" w:type="pct"/>
            <w:tcBorders>
              <w:top w:val="single" w:sz="4" w:space="0" w:color="auto"/>
              <w:bottom w:val="single" w:sz="4" w:space="0" w:color="auto"/>
            </w:tcBorders>
            <w:shd w:val="clear" w:color="auto" w:fill="auto"/>
          </w:tcPr>
          <w:p w14:paraId="769826AB" w14:textId="77777777" w:rsidR="005C0650" w:rsidRPr="00B22BCB" w:rsidRDefault="005C0650" w:rsidP="00B76BAF">
            <w:pPr>
              <w:pStyle w:val="Tablecentre"/>
              <w:rPr>
                <w:rFonts w:ascii="Arial Narrow" w:hAnsi="Arial Narrow"/>
              </w:rPr>
            </w:pPr>
            <w:r w:rsidRPr="00B22BCB">
              <w:rPr>
                <w:rFonts w:ascii="Arial Narrow" w:hAnsi="Arial Narrow"/>
              </w:rPr>
              <w:t>0.04 (-0.09, 0.16)</w:t>
            </w:r>
          </w:p>
          <w:p w14:paraId="4610707F" w14:textId="77777777" w:rsidR="005C0650" w:rsidRPr="00B22BCB" w:rsidRDefault="005C0650" w:rsidP="00B76BAF">
            <w:pPr>
              <w:pStyle w:val="Tablecentre"/>
              <w:rPr>
                <w:rFonts w:ascii="Arial Narrow" w:hAnsi="Arial Narrow"/>
              </w:rPr>
            </w:pPr>
            <w:r w:rsidRPr="00B22BCB">
              <w:rPr>
                <w:rFonts w:ascii="Arial Narrow" w:hAnsi="Arial Narrow"/>
              </w:rPr>
              <w:t>P = 0.58</w:t>
            </w:r>
          </w:p>
        </w:tc>
      </w:tr>
    </w:tbl>
    <w:p w14:paraId="671571DE" w14:textId="77777777" w:rsidR="005C0650" w:rsidRPr="00B22BCB" w:rsidRDefault="005C0650" w:rsidP="005C0650">
      <w:pPr>
        <w:pStyle w:val="TableFigureFooter"/>
      </w:pPr>
      <w:r w:rsidRPr="00B22BCB">
        <w:t>Source: Table 2.6-5, p 92 of the submission.</w:t>
      </w:r>
    </w:p>
    <w:p w14:paraId="3CBE5140" w14:textId="425CF484" w:rsidR="005C0650" w:rsidRPr="00B22BCB" w:rsidRDefault="005C0650" w:rsidP="005C0650">
      <w:pPr>
        <w:pStyle w:val="TableFigureFooter"/>
      </w:pPr>
      <w:r w:rsidRPr="00B22BCB">
        <w:t xml:space="preserve">CI = confidence interval; </w:t>
      </w:r>
      <w:r w:rsidR="00796DB1" w:rsidRPr="00B22BCB">
        <w:t xml:space="preserve">ITT = intention-to-treat; </w:t>
      </w:r>
      <w:r w:rsidRPr="00B22BCB">
        <w:t>MMR = major molecular response; OR = odds ratio; RD = risk difference; RR = relative risk</w:t>
      </w:r>
    </w:p>
    <w:p w14:paraId="1AECA351" w14:textId="578F55C0" w:rsidR="00CC6E4D" w:rsidRPr="00B22BCB" w:rsidRDefault="00466440" w:rsidP="00CC6E4D">
      <w:pPr>
        <w:pStyle w:val="TableFigureFooter"/>
      </w:pPr>
      <w:r w:rsidRPr="00B22BCB">
        <w:rPr>
          <w:vertAlign w:val="superscript"/>
        </w:rPr>
        <w:t>a</w:t>
      </w:r>
      <w:r w:rsidR="005C0650" w:rsidRPr="00B22BCB">
        <w:t xml:space="preserve"> Calculated using RevMan v5.3 </w:t>
      </w:r>
      <w:r w:rsidR="00B222C2" w:rsidRPr="00B22BCB">
        <w:t>by</w:t>
      </w:r>
      <w:r w:rsidR="005C0650" w:rsidRPr="00B22BCB">
        <w:t xml:space="preserve"> the submission</w:t>
      </w:r>
    </w:p>
    <w:p w14:paraId="7ACE370D" w14:textId="05B0C585" w:rsidR="007C6EF7" w:rsidRPr="00E0045D" w:rsidRDefault="005444D6" w:rsidP="00E0045D">
      <w:pPr>
        <w:pStyle w:val="3-BodyText"/>
        <w:rPr>
          <w:b/>
          <w:sz w:val="32"/>
          <w:szCs w:val="32"/>
        </w:rPr>
      </w:pPr>
      <w:r w:rsidRPr="00B22BCB">
        <w:t xml:space="preserve">The </w:t>
      </w:r>
      <w:r w:rsidR="00B222C2" w:rsidRPr="00B22BCB">
        <w:t xml:space="preserve">outcome </w:t>
      </w:r>
      <w:r w:rsidRPr="00B22BCB">
        <w:t xml:space="preserve">of CCyR rates </w:t>
      </w:r>
      <w:r w:rsidR="0062462E" w:rsidRPr="00B22BCB">
        <w:t>were</w:t>
      </w:r>
      <w:r w:rsidR="00B222C2" w:rsidRPr="00B22BCB">
        <w:t xml:space="preserve"> available for the ITT population of ENACT, and was compared to the </w:t>
      </w:r>
      <w:r w:rsidR="00337BFF" w:rsidRPr="00B22BCB">
        <w:t>asciminib</w:t>
      </w:r>
      <w:r w:rsidRPr="00B22BCB">
        <w:t xml:space="preserve"> arm </w:t>
      </w:r>
      <w:r w:rsidR="00B222C2" w:rsidRPr="00B22BCB">
        <w:t>of ASCEMBL</w:t>
      </w:r>
      <w:r w:rsidR="002515FE" w:rsidRPr="00B22BCB">
        <w:t xml:space="preserve"> </w:t>
      </w:r>
      <w:r w:rsidRPr="00B22BCB">
        <w:t xml:space="preserve">in </w:t>
      </w:r>
      <w:r w:rsidR="00722504" w:rsidRPr="00B22BCB">
        <w:fldChar w:fldCharType="begin"/>
      </w:r>
      <w:r w:rsidR="00722504" w:rsidRPr="00B22BCB">
        <w:instrText xml:space="preserve"> REF _Ref102930381 \h </w:instrText>
      </w:r>
      <w:r w:rsidR="00722504" w:rsidRPr="00B22BCB">
        <w:fldChar w:fldCharType="separate"/>
      </w:r>
      <w:r w:rsidR="00A914F4" w:rsidRPr="00B22BCB">
        <w:t xml:space="preserve">Table </w:t>
      </w:r>
      <w:r w:rsidR="00A914F4">
        <w:rPr>
          <w:noProof/>
        </w:rPr>
        <w:t>8</w:t>
      </w:r>
      <w:r w:rsidR="00722504" w:rsidRPr="00B22BCB">
        <w:fldChar w:fldCharType="end"/>
      </w:r>
      <w:r w:rsidRPr="00B22BCB">
        <w:t>.</w:t>
      </w:r>
      <w:r w:rsidR="002515FE" w:rsidRPr="00B22BCB">
        <w:t xml:space="preserve"> </w:t>
      </w:r>
      <w:r w:rsidR="005C61AC" w:rsidRPr="002B4570">
        <w:t>ENACT did not report CCyR at 12 months.</w:t>
      </w:r>
    </w:p>
    <w:p w14:paraId="7B59FAFD" w14:textId="77777777" w:rsidR="005444D6" w:rsidRPr="00B22BCB" w:rsidRDefault="005444D6" w:rsidP="005444D6">
      <w:pPr>
        <w:pStyle w:val="TableFigureHeading"/>
      </w:pPr>
      <w:bookmarkStart w:id="34" w:name="_Ref102930381"/>
      <w:r w:rsidRPr="00B22BCB">
        <w:t xml:space="preserve">Table </w:t>
      </w:r>
      <w:r w:rsidR="00CA52C1">
        <w:fldChar w:fldCharType="begin"/>
      </w:r>
      <w:r w:rsidR="00CA52C1">
        <w:instrText xml:space="preserve"> SEQ Table \* </w:instrText>
      </w:r>
      <w:r w:rsidR="00CA52C1">
        <w:instrText xml:space="preserve">ARABIC </w:instrText>
      </w:r>
      <w:r w:rsidR="00CA52C1">
        <w:fldChar w:fldCharType="separate"/>
      </w:r>
      <w:r w:rsidR="00A914F4">
        <w:rPr>
          <w:noProof/>
        </w:rPr>
        <w:t>8</w:t>
      </w:r>
      <w:r w:rsidR="00CA52C1">
        <w:rPr>
          <w:noProof/>
        </w:rPr>
        <w:fldChar w:fldCharType="end"/>
      </w:r>
      <w:bookmarkEnd w:id="34"/>
      <w:r w:rsidRPr="00B22BCB">
        <w:rPr>
          <w:noProof/>
        </w:rPr>
        <w:t>:</w:t>
      </w:r>
      <w:r w:rsidRPr="00B22BCB">
        <w:t xml:space="preserve"> </w:t>
      </w:r>
      <w:r w:rsidR="00E9298A">
        <w:t>Unadjusted, unanchored</w:t>
      </w:r>
      <w:r w:rsidR="00E9298A" w:rsidRPr="00B22BCB">
        <w:t xml:space="preserve"> </w:t>
      </w:r>
      <w:r w:rsidRPr="00B22BCB">
        <w:t xml:space="preserve">comparison: Cumulative CCyR rates, ASCEMBL </w:t>
      </w:r>
      <w:r w:rsidR="00796DB1" w:rsidRPr="00B22BCB">
        <w:t>CCyR primary analysis set</w:t>
      </w:r>
      <w:r w:rsidR="00796DB1" w:rsidRPr="00B22BCB">
        <w:rPr>
          <w:vertAlign w:val="superscript"/>
        </w:rPr>
        <w:t>b</w:t>
      </w:r>
      <w:r w:rsidR="00796DB1" w:rsidRPr="00B22BCB">
        <w:t xml:space="preserve"> </w:t>
      </w:r>
      <w:r w:rsidRPr="00B22BCB">
        <w:t>vs</w:t>
      </w:r>
      <w:r w:rsidR="00BB78E3" w:rsidRPr="00B22BCB">
        <w:t xml:space="preserve"> </w:t>
      </w:r>
      <w:r w:rsidR="00E2505B" w:rsidRPr="00B22BCB">
        <w:t>nilotinib</w:t>
      </w:r>
      <w:r w:rsidR="00BB78E3" w:rsidRPr="00B22BCB">
        <w:t xml:space="preserve"> (</w:t>
      </w:r>
      <w:r w:rsidRPr="00B22BCB">
        <w:t>ENACT ITT</w:t>
      </w:r>
      <w:r w:rsidR="00BB78E3" w:rsidRPr="00B22BCB">
        <w:t>)</w:t>
      </w:r>
    </w:p>
    <w:tbl>
      <w:tblPr>
        <w:tblStyle w:val="TableGrid"/>
        <w:tblW w:w="5000" w:type="pct"/>
        <w:tblLook w:val="04A0" w:firstRow="1" w:lastRow="0" w:firstColumn="1" w:lastColumn="0" w:noHBand="0" w:noVBand="1"/>
      </w:tblPr>
      <w:tblGrid>
        <w:gridCol w:w="1294"/>
        <w:gridCol w:w="1322"/>
        <w:gridCol w:w="1322"/>
        <w:gridCol w:w="1693"/>
        <w:gridCol w:w="1693"/>
        <w:gridCol w:w="1693"/>
      </w:tblGrid>
      <w:tr w:rsidR="005444D6" w:rsidRPr="00B22BCB" w14:paraId="60CBC6AD" w14:textId="77777777" w:rsidTr="00D428E6">
        <w:tc>
          <w:tcPr>
            <w:tcW w:w="717" w:type="pct"/>
            <w:tcBorders>
              <w:bottom w:val="single" w:sz="4" w:space="0" w:color="auto"/>
            </w:tcBorders>
            <w:shd w:val="clear" w:color="auto" w:fill="auto"/>
          </w:tcPr>
          <w:p w14:paraId="45FEC3AE" w14:textId="77777777" w:rsidR="005444D6" w:rsidRPr="00B22BCB" w:rsidRDefault="005444D6" w:rsidP="00B76BAF">
            <w:pPr>
              <w:pStyle w:val="Tableheading0"/>
              <w:rPr>
                <w:rFonts w:ascii="Arial Narrow" w:hAnsi="Arial Narrow"/>
              </w:rPr>
            </w:pPr>
            <w:r w:rsidRPr="00B22BCB">
              <w:rPr>
                <w:rFonts w:ascii="Arial Narrow" w:hAnsi="Arial Narrow"/>
              </w:rPr>
              <w:t>Timepoint</w:t>
            </w:r>
          </w:p>
        </w:tc>
        <w:tc>
          <w:tcPr>
            <w:tcW w:w="733" w:type="pct"/>
            <w:tcBorders>
              <w:bottom w:val="single" w:sz="4" w:space="0" w:color="auto"/>
            </w:tcBorders>
            <w:shd w:val="clear" w:color="auto" w:fill="auto"/>
          </w:tcPr>
          <w:p w14:paraId="30DED5D6" w14:textId="77777777" w:rsidR="005444D6" w:rsidRDefault="005444D6" w:rsidP="00B76BAF">
            <w:pPr>
              <w:pStyle w:val="Tableheading0"/>
              <w:rPr>
                <w:rFonts w:ascii="Arial Narrow" w:hAnsi="Arial Narrow"/>
              </w:rPr>
            </w:pPr>
            <w:r w:rsidRPr="00B22BCB">
              <w:rPr>
                <w:rFonts w:ascii="Arial Narrow" w:hAnsi="Arial Narrow"/>
              </w:rPr>
              <w:t>Asciminib</w:t>
            </w:r>
          </w:p>
          <w:p w14:paraId="6FBE3966" w14:textId="77777777" w:rsidR="00FC595B" w:rsidRDefault="00FC595B" w:rsidP="00FC595B">
            <w:pPr>
              <w:pStyle w:val="Tableheading0"/>
              <w:rPr>
                <w:rFonts w:ascii="Arial Narrow" w:hAnsi="Arial Narrow"/>
              </w:rPr>
            </w:pPr>
            <w:r>
              <w:rPr>
                <w:rFonts w:ascii="Arial Narrow" w:hAnsi="Arial Narrow"/>
              </w:rPr>
              <w:t>N</w:t>
            </w:r>
          </w:p>
          <w:p w14:paraId="59A5C925" w14:textId="6FACE2E8" w:rsidR="00FC595B" w:rsidRPr="00B22BCB" w:rsidRDefault="00FC595B" w:rsidP="00FC595B">
            <w:pPr>
              <w:pStyle w:val="Tableheading0"/>
              <w:rPr>
                <w:rFonts w:ascii="Arial Narrow" w:hAnsi="Arial Narrow"/>
              </w:rPr>
            </w:pPr>
            <w:r>
              <w:rPr>
                <w:rFonts w:ascii="Arial Narrow" w:hAnsi="Arial Narrow"/>
              </w:rPr>
              <w:t>n (%)</w:t>
            </w:r>
          </w:p>
        </w:tc>
        <w:tc>
          <w:tcPr>
            <w:tcW w:w="733" w:type="pct"/>
            <w:tcBorders>
              <w:bottom w:val="single" w:sz="4" w:space="0" w:color="auto"/>
            </w:tcBorders>
            <w:shd w:val="clear" w:color="auto" w:fill="auto"/>
          </w:tcPr>
          <w:p w14:paraId="7F3DAE6A" w14:textId="77777777" w:rsidR="005444D6" w:rsidRDefault="005444D6" w:rsidP="00B76BAF">
            <w:pPr>
              <w:pStyle w:val="Tableheading0"/>
              <w:rPr>
                <w:rFonts w:ascii="Arial Narrow" w:hAnsi="Arial Narrow"/>
              </w:rPr>
            </w:pPr>
            <w:r w:rsidRPr="00B22BCB">
              <w:rPr>
                <w:rFonts w:ascii="Arial Narrow" w:hAnsi="Arial Narrow"/>
              </w:rPr>
              <w:t>Nilotinib</w:t>
            </w:r>
          </w:p>
          <w:p w14:paraId="7C591C87" w14:textId="77777777" w:rsidR="00FC595B" w:rsidRDefault="00FC595B" w:rsidP="00FC595B">
            <w:pPr>
              <w:pStyle w:val="Tableheading0"/>
              <w:rPr>
                <w:rFonts w:ascii="Arial Narrow" w:hAnsi="Arial Narrow"/>
              </w:rPr>
            </w:pPr>
            <w:r>
              <w:rPr>
                <w:rFonts w:ascii="Arial Narrow" w:hAnsi="Arial Narrow"/>
              </w:rPr>
              <w:t>N</w:t>
            </w:r>
          </w:p>
          <w:p w14:paraId="48226F9A" w14:textId="01A86959" w:rsidR="00FC595B" w:rsidRPr="00B22BCB" w:rsidRDefault="00FC595B" w:rsidP="00FC595B">
            <w:pPr>
              <w:pStyle w:val="Tableheading0"/>
              <w:rPr>
                <w:rFonts w:ascii="Arial Narrow" w:hAnsi="Arial Narrow"/>
              </w:rPr>
            </w:pPr>
            <w:r>
              <w:rPr>
                <w:rFonts w:ascii="Arial Narrow" w:hAnsi="Arial Narrow"/>
              </w:rPr>
              <w:t>n (%)</w:t>
            </w:r>
          </w:p>
        </w:tc>
        <w:tc>
          <w:tcPr>
            <w:tcW w:w="939" w:type="pct"/>
            <w:tcBorders>
              <w:bottom w:val="single" w:sz="4" w:space="0" w:color="auto"/>
            </w:tcBorders>
            <w:shd w:val="clear" w:color="auto" w:fill="auto"/>
          </w:tcPr>
          <w:p w14:paraId="49FE9526" w14:textId="77777777" w:rsidR="005444D6" w:rsidRDefault="00722504" w:rsidP="00B76BAF">
            <w:pPr>
              <w:pStyle w:val="Tableheading0"/>
              <w:rPr>
                <w:rFonts w:ascii="Arial Narrow" w:hAnsi="Arial Narrow"/>
              </w:rPr>
            </w:pPr>
            <w:r w:rsidRPr="00B22BCB">
              <w:rPr>
                <w:rFonts w:ascii="Arial Narrow" w:hAnsi="Arial Narrow"/>
              </w:rPr>
              <w:t xml:space="preserve">Unadjusted </w:t>
            </w:r>
            <w:r w:rsidR="005444D6" w:rsidRPr="00B22BCB">
              <w:rPr>
                <w:rFonts w:ascii="Arial Narrow" w:hAnsi="Arial Narrow"/>
              </w:rPr>
              <w:t>OR (95% CI)</w:t>
            </w:r>
            <w:r w:rsidR="00796DB1" w:rsidRPr="00B22BCB">
              <w:rPr>
                <w:rFonts w:ascii="Arial Narrow" w:hAnsi="Arial Narrow"/>
                <w:vertAlign w:val="superscript"/>
              </w:rPr>
              <w:t>a</w:t>
            </w:r>
          </w:p>
          <w:p w14:paraId="6C2034A5" w14:textId="5626C2B5" w:rsidR="00FC595B" w:rsidRPr="00FC595B" w:rsidRDefault="00FC595B" w:rsidP="00B76BAF">
            <w:pPr>
              <w:pStyle w:val="Tableheading0"/>
              <w:rPr>
                <w:rFonts w:ascii="Arial Narrow" w:hAnsi="Arial Narrow"/>
              </w:rPr>
            </w:pPr>
            <w:r>
              <w:rPr>
                <w:rFonts w:ascii="Arial Narrow" w:hAnsi="Arial Narrow"/>
              </w:rPr>
              <w:t>P-value</w:t>
            </w:r>
          </w:p>
        </w:tc>
        <w:tc>
          <w:tcPr>
            <w:tcW w:w="939" w:type="pct"/>
            <w:tcBorders>
              <w:bottom w:val="single" w:sz="4" w:space="0" w:color="auto"/>
            </w:tcBorders>
            <w:shd w:val="clear" w:color="auto" w:fill="auto"/>
          </w:tcPr>
          <w:p w14:paraId="54C877F7" w14:textId="77777777" w:rsidR="005444D6" w:rsidRDefault="00722504" w:rsidP="00B76BAF">
            <w:pPr>
              <w:pStyle w:val="Tableheading0"/>
              <w:rPr>
                <w:rFonts w:ascii="Arial Narrow" w:hAnsi="Arial Narrow"/>
              </w:rPr>
            </w:pPr>
            <w:r w:rsidRPr="00B22BCB">
              <w:rPr>
                <w:rFonts w:ascii="Arial Narrow" w:hAnsi="Arial Narrow"/>
              </w:rPr>
              <w:t xml:space="preserve">Unadjusted </w:t>
            </w:r>
            <w:r w:rsidR="005444D6" w:rsidRPr="00B22BCB">
              <w:rPr>
                <w:rFonts w:ascii="Arial Narrow" w:hAnsi="Arial Narrow"/>
              </w:rPr>
              <w:t>RR (95% CI)</w:t>
            </w:r>
            <w:r w:rsidR="00796DB1" w:rsidRPr="00B22BCB">
              <w:rPr>
                <w:rFonts w:ascii="Arial Narrow" w:hAnsi="Arial Narrow"/>
                <w:vertAlign w:val="superscript"/>
              </w:rPr>
              <w:t>a</w:t>
            </w:r>
          </w:p>
          <w:p w14:paraId="2A9085A5" w14:textId="29AF2010" w:rsidR="00FC595B" w:rsidRPr="00FC595B" w:rsidRDefault="00FC595B" w:rsidP="00B76BAF">
            <w:pPr>
              <w:pStyle w:val="Tableheading0"/>
              <w:rPr>
                <w:rFonts w:ascii="Arial Narrow" w:hAnsi="Arial Narrow"/>
              </w:rPr>
            </w:pPr>
            <w:r>
              <w:rPr>
                <w:rFonts w:ascii="Arial Narrow" w:hAnsi="Arial Narrow"/>
              </w:rPr>
              <w:t>P-value</w:t>
            </w:r>
          </w:p>
        </w:tc>
        <w:tc>
          <w:tcPr>
            <w:tcW w:w="939" w:type="pct"/>
            <w:tcBorders>
              <w:bottom w:val="single" w:sz="4" w:space="0" w:color="auto"/>
            </w:tcBorders>
            <w:shd w:val="clear" w:color="auto" w:fill="auto"/>
          </w:tcPr>
          <w:p w14:paraId="17E1FE93" w14:textId="77777777" w:rsidR="005444D6" w:rsidRDefault="00722504" w:rsidP="00B76BAF">
            <w:pPr>
              <w:pStyle w:val="Tableheading0"/>
              <w:rPr>
                <w:rFonts w:ascii="Arial Narrow" w:hAnsi="Arial Narrow"/>
              </w:rPr>
            </w:pPr>
            <w:r w:rsidRPr="00B22BCB">
              <w:rPr>
                <w:rFonts w:ascii="Arial Narrow" w:hAnsi="Arial Narrow"/>
              </w:rPr>
              <w:t xml:space="preserve">Unadjusted </w:t>
            </w:r>
            <w:r w:rsidR="005444D6" w:rsidRPr="00B22BCB">
              <w:rPr>
                <w:rFonts w:ascii="Arial Narrow" w:hAnsi="Arial Narrow"/>
              </w:rPr>
              <w:t>RD (95% CI)</w:t>
            </w:r>
            <w:r w:rsidR="00796DB1" w:rsidRPr="00B22BCB">
              <w:rPr>
                <w:rFonts w:ascii="Arial Narrow" w:hAnsi="Arial Narrow"/>
                <w:vertAlign w:val="superscript"/>
              </w:rPr>
              <w:t>a</w:t>
            </w:r>
          </w:p>
          <w:p w14:paraId="0563CD68" w14:textId="53F01ABA" w:rsidR="00FC595B" w:rsidRPr="00FC595B" w:rsidRDefault="00FC595B" w:rsidP="00B76BAF">
            <w:pPr>
              <w:pStyle w:val="Tableheading0"/>
              <w:rPr>
                <w:rFonts w:ascii="Arial Narrow" w:hAnsi="Arial Narrow"/>
              </w:rPr>
            </w:pPr>
            <w:r>
              <w:rPr>
                <w:rFonts w:ascii="Arial Narrow" w:hAnsi="Arial Narrow"/>
              </w:rPr>
              <w:t>P-value</w:t>
            </w:r>
          </w:p>
        </w:tc>
      </w:tr>
      <w:tr w:rsidR="005444D6" w:rsidRPr="00B22BCB" w14:paraId="67B3343E" w14:textId="77777777" w:rsidTr="005C61AC">
        <w:tc>
          <w:tcPr>
            <w:tcW w:w="5000" w:type="pct"/>
            <w:gridSpan w:val="6"/>
            <w:tcBorders>
              <w:top w:val="single" w:sz="4" w:space="0" w:color="auto"/>
              <w:bottom w:val="single" w:sz="4" w:space="0" w:color="auto"/>
            </w:tcBorders>
          </w:tcPr>
          <w:p w14:paraId="0491C806" w14:textId="77777777" w:rsidR="005444D6" w:rsidRPr="00B22BCB" w:rsidRDefault="005444D6" w:rsidP="00B76BAF">
            <w:pPr>
              <w:pStyle w:val="Btable"/>
              <w:rPr>
                <w:rFonts w:ascii="Arial Narrow" w:hAnsi="Arial Narrow"/>
              </w:rPr>
            </w:pPr>
            <w:r w:rsidRPr="00B22BCB">
              <w:rPr>
                <w:rFonts w:ascii="Arial Narrow" w:hAnsi="Arial Narrow"/>
              </w:rPr>
              <w:t xml:space="preserve"> Asciminib (</w:t>
            </w:r>
            <w:r w:rsidRPr="00B22BCB">
              <w:rPr>
                <w:rFonts w:ascii="Arial Narrow" w:hAnsi="Arial Narrow" w:cs="Calibri"/>
              </w:rPr>
              <w:t>≥</w:t>
            </w:r>
            <w:r w:rsidRPr="00B22BCB">
              <w:rPr>
                <w:rFonts w:ascii="Arial Narrow" w:hAnsi="Arial Narrow"/>
              </w:rPr>
              <w:t xml:space="preserve"> 2 prior TKIs) vs CML-CP ENACT (</w:t>
            </w:r>
            <w:r w:rsidRPr="00B22BCB">
              <w:rPr>
                <w:rFonts w:ascii="Arial Narrow" w:hAnsi="Arial Narrow" w:cs="Calibri"/>
              </w:rPr>
              <w:t>≥</w:t>
            </w:r>
            <w:r w:rsidRPr="00B22BCB">
              <w:rPr>
                <w:rFonts w:ascii="Arial Narrow" w:hAnsi="Arial Narrow"/>
              </w:rPr>
              <w:t xml:space="preserve"> 1 prior TKI)</w:t>
            </w:r>
          </w:p>
        </w:tc>
      </w:tr>
      <w:tr w:rsidR="005444D6" w:rsidRPr="00B22BCB" w14:paraId="25292A9C" w14:textId="77777777" w:rsidTr="005C61AC">
        <w:tc>
          <w:tcPr>
            <w:tcW w:w="717" w:type="pct"/>
            <w:tcBorders>
              <w:top w:val="single" w:sz="4" w:space="0" w:color="auto"/>
              <w:bottom w:val="single" w:sz="4" w:space="0" w:color="auto"/>
            </w:tcBorders>
          </w:tcPr>
          <w:p w14:paraId="3275CC96" w14:textId="77777777" w:rsidR="00E135C1" w:rsidRDefault="005444D6" w:rsidP="00B76BAF">
            <w:pPr>
              <w:pStyle w:val="Tabletext"/>
            </w:pPr>
            <w:r w:rsidRPr="00B22BCB">
              <w:t xml:space="preserve">24 weeks </w:t>
            </w:r>
          </w:p>
          <w:p w14:paraId="60E812DA" w14:textId="5D056162" w:rsidR="005444D6" w:rsidRPr="00B22BCB" w:rsidRDefault="005444D6" w:rsidP="00B76BAF">
            <w:pPr>
              <w:pStyle w:val="Tabletext"/>
            </w:pPr>
            <w:r w:rsidRPr="00B22BCB">
              <w:t>(6 months)</w:t>
            </w:r>
          </w:p>
        </w:tc>
        <w:tc>
          <w:tcPr>
            <w:tcW w:w="733" w:type="pct"/>
            <w:tcBorders>
              <w:top w:val="single" w:sz="4" w:space="0" w:color="auto"/>
              <w:bottom w:val="single" w:sz="4" w:space="0" w:color="auto"/>
            </w:tcBorders>
          </w:tcPr>
          <w:p w14:paraId="4228175A" w14:textId="77777777" w:rsidR="005444D6" w:rsidRPr="00B22BCB" w:rsidRDefault="005444D6" w:rsidP="00B76BAF">
            <w:pPr>
              <w:pStyle w:val="Tablecentre"/>
              <w:rPr>
                <w:rFonts w:ascii="Arial Narrow" w:hAnsi="Arial Narrow"/>
              </w:rPr>
            </w:pPr>
            <w:r w:rsidRPr="00B22BCB">
              <w:rPr>
                <w:rFonts w:ascii="Arial Narrow" w:hAnsi="Arial Narrow"/>
              </w:rPr>
              <w:t>N = 103</w:t>
            </w:r>
          </w:p>
          <w:p w14:paraId="1714AF97" w14:textId="77777777" w:rsidR="005444D6" w:rsidRPr="00B22BCB" w:rsidRDefault="005444D6" w:rsidP="00B76BAF">
            <w:pPr>
              <w:pStyle w:val="Tablecentre"/>
              <w:rPr>
                <w:rFonts w:ascii="Arial Narrow" w:hAnsi="Arial Narrow"/>
              </w:rPr>
            </w:pPr>
            <w:r w:rsidRPr="00B22BCB">
              <w:rPr>
                <w:rFonts w:ascii="Arial Narrow" w:hAnsi="Arial Narrow"/>
              </w:rPr>
              <w:t>42 (40.8)</w:t>
            </w:r>
          </w:p>
        </w:tc>
        <w:tc>
          <w:tcPr>
            <w:tcW w:w="733" w:type="pct"/>
            <w:tcBorders>
              <w:top w:val="single" w:sz="4" w:space="0" w:color="auto"/>
              <w:bottom w:val="single" w:sz="4" w:space="0" w:color="auto"/>
            </w:tcBorders>
          </w:tcPr>
          <w:p w14:paraId="0FA0E9CF" w14:textId="77777777" w:rsidR="005444D6" w:rsidRPr="00B22BCB" w:rsidRDefault="005444D6" w:rsidP="00B76BAF">
            <w:pPr>
              <w:pStyle w:val="Tablecentre"/>
              <w:rPr>
                <w:rFonts w:ascii="Arial Narrow" w:hAnsi="Arial Narrow"/>
              </w:rPr>
            </w:pPr>
            <w:r w:rsidRPr="00B22BCB">
              <w:rPr>
                <w:rFonts w:ascii="Arial Narrow" w:hAnsi="Arial Narrow"/>
              </w:rPr>
              <w:t>N = 1422</w:t>
            </w:r>
          </w:p>
          <w:p w14:paraId="2B365549" w14:textId="77777777" w:rsidR="005444D6" w:rsidRPr="00B22BCB" w:rsidRDefault="005444D6" w:rsidP="00B76BAF">
            <w:pPr>
              <w:pStyle w:val="Tablecentre"/>
              <w:rPr>
                <w:rFonts w:ascii="Arial Narrow" w:hAnsi="Arial Narrow"/>
              </w:rPr>
            </w:pPr>
            <w:r w:rsidRPr="00B22BCB">
              <w:rPr>
                <w:rFonts w:ascii="Arial Narrow" w:hAnsi="Arial Narrow"/>
              </w:rPr>
              <w:t>381 (26.8)</w:t>
            </w:r>
          </w:p>
        </w:tc>
        <w:tc>
          <w:tcPr>
            <w:tcW w:w="939" w:type="pct"/>
            <w:tcBorders>
              <w:top w:val="single" w:sz="4" w:space="0" w:color="auto"/>
              <w:bottom w:val="single" w:sz="4" w:space="0" w:color="auto"/>
            </w:tcBorders>
          </w:tcPr>
          <w:p w14:paraId="1C48F4C0" w14:textId="77777777" w:rsidR="00E135C1" w:rsidRDefault="005444D6" w:rsidP="00B76BAF">
            <w:pPr>
              <w:pStyle w:val="Tablecentre"/>
              <w:rPr>
                <w:rFonts w:ascii="Arial Narrow" w:hAnsi="Arial Narrow"/>
                <w:b/>
                <w:bCs/>
              </w:rPr>
            </w:pPr>
            <w:r w:rsidRPr="00B22BCB">
              <w:rPr>
                <w:rFonts w:ascii="Arial Narrow" w:hAnsi="Arial Narrow"/>
                <w:b/>
                <w:bCs/>
              </w:rPr>
              <w:t xml:space="preserve">1.88 (1.25, 2.84); </w:t>
            </w:r>
          </w:p>
          <w:p w14:paraId="5E729601" w14:textId="457107E7" w:rsidR="005444D6" w:rsidRPr="00B22BCB" w:rsidRDefault="005444D6" w:rsidP="00B76BAF">
            <w:pPr>
              <w:pStyle w:val="Tablecentre"/>
              <w:rPr>
                <w:rFonts w:ascii="Arial Narrow" w:hAnsi="Arial Narrow"/>
                <w:b/>
                <w:bCs/>
              </w:rPr>
            </w:pPr>
            <w:r w:rsidRPr="00B22BCB">
              <w:rPr>
                <w:rFonts w:ascii="Arial Narrow" w:hAnsi="Arial Narrow"/>
                <w:b/>
                <w:bCs/>
              </w:rPr>
              <w:t>p = 0.003</w:t>
            </w:r>
          </w:p>
        </w:tc>
        <w:tc>
          <w:tcPr>
            <w:tcW w:w="939" w:type="pct"/>
            <w:tcBorders>
              <w:top w:val="single" w:sz="4" w:space="0" w:color="auto"/>
              <w:bottom w:val="single" w:sz="4" w:space="0" w:color="auto"/>
            </w:tcBorders>
          </w:tcPr>
          <w:p w14:paraId="40F20FF0" w14:textId="77777777" w:rsidR="00E135C1" w:rsidRDefault="005444D6" w:rsidP="00B76BAF">
            <w:pPr>
              <w:pStyle w:val="Tablecentre"/>
              <w:rPr>
                <w:rFonts w:ascii="Arial Narrow" w:hAnsi="Arial Narrow"/>
                <w:b/>
                <w:bCs/>
              </w:rPr>
            </w:pPr>
            <w:r w:rsidRPr="00B22BCB">
              <w:rPr>
                <w:rFonts w:ascii="Arial Narrow" w:hAnsi="Arial Narrow"/>
                <w:b/>
                <w:bCs/>
              </w:rPr>
              <w:t xml:space="preserve">1.52 (1.19, 1.95); </w:t>
            </w:r>
          </w:p>
          <w:p w14:paraId="6CF17EF3" w14:textId="35E22D56" w:rsidR="005444D6" w:rsidRPr="00B22BCB" w:rsidRDefault="005444D6" w:rsidP="00B76BAF">
            <w:pPr>
              <w:pStyle w:val="Tablecentre"/>
              <w:rPr>
                <w:rFonts w:ascii="Arial Narrow" w:hAnsi="Arial Narrow"/>
                <w:b/>
                <w:bCs/>
              </w:rPr>
            </w:pPr>
            <w:r w:rsidRPr="00B22BCB">
              <w:rPr>
                <w:rFonts w:ascii="Arial Narrow" w:hAnsi="Arial Narrow"/>
                <w:b/>
                <w:bCs/>
              </w:rPr>
              <w:t>p = 0.0009</w:t>
            </w:r>
          </w:p>
        </w:tc>
        <w:tc>
          <w:tcPr>
            <w:tcW w:w="939" w:type="pct"/>
            <w:tcBorders>
              <w:top w:val="single" w:sz="4" w:space="0" w:color="auto"/>
              <w:bottom w:val="single" w:sz="4" w:space="0" w:color="auto"/>
            </w:tcBorders>
          </w:tcPr>
          <w:p w14:paraId="1E527955" w14:textId="77777777" w:rsidR="00E135C1" w:rsidRDefault="005444D6" w:rsidP="00B76BAF">
            <w:pPr>
              <w:pStyle w:val="Tablecentre"/>
              <w:rPr>
                <w:rFonts w:ascii="Arial Narrow" w:hAnsi="Arial Narrow"/>
                <w:b/>
                <w:bCs/>
              </w:rPr>
            </w:pPr>
            <w:r w:rsidRPr="00B22BCB">
              <w:rPr>
                <w:rFonts w:ascii="Arial Narrow" w:hAnsi="Arial Narrow"/>
                <w:b/>
                <w:bCs/>
              </w:rPr>
              <w:t xml:space="preserve">0.14 (0.04, 0.24); </w:t>
            </w:r>
          </w:p>
          <w:p w14:paraId="07A02146" w14:textId="215A3FE8" w:rsidR="005444D6" w:rsidRPr="00B22BCB" w:rsidRDefault="005444D6" w:rsidP="00B76BAF">
            <w:pPr>
              <w:pStyle w:val="Tablecentre"/>
              <w:rPr>
                <w:rFonts w:ascii="Arial Narrow" w:hAnsi="Arial Narrow"/>
                <w:b/>
                <w:bCs/>
              </w:rPr>
            </w:pPr>
            <w:r w:rsidRPr="00B22BCB">
              <w:rPr>
                <w:rFonts w:ascii="Arial Narrow" w:hAnsi="Arial Narrow"/>
                <w:b/>
                <w:bCs/>
              </w:rPr>
              <w:t>p = 0.005</w:t>
            </w:r>
          </w:p>
        </w:tc>
      </w:tr>
    </w:tbl>
    <w:p w14:paraId="2A5BC0F9" w14:textId="77777777" w:rsidR="005444D6" w:rsidRPr="00B22BCB" w:rsidRDefault="005444D6" w:rsidP="005444D6">
      <w:pPr>
        <w:pStyle w:val="TableFigureFooter"/>
      </w:pPr>
      <w:r w:rsidRPr="00B22BCB">
        <w:t>Source: Table 2.6-6, p 94 of the submission.</w:t>
      </w:r>
    </w:p>
    <w:p w14:paraId="1D06DAF0" w14:textId="03F2EB67" w:rsidR="005444D6" w:rsidRPr="00B22BCB" w:rsidRDefault="005444D6" w:rsidP="005444D6">
      <w:pPr>
        <w:pStyle w:val="TableFigureFooter"/>
      </w:pPr>
      <w:r w:rsidRPr="00B22BCB">
        <w:t xml:space="preserve">CCyR = complete cytogenetic response; CI = confidence interval; </w:t>
      </w:r>
      <w:r w:rsidR="00796DB1" w:rsidRPr="00B22BCB">
        <w:t xml:space="preserve">ITT = intention-to-treat; </w:t>
      </w:r>
      <w:r w:rsidRPr="00B22BCB">
        <w:t>OR = odds ratio; RD = risk difference; RR = relative risk</w:t>
      </w:r>
    </w:p>
    <w:p w14:paraId="4B4B1836" w14:textId="1D78BAC0" w:rsidR="00CC6E4D" w:rsidRPr="00B22BCB" w:rsidRDefault="00796DB1" w:rsidP="00CC6E4D">
      <w:pPr>
        <w:pStyle w:val="TableFigureFooter"/>
      </w:pPr>
      <w:r w:rsidRPr="00B22BCB">
        <w:rPr>
          <w:vertAlign w:val="superscript"/>
        </w:rPr>
        <w:t>a</w:t>
      </w:r>
      <w:r w:rsidR="005444D6" w:rsidRPr="00B22BCB">
        <w:t xml:space="preserve"> Calculated using RevMan v5.3 </w:t>
      </w:r>
      <w:r w:rsidR="00B222C2" w:rsidRPr="00B22BCB">
        <w:t>by the submission</w:t>
      </w:r>
    </w:p>
    <w:p w14:paraId="0CE1F4D9" w14:textId="2F593166" w:rsidR="00796DB1" w:rsidRPr="00B22BCB" w:rsidRDefault="00796DB1" w:rsidP="00CC6E4D">
      <w:pPr>
        <w:pStyle w:val="TableFigureFooter"/>
      </w:pPr>
      <w:r w:rsidRPr="00B22BCB">
        <w:rPr>
          <w:vertAlign w:val="superscript"/>
        </w:rPr>
        <w:t>b</w:t>
      </w:r>
      <w:r w:rsidRPr="00B22BCB">
        <w:t xml:space="preserve"> Based on patients who were not in CCyR at baseline.</w:t>
      </w:r>
    </w:p>
    <w:p w14:paraId="6AF1ABE5" w14:textId="3B551D20" w:rsidR="00CC6E4D" w:rsidRPr="00B22BCB" w:rsidRDefault="00CC6E4D" w:rsidP="00CC6E4D">
      <w:pPr>
        <w:pStyle w:val="TableFigureFooter"/>
      </w:pPr>
      <w:r w:rsidRPr="00B22BCB">
        <w:rPr>
          <w:b/>
        </w:rPr>
        <w:t>Bold</w:t>
      </w:r>
      <w:r w:rsidRPr="00B22BCB">
        <w:rPr>
          <w:bCs/>
        </w:rPr>
        <w:t xml:space="preserve"> indicates statistically significant differences.</w:t>
      </w:r>
    </w:p>
    <w:p w14:paraId="601E095C" w14:textId="0ACF8098" w:rsidR="005444D6" w:rsidRDefault="005444D6" w:rsidP="005C0650">
      <w:pPr>
        <w:pStyle w:val="TableFigureFooter"/>
      </w:pPr>
    </w:p>
    <w:p w14:paraId="55850A6E" w14:textId="00419671" w:rsidR="009A54EC" w:rsidRPr="00B22BCB" w:rsidRDefault="009A54EC" w:rsidP="005C0650">
      <w:pPr>
        <w:pStyle w:val="TableFigureFooter"/>
      </w:pPr>
      <w:r w:rsidRPr="00857DC0">
        <w:rPr>
          <w:rFonts w:asciiTheme="minorHAnsi" w:hAnsiTheme="minorHAnsi" w:cstheme="minorHAnsi"/>
          <w:b/>
          <w:bCs/>
          <w:i/>
          <w:iCs/>
          <w:sz w:val="24"/>
          <w:szCs w:val="24"/>
          <w:u w:val="single"/>
        </w:rPr>
        <w:t xml:space="preserve">Asciminib versus </w:t>
      </w:r>
      <w:r w:rsidRPr="009A54EC">
        <w:rPr>
          <w:rFonts w:asciiTheme="minorHAnsi" w:hAnsiTheme="minorHAnsi" w:cstheme="minorHAnsi"/>
          <w:b/>
          <w:bCs/>
          <w:i/>
          <w:iCs/>
          <w:sz w:val="24"/>
          <w:szCs w:val="24"/>
          <w:u w:val="single"/>
        </w:rPr>
        <w:t>ponatinib</w:t>
      </w:r>
    </w:p>
    <w:p w14:paraId="47D303F9" w14:textId="4881B29C" w:rsidR="002515FE" w:rsidRPr="002B4570" w:rsidRDefault="002515FE" w:rsidP="002515FE">
      <w:pPr>
        <w:pStyle w:val="3-BodyText"/>
      </w:pPr>
      <w:r w:rsidRPr="00B22BCB">
        <w:t xml:space="preserve">The </w:t>
      </w:r>
      <w:r w:rsidR="00337BFF" w:rsidRPr="00B22BCB">
        <w:t>asciminib</w:t>
      </w:r>
      <w:r w:rsidRPr="00B22BCB">
        <w:t xml:space="preserve"> vs ponatinib comparison is provided in </w:t>
      </w:r>
      <w:r w:rsidR="00722504" w:rsidRPr="00B22BCB">
        <w:fldChar w:fldCharType="begin"/>
      </w:r>
      <w:r w:rsidR="00722504" w:rsidRPr="00B22BCB">
        <w:instrText xml:space="preserve"> REF _Ref102930443 \h </w:instrText>
      </w:r>
      <w:r w:rsidR="00722504" w:rsidRPr="00B22BCB">
        <w:fldChar w:fldCharType="separate"/>
      </w:r>
      <w:r w:rsidR="00A914F4" w:rsidRPr="00B22BCB">
        <w:t xml:space="preserve">Table </w:t>
      </w:r>
      <w:r w:rsidR="00A914F4">
        <w:rPr>
          <w:noProof/>
        </w:rPr>
        <w:t>9</w:t>
      </w:r>
      <w:r w:rsidR="00722504" w:rsidRPr="00B22BCB">
        <w:fldChar w:fldCharType="end"/>
      </w:r>
      <w:r w:rsidR="00CF489B" w:rsidRPr="00B22BCB">
        <w:t>, and produced no significant differences</w:t>
      </w:r>
      <w:r w:rsidRPr="00B22BCB">
        <w:t>.</w:t>
      </w:r>
      <w:r w:rsidR="00B40AFF" w:rsidRPr="00B22BCB">
        <w:t xml:space="preserve"> </w:t>
      </w:r>
      <w:r w:rsidR="00B40AFF" w:rsidRPr="002B4570">
        <w:t xml:space="preserve">The efficacy data </w:t>
      </w:r>
      <w:r w:rsidR="00FE10C2" w:rsidRPr="002B4570">
        <w:t>were</w:t>
      </w:r>
      <w:r w:rsidR="00B40AFF" w:rsidRPr="002B4570">
        <w:t xml:space="preserve"> based on </w:t>
      </w:r>
      <w:r w:rsidR="004C24F8" w:rsidRPr="002B4570">
        <w:t xml:space="preserve">the ASCEMBL updated analysis, so exposure to treatment between </w:t>
      </w:r>
      <w:r w:rsidR="00337BFF" w:rsidRPr="002B4570">
        <w:t>asciminib</w:t>
      </w:r>
      <w:r w:rsidR="004C24F8" w:rsidRPr="002B4570">
        <w:t xml:space="preserve"> and ponatinib was 67 vs 56 weeks (</w:t>
      </w:r>
      <w:r w:rsidR="004C24F8" w:rsidRPr="002B4570">
        <w:fldChar w:fldCharType="begin"/>
      </w:r>
      <w:r w:rsidR="004C24F8" w:rsidRPr="002B4570">
        <w:instrText xml:space="preserve"> REF _Ref102049883 \h  \* MERGEFORMAT </w:instrText>
      </w:r>
      <w:r w:rsidR="004C24F8" w:rsidRPr="002B4570">
        <w:fldChar w:fldCharType="separate"/>
      </w:r>
      <w:r w:rsidR="00A914F4" w:rsidRPr="00B22BCB">
        <w:t xml:space="preserve">Table </w:t>
      </w:r>
      <w:r w:rsidR="00A914F4">
        <w:rPr>
          <w:noProof/>
        </w:rPr>
        <w:t>6</w:t>
      </w:r>
      <w:r w:rsidR="004C24F8" w:rsidRPr="002B4570">
        <w:fldChar w:fldCharType="end"/>
      </w:r>
      <w:r w:rsidR="004C24F8" w:rsidRPr="002B4570">
        <w:t>).</w:t>
      </w:r>
      <w:r w:rsidR="00B40AFF" w:rsidRPr="002B4570">
        <w:t xml:space="preserve"> The ‘total CML-CP population’ of PACE included 64</w:t>
      </w:r>
      <w:r w:rsidR="00722504" w:rsidRPr="002B4570">
        <w:t>/267</w:t>
      </w:r>
      <w:r w:rsidR="00B40AFF" w:rsidRPr="002B4570">
        <w:t xml:space="preserve"> patients with the T315I mutation.</w:t>
      </w:r>
    </w:p>
    <w:p w14:paraId="53B805B1" w14:textId="37B0D5E8" w:rsidR="002515FE" w:rsidRPr="00B22BCB" w:rsidRDefault="00722504" w:rsidP="00AB4F8F">
      <w:pPr>
        <w:pStyle w:val="TableFigureHeading"/>
        <w:keepLines/>
      </w:pPr>
      <w:bookmarkStart w:id="35" w:name="_Ref102930443"/>
      <w:r w:rsidRPr="00B22BCB">
        <w:t xml:space="preserve">Table </w:t>
      </w:r>
      <w:r w:rsidR="00CA52C1">
        <w:fldChar w:fldCharType="begin"/>
      </w:r>
      <w:r w:rsidR="00CA52C1">
        <w:instrText xml:space="preserve"> SEQ Table \* ARABIC </w:instrText>
      </w:r>
      <w:r w:rsidR="00CA52C1">
        <w:fldChar w:fldCharType="separate"/>
      </w:r>
      <w:r w:rsidR="00A914F4">
        <w:rPr>
          <w:noProof/>
        </w:rPr>
        <w:t>9</w:t>
      </w:r>
      <w:r w:rsidR="00CA52C1">
        <w:rPr>
          <w:noProof/>
        </w:rPr>
        <w:fldChar w:fldCharType="end"/>
      </w:r>
      <w:bookmarkEnd w:id="35"/>
      <w:r w:rsidR="002515FE" w:rsidRPr="00B22BCB">
        <w:rPr>
          <w:noProof/>
        </w:rPr>
        <w:t>:</w:t>
      </w:r>
      <w:r w:rsidR="002515FE" w:rsidRPr="00B22BCB">
        <w:t xml:space="preserve"> </w:t>
      </w:r>
      <w:r w:rsidR="00E9298A">
        <w:t>Unadjusted, unanchored</w:t>
      </w:r>
      <w:r w:rsidR="00E9298A" w:rsidRPr="00B22BCB">
        <w:t xml:space="preserve"> </w:t>
      </w:r>
      <w:r w:rsidR="002515FE" w:rsidRPr="00B22BCB">
        <w:t xml:space="preserve">comparison: Cumulative MMR and CCyR rates, ASCEMBL secondary analysis vs </w:t>
      </w:r>
      <w:r w:rsidR="00BB78E3" w:rsidRPr="00B22BCB">
        <w:t>ponatinib (</w:t>
      </w:r>
      <w:r w:rsidR="002515FE" w:rsidRPr="00B22BCB">
        <w:t>PACE primary analysis</w:t>
      </w:r>
      <w:r w:rsidR="00BB78E3" w:rsidRPr="00B22BCB">
        <w:t>)</w:t>
      </w:r>
    </w:p>
    <w:tbl>
      <w:tblPr>
        <w:tblStyle w:val="TableGrid"/>
        <w:tblW w:w="5000" w:type="pct"/>
        <w:tblLook w:val="04A0" w:firstRow="1" w:lastRow="0" w:firstColumn="1" w:lastColumn="0" w:noHBand="0" w:noVBand="1"/>
      </w:tblPr>
      <w:tblGrid>
        <w:gridCol w:w="3255"/>
        <w:gridCol w:w="1205"/>
        <w:gridCol w:w="1205"/>
        <w:gridCol w:w="1675"/>
        <w:gridCol w:w="1677"/>
      </w:tblGrid>
      <w:tr w:rsidR="002515FE" w:rsidRPr="00B22BCB" w14:paraId="49C517A0" w14:textId="77777777" w:rsidTr="00050DDB">
        <w:tc>
          <w:tcPr>
            <w:tcW w:w="1805" w:type="pct"/>
            <w:tcBorders>
              <w:bottom w:val="single" w:sz="4" w:space="0" w:color="auto"/>
            </w:tcBorders>
            <w:shd w:val="clear" w:color="auto" w:fill="auto"/>
          </w:tcPr>
          <w:p w14:paraId="55BF3C27" w14:textId="319AA770" w:rsidR="002515FE" w:rsidRPr="00B22BCB" w:rsidRDefault="002515FE" w:rsidP="00AB4F8F">
            <w:pPr>
              <w:keepNext/>
              <w:keepLines/>
              <w:spacing w:line="276" w:lineRule="auto"/>
              <w:jc w:val="center"/>
              <w:rPr>
                <w:rFonts w:ascii="Arial Narrow" w:eastAsia="Calibri" w:hAnsi="Arial Narrow" w:cs="Times New Roman"/>
                <w:b/>
                <w:sz w:val="20"/>
                <w:szCs w:val="20"/>
              </w:rPr>
            </w:pPr>
          </w:p>
        </w:tc>
        <w:tc>
          <w:tcPr>
            <w:tcW w:w="668" w:type="pct"/>
            <w:tcBorders>
              <w:bottom w:val="single" w:sz="4" w:space="0" w:color="auto"/>
            </w:tcBorders>
            <w:shd w:val="clear" w:color="auto" w:fill="auto"/>
          </w:tcPr>
          <w:p w14:paraId="4848CB6B" w14:textId="77777777" w:rsidR="002515FE" w:rsidRDefault="002515FE"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Asciminib</w:t>
            </w:r>
          </w:p>
          <w:p w14:paraId="2CC26C8C" w14:textId="77777777" w:rsidR="00ED1A72" w:rsidRPr="00ED1A72" w:rsidRDefault="00ED1A72" w:rsidP="00AB4F8F">
            <w:pPr>
              <w:keepNext/>
              <w:keepLines/>
              <w:spacing w:line="276" w:lineRule="auto"/>
              <w:jc w:val="center"/>
              <w:rPr>
                <w:rFonts w:ascii="Arial Narrow" w:eastAsia="Calibri" w:hAnsi="Arial Narrow" w:cs="Times New Roman"/>
                <w:b/>
                <w:sz w:val="20"/>
                <w:szCs w:val="20"/>
              </w:rPr>
            </w:pPr>
            <w:r w:rsidRPr="00ED1A72">
              <w:rPr>
                <w:rFonts w:ascii="Arial Narrow" w:eastAsia="Calibri" w:hAnsi="Arial Narrow" w:cs="Times New Roman"/>
                <w:b/>
                <w:sz w:val="20"/>
                <w:szCs w:val="20"/>
              </w:rPr>
              <w:t>N</w:t>
            </w:r>
          </w:p>
          <w:p w14:paraId="247390BE" w14:textId="39CB12CC" w:rsidR="00ED1A72" w:rsidRPr="00B22BCB" w:rsidRDefault="00ED1A72" w:rsidP="00AB4F8F">
            <w:pPr>
              <w:keepNext/>
              <w:keepLines/>
              <w:spacing w:line="276" w:lineRule="auto"/>
              <w:jc w:val="center"/>
              <w:rPr>
                <w:rFonts w:ascii="Arial Narrow" w:eastAsia="Calibri" w:hAnsi="Arial Narrow" w:cs="Times New Roman"/>
                <w:b/>
                <w:sz w:val="20"/>
                <w:szCs w:val="20"/>
              </w:rPr>
            </w:pPr>
            <w:r w:rsidRPr="00ED1A72">
              <w:rPr>
                <w:rFonts w:ascii="Arial Narrow" w:eastAsia="Calibri" w:hAnsi="Arial Narrow" w:cs="Times New Roman"/>
                <w:b/>
                <w:sz w:val="20"/>
                <w:szCs w:val="20"/>
              </w:rPr>
              <w:t>n (%)</w:t>
            </w:r>
          </w:p>
        </w:tc>
        <w:tc>
          <w:tcPr>
            <w:tcW w:w="668" w:type="pct"/>
            <w:tcBorders>
              <w:bottom w:val="single" w:sz="4" w:space="0" w:color="auto"/>
            </w:tcBorders>
            <w:shd w:val="clear" w:color="auto" w:fill="auto"/>
          </w:tcPr>
          <w:p w14:paraId="25D9655B" w14:textId="77777777" w:rsidR="002515FE" w:rsidRDefault="002515FE"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Ponatinib</w:t>
            </w:r>
          </w:p>
          <w:p w14:paraId="5778F2B2" w14:textId="77777777" w:rsidR="00ED1A72" w:rsidRPr="00ED1A72" w:rsidRDefault="00ED1A72" w:rsidP="00AB4F8F">
            <w:pPr>
              <w:keepNext/>
              <w:keepLines/>
              <w:spacing w:line="276" w:lineRule="auto"/>
              <w:jc w:val="center"/>
              <w:rPr>
                <w:rFonts w:ascii="Arial Narrow" w:eastAsia="Calibri" w:hAnsi="Arial Narrow" w:cs="Times New Roman"/>
                <w:b/>
                <w:sz w:val="20"/>
                <w:szCs w:val="20"/>
              </w:rPr>
            </w:pPr>
            <w:r w:rsidRPr="00ED1A72">
              <w:rPr>
                <w:rFonts w:ascii="Arial Narrow" w:eastAsia="Calibri" w:hAnsi="Arial Narrow" w:cs="Times New Roman"/>
                <w:b/>
                <w:sz w:val="20"/>
                <w:szCs w:val="20"/>
              </w:rPr>
              <w:t>N</w:t>
            </w:r>
          </w:p>
          <w:p w14:paraId="00848412" w14:textId="56037B84" w:rsidR="00ED1A72" w:rsidRPr="00B22BCB" w:rsidRDefault="00ED1A72" w:rsidP="00AB4F8F">
            <w:pPr>
              <w:keepNext/>
              <w:keepLines/>
              <w:spacing w:line="276" w:lineRule="auto"/>
              <w:jc w:val="center"/>
              <w:rPr>
                <w:rFonts w:ascii="Arial Narrow" w:eastAsia="Calibri" w:hAnsi="Arial Narrow" w:cs="Times New Roman"/>
                <w:b/>
                <w:sz w:val="20"/>
                <w:szCs w:val="20"/>
              </w:rPr>
            </w:pPr>
            <w:r w:rsidRPr="00ED1A72">
              <w:rPr>
                <w:rFonts w:ascii="Arial Narrow" w:eastAsia="Calibri" w:hAnsi="Arial Narrow" w:cs="Times New Roman"/>
                <w:b/>
                <w:sz w:val="20"/>
                <w:szCs w:val="20"/>
              </w:rPr>
              <w:t>n (%)</w:t>
            </w:r>
          </w:p>
        </w:tc>
        <w:tc>
          <w:tcPr>
            <w:tcW w:w="929" w:type="pct"/>
            <w:tcBorders>
              <w:bottom w:val="single" w:sz="4" w:space="0" w:color="auto"/>
            </w:tcBorders>
            <w:shd w:val="clear" w:color="auto" w:fill="auto"/>
          </w:tcPr>
          <w:p w14:paraId="51DB58E8" w14:textId="77777777" w:rsidR="002515FE" w:rsidRDefault="00722504"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 xml:space="preserve">Unadjusted </w:t>
            </w:r>
            <w:r w:rsidR="002515FE" w:rsidRPr="00B22BCB">
              <w:rPr>
                <w:rFonts w:ascii="Arial Narrow" w:eastAsia="Calibri" w:hAnsi="Arial Narrow" w:cs="Times New Roman"/>
                <w:b/>
                <w:sz w:val="20"/>
                <w:szCs w:val="20"/>
              </w:rPr>
              <w:t>RR (95% CI)</w:t>
            </w:r>
            <w:r w:rsidR="002515FE" w:rsidRPr="00B22BCB">
              <w:rPr>
                <w:rFonts w:ascii="Arial Narrow" w:eastAsia="Calibri" w:hAnsi="Arial Narrow" w:cs="Times New Roman"/>
                <w:b/>
                <w:sz w:val="20"/>
                <w:szCs w:val="20"/>
                <w:vertAlign w:val="superscript"/>
              </w:rPr>
              <w:t>a</w:t>
            </w:r>
          </w:p>
          <w:p w14:paraId="730C9454" w14:textId="72FF25A1" w:rsidR="00ED1A72" w:rsidRPr="00ED1A72" w:rsidRDefault="00ED1A72" w:rsidP="00AB4F8F">
            <w:pPr>
              <w:keepNext/>
              <w:keepLines/>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c>
          <w:tcPr>
            <w:tcW w:w="930" w:type="pct"/>
            <w:tcBorders>
              <w:bottom w:val="single" w:sz="4" w:space="0" w:color="auto"/>
            </w:tcBorders>
            <w:shd w:val="clear" w:color="auto" w:fill="auto"/>
          </w:tcPr>
          <w:p w14:paraId="3E901F0B" w14:textId="77777777" w:rsidR="002515FE" w:rsidRDefault="00722504"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 xml:space="preserve">Unadjusted </w:t>
            </w:r>
            <w:r w:rsidR="002515FE" w:rsidRPr="00B22BCB">
              <w:rPr>
                <w:rFonts w:ascii="Arial Narrow" w:eastAsia="Calibri" w:hAnsi="Arial Narrow" w:cs="Times New Roman"/>
                <w:b/>
                <w:sz w:val="20"/>
                <w:szCs w:val="20"/>
              </w:rPr>
              <w:t>RD (95% CI)</w:t>
            </w:r>
            <w:r w:rsidR="002515FE" w:rsidRPr="00B22BCB">
              <w:rPr>
                <w:rFonts w:ascii="Arial Narrow" w:eastAsia="Calibri" w:hAnsi="Arial Narrow" w:cs="Times New Roman"/>
                <w:b/>
                <w:sz w:val="20"/>
                <w:szCs w:val="20"/>
                <w:vertAlign w:val="superscript"/>
              </w:rPr>
              <w:t>a</w:t>
            </w:r>
          </w:p>
          <w:p w14:paraId="44A35A1E" w14:textId="1983B0FA" w:rsidR="00ED1A72" w:rsidRPr="00ED1A72" w:rsidRDefault="00ED1A72" w:rsidP="00AB4F8F">
            <w:pPr>
              <w:keepNext/>
              <w:keepLines/>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r>
      <w:tr w:rsidR="002515FE" w:rsidRPr="00B22BCB" w14:paraId="05C9A977" w14:textId="77777777" w:rsidTr="00D428E6">
        <w:tc>
          <w:tcPr>
            <w:tcW w:w="5000" w:type="pct"/>
            <w:gridSpan w:val="5"/>
            <w:tcBorders>
              <w:bottom w:val="single" w:sz="4" w:space="0" w:color="auto"/>
            </w:tcBorders>
            <w:shd w:val="clear" w:color="auto" w:fill="auto"/>
          </w:tcPr>
          <w:p w14:paraId="29283017" w14:textId="77777777"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 Cumulative MMR rates</w:t>
            </w:r>
          </w:p>
        </w:tc>
      </w:tr>
      <w:tr w:rsidR="002515FE" w:rsidRPr="00B22BCB" w14:paraId="62412CBB" w14:textId="77777777" w:rsidTr="00050DDB">
        <w:trPr>
          <w:trHeight w:val="75"/>
        </w:trPr>
        <w:tc>
          <w:tcPr>
            <w:tcW w:w="1805" w:type="pct"/>
            <w:tcBorders>
              <w:bottom w:val="nil"/>
            </w:tcBorders>
            <w:shd w:val="clear" w:color="auto" w:fill="auto"/>
          </w:tcPr>
          <w:p w14:paraId="07541339" w14:textId="77777777" w:rsidR="00ED1A72" w:rsidRDefault="00722504"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Number of responders</w:t>
            </w:r>
            <w:r w:rsidR="002515FE" w:rsidRPr="00B22BCB">
              <w:rPr>
                <w:rFonts w:ascii="Arial Narrow" w:eastAsia="Calibri" w:hAnsi="Arial Narrow" w:cs="Times New Roman"/>
                <w:b/>
                <w:bCs/>
                <w:sz w:val="20"/>
                <w:szCs w:val="20"/>
              </w:rPr>
              <w:t xml:space="preserve"> by 24 weeks </w:t>
            </w:r>
          </w:p>
          <w:p w14:paraId="2476FC2B" w14:textId="0405CD41"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(6 months)</w:t>
            </w:r>
          </w:p>
        </w:tc>
        <w:tc>
          <w:tcPr>
            <w:tcW w:w="668" w:type="pct"/>
            <w:tcBorders>
              <w:bottom w:val="nil"/>
            </w:tcBorders>
            <w:shd w:val="clear" w:color="auto" w:fill="auto"/>
          </w:tcPr>
          <w:p w14:paraId="03B4D178"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668" w:type="pct"/>
            <w:tcBorders>
              <w:bottom w:val="nil"/>
            </w:tcBorders>
            <w:shd w:val="clear" w:color="auto" w:fill="auto"/>
          </w:tcPr>
          <w:p w14:paraId="4AD4A5E2"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bottom w:val="nil"/>
            </w:tcBorders>
            <w:shd w:val="clear" w:color="auto" w:fill="auto"/>
          </w:tcPr>
          <w:p w14:paraId="477290AF"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30" w:type="pct"/>
            <w:tcBorders>
              <w:bottom w:val="nil"/>
            </w:tcBorders>
            <w:shd w:val="clear" w:color="auto" w:fill="auto"/>
          </w:tcPr>
          <w:p w14:paraId="11256284"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r>
      <w:tr w:rsidR="002515FE" w:rsidRPr="00B22BCB" w14:paraId="76F1B53B" w14:textId="77777777" w:rsidTr="00050DDB">
        <w:trPr>
          <w:trHeight w:val="75"/>
        </w:trPr>
        <w:tc>
          <w:tcPr>
            <w:tcW w:w="1805" w:type="pct"/>
            <w:tcBorders>
              <w:top w:val="nil"/>
              <w:bottom w:val="nil"/>
            </w:tcBorders>
            <w:shd w:val="clear" w:color="auto" w:fill="auto"/>
          </w:tcPr>
          <w:p w14:paraId="795DE669" w14:textId="77777777" w:rsidR="002515FE" w:rsidRPr="00B22BCB" w:rsidRDefault="002515FE" w:rsidP="00AB4F8F">
            <w:pPr>
              <w:keepNext/>
              <w:keepLines/>
              <w:spacing w:line="276" w:lineRule="auto"/>
              <w:rPr>
                <w:rFonts w:ascii="Arial Narrow" w:eastAsia="Calibri" w:hAnsi="Arial Narrow" w:cs="Times New Roman"/>
                <w:sz w:val="20"/>
                <w:szCs w:val="20"/>
              </w:rPr>
            </w:pPr>
            <w:r w:rsidRPr="00B22BCB">
              <w:rPr>
                <w:rFonts w:ascii="Arial Narrow" w:eastAsia="Calibri" w:hAnsi="Arial Narrow" w:cs="Times New Roman"/>
                <w:sz w:val="20"/>
                <w:szCs w:val="20"/>
              </w:rPr>
              <w:t>Asciminib (total population) vs ponatinib (total CML-CP population)</w:t>
            </w:r>
          </w:p>
        </w:tc>
        <w:tc>
          <w:tcPr>
            <w:tcW w:w="668" w:type="pct"/>
            <w:tcBorders>
              <w:top w:val="nil"/>
              <w:bottom w:val="nil"/>
            </w:tcBorders>
            <w:shd w:val="clear" w:color="auto" w:fill="auto"/>
          </w:tcPr>
          <w:p w14:paraId="225D3A3D"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157</w:t>
            </w:r>
          </w:p>
          <w:p w14:paraId="6D9005CE"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43 (27.4)</w:t>
            </w:r>
          </w:p>
        </w:tc>
        <w:tc>
          <w:tcPr>
            <w:tcW w:w="668" w:type="pct"/>
            <w:tcBorders>
              <w:top w:val="nil"/>
              <w:bottom w:val="nil"/>
            </w:tcBorders>
            <w:shd w:val="clear" w:color="auto" w:fill="auto"/>
          </w:tcPr>
          <w:p w14:paraId="493BB34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267</w:t>
            </w:r>
          </w:p>
          <w:p w14:paraId="1258DBE6"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65 (24.3)</w:t>
            </w:r>
          </w:p>
        </w:tc>
        <w:tc>
          <w:tcPr>
            <w:tcW w:w="929" w:type="pct"/>
            <w:tcBorders>
              <w:top w:val="nil"/>
              <w:bottom w:val="nil"/>
            </w:tcBorders>
            <w:shd w:val="clear" w:color="auto" w:fill="auto"/>
          </w:tcPr>
          <w:p w14:paraId="07BFDA3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1.13 (0.81, 1.57)</w:t>
            </w:r>
          </w:p>
          <w:p w14:paraId="662311D9"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0.49</w:t>
            </w:r>
          </w:p>
        </w:tc>
        <w:tc>
          <w:tcPr>
            <w:tcW w:w="930" w:type="pct"/>
            <w:tcBorders>
              <w:top w:val="nil"/>
              <w:bottom w:val="nil"/>
            </w:tcBorders>
            <w:shd w:val="clear" w:color="auto" w:fill="auto"/>
          </w:tcPr>
          <w:p w14:paraId="6A708F91"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0.03 (-0.06, 0.12)</w:t>
            </w:r>
          </w:p>
          <w:p w14:paraId="7B40906E"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0.49</w:t>
            </w:r>
          </w:p>
        </w:tc>
      </w:tr>
      <w:tr w:rsidR="002515FE" w:rsidRPr="00B22BCB" w14:paraId="75B36AD1" w14:textId="77777777" w:rsidTr="00050DDB">
        <w:tc>
          <w:tcPr>
            <w:tcW w:w="1805" w:type="pct"/>
            <w:tcBorders>
              <w:top w:val="nil"/>
              <w:bottom w:val="nil"/>
            </w:tcBorders>
            <w:shd w:val="clear" w:color="auto" w:fill="auto"/>
          </w:tcPr>
          <w:p w14:paraId="31C2A094" w14:textId="77777777" w:rsidR="002515FE" w:rsidRPr="00B22BCB" w:rsidRDefault="002515FE" w:rsidP="00AB4F8F">
            <w:pPr>
              <w:keepNext/>
              <w:keepLines/>
              <w:rPr>
                <w:rFonts w:ascii="Arial Narrow" w:hAnsi="Arial Narrow" w:cs="Times New Roman"/>
                <w:snapToGrid w:val="0"/>
                <w:sz w:val="20"/>
                <w:szCs w:val="20"/>
              </w:rPr>
            </w:pPr>
            <w:r w:rsidRPr="00B22BCB">
              <w:rPr>
                <w:rFonts w:ascii="Arial Narrow" w:hAnsi="Arial Narrow" w:cs="Times New Roman"/>
                <w:snapToGrid w:val="0"/>
                <w:sz w:val="20"/>
                <w:szCs w:val="20"/>
              </w:rPr>
              <w:t>Asciminib (total population) vs ponatinib (resistant/intolerant cohort)</w:t>
            </w:r>
          </w:p>
        </w:tc>
        <w:tc>
          <w:tcPr>
            <w:tcW w:w="668" w:type="pct"/>
            <w:tcBorders>
              <w:top w:val="nil"/>
              <w:bottom w:val="nil"/>
            </w:tcBorders>
            <w:shd w:val="clear" w:color="auto" w:fill="auto"/>
          </w:tcPr>
          <w:p w14:paraId="1297294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157</w:t>
            </w:r>
          </w:p>
          <w:p w14:paraId="4C16742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43 (27.4)</w:t>
            </w:r>
          </w:p>
        </w:tc>
        <w:tc>
          <w:tcPr>
            <w:tcW w:w="668" w:type="pct"/>
            <w:tcBorders>
              <w:top w:val="nil"/>
              <w:bottom w:val="nil"/>
            </w:tcBorders>
            <w:shd w:val="clear" w:color="auto" w:fill="auto"/>
          </w:tcPr>
          <w:p w14:paraId="14722E2C"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203</w:t>
            </w:r>
          </w:p>
          <w:p w14:paraId="7B61FE16"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39 (19.2)</w:t>
            </w:r>
          </w:p>
        </w:tc>
        <w:tc>
          <w:tcPr>
            <w:tcW w:w="929" w:type="pct"/>
            <w:tcBorders>
              <w:top w:val="nil"/>
              <w:bottom w:val="nil"/>
            </w:tcBorders>
            <w:shd w:val="clear" w:color="auto" w:fill="auto"/>
          </w:tcPr>
          <w:p w14:paraId="781639B9"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1.43 (0.97, 2.08)</w:t>
            </w:r>
          </w:p>
          <w:p w14:paraId="07B1683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0.07</w:t>
            </w:r>
          </w:p>
        </w:tc>
        <w:tc>
          <w:tcPr>
            <w:tcW w:w="930" w:type="pct"/>
            <w:tcBorders>
              <w:top w:val="nil"/>
              <w:bottom w:val="nil"/>
            </w:tcBorders>
            <w:shd w:val="clear" w:color="auto" w:fill="auto"/>
          </w:tcPr>
          <w:p w14:paraId="3BF6EE8D"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0.08 (-0.01, 0.17)</w:t>
            </w:r>
          </w:p>
          <w:p w14:paraId="0B2A6D65"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0.07</w:t>
            </w:r>
          </w:p>
        </w:tc>
      </w:tr>
      <w:tr w:rsidR="002515FE" w:rsidRPr="00B22BCB" w14:paraId="112036B9" w14:textId="77777777" w:rsidTr="00050DDB">
        <w:tc>
          <w:tcPr>
            <w:tcW w:w="1805" w:type="pct"/>
            <w:tcBorders>
              <w:top w:val="nil"/>
              <w:left w:val="single" w:sz="4" w:space="0" w:color="auto"/>
              <w:bottom w:val="nil"/>
              <w:right w:val="single" w:sz="4" w:space="0" w:color="auto"/>
            </w:tcBorders>
            <w:shd w:val="clear" w:color="auto" w:fill="auto"/>
          </w:tcPr>
          <w:p w14:paraId="174EA1AA" w14:textId="77777777" w:rsidR="00ED1A72" w:rsidRDefault="00722504"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Number of responders </w:t>
            </w:r>
            <w:r w:rsidR="002515FE" w:rsidRPr="00B22BCB">
              <w:rPr>
                <w:rFonts w:ascii="Arial Narrow" w:eastAsia="Calibri" w:hAnsi="Arial Narrow" w:cs="Times New Roman"/>
                <w:b/>
                <w:bCs/>
                <w:sz w:val="20"/>
                <w:szCs w:val="20"/>
              </w:rPr>
              <w:t xml:space="preserve">by 48 weeks </w:t>
            </w:r>
          </w:p>
          <w:p w14:paraId="708BCA7E" w14:textId="6D9FF8FF"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(12 months)</w:t>
            </w:r>
          </w:p>
        </w:tc>
        <w:tc>
          <w:tcPr>
            <w:tcW w:w="668" w:type="pct"/>
            <w:tcBorders>
              <w:top w:val="nil"/>
              <w:left w:val="single" w:sz="4" w:space="0" w:color="auto"/>
              <w:bottom w:val="nil"/>
              <w:right w:val="single" w:sz="4" w:space="0" w:color="auto"/>
            </w:tcBorders>
            <w:shd w:val="clear" w:color="auto" w:fill="auto"/>
          </w:tcPr>
          <w:p w14:paraId="3DE42C26"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668" w:type="pct"/>
            <w:tcBorders>
              <w:top w:val="nil"/>
              <w:left w:val="single" w:sz="4" w:space="0" w:color="auto"/>
              <w:bottom w:val="nil"/>
              <w:right w:val="single" w:sz="4" w:space="0" w:color="auto"/>
            </w:tcBorders>
            <w:shd w:val="clear" w:color="auto" w:fill="auto"/>
          </w:tcPr>
          <w:p w14:paraId="757E88B1"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top w:val="nil"/>
              <w:left w:val="single" w:sz="4" w:space="0" w:color="auto"/>
              <w:bottom w:val="nil"/>
              <w:right w:val="single" w:sz="4" w:space="0" w:color="auto"/>
            </w:tcBorders>
            <w:shd w:val="clear" w:color="auto" w:fill="auto"/>
          </w:tcPr>
          <w:p w14:paraId="7546A8E4"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30" w:type="pct"/>
            <w:tcBorders>
              <w:top w:val="nil"/>
              <w:left w:val="single" w:sz="4" w:space="0" w:color="auto"/>
              <w:bottom w:val="nil"/>
              <w:right w:val="single" w:sz="4" w:space="0" w:color="auto"/>
            </w:tcBorders>
            <w:shd w:val="clear" w:color="auto" w:fill="auto"/>
          </w:tcPr>
          <w:p w14:paraId="32CA2CAA"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r>
      <w:tr w:rsidR="002515FE" w:rsidRPr="00B22BCB" w14:paraId="5E925877" w14:textId="77777777" w:rsidTr="00050DDB">
        <w:tc>
          <w:tcPr>
            <w:tcW w:w="1805" w:type="pct"/>
            <w:tcBorders>
              <w:top w:val="nil"/>
              <w:left w:val="single" w:sz="4" w:space="0" w:color="auto"/>
              <w:bottom w:val="nil"/>
              <w:right w:val="single" w:sz="4" w:space="0" w:color="auto"/>
            </w:tcBorders>
            <w:shd w:val="clear" w:color="auto" w:fill="auto"/>
          </w:tcPr>
          <w:p w14:paraId="1BE01D31" w14:textId="77777777" w:rsidR="002515FE" w:rsidRPr="00B22BCB" w:rsidRDefault="002515FE" w:rsidP="00AB4F8F">
            <w:pPr>
              <w:keepNext/>
              <w:keepLines/>
              <w:spacing w:line="276" w:lineRule="auto"/>
              <w:rPr>
                <w:rFonts w:ascii="Arial Narrow" w:eastAsia="Calibri" w:hAnsi="Arial Narrow" w:cs="Times New Roman"/>
                <w:sz w:val="20"/>
                <w:szCs w:val="20"/>
              </w:rPr>
            </w:pPr>
            <w:r w:rsidRPr="00B22BCB">
              <w:rPr>
                <w:rFonts w:ascii="Arial Narrow" w:eastAsia="Calibri" w:hAnsi="Arial Narrow" w:cs="Times New Roman"/>
                <w:sz w:val="20"/>
                <w:szCs w:val="20"/>
              </w:rPr>
              <w:t>Asciminib (total population) vs ponatinib (total CML-CP population)</w:t>
            </w:r>
          </w:p>
        </w:tc>
        <w:tc>
          <w:tcPr>
            <w:tcW w:w="668" w:type="pct"/>
            <w:tcBorders>
              <w:top w:val="nil"/>
              <w:left w:val="single" w:sz="4" w:space="0" w:color="auto"/>
              <w:bottom w:val="nil"/>
              <w:right w:val="single" w:sz="4" w:space="0" w:color="auto"/>
            </w:tcBorders>
            <w:shd w:val="clear" w:color="auto" w:fill="auto"/>
          </w:tcPr>
          <w:p w14:paraId="7FCCAD4D"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157</w:t>
            </w:r>
          </w:p>
          <w:p w14:paraId="6A214E45"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55 (35.0)</w:t>
            </w:r>
          </w:p>
        </w:tc>
        <w:tc>
          <w:tcPr>
            <w:tcW w:w="668" w:type="pct"/>
            <w:tcBorders>
              <w:top w:val="nil"/>
              <w:left w:val="single" w:sz="4" w:space="0" w:color="auto"/>
              <w:bottom w:val="nil"/>
              <w:right w:val="single" w:sz="4" w:space="0" w:color="auto"/>
            </w:tcBorders>
            <w:shd w:val="clear" w:color="auto" w:fill="auto"/>
          </w:tcPr>
          <w:p w14:paraId="1AC48B1B"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267</w:t>
            </w:r>
          </w:p>
          <w:p w14:paraId="01193CB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91 (34.1)</w:t>
            </w:r>
          </w:p>
        </w:tc>
        <w:tc>
          <w:tcPr>
            <w:tcW w:w="929" w:type="pct"/>
            <w:tcBorders>
              <w:top w:val="nil"/>
              <w:left w:val="single" w:sz="4" w:space="0" w:color="auto"/>
              <w:bottom w:val="nil"/>
              <w:right w:val="single" w:sz="4" w:space="0" w:color="auto"/>
            </w:tcBorders>
            <w:shd w:val="clear" w:color="auto" w:fill="auto"/>
          </w:tcPr>
          <w:p w14:paraId="113CF23C"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1.03 (0.78, 1.35)</w:t>
            </w:r>
          </w:p>
          <w:p w14:paraId="6A25A8C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0.84</w:t>
            </w:r>
          </w:p>
        </w:tc>
        <w:tc>
          <w:tcPr>
            <w:tcW w:w="930" w:type="pct"/>
            <w:tcBorders>
              <w:top w:val="nil"/>
              <w:left w:val="single" w:sz="4" w:space="0" w:color="auto"/>
              <w:bottom w:val="nil"/>
              <w:right w:val="single" w:sz="4" w:space="0" w:color="auto"/>
            </w:tcBorders>
            <w:shd w:val="clear" w:color="auto" w:fill="auto"/>
          </w:tcPr>
          <w:p w14:paraId="41C806D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0.01 (-0.08, 0.10)</w:t>
            </w:r>
          </w:p>
          <w:p w14:paraId="31BA9928"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0.84</w:t>
            </w:r>
          </w:p>
        </w:tc>
      </w:tr>
      <w:tr w:rsidR="002515FE" w:rsidRPr="00B22BCB" w14:paraId="5BB029C2" w14:textId="77777777" w:rsidTr="00050DDB">
        <w:tc>
          <w:tcPr>
            <w:tcW w:w="1805" w:type="pct"/>
            <w:tcBorders>
              <w:top w:val="nil"/>
              <w:bottom w:val="nil"/>
            </w:tcBorders>
            <w:shd w:val="clear" w:color="auto" w:fill="auto"/>
          </w:tcPr>
          <w:p w14:paraId="2F58AB44" w14:textId="77777777" w:rsidR="002515FE" w:rsidRPr="00B22BCB" w:rsidRDefault="002515FE" w:rsidP="00AB4F8F">
            <w:pPr>
              <w:keepNext/>
              <w:keepLines/>
              <w:rPr>
                <w:rFonts w:ascii="Arial Narrow" w:hAnsi="Arial Narrow" w:cs="Times New Roman"/>
                <w:b/>
                <w:snapToGrid w:val="0"/>
                <w:sz w:val="20"/>
                <w:szCs w:val="20"/>
              </w:rPr>
            </w:pPr>
            <w:r w:rsidRPr="00B22BCB">
              <w:rPr>
                <w:rFonts w:ascii="Arial Narrow" w:hAnsi="Arial Narrow" w:cs="Times New Roman"/>
                <w:snapToGrid w:val="0"/>
                <w:sz w:val="20"/>
                <w:szCs w:val="20"/>
              </w:rPr>
              <w:t>Asciminib (total population) vs ponatinib (resistant/intolerant cohort)</w:t>
            </w:r>
          </w:p>
        </w:tc>
        <w:tc>
          <w:tcPr>
            <w:tcW w:w="668" w:type="pct"/>
            <w:tcBorders>
              <w:top w:val="nil"/>
              <w:bottom w:val="nil"/>
            </w:tcBorders>
            <w:shd w:val="clear" w:color="auto" w:fill="auto"/>
          </w:tcPr>
          <w:p w14:paraId="77AF27F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157</w:t>
            </w:r>
          </w:p>
          <w:p w14:paraId="159D2DE3" w14:textId="77777777" w:rsidR="002515FE" w:rsidRPr="00B22BCB" w:rsidRDefault="002515FE"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sz w:val="20"/>
                <w:szCs w:val="20"/>
              </w:rPr>
              <w:t>55 (35.0)</w:t>
            </w:r>
          </w:p>
        </w:tc>
        <w:tc>
          <w:tcPr>
            <w:tcW w:w="668" w:type="pct"/>
            <w:tcBorders>
              <w:top w:val="nil"/>
              <w:bottom w:val="nil"/>
            </w:tcBorders>
            <w:shd w:val="clear" w:color="auto" w:fill="auto"/>
          </w:tcPr>
          <w:p w14:paraId="49F61A6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203</w:t>
            </w:r>
          </w:p>
          <w:p w14:paraId="015EEEEF" w14:textId="77777777" w:rsidR="002515FE" w:rsidRPr="00B22BCB" w:rsidRDefault="002515FE"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sz w:val="20"/>
                <w:szCs w:val="20"/>
              </w:rPr>
              <w:t>55 (27.1)</w:t>
            </w:r>
          </w:p>
        </w:tc>
        <w:tc>
          <w:tcPr>
            <w:tcW w:w="929" w:type="pct"/>
            <w:tcBorders>
              <w:top w:val="nil"/>
              <w:bottom w:val="nil"/>
            </w:tcBorders>
            <w:shd w:val="clear" w:color="auto" w:fill="auto"/>
          </w:tcPr>
          <w:p w14:paraId="74D3267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1.29 (0.95, 1.76)</w:t>
            </w:r>
          </w:p>
          <w:p w14:paraId="6376CA8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0.10</w:t>
            </w:r>
          </w:p>
        </w:tc>
        <w:tc>
          <w:tcPr>
            <w:tcW w:w="930" w:type="pct"/>
            <w:tcBorders>
              <w:top w:val="nil"/>
              <w:bottom w:val="nil"/>
            </w:tcBorders>
            <w:shd w:val="clear" w:color="auto" w:fill="auto"/>
          </w:tcPr>
          <w:p w14:paraId="5F440165"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0.08 (-0.02, 0.18)</w:t>
            </w:r>
          </w:p>
          <w:p w14:paraId="4EF6588E"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0.11</w:t>
            </w:r>
          </w:p>
        </w:tc>
      </w:tr>
      <w:tr w:rsidR="002515FE" w:rsidRPr="00B22BCB" w14:paraId="34C2370A" w14:textId="77777777" w:rsidTr="00D428E6">
        <w:tc>
          <w:tcPr>
            <w:tcW w:w="5000" w:type="pct"/>
            <w:gridSpan w:val="5"/>
            <w:tcBorders>
              <w:top w:val="single" w:sz="4" w:space="0" w:color="auto"/>
              <w:bottom w:val="single" w:sz="4" w:space="0" w:color="auto"/>
            </w:tcBorders>
            <w:shd w:val="clear" w:color="auto" w:fill="auto"/>
          </w:tcPr>
          <w:p w14:paraId="2474ED59" w14:textId="77777777"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Cumulative CCyR rates</w:t>
            </w:r>
          </w:p>
        </w:tc>
      </w:tr>
      <w:tr w:rsidR="002515FE" w:rsidRPr="00B22BCB" w14:paraId="4FA34AA0" w14:textId="77777777" w:rsidTr="00050DDB">
        <w:tc>
          <w:tcPr>
            <w:tcW w:w="1805" w:type="pct"/>
            <w:tcBorders>
              <w:bottom w:val="nil"/>
            </w:tcBorders>
            <w:shd w:val="clear" w:color="auto" w:fill="auto"/>
          </w:tcPr>
          <w:p w14:paraId="1E496E4B" w14:textId="77777777" w:rsidR="00ED1A72" w:rsidRDefault="00E07DC5"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Number of responders </w:t>
            </w:r>
            <w:r w:rsidR="002515FE" w:rsidRPr="00B22BCB">
              <w:rPr>
                <w:rFonts w:ascii="Arial Narrow" w:eastAsia="Calibri" w:hAnsi="Arial Narrow" w:cs="Times New Roman"/>
                <w:b/>
                <w:bCs/>
                <w:sz w:val="20"/>
                <w:szCs w:val="20"/>
              </w:rPr>
              <w:t xml:space="preserve">by 24 weeks </w:t>
            </w:r>
          </w:p>
          <w:p w14:paraId="19C64DF5" w14:textId="2D204C4B"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(6 months)</w:t>
            </w:r>
          </w:p>
        </w:tc>
        <w:tc>
          <w:tcPr>
            <w:tcW w:w="668" w:type="pct"/>
            <w:tcBorders>
              <w:bottom w:val="nil"/>
            </w:tcBorders>
            <w:shd w:val="clear" w:color="auto" w:fill="auto"/>
          </w:tcPr>
          <w:p w14:paraId="67A962E1"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668" w:type="pct"/>
            <w:tcBorders>
              <w:bottom w:val="nil"/>
            </w:tcBorders>
            <w:shd w:val="clear" w:color="auto" w:fill="auto"/>
          </w:tcPr>
          <w:p w14:paraId="68433863"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bottom w:val="nil"/>
            </w:tcBorders>
            <w:shd w:val="clear" w:color="auto" w:fill="auto"/>
          </w:tcPr>
          <w:p w14:paraId="5A32C361"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bottom w:val="nil"/>
            </w:tcBorders>
            <w:shd w:val="clear" w:color="auto" w:fill="auto"/>
          </w:tcPr>
          <w:p w14:paraId="687E4829"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r>
      <w:tr w:rsidR="002515FE" w:rsidRPr="00B22BCB" w14:paraId="7077434F" w14:textId="77777777" w:rsidTr="00050DDB">
        <w:tc>
          <w:tcPr>
            <w:tcW w:w="1805" w:type="pct"/>
            <w:tcBorders>
              <w:top w:val="nil"/>
              <w:bottom w:val="nil"/>
            </w:tcBorders>
            <w:shd w:val="clear" w:color="auto" w:fill="auto"/>
          </w:tcPr>
          <w:p w14:paraId="4672AE06" w14:textId="77777777" w:rsidR="002515FE" w:rsidRPr="00B22BCB" w:rsidRDefault="002515FE" w:rsidP="00AB4F8F">
            <w:pPr>
              <w:keepNext/>
              <w:keepLines/>
              <w:rPr>
                <w:rFonts w:ascii="Arial Narrow" w:hAnsi="Arial Narrow" w:cs="Times New Roman"/>
                <w:snapToGrid w:val="0"/>
                <w:sz w:val="20"/>
                <w:szCs w:val="20"/>
              </w:rPr>
            </w:pPr>
            <w:r w:rsidRPr="00B22BCB">
              <w:rPr>
                <w:rFonts w:ascii="Arial Narrow" w:hAnsi="Arial Narrow" w:cs="Times New Roman"/>
                <w:snapToGrid w:val="0"/>
                <w:sz w:val="20"/>
                <w:szCs w:val="20"/>
              </w:rPr>
              <w:t>Asciminib (total population) vs ponatinib (resistant/intolerant cohort)</w:t>
            </w:r>
          </w:p>
        </w:tc>
        <w:tc>
          <w:tcPr>
            <w:tcW w:w="668" w:type="pct"/>
            <w:tcBorders>
              <w:top w:val="nil"/>
              <w:bottom w:val="nil"/>
            </w:tcBorders>
            <w:shd w:val="clear" w:color="auto" w:fill="auto"/>
          </w:tcPr>
          <w:p w14:paraId="388AE41D"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103</w:t>
            </w:r>
          </w:p>
          <w:p w14:paraId="435DEE66"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42 (40.8)</w:t>
            </w:r>
          </w:p>
        </w:tc>
        <w:tc>
          <w:tcPr>
            <w:tcW w:w="668" w:type="pct"/>
            <w:tcBorders>
              <w:top w:val="nil"/>
              <w:bottom w:val="nil"/>
            </w:tcBorders>
            <w:shd w:val="clear" w:color="auto" w:fill="auto"/>
          </w:tcPr>
          <w:p w14:paraId="058F8BEF"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203</w:t>
            </w:r>
          </w:p>
          <w:p w14:paraId="6EF8113C" w14:textId="5B0D44EB"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69 (34.0)</w:t>
            </w:r>
            <w:r w:rsidR="00C0657C" w:rsidRPr="00B22BCB">
              <w:rPr>
                <w:rFonts w:ascii="Arial Narrow" w:eastAsia="Calibri" w:hAnsi="Arial Narrow" w:cs="Times New Roman"/>
                <w:sz w:val="20"/>
                <w:szCs w:val="20"/>
              </w:rPr>
              <w:t>^</w:t>
            </w:r>
          </w:p>
        </w:tc>
        <w:tc>
          <w:tcPr>
            <w:tcW w:w="929" w:type="pct"/>
            <w:tcBorders>
              <w:top w:val="nil"/>
              <w:bottom w:val="nil"/>
            </w:tcBorders>
            <w:shd w:val="clear" w:color="auto" w:fill="auto"/>
          </w:tcPr>
          <w:p w14:paraId="7D82B9D1"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1.20 (0.89, 1.62)</w:t>
            </w:r>
          </w:p>
          <w:p w14:paraId="1B1F763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0.24</w:t>
            </w:r>
          </w:p>
        </w:tc>
        <w:tc>
          <w:tcPr>
            <w:tcW w:w="929" w:type="pct"/>
            <w:tcBorders>
              <w:top w:val="nil"/>
              <w:bottom w:val="nil"/>
            </w:tcBorders>
            <w:shd w:val="clear" w:color="auto" w:fill="auto"/>
          </w:tcPr>
          <w:p w14:paraId="21062BF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0.07 (-0.05, 0.18)</w:t>
            </w:r>
          </w:p>
          <w:p w14:paraId="04D1675E"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0.25</w:t>
            </w:r>
          </w:p>
        </w:tc>
      </w:tr>
      <w:tr w:rsidR="002515FE" w:rsidRPr="00B22BCB" w14:paraId="2278FC0B" w14:textId="77777777" w:rsidTr="00050DDB">
        <w:tc>
          <w:tcPr>
            <w:tcW w:w="1805" w:type="pct"/>
            <w:tcBorders>
              <w:top w:val="nil"/>
              <w:bottom w:val="nil"/>
            </w:tcBorders>
            <w:shd w:val="clear" w:color="auto" w:fill="auto"/>
          </w:tcPr>
          <w:p w14:paraId="2A5E1673" w14:textId="77777777" w:rsidR="002515FE" w:rsidRPr="00B22BCB" w:rsidRDefault="002515FE" w:rsidP="00AB4F8F">
            <w:pPr>
              <w:keepNext/>
              <w:keepLines/>
              <w:rPr>
                <w:rFonts w:ascii="Arial Narrow" w:hAnsi="Arial Narrow" w:cs="Times New Roman"/>
                <w:snapToGrid w:val="0"/>
                <w:sz w:val="20"/>
                <w:szCs w:val="20"/>
              </w:rPr>
            </w:pPr>
            <w:r w:rsidRPr="00B22BCB">
              <w:rPr>
                <w:rFonts w:ascii="Arial Narrow" w:hAnsi="Arial Narrow" w:cs="Times New Roman"/>
                <w:snapToGrid w:val="0"/>
                <w:sz w:val="20"/>
                <w:szCs w:val="20"/>
              </w:rPr>
              <w:t>Asciminib (total population) vs ponatinib (total CML-CP population)</w:t>
            </w:r>
          </w:p>
        </w:tc>
        <w:tc>
          <w:tcPr>
            <w:tcW w:w="668" w:type="pct"/>
            <w:tcBorders>
              <w:top w:val="nil"/>
              <w:bottom w:val="nil"/>
            </w:tcBorders>
            <w:shd w:val="clear" w:color="auto" w:fill="auto"/>
          </w:tcPr>
          <w:p w14:paraId="7690113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103</w:t>
            </w:r>
          </w:p>
          <w:p w14:paraId="0FF16A36"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42 (40.8)</w:t>
            </w:r>
          </w:p>
        </w:tc>
        <w:tc>
          <w:tcPr>
            <w:tcW w:w="668" w:type="pct"/>
            <w:tcBorders>
              <w:top w:val="nil"/>
              <w:bottom w:val="nil"/>
            </w:tcBorders>
            <w:shd w:val="clear" w:color="auto" w:fill="auto"/>
          </w:tcPr>
          <w:p w14:paraId="3B845D94"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267</w:t>
            </w:r>
          </w:p>
          <w:p w14:paraId="6006C6F0" w14:textId="095BF65D"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109 (40.8)</w:t>
            </w:r>
            <w:r w:rsidR="00C0657C" w:rsidRPr="00B22BCB">
              <w:rPr>
                <w:rFonts w:ascii="Arial Narrow" w:eastAsia="Calibri" w:hAnsi="Arial Narrow" w:cs="Times New Roman"/>
                <w:sz w:val="20"/>
                <w:szCs w:val="20"/>
              </w:rPr>
              <w:t>^</w:t>
            </w:r>
          </w:p>
        </w:tc>
        <w:tc>
          <w:tcPr>
            <w:tcW w:w="929" w:type="pct"/>
            <w:tcBorders>
              <w:top w:val="nil"/>
              <w:bottom w:val="nil"/>
            </w:tcBorders>
            <w:shd w:val="clear" w:color="auto" w:fill="auto"/>
          </w:tcPr>
          <w:p w14:paraId="1394FC79"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1.00 (0.76, 1.31)</w:t>
            </w:r>
          </w:p>
          <w:p w14:paraId="55A673A4"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0.99</w:t>
            </w:r>
          </w:p>
        </w:tc>
        <w:tc>
          <w:tcPr>
            <w:tcW w:w="929" w:type="pct"/>
            <w:tcBorders>
              <w:top w:val="nil"/>
              <w:bottom w:val="nil"/>
            </w:tcBorders>
            <w:shd w:val="clear" w:color="auto" w:fill="auto"/>
          </w:tcPr>
          <w:p w14:paraId="6DAF3191"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-0.00 (-0.11, 0.11)</w:t>
            </w:r>
          </w:p>
          <w:p w14:paraId="750D8374"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0.99</w:t>
            </w:r>
          </w:p>
        </w:tc>
      </w:tr>
      <w:tr w:rsidR="002515FE" w:rsidRPr="00B22BCB" w14:paraId="44C64A58" w14:textId="77777777" w:rsidTr="00050DDB">
        <w:tc>
          <w:tcPr>
            <w:tcW w:w="1805" w:type="pct"/>
            <w:tcBorders>
              <w:top w:val="nil"/>
              <w:bottom w:val="nil"/>
            </w:tcBorders>
            <w:shd w:val="clear" w:color="auto" w:fill="auto"/>
          </w:tcPr>
          <w:p w14:paraId="14C4A5ED" w14:textId="77777777" w:rsidR="00ED1A72" w:rsidRDefault="00E07DC5"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Number of responders </w:t>
            </w:r>
            <w:r w:rsidR="002515FE" w:rsidRPr="00B22BCB">
              <w:rPr>
                <w:rFonts w:ascii="Arial Narrow" w:eastAsia="Calibri" w:hAnsi="Arial Narrow" w:cs="Times New Roman"/>
                <w:b/>
                <w:bCs/>
                <w:sz w:val="20"/>
                <w:szCs w:val="20"/>
              </w:rPr>
              <w:t xml:space="preserve">by 48 weeks </w:t>
            </w:r>
          </w:p>
          <w:p w14:paraId="1959B371" w14:textId="4B1BA440" w:rsidR="002515FE" w:rsidRPr="00B22BCB" w:rsidRDefault="002515FE" w:rsidP="00AB4F8F">
            <w:pPr>
              <w:keepNext/>
              <w:keepLines/>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(12 months)</w:t>
            </w:r>
          </w:p>
        </w:tc>
        <w:tc>
          <w:tcPr>
            <w:tcW w:w="668" w:type="pct"/>
            <w:tcBorders>
              <w:top w:val="nil"/>
              <w:bottom w:val="nil"/>
            </w:tcBorders>
            <w:shd w:val="clear" w:color="auto" w:fill="auto"/>
          </w:tcPr>
          <w:p w14:paraId="2145BBA9"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668" w:type="pct"/>
            <w:tcBorders>
              <w:top w:val="nil"/>
              <w:bottom w:val="nil"/>
            </w:tcBorders>
            <w:shd w:val="clear" w:color="auto" w:fill="auto"/>
          </w:tcPr>
          <w:p w14:paraId="0B3D126C"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top w:val="nil"/>
              <w:bottom w:val="nil"/>
            </w:tcBorders>
            <w:shd w:val="clear" w:color="auto" w:fill="auto"/>
          </w:tcPr>
          <w:p w14:paraId="1563D44F"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c>
          <w:tcPr>
            <w:tcW w:w="929" w:type="pct"/>
            <w:tcBorders>
              <w:top w:val="nil"/>
              <w:bottom w:val="nil"/>
            </w:tcBorders>
            <w:shd w:val="clear" w:color="auto" w:fill="auto"/>
          </w:tcPr>
          <w:p w14:paraId="31D49E36" w14:textId="77777777" w:rsidR="002515FE" w:rsidRPr="00B22BCB" w:rsidRDefault="002515FE" w:rsidP="00AB4F8F">
            <w:pPr>
              <w:keepNext/>
              <w:keepLines/>
              <w:spacing w:line="276" w:lineRule="auto"/>
              <w:rPr>
                <w:rFonts w:ascii="Arial Narrow" w:eastAsia="Calibri" w:hAnsi="Arial Narrow" w:cs="Times New Roman"/>
                <w:b/>
                <w:bCs/>
                <w:sz w:val="20"/>
                <w:szCs w:val="20"/>
              </w:rPr>
            </w:pPr>
          </w:p>
        </w:tc>
      </w:tr>
      <w:tr w:rsidR="002515FE" w:rsidRPr="00B22BCB" w14:paraId="6739AACB" w14:textId="77777777" w:rsidTr="00050DDB">
        <w:tc>
          <w:tcPr>
            <w:tcW w:w="1805" w:type="pct"/>
            <w:tcBorders>
              <w:top w:val="nil"/>
              <w:bottom w:val="nil"/>
            </w:tcBorders>
          </w:tcPr>
          <w:p w14:paraId="061EEBD0" w14:textId="77777777" w:rsidR="002515FE" w:rsidRPr="00B22BCB" w:rsidRDefault="002515FE" w:rsidP="00AB4F8F">
            <w:pPr>
              <w:keepNext/>
              <w:keepLines/>
              <w:spacing w:line="276" w:lineRule="auto"/>
              <w:rPr>
                <w:rFonts w:ascii="Arial Narrow" w:eastAsia="Calibri" w:hAnsi="Arial Narrow" w:cs="Times New Roman"/>
                <w:sz w:val="20"/>
                <w:szCs w:val="20"/>
              </w:rPr>
            </w:pPr>
            <w:r w:rsidRPr="00B22BCB">
              <w:rPr>
                <w:rFonts w:ascii="Arial Narrow" w:eastAsia="Calibri" w:hAnsi="Arial Narrow" w:cs="Times New Roman"/>
                <w:sz w:val="20"/>
                <w:szCs w:val="20"/>
              </w:rPr>
              <w:t>Asciminib (total population) vs ponatinib (total CML-CP population)</w:t>
            </w:r>
          </w:p>
        </w:tc>
        <w:tc>
          <w:tcPr>
            <w:tcW w:w="668" w:type="pct"/>
            <w:tcBorders>
              <w:top w:val="nil"/>
              <w:bottom w:val="nil"/>
            </w:tcBorders>
          </w:tcPr>
          <w:p w14:paraId="6B4935DE"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103</w:t>
            </w:r>
          </w:p>
          <w:p w14:paraId="72A48566"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47 (45.6)</w:t>
            </w:r>
          </w:p>
        </w:tc>
        <w:tc>
          <w:tcPr>
            <w:tcW w:w="668" w:type="pct"/>
            <w:tcBorders>
              <w:top w:val="nil"/>
              <w:bottom w:val="nil"/>
            </w:tcBorders>
          </w:tcPr>
          <w:p w14:paraId="2C9E8EB8"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267</w:t>
            </w:r>
          </w:p>
          <w:p w14:paraId="59D5FBA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124 (46.4)</w:t>
            </w:r>
          </w:p>
        </w:tc>
        <w:tc>
          <w:tcPr>
            <w:tcW w:w="929" w:type="pct"/>
            <w:tcBorders>
              <w:top w:val="nil"/>
              <w:bottom w:val="nil"/>
            </w:tcBorders>
          </w:tcPr>
          <w:p w14:paraId="7DAB8DF5"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0.98 (0.77, 1.26)</w:t>
            </w:r>
          </w:p>
          <w:p w14:paraId="3971DF59"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0.89</w:t>
            </w:r>
          </w:p>
        </w:tc>
        <w:tc>
          <w:tcPr>
            <w:tcW w:w="929" w:type="pct"/>
            <w:tcBorders>
              <w:top w:val="nil"/>
              <w:bottom w:val="nil"/>
            </w:tcBorders>
          </w:tcPr>
          <w:p w14:paraId="6092302C"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-0.01 (-0.12, 0.11)</w:t>
            </w:r>
          </w:p>
          <w:p w14:paraId="634EF5D4"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0.89</w:t>
            </w:r>
          </w:p>
        </w:tc>
      </w:tr>
      <w:tr w:rsidR="002515FE" w:rsidRPr="00B22BCB" w14:paraId="2AC2CCD8" w14:textId="77777777" w:rsidTr="00050DDB">
        <w:tc>
          <w:tcPr>
            <w:tcW w:w="1805" w:type="pct"/>
            <w:tcBorders>
              <w:top w:val="nil"/>
              <w:bottom w:val="single" w:sz="4" w:space="0" w:color="auto"/>
            </w:tcBorders>
          </w:tcPr>
          <w:p w14:paraId="2A5A135A" w14:textId="77777777" w:rsidR="002515FE" w:rsidRPr="00B22BCB" w:rsidRDefault="002515FE" w:rsidP="00AB4F8F">
            <w:pPr>
              <w:keepNext/>
              <w:keepLines/>
              <w:rPr>
                <w:rFonts w:ascii="Arial Narrow" w:hAnsi="Arial Narrow" w:cs="Times New Roman"/>
                <w:snapToGrid w:val="0"/>
                <w:sz w:val="20"/>
                <w:szCs w:val="20"/>
              </w:rPr>
            </w:pPr>
            <w:r w:rsidRPr="00B22BCB">
              <w:rPr>
                <w:rFonts w:ascii="Arial Narrow" w:hAnsi="Arial Narrow" w:cs="Times New Roman"/>
                <w:snapToGrid w:val="0"/>
                <w:sz w:val="20"/>
                <w:szCs w:val="20"/>
              </w:rPr>
              <w:t>Asciminib (total population) vs ponatinib (resistant/intolerant cohort)</w:t>
            </w:r>
          </w:p>
        </w:tc>
        <w:tc>
          <w:tcPr>
            <w:tcW w:w="668" w:type="pct"/>
            <w:tcBorders>
              <w:top w:val="nil"/>
              <w:bottom w:val="single" w:sz="4" w:space="0" w:color="auto"/>
            </w:tcBorders>
          </w:tcPr>
          <w:p w14:paraId="5CA522DC"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103</w:t>
            </w:r>
          </w:p>
          <w:p w14:paraId="4637307B"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47 (45.6)</w:t>
            </w:r>
          </w:p>
        </w:tc>
        <w:tc>
          <w:tcPr>
            <w:tcW w:w="668" w:type="pct"/>
            <w:tcBorders>
              <w:top w:val="nil"/>
              <w:bottom w:val="single" w:sz="4" w:space="0" w:color="auto"/>
            </w:tcBorders>
          </w:tcPr>
          <w:p w14:paraId="4E4BC15D"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N = 203</w:t>
            </w:r>
          </w:p>
          <w:p w14:paraId="4B45EF17"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82 (40.4)</w:t>
            </w:r>
          </w:p>
        </w:tc>
        <w:tc>
          <w:tcPr>
            <w:tcW w:w="929" w:type="pct"/>
            <w:tcBorders>
              <w:top w:val="nil"/>
              <w:bottom w:val="single" w:sz="4" w:space="0" w:color="auto"/>
            </w:tcBorders>
          </w:tcPr>
          <w:p w14:paraId="754723A3"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1.13 (0.86, 1.48)</w:t>
            </w:r>
          </w:p>
          <w:p w14:paraId="452F0805"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0.37</w:t>
            </w:r>
          </w:p>
        </w:tc>
        <w:tc>
          <w:tcPr>
            <w:tcW w:w="929" w:type="pct"/>
            <w:tcBorders>
              <w:top w:val="nil"/>
              <w:bottom w:val="single" w:sz="4" w:space="0" w:color="auto"/>
            </w:tcBorders>
          </w:tcPr>
          <w:p w14:paraId="38537F8F"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0.05 (-0.07, 0.17)</w:t>
            </w:r>
          </w:p>
          <w:p w14:paraId="76515F52" w14:textId="77777777" w:rsidR="002515FE" w:rsidRPr="00B22BCB" w:rsidRDefault="002515FE"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P = 0.38</w:t>
            </w:r>
          </w:p>
        </w:tc>
      </w:tr>
    </w:tbl>
    <w:p w14:paraId="4A00F323" w14:textId="4D243BD4" w:rsidR="002515FE" w:rsidRPr="00B22BCB" w:rsidRDefault="002515FE" w:rsidP="00AB4F8F">
      <w:pPr>
        <w:keepNext/>
        <w:keepLines/>
        <w:spacing w:after="120"/>
        <w:contextualSpacing/>
        <w:rPr>
          <w:rFonts w:ascii="Arial Narrow" w:hAnsi="Arial Narrow"/>
          <w:snapToGrid w:val="0"/>
          <w:sz w:val="18"/>
        </w:rPr>
      </w:pPr>
      <w:r w:rsidRPr="00B22BCB">
        <w:rPr>
          <w:rFonts w:ascii="Arial Narrow" w:hAnsi="Arial Narrow"/>
          <w:snapToGrid w:val="0"/>
          <w:sz w:val="18"/>
        </w:rPr>
        <w:t>Source: Table 2(a).6-2, p 153 of the submission.</w:t>
      </w:r>
    </w:p>
    <w:p w14:paraId="217C651A" w14:textId="09980A0B" w:rsidR="002515FE" w:rsidRPr="00B22BCB" w:rsidRDefault="002515FE" w:rsidP="00AB4F8F">
      <w:pPr>
        <w:keepNext/>
        <w:keepLines/>
        <w:spacing w:after="120"/>
        <w:contextualSpacing/>
        <w:rPr>
          <w:rFonts w:ascii="Arial Narrow" w:hAnsi="Arial Narrow"/>
          <w:snapToGrid w:val="0"/>
          <w:sz w:val="18"/>
        </w:rPr>
      </w:pPr>
      <w:r w:rsidRPr="00B22BCB">
        <w:rPr>
          <w:rFonts w:ascii="Arial Narrow" w:hAnsi="Arial Narrow"/>
          <w:snapToGrid w:val="0"/>
          <w:sz w:val="18"/>
        </w:rPr>
        <w:t xml:space="preserve">CCyR = complete cytogenetic response; CI = confidence interval; CML-CP = chronic phase chronic myeloid </w:t>
      </w:r>
      <w:r w:rsidR="00E4103E" w:rsidRPr="00B22BCB">
        <w:rPr>
          <w:rFonts w:ascii="Arial Narrow" w:hAnsi="Arial Narrow"/>
          <w:snapToGrid w:val="0"/>
          <w:sz w:val="18"/>
        </w:rPr>
        <w:t>leukaemia</w:t>
      </w:r>
      <w:r w:rsidRPr="00B22BCB">
        <w:rPr>
          <w:rFonts w:ascii="Arial Narrow" w:hAnsi="Arial Narrow"/>
          <w:snapToGrid w:val="0"/>
          <w:sz w:val="18"/>
        </w:rPr>
        <w:t>; MMR = major molecular response; OR = odds ratio; RD = risk difference; RR = relative risk</w:t>
      </w:r>
    </w:p>
    <w:p w14:paraId="3C3F52B0" w14:textId="2D71D3A6" w:rsidR="002515FE" w:rsidRPr="00B22BCB" w:rsidRDefault="002515FE" w:rsidP="00AB4F8F">
      <w:pPr>
        <w:keepNext/>
        <w:keepLines/>
        <w:spacing w:after="120"/>
        <w:contextualSpacing/>
        <w:rPr>
          <w:rFonts w:ascii="Arial Narrow" w:hAnsi="Arial Narrow"/>
          <w:snapToGrid w:val="0"/>
          <w:sz w:val="18"/>
        </w:rPr>
      </w:pPr>
      <w:r w:rsidRPr="00B22BCB">
        <w:rPr>
          <w:rFonts w:ascii="Arial Narrow" w:hAnsi="Arial Narrow"/>
          <w:snapToGrid w:val="0"/>
          <w:sz w:val="18"/>
          <w:vertAlign w:val="superscript"/>
        </w:rPr>
        <w:t>a</w:t>
      </w:r>
      <w:r w:rsidR="00466440" w:rsidRPr="00B22BCB">
        <w:rPr>
          <w:rFonts w:ascii="Arial Narrow" w:hAnsi="Arial Narrow"/>
          <w:snapToGrid w:val="0"/>
          <w:sz w:val="18"/>
          <w:vertAlign w:val="superscript"/>
        </w:rPr>
        <w:t xml:space="preserve"> </w:t>
      </w:r>
      <w:r w:rsidRPr="00B22BCB">
        <w:rPr>
          <w:rFonts w:ascii="Arial Narrow" w:hAnsi="Arial Narrow"/>
          <w:snapToGrid w:val="0"/>
          <w:sz w:val="18"/>
        </w:rPr>
        <w:t xml:space="preserve">Calculated using RevMan v5.3 </w:t>
      </w:r>
      <w:r w:rsidR="00B222C2" w:rsidRPr="00B22BCB">
        <w:rPr>
          <w:rFonts w:ascii="Arial Narrow" w:hAnsi="Arial Narrow"/>
          <w:snapToGrid w:val="0"/>
          <w:sz w:val="18"/>
        </w:rPr>
        <w:t>by the submission</w:t>
      </w:r>
    </w:p>
    <w:p w14:paraId="2400B1E3" w14:textId="5A8AD478" w:rsidR="00E80B6D" w:rsidRPr="00B22BCB" w:rsidRDefault="002515FE" w:rsidP="00333BD0">
      <w:pPr>
        <w:keepNext/>
        <w:keepLines/>
        <w:spacing w:after="120"/>
        <w:contextualSpacing/>
        <w:rPr>
          <w:rFonts w:ascii="Arial Narrow" w:hAnsi="Arial Narrow"/>
          <w:bCs/>
          <w:snapToGrid w:val="0"/>
          <w:sz w:val="18"/>
        </w:rPr>
      </w:pPr>
      <w:r w:rsidRPr="00B22BCB">
        <w:rPr>
          <w:rFonts w:ascii="Arial Narrow" w:hAnsi="Arial Narrow"/>
          <w:bCs/>
          <w:snapToGrid w:val="0"/>
          <w:sz w:val="18"/>
        </w:rPr>
        <w:t>Note: The submission did not define the caret symbol</w:t>
      </w:r>
      <w:r w:rsidR="00C0657C" w:rsidRPr="00B22BCB">
        <w:rPr>
          <w:rFonts w:ascii="Arial Narrow" w:hAnsi="Arial Narrow"/>
          <w:bCs/>
          <w:snapToGrid w:val="0"/>
          <w:sz w:val="18"/>
        </w:rPr>
        <w:t xml:space="preserve"> (^</w:t>
      </w:r>
      <w:r w:rsidRPr="00B22BCB">
        <w:rPr>
          <w:rFonts w:ascii="Arial Narrow" w:hAnsi="Arial Narrow"/>
          <w:bCs/>
          <w:snapToGrid w:val="0"/>
          <w:sz w:val="18"/>
        </w:rPr>
        <w:t>) placed over the 6-month CCYR rates; these figures appear to be estimated based on Figure S1 (B), p 8 of the Cortes 2018 supplement.</w:t>
      </w:r>
    </w:p>
    <w:p w14:paraId="667822AB" w14:textId="41A8ED1C" w:rsidR="00C74F05" w:rsidRPr="002E7D71" w:rsidRDefault="00C74F05" w:rsidP="00C74F05">
      <w:pPr>
        <w:pStyle w:val="3-BodyText"/>
      </w:pPr>
      <w:bookmarkStart w:id="36" w:name="_Ref106266517"/>
      <w:bookmarkStart w:id="37" w:name="_Ref106194049"/>
      <w:r w:rsidRPr="002E7D71">
        <w:t xml:space="preserve">The PSCR stated that a MAIC </w:t>
      </w:r>
      <w:r w:rsidRPr="00082B14">
        <w:t xml:space="preserve">analysis for the </w:t>
      </w:r>
      <w:r w:rsidR="006D489A" w:rsidRPr="002B4570">
        <w:t>ASCEMBL</w:t>
      </w:r>
      <w:r w:rsidRPr="00082B14">
        <w:t xml:space="preserve"> and PACE trials (paragraph </w:t>
      </w:r>
      <w:r w:rsidRPr="00082B14">
        <w:fldChar w:fldCharType="begin"/>
      </w:r>
      <w:r w:rsidRPr="00082B14">
        <w:instrText xml:space="preserve"> REF _Ref106265767 \r \h  \* MERGEFORMAT </w:instrText>
      </w:r>
      <w:r w:rsidRPr="00082B14">
        <w:fldChar w:fldCharType="separate"/>
      </w:r>
      <w:r w:rsidR="00A914F4">
        <w:t>6.15</w:t>
      </w:r>
      <w:r w:rsidRPr="00082B14">
        <w:fldChar w:fldCharType="end"/>
      </w:r>
      <w:r w:rsidRPr="00082B14">
        <w:t>) showed that after adjustment for baseline characteristics, there was a statistically significant difference in favour of asciminib compared with ponatinib for MMR but not for CCyR. The PSCR stated</w:t>
      </w:r>
      <w:r w:rsidRPr="002E7D71">
        <w:t xml:space="preserve"> that the results support a claim of at least non</w:t>
      </w:r>
      <w:r w:rsidRPr="002E7D71">
        <w:noBreakHyphen/>
        <w:t>inferior efficacy for asciminib versus ponatinib. However, this additional MAIC involves a number of assumptions and selections of non-stratified subgroups from the PACE trial, which would require a formal evaluation. Thus, the interpretation of this new evidence remains uncertain.</w:t>
      </w:r>
      <w:bookmarkEnd w:id="36"/>
    </w:p>
    <w:p w14:paraId="2AAB026B" w14:textId="1255616A" w:rsidR="002515FE" w:rsidRPr="002B4570" w:rsidRDefault="00E80B6D" w:rsidP="00E135C1">
      <w:pPr>
        <w:pStyle w:val="3-BodyText"/>
      </w:pPr>
      <w:bookmarkStart w:id="38" w:name="_Ref111209748"/>
      <w:bookmarkStart w:id="39" w:name="_Ref106270781"/>
      <w:r w:rsidRPr="00B22BCB">
        <w:t xml:space="preserve">The submission did not present any </w:t>
      </w:r>
      <w:r w:rsidR="00CC6808" w:rsidRPr="00B22BCB">
        <w:t xml:space="preserve">comparative </w:t>
      </w:r>
      <w:r w:rsidRPr="00B22BCB">
        <w:t xml:space="preserve">evidence for efficacy </w:t>
      </w:r>
      <w:r w:rsidR="00590E11" w:rsidRPr="00B22BCB">
        <w:t xml:space="preserve">between </w:t>
      </w:r>
      <w:r w:rsidR="00337BFF" w:rsidRPr="00B22BCB">
        <w:t>asciminib</w:t>
      </w:r>
      <w:r w:rsidRPr="00B22BCB">
        <w:t xml:space="preserve"> </w:t>
      </w:r>
      <w:r w:rsidR="00590E11" w:rsidRPr="00B22BCB">
        <w:t xml:space="preserve">and ponatinib </w:t>
      </w:r>
      <w:r w:rsidRPr="00B22BCB">
        <w:t>in patients with the T315I mutation</w:t>
      </w:r>
      <w:r w:rsidR="006965F4">
        <w:t xml:space="preserve">, however it included an unmatched comparison between the asciminib arm of ASCEMBL and the T315I-mutated subgroup of PACE, which showed ponatinib was statistically significantly superior to asciminib in terms of MMR </w:t>
      </w:r>
      <w:r w:rsidR="006965F4" w:rsidRPr="008B10EA">
        <w:t>and CCyR, except for MMR at 6</w:t>
      </w:r>
      <w:r w:rsidR="000D46F2">
        <w:t xml:space="preserve"> </w:t>
      </w:r>
      <w:r w:rsidR="006965F4" w:rsidRPr="008B10EA">
        <w:t>month</w:t>
      </w:r>
      <w:r w:rsidR="001028F0" w:rsidRPr="008B10EA">
        <w:t>s</w:t>
      </w:r>
      <w:r w:rsidR="006965F4" w:rsidRPr="008B10EA">
        <w:t xml:space="preserve"> </w:t>
      </w:r>
      <w:r w:rsidR="001028F0" w:rsidRPr="008B10EA">
        <w:t>(RR 0.67, 95% CI 0.46, 1.00, p = 0.05)</w:t>
      </w:r>
      <w:r w:rsidRPr="008B10EA">
        <w:t xml:space="preserve">. </w:t>
      </w:r>
      <w:r w:rsidRPr="008B10EA">
        <w:rPr>
          <w:bCs/>
        </w:rPr>
        <w:t>The sponsor</w:t>
      </w:r>
      <w:r w:rsidR="001028F0" w:rsidRPr="008B10EA">
        <w:rPr>
          <w:bCs/>
        </w:rPr>
        <w:t xml:space="preserve"> also</w:t>
      </w:r>
      <w:r w:rsidRPr="008B10EA">
        <w:rPr>
          <w:bCs/>
        </w:rPr>
        <w:t xml:space="preserve"> provided efficacy data from a Phase</w:t>
      </w:r>
      <w:r w:rsidR="00F44DE7" w:rsidRPr="008B10EA">
        <w:rPr>
          <w:bCs/>
        </w:rPr>
        <w:t> </w:t>
      </w:r>
      <w:r w:rsidRPr="008B10EA">
        <w:rPr>
          <w:bCs/>
        </w:rPr>
        <w:t xml:space="preserve">1 clinical trial, </w:t>
      </w:r>
      <w:r w:rsidR="00B215CE" w:rsidRPr="00B215CE">
        <w:rPr>
          <w:bCs/>
        </w:rPr>
        <w:t>CABL001</w:t>
      </w:r>
      <w:r w:rsidRPr="008B10EA">
        <w:rPr>
          <w:bCs/>
        </w:rPr>
        <w:t>X2101</w:t>
      </w:r>
      <w:r w:rsidR="005D689F" w:rsidRPr="008B10EA">
        <w:rPr>
          <w:bCs/>
        </w:rPr>
        <w:t xml:space="preserve"> (Appendix 7</w:t>
      </w:r>
      <w:r w:rsidR="00DC2B2F" w:rsidRPr="008B10EA">
        <w:rPr>
          <w:bCs/>
        </w:rPr>
        <w:t xml:space="preserve"> of the submission</w:t>
      </w:r>
      <w:r w:rsidR="005D689F" w:rsidRPr="008B10EA">
        <w:rPr>
          <w:bCs/>
        </w:rPr>
        <w:t>)</w:t>
      </w:r>
      <w:r w:rsidR="0037755C">
        <w:rPr>
          <w:bCs/>
        </w:rPr>
        <w:t>; updated results from this study</w:t>
      </w:r>
      <w:r w:rsidR="0037755C">
        <w:rPr>
          <w:rStyle w:val="FootnoteReference"/>
          <w:bCs/>
        </w:rPr>
        <w:footnoteReference w:id="9"/>
      </w:r>
      <w:r w:rsidR="0037755C">
        <w:rPr>
          <w:bCs/>
        </w:rPr>
        <w:t xml:space="preserve"> </w:t>
      </w:r>
      <w:r w:rsidRPr="002B4570">
        <w:rPr>
          <w:bCs/>
        </w:rPr>
        <w:t xml:space="preserve">show </w:t>
      </w:r>
      <w:r w:rsidR="0037755C">
        <w:rPr>
          <w:bCs/>
        </w:rPr>
        <w:t xml:space="preserve">that </w:t>
      </w:r>
      <w:r w:rsidRPr="002B4570">
        <w:rPr>
          <w:bCs/>
        </w:rPr>
        <w:t xml:space="preserve">MMR was achieved in </w:t>
      </w:r>
      <w:r w:rsidR="0037755C">
        <w:rPr>
          <w:bCs/>
        </w:rPr>
        <w:t>19</w:t>
      </w:r>
      <w:r w:rsidRPr="002B4570">
        <w:rPr>
          <w:bCs/>
        </w:rPr>
        <w:t>/</w:t>
      </w:r>
      <w:r w:rsidR="0037755C">
        <w:rPr>
          <w:bCs/>
        </w:rPr>
        <w:t>45</w:t>
      </w:r>
      <w:r w:rsidRPr="002B4570">
        <w:rPr>
          <w:bCs/>
        </w:rPr>
        <w:t xml:space="preserve"> (4</w:t>
      </w:r>
      <w:r w:rsidR="0037755C">
        <w:rPr>
          <w:bCs/>
        </w:rPr>
        <w:t>2</w:t>
      </w:r>
      <w:r w:rsidRPr="002B4570">
        <w:rPr>
          <w:bCs/>
        </w:rPr>
        <w:t xml:space="preserve">%) of patients with a T315I mutation by </w:t>
      </w:r>
      <w:r w:rsidR="0037755C">
        <w:rPr>
          <w:bCs/>
        </w:rPr>
        <w:t>6</w:t>
      </w:r>
      <w:r w:rsidR="0037755C" w:rsidRPr="002B4570">
        <w:rPr>
          <w:bCs/>
        </w:rPr>
        <w:t xml:space="preserve"> </w:t>
      </w:r>
      <w:r w:rsidRPr="002B4570">
        <w:rPr>
          <w:bCs/>
        </w:rPr>
        <w:t>months</w:t>
      </w:r>
      <w:r w:rsidR="00C01A21" w:rsidRPr="002B4570">
        <w:rPr>
          <w:bCs/>
        </w:rPr>
        <w:t xml:space="preserve">, </w:t>
      </w:r>
      <w:r w:rsidR="0037755C">
        <w:rPr>
          <w:bCs/>
        </w:rPr>
        <w:t xml:space="preserve">compared to </w:t>
      </w:r>
      <w:r w:rsidR="0037755C" w:rsidRPr="002B4570">
        <w:rPr>
          <w:bCs/>
        </w:rPr>
        <w:t>MMR in 56.3%</w:t>
      </w:r>
      <w:r w:rsidR="0037755C">
        <w:rPr>
          <w:bCs/>
        </w:rPr>
        <w:t xml:space="preserve"> of patients</w:t>
      </w:r>
      <w:r w:rsidR="0037755C" w:rsidRPr="002B4570">
        <w:rPr>
          <w:bCs/>
        </w:rPr>
        <w:t xml:space="preserve"> at 12 months</w:t>
      </w:r>
      <w:r w:rsidR="0037755C">
        <w:rPr>
          <w:bCs/>
        </w:rPr>
        <w:t xml:space="preserve"> </w:t>
      </w:r>
      <w:r w:rsidR="00C01A21" w:rsidRPr="002B4570">
        <w:rPr>
          <w:bCs/>
        </w:rPr>
        <w:t xml:space="preserve">in the T315I subgroup of </w:t>
      </w:r>
      <w:r w:rsidR="0037755C">
        <w:rPr>
          <w:bCs/>
        </w:rPr>
        <w:t xml:space="preserve">the </w:t>
      </w:r>
      <w:r w:rsidR="00C01A21" w:rsidRPr="002B4570">
        <w:rPr>
          <w:bCs/>
        </w:rPr>
        <w:t>PACE</w:t>
      </w:r>
      <w:r w:rsidR="0037755C">
        <w:rPr>
          <w:bCs/>
        </w:rPr>
        <w:t xml:space="preserve"> study</w:t>
      </w:r>
      <w:r w:rsidR="00C01A21" w:rsidRPr="002B4570">
        <w:rPr>
          <w:bCs/>
        </w:rPr>
        <w:t>. Another Phase I</w:t>
      </w:r>
      <w:r w:rsidR="00BB78E3" w:rsidRPr="002B4570">
        <w:rPr>
          <w:bCs/>
        </w:rPr>
        <w:t xml:space="preserve"> trial</w:t>
      </w:r>
      <w:r w:rsidR="00BB78E3" w:rsidRPr="002B4570">
        <w:rPr>
          <w:rStyle w:val="FootnoteReference"/>
          <w:bCs/>
        </w:rPr>
        <w:footnoteReference w:id="10"/>
      </w:r>
      <w:r w:rsidR="00C01A21" w:rsidRPr="002B4570">
        <w:rPr>
          <w:bCs/>
        </w:rPr>
        <w:t xml:space="preserve"> treated 21 ponatinib-naïve, T315I patients with </w:t>
      </w:r>
      <w:r w:rsidR="00337BFF" w:rsidRPr="002B4570">
        <w:rPr>
          <w:bCs/>
        </w:rPr>
        <w:t>asciminib</w:t>
      </w:r>
      <w:r w:rsidR="00C01A21" w:rsidRPr="002B4570">
        <w:rPr>
          <w:bCs/>
        </w:rPr>
        <w:t xml:space="preserve"> 400</w:t>
      </w:r>
      <w:r w:rsidR="0030340B">
        <w:rPr>
          <w:bCs/>
        </w:rPr>
        <w:t> </w:t>
      </w:r>
      <w:r w:rsidR="00C01A21" w:rsidRPr="002B4570">
        <w:rPr>
          <w:bCs/>
        </w:rPr>
        <w:t xml:space="preserve">mg/day, </w:t>
      </w:r>
      <w:r w:rsidR="00CC6E4D" w:rsidRPr="002B4570">
        <w:rPr>
          <w:bCs/>
        </w:rPr>
        <w:t xml:space="preserve">and </w:t>
      </w:r>
      <w:r w:rsidR="00C01A21" w:rsidRPr="002B4570">
        <w:rPr>
          <w:bCs/>
        </w:rPr>
        <w:t xml:space="preserve">demonstrated MMR </w:t>
      </w:r>
      <w:r w:rsidR="007F474D" w:rsidRPr="002B4570">
        <w:rPr>
          <w:bCs/>
        </w:rPr>
        <w:t xml:space="preserve">in </w:t>
      </w:r>
      <w:r w:rsidR="00C01A21" w:rsidRPr="002B4570">
        <w:rPr>
          <w:bCs/>
        </w:rPr>
        <w:t>57.1%</w:t>
      </w:r>
      <w:r w:rsidR="00CC6E4D" w:rsidRPr="002B4570">
        <w:rPr>
          <w:bCs/>
        </w:rPr>
        <w:t xml:space="preserve"> at 12 months</w:t>
      </w:r>
      <w:r w:rsidR="007F474D" w:rsidRPr="002B4570">
        <w:rPr>
          <w:bCs/>
        </w:rPr>
        <w:t>.</w:t>
      </w:r>
      <w:bookmarkEnd w:id="38"/>
      <w:r w:rsidR="007F474D" w:rsidRPr="002B4570">
        <w:rPr>
          <w:bCs/>
        </w:rPr>
        <w:t xml:space="preserve"> </w:t>
      </w:r>
      <w:bookmarkEnd w:id="37"/>
      <w:bookmarkEnd w:id="39"/>
    </w:p>
    <w:p w14:paraId="69C4334F" w14:textId="1D8F8AB6" w:rsidR="003D5C8E" w:rsidRPr="00B22BCB" w:rsidRDefault="003D5C8E" w:rsidP="003D5C8E">
      <w:pPr>
        <w:pStyle w:val="4-SubsectionHeading"/>
      </w:pPr>
      <w:bookmarkStart w:id="40" w:name="_Toc103772585"/>
      <w:r w:rsidRPr="00B22BCB">
        <w:t>Comparative harms</w:t>
      </w:r>
      <w:bookmarkEnd w:id="40"/>
    </w:p>
    <w:p w14:paraId="78E9230C" w14:textId="32C823E6" w:rsidR="00954116" w:rsidRDefault="00954116" w:rsidP="00954116">
      <w:pPr>
        <w:pStyle w:val="3-BodyText"/>
        <w:numPr>
          <w:ilvl w:val="0"/>
          <w:numId w:val="0"/>
        </w:numPr>
        <w:ind w:left="720" w:hanging="720"/>
      </w:pPr>
      <w:r w:rsidRPr="00857DC0">
        <w:rPr>
          <w:rFonts w:cstheme="minorHAnsi"/>
          <w:b/>
          <w:bCs/>
          <w:i/>
          <w:iCs/>
          <w:u w:val="single"/>
        </w:rPr>
        <w:t xml:space="preserve">Asciminib versus </w:t>
      </w:r>
      <w:r>
        <w:rPr>
          <w:rFonts w:cstheme="minorHAnsi"/>
          <w:b/>
          <w:bCs/>
          <w:i/>
          <w:iCs/>
          <w:u w:val="single"/>
        </w:rPr>
        <w:t>bosutinib</w:t>
      </w:r>
    </w:p>
    <w:p w14:paraId="1C01D1FC" w14:textId="6298BAEC" w:rsidR="00F158DD" w:rsidRPr="002B4570" w:rsidRDefault="001B04CA" w:rsidP="00F158DD">
      <w:pPr>
        <w:pStyle w:val="3-BodyText"/>
      </w:pPr>
      <w:r w:rsidRPr="00B22BCB">
        <w:t>Safety data are provided from the primary analysis</w:t>
      </w:r>
      <w:r w:rsidR="00633E7D" w:rsidRPr="00B22BCB">
        <w:t xml:space="preserve"> of ASCEMBL comparing </w:t>
      </w:r>
      <w:r w:rsidR="00337BFF" w:rsidRPr="00B22BCB">
        <w:t>asciminib</w:t>
      </w:r>
      <w:r w:rsidR="00633E7D" w:rsidRPr="00B22BCB">
        <w:t xml:space="preserve"> with bosutinib</w:t>
      </w:r>
      <w:r w:rsidRPr="00B22BCB">
        <w:t xml:space="preserve"> (</w:t>
      </w:r>
      <w:r w:rsidR="00195175" w:rsidRPr="00B22BCB">
        <w:t>data cut-off</w:t>
      </w:r>
      <w:r w:rsidRPr="00B22BCB">
        <w:t>: 25 May 2020</w:t>
      </w:r>
      <w:r w:rsidR="00F075C5">
        <w:t>; Week 24</w:t>
      </w:r>
      <w:r w:rsidR="00633E7D" w:rsidRPr="00B22BCB">
        <w:t xml:space="preserve">), </w:t>
      </w:r>
      <w:r w:rsidR="00475207" w:rsidRPr="00B22BCB">
        <w:t>which</w:t>
      </w:r>
      <w:r w:rsidR="00633E7D" w:rsidRPr="00B22BCB">
        <w:t xml:space="preserve"> represent the only randomised safety comparison of </w:t>
      </w:r>
      <w:r w:rsidR="00337BFF" w:rsidRPr="00B22BCB">
        <w:t>asciminib</w:t>
      </w:r>
      <w:r w:rsidR="00633E7D" w:rsidRPr="00B22BCB">
        <w:t xml:space="preserve"> and a second-generation TKI presented by the submission</w:t>
      </w:r>
      <w:r w:rsidR="000179E4">
        <w:t xml:space="preserve"> (</w:t>
      </w:r>
      <w:r w:rsidR="000179E4">
        <w:fldChar w:fldCharType="begin"/>
      </w:r>
      <w:r w:rsidR="000179E4">
        <w:instrText xml:space="preserve"> REF _Ref106613083 \h </w:instrText>
      </w:r>
      <w:r w:rsidR="000179E4">
        <w:fldChar w:fldCharType="separate"/>
      </w:r>
      <w:r w:rsidR="00A914F4" w:rsidRPr="00B22BCB">
        <w:t xml:space="preserve">Table </w:t>
      </w:r>
      <w:r w:rsidR="00A914F4">
        <w:rPr>
          <w:noProof/>
        </w:rPr>
        <w:t>10</w:t>
      </w:r>
      <w:r w:rsidR="000179E4">
        <w:fldChar w:fldCharType="end"/>
      </w:r>
      <w:r w:rsidR="000179E4">
        <w:t>)</w:t>
      </w:r>
      <w:r w:rsidR="00D8796D" w:rsidRPr="00B22BCB">
        <w:t>.</w:t>
      </w:r>
      <w:r w:rsidRPr="00B22BCB">
        <w:t xml:space="preserve"> </w:t>
      </w:r>
      <w:r w:rsidR="00222293" w:rsidRPr="002B4570">
        <w:t>As the trial was open-label, investigator</w:t>
      </w:r>
      <w:r w:rsidR="00051D2C" w:rsidRPr="002B4570">
        <w:t xml:space="preserve"> determination of</w:t>
      </w:r>
      <w:r w:rsidR="00222293" w:rsidRPr="002B4570">
        <w:t xml:space="preserve"> treatment-related </w:t>
      </w:r>
      <w:r w:rsidR="00CA1D9E" w:rsidRPr="002B4570">
        <w:t>adverse events (</w:t>
      </w:r>
      <w:r w:rsidR="00222293" w:rsidRPr="002B4570">
        <w:t>AEs</w:t>
      </w:r>
      <w:r w:rsidR="00AB5D36" w:rsidRPr="002B4570">
        <w:t>)</w:t>
      </w:r>
      <w:r w:rsidR="00222293" w:rsidRPr="002B4570">
        <w:t xml:space="preserve">, and subjective patient-reported </w:t>
      </w:r>
      <w:r w:rsidR="00954116">
        <w:t>AEs</w:t>
      </w:r>
      <w:r w:rsidR="00222293" w:rsidRPr="002B4570">
        <w:t xml:space="preserve"> (such as nausea and headache), may be vulnerable to bias. </w:t>
      </w:r>
    </w:p>
    <w:p w14:paraId="29AB48D8" w14:textId="0A5815D9" w:rsidR="001B04CA" w:rsidRPr="00B22BCB" w:rsidRDefault="001B04CA" w:rsidP="001B04CA">
      <w:pPr>
        <w:pStyle w:val="TableFigureHeading"/>
      </w:pPr>
      <w:bookmarkStart w:id="41" w:name="_Ref106613083"/>
      <w:r w:rsidRPr="00B22BCB">
        <w:t xml:space="preserve">Table </w:t>
      </w:r>
      <w:r w:rsidR="00CA52C1">
        <w:fldChar w:fldCharType="begin"/>
      </w:r>
      <w:r w:rsidR="00CA52C1">
        <w:instrText xml:space="preserve"> SEQ Table \* ARABIC </w:instrText>
      </w:r>
      <w:r w:rsidR="00CA52C1">
        <w:fldChar w:fldCharType="separate"/>
      </w:r>
      <w:r w:rsidR="00A914F4">
        <w:rPr>
          <w:noProof/>
        </w:rPr>
        <w:t>10</w:t>
      </w:r>
      <w:r w:rsidR="00CA52C1">
        <w:rPr>
          <w:noProof/>
        </w:rPr>
        <w:fldChar w:fldCharType="end"/>
      </w:r>
      <w:bookmarkEnd w:id="41"/>
      <w:r w:rsidRPr="00B22BCB">
        <w:t xml:space="preserve">: Adverse events, ASCEMBL safety population, primary </w:t>
      </w:r>
      <w:r w:rsidR="00FC7FB6" w:rsidRPr="00B22BCB">
        <w:t>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001"/>
        <w:gridCol w:w="986"/>
        <w:gridCol w:w="2551"/>
        <w:gridCol w:w="2499"/>
      </w:tblGrid>
      <w:tr w:rsidR="00E9298A" w:rsidRPr="00B22BCB" w14:paraId="5A257D5C" w14:textId="77777777" w:rsidTr="00E9298A">
        <w:trPr>
          <w:trHeight w:val="214"/>
          <w:tblHeader/>
        </w:trPr>
        <w:tc>
          <w:tcPr>
            <w:tcW w:w="1097" w:type="pct"/>
            <w:tcBorders>
              <w:bottom w:val="nil"/>
            </w:tcBorders>
            <w:shd w:val="clear" w:color="auto" w:fill="auto"/>
          </w:tcPr>
          <w:p w14:paraId="2B164F87" w14:textId="7BA7A9C7" w:rsidR="001B04CA" w:rsidRPr="00B22BCB" w:rsidRDefault="001B04C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 xml:space="preserve">Proportion of patients, </w:t>
            </w:r>
          </w:p>
        </w:tc>
        <w:tc>
          <w:tcPr>
            <w:tcW w:w="555" w:type="pct"/>
            <w:tcBorders>
              <w:bottom w:val="nil"/>
            </w:tcBorders>
            <w:shd w:val="clear" w:color="auto" w:fill="auto"/>
          </w:tcPr>
          <w:p w14:paraId="4C2BB734" w14:textId="77777777" w:rsidR="001B04CA" w:rsidRDefault="001B04C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Asciminib</w:t>
            </w:r>
          </w:p>
          <w:p w14:paraId="613652F8" w14:textId="77777777" w:rsidR="00E9298A" w:rsidRDefault="00E9298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N = 156</w:t>
            </w:r>
          </w:p>
          <w:p w14:paraId="11F5A558" w14:textId="3663A63B" w:rsidR="00E9298A" w:rsidRPr="00B22BCB" w:rsidRDefault="00E9298A" w:rsidP="00F158DD">
            <w:pPr>
              <w:keepNext/>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n (%)</w:t>
            </w:r>
          </w:p>
        </w:tc>
        <w:tc>
          <w:tcPr>
            <w:tcW w:w="547" w:type="pct"/>
            <w:tcBorders>
              <w:bottom w:val="nil"/>
            </w:tcBorders>
            <w:shd w:val="clear" w:color="auto" w:fill="auto"/>
          </w:tcPr>
          <w:p w14:paraId="3A09C2FE" w14:textId="77777777" w:rsidR="001B04CA" w:rsidRDefault="001B04C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Bosutinib</w:t>
            </w:r>
          </w:p>
          <w:p w14:paraId="49661979" w14:textId="77777777" w:rsidR="00E9298A" w:rsidRDefault="00E9298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N = 76</w:t>
            </w:r>
          </w:p>
          <w:p w14:paraId="17D4D665" w14:textId="3575ECE4" w:rsidR="00E9298A" w:rsidRPr="00B22BCB" w:rsidRDefault="00E9298A" w:rsidP="00F158DD">
            <w:pPr>
              <w:keepNext/>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n (%)</w:t>
            </w:r>
          </w:p>
        </w:tc>
        <w:tc>
          <w:tcPr>
            <w:tcW w:w="1415" w:type="pct"/>
            <w:tcBorders>
              <w:bottom w:val="nil"/>
            </w:tcBorders>
            <w:shd w:val="clear" w:color="auto" w:fill="auto"/>
          </w:tcPr>
          <w:p w14:paraId="0F66772C" w14:textId="77777777" w:rsidR="001B04CA" w:rsidRDefault="001B04C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RR (95% CI)</w:t>
            </w:r>
            <w:r w:rsidR="007D3FCA" w:rsidRPr="00B22BCB">
              <w:rPr>
                <w:rFonts w:ascii="Arial Narrow" w:eastAsia="Calibri" w:hAnsi="Arial Narrow" w:cs="Times New Roman"/>
                <w:b/>
                <w:sz w:val="20"/>
                <w:szCs w:val="20"/>
                <w:vertAlign w:val="superscript"/>
              </w:rPr>
              <w:t>a</w:t>
            </w:r>
          </w:p>
          <w:p w14:paraId="1AFC458B" w14:textId="48D4CC65" w:rsidR="00E9298A" w:rsidRPr="00E9298A" w:rsidRDefault="00E9298A" w:rsidP="00F158DD">
            <w:pPr>
              <w:keepNext/>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c>
          <w:tcPr>
            <w:tcW w:w="1386" w:type="pct"/>
            <w:tcBorders>
              <w:bottom w:val="nil"/>
            </w:tcBorders>
            <w:shd w:val="clear" w:color="auto" w:fill="auto"/>
          </w:tcPr>
          <w:p w14:paraId="19BA2733" w14:textId="77777777" w:rsidR="001B04CA" w:rsidRDefault="001B04CA" w:rsidP="00F158DD">
            <w:pPr>
              <w:keepNext/>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RD (95% CI)</w:t>
            </w:r>
            <w:r w:rsidR="007D3FCA" w:rsidRPr="00B22BCB">
              <w:rPr>
                <w:rFonts w:ascii="Arial Narrow" w:eastAsia="Calibri" w:hAnsi="Arial Narrow" w:cs="Times New Roman"/>
                <w:b/>
                <w:sz w:val="20"/>
                <w:szCs w:val="20"/>
                <w:vertAlign w:val="superscript"/>
              </w:rPr>
              <w:t>a</w:t>
            </w:r>
          </w:p>
          <w:p w14:paraId="5B049719" w14:textId="62E9DFE3" w:rsidR="00E9298A" w:rsidRPr="00E9298A" w:rsidRDefault="00E9298A" w:rsidP="00F158DD">
            <w:pPr>
              <w:keepNext/>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r>
      <w:tr w:rsidR="001B04CA" w:rsidRPr="00B22BCB" w14:paraId="08A372F8" w14:textId="77777777" w:rsidTr="00D428E6">
        <w:trPr>
          <w:trHeight w:val="250"/>
        </w:trPr>
        <w:tc>
          <w:tcPr>
            <w:tcW w:w="5000" w:type="pct"/>
            <w:gridSpan w:val="5"/>
            <w:tcBorders>
              <w:bottom w:val="nil"/>
            </w:tcBorders>
            <w:shd w:val="clear" w:color="auto" w:fill="auto"/>
          </w:tcPr>
          <w:p w14:paraId="60932947" w14:textId="20B5CB5F" w:rsidR="001B04CA" w:rsidRPr="00B22BCB" w:rsidRDefault="001B04CA" w:rsidP="00F158DD">
            <w:pPr>
              <w:keepNext/>
              <w:spacing w:line="276" w:lineRule="auto"/>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Primary analysis DCO (25 May 2020) </w:t>
            </w:r>
            <w:r w:rsidR="007D3FCA" w:rsidRPr="00B22BCB">
              <w:rPr>
                <w:rFonts w:ascii="Arial Narrow" w:eastAsia="Calibri" w:hAnsi="Arial Narrow" w:cs="Times New Roman"/>
                <w:b/>
                <w:bCs/>
                <w:sz w:val="20"/>
                <w:szCs w:val="20"/>
                <w:vertAlign w:val="superscript"/>
              </w:rPr>
              <w:t>b</w:t>
            </w:r>
          </w:p>
        </w:tc>
      </w:tr>
      <w:tr w:rsidR="00E9298A" w:rsidRPr="00B22BCB" w14:paraId="21BC72F5" w14:textId="77777777" w:rsidTr="00E9298A">
        <w:trPr>
          <w:trHeight w:val="250"/>
        </w:trPr>
        <w:tc>
          <w:tcPr>
            <w:tcW w:w="1097" w:type="pct"/>
            <w:tcBorders>
              <w:bottom w:val="nil"/>
            </w:tcBorders>
            <w:shd w:val="clear" w:color="auto" w:fill="auto"/>
          </w:tcPr>
          <w:p w14:paraId="017E5656" w14:textId="77777777" w:rsidR="001B04CA" w:rsidRPr="00B22BCB" w:rsidRDefault="001B04CA" w:rsidP="00E9298A">
            <w:pPr>
              <w:keepNext/>
              <w:spacing w:line="276" w:lineRule="auto"/>
              <w:jc w:val="left"/>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Any grade </w:t>
            </w:r>
          </w:p>
        </w:tc>
        <w:tc>
          <w:tcPr>
            <w:tcW w:w="555" w:type="pct"/>
            <w:tcBorders>
              <w:bottom w:val="nil"/>
            </w:tcBorders>
            <w:shd w:val="clear" w:color="auto" w:fill="auto"/>
          </w:tcPr>
          <w:p w14:paraId="66C2C43B" w14:textId="77777777" w:rsidR="001B04CA" w:rsidRPr="00B22BCB" w:rsidRDefault="001B04CA" w:rsidP="00F158DD">
            <w:pPr>
              <w:keepNext/>
              <w:spacing w:line="276" w:lineRule="auto"/>
              <w:rPr>
                <w:rFonts w:ascii="Arial Narrow" w:eastAsia="Calibri" w:hAnsi="Arial Narrow" w:cs="Times New Roman"/>
                <w:b/>
                <w:bCs/>
                <w:w w:val="95"/>
                <w:sz w:val="20"/>
                <w:szCs w:val="20"/>
              </w:rPr>
            </w:pPr>
          </w:p>
        </w:tc>
        <w:tc>
          <w:tcPr>
            <w:tcW w:w="547" w:type="pct"/>
            <w:tcBorders>
              <w:bottom w:val="nil"/>
            </w:tcBorders>
            <w:shd w:val="clear" w:color="auto" w:fill="auto"/>
          </w:tcPr>
          <w:p w14:paraId="58EF04F8" w14:textId="77777777" w:rsidR="001B04CA" w:rsidRPr="00B22BCB" w:rsidRDefault="001B04CA" w:rsidP="00F158DD">
            <w:pPr>
              <w:keepNext/>
              <w:spacing w:line="276" w:lineRule="auto"/>
              <w:rPr>
                <w:rFonts w:ascii="Arial Narrow" w:eastAsia="Calibri" w:hAnsi="Arial Narrow" w:cs="Times New Roman"/>
                <w:b/>
                <w:bCs/>
                <w:sz w:val="20"/>
                <w:szCs w:val="20"/>
              </w:rPr>
            </w:pPr>
          </w:p>
        </w:tc>
        <w:tc>
          <w:tcPr>
            <w:tcW w:w="1415" w:type="pct"/>
            <w:tcBorders>
              <w:bottom w:val="nil"/>
            </w:tcBorders>
            <w:shd w:val="clear" w:color="auto" w:fill="auto"/>
          </w:tcPr>
          <w:p w14:paraId="2DF602CD" w14:textId="77777777" w:rsidR="001B04CA" w:rsidRPr="00B22BCB" w:rsidRDefault="001B04CA" w:rsidP="00F158DD">
            <w:pPr>
              <w:keepNext/>
              <w:spacing w:line="276" w:lineRule="auto"/>
              <w:jc w:val="center"/>
              <w:rPr>
                <w:rFonts w:ascii="Arial Narrow" w:eastAsia="Calibri" w:hAnsi="Arial Narrow" w:cs="Times New Roman"/>
                <w:sz w:val="20"/>
                <w:szCs w:val="20"/>
              </w:rPr>
            </w:pPr>
          </w:p>
        </w:tc>
        <w:tc>
          <w:tcPr>
            <w:tcW w:w="1386" w:type="pct"/>
            <w:tcBorders>
              <w:bottom w:val="nil"/>
            </w:tcBorders>
            <w:shd w:val="clear" w:color="auto" w:fill="auto"/>
          </w:tcPr>
          <w:p w14:paraId="51D63502" w14:textId="77777777" w:rsidR="001B04CA" w:rsidRPr="00B22BCB" w:rsidRDefault="001B04CA" w:rsidP="00F158DD">
            <w:pPr>
              <w:keepNext/>
              <w:spacing w:line="276" w:lineRule="auto"/>
              <w:jc w:val="center"/>
              <w:rPr>
                <w:rFonts w:ascii="Arial Narrow" w:eastAsia="Calibri" w:hAnsi="Arial Narrow" w:cs="Times New Roman"/>
                <w:sz w:val="20"/>
                <w:szCs w:val="20"/>
              </w:rPr>
            </w:pPr>
          </w:p>
        </w:tc>
      </w:tr>
      <w:tr w:rsidR="00E9298A" w:rsidRPr="00B22BCB" w14:paraId="5529179C" w14:textId="77777777" w:rsidTr="00E9298A">
        <w:trPr>
          <w:trHeight w:val="250"/>
        </w:trPr>
        <w:tc>
          <w:tcPr>
            <w:tcW w:w="1097" w:type="pct"/>
            <w:tcBorders>
              <w:top w:val="nil"/>
              <w:bottom w:val="nil"/>
            </w:tcBorders>
            <w:shd w:val="clear" w:color="auto" w:fill="auto"/>
          </w:tcPr>
          <w:p w14:paraId="5592E3B0"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AEs</w:t>
            </w:r>
          </w:p>
        </w:tc>
        <w:tc>
          <w:tcPr>
            <w:tcW w:w="555" w:type="pct"/>
            <w:tcBorders>
              <w:top w:val="nil"/>
              <w:bottom w:val="nil"/>
            </w:tcBorders>
            <w:shd w:val="clear" w:color="auto" w:fill="auto"/>
          </w:tcPr>
          <w:p w14:paraId="7F35CA19"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140 (89.7)</w:t>
            </w:r>
          </w:p>
        </w:tc>
        <w:tc>
          <w:tcPr>
            <w:tcW w:w="547" w:type="pct"/>
            <w:tcBorders>
              <w:top w:val="nil"/>
              <w:bottom w:val="nil"/>
            </w:tcBorders>
            <w:shd w:val="clear" w:color="auto" w:fill="auto"/>
          </w:tcPr>
          <w:p w14:paraId="4D972841"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73 (96.1)</w:t>
            </w:r>
          </w:p>
        </w:tc>
        <w:tc>
          <w:tcPr>
            <w:tcW w:w="1415" w:type="pct"/>
            <w:tcBorders>
              <w:top w:val="nil"/>
              <w:bottom w:val="nil"/>
            </w:tcBorders>
            <w:shd w:val="clear" w:color="auto" w:fill="auto"/>
          </w:tcPr>
          <w:p w14:paraId="271C0C06"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0.93 (0.87, 1.00); p = 0.06</w:t>
            </w:r>
          </w:p>
        </w:tc>
        <w:tc>
          <w:tcPr>
            <w:tcW w:w="1386" w:type="pct"/>
            <w:tcBorders>
              <w:top w:val="nil"/>
              <w:bottom w:val="nil"/>
            </w:tcBorders>
            <w:shd w:val="clear" w:color="auto" w:fill="auto"/>
          </w:tcPr>
          <w:p w14:paraId="7A060CE1"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-0.06 (-0.13, 0.00); p = 0.06</w:t>
            </w:r>
          </w:p>
        </w:tc>
      </w:tr>
      <w:tr w:rsidR="00E9298A" w:rsidRPr="00B22BCB" w14:paraId="72F653F2" w14:textId="77777777" w:rsidTr="00E9298A">
        <w:trPr>
          <w:trHeight w:val="244"/>
        </w:trPr>
        <w:tc>
          <w:tcPr>
            <w:tcW w:w="1097" w:type="pct"/>
            <w:tcBorders>
              <w:top w:val="nil"/>
              <w:bottom w:val="nil"/>
            </w:tcBorders>
            <w:shd w:val="clear" w:color="auto" w:fill="auto"/>
          </w:tcPr>
          <w:p w14:paraId="247BAFE3"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bottom w:val="nil"/>
            </w:tcBorders>
            <w:shd w:val="clear" w:color="auto" w:fill="auto"/>
          </w:tcPr>
          <w:p w14:paraId="381766BD"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99 (63.5)</w:t>
            </w:r>
          </w:p>
        </w:tc>
        <w:tc>
          <w:tcPr>
            <w:tcW w:w="547" w:type="pct"/>
            <w:tcBorders>
              <w:top w:val="nil"/>
              <w:bottom w:val="nil"/>
            </w:tcBorders>
            <w:shd w:val="clear" w:color="auto" w:fill="auto"/>
          </w:tcPr>
          <w:p w14:paraId="74CD413D"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67 (88.2)</w:t>
            </w:r>
          </w:p>
        </w:tc>
        <w:tc>
          <w:tcPr>
            <w:tcW w:w="1415" w:type="pct"/>
            <w:tcBorders>
              <w:top w:val="nil"/>
              <w:bottom w:val="nil"/>
            </w:tcBorders>
            <w:shd w:val="clear" w:color="auto" w:fill="auto"/>
          </w:tcPr>
          <w:p w14:paraId="79693588"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0.72 (0.62, 0.83); p &lt; 0.0001</w:t>
            </w:r>
          </w:p>
        </w:tc>
        <w:tc>
          <w:tcPr>
            <w:tcW w:w="1386" w:type="pct"/>
            <w:tcBorders>
              <w:top w:val="nil"/>
              <w:bottom w:val="nil"/>
            </w:tcBorders>
            <w:shd w:val="clear" w:color="auto" w:fill="auto"/>
          </w:tcPr>
          <w:p w14:paraId="54379259"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-0.25 (-0.35, -0.14); p &lt; 0.0001</w:t>
            </w:r>
          </w:p>
        </w:tc>
      </w:tr>
      <w:tr w:rsidR="00E9298A" w:rsidRPr="00B22BCB" w14:paraId="5A9441BE" w14:textId="77777777" w:rsidTr="00E9298A">
        <w:trPr>
          <w:trHeight w:val="244"/>
        </w:trPr>
        <w:tc>
          <w:tcPr>
            <w:tcW w:w="1097" w:type="pct"/>
            <w:tcBorders>
              <w:top w:val="nil"/>
              <w:bottom w:val="nil"/>
            </w:tcBorders>
          </w:tcPr>
          <w:p w14:paraId="6EFF4F2A"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SAEs</w:t>
            </w:r>
          </w:p>
        </w:tc>
        <w:tc>
          <w:tcPr>
            <w:tcW w:w="555" w:type="pct"/>
            <w:tcBorders>
              <w:top w:val="nil"/>
              <w:bottom w:val="nil"/>
            </w:tcBorders>
          </w:tcPr>
          <w:p w14:paraId="538CFFF5"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21 (13.5)</w:t>
            </w:r>
          </w:p>
        </w:tc>
        <w:tc>
          <w:tcPr>
            <w:tcW w:w="547" w:type="pct"/>
            <w:tcBorders>
              <w:top w:val="nil"/>
              <w:bottom w:val="nil"/>
            </w:tcBorders>
          </w:tcPr>
          <w:p w14:paraId="63444407"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14 (18.4)</w:t>
            </w:r>
          </w:p>
        </w:tc>
        <w:tc>
          <w:tcPr>
            <w:tcW w:w="1415" w:type="pct"/>
            <w:tcBorders>
              <w:top w:val="nil"/>
              <w:bottom w:val="nil"/>
            </w:tcBorders>
          </w:tcPr>
          <w:p w14:paraId="123911DB"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0.73 (0.39, 1.36); p = 0.32</w:t>
            </w:r>
          </w:p>
        </w:tc>
        <w:tc>
          <w:tcPr>
            <w:tcW w:w="1386" w:type="pct"/>
            <w:tcBorders>
              <w:top w:val="nil"/>
              <w:bottom w:val="nil"/>
            </w:tcBorders>
          </w:tcPr>
          <w:p w14:paraId="326EAA9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-0.05 (-0.15, 0.05); p = 0.34</w:t>
            </w:r>
          </w:p>
        </w:tc>
      </w:tr>
      <w:tr w:rsidR="00E9298A" w:rsidRPr="00B22BCB" w14:paraId="1C14761A" w14:textId="77777777" w:rsidTr="00E9298A">
        <w:trPr>
          <w:trHeight w:val="244"/>
        </w:trPr>
        <w:tc>
          <w:tcPr>
            <w:tcW w:w="1097" w:type="pct"/>
            <w:tcBorders>
              <w:top w:val="nil"/>
              <w:bottom w:val="nil"/>
            </w:tcBorders>
          </w:tcPr>
          <w:p w14:paraId="04AB07C5"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bottom w:val="nil"/>
            </w:tcBorders>
          </w:tcPr>
          <w:p w14:paraId="3055B9B4"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 (2.6)</w:t>
            </w:r>
          </w:p>
        </w:tc>
        <w:tc>
          <w:tcPr>
            <w:tcW w:w="547" w:type="pct"/>
            <w:tcBorders>
              <w:top w:val="nil"/>
              <w:bottom w:val="nil"/>
            </w:tcBorders>
          </w:tcPr>
          <w:p w14:paraId="63C1FD83"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7 (9.2)</w:t>
            </w:r>
          </w:p>
        </w:tc>
        <w:tc>
          <w:tcPr>
            <w:tcW w:w="1415" w:type="pct"/>
            <w:tcBorders>
              <w:top w:val="nil"/>
              <w:bottom w:val="nil"/>
            </w:tcBorders>
          </w:tcPr>
          <w:p w14:paraId="1AF06BD6"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0.28 (0.08, 0.92); p = 0.04</w:t>
            </w:r>
          </w:p>
        </w:tc>
        <w:tc>
          <w:tcPr>
            <w:tcW w:w="1386" w:type="pct"/>
            <w:tcBorders>
              <w:top w:val="nil"/>
              <w:bottom w:val="nil"/>
            </w:tcBorders>
          </w:tcPr>
          <w:p w14:paraId="1465AFC3"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-0.07 (-0.14, 0.00); p = 0.06</w:t>
            </w:r>
          </w:p>
        </w:tc>
      </w:tr>
      <w:tr w:rsidR="00E9298A" w:rsidRPr="00B22BCB" w14:paraId="0BE08883" w14:textId="77777777" w:rsidTr="00E9298A">
        <w:trPr>
          <w:trHeight w:val="242"/>
        </w:trPr>
        <w:tc>
          <w:tcPr>
            <w:tcW w:w="1097" w:type="pct"/>
            <w:tcBorders>
              <w:top w:val="nil"/>
              <w:bottom w:val="nil"/>
            </w:tcBorders>
          </w:tcPr>
          <w:p w14:paraId="58038801"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Fatal SAEs</w:t>
            </w:r>
          </w:p>
        </w:tc>
        <w:tc>
          <w:tcPr>
            <w:tcW w:w="555" w:type="pct"/>
            <w:tcBorders>
              <w:top w:val="nil"/>
              <w:bottom w:val="nil"/>
            </w:tcBorders>
          </w:tcPr>
          <w:p w14:paraId="1A856FEC"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2 (1.3)</w:t>
            </w:r>
          </w:p>
        </w:tc>
        <w:tc>
          <w:tcPr>
            <w:tcW w:w="547" w:type="pct"/>
            <w:tcBorders>
              <w:top w:val="nil"/>
              <w:bottom w:val="nil"/>
            </w:tcBorders>
          </w:tcPr>
          <w:p w14:paraId="0C23773F"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 (1.3)</w:t>
            </w:r>
          </w:p>
        </w:tc>
        <w:tc>
          <w:tcPr>
            <w:tcW w:w="1415" w:type="pct"/>
            <w:tcBorders>
              <w:top w:val="nil"/>
              <w:bottom w:val="nil"/>
            </w:tcBorders>
          </w:tcPr>
          <w:p w14:paraId="3AC12980"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0.97 (0.09, 10.58); p = 0.98</w:t>
            </w:r>
          </w:p>
        </w:tc>
        <w:tc>
          <w:tcPr>
            <w:tcW w:w="1386" w:type="pct"/>
            <w:tcBorders>
              <w:top w:val="nil"/>
              <w:bottom w:val="nil"/>
            </w:tcBorders>
          </w:tcPr>
          <w:p w14:paraId="1F61F429"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-0.00 (-0.03, 0.03); p = 0.98</w:t>
            </w:r>
          </w:p>
        </w:tc>
      </w:tr>
      <w:tr w:rsidR="00E9298A" w:rsidRPr="00B22BCB" w14:paraId="506DA2CC" w14:textId="77777777" w:rsidTr="00E9298A">
        <w:trPr>
          <w:trHeight w:val="244"/>
        </w:trPr>
        <w:tc>
          <w:tcPr>
            <w:tcW w:w="1097" w:type="pct"/>
            <w:tcBorders>
              <w:top w:val="nil"/>
              <w:bottom w:val="nil"/>
            </w:tcBorders>
          </w:tcPr>
          <w:p w14:paraId="698C4983"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AEs leading to discontinuation</w:t>
            </w:r>
          </w:p>
        </w:tc>
        <w:tc>
          <w:tcPr>
            <w:tcW w:w="555" w:type="pct"/>
            <w:tcBorders>
              <w:top w:val="nil"/>
              <w:bottom w:val="nil"/>
            </w:tcBorders>
          </w:tcPr>
          <w:p w14:paraId="45ED03BA"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9 (5.8)</w:t>
            </w:r>
          </w:p>
        </w:tc>
        <w:tc>
          <w:tcPr>
            <w:tcW w:w="547" w:type="pct"/>
            <w:tcBorders>
              <w:top w:val="nil"/>
              <w:bottom w:val="nil"/>
            </w:tcBorders>
          </w:tcPr>
          <w:p w14:paraId="30B4C7F2"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16 (21.1)</w:t>
            </w:r>
          </w:p>
        </w:tc>
        <w:tc>
          <w:tcPr>
            <w:tcW w:w="1415" w:type="pct"/>
            <w:tcBorders>
              <w:top w:val="nil"/>
              <w:bottom w:val="nil"/>
            </w:tcBorders>
          </w:tcPr>
          <w:p w14:paraId="6FEBF6AB"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0.27 (0.13, 0.59); p = 0.001</w:t>
            </w:r>
          </w:p>
        </w:tc>
        <w:tc>
          <w:tcPr>
            <w:tcW w:w="1386" w:type="pct"/>
            <w:tcBorders>
              <w:top w:val="nil"/>
              <w:bottom w:val="nil"/>
            </w:tcBorders>
          </w:tcPr>
          <w:p w14:paraId="4A62EEBD"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-0.15 (-0.25, -0.05); p = 0.002</w:t>
            </w:r>
          </w:p>
        </w:tc>
      </w:tr>
      <w:tr w:rsidR="00E9298A" w:rsidRPr="00B22BCB" w14:paraId="3452B5AD" w14:textId="77777777" w:rsidTr="00E9298A">
        <w:trPr>
          <w:trHeight w:val="244"/>
        </w:trPr>
        <w:tc>
          <w:tcPr>
            <w:tcW w:w="1097" w:type="pct"/>
            <w:tcBorders>
              <w:top w:val="nil"/>
              <w:bottom w:val="nil"/>
            </w:tcBorders>
          </w:tcPr>
          <w:p w14:paraId="190B59A8"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bottom w:val="nil"/>
            </w:tcBorders>
          </w:tcPr>
          <w:p w14:paraId="637B4AEF"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7 (4.5)</w:t>
            </w:r>
          </w:p>
        </w:tc>
        <w:tc>
          <w:tcPr>
            <w:tcW w:w="547" w:type="pct"/>
            <w:tcBorders>
              <w:top w:val="nil"/>
              <w:bottom w:val="nil"/>
            </w:tcBorders>
          </w:tcPr>
          <w:p w14:paraId="0BF6A8EA"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14 (18.4)</w:t>
            </w:r>
          </w:p>
        </w:tc>
        <w:tc>
          <w:tcPr>
            <w:tcW w:w="1415" w:type="pct"/>
            <w:tcBorders>
              <w:top w:val="nil"/>
              <w:bottom w:val="nil"/>
            </w:tcBorders>
          </w:tcPr>
          <w:p w14:paraId="6ACA7121"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0.24 (0.10, 0.58); p = 0.001</w:t>
            </w:r>
          </w:p>
        </w:tc>
        <w:tc>
          <w:tcPr>
            <w:tcW w:w="1386" w:type="pct"/>
            <w:tcBorders>
              <w:top w:val="nil"/>
              <w:bottom w:val="nil"/>
            </w:tcBorders>
          </w:tcPr>
          <w:p w14:paraId="7362E75C"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-0.14 (-0.23, -0.05); p = 0.003</w:t>
            </w:r>
          </w:p>
        </w:tc>
      </w:tr>
      <w:tr w:rsidR="00E9298A" w:rsidRPr="00B22BCB" w14:paraId="36001CA2" w14:textId="77777777" w:rsidTr="00E9298A">
        <w:trPr>
          <w:trHeight w:val="235"/>
        </w:trPr>
        <w:tc>
          <w:tcPr>
            <w:tcW w:w="1097" w:type="pct"/>
            <w:tcBorders>
              <w:top w:val="nil"/>
              <w:left w:val="single" w:sz="4" w:space="0" w:color="auto"/>
              <w:bottom w:val="nil"/>
              <w:right w:val="single" w:sz="4" w:space="0" w:color="auto"/>
            </w:tcBorders>
          </w:tcPr>
          <w:p w14:paraId="71543033" w14:textId="78A59D0A" w:rsidR="001B04CA" w:rsidRPr="00B22BCB" w:rsidRDefault="001B04CA" w:rsidP="00E9298A">
            <w:pPr>
              <w:keepNext/>
              <w:spacing w:line="276" w:lineRule="auto"/>
              <w:jc w:val="left"/>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Grade </w:t>
            </w:r>
            <w:r w:rsidRPr="00B22BCB">
              <w:rPr>
                <w:rFonts w:ascii="Arial Narrow" w:eastAsia="Calibri" w:hAnsi="Arial Narrow" w:cs="Calibri"/>
                <w:b/>
                <w:bCs/>
                <w:sz w:val="20"/>
                <w:szCs w:val="20"/>
              </w:rPr>
              <w:t>≥</w:t>
            </w:r>
            <w:r w:rsidRPr="00B22BCB">
              <w:rPr>
                <w:rFonts w:ascii="Arial Narrow" w:eastAsia="Calibri" w:hAnsi="Arial Narrow" w:cs="Times New Roman"/>
                <w:b/>
                <w:bCs/>
                <w:sz w:val="20"/>
                <w:szCs w:val="20"/>
              </w:rPr>
              <w:t xml:space="preserve">3 </w:t>
            </w:r>
          </w:p>
        </w:tc>
        <w:tc>
          <w:tcPr>
            <w:tcW w:w="555" w:type="pct"/>
            <w:tcBorders>
              <w:top w:val="nil"/>
              <w:left w:val="single" w:sz="4" w:space="0" w:color="auto"/>
              <w:bottom w:val="nil"/>
              <w:right w:val="single" w:sz="4" w:space="0" w:color="auto"/>
            </w:tcBorders>
          </w:tcPr>
          <w:p w14:paraId="45CA0EBC" w14:textId="77777777" w:rsidR="001B04CA" w:rsidRPr="00B22BCB" w:rsidRDefault="001B04CA" w:rsidP="00F158DD">
            <w:pPr>
              <w:keepNext/>
              <w:spacing w:line="276" w:lineRule="auto"/>
              <w:rPr>
                <w:rFonts w:ascii="Arial Narrow" w:eastAsia="Calibri" w:hAnsi="Arial Narrow" w:cs="Times New Roman"/>
                <w:b/>
                <w:bCs/>
                <w:sz w:val="20"/>
                <w:szCs w:val="20"/>
              </w:rPr>
            </w:pPr>
          </w:p>
        </w:tc>
        <w:tc>
          <w:tcPr>
            <w:tcW w:w="547" w:type="pct"/>
            <w:tcBorders>
              <w:top w:val="nil"/>
              <w:left w:val="single" w:sz="4" w:space="0" w:color="auto"/>
              <w:bottom w:val="nil"/>
              <w:right w:val="single" w:sz="4" w:space="0" w:color="auto"/>
            </w:tcBorders>
          </w:tcPr>
          <w:p w14:paraId="73A42606" w14:textId="77777777" w:rsidR="001B04CA" w:rsidRPr="00B22BCB" w:rsidRDefault="001B04CA" w:rsidP="00F158DD">
            <w:pPr>
              <w:keepNext/>
              <w:spacing w:line="276" w:lineRule="auto"/>
              <w:rPr>
                <w:rFonts w:ascii="Arial Narrow" w:eastAsia="Calibri" w:hAnsi="Arial Narrow" w:cs="Times New Roman"/>
                <w:b/>
                <w:bCs/>
                <w:sz w:val="20"/>
                <w:szCs w:val="20"/>
              </w:rPr>
            </w:pPr>
          </w:p>
        </w:tc>
        <w:tc>
          <w:tcPr>
            <w:tcW w:w="1415" w:type="pct"/>
            <w:tcBorders>
              <w:top w:val="nil"/>
              <w:left w:val="single" w:sz="4" w:space="0" w:color="auto"/>
              <w:bottom w:val="nil"/>
              <w:right w:val="single" w:sz="4" w:space="0" w:color="auto"/>
            </w:tcBorders>
          </w:tcPr>
          <w:p w14:paraId="53E01512" w14:textId="77777777" w:rsidR="001B04CA" w:rsidRPr="00B22BCB" w:rsidRDefault="001B04CA" w:rsidP="00F158DD">
            <w:pPr>
              <w:keepNext/>
              <w:spacing w:line="276" w:lineRule="auto"/>
              <w:rPr>
                <w:rFonts w:ascii="Arial Narrow" w:eastAsia="Calibri" w:hAnsi="Arial Narrow" w:cs="Times New Roman"/>
                <w:b/>
                <w:bCs/>
                <w:sz w:val="20"/>
                <w:szCs w:val="20"/>
              </w:rPr>
            </w:pPr>
          </w:p>
        </w:tc>
        <w:tc>
          <w:tcPr>
            <w:tcW w:w="1386" w:type="pct"/>
            <w:tcBorders>
              <w:top w:val="nil"/>
              <w:left w:val="single" w:sz="4" w:space="0" w:color="auto"/>
              <w:bottom w:val="nil"/>
              <w:right w:val="single" w:sz="4" w:space="0" w:color="auto"/>
            </w:tcBorders>
          </w:tcPr>
          <w:p w14:paraId="56953ADD" w14:textId="77777777" w:rsidR="001B04CA" w:rsidRPr="00B22BCB" w:rsidRDefault="001B04CA" w:rsidP="00F158DD">
            <w:pPr>
              <w:keepNext/>
              <w:spacing w:line="276" w:lineRule="auto"/>
              <w:rPr>
                <w:rFonts w:ascii="Arial Narrow" w:eastAsia="Calibri" w:hAnsi="Arial Narrow" w:cs="Times New Roman"/>
                <w:b/>
                <w:bCs/>
                <w:sz w:val="20"/>
                <w:szCs w:val="20"/>
              </w:rPr>
            </w:pPr>
          </w:p>
        </w:tc>
      </w:tr>
      <w:tr w:rsidR="00E9298A" w:rsidRPr="00B22BCB" w14:paraId="43C06DB1" w14:textId="77777777" w:rsidTr="00E9298A">
        <w:trPr>
          <w:trHeight w:val="235"/>
        </w:trPr>
        <w:tc>
          <w:tcPr>
            <w:tcW w:w="1097" w:type="pct"/>
            <w:tcBorders>
              <w:top w:val="nil"/>
              <w:left w:val="single" w:sz="4" w:space="0" w:color="auto"/>
              <w:bottom w:val="nil"/>
              <w:right w:val="single" w:sz="4" w:space="0" w:color="auto"/>
            </w:tcBorders>
          </w:tcPr>
          <w:p w14:paraId="3D573F5B"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AEs</w:t>
            </w:r>
          </w:p>
        </w:tc>
        <w:tc>
          <w:tcPr>
            <w:tcW w:w="555" w:type="pct"/>
            <w:tcBorders>
              <w:top w:val="nil"/>
              <w:left w:val="single" w:sz="4" w:space="0" w:color="auto"/>
              <w:bottom w:val="nil"/>
              <w:right w:val="single" w:sz="4" w:space="0" w:color="auto"/>
            </w:tcBorders>
          </w:tcPr>
          <w:p w14:paraId="57264AF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79 (50.6)</w:t>
            </w:r>
          </w:p>
        </w:tc>
        <w:tc>
          <w:tcPr>
            <w:tcW w:w="547" w:type="pct"/>
            <w:tcBorders>
              <w:top w:val="nil"/>
              <w:left w:val="single" w:sz="4" w:space="0" w:color="auto"/>
              <w:bottom w:val="nil"/>
              <w:right w:val="single" w:sz="4" w:space="0" w:color="auto"/>
            </w:tcBorders>
          </w:tcPr>
          <w:p w14:paraId="7317D04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46 (60.5)</w:t>
            </w:r>
          </w:p>
        </w:tc>
        <w:tc>
          <w:tcPr>
            <w:tcW w:w="1415" w:type="pct"/>
            <w:tcBorders>
              <w:top w:val="nil"/>
              <w:left w:val="single" w:sz="4" w:space="0" w:color="auto"/>
              <w:bottom w:val="nil"/>
              <w:right w:val="single" w:sz="4" w:space="0" w:color="auto"/>
            </w:tcBorders>
          </w:tcPr>
          <w:p w14:paraId="3F3F62AC"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0.84 (0.66, 1.06); p = 0.14</w:t>
            </w:r>
          </w:p>
        </w:tc>
        <w:tc>
          <w:tcPr>
            <w:tcW w:w="1386" w:type="pct"/>
            <w:tcBorders>
              <w:top w:val="nil"/>
              <w:left w:val="single" w:sz="4" w:space="0" w:color="auto"/>
              <w:bottom w:val="nil"/>
              <w:right w:val="single" w:sz="4" w:space="0" w:color="auto"/>
            </w:tcBorders>
          </w:tcPr>
          <w:p w14:paraId="7DB92B56"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-0.10 (-0.23, 0.04); p = 0.15</w:t>
            </w:r>
          </w:p>
        </w:tc>
      </w:tr>
      <w:tr w:rsidR="00E9298A" w:rsidRPr="00B22BCB" w14:paraId="0A32533E" w14:textId="77777777" w:rsidTr="00E9298A">
        <w:trPr>
          <w:trHeight w:val="235"/>
        </w:trPr>
        <w:tc>
          <w:tcPr>
            <w:tcW w:w="1097" w:type="pct"/>
            <w:tcBorders>
              <w:top w:val="nil"/>
              <w:left w:val="single" w:sz="4" w:space="0" w:color="auto"/>
              <w:bottom w:val="nil"/>
              <w:right w:val="single" w:sz="4" w:space="0" w:color="auto"/>
            </w:tcBorders>
          </w:tcPr>
          <w:p w14:paraId="483CE50F"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left w:val="single" w:sz="4" w:space="0" w:color="auto"/>
              <w:bottom w:val="nil"/>
              <w:right w:val="single" w:sz="4" w:space="0" w:color="auto"/>
            </w:tcBorders>
          </w:tcPr>
          <w:p w14:paraId="632C4E68"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46 (29.5)</w:t>
            </w:r>
          </w:p>
        </w:tc>
        <w:tc>
          <w:tcPr>
            <w:tcW w:w="547" w:type="pct"/>
            <w:tcBorders>
              <w:top w:val="nil"/>
              <w:left w:val="single" w:sz="4" w:space="0" w:color="auto"/>
              <w:bottom w:val="nil"/>
              <w:right w:val="single" w:sz="4" w:space="0" w:color="auto"/>
            </w:tcBorders>
          </w:tcPr>
          <w:p w14:paraId="35C8E371"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38 (50.0)</w:t>
            </w:r>
          </w:p>
        </w:tc>
        <w:tc>
          <w:tcPr>
            <w:tcW w:w="1415" w:type="pct"/>
            <w:tcBorders>
              <w:top w:val="nil"/>
              <w:left w:val="single" w:sz="4" w:space="0" w:color="auto"/>
              <w:bottom w:val="nil"/>
              <w:right w:val="single" w:sz="4" w:space="0" w:color="auto"/>
            </w:tcBorders>
          </w:tcPr>
          <w:p w14:paraId="4877BA33"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0.59 (0.42, 0.82); p = 0.002</w:t>
            </w:r>
          </w:p>
        </w:tc>
        <w:tc>
          <w:tcPr>
            <w:tcW w:w="1386" w:type="pct"/>
            <w:tcBorders>
              <w:top w:val="nil"/>
              <w:left w:val="single" w:sz="4" w:space="0" w:color="auto"/>
              <w:bottom w:val="nil"/>
              <w:right w:val="single" w:sz="4" w:space="0" w:color="auto"/>
            </w:tcBorders>
          </w:tcPr>
          <w:p w14:paraId="342F007C"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-0.21 (-0.34, -0.07); p = 0.003</w:t>
            </w:r>
          </w:p>
        </w:tc>
      </w:tr>
      <w:tr w:rsidR="00E9298A" w:rsidRPr="00B22BCB" w14:paraId="5B331267" w14:textId="77777777" w:rsidTr="00E9298A">
        <w:trPr>
          <w:trHeight w:val="235"/>
        </w:trPr>
        <w:tc>
          <w:tcPr>
            <w:tcW w:w="1097" w:type="pct"/>
            <w:tcBorders>
              <w:top w:val="nil"/>
              <w:left w:val="single" w:sz="4" w:space="0" w:color="auto"/>
              <w:bottom w:val="nil"/>
              <w:right w:val="single" w:sz="4" w:space="0" w:color="auto"/>
            </w:tcBorders>
          </w:tcPr>
          <w:p w14:paraId="47B01BDC"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SAEs</w:t>
            </w:r>
          </w:p>
        </w:tc>
        <w:tc>
          <w:tcPr>
            <w:tcW w:w="555" w:type="pct"/>
            <w:tcBorders>
              <w:top w:val="nil"/>
              <w:left w:val="single" w:sz="4" w:space="0" w:color="auto"/>
              <w:bottom w:val="nil"/>
              <w:right w:val="single" w:sz="4" w:space="0" w:color="auto"/>
            </w:tcBorders>
          </w:tcPr>
          <w:p w14:paraId="4A299273"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16 (10.3)</w:t>
            </w:r>
          </w:p>
        </w:tc>
        <w:tc>
          <w:tcPr>
            <w:tcW w:w="547" w:type="pct"/>
            <w:tcBorders>
              <w:top w:val="nil"/>
              <w:left w:val="single" w:sz="4" w:space="0" w:color="auto"/>
              <w:bottom w:val="nil"/>
              <w:right w:val="single" w:sz="4" w:space="0" w:color="auto"/>
            </w:tcBorders>
          </w:tcPr>
          <w:p w14:paraId="37E42337"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12 (15.8)</w:t>
            </w:r>
          </w:p>
        </w:tc>
        <w:tc>
          <w:tcPr>
            <w:tcW w:w="1415" w:type="pct"/>
            <w:tcBorders>
              <w:top w:val="nil"/>
              <w:left w:val="single" w:sz="4" w:space="0" w:color="auto"/>
              <w:bottom w:val="nil"/>
              <w:right w:val="single" w:sz="4" w:space="0" w:color="auto"/>
            </w:tcBorders>
          </w:tcPr>
          <w:p w14:paraId="7D5EE0AD"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0.65 (0.32, 1.30); p = 0.22</w:t>
            </w:r>
          </w:p>
        </w:tc>
        <w:tc>
          <w:tcPr>
            <w:tcW w:w="1386" w:type="pct"/>
            <w:tcBorders>
              <w:top w:val="nil"/>
              <w:left w:val="single" w:sz="4" w:space="0" w:color="auto"/>
              <w:bottom w:val="nil"/>
              <w:right w:val="single" w:sz="4" w:space="0" w:color="auto"/>
            </w:tcBorders>
          </w:tcPr>
          <w:p w14:paraId="3BDE536B"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-0.06 (-0.15, 0.04); p = 0.25</w:t>
            </w:r>
          </w:p>
        </w:tc>
      </w:tr>
      <w:tr w:rsidR="00E9298A" w:rsidRPr="00B22BCB" w14:paraId="19397E6B" w14:textId="77777777" w:rsidTr="00E9298A">
        <w:trPr>
          <w:trHeight w:val="235"/>
        </w:trPr>
        <w:tc>
          <w:tcPr>
            <w:tcW w:w="1097" w:type="pct"/>
            <w:tcBorders>
              <w:top w:val="nil"/>
              <w:left w:val="single" w:sz="4" w:space="0" w:color="auto"/>
              <w:bottom w:val="nil"/>
              <w:right w:val="single" w:sz="4" w:space="0" w:color="auto"/>
            </w:tcBorders>
          </w:tcPr>
          <w:p w14:paraId="5155CDC9"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left w:val="single" w:sz="4" w:space="0" w:color="auto"/>
              <w:bottom w:val="nil"/>
              <w:right w:val="single" w:sz="4" w:space="0" w:color="auto"/>
            </w:tcBorders>
          </w:tcPr>
          <w:p w14:paraId="63C48616"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3 (1.9)</w:t>
            </w:r>
          </w:p>
        </w:tc>
        <w:tc>
          <w:tcPr>
            <w:tcW w:w="547" w:type="pct"/>
            <w:tcBorders>
              <w:top w:val="nil"/>
              <w:left w:val="single" w:sz="4" w:space="0" w:color="auto"/>
              <w:bottom w:val="nil"/>
              <w:right w:val="single" w:sz="4" w:space="0" w:color="auto"/>
            </w:tcBorders>
          </w:tcPr>
          <w:p w14:paraId="0558F3A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5 (6.6)</w:t>
            </w:r>
          </w:p>
        </w:tc>
        <w:tc>
          <w:tcPr>
            <w:tcW w:w="1415" w:type="pct"/>
            <w:tcBorders>
              <w:top w:val="nil"/>
              <w:left w:val="single" w:sz="4" w:space="0" w:color="auto"/>
              <w:bottom w:val="nil"/>
              <w:right w:val="single" w:sz="4" w:space="0" w:color="auto"/>
            </w:tcBorders>
          </w:tcPr>
          <w:p w14:paraId="64C7EBA4"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0.29 (0.07, 1.19); p = 0.09</w:t>
            </w:r>
          </w:p>
        </w:tc>
        <w:tc>
          <w:tcPr>
            <w:tcW w:w="1386" w:type="pct"/>
            <w:tcBorders>
              <w:top w:val="nil"/>
              <w:left w:val="single" w:sz="4" w:space="0" w:color="auto"/>
              <w:bottom w:val="nil"/>
              <w:right w:val="single" w:sz="4" w:space="0" w:color="auto"/>
            </w:tcBorders>
          </w:tcPr>
          <w:p w14:paraId="64A7ECEF"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-0.05 (-0.11, 0.01); p = 0.13</w:t>
            </w:r>
          </w:p>
        </w:tc>
      </w:tr>
      <w:tr w:rsidR="00E9298A" w:rsidRPr="00B22BCB" w14:paraId="27098041" w14:textId="77777777" w:rsidTr="00E9298A">
        <w:trPr>
          <w:trHeight w:val="235"/>
        </w:trPr>
        <w:tc>
          <w:tcPr>
            <w:tcW w:w="1097" w:type="pct"/>
            <w:tcBorders>
              <w:top w:val="nil"/>
              <w:left w:val="single" w:sz="4" w:space="0" w:color="auto"/>
              <w:bottom w:val="nil"/>
              <w:right w:val="single" w:sz="4" w:space="0" w:color="auto"/>
            </w:tcBorders>
          </w:tcPr>
          <w:p w14:paraId="4DB3906F"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AEs leading to discontinuation</w:t>
            </w:r>
          </w:p>
        </w:tc>
        <w:tc>
          <w:tcPr>
            <w:tcW w:w="555" w:type="pct"/>
            <w:tcBorders>
              <w:top w:val="nil"/>
              <w:left w:val="single" w:sz="4" w:space="0" w:color="auto"/>
              <w:bottom w:val="nil"/>
              <w:right w:val="single" w:sz="4" w:space="0" w:color="auto"/>
            </w:tcBorders>
          </w:tcPr>
          <w:p w14:paraId="7CB8C9B0"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8 (5.1)</w:t>
            </w:r>
          </w:p>
        </w:tc>
        <w:tc>
          <w:tcPr>
            <w:tcW w:w="547" w:type="pct"/>
            <w:tcBorders>
              <w:top w:val="nil"/>
              <w:left w:val="single" w:sz="4" w:space="0" w:color="auto"/>
              <w:bottom w:val="nil"/>
              <w:right w:val="single" w:sz="4" w:space="0" w:color="auto"/>
            </w:tcBorders>
          </w:tcPr>
          <w:p w14:paraId="581E5D32"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12 (15.8)</w:t>
            </w:r>
          </w:p>
        </w:tc>
        <w:tc>
          <w:tcPr>
            <w:tcW w:w="1415" w:type="pct"/>
            <w:tcBorders>
              <w:top w:val="nil"/>
              <w:left w:val="single" w:sz="4" w:space="0" w:color="auto"/>
              <w:bottom w:val="nil"/>
              <w:right w:val="single" w:sz="4" w:space="0" w:color="auto"/>
            </w:tcBorders>
          </w:tcPr>
          <w:p w14:paraId="77149199"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0.32 (0.14, 0.76); p = 0.01</w:t>
            </w:r>
          </w:p>
        </w:tc>
        <w:tc>
          <w:tcPr>
            <w:tcW w:w="1386" w:type="pct"/>
            <w:tcBorders>
              <w:top w:val="nil"/>
              <w:left w:val="single" w:sz="4" w:space="0" w:color="auto"/>
              <w:bottom w:val="nil"/>
              <w:right w:val="single" w:sz="4" w:space="0" w:color="auto"/>
            </w:tcBorders>
          </w:tcPr>
          <w:p w14:paraId="6B2289B3"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-0.11 (-0.20, -0.02); p = 0.02</w:t>
            </w:r>
          </w:p>
        </w:tc>
      </w:tr>
      <w:tr w:rsidR="00E9298A" w:rsidRPr="00B22BCB" w14:paraId="3EFCC836" w14:textId="77777777" w:rsidTr="00E9298A">
        <w:trPr>
          <w:trHeight w:val="235"/>
        </w:trPr>
        <w:tc>
          <w:tcPr>
            <w:tcW w:w="1097" w:type="pct"/>
            <w:tcBorders>
              <w:top w:val="nil"/>
              <w:left w:val="single" w:sz="4" w:space="0" w:color="auto"/>
              <w:bottom w:val="nil"/>
              <w:right w:val="single" w:sz="4" w:space="0" w:color="auto"/>
            </w:tcBorders>
          </w:tcPr>
          <w:p w14:paraId="328A0A91" w14:textId="77777777" w:rsidR="001B04CA" w:rsidRPr="00B22BCB" w:rsidRDefault="001B04CA" w:rsidP="00E9298A">
            <w:pPr>
              <w:keepNext/>
              <w:spacing w:line="276" w:lineRule="auto"/>
              <w:ind w:left="283"/>
              <w:jc w:val="left"/>
              <w:rPr>
                <w:rFonts w:ascii="Arial Narrow" w:eastAsia="Calibri" w:hAnsi="Arial Narrow" w:cs="Times New Roman"/>
                <w:sz w:val="20"/>
                <w:szCs w:val="20"/>
              </w:rPr>
            </w:pPr>
            <w:r w:rsidRPr="00B22BCB">
              <w:rPr>
                <w:rFonts w:ascii="Arial Narrow" w:eastAsia="Calibri" w:hAnsi="Arial Narrow" w:cs="Times New Roman"/>
                <w:sz w:val="20"/>
                <w:szCs w:val="20"/>
              </w:rPr>
              <w:t>Treatment-related</w:t>
            </w:r>
          </w:p>
        </w:tc>
        <w:tc>
          <w:tcPr>
            <w:tcW w:w="555" w:type="pct"/>
            <w:tcBorders>
              <w:top w:val="nil"/>
              <w:left w:val="single" w:sz="4" w:space="0" w:color="auto"/>
              <w:bottom w:val="nil"/>
              <w:right w:val="single" w:sz="4" w:space="0" w:color="auto"/>
            </w:tcBorders>
          </w:tcPr>
          <w:p w14:paraId="74C4250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6 (3.8)</w:t>
            </w:r>
          </w:p>
        </w:tc>
        <w:tc>
          <w:tcPr>
            <w:tcW w:w="547" w:type="pct"/>
            <w:tcBorders>
              <w:top w:val="nil"/>
              <w:left w:val="single" w:sz="4" w:space="0" w:color="auto"/>
              <w:bottom w:val="nil"/>
              <w:right w:val="single" w:sz="4" w:space="0" w:color="auto"/>
            </w:tcBorders>
          </w:tcPr>
          <w:p w14:paraId="23CE75C3"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10 (13.2)</w:t>
            </w:r>
          </w:p>
        </w:tc>
        <w:tc>
          <w:tcPr>
            <w:tcW w:w="1415" w:type="pct"/>
            <w:tcBorders>
              <w:top w:val="nil"/>
              <w:left w:val="single" w:sz="4" w:space="0" w:color="auto"/>
              <w:bottom w:val="nil"/>
              <w:right w:val="single" w:sz="4" w:space="0" w:color="auto"/>
            </w:tcBorders>
          </w:tcPr>
          <w:p w14:paraId="06F34CCF"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0.29 (0.11, 0.77); p = 0.01</w:t>
            </w:r>
          </w:p>
        </w:tc>
        <w:tc>
          <w:tcPr>
            <w:tcW w:w="1386" w:type="pct"/>
            <w:tcBorders>
              <w:top w:val="nil"/>
              <w:left w:val="single" w:sz="4" w:space="0" w:color="auto"/>
              <w:bottom w:val="nil"/>
              <w:right w:val="single" w:sz="4" w:space="0" w:color="auto"/>
            </w:tcBorders>
          </w:tcPr>
          <w:p w14:paraId="3ED65161"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-0.09 (-0.17, -0.01); p = 0.03</w:t>
            </w:r>
          </w:p>
        </w:tc>
      </w:tr>
      <w:tr w:rsidR="00E9298A" w:rsidRPr="00B22BCB" w14:paraId="71F9AC5E" w14:textId="77777777" w:rsidTr="00E9298A">
        <w:trPr>
          <w:trHeight w:val="235"/>
        </w:trPr>
        <w:tc>
          <w:tcPr>
            <w:tcW w:w="1097" w:type="pct"/>
            <w:tcBorders>
              <w:top w:val="nil"/>
              <w:left w:val="single" w:sz="4" w:space="0" w:color="auto"/>
              <w:bottom w:val="single" w:sz="4" w:space="0" w:color="auto"/>
              <w:right w:val="single" w:sz="4" w:space="0" w:color="auto"/>
            </w:tcBorders>
          </w:tcPr>
          <w:p w14:paraId="02998E85" w14:textId="77777777" w:rsidR="001B04CA" w:rsidRPr="00B22BCB" w:rsidRDefault="001B04CA" w:rsidP="00E9298A">
            <w:pPr>
              <w:keepNext/>
              <w:jc w:val="left"/>
              <w:rPr>
                <w:rFonts w:ascii="Arial Narrow" w:hAnsi="Arial Narrow" w:cs="Times New Roman"/>
                <w:snapToGrid w:val="0"/>
                <w:sz w:val="20"/>
                <w:szCs w:val="20"/>
              </w:rPr>
            </w:pPr>
            <w:r w:rsidRPr="00B22BCB">
              <w:rPr>
                <w:rFonts w:ascii="Arial Narrow" w:hAnsi="Arial Narrow" w:cs="Times New Roman"/>
                <w:snapToGrid w:val="0"/>
                <w:sz w:val="20"/>
                <w:szCs w:val="20"/>
              </w:rPr>
              <w:t>AEs leading to dose adjustment/ interruption</w:t>
            </w:r>
          </w:p>
        </w:tc>
        <w:tc>
          <w:tcPr>
            <w:tcW w:w="555" w:type="pct"/>
            <w:tcBorders>
              <w:top w:val="nil"/>
              <w:left w:val="single" w:sz="4" w:space="0" w:color="auto"/>
              <w:bottom w:val="single" w:sz="4" w:space="0" w:color="auto"/>
              <w:right w:val="single" w:sz="4" w:space="0" w:color="auto"/>
            </w:tcBorders>
          </w:tcPr>
          <w:p w14:paraId="57FD420E"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53 (34.0)</w:t>
            </w:r>
          </w:p>
        </w:tc>
        <w:tc>
          <w:tcPr>
            <w:tcW w:w="547" w:type="pct"/>
            <w:tcBorders>
              <w:top w:val="nil"/>
              <w:left w:val="single" w:sz="4" w:space="0" w:color="auto"/>
              <w:bottom w:val="single" w:sz="4" w:space="0" w:color="auto"/>
              <w:right w:val="single" w:sz="4" w:space="0" w:color="auto"/>
            </w:tcBorders>
          </w:tcPr>
          <w:p w14:paraId="29DC06B4" w14:textId="77777777" w:rsidR="001B04CA" w:rsidRPr="00B22BCB" w:rsidRDefault="001B04CA" w:rsidP="00F158DD">
            <w:pPr>
              <w:keepNext/>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37 (48.7)</w:t>
            </w:r>
          </w:p>
        </w:tc>
        <w:tc>
          <w:tcPr>
            <w:tcW w:w="1415" w:type="pct"/>
            <w:tcBorders>
              <w:top w:val="nil"/>
              <w:left w:val="single" w:sz="4" w:space="0" w:color="auto"/>
              <w:bottom w:val="single" w:sz="4" w:space="0" w:color="auto"/>
              <w:right w:val="single" w:sz="4" w:space="0" w:color="auto"/>
            </w:tcBorders>
          </w:tcPr>
          <w:p w14:paraId="29504EA5"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0.70 (0.51, 0.96); p = 0.03</w:t>
            </w:r>
          </w:p>
        </w:tc>
        <w:tc>
          <w:tcPr>
            <w:tcW w:w="1386" w:type="pct"/>
            <w:tcBorders>
              <w:top w:val="nil"/>
              <w:left w:val="single" w:sz="4" w:space="0" w:color="auto"/>
              <w:bottom w:val="single" w:sz="4" w:space="0" w:color="auto"/>
              <w:right w:val="single" w:sz="4" w:space="0" w:color="auto"/>
            </w:tcBorders>
          </w:tcPr>
          <w:p w14:paraId="08E5C66B" w14:textId="77777777" w:rsidR="001B04CA" w:rsidRPr="00B22BCB" w:rsidRDefault="001B04CA" w:rsidP="00F158DD">
            <w:pPr>
              <w:keepNext/>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-0.15 (-0.28, -0.01); p = 0.03</w:t>
            </w:r>
          </w:p>
        </w:tc>
      </w:tr>
    </w:tbl>
    <w:p w14:paraId="163C6803" w14:textId="77777777" w:rsidR="001B04CA" w:rsidRPr="00E9298A" w:rsidRDefault="001B04CA" w:rsidP="001B04CA">
      <w:pPr>
        <w:rPr>
          <w:rFonts w:ascii="Arial Narrow" w:eastAsia="Calibri" w:hAnsi="Arial Narrow" w:cs="Times New Roman"/>
          <w:sz w:val="18"/>
          <w:szCs w:val="18"/>
        </w:rPr>
      </w:pPr>
      <w:r w:rsidRPr="00E9298A">
        <w:rPr>
          <w:rFonts w:ascii="Arial Narrow" w:eastAsia="Calibri" w:hAnsi="Arial Narrow" w:cs="Times New Roman"/>
          <w:sz w:val="18"/>
          <w:szCs w:val="18"/>
        </w:rPr>
        <w:t>Source: Table 2.5-13, pp 79-80.</w:t>
      </w:r>
    </w:p>
    <w:p w14:paraId="266EEB92" w14:textId="6356DCA9" w:rsidR="001B04CA" w:rsidRPr="00E9298A" w:rsidRDefault="001B04CA" w:rsidP="001B04CA">
      <w:pPr>
        <w:rPr>
          <w:rFonts w:ascii="Arial Narrow" w:eastAsia="Calibri" w:hAnsi="Arial Narrow" w:cs="Times New Roman"/>
          <w:sz w:val="18"/>
          <w:szCs w:val="18"/>
        </w:rPr>
      </w:pPr>
      <w:r w:rsidRPr="00E9298A">
        <w:rPr>
          <w:rFonts w:ascii="Arial Narrow" w:eastAsia="Calibri" w:hAnsi="Arial Narrow" w:cs="Times New Roman"/>
          <w:sz w:val="18"/>
          <w:szCs w:val="18"/>
        </w:rPr>
        <w:t>AE = adverse event; CI = confidence interval; RD = risk difference; RR = relative risk; SAE = serious adverse event</w:t>
      </w:r>
    </w:p>
    <w:p w14:paraId="08500786" w14:textId="4B9BEB2A" w:rsidR="001B04CA" w:rsidRPr="00E9298A" w:rsidRDefault="007D3FCA" w:rsidP="001B04CA">
      <w:pPr>
        <w:rPr>
          <w:rFonts w:ascii="Arial Narrow" w:eastAsia="Calibri" w:hAnsi="Arial Narrow" w:cs="Times New Roman"/>
          <w:sz w:val="18"/>
          <w:szCs w:val="18"/>
        </w:rPr>
      </w:pPr>
      <w:r w:rsidRPr="00E9298A">
        <w:rPr>
          <w:rFonts w:ascii="Arial Narrow" w:eastAsia="Calibri" w:hAnsi="Arial Narrow" w:cs="Times New Roman"/>
          <w:sz w:val="18"/>
          <w:szCs w:val="18"/>
          <w:vertAlign w:val="superscript"/>
        </w:rPr>
        <w:t>a</w:t>
      </w:r>
      <w:r w:rsidR="001B04CA" w:rsidRPr="00E9298A">
        <w:rPr>
          <w:rFonts w:ascii="Arial Narrow" w:eastAsia="Calibri" w:hAnsi="Arial Narrow" w:cs="Times New Roman"/>
          <w:sz w:val="18"/>
          <w:szCs w:val="18"/>
        </w:rPr>
        <w:t xml:space="preserve"> Calculated using RevMan v5.3 </w:t>
      </w:r>
      <w:r w:rsidR="00B222C2" w:rsidRPr="00E9298A">
        <w:rPr>
          <w:rFonts w:ascii="Arial Narrow" w:eastAsia="Calibri" w:hAnsi="Arial Narrow" w:cs="Times New Roman"/>
          <w:sz w:val="18"/>
          <w:szCs w:val="18"/>
        </w:rPr>
        <w:t>by the submission</w:t>
      </w:r>
    </w:p>
    <w:p w14:paraId="013D5E19" w14:textId="535514ED" w:rsidR="001B04CA" w:rsidRPr="00E9298A" w:rsidRDefault="007D3FCA" w:rsidP="001B04CA">
      <w:pPr>
        <w:rPr>
          <w:rFonts w:ascii="Arial Narrow" w:eastAsia="Calibri" w:hAnsi="Arial Narrow" w:cs="Times New Roman"/>
          <w:sz w:val="18"/>
          <w:szCs w:val="18"/>
        </w:rPr>
      </w:pPr>
      <w:r w:rsidRPr="00E9298A">
        <w:rPr>
          <w:rFonts w:ascii="Arial Narrow" w:eastAsia="Calibri" w:hAnsi="Arial Narrow" w:cs="Times New Roman"/>
          <w:sz w:val="18"/>
          <w:szCs w:val="18"/>
          <w:vertAlign w:val="superscript"/>
        </w:rPr>
        <w:t>b</w:t>
      </w:r>
      <w:r w:rsidR="001B04CA" w:rsidRPr="00E9298A">
        <w:rPr>
          <w:rFonts w:ascii="Arial Narrow" w:eastAsia="Calibri" w:hAnsi="Arial Narrow" w:cs="Times New Roman"/>
          <w:sz w:val="18"/>
          <w:szCs w:val="18"/>
        </w:rPr>
        <w:t xml:space="preserve"> the median duration of treatment at the primary analysis DCO was 43.4 weeks for asciminib and 29.2 weeks for bosutinib; the median duration of treatment at the updated analysis DCO was 67.1 weeks for asciminib and 29.7 weeks for bosutinib.</w:t>
      </w:r>
    </w:p>
    <w:p w14:paraId="4C5FC351" w14:textId="5B02DA70" w:rsidR="001B04CA" w:rsidRDefault="001B04CA" w:rsidP="00333BD0">
      <w:pPr>
        <w:keepNext/>
        <w:rPr>
          <w:rFonts w:ascii="Arial Narrow" w:eastAsia="Calibri" w:hAnsi="Arial Narrow" w:cs="Times New Roman"/>
          <w:sz w:val="18"/>
          <w:szCs w:val="18"/>
        </w:rPr>
      </w:pPr>
      <w:r w:rsidRPr="00E9298A">
        <w:rPr>
          <w:rFonts w:ascii="Arial Narrow" w:eastAsia="Calibri" w:hAnsi="Arial Narrow" w:cs="Times New Roman"/>
          <w:b/>
          <w:sz w:val="18"/>
          <w:szCs w:val="18"/>
        </w:rPr>
        <w:t>Bold</w:t>
      </w:r>
      <w:r w:rsidRPr="00E9298A">
        <w:rPr>
          <w:rFonts w:ascii="Arial Narrow" w:eastAsia="Calibri" w:hAnsi="Arial Narrow" w:cs="Times New Roman"/>
          <w:sz w:val="18"/>
          <w:szCs w:val="18"/>
        </w:rPr>
        <w:t xml:space="preserve"> indicates statistically significant differences.</w:t>
      </w:r>
    </w:p>
    <w:p w14:paraId="1782DA4C" w14:textId="77777777" w:rsidR="00333BD0" w:rsidRPr="00333BD0" w:rsidRDefault="00333BD0" w:rsidP="00333BD0">
      <w:pPr>
        <w:keepNext/>
        <w:rPr>
          <w:rFonts w:ascii="Arial Narrow" w:eastAsia="Calibri" w:hAnsi="Arial Narrow" w:cs="Times New Roman"/>
          <w:sz w:val="18"/>
          <w:szCs w:val="18"/>
        </w:rPr>
      </w:pPr>
    </w:p>
    <w:p w14:paraId="276DA2EA" w14:textId="463DFC89" w:rsidR="001B04CA" w:rsidRPr="002B4570" w:rsidRDefault="0070109D" w:rsidP="00D2155B">
      <w:pPr>
        <w:pStyle w:val="3-BodyText"/>
      </w:pPr>
      <w:r w:rsidRPr="002B4570">
        <w:t xml:space="preserve">The ‘any grade’, ‘grade </w:t>
      </w:r>
      <w:r w:rsidRPr="002B4570">
        <w:rPr>
          <w:rFonts w:cs="Calibri"/>
        </w:rPr>
        <w:t>≥</w:t>
      </w:r>
      <w:r w:rsidRPr="002B4570">
        <w:t>3’ AEs and SAEs were not statistically significantly different</w:t>
      </w:r>
      <w:r w:rsidR="00F075C5">
        <w:t xml:space="preserve"> between arms</w:t>
      </w:r>
      <w:r w:rsidRPr="002B4570">
        <w:t>, until the adjustment for ‘treatment</w:t>
      </w:r>
      <w:r w:rsidR="00F075C5">
        <w:t>-</w:t>
      </w:r>
      <w:r w:rsidRPr="002B4570">
        <w:t xml:space="preserve">related’ was made. The </w:t>
      </w:r>
      <w:r w:rsidR="00337BFF" w:rsidRPr="002B4570">
        <w:t>asciminib</w:t>
      </w:r>
      <w:r w:rsidRPr="002B4570">
        <w:t xml:space="preserve"> arm had substantially more AEs discounted as not being ‘treatment</w:t>
      </w:r>
      <w:r w:rsidR="00DF5E8F">
        <w:t>-</w:t>
      </w:r>
      <w:r w:rsidRPr="002B4570">
        <w:t>related’ compared to the bosutinib arm</w:t>
      </w:r>
      <w:r w:rsidR="00DC3E1A" w:rsidRPr="002B4570">
        <w:t xml:space="preserve">, summarised in </w:t>
      </w:r>
      <w:r w:rsidR="007C03D2" w:rsidRPr="002B4570">
        <w:fldChar w:fldCharType="begin"/>
      </w:r>
      <w:r w:rsidR="007C03D2" w:rsidRPr="002B4570">
        <w:instrText xml:space="preserve"> REF _Ref102930891 \h  \* MERGEFORMAT </w:instrText>
      </w:r>
      <w:r w:rsidR="007C03D2" w:rsidRPr="002B4570">
        <w:fldChar w:fldCharType="separate"/>
      </w:r>
      <w:r w:rsidR="00A914F4" w:rsidRPr="00B22BCB">
        <w:t xml:space="preserve">Table </w:t>
      </w:r>
      <w:r w:rsidR="00A914F4">
        <w:rPr>
          <w:noProof/>
        </w:rPr>
        <w:t>11</w:t>
      </w:r>
      <w:r w:rsidR="007C03D2" w:rsidRPr="002B4570">
        <w:fldChar w:fldCharType="end"/>
      </w:r>
      <w:r w:rsidRPr="002B4570">
        <w:t xml:space="preserve">. </w:t>
      </w:r>
      <w:r w:rsidR="00463671" w:rsidRPr="002B4570">
        <w:t xml:space="preserve">This is an unusual finding between randomised treatment arms, where treatment-unrelated AEs are expected to be similar. </w:t>
      </w:r>
      <w:r w:rsidRPr="002B4570">
        <w:rPr>
          <w:rFonts w:cs="Calibri"/>
        </w:rPr>
        <w:t xml:space="preserve">The difference may be due a combination of bias in this open label trial, and the novelty of </w:t>
      </w:r>
      <w:r w:rsidR="00337BFF" w:rsidRPr="002B4570">
        <w:rPr>
          <w:rFonts w:cs="Calibri"/>
        </w:rPr>
        <w:t>asciminib</w:t>
      </w:r>
      <w:r w:rsidRPr="002B4570">
        <w:rPr>
          <w:rFonts w:cs="Calibri"/>
        </w:rPr>
        <w:t xml:space="preserve">, which </w:t>
      </w:r>
      <w:r w:rsidRPr="002B4570">
        <w:t>has only been used in 840 patients and healthy subjects. This novelty means clinicians may not be adept at identifying which AEs are likely to be drug related.</w:t>
      </w:r>
    </w:p>
    <w:p w14:paraId="1AA916FD" w14:textId="5F8B942E" w:rsidR="0070109D" w:rsidRPr="00B22BCB" w:rsidRDefault="0070109D" w:rsidP="00AB4F8F">
      <w:pPr>
        <w:pStyle w:val="TableFigureHeading"/>
        <w:keepLines/>
      </w:pPr>
      <w:bookmarkStart w:id="42" w:name="_Ref102930891"/>
      <w:r w:rsidRPr="00B22BCB">
        <w:t xml:space="preserve">Table </w:t>
      </w:r>
      <w:r w:rsidR="00CA52C1">
        <w:fldChar w:fldCharType="begin"/>
      </w:r>
      <w:r w:rsidR="00CA52C1">
        <w:instrText xml:space="preserve"> SEQ Table \* ARABIC </w:instrText>
      </w:r>
      <w:r w:rsidR="00CA52C1">
        <w:fldChar w:fldCharType="separate"/>
      </w:r>
      <w:r w:rsidR="00A914F4">
        <w:rPr>
          <w:noProof/>
        </w:rPr>
        <w:t>11</w:t>
      </w:r>
      <w:r w:rsidR="00CA52C1">
        <w:rPr>
          <w:noProof/>
        </w:rPr>
        <w:fldChar w:fldCharType="end"/>
      </w:r>
      <w:bookmarkEnd w:id="42"/>
      <w:r w:rsidRPr="00B22BCB">
        <w:t>: Comparison of AEs and Grade ≥3 AEs unrelated to study treatment, ASCEMBL safety population primary analysis</w:t>
      </w:r>
    </w:p>
    <w:tbl>
      <w:tblPr>
        <w:tblStyle w:val="TableGrid"/>
        <w:tblW w:w="5000" w:type="pct"/>
        <w:tblLook w:val="04A0" w:firstRow="1" w:lastRow="0" w:firstColumn="1" w:lastColumn="0" w:noHBand="0" w:noVBand="1"/>
      </w:tblPr>
      <w:tblGrid>
        <w:gridCol w:w="2971"/>
        <w:gridCol w:w="1002"/>
        <w:gridCol w:w="1272"/>
        <w:gridCol w:w="1556"/>
        <w:gridCol w:w="2216"/>
      </w:tblGrid>
      <w:tr w:rsidR="0070109D" w:rsidRPr="00B22BCB" w14:paraId="60A5B4F6" w14:textId="77777777" w:rsidTr="00D428E6">
        <w:tc>
          <w:tcPr>
            <w:tcW w:w="1647" w:type="pct"/>
            <w:tcBorders>
              <w:bottom w:val="single" w:sz="4" w:space="0" w:color="auto"/>
            </w:tcBorders>
            <w:shd w:val="clear" w:color="auto" w:fill="auto"/>
          </w:tcPr>
          <w:p w14:paraId="63E398B0" w14:textId="77777777" w:rsidR="0070109D" w:rsidRPr="00B22BCB" w:rsidRDefault="0070109D" w:rsidP="00AB4F8F">
            <w:pPr>
              <w:keepNext/>
              <w:keepLines/>
              <w:spacing w:line="276" w:lineRule="auto"/>
              <w:jc w:val="center"/>
              <w:rPr>
                <w:rFonts w:ascii="Arial Narrow" w:eastAsia="Calibri" w:hAnsi="Arial Narrow" w:cs="Times New Roman"/>
                <w:b/>
                <w:sz w:val="20"/>
                <w:szCs w:val="20"/>
              </w:rPr>
            </w:pPr>
          </w:p>
        </w:tc>
        <w:tc>
          <w:tcPr>
            <w:tcW w:w="555" w:type="pct"/>
            <w:tcBorders>
              <w:bottom w:val="single" w:sz="4" w:space="0" w:color="auto"/>
            </w:tcBorders>
            <w:shd w:val="clear" w:color="auto" w:fill="auto"/>
          </w:tcPr>
          <w:p w14:paraId="2D657B4B" w14:textId="77777777" w:rsidR="0070109D" w:rsidRPr="00B22BCB"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Asciminib</w:t>
            </w:r>
          </w:p>
          <w:p w14:paraId="2937C08B" w14:textId="77777777" w:rsidR="0070109D" w:rsidRPr="00B22BCB"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N = 156</w:t>
            </w:r>
          </w:p>
        </w:tc>
        <w:tc>
          <w:tcPr>
            <w:tcW w:w="705" w:type="pct"/>
            <w:tcBorders>
              <w:bottom w:val="single" w:sz="4" w:space="0" w:color="auto"/>
            </w:tcBorders>
            <w:shd w:val="clear" w:color="auto" w:fill="auto"/>
          </w:tcPr>
          <w:p w14:paraId="5AE2553C" w14:textId="77777777" w:rsidR="0070109D" w:rsidRPr="00B22BCB"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Bosutinib</w:t>
            </w:r>
          </w:p>
          <w:p w14:paraId="37ECB63D" w14:textId="77777777" w:rsidR="0070109D" w:rsidRPr="00B22BCB"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N = 76</w:t>
            </w:r>
          </w:p>
        </w:tc>
        <w:tc>
          <w:tcPr>
            <w:tcW w:w="863" w:type="pct"/>
            <w:tcBorders>
              <w:bottom w:val="single" w:sz="4" w:space="0" w:color="auto"/>
            </w:tcBorders>
            <w:shd w:val="clear" w:color="auto" w:fill="auto"/>
          </w:tcPr>
          <w:p w14:paraId="496897A7" w14:textId="77777777" w:rsidR="0070109D"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RR (95% CI)</w:t>
            </w:r>
          </w:p>
          <w:p w14:paraId="2AD19F5B" w14:textId="6FDAA3F6" w:rsidR="008D04BD" w:rsidRPr="00B22BCB" w:rsidRDefault="008D04BD" w:rsidP="00AB4F8F">
            <w:pPr>
              <w:keepNext/>
              <w:keepLines/>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c>
          <w:tcPr>
            <w:tcW w:w="1229" w:type="pct"/>
            <w:tcBorders>
              <w:bottom w:val="single" w:sz="4" w:space="0" w:color="auto"/>
            </w:tcBorders>
            <w:shd w:val="clear" w:color="auto" w:fill="auto"/>
          </w:tcPr>
          <w:p w14:paraId="38BF2873" w14:textId="77777777" w:rsidR="0070109D" w:rsidRDefault="0070109D" w:rsidP="00AB4F8F">
            <w:pPr>
              <w:keepNext/>
              <w:keepLines/>
              <w:spacing w:line="276" w:lineRule="auto"/>
              <w:jc w:val="center"/>
              <w:rPr>
                <w:rFonts w:ascii="Arial Narrow" w:eastAsia="Calibri" w:hAnsi="Arial Narrow" w:cs="Times New Roman"/>
                <w:b/>
                <w:sz w:val="20"/>
                <w:szCs w:val="20"/>
              </w:rPr>
            </w:pPr>
            <w:r w:rsidRPr="00B22BCB">
              <w:rPr>
                <w:rFonts w:ascii="Arial Narrow" w:eastAsia="Calibri" w:hAnsi="Arial Narrow" w:cs="Times New Roman"/>
                <w:b/>
                <w:sz w:val="20"/>
                <w:szCs w:val="20"/>
              </w:rPr>
              <w:t>RD (95% CI)</w:t>
            </w:r>
          </w:p>
          <w:p w14:paraId="46DB284C" w14:textId="405CEA4E" w:rsidR="008D04BD" w:rsidRPr="00B22BCB" w:rsidRDefault="008D04BD" w:rsidP="00AB4F8F">
            <w:pPr>
              <w:keepNext/>
              <w:keepLines/>
              <w:spacing w:line="276" w:lineRule="auto"/>
              <w:jc w:val="center"/>
              <w:rPr>
                <w:rFonts w:ascii="Arial Narrow" w:eastAsia="Calibri" w:hAnsi="Arial Narrow" w:cs="Times New Roman"/>
                <w:b/>
                <w:sz w:val="20"/>
                <w:szCs w:val="20"/>
              </w:rPr>
            </w:pPr>
            <w:r>
              <w:rPr>
                <w:rFonts w:ascii="Arial Narrow" w:eastAsia="Calibri" w:hAnsi="Arial Narrow" w:cs="Times New Roman"/>
                <w:b/>
                <w:sz w:val="20"/>
                <w:szCs w:val="20"/>
              </w:rPr>
              <w:t>p-value</w:t>
            </w:r>
          </w:p>
        </w:tc>
      </w:tr>
      <w:tr w:rsidR="0070109D" w:rsidRPr="00B22BCB" w14:paraId="1C34F2A8" w14:textId="77777777" w:rsidTr="0070109D">
        <w:trPr>
          <w:trHeight w:val="519"/>
        </w:trPr>
        <w:tc>
          <w:tcPr>
            <w:tcW w:w="1647" w:type="pct"/>
            <w:tcBorders>
              <w:top w:val="single" w:sz="4" w:space="0" w:color="auto"/>
              <w:bottom w:val="single" w:sz="4" w:space="0" w:color="auto"/>
            </w:tcBorders>
          </w:tcPr>
          <w:p w14:paraId="4CAA1917" w14:textId="77777777" w:rsidR="008D04BD" w:rsidRDefault="0070109D" w:rsidP="00AB4F8F">
            <w:pPr>
              <w:keepNext/>
              <w:keepLines/>
              <w:rPr>
                <w:rFonts w:ascii="Arial Narrow" w:hAnsi="Arial Narrow" w:cs="Times New Roman"/>
                <w:snapToGrid w:val="0"/>
                <w:sz w:val="20"/>
              </w:rPr>
            </w:pPr>
            <w:r w:rsidRPr="00B22BCB">
              <w:rPr>
                <w:rFonts w:ascii="Arial Narrow" w:hAnsi="Arial Narrow" w:cs="Times New Roman"/>
                <w:snapToGrid w:val="0"/>
                <w:sz w:val="20"/>
              </w:rPr>
              <w:t xml:space="preserve">Treatment unrelated AEs/ all AEs </w:t>
            </w:r>
          </w:p>
          <w:p w14:paraId="501C3AE6" w14:textId="2EF885DB" w:rsidR="0070109D" w:rsidRPr="00B22BCB" w:rsidRDefault="008D04BD" w:rsidP="00AB4F8F">
            <w:pPr>
              <w:keepNext/>
              <w:keepLines/>
              <w:rPr>
                <w:rFonts w:ascii="Arial Narrow" w:hAnsi="Arial Narrow" w:cs="Times New Roman"/>
                <w:snapToGrid w:val="0"/>
                <w:sz w:val="20"/>
              </w:rPr>
            </w:pPr>
            <w:r>
              <w:rPr>
                <w:rFonts w:ascii="Arial Narrow" w:hAnsi="Arial Narrow" w:cs="Times New Roman"/>
                <w:snapToGrid w:val="0"/>
                <w:sz w:val="20"/>
              </w:rPr>
              <w:t xml:space="preserve">n/N </w:t>
            </w:r>
            <w:r w:rsidR="0070109D" w:rsidRPr="00B22BCB">
              <w:rPr>
                <w:rFonts w:ascii="Arial Narrow" w:hAnsi="Arial Narrow" w:cs="Times New Roman"/>
                <w:snapToGrid w:val="0"/>
                <w:sz w:val="20"/>
              </w:rPr>
              <w:t>(%)</w:t>
            </w:r>
          </w:p>
        </w:tc>
        <w:tc>
          <w:tcPr>
            <w:tcW w:w="555" w:type="pct"/>
            <w:tcBorders>
              <w:top w:val="single" w:sz="4" w:space="0" w:color="auto"/>
              <w:bottom w:val="single" w:sz="4" w:space="0" w:color="auto"/>
            </w:tcBorders>
          </w:tcPr>
          <w:p w14:paraId="660C7B38" w14:textId="77777777" w:rsidR="0070109D" w:rsidRPr="00B22BCB" w:rsidRDefault="0070109D" w:rsidP="00AB4F8F">
            <w:pPr>
              <w:keepNext/>
              <w:keepLines/>
              <w:spacing w:line="276" w:lineRule="auto"/>
              <w:jc w:val="center"/>
              <w:rPr>
                <w:rFonts w:ascii="Arial Narrow" w:eastAsia="Calibri" w:hAnsi="Arial Narrow" w:cs="Times New Roman"/>
                <w:sz w:val="20"/>
                <w:szCs w:val="20"/>
                <w:vertAlign w:val="superscript"/>
              </w:rPr>
            </w:pPr>
            <w:r w:rsidRPr="00B22BCB">
              <w:rPr>
                <w:rFonts w:ascii="Arial Narrow" w:eastAsia="Calibri" w:hAnsi="Arial Narrow" w:cs="Times New Roman"/>
                <w:sz w:val="20"/>
                <w:szCs w:val="20"/>
              </w:rPr>
              <w:t>41/140 (29.3)</w:t>
            </w:r>
          </w:p>
        </w:tc>
        <w:tc>
          <w:tcPr>
            <w:tcW w:w="705" w:type="pct"/>
            <w:tcBorders>
              <w:top w:val="single" w:sz="4" w:space="0" w:color="auto"/>
              <w:bottom w:val="single" w:sz="4" w:space="0" w:color="auto"/>
            </w:tcBorders>
          </w:tcPr>
          <w:p w14:paraId="43C23871" w14:textId="77777777" w:rsidR="0070109D" w:rsidRPr="00B22BCB" w:rsidRDefault="0070109D"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 xml:space="preserve">6/73 </w:t>
            </w:r>
          </w:p>
          <w:p w14:paraId="07E0023E" w14:textId="0DAD1318" w:rsidR="0070109D" w:rsidRPr="00B22BCB" w:rsidRDefault="0070109D"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(8.2)</w:t>
            </w:r>
          </w:p>
        </w:tc>
        <w:tc>
          <w:tcPr>
            <w:tcW w:w="863" w:type="pct"/>
            <w:tcBorders>
              <w:top w:val="single" w:sz="4" w:space="0" w:color="auto"/>
              <w:bottom w:val="single" w:sz="4" w:space="0" w:color="auto"/>
            </w:tcBorders>
          </w:tcPr>
          <w:p w14:paraId="3F5A9E7F"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3.56 (1.59, 8.00); </w:t>
            </w:r>
          </w:p>
          <w:p w14:paraId="127F41C3"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p = 0.002</w:t>
            </w:r>
          </w:p>
        </w:tc>
        <w:tc>
          <w:tcPr>
            <w:tcW w:w="1229" w:type="pct"/>
            <w:tcBorders>
              <w:top w:val="single" w:sz="4" w:space="0" w:color="auto"/>
              <w:bottom w:val="single" w:sz="4" w:space="0" w:color="auto"/>
            </w:tcBorders>
          </w:tcPr>
          <w:p w14:paraId="370A7E3A"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0.21 (0.11, 0.31); </w:t>
            </w:r>
          </w:p>
          <w:p w14:paraId="28994D3D"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p = &lt; 0.001</w:t>
            </w:r>
          </w:p>
        </w:tc>
      </w:tr>
      <w:tr w:rsidR="0070109D" w:rsidRPr="00B22BCB" w14:paraId="7B2F7AF1" w14:textId="77777777" w:rsidTr="0070109D">
        <w:trPr>
          <w:trHeight w:val="519"/>
        </w:trPr>
        <w:tc>
          <w:tcPr>
            <w:tcW w:w="1647" w:type="pct"/>
            <w:tcBorders>
              <w:top w:val="single" w:sz="4" w:space="0" w:color="auto"/>
            </w:tcBorders>
          </w:tcPr>
          <w:p w14:paraId="364DD42C" w14:textId="6196FE46" w:rsidR="0070109D" w:rsidRPr="00B22BCB" w:rsidRDefault="0070109D" w:rsidP="00AB4F8F">
            <w:pPr>
              <w:keepNext/>
              <w:keepLines/>
              <w:rPr>
                <w:rFonts w:ascii="Arial Narrow" w:hAnsi="Arial Narrow" w:cs="Times New Roman"/>
                <w:snapToGrid w:val="0"/>
                <w:sz w:val="20"/>
              </w:rPr>
            </w:pPr>
            <w:r w:rsidRPr="00B22BCB">
              <w:rPr>
                <w:rFonts w:ascii="Arial Narrow" w:hAnsi="Arial Narrow" w:cs="Times New Roman"/>
                <w:snapToGrid w:val="0"/>
                <w:sz w:val="20"/>
              </w:rPr>
              <w:t>Treatment unrelated Grade ≥3 AEs/all Grade ≥3 AEs</w:t>
            </w:r>
            <w:r w:rsidR="008D04BD">
              <w:rPr>
                <w:rFonts w:ascii="Arial Narrow" w:hAnsi="Arial Narrow" w:cs="Times New Roman"/>
                <w:snapToGrid w:val="0"/>
                <w:sz w:val="20"/>
              </w:rPr>
              <w:t>,</w:t>
            </w:r>
            <w:r w:rsidRPr="00B22BCB">
              <w:rPr>
                <w:rFonts w:ascii="Arial Narrow" w:hAnsi="Arial Narrow" w:cs="Times New Roman"/>
                <w:snapToGrid w:val="0"/>
                <w:sz w:val="20"/>
              </w:rPr>
              <w:t xml:space="preserve"> </w:t>
            </w:r>
            <w:r w:rsidR="008D04BD">
              <w:rPr>
                <w:rFonts w:ascii="Arial Narrow" w:hAnsi="Arial Narrow" w:cs="Times New Roman"/>
                <w:snapToGrid w:val="0"/>
                <w:sz w:val="20"/>
              </w:rPr>
              <w:t xml:space="preserve">n/N </w:t>
            </w:r>
            <w:r w:rsidRPr="00B22BCB">
              <w:rPr>
                <w:rFonts w:ascii="Arial Narrow" w:hAnsi="Arial Narrow" w:cs="Times New Roman"/>
                <w:snapToGrid w:val="0"/>
                <w:sz w:val="20"/>
              </w:rPr>
              <w:t>(%)</w:t>
            </w:r>
          </w:p>
        </w:tc>
        <w:tc>
          <w:tcPr>
            <w:tcW w:w="555" w:type="pct"/>
            <w:tcBorders>
              <w:top w:val="single" w:sz="4" w:space="0" w:color="auto"/>
            </w:tcBorders>
          </w:tcPr>
          <w:p w14:paraId="62D17E37" w14:textId="77777777" w:rsidR="0070109D" w:rsidRPr="00B22BCB" w:rsidRDefault="0070109D"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33/79 (41.8)</w:t>
            </w:r>
          </w:p>
        </w:tc>
        <w:tc>
          <w:tcPr>
            <w:tcW w:w="705" w:type="pct"/>
            <w:tcBorders>
              <w:top w:val="single" w:sz="4" w:space="0" w:color="auto"/>
            </w:tcBorders>
          </w:tcPr>
          <w:p w14:paraId="3CA99D7B" w14:textId="77777777" w:rsidR="0070109D" w:rsidRPr="00B22BCB" w:rsidRDefault="0070109D"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 xml:space="preserve">8/46 </w:t>
            </w:r>
          </w:p>
          <w:p w14:paraId="19E3E2D8" w14:textId="0CFC0DC9" w:rsidR="0070109D" w:rsidRPr="00B22BCB" w:rsidRDefault="0070109D" w:rsidP="00AB4F8F">
            <w:pPr>
              <w:keepNext/>
              <w:keepLines/>
              <w:spacing w:line="276" w:lineRule="auto"/>
              <w:jc w:val="center"/>
              <w:rPr>
                <w:rFonts w:ascii="Arial Narrow" w:eastAsia="Calibri" w:hAnsi="Arial Narrow" w:cs="Times New Roman"/>
                <w:sz w:val="20"/>
                <w:szCs w:val="20"/>
              </w:rPr>
            </w:pPr>
            <w:r w:rsidRPr="00B22BCB">
              <w:rPr>
                <w:rFonts w:ascii="Arial Narrow" w:eastAsia="Calibri" w:hAnsi="Arial Narrow" w:cs="Times New Roman"/>
                <w:sz w:val="20"/>
                <w:szCs w:val="20"/>
              </w:rPr>
              <w:t>(17.4)</w:t>
            </w:r>
          </w:p>
        </w:tc>
        <w:tc>
          <w:tcPr>
            <w:tcW w:w="863" w:type="pct"/>
            <w:tcBorders>
              <w:top w:val="single" w:sz="4" w:space="0" w:color="auto"/>
            </w:tcBorders>
          </w:tcPr>
          <w:p w14:paraId="65FB9E49"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2.40 (1.22, 4.75); </w:t>
            </w:r>
          </w:p>
          <w:p w14:paraId="00F442DF"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p = 0.01</w:t>
            </w:r>
          </w:p>
        </w:tc>
        <w:tc>
          <w:tcPr>
            <w:tcW w:w="1229" w:type="pct"/>
            <w:tcBorders>
              <w:top w:val="single" w:sz="4" w:space="0" w:color="auto"/>
            </w:tcBorders>
          </w:tcPr>
          <w:p w14:paraId="35B60B27"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 xml:space="preserve">0.24 (0.09, 0.40); </w:t>
            </w:r>
          </w:p>
          <w:p w14:paraId="23D69C1B" w14:textId="77777777" w:rsidR="0070109D" w:rsidRPr="00B22BCB" w:rsidRDefault="0070109D" w:rsidP="00AB4F8F">
            <w:pPr>
              <w:keepNext/>
              <w:keepLines/>
              <w:spacing w:line="276" w:lineRule="auto"/>
              <w:jc w:val="center"/>
              <w:rPr>
                <w:rFonts w:ascii="Arial Narrow" w:eastAsia="Calibri" w:hAnsi="Arial Narrow" w:cs="Times New Roman"/>
                <w:b/>
                <w:bCs/>
                <w:sz w:val="20"/>
                <w:szCs w:val="20"/>
              </w:rPr>
            </w:pPr>
            <w:r w:rsidRPr="00B22BCB">
              <w:rPr>
                <w:rFonts w:ascii="Arial Narrow" w:eastAsia="Calibri" w:hAnsi="Arial Narrow" w:cs="Times New Roman"/>
                <w:b/>
                <w:bCs/>
                <w:sz w:val="20"/>
                <w:szCs w:val="20"/>
              </w:rPr>
              <w:t>p = 0.002</w:t>
            </w:r>
          </w:p>
        </w:tc>
      </w:tr>
    </w:tbl>
    <w:p w14:paraId="678C6629" w14:textId="53221039" w:rsidR="0070109D" w:rsidRDefault="0070109D" w:rsidP="00AB4F8F">
      <w:pPr>
        <w:keepNext/>
        <w:keepLines/>
        <w:spacing w:after="120"/>
        <w:contextualSpacing/>
        <w:rPr>
          <w:rFonts w:ascii="Arial Narrow" w:hAnsi="Arial Narrow"/>
          <w:snapToGrid w:val="0"/>
          <w:sz w:val="18"/>
        </w:rPr>
      </w:pPr>
      <w:r w:rsidRPr="00B22BCB">
        <w:rPr>
          <w:rFonts w:ascii="Arial Narrow" w:hAnsi="Arial Narrow"/>
          <w:snapToGrid w:val="0"/>
          <w:sz w:val="18"/>
        </w:rPr>
        <w:t xml:space="preserve">Source: Calculations performed in RevMan 5.4, based on data from ASCEMBL CSR Table 12-4 p 101. </w:t>
      </w:r>
    </w:p>
    <w:p w14:paraId="5CD54FBE" w14:textId="79B02692" w:rsidR="00CE5939" w:rsidRPr="00B22BCB" w:rsidRDefault="00CE5939" w:rsidP="00AB4F8F">
      <w:pPr>
        <w:keepNext/>
        <w:keepLines/>
        <w:spacing w:after="120"/>
        <w:contextualSpacing/>
        <w:rPr>
          <w:rFonts w:ascii="Arial Narrow" w:hAnsi="Arial Narrow"/>
          <w:snapToGrid w:val="0"/>
          <w:sz w:val="18"/>
        </w:rPr>
      </w:pPr>
      <w:r w:rsidRPr="00E9298A">
        <w:rPr>
          <w:rFonts w:ascii="Arial Narrow" w:eastAsia="Calibri" w:hAnsi="Arial Narrow" w:cs="Times New Roman"/>
          <w:sz w:val="18"/>
          <w:szCs w:val="18"/>
        </w:rPr>
        <w:t>AE = adverse event; CI = confidence interval; RD = risk difference; RR = relative risk</w:t>
      </w:r>
      <w:r>
        <w:rPr>
          <w:rFonts w:ascii="Arial Narrow" w:eastAsia="Calibri" w:hAnsi="Arial Narrow" w:cs="Times New Roman"/>
          <w:sz w:val="18"/>
          <w:szCs w:val="18"/>
        </w:rPr>
        <w:t>.</w:t>
      </w:r>
    </w:p>
    <w:p w14:paraId="414CD13E" w14:textId="7A003280" w:rsidR="003D5C8E" w:rsidRPr="00B22BCB" w:rsidRDefault="0070109D" w:rsidP="00AB4F8F">
      <w:pPr>
        <w:keepNext/>
        <w:keepLines/>
        <w:spacing w:after="120"/>
        <w:contextualSpacing/>
        <w:rPr>
          <w:rFonts w:ascii="Arial Narrow" w:hAnsi="Arial Narrow"/>
          <w:snapToGrid w:val="0"/>
          <w:sz w:val="18"/>
        </w:rPr>
      </w:pPr>
      <w:r w:rsidRPr="00B22BCB">
        <w:rPr>
          <w:rFonts w:ascii="Arial Narrow" w:hAnsi="Arial Narrow"/>
          <w:b/>
          <w:snapToGrid w:val="0"/>
          <w:sz w:val="18"/>
        </w:rPr>
        <w:t>Bold</w:t>
      </w:r>
      <w:r w:rsidRPr="00B22BCB">
        <w:rPr>
          <w:rFonts w:ascii="Arial Narrow" w:hAnsi="Arial Narrow"/>
          <w:snapToGrid w:val="0"/>
          <w:sz w:val="18"/>
        </w:rPr>
        <w:t xml:space="preserve"> indicates nominally statistically significant differences</w:t>
      </w:r>
      <w:r w:rsidR="003D5C8E" w:rsidRPr="00B22BCB">
        <w:rPr>
          <w:rFonts w:ascii="Arial Narrow" w:hAnsi="Arial Narrow"/>
          <w:snapToGrid w:val="0"/>
          <w:sz w:val="18"/>
        </w:rPr>
        <w:t>.</w:t>
      </w:r>
    </w:p>
    <w:p w14:paraId="7A2DB801" w14:textId="4F396501" w:rsidR="00474EA3" w:rsidRDefault="00474EA3" w:rsidP="00474EA3">
      <w:pPr>
        <w:pStyle w:val="3-BodyText"/>
        <w:numPr>
          <w:ilvl w:val="0"/>
          <w:numId w:val="0"/>
        </w:numPr>
        <w:ind w:left="720" w:hanging="720"/>
      </w:pPr>
      <w:r w:rsidRPr="00857DC0">
        <w:rPr>
          <w:rFonts w:cstheme="minorHAnsi"/>
          <w:b/>
          <w:bCs/>
          <w:i/>
          <w:iCs/>
          <w:u w:val="single"/>
        </w:rPr>
        <w:t xml:space="preserve">Asciminib versus </w:t>
      </w:r>
      <w:r>
        <w:rPr>
          <w:rFonts w:cstheme="minorHAnsi"/>
          <w:b/>
          <w:bCs/>
          <w:i/>
          <w:iCs/>
          <w:u w:val="single"/>
        </w:rPr>
        <w:t>nilotinib</w:t>
      </w:r>
    </w:p>
    <w:p w14:paraId="483802EE" w14:textId="047CF2FC" w:rsidR="000743E0" w:rsidRPr="002B4570" w:rsidRDefault="00475207" w:rsidP="00B76BAF">
      <w:pPr>
        <w:pStyle w:val="3-BodyText"/>
      </w:pPr>
      <w:r w:rsidRPr="00B22BCB">
        <w:t>A</w:t>
      </w:r>
      <w:r w:rsidR="00337BFF" w:rsidRPr="00B22BCB">
        <w:t>sciminib</w:t>
      </w:r>
      <w:r w:rsidR="003D5C8E" w:rsidRPr="00B22BCB">
        <w:t xml:space="preserve"> safety data </w:t>
      </w:r>
      <w:r w:rsidR="007C03D2" w:rsidRPr="00B22BCB">
        <w:t>are</w:t>
      </w:r>
      <w:r w:rsidR="003D5C8E" w:rsidRPr="00B22BCB">
        <w:t xml:space="preserve"> compared to nilotinib (</w:t>
      </w:r>
      <w:r w:rsidR="00292174">
        <w:t xml:space="preserve">from the </w:t>
      </w:r>
      <w:r w:rsidR="003D5C8E" w:rsidRPr="00B22BCB">
        <w:t>ENACT</w:t>
      </w:r>
      <w:r w:rsidR="00292174">
        <w:t xml:space="preserve"> trial</w:t>
      </w:r>
      <w:r w:rsidR="003D5C8E" w:rsidRPr="00B22BCB">
        <w:t>) in</w:t>
      </w:r>
      <w:r w:rsidR="007C03D2" w:rsidRPr="00B22BCB">
        <w:t xml:space="preserve"> </w:t>
      </w:r>
      <w:r w:rsidR="007C03D2" w:rsidRPr="00B22BCB">
        <w:fldChar w:fldCharType="begin"/>
      </w:r>
      <w:r w:rsidR="007C03D2" w:rsidRPr="00B22BCB">
        <w:instrText xml:space="preserve"> REF _Ref102930945 \h </w:instrText>
      </w:r>
      <w:r w:rsidR="007C03D2" w:rsidRPr="00B22BCB">
        <w:fldChar w:fldCharType="separate"/>
      </w:r>
      <w:r w:rsidR="00A914F4" w:rsidRPr="00B22BCB">
        <w:t xml:space="preserve">Table </w:t>
      </w:r>
      <w:r w:rsidR="00A914F4">
        <w:rPr>
          <w:noProof/>
        </w:rPr>
        <w:t>12</w:t>
      </w:r>
      <w:r w:rsidR="007C03D2" w:rsidRPr="00B22BCB">
        <w:fldChar w:fldCharType="end"/>
      </w:r>
      <w:r w:rsidRPr="00B22BCB">
        <w:t xml:space="preserve">. </w:t>
      </w:r>
      <w:r w:rsidR="00044C74" w:rsidRPr="00B22BCB">
        <w:t>Asciminib</w:t>
      </w:r>
      <w:r w:rsidR="000743E0" w:rsidRPr="00B22BCB">
        <w:t xml:space="preserve"> was associated with statistically significantly fewer AEs, and Grade 3-4 AEs, compared to nilotinib. There were no statistically significant differences in the most common grade </w:t>
      </w:r>
      <w:r w:rsidR="000743E0" w:rsidRPr="00B22BCB">
        <w:rPr>
          <w:rFonts w:cs="Calibri"/>
        </w:rPr>
        <w:t>≥</w:t>
      </w:r>
      <w:r w:rsidR="000743E0" w:rsidRPr="00B22BCB">
        <w:t xml:space="preserve">3 AEs, however their rates were consistently lower with </w:t>
      </w:r>
      <w:r w:rsidR="00337BFF" w:rsidRPr="00B22BCB">
        <w:t>asciminib</w:t>
      </w:r>
      <w:r w:rsidR="000743E0" w:rsidRPr="00B22BCB">
        <w:t xml:space="preserve"> treatment compared to nilotinib.</w:t>
      </w:r>
      <w:r w:rsidR="003D5C8E" w:rsidRPr="00B22BCB">
        <w:t xml:space="preserve"> </w:t>
      </w:r>
      <w:r w:rsidR="003D5C8E" w:rsidRPr="002B4570">
        <w:t xml:space="preserve">The asymmetrically large number of patients in ENACT generated substantial power to detect differences, such that differences in </w:t>
      </w:r>
      <w:r w:rsidR="00AA2193">
        <w:t>AEs</w:t>
      </w:r>
      <w:r w:rsidR="003D5C8E" w:rsidRPr="002B4570">
        <w:t xml:space="preserve"> which would not generate statistical significance between the two arms of the ASCEMBL trial, </w:t>
      </w:r>
      <w:r w:rsidR="000743E0" w:rsidRPr="002B4570">
        <w:t>were</w:t>
      </w:r>
      <w:r w:rsidR="003D5C8E" w:rsidRPr="002B4570">
        <w:t xml:space="preserve"> able to generate strongly statistically significant</w:t>
      </w:r>
      <w:r w:rsidR="00221729" w:rsidRPr="002B4570">
        <w:t xml:space="preserve"> </w:t>
      </w:r>
      <w:r w:rsidR="006B6906" w:rsidRPr="002B4570">
        <w:t>comparisons</w:t>
      </w:r>
      <w:r w:rsidR="003D5C8E" w:rsidRPr="002B4570">
        <w:t xml:space="preserve"> for even relatively minor differences, such as ‘Any AE’ (89.7% vs 96.5%: a difference of only 6.8%). </w:t>
      </w:r>
      <w:r w:rsidR="00CD4356" w:rsidRPr="002B4570">
        <w:t xml:space="preserve">However, given that the comparison is unadjusted and </w:t>
      </w:r>
      <w:r w:rsidR="00292174" w:rsidRPr="002B4570">
        <w:t xml:space="preserve">unanchored </w:t>
      </w:r>
      <w:r w:rsidR="00CD4356" w:rsidRPr="002B4570">
        <w:t xml:space="preserve">– with multiple transitivity issues outlined above – the statistical analysis is not appropriate or meaningful, as differences may be entirely due to </w:t>
      </w:r>
      <w:r w:rsidR="007C03D2" w:rsidRPr="002B4570">
        <w:t xml:space="preserve">imbalances </w:t>
      </w:r>
      <w:r w:rsidR="00CD4356" w:rsidRPr="002B4570">
        <w:t>in confounding factors between the non-randomised and non-adjusted populations</w:t>
      </w:r>
      <w:r w:rsidR="007C03D2" w:rsidRPr="002B4570">
        <w:t>.</w:t>
      </w:r>
      <w:r w:rsidR="00456317" w:rsidRPr="002B4570">
        <w:t xml:space="preserve"> Further, the</w:t>
      </w:r>
      <w:r w:rsidR="00DF5E8F">
        <w:t xml:space="preserve"> potential</w:t>
      </w:r>
      <w:r w:rsidR="00456317" w:rsidRPr="002B4570">
        <w:t xml:space="preserve"> bias in classification of ‘treatment</w:t>
      </w:r>
      <w:r w:rsidR="00DF5E8F">
        <w:t>-</w:t>
      </w:r>
      <w:r w:rsidR="00456317" w:rsidRPr="002B4570">
        <w:t xml:space="preserve">related’ </w:t>
      </w:r>
      <w:r w:rsidR="00AA2193">
        <w:t>AEs</w:t>
      </w:r>
      <w:r w:rsidR="00456317" w:rsidRPr="002B4570">
        <w:t xml:space="preserve"> in the</w:t>
      </w:r>
      <w:r w:rsidR="00DF5E8F">
        <w:t xml:space="preserve"> open-label</w:t>
      </w:r>
      <w:r w:rsidR="00456317" w:rsidRPr="002B4570">
        <w:t xml:space="preserve"> </w:t>
      </w:r>
      <w:r w:rsidR="00337BFF" w:rsidRPr="002B4570">
        <w:t>asciminib</w:t>
      </w:r>
      <w:r w:rsidR="00456317" w:rsidRPr="002B4570">
        <w:t xml:space="preserve"> arm of ASCEMBL carried over to the ITC: for example, only 58% (46/79) of the Grade</w:t>
      </w:r>
      <w:r w:rsidR="00DF5E8F">
        <w:t> </w:t>
      </w:r>
      <w:r w:rsidR="00456317" w:rsidRPr="002B4570">
        <w:rPr>
          <w:rFonts w:cs="Calibri"/>
        </w:rPr>
        <w:t xml:space="preserve">≥3 AEs in the </w:t>
      </w:r>
      <w:r w:rsidR="00337BFF" w:rsidRPr="002B4570">
        <w:rPr>
          <w:rFonts w:cs="Calibri"/>
        </w:rPr>
        <w:t>asciminib</w:t>
      </w:r>
      <w:r w:rsidR="00456317" w:rsidRPr="002B4570">
        <w:rPr>
          <w:rFonts w:cs="Calibri"/>
        </w:rPr>
        <w:t xml:space="preserve"> arm were considered to be ‘treatment</w:t>
      </w:r>
      <w:r w:rsidR="00DF5E8F">
        <w:rPr>
          <w:rFonts w:cs="Calibri"/>
        </w:rPr>
        <w:t>-</w:t>
      </w:r>
      <w:r w:rsidR="00456317" w:rsidRPr="002B4570">
        <w:rPr>
          <w:rFonts w:cs="Calibri"/>
        </w:rPr>
        <w:t>related’, compared to 83% (720/872) of Grade ≥3 AEs in the nilotinib arm of ENACT</w:t>
      </w:r>
      <w:r w:rsidR="00947F58" w:rsidRPr="002B4570">
        <w:rPr>
          <w:rFonts w:cs="Calibri"/>
        </w:rPr>
        <w:t>.</w:t>
      </w:r>
      <w:r w:rsidR="00B74AE7" w:rsidRPr="002B4570">
        <w:rPr>
          <w:rFonts w:cs="Calibri"/>
        </w:rPr>
        <w:t xml:space="preserve"> </w:t>
      </w:r>
      <w:r w:rsidR="00B74AE7" w:rsidRPr="002B4570">
        <w:t xml:space="preserve">There were statistically significantly fewer AEs leading to discontinuation reported in the </w:t>
      </w:r>
      <w:r w:rsidR="00337BFF" w:rsidRPr="002B4570">
        <w:t>asciminib</w:t>
      </w:r>
      <w:r w:rsidR="00B74AE7" w:rsidRPr="002B4570">
        <w:t xml:space="preserve"> arm compared to nilotinib (4.5% vs 18%), however the ASCEMBL trial recorded discontinuation reasons due to ‘physician decision’ separately to </w:t>
      </w:r>
      <w:r w:rsidR="00AA2193">
        <w:t>AEs</w:t>
      </w:r>
      <w:r w:rsidR="00B74AE7" w:rsidRPr="002B4570">
        <w:t xml:space="preserve">, while ENACT did not record a ‘physician decision’ category. ‘Physician decision’ and ‘adverse event’ combined made up 14.7% of the reasons for discontinuation in the </w:t>
      </w:r>
      <w:r w:rsidR="00337BFF" w:rsidRPr="002B4570">
        <w:t>asciminib</w:t>
      </w:r>
      <w:r w:rsidR="00B74AE7" w:rsidRPr="002B4570">
        <w:t xml:space="preserve"> arm, which was not statistically significantly different to nilotinib in terms of </w:t>
      </w:r>
      <w:r w:rsidR="00BF0EB5" w:rsidRPr="002B4570">
        <w:t xml:space="preserve">unadjusted </w:t>
      </w:r>
      <w:r w:rsidR="00C00689" w:rsidRPr="002B4570">
        <w:t>relative risk</w:t>
      </w:r>
      <w:r w:rsidR="00B74AE7" w:rsidRPr="002B4570">
        <w:t xml:space="preserve"> (RR).</w:t>
      </w:r>
    </w:p>
    <w:p w14:paraId="03805329" w14:textId="233E0A23" w:rsidR="000743E0" w:rsidRPr="00B22BCB" w:rsidRDefault="007C03D2" w:rsidP="007C03D2">
      <w:pPr>
        <w:pStyle w:val="TableFigureHeading"/>
      </w:pPr>
      <w:bookmarkStart w:id="43" w:name="_Ref102930945"/>
      <w:r w:rsidRPr="00B22BCB">
        <w:t xml:space="preserve">Table </w:t>
      </w:r>
      <w:r w:rsidR="00CA52C1">
        <w:fldChar w:fldCharType="begin"/>
      </w:r>
      <w:r w:rsidR="00CA52C1">
        <w:instrText xml:space="preserve"> SEQ Table \* ARABIC </w:instrText>
      </w:r>
      <w:r w:rsidR="00CA52C1">
        <w:fldChar w:fldCharType="separate"/>
      </w:r>
      <w:r w:rsidR="00A914F4">
        <w:rPr>
          <w:noProof/>
        </w:rPr>
        <w:t>12</w:t>
      </w:r>
      <w:r w:rsidR="00CA52C1">
        <w:rPr>
          <w:noProof/>
        </w:rPr>
        <w:fldChar w:fldCharType="end"/>
      </w:r>
      <w:bookmarkEnd w:id="43"/>
      <w:r w:rsidR="000743E0" w:rsidRPr="00B22BCB">
        <w:t xml:space="preserve">: ASCEMBL (primary analysis) vs ENACT, </w:t>
      </w:r>
      <w:r w:rsidR="003A6A0C">
        <w:t>t</w:t>
      </w:r>
      <w:r w:rsidR="000743E0" w:rsidRPr="00B22BCB">
        <w:t>reatment</w:t>
      </w:r>
      <w:r w:rsidR="003A6A0C">
        <w:t>-</w:t>
      </w:r>
      <w:r w:rsidR="000743E0" w:rsidRPr="00B22BCB">
        <w:t>related safety outcomes, safety population</w:t>
      </w:r>
    </w:p>
    <w:tbl>
      <w:tblPr>
        <w:tblStyle w:val="TableGrid"/>
        <w:tblW w:w="5000" w:type="pct"/>
        <w:tblLook w:val="04A0" w:firstRow="1" w:lastRow="0" w:firstColumn="1" w:lastColumn="0" w:noHBand="0" w:noVBand="1"/>
      </w:tblPr>
      <w:tblGrid>
        <w:gridCol w:w="1697"/>
        <w:gridCol w:w="1001"/>
        <w:gridCol w:w="1125"/>
        <w:gridCol w:w="2552"/>
        <w:gridCol w:w="2642"/>
      </w:tblGrid>
      <w:tr w:rsidR="00B913C3" w:rsidRPr="00B22BCB" w14:paraId="1804041E" w14:textId="77777777" w:rsidTr="00B913C3">
        <w:trPr>
          <w:tblHeader/>
        </w:trPr>
        <w:tc>
          <w:tcPr>
            <w:tcW w:w="941" w:type="pct"/>
            <w:tcBorders>
              <w:bottom w:val="single" w:sz="4" w:space="0" w:color="auto"/>
            </w:tcBorders>
            <w:shd w:val="clear" w:color="auto" w:fill="auto"/>
          </w:tcPr>
          <w:p w14:paraId="6D030C68" w14:textId="77777777" w:rsidR="000743E0" w:rsidRPr="00B22BCB" w:rsidRDefault="000743E0" w:rsidP="00144CAC">
            <w:pPr>
              <w:pStyle w:val="Tableheading0"/>
              <w:rPr>
                <w:rFonts w:ascii="Arial Narrow" w:hAnsi="Arial Narrow"/>
              </w:rPr>
            </w:pPr>
            <w:r w:rsidRPr="00B22BCB">
              <w:rPr>
                <w:rFonts w:ascii="Arial Narrow" w:hAnsi="Arial Narrow"/>
              </w:rPr>
              <w:t>Outcomes</w:t>
            </w:r>
          </w:p>
        </w:tc>
        <w:tc>
          <w:tcPr>
            <w:tcW w:w="555" w:type="pct"/>
            <w:tcBorders>
              <w:bottom w:val="single" w:sz="4" w:space="0" w:color="auto"/>
            </w:tcBorders>
            <w:shd w:val="clear" w:color="auto" w:fill="auto"/>
          </w:tcPr>
          <w:p w14:paraId="28FFDAAF" w14:textId="77777777" w:rsidR="000743E0" w:rsidRPr="00B22BCB" w:rsidRDefault="000743E0" w:rsidP="00144CAC">
            <w:pPr>
              <w:pStyle w:val="Tableheading0"/>
              <w:rPr>
                <w:rFonts w:ascii="Arial Narrow" w:hAnsi="Arial Narrow"/>
              </w:rPr>
            </w:pPr>
            <w:r w:rsidRPr="00B22BCB">
              <w:rPr>
                <w:rFonts w:ascii="Arial Narrow" w:hAnsi="Arial Narrow"/>
              </w:rPr>
              <w:t>Asciminib</w:t>
            </w:r>
          </w:p>
          <w:p w14:paraId="384C268B" w14:textId="77777777" w:rsidR="000743E0" w:rsidRDefault="000743E0" w:rsidP="00144CAC">
            <w:pPr>
              <w:pStyle w:val="Tableheading0"/>
              <w:rPr>
                <w:rFonts w:ascii="Arial Narrow" w:hAnsi="Arial Narrow"/>
              </w:rPr>
            </w:pPr>
            <w:r w:rsidRPr="00B22BCB">
              <w:rPr>
                <w:rFonts w:ascii="Arial Narrow" w:hAnsi="Arial Narrow"/>
              </w:rPr>
              <w:t>N = 156</w:t>
            </w:r>
          </w:p>
          <w:p w14:paraId="7A752A70" w14:textId="4BD1C627" w:rsidR="00B913C3" w:rsidRPr="00B22BCB" w:rsidRDefault="00B913C3" w:rsidP="00144CAC">
            <w:pPr>
              <w:pStyle w:val="Tableheading0"/>
              <w:rPr>
                <w:rFonts w:ascii="Arial Narrow" w:hAnsi="Arial Narrow"/>
              </w:rPr>
            </w:pPr>
            <w:r>
              <w:rPr>
                <w:rFonts w:ascii="Arial Narrow" w:hAnsi="Arial Narrow"/>
              </w:rPr>
              <w:t>n (%)</w:t>
            </w:r>
          </w:p>
        </w:tc>
        <w:tc>
          <w:tcPr>
            <w:tcW w:w="624" w:type="pct"/>
            <w:tcBorders>
              <w:bottom w:val="single" w:sz="4" w:space="0" w:color="auto"/>
            </w:tcBorders>
            <w:shd w:val="clear" w:color="auto" w:fill="auto"/>
          </w:tcPr>
          <w:p w14:paraId="7BE9F3BC" w14:textId="77777777" w:rsidR="000743E0" w:rsidRPr="00B22BCB" w:rsidRDefault="000743E0" w:rsidP="00144CAC">
            <w:pPr>
              <w:pStyle w:val="Tableheading0"/>
              <w:rPr>
                <w:rFonts w:ascii="Arial Narrow" w:hAnsi="Arial Narrow"/>
              </w:rPr>
            </w:pPr>
            <w:r w:rsidRPr="00B22BCB">
              <w:rPr>
                <w:rFonts w:ascii="Arial Narrow" w:hAnsi="Arial Narrow"/>
              </w:rPr>
              <w:t>Nilotinib</w:t>
            </w:r>
          </w:p>
          <w:p w14:paraId="31794579" w14:textId="77777777" w:rsidR="000743E0" w:rsidRDefault="000743E0" w:rsidP="00144CAC">
            <w:pPr>
              <w:pStyle w:val="Tableheading0"/>
              <w:rPr>
                <w:rFonts w:ascii="Arial Narrow" w:hAnsi="Arial Narrow"/>
              </w:rPr>
            </w:pPr>
            <w:r w:rsidRPr="00B22BCB">
              <w:rPr>
                <w:rFonts w:ascii="Arial Narrow" w:hAnsi="Arial Narrow"/>
              </w:rPr>
              <w:t>N = 1422</w:t>
            </w:r>
          </w:p>
          <w:p w14:paraId="5938669C" w14:textId="146AEF6D" w:rsidR="00B913C3" w:rsidRPr="00B22BCB" w:rsidRDefault="00B913C3" w:rsidP="00144CAC">
            <w:pPr>
              <w:pStyle w:val="Tableheading0"/>
              <w:rPr>
                <w:rFonts w:ascii="Arial Narrow" w:hAnsi="Arial Narrow"/>
              </w:rPr>
            </w:pPr>
            <w:r>
              <w:rPr>
                <w:rFonts w:ascii="Arial Narrow" w:hAnsi="Arial Narrow"/>
              </w:rPr>
              <w:t>n (%)</w:t>
            </w:r>
          </w:p>
        </w:tc>
        <w:tc>
          <w:tcPr>
            <w:tcW w:w="1415" w:type="pct"/>
            <w:tcBorders>
              <w:bottom w:val="single" w:sz="4" w:space="0" w:color="auto"/>
            </w:tcBorders>
            <w:shd w:val="clear" w:color="auto" w:fill="auto"/>
          </w:tcPr>
          <w:p w14:paraId="44628609" w14:textId="77777777" w:rsidR="000675B5" w:rsidRDefault="00BB195B" w:rsidP="000675B5">
            <w:pPr>
              <w:pStyle w:val="Tableheading0"/>
              <w:rPr>
                <w:rFonts w:ascii="Arial Narrow" w:hAnsi="Arial Narrow"/>
              </w:rPr>
            </w:pPr>
            <w:r w:rsidRPr="00B22BCB">
              <w:rPr>
                <w:rFonts w:ascii="Arial Narrow" w:hAnsi="Arial Narrow"/>
              </w:rPr>
              <w:t xml:space="preserve">Unadjusted </w:t>
            </w:r>
            <w:r w:rsidR="000743E0" w:rsidRPr="00B22BCB">
              <w:rPr>
                <w:rFonts w:ascii="Arial Narrow" w:hAnsi="Arial Narrow"/>
              </w:rPr>
              <w:t xml:space="preserve">RR </w:t>
            </w:r>
          </w:p>
          <w:p w14:paraId="487E5228" w14:textId="74F05E67" w:rsidR="000743E0" w:rsidRDefault="000743E0" w:rsidP="000675B5">
            <w:pPr>
              <w:pStyle w:val="Tableheading0"/>
              <w:rPr>
                <w:rFonts w:ascii="Arial Narrow" w:hAnsi="Arial Narrow"/>
              </w:rPr>
            </w:pPr>
            <w:r w:rsidRPr="00B22BCB">
              <w:rPr>
                <w:rFonts w:ascii="Arial Narrow" w:hAnsi="Arial Narrow"/>
              </w:rPr>
              <w:t>(95% CI)</w:t>
            </w:r>
            <w:r w:rsidR="00817300" w:rsidRPr="00B22BCB">
              <w:rPr>
                <w:rFonts w:ascii="Arial Narrow" w:hAnsi="Arial Narrow"/>
                <w:vertAlign w:val="superscript"/>
              </w:rPr>
              <w:t>a</w:t>
            </w:r>
          </w:p>
          <w:p w14:paraId="63C55D7D" w14:textId="4876FE84" w:rsidR="000675B5" w:rsidRPr="000675B5" w:rsidRDefault="000675B5" w:rsidP="00144CAC">
            <w:pPr>
              <w:pStyle w:val="Tableheading0"/>
              <w:rPr>
                <w:rFonts w:ascii="Arial Narrow" w:hAnsi="Arial Narrow"/>
              </w:rPr>
            </w:pPr>
            <w:r>
              <w:rPr>
                <w:rFonts w:ascii="Arial Narrow" w:hAnsi="Arial Narrow"/>
              </w:rPr>
              <w:t>p-value</w:t>
            </w:r>
          </w:p>
        </w:tc>
        <w:tc>
          <w:tcPr>
            <w:tcW w:w="1465" w:type="pct"/>
            <w:tcBorders>
              <w:bottom w:val="single" w:sz="4" w:space="0" w:color="auto"/>
            </w:tcBorders>
            <w:shd w:val="clear" w:color="auto" w:fill="auto"/>
          </w:tcPr>
          <w:p w14:paraId="73204053" w14:textId="77777777" w:rsidR="000675B5" w:rsidRDefault="00BB195B" w:rsidP="00144CAC">
            <w:pPr>
              <w:pStyle w:val="Tableheading0"/>
              <w:rPr>
                <w:rFonts w:ascii="Arial Narrow" w:hAnsi="Arial Narrow"/>
              </w:rPr>
            </w:pPr>
            <w:r w:rsidRPr="00B22BCB">
              <w:rPr>
                <w:rFonts w:ascii="Arial Narrow" w:hAnsi="Arial Narrow"/>
              </w:rPr>
              <w:t xml:space="preserve">Unadjusted </w:t>
            </w:r>
            <w:r w:rsidR="000743E0" w:rsidRPr="00B22BCB">
              <w:rPr>
                <w:rFonts w:ascii="Arial Narrow" w:hAnsi="Arial Narrow"/>
              </w:rPr>
              <w:t xml:space="preserve">RD </w:t>
            </w:r>
          </w:p>
          <w:p w14:paraId="2B00C209" w14:textId="77777777" w:rsidR="000743E0" w:rsidRDefault="000743E0" w:rsidP="00144CAC">
            <w:pPr>
              <w:pStyle w:val="Tableheading0"/>
              <w:rPr>
                <w:rFonts w:ascii="Arial Narrow" w:hAnsi="Arial Narrow"/>
              </w:rPr>
            </w:pPr>
            <w:r w:rsidRPr="00B22BCB">
              <w:rPr>
                <w:rFonts w:ascii="Arial Narrow" w:hAnsi="Arial Narrow"/>
              </w:rPr>
              <w:t>(95% CI)</w:t>
            </w:r>
            <w:r w:rsidR="00817300" w:rsidRPr="00B22BCB">
              <w:rPr>
                <w:rFonts w:ascii="Arial Narrow" w:hAnsi="Arial Narrow"/>
                <w:vertAlign w:val="superscript"/>
              </w:rPr>
              <w:t>a</w:t>
            </w:r>
          </w:p>
          <w:p w14:paraId="25A0770D" w14:textId="6A464444" w:rsidR="000675B5" w:rsidRPr="000675B5" w:rsidRDefault="000675B5" w:rsidP="00144CAC">
            <w:pPr>
              <w:pStyle w:val="Tableheading0"/>
              <w:rPr>
                <w:rFonts w:ascii="Arial Narrow" w:hAnsi="Arial Narrow"/>
              </w:rPr>
            </w:pPr>
            <w:r>
              <w:rPr>
                <w:rFonts w:ascii="Arial Narrow" w:hAnsi="Arial Narrow"/>
              </w:rPr>
              <w:t>p-value</w:t>
            </w:r>
          </w:p>
        </w:tc>
      </w:tr>
      <w:tr w:rsidR="00B913C3" w:rsidRPr="00B22BCB" w14:paraId="5DBE8E68" w14:textId="77777777" w:rsidTr="00B913C3">
        <w:tc>
          <w:tcPr>
            <w:tcW w:w="941" w:type="pct"/>
            <w:tcBorders>
              <w:bottom w:val="nil"/>
            </w:tcBorders>
          </w:tcPr>
          <w:p w14:paraId="6D1EB6EE" w14:textId="77777777" w:rsidR="000743E0" w:rsidRPr="00B22BCB" w:rsidRDefault="000743E0" w:rsidP="00144CAC">
            <w:pPr>
              <w:pStyle w:val="Tabletext"/>
              <w:keepNext/>
              <w:rPr>
                <w:szCs w:val="20"/>
              </w:rPr>
            </w:pPr>
            <w:r w:rsidRPr="00B22BCB">
              <w:rPr>
                <w:szCs w:val="20"/>
              </w:rPr>
              <w:t>AEs</w:t>
            </w:r>
          </w:p>
        </w:tc>
        <w:tc>
          <w:tcPr>
            <w:tcW w:w="555" w:type="pct"/>
            <w:tcBorders>
              <w:bottom w:val="nil"/>
            </w:tcBorders>
          </w:tcPr>
          <w:p w14:paraId="4E5CC5F7" w14:textId="77777777" w:rsidR="000743E0" w:rsidRPr="00B22BCB" w:rsidRDefault="000743E0" w:rsidP="00144CAC">
            <w:pPr>
              <w:pStyle w:val="Tablecentre"/>
              <w:rPr>
                <w:rFonts w:ascii="Arial Narrow" w:hAnsi="Arial Narrow"/>
              </w:rPr>
            </w:pPr>
            <w:r w:rsidRPr="00B22BCB">
              <w:rPr>
                <w:rFonts w:ascii="Arial Narrow" w:hAnsi="Arial Narrow"/>
              </w:rPr>
              <w:t>140 (89.7)</w:t>
            </w:r>
          </w:p>
        </w:tc>
        <w:tc>
          <w:tcPr>
            <w:tcW w:w="624" w:type="pct"/>
            <w:tcBorders>
              <w:bottom w:val="nil"/>
            </w:tcBorders>
          </w:tcPr>
          <w:p w14:paraId="58237829" w14:textId="77777777" w:rsidR="000743E0" w:rsidRPr="00B22BCB" w:rsidRDefault="000743E0" w:rsidP="00144CAC">
            <w:pPr>
              <w:pStyle w:val="Tablecentre"/>
              <w:rPr>
                <w:rFonts w:ascii="Arial Narrow" w:hAnsi="Arial Narrow"/>
              </w:rPr>
            </w:pPr>
            <w:r w:rsidRPr="00B22BCB">
              <w:rPr>
                <w:rFonts w:ascii="Arial Narrow" w:hAnsi="Arial Narrow"/>
              </w:rPr>
              <w:t>1372 (96.5)</w:t>
            </w:r>
          </w:p>
        </w:tc>
        <w:tc>
          <w:tcPr>
            <w:tcW w:w="1415" w:type="pct"/>
            <w:tcBorders>
              <w:bottom w:val="nil"/>
            </w:tcBorders>
          </w:tcPr>
          <w:p w14:paraId="63C59828" w14:textId="0A160260" w:rsidR="000743E0" w:rsidRPr="00B22BCB" w:rsidRDefault="000743E0" w:rsidP="00B913C3">
            <w:pPr>
              <w:pStyle w:val="Tablecentre"/>
              <w:rPr>
                <w:rFonts w:ascii="Arial Narrow" w:hAnsi="Arial Narrow"/>
                <w:b/>
                <w:bCs/>
              </w:rPr>
            </w:pPr>
            <w:r w:rsidRPr="00B22BCB">
              <w:rPr>
                <w:rFonts w:ascii="Arial Narrow" w:hAnsi="Arial Narrow"/>
                <w:b/>
                <w:bCs/>
              </w:rPr>
              <w:t>0.93 (0.88, 0.98); p = 0.009</w:t>
            </w:r>
          </w:p>
        </w:tc>
        <w:tc>
          <w:tcPr>
            <w:tcW w:w="1465" w:type="pct"/>
            <w:tcBorders>
              <w:bottom w:val="nil"/>
            </w:tcBorders>
          </w:tcPr>
          <w:p w14:paraId="2E6B1983" w14:textId="786A6655" w:rsidR="000743E0" w:rsidRPr="00B22BCB" w:rsidRDefault="000743E0" w:rsidP="00B913C3">
            <w:pPr>
              <w:pStyle w:val="Tablecentre"/>
              <w:rPr>
                <w:rFonts w:ascii="Arial Narrow" w:hAnsi="Arial Narrow"/>
                <w:b/>
                <w:bCs/>
              </w:rPr>
            </w:pPr>
            <w:r w:rsidRPr="00B22BCB">
              <w:rPr>
                <w:rFonts w:ascii="Arial Narrow" w:hAnsi="Arial Narrow"/>
                <w:b/>
                <w:bCs/>
              </w:rPr>
              <w:t>-0.07 (-0.12, -0.02); p = 0.007</w:t>
            </w:r>
          </w:p>
        </w:tc>
      </w:tr>
      <w:tr w:rsidR="00B913C3" w:rsidRPr="00B22BCB" w14:paraId="6556DF39" w14:textId="77777777" w:rsidTr="00B913C3">
        <w:tc>
          <w:tcPr>
            <w:tcW w:w="941" w:type="pct"/>
            <w:tcBorders>
              <w:top w:val="nil"/>
              <w:bottom w:val="nil"/>
            </w:tcBorders>
          </w:tcPr>
          <w:p w14:paraId="726A011F" w14:textId="77777777" w:rsidR="000743E0" w:rsidRPr="00B22BCB" w:rsidRDefault="000743E0" w:rsidP="00B913C3">
            <w:pPr>
              <w:pStyle w:val="Tab1table"/>
              <w:keepNext/>
              <w:ind w:left="171"/>
              <w:rPr>
                <w:rFonts w:ascii="Arial Narrow" w:hAnsi="Arial Narrow"/>
              </w:rPr>
            </w:pPr>
            <w:r w:rsidRPr="00B22BCB">
              <w:rPr>
                <w:rFonts w:ascii="Arial Narrow" w:hAnsi="Arial Narrow"/>
              </w:rPr>
              <w:t>Treatment-related</w:t>
            </w:r>
          </w:p>
        </w:tc>
        <w:tc>
          <w:tcPr>
            <w:tcW w:w="555" w:type="pct"/>
            <w:tcBorders>
              <w:top w:val="nil"/>
              <w:bottom w:val="nil"/>
            </w:tcBorders>
          </w:tcPr>
          <w:p w14:paraId="67B9FE31" w14:textId="77777777" w:rsidR="000743E0" w:rsidRPr="00B22BCB" w:rsidRDefault="000743E0" w:rsidP="00144CAC">
            <w:pPr>
              <w:pStyle w:val="Tablecentre"/>
              <w:rPr>
                <w:rFonts w:ascii="Arial Narrow" w:hAnsi="Arial Narrow"/>
              </w:rPr>
            </w:pPr>
            <w:r w:rsidRPr="00B22BCB">
              <w:rPr>
                <w:rFonts w:ascii="Arial Narrow" w:hAnsi="Arial Narrow"/>
              </w:rPr>
              <w:t>99 (63.5)</w:t>
            </w:r>
          </w:p>
        </w:tc>
        <w:tc>
          <w:tcPr>
            <w:tcW w:w="624" w:type="pct"/>
            <w:tcBorders>
              <w:top w:val="nil"/>
              <w:bottom w:val="nil"/>
            </w:tcBorders>
          </w:tcPr>
          <w:p w14:paraId="6559886C" w14:textId="77777777" w:rsidR="000743E0" w:rsidRPr="00B22BCB" w:rsidRDefault="000743E0" w:rsidP="00144CAC">
            <w:pPr>
              <w:pStyle w:val="Tablecentre"/>
              <w:rPr>
                <w:rFonts w:ascii="Arial Narrow" w:hAnsi="Arial Narrow"/>
              </w:rPr>
            </w:pPr>
            <w:r w:rsidRPr="00B22BCB">
              <w:rPr>
                <w:rFonts w:ascii="Arial Narrow" w:hAnsi="Arial Narrow"/>
              </w:rPr>
              <w:t>1249 (87.8)</w:t>
            </w:r>
          </w:p>
        </w:tc>
        <w:tc>
          <w:tcPr>
            <w:tcW w:w="1415" w:type="pct"/>
            <w:tcBorders>
              <w:top w:val="nil"/>
              <w:bottom w:val="nil"/>
            </w:tcBorders>
          </w:tcPr>
          <w:p w14:paraId="36D38348" w14:textId="0965D8E5" w:rsidR="000743E0" w:rsidRPr="00B22BCB" w:rsidRDefault="000743E0" w:rsidP="00B913C3">
            <w:pPr>
              <w:pStyle w:val="Tablecentre"/>
              <w:rPr>
                <w:rFonts w:ascii="Arial Narrow" w:hAnsi="Arial Narrow"/>
                <w:b/>
                <w:bCs/>
              </w:rPr>
            </w:pPr>
            <w:r w:rsidRPr="00B22BCB">
              <w:rPr>
                <w:rFonts w:ascii="Arial Narrow" w:hAnsi="Arial Narrow"/>
                <w:b/>
                <w:bCs/>
              </w:rPr>
              <w:t>0.72 (0.64, 0.82); p &lt; 0.0001</w:t>
            </w:r>
          </w:p>
        </w:tc>
        <w:tc>
          <w:tcPr>
            <w:tcW w:w="1465" w:type="pct"/>
            <w:tcBorders>
              <w:top w:val="nil"/>
              <w:bottom w:val="nil"/>
            </w:tcBorders>
          </w:tcPr>
          <w:p w14:paraId="6B603825" w14:textId="70D3622E" w:rsidR="000743E0" w:rsidRPr="00B22BCB" w:rsidRDefault="000743E0" w:rsidP="00B913C3">
            <w:pPr>
              <w:pStyle w:val="Tablecentre"/>
              <w:rPr>
                <w:rFonts w:ascii="Arial Narrow" w:hAnsi="Arial Narrow"/>
                <w:b/>
                <w:bCs/>
              </w:rPr>
            </w:pPr>
            <w:r w:rsidRPr="00B22BCB">
              <w:rPr>
                <w:rFonts w:ascii="Arial Narrow" w:hAnsi="Arial Narrow"/>
                <w:b/>
                <w:bCs/>
              </w:rPr>
              <w:t>-0.24 (-0.32, -0.17); p &lt; 0.0001</w:t>
            </w:r>
          </w:p>
        </w:tc>
      </w:tr>
      <w:tr w:rsidR="00B913C3" w:rsidRPr="00B22BCB" w14:paraId="0D360A40" w14:textId="77777777" w:rsidTr="00B913C3">
        <w:tc>
          <w:tcPr>
            <w:tcW w:w="941" w:type="pct"/>
            <w:tcBorders>
              <w:top w:val="nil"/>
              <w:bottom w:val="nil"/>
            </w:tcBorders>
          </w:tcPr>
          <w:p w14:paraId="50BE6A3E" w14:textId="77777777" w:rsidR="000743E0" w:rsidRPr="00B22BCB" w:rsidRDefault="000743E0" w:rsidP="00144CAC">
            <w:pPr>
              <w:pStyle w:val="Tabletext"/>
              <w:keepNext/>
              <w:rPr>
                <w:szCs w:val="20"/>
              </w:rPr>
            </w:pPr>
            <w:r w:rsidRPr="00B22BCB">
              <w:rPr>
                <w:szCs w:val="20"/>
              </w:rPr>
              <w:t>Grade 3 or 4 AEs</w:t>
            </w:r>
          </w:p>
        </w:tc>
        <w:tc>
          <w:tcPr>
            <w:tcW w:w="555" w:type="pct"/>
            <w:tcBorders>
              <w:top w:val="nil"/>
              <w:bottom w:val="nil"/>
            </w:tcBorders>
          </w:tcPr>
          <w:p w14:paraId="33FEB2E0" w14:textId="77777777" w:rsidR="000743E0" w:rsidRPr="00B22BCB" w:rsidRDefault="000743E0" w:rsidP="00144CAC">
            <w:pPr>
              <w:pStyle w:val="Tablecentre"/>
              <w:rPr>
                <w:rFonts w:ascii="Arial Narrow" w:hAnsi="Arial Narrow"/>
              </w:rPr>
            </w:pPr>
            <w:r w:rsidRPr="00B22BCB">
              <w:rPr>
                <w:rFonts w:ascii="Arial Narrow" w:hAnsi="Arial Narrow"/>
              </w:rPr>
              <w:t>79 (50.6)</w:t>
            </w:r>
          </w:p>
        </w:tc>
        <w:tc>
          <w:tcPr>
            <w:tcW w:w="624" w:type="pct"/>
            <w:tcBorders>
              <w:top w:val="nil"/>
              <w:bottom w:val="nil"/>
            </w:tcBorders>
          </w:tcPr>
          <w:p w14:paraId="4D2119DC" w14:textId="77777777" w:rsidR="000743E0" w:rsidRPr="00B22BCB" w:rsidRDefault="000743E0" w:rsidP="00144CAC">
            <w:pPr>
              <w:pStyle w:val="Tablecentre"/>
              <w:rPr>
                <w:rFonts w:ascii="Arial Narrow" w:hAnsi="Arial Narrow"/>
              </w:rPr>
            </w:pPr>
            <w:r w:rsidRPr="00B22BCB">
              <w:rPr>
                <w:rFonts w:ascii="Arial Narrow" w:hAnsi="Arial Narrow"/>
              </w:rPr>
              <w:t>872 (61.3)</w:t>
            </w:r>
          </w:p>
        </w:tc>
        <w:tc>
          <w:tcPr>
            <w:tcW w:w="1415" w:type="pct"/>
            <w:tcBorders>
              <w:top w:val="nil"/>
              <w:bottom w:val="nil"/>
            </w:tcBorders>
          </w:tcPr>
          <w:p w14:paraId="09E9E8A3" w14:textId="233E8FA0" w:rsidR="000743E0" w:rsidRPr="00B22BCB" w:rsidRDefault="000743E0" w:rsidP="00B913C3">
            <w:pPr>
              <w:pStyle w:val="Tablecentre"/>
              <w:rPr>
                <w:rFonts w:ascii="Arial Narrow" w:hAnsi="Arial Narrow"/>
                <w:b/>
                <w:bCs/>
              </w:rPr>
            </w:pPr>
            <w:r w:rsidRPr="00B22BCB">
              <w:rPr>
                <w:rFonts w:ascii="Arial Narrow" w:hAnsi="Arial Narrow"/>
                <w:b/>
                <w:bCs/>
              </w:rPr>
              <w:t>0.83 (0.70, 0.97); p = 0.02</w:t>
            </w:r>
          </w:p>
        </w:tc>
        <w:tc>
          <w:tcPr>
            <w:tcW w:w="1465" w:type="pct"/>
            <w:tcBorders>
              <w:top w:val="nil"/>
              <w:bottom w:val="nil"/>
            </w:tcBorders>
          </w:tcPr>
          <w:p w14:paraId="6D8E7547" w14:textId="7CD775E9" w:rsidR="000743E0" w:rsidRPr="00B22BCB" w:rsidRDefault="000743E0" w:rsidP="00B913C3">
            <w:pPr>
              <w:pStyle w:val="Tablecentre"/>
              <w:rPr>
                <w:rFonts w:ascii="Arial Narrow" w:hAnsi="Arial Narrow"/>
                <w:b/>
                <w:bCs/>
              </w:rPr>
            </w:pPr>
            <w:r w:rsidRPr="00B22BCB">
              <w:rPr>
                <w:rFonts w:ascii="Arial Narrow" w:hAnsi="Arial Narrow"/>
                <w:b/>
                <w:bCs/>
              </w:rPr>
              <w:t>-0.11 (-0.19, -0.02); p = 0.01</w:t>
            </w:r>
          </w:p>
        </w:tc>
      </w:tr>
      <w:tr w:rsidR="00B913C3" w:rsidRPr="00B22BCB" w14:paraId="42626E1E" w14:textId="77777777" w:rsidTr="00B913C3">
        <w:tc>
          <w:tcPr>
            <w:tcW w:w="941" w:type="pct"/>
            <w:tcBorders>
              <w:top w:val="nil"/>
              <w:bottom w:val="nil"/>
            </w:tcBorders>
          </w:tcPr>
          <w:p w14:paraId="6D33EAA0" w14:textId="77777777" w:rsidR="000743E0" w:rsidRPr="00B22BCB" w:rsidRDefault="000743E0" w:rsidP="00B913C3">
            <w:pPr>
              <w:pStyle w:val="Tab1table"/>
              <w:keepNext/>
              <w:ind w:hanging="112"/>
              <w:rPr>
                <w:rFonts w:ascii="Arial Narrow" w:hAnsi="Arial Narrow"/>
              </w:rPr>
            </w:pPr>
            <w:r w:rsidRPr="00B22BCB">
              <w:rPr>
                <w:rFonts w:ascii="Arial Narrow" w:hAnsi="Arial Narrow"/>
              </w:rPr>
              <w:t>Treatment-related</w:t>
            </w:r>
          </w:p>
        </w:tc>
        <w:tc>
          <w:tcPr>
            <w:tcW w:w="555" w:type="pct"/>
            <w:tcBorders>
              <w:top w:val="nil"/>
              <w:bottom w:val="nil"/>
            </w:tcBorders>
          </w:tcPr>
          <w:p w14:paraId="7BBCF0DC" w14:textId="77777777" w:rsidR="000743E0" w:rsidRPr="00B22BCB" w:rsidRDefault="000743E0" w:rsidP="00144CAC">
            <w:pPr>
              <w:pStyle w:val="Tablecentre"/>
              <w:rPr>
                <w:rFonts w:ascii="Arial Narrow" w:hAnsi="Arial Narrow"/>
              </w:rPr>
            </w:pPr>
            <w:r w:rsidRPr="00B22BCB">
              <w:rPr>
                <w:rFonts w:ascii="Arial Narrow" w:hAnsi="Arial Narrow"/>
              </w:rPr>
              <w:t>46 (29.5)</w:t>
            </w:r>
          </w:p>
        </w:tc>
        <w:tc>
          <w:tcPr>
            <w:tcW w:w="624" w:type="pct"/>
            <w:tcBorders>
              <w:top w:val="nil"/>
              <w:bottom w:val="nil"/>
            </w:tcBorders>
          </w:tcPr>
          <w:p w14:paraId="1A712820" w14:textId="77777777" w:rsidR="000743E0" w:rsidRPr="00B22BCB" w:rsidRDefault="000743E0" w:rsidP="00144CAC">
            <w:pPr>
              <w:pStyle w:val="Tablecentre"/>
              <w:rPr>
                <w:rFonts w:ascii="Arial Narrow" w:hAnsi="Arial Narrow"/>
              </w:rPr>
            </w:pPr>
            <w:r w:rsidRPr="00B22BCB">
              <w:rPr>
                <w:rFonts w:ascii="Arial Narrow" w:hAnsi="Arial Narrow"/>
              </w:rPr>
              <w:t>720 (50.6)</w:t>
            </w:r>
          </w:p>
        </w:tc>
        <w:tc>
          <w:tcPr>
            <w:tcW w:w="1415" w:type="pct"/>
            <w:tcBorders>
              <w:top w:val="nil"/>
              <w:bottom w:val="nil"/>
            </w:tcBorders>
          </w:tcPr>
          <w:p w14:paraId="021D2560" w14:textId="3218BD13" w:rsidR="000743E0" w:rsidRPr="00B22BCB" w:rsidRDefault="000743E0" w:rsidP="00B913C3">
            <w:pPr>
              <w:pStyle w:val="Tablecentre"/>
              <w:rPr>
                <w:rFonts w:ascii="Arial Narrow" w:hAnsi="Arial Narrow"/>
                <w:b/>
                <w:bCs/>
              </w:rPr>
            </w:pPr>
            <w:r w:rsidRPr="00B22BCB">
              <w:rPr>
                <w:rFonts w:ascii="Arial Narrow" w:hAnsi="Arial Narrow"/>
                <w:b/>
                <w:bCs/>
              </w:rPr>
              <w:t>0.58 (0.45, 0.75); p &lt; 0.0001</w:t>
            </w:r>
          </w:p>
        </w:tc>
        <w:tc>
          <w:tcPr>
            <w:tcW w:w="1465" w:type="pct"/>
            <w:tcBorders>
              <w:top w:val="nil"/>
              <w:bottom w:val="nil"/>
            </w:tcBorders>
          </w:tcPr>
          <w:p w14:paraId="332F8DDF" w14:textId="160FF284" w:rsidR="000743E0" w:rsidRPr="00B22BCB" w:rsidRDefault="000743E0" w:rsidP="00B913C3">
            <w:pPr>
              <w:pStyle w:val="Tablecentre"/>
              <w:rPr>
                <w:rFonts w:ascii="Arial Narrow" w:hAnsi="Arial Narrow"/>
                <w:b/>
                <w:bCs/>
              </w:rPr>
            </w:pPr>
            <w:r w:rsidRPr="00B22BCB">
              <w:rPr>
                <w:rFonts w:ascii="Arial Narrow" w:hAnsi="Arial Narrow"/>
                <w:b/>
                <w:bCs/>
              </w:rPr>
              <w:t>-0.21 (-0.29, -0.14);</w:t>
            </w:r>
            <w:r w:rsidR="00B913C3">
              <w:rPr>
                <w:rFonts w:ascii="Arial Narrow" w:hAnsi="Arial Narrow"/>
                <w:b/>
                <w:bCs/>
              </w:rPr>
              <w:t xml:space="preserve"> </w:t>
            </w:r>
            <w:r w:rsidRPr="00B22BCB">
              <w:rPr>
                <w:rFonts w:ascii="Arial Narrow" w:hAnsi="Arial Narrow"/>
                <w:b/>
                <w:bCs/>
              </w:rPr>
              <w:t>p &lt; 0.0001</w:t>
            </w:r>
          </w:p>
        </w:tc>
      </w:tr>
      <w:tr w:rsidR="00B913C3" w:rsidRPr="00B22BCB" w14:paraId="23910E61" w14:textId="77777777" w:rsidTr="00B913C3">
        <w:tc>
          <w:tcPr>
            <w:tcW w:w="941" w:type="pct"/>
            <w:tcBorders>
              <w:top w:val="nil"/>
              <w:bottom w:val="single" w:sz="4" w:space="0" w:color="auto"/>
            </w:tcBorders>
          </w:tcPr>
          <w:p w14:paraId="55275807" w14:textId="77777777" w:rsidR="000743E0" w:rsidRPr="00B22BCB" w:rsidRDefault="000743E0" w:rsidP="00144CAC">
            <w:pPr>
              <w:pStyle w:val="Tabletext"/>
              <w:keepNext/>
              <w:rPr>
                <w:szCs w:val="20"/>
              </w:rPr>
            </w:pPr>
            <w:r w:rsidRPr="00B22BCB">
              <w:rPr>
                <w:szCs w:val="20"/>
              </w:rPr>
              <w:t>AEs leading to discontinuation</w:t>
            </w:r>
          </w:p>
        </w:tc>
        <w:tc>
          <w:tcPr>
            <w:tcW w:w="555" w:type="pct"/>
            <w:tcBorders>
              <w:top w:val="nil"/>
              <w:bottom w:val="single" w:sz="4" w:space="0" w:color="auto"/>
            </w:tcBorders>
          </w:tcPr>
          <w:p w14:paraId="6168EA4B" w14:textId="77777777" w:rsidR="000743E0" w:rsidRPr="00B22BCB" w:rsidRDefault="000743E0" w:rsidP="00144CAC">
            <w:pPr>
              <w:pStyle w:val="Tablecentre"/>
              <w:rPr>
                <w:rFonts w:ascii="Arial Narrow" w:hAnsi="Arial Narrow"/>
              </w:rPr>
            </w:pPr>
            <w:r w:rsidRPr="00B22BCB">
              <w:rPr>
                <w:rFonts w:ascii="Arial Narrow" w:hAnsi="Arial Narrow"/>
              </w:rPr>
              <w:t>7 (4.5)</w:t>
            </w:r>
          </w:p>
        </w:tc>
        <w:tc>
          <w:tcPr>
            <w:tcW w:w="624" w:type="pct"/>
            <w:tcBorders>
              <w:top w:val="nil"/>
              <w:bottom w:val="single" w:sz="4" w:space="0" w:color="auto"/>
            </w:tcBorders>
          </w:tcPr>
          <w:p w14:paraId="10F132B7" w14:textId="77777777" w:rsidR="000743E0" w:rsidRPr="00B22BCB" w:rsidRDefault="000743E0" w:rsidP="00144CAC">
            <w:pPr>
              <w:pStyle w:val="Tablecentre"/>
              <w:rPr>
                <w:rFonts w:ascii="Arial Narrow" w:hAnsi="Arial Narrow"/>
              </w:rPr>
            </w:pPr>
            <w:r w:rsidRPr="00B22BCB">
              <w:rPr>
                <w:rFonts w:ascii="Arial Narrow" w:hAnsi="Arial Narrow"/>
              </w:rPr>
              <w:t>256 (18.0)</w:t>
            </w:r>
          </w:p>
        </w:tc>
        <w:tc>
          <w:tcPr>
            <w:tcW w:w="1415" w:type="pct"/>
            <w:tcBorders>
              <w:top w:val="nil"/>
              <w:bottom w:val="single" w:sz="4" w:space="0" w:color="auto"/>
            </w:tcBorders>
          </w:tcPr>
          <w:p w14:paraId="10334670" w14:textId="7A1A5478" w:rsidR="000743E0" w:rsidRPr="00B22BCB" w:rsidRDefault="000743E0" w:rsidP="00B913C3">
            <w:pPr>
              <w:pStyle w:val="Tablecentre"/>
              <w:rPr>
                <w:rFonts w:ascii="Arial Narrow" w:hAnsi="Arial Narrow"/>
                <w:b/>
                <w:bCs/>
              </w:rPr>
            </w:pPr>
            <w:r w:rsidRPr="00B22BCB">
              <w:rPr>
                <w:rFonts w:ascii="Arial Narrow" w:hAnsi="Arial Narrow"/>
                <w:b/>
                <w:bCs/>
              </w:rPr>
              <w:t>0.25 (0.12, 0.52); p = 0.0002</w:t>
            </w:r>
          </w:p>
        </w:tc>
        <w:tc>
          <w:tcPr>
            <w:tcW w:w="1465" w:type="pct"/>
            <w:tcBorders>
              <w:top w:val="nil"/>
              <w:bottom w:val="single" w:sz="4" w:space="0" w:color="auto"/>
            </w:tcBorders>
          </w:tcPr>
          <w:p w14:paraId="1A21F3C2" w14:textId="5F27863D" w:rsidR="000743E0" w:rsidRPr="00B22BCB" w:rsidRDefault="000743E0" w:rsidP="00B913C3">
            <w:pPr>
              <w:pStyle w:val="Tablecentre"/>
              <w:rPr>
                <w:rFonts w:ascii="Arial Narrow" w:hAnsi="Arial Narrow"/>
                <w:b/>
                <w:bCs/>
              </w:rPr>
            </w:pPr>
            <w:r w:rsidRPr="00B22BCB">
              <w:rPr>
                <w:rFonts w:ascii="Arial Narrow" w:hAnsi="Arial Narrow"/>
                <w:b/>
                <w:bCs/>
              </w:rPr>
              <w:t>-0.14 (-0.17, -0.10); p &lt; 0.0001</w:t>
            </w:r>
          </w:p>
        </w:tc>
      </w:tr>
      <w:tr w:rsidR="00B913C3" w:rsidRPr="00B22BCB" w14:paraId="2BB42555" w14:textId="77777777" w:rsidTr="00B913C3">
        <w:tc>
          <w:tcPr>
            <w:tcW w:w="941" w:type="pct"/>
            <w:tcBorders>
              <w:top w:val="single" w:sz="4" w:space="0" w:color="auto"/>
              <w:bottom w:val="nil"/>
            </w:tcBorders>
          </w:tcPr>
          <w:p w14:paraId="08EF6F8A" w14:textId="5F545AD0" w:rsidR="000743E0" w:rsidRPr="00B22BCB" w:rsidRDefault="000743E0" w:rsidP="00144CAC">
            <w:pPr>
              <w:pStyle w:val="Btable"/>
              <w:rPr>
                <w:rFonts w:ascii="Arial Narrow" w:hAnsi="Arial Narrow"/>
              </w:rPr>
            </w:pPr>
            <w:r w:rsidRPr="00B22BCB">
              <w:rPr>
                <w:rFonts w:ascii="Arial Narrow" w:hAnsi="Arial Narrow"/>
              </w:rPr>
              <w:t>Treatment-related Grade ≥3</w:t>
            </w:r>
          </w:p>
        </w:tc>
        <w:tc>
          <w:tcPr>
            <w:tcW w:w="555" w:type="pct"/>
            <w:tcBorders>
              <w:top w:val="single" w:sz="4" w:space="0" w:color="auto"/>
              <w:bottom w:val="nil"/>
            </w:tcBorders>
          </w:tcPr>
          <w:p w14:paraId="6496C3E4" w14:textId="77777777" w:rsidR="000743E0" w:rsidRPr="00B22BCB" w:rsidRDefault="000743E0" w:rsidP="00144CAC">
            <w:pPr>
              <w:pStyle w:val="Btable"/>
              <w:rPr>
                <w:rFonts w:ascii="Arial Narrow" w:hAnsi="Arial Narrow"/>
              </w:rPr>
            </w:pPr>
          </w:p>
        </w:tc>
        <w:tc>
          <w:tcPr>
            <w:tcW w:w="624" w:type="pct"/>
            <w:tcBorders>
              <w:top w:val="single" w:sz="4" w:space="0" w:color="auto"/>
              <w:bottom w:val="nil"/>
            </w:tcBorders>
          </w:tcPr>
          <w:p w14:paraId="06E5FBF7" w14:textId="77777777" w:rsidR="000743E0" w:rsidRPr="00B22BCB" w:rsidRDefault="000743E0" w:rsidP="00144CAC">
            <w:pPr>
              <w:pStyle w:val="Btable"/>
              <w:rPr>
                <w:rFonts w:ascii="Arial Narrow" w:hAnsi="Arial Narrow"/>
              </w:rPr>
            </w:pPr>
          </w:p>
        </w:tc>
        <w:tc>
          <w:tcPr>
            <w:tcW w:w="1415" w:type="pct"/>
            <w:tcBorders>
              <w:top w:val="single" w:sz="4" w:space="0" w:color="auto"/>
              <w:bottom w:val="nil"/>
            </w:tcBorders>
          </w:tcPr>
          <w:p w14:paraId="3FFFE90E" w14:textId="77777777" w:rsidR="000743E0" w:rsidRPr="00B22BCB" w:rsidRDefault="000743E0" w:rsidP="00144CAC">
            <w:pPr>
              <w:pStyle w:val="Tablecentre"/>
              <w:rPr>
                <w:rFonts w:ascii="Arial Narrow" w:hAnsi="Arial Narrow"/>
              </w:rPr>
            </w:pPr>
          </w:p>
        </w:tc>
        <w:tc>
          <w:tcPr>
            <w:tcW w:w="1465" w:type="pct"/>
            <w:tcBorders>
              <w:top w:val="single" w:sz="4" w:space="0" w:color="auto"/>
              <w:bottom w:val="nil"/>
            </w:tcBorders>
          </w:tcPr>
          <w:p w14:paraId="579C8C03" w14:textId="77777777" w:rsidR="000743E0" w:rsidRPr="00B22BCB" w:rsidRDefault="000743E0" w:rsidP="00144CAC">
            <w:pPr>
              <w:pStyle w:val="Tablecentre"/>
              <w:rPr>
                <w:rFonts w:ascii="Arial Narrow" w:hAnsi="Arial Narrow"/>
              </w:rPr>
            </w:pPr>
          </w:p>
        </w:tc>
      </w:tr>
      <w:tr w:rsidR="00B913C3" w:rsidRPr="00B22BCB" w14:paraId="296E603A" w14:textId="77777777" w:rsidTr="00B913C3">
        <w:tc>
          <w:tcPr>
            <w:tcW w:w="941" w:type="pct"/>
            <w:tcBorders>
              <w:top w:val="nil"/>
              <w:bottom w:val="nil"/>
            </w:tcBorders>
          </w:tcPr>
          <w:p w14:paraId="39090A57" w14:textId="77777777" w:rsidR="000743E0" w:rsidRPr="00B22BCB" w:rsidRDefault="000743E0" w:rsidP="00144CAC">
            <w:pPr>
              <w:pStyle w:val="Tabletext"/>
              <w:keepNext/>
              <w:rPr>
                <w:szCs w:val="20"/>
              </w:rPr>
            </w:pPr>
            <w:r w:rsidRPr="00B22BCB">
              <w:rPr>
                <w:szCs w:val="20"/>
              </w:rPr>
              <w:t>Thrombocytopenia</w:t>
            </w:r>
          </w:p>
        </w:tc>
        <w:tc>
          <w:tcPr>
            <w:tcW w:w="555" w:type="pct"/>
            <w:tcBorders>
              <w:top w:val="nil"/>
              <w:bottom w:val="nil"/>
            </w:tcBorders>
          </w:tcPr>
          <w:p w14:paraId="2ADE8AFE" w14:textId="77777777" w:rsidR="000743E0" w:rsidRPr="00B22BCB" w:rsidRDefault="000743E0" w:rsidP="00144CAC">
            <w:pPr>
              <w:pStyle w:val="Tablecentre"/>
              <w:rPr>
                <w:rFonts w:ascii="Arial Narrow" w:hAnsi="Arial Narrow"/>
              </w:rPr>
            </w:pPr>
            <w:r w:rsidRPr="00B22BCB" w:rsidDel="00F4423B">
              <w:rPr>
                <w:rFonts w:ascii="Arial Narrow" w:hAnsi="Arial Narrow"/>
              </w:rPr>
              <w:t>24 (15.4)</w:t>
            </w:r>
          </w:p>
        </w:tc>
        <w:tc>
          <w:tcPr>
            <w:tcW w:w="624" w:type="pct"/>
            <w:tcBorders>
              <w:top w:val="nil"/>
              <w:bottom w:val="nil"/>
            </w:tcBorders>
          </w:tcPr>
          <w:p w14:paraId="3686EE84" w14:textId="77777777" w:rsidR="000743E0" w:rsidRPr="00B22BCB" w:rsidRDefault="000743E0" w:rsidP="00144CAC">
            <w:pPr>
              <w:pStyle w:val="Tablecentre"/>
              <w:rPr>
                <w:rFonts w:ascii="Arial Narrow" w:hAnsi="Arial Narrow"/>
              </w:rPr>
            </w:pPr>
            <w:r w:rsidRPr="00B22BCB">
              <w:rPr>
                <w:rFonts w:ascii="Arial Narrow" w:hAnsi="Arial Narrow"/>
              </w:rPr>
              <w:t>285 (20.0)</w:t>
            </w:r>
          </w:p>
        </w:tc>
        <w:tc>
          <w:tcPr>
            <w:tcW w:w="1415" w:type="pct"/>
            <w:tcBorders>
              <w:top w:val="nil"/>
              <w:bottom w:val="nil"/>
            </w:tcBorders>
          </w:tcPr>
          <w:p w14:paraId="7179194A" w14:textId="77777777" w:rsidR="000743E0" w:rsidRPr="00B22BCB" w:rsidRDefault="000743E0" w:rsidP="00144CAC">
            <w:pPr>
              <w:pStyle w:val="Tablecentre"/>
              <w:rPr>
                <w:rFonts w:ascii="Arial Narrow" w:hAnsi="Arial Narrow"/>
              </w:rPr>
            </w:pPr>
            <w:r w:rsidRPr="00B22BCB">
              <w:rPr>
                <w:rFonts w:ascii="Arial Narrow" w:hAnsi="Arial Narrow"/>
              </w:rPr>
              <w:t>0.77 (0.52, 1.13); p = 0.18</w:t>
            </w:r>
          </w:p>
        </w:tc>
        <w:tc>
          <w:tcPr>
            <w:tcW w:w="1465" w:type="pct"/>
            <w:tcBorders>
              <w:top w:val="nil"/>
              <w:bottom w:val="nil"/>
            </w:tcBorders>
          </w:tcPr>
          <w:p w14:paraId="4DCC15D5" w14:textId="77777777" w:rsidR="000743E0" w:rsidRPr="00B22BCB" w:rsidRDefault="000743E0" w:rsidP="00144CAC">
            <w:pPr>
              <w:pStyle w:val="Tablecentre"/>
              <w:rPr>
                <w:rFonts w:ascii="Arial Narrow" w:hAnsi="Arial Narrow"/>
              </w:rPr>
            </w:pPr>
            <w:r w:rsidRPr="00B22BCB">
              <w:rPr>
                <w:rFonts w:ascii="Arial Narrow" w:hAnsi="Arial Narrow"/>
              </w:rPr>
              <w:t>-0.05 (-0.11, 0.01); p = 0.13</w:t>
            </w:r>
          </w:p>
        </w:tc>
      </w:tr>
      <w:tr w:rsidR="00B913C3" w:rsidRPr="00B22BCB" w14:paraId="2F447782" w14:textId="77777777" w:rsidTr="00B913C3">
        <w:tc>
          <w:tcPr>
            <w:tcW w:w="941" w:type="pct"/>
            <w:tcBorders>
              <w:top w:val="nil"/>
              <w:bottom w:val="nil"/>
            </w:tcBorders>
          </w:tcPr>
          <w:p w14:paraId="0A6E4E5E" w14:textId="77777777" w:rsidR="000743E0" w:rsidRPr="00B22BCB" w:rsidRDefault="000743E0" w:rsidP="00144CAC">
            <w:pPr>
              <w:pStyle w:val="Tabletext"/>
              <w:keepNext/>
              <w:rPr>
                <w:szCs w:val="20"/>
              </w:rPr>
            </w:pPr>
            <w:r w:rsidRPr="00B22BCB">
              <w:rPr>
                <w:szCs w:val="20"/>
              </w:rPr>
              <w:t>Neutropenia</w:t>
            </w:r>
          </w:p>
        </w:tc>
        <w:tc>
          <w:tcPr>
            <w:tcW w:w="555" w:type="pct"/>
            <w:tcBorders>
              <w:top w:val="nil"/>
              <w:bottom w:val="nil"/>
            </w:tcBorders>
          </w:tcPr>
          <w:p w14:paraId="44C10F97" w14:textId="77777777" w:rsidR="000743E0" w:rsidRPr="00B22BCB" w:rsidRDefault="000743E0" w:rsidP="00144CAC">
            <w:pPr>
              <w:pStyle w:val="Tablecentre"/>
              <w:rPr>
                <w:rFonts w:ascii="Arial Narrow" w:hAnsi="Arial Narrow"/>
              </w:rPr>
            </w:pPr>
            <w:r w:rsidRPr="00B22BCB">
              <w:rPr>
                <w:rFonts w:ascii="Arial Narrow" w:hAnsi="Arial Narrow"/>
              </w:rPr>
              <w:t>20 (12.8)</w:t>
            </w:r>
          </w:p>
        </w:tc>
        <w:tc>
          <w:tcPr>
            <w:tcW w:w="624" w:type="pct"/>
            <w:tcBorders>
              <w:top w:val="nil"/>
              <w:bottom w:val="nil"/>
            </w:tcBorders>
          </w:tcPr>
          <w:p w14:paraId="3D7FEA79" w14:textId="77777777" w:rsidR="000743E0" w:rsidRPr="00B22BCB" w:rsidRDefault="000743E0" w:rsidP="00144CAC">
            <w:pPr>
              <w:pStyle w:val="Tablecentre"/>
              <w:rPr>
                <w:rFonts w:ascii="Arial Narrow" w:hAnsi="Arial Narrow"/>
              </w:rPr>
            </w:pPr>
            <w:r w:rsidRPr="00B22BCB">
              <w:rPr>
                <w:rFonts w:ascii="Arial Narrow" w:hAnsi="Arial Narrow"/>
              </w:rPr>
              <w:t>188 (13.2)</w:t>
            </w:r>
          </w:p>
        </w:tc>
        <w:tc>
          <w:tcPr>
            <w:tcW w:w="1415" w:type="pct"/>
            <w:tcBorders>
              <w:top w:val="nil"/>
              <w:bottom w:val="nil"/>
            </w:tcBorders>
          </w:tcPr>
          <w:p w14:paraId="6F52FCE5" w14:textId="77777777" w:rsidR="000743E0" w:rsidRPr="00B22BCB" w:rsidDel="00EF3F28" w:rsidRDefault="000743E0" w:rsidP="00144CAC">
            <w:pPr>
              <w:pStyle w:val="Tablecentre"/>
              <w:rPr>
                <w:rFonts w:ascii="Arial Narrow" w:hAnsi="Arial Narrow"/>
              </w:rPr>
            </w:pPr>
            <w:r w:rsidRPr="00B22BCB">
              <w:rPr>
                <w:rFonts w:ascii="Arial Narrow" w:hAnsi="Arial Narrow"/>
              </w:rPr>
              <w:t>0.97 (0.63, 1.49); p = 0.89</w:t>
            </w:r>
          </w:p>
        </w:tc>
        <w:tc>
          <w:tcPr>
            <w:tcW w:w="1465" w:type="pct"/>
            <w:tcBorders>
              <w:top w:val="nil"/>
              <w:bottom w:val="nil"/>
            </w:tcBorders>
          </w:tcPr>
          <w:p w14:paraId="5DBCCE55" w14:textId="77777777" w:rsidR="000743E0" w:rsidRPr="00B22BCB" w:rsidDel="00EF3F28" w:rsidRDefault="000743E0" w:rsidP="00144CAC">
            <w:pPr>
              <w:pStyle w:val="Tablecentre"/>
              <w:rPr>
                <w:rFonts w:ascii="Arial Narrow" w:hAnsi="Arial Narrow"/>
              </w:rPr>
            </w:pPr>
            <w:r w:rsidRPr="00B22BCB">
              <w:rPr>
                <w:rFonts w:ascii="Arial Narrow" w:hAnsi="Arial Narrow"/>
              </w:rPr>
              <w:t>-0.00 (-0.06, 0.05); p = 0.89</w:t>
            </w:r>
          </w:p>
        </w:tc>
      </w:tr>
      <w:tr w:rsidR="00B913C3" w:rsidRPr="00B22BCB" w14:paraId="3C678CA9" w14:textId="77777777" w:rsidTr="00B913C3">
        <w:tc>
          <w:tcPr>
            <w:tcW w:w="941" w:type="pct"/>
            <w:tcBorders>
              <w:top w:val="nil"/>
              <w:bottom w:val="nil"/>
            </w:tcBorders>
          </w:tcPr>
          <w:p w14:paraId="70A98DE4" w14:textId="77777777" w:rsidR="000743E0" w:rsidRPr="00B22BCB" w:rsidRDefault="000743E0" w:rsidP="00144CAC">
            <w:pPr>
              <w:pStyle w:val="Tabletext"/>
              <w:keepNext/>
              <w:rPr>
                <w:szCs w:val="20"/>
              </w:rPr>
            </w:pPr>
            <w:r w:rsidRPr="00B22BCB">
              <w:rPr>
                <w:szCs w:val="20"/>
              </w:rPr>
              <w:t>Headache</w:t>
            </w:r>
          </w:p>
        </w:tc>
        <w:tc>
          <w:tcPr>
            <w:tcW w:w="555" w:type="pct"/>
            <w:tcBorders>
              <w:top w:val="nil"/>
              <w:bottom w:val="nil"/>
            </w:tcBorders>
          </w:tcPr>
          <w:p w14:paraId="33B55199" w14:textId="77777777" w:rsidR="000743E0" w:rsidRPr="00B22BCB" w:rsidRDefault="000743E0" w:rsidP="00144CAC">
            <w:pPr>
              <w:pStyle w:val="Tablecentre"/>
              <w:rPr>
                <w:rFonts w:ascii="Arial Narrow" w:hAnsi="Arial Narrow"/>
              </w:rPr>
            </w:pPr>
            <w:r w:rsidRPr="00B22BCB">
              <w:rPr>
                <w:rFonts w:ascii="Arial Narrow" w:hAnsi="Arial Narrow"/>
              </w:rPr>
              <w:t>1 (0.6)</w:t>
            </w:r>
          </w:p>
        </w:tc>
        <w:tc>
          <w:tcPr>
            <w:tcW w:w="624" w:type="pct"/>
            <w:tcBorders>
              <w:top w:val="nil"/>
              <w:bottom w:val="nil"/>
            </w:tcBorders>
          </w:tcPr>
          <w:p w14:paraId="4E083877" w14:textId="77777777" w:rsidR="000743E0" w:rsidRPr="00B22BCB" w:rsidRDefault="000743E0" w:rsidP="00144CAC">
            <w:pPr>
              <w:pStyle w:val="Tablecentre"/>
              <w:rPr>
                <w:rFonts w:ascii="Arial Narrow" w:hAnsi="Arial Narrow"/>
              </w:rPr>
            </w:pPr>
            <w:r w:rsidRPr="00B22BCB">
              <w:rPr>
                <w:rFonts w:ascii="Arial Narrow" w:hAnsi="Arial Narrow"/>
              </w:rPr>
              <w:t xml:space="preserve">27 (1.9) </w:t>
            </w:r>
          </w:p>
        </w:tc>
        <w:tc>
          <w:tcPr>
            <w:tcW w:w="1415" w:type="pct"/>
            <w:tcBorders>
              <w:top w:val="nil"/>
              <w:bottom w:val="nil"/>
            </w:tcBorders>
          </w:tcPr>
          <w:p w14:paraId="2C6B1DED" w14:textId="77777777" w:rsidR="000743E0" w:rsidRPr="00B22BCB" w:rsidDel="00EF3F28" w:rsidRDefault="000743E0" w:rsidP="00144CAC">
            <w:pPr>
              <w:pStyle w:val="Tablecentre"/>
              <w:rPr>
                <w:rFonts w:ascii="Arial Narrow" w:hAnsi="Arial Narrow"/>
              </w:rPr>
            </w:pPr>
            <w:r w:rsidRPr="00B22BCB">
              <w:rPr>
                <w:rFonts w:ascii="Arial Narrow" w:hAnsi="Arial Narrow"/>
              </w:rPr>
              <w:t>0.34 (0.05, 2.47); p = 0.28</w:t>
            </w:r>
          </w:p>
        </w:tc>
        <w:tc>
          <w:tcPr>
            <w:tcW w:w="1465" w:type="pct"/>
            <w:tcBorders>
              <w:top w:val="nil"/>
              <w:bottom w:val="nil"/>
            </w:tcBorders>
          </w:tcPr>
          <w:p w14:paraId="2467C7C5" w14:textId="77777777" w:rsidR="000743E0" w:rsidRPr="00B22BCB" w:rsidDel="00EF3F28" w:rsidRDefault="000743E0" w:rsidP="00144CAC">
            <w:pPr>
              <w:pStyle w:val="Tablecentre"/>
              <w:rPr>
                <w:rFonts w:ascii="Arial Narrow" w:hAnsi="Arial Narrow"/>
              </w:rPr>
            </w:pPr>
            <w:r w:rsidRPr="00B22BCB">
              <w:rPr>
                <w:rFonts w:ascii="Arial Narrow" w:hAnsi="Arial Narrow"/>
              </w:rPr>
              <w:t>-0.01 (-0.03, 0.00); p = 0.09</w:t>
            </w:r>
          </w:p>
        </w:tc>
      </w:tr>
      <w:tr w:rsidR="00B913C3" w:rsidRPr="00B22BCB" w14:paraId="438798F9" w14:textId="77777777" w:rsidTr="00B913C3">
        <w:tc>
          <w:tcPr>
            <w:tcW w:w="941" w:type="pct"/>
            <w:tcBorders>
              <w:top w:val="nil"/>
              <w:bottom w:val="nil"/>
            </w:tcBorders>
          </w:tcPr>
          <w:p w14:paraId="6B8BFCCB" w14:textId="77777777" w:rsidR="000743E0" w:rsidRPr="00B22BCB" w:rsidRDefault="000743E0" w:rsidP="00144CAC">
            <w:pPr>
              <w:pStyle w:val="Tabletext"/>
              <w:keepNext/>
              <w:rPr>
                <w:szCs w:val="20"/>
              </w:rPr>
            </w:pPr>
            <w:r w:rsidRPr="00B22BCB">
              <w:rPr>
                <w:szCs w:val="20"/>
              </w:rPr>
              <w:t>Anaemia</w:t>
            </w:r>
          </w:p>
        </w:tc>
        <w:tc>
          <w:tcPr>
            <w:tcW w:w="555" w:type="pct"/>
            <w:tcBorders>
              <w:top w:val="nil"/>
              <w:bottom w:val="nil"/>
            </w:tcBorders>
          </w:tcPr>
          <w:p w14:paraId="746DE9EF" w14:textId="77777777" w:rsidR="000743E0" w:rsidRPr="00B22BCB" w:rsidRDefault="000743E0" w:rsidP="00144CAC">
            <w:pPr>
              <w:pStyle w:val="Tablecentre"/>
              <w:rPr>
                <w:rFonts w:ascii="Arial Narrow" w:hAnsi="Arial Narrow"/>
              </w:rPr>
            </w:pPr>
            <w:r w:rsidRPr="00B22BCB">
              <w:rPr>
                <w:rFonts w:ascii="Arial Narrow" w:hAnsi="Arial Narrow"/>
              </w:rPr>
              <w:t>1 (0.6)</w:t>
            </w:r>
          </w:p>
        </w:tc>
        <w:tc>
          <w:tcPr>
            <w:tcW w:w="624" w:type="pct"/>
            <w:tcBorders>
              <w:top w:val="nil"/>
              <w:bottom w:val="nil"/>
            </w:tcBorders>
          </w:tcPr>
          <w:p w14:paraId="37B46F22" w14:textId="77777777" w:rsidR="000743E0" w:rsidRPr="00B22BCB" w:rsidRDefault="000743E0" w:rsidP="00144CAC">
            <w:pPr>
              <w:pStyle w:val="Tablecentre"/>
              <w:rPr>
                <w:rFonts w:ascii="Arial Narrow" w:hAnsi="Arial Narrow"/>
              </w:rPr>
            </w:pPr>
            <w:r w:rsidRPr="00B22BCB">
              <w:rPr>
                <w:rFonts w:ascii="Arial Narrow" w:hAnsi="Arial Narrow"/>
              </w:rPr>
              <w:t xml:space="preserve">44 (3.1) </w:t>
            </w:r>
          </w:p>
        </w:tc>
        <w:tc>
          <w:tcPr>
            <w:tcW w:w="1415" w:type="pct"/>
            <w:tcBorders>
              <w:top w:val="nil"/>
              <w:bottom w:val="nil"/>
            </w:tcBorders>
          </w:tcPr>
          <w:p w14:paraId="20184831" w14:textId="77777777" w:rsidR="000743E0" w:rsidRPr="00B22BCB" w:rsidDel="00EF3F28" w:rsidRDefault="000743E0" w:rsidP="00144CAC">
            <w:pPr>
              <w:pStyle w:val="Tablecentre"/>
              <w:rPr>
                <w:rFonts w:ascii="Arial Narrow" w:hAnsi="Arial Narrow"/>
              </w:rPr>
            </w:pPr>
            <w:r w:rsidRPr="00B22BCB">
              <w:rPr>
                <w:rFonts w:ascii="Arial Narrow" w:hAnsi="Arial Narrow"/>
              </w:rPr>
              <w:t>0.21 (0.03, 1.49); p = 0.12</w:t>
            </w:r>
          </w:p>
        </w:tc>
        <w:tc>
          <w:tcPr>
            <w:tcW w:w="1465" w:type="pct"/>
            <w:tcBorders>
              <w:top w:val="nil"/>
              <w:bottom w:val="nil"/>
            </w:tcBorders>
          </w:tcPr>
          <w:p w14:paraId="5E96354C" w14:textId="77777777" w:rsidR="000743E0" w:rsidRPr="00B22BCB" w:rsidDel="00EF3F28" w:rsidRDefault="000743E0" w:rsidP="00144CAC">
            <w:pPr>
              <w:pStyle w:val="Tablecentre"/>
              <w:rPr>
                <w:rFonts w:ascii="Arial Narrow" w:hAnsi="Arial Narrow"/>
              </w:rPr>
            </w:pPr>
            <w:r w:rsidRPr="00B22BCB">
              <w:rPr>
                <w:rFonts w:ascii="Arial Narrow" w:hAnsi="Arial Narrow"/>
              </w:rPr>
              <w:t>-</w:t>
            </w:r>
            <w:r w:rsidRPr="00B22BCB">
              <w:rPr>
                <w:rFonts w:ascii="Arial Narrow" w:hAnsi="Arial Narrow"/>
                <w:b/>
              </w:rPr>
              <w:t>0.02 (-0.04, -0.01); p = 0.002</w:t>
            </w:r>
          </w:p>
        </w:tc>
      </w:tr>
      <w:tr w:rsidR="00B913C3" w:rsidRPr="00B22BCB" w14:paraId="3FC95BEF" w14:textId="77777777" w:rsidTr="00B913C3">
        <w:tc>
          <w:tcPr>
            <w:tcW w:w="941" w:type="pct"/>
            <w:tcBorders>
              <w:top w:val="nil"/>
              <w:bottom w:val="single" w:sz="4" w:space="0" w:color="auto"/>
            </w:tcBorders>
          </w:tcPr>
          <w:p w14:paraId="440465AB" w14:textId="77777777" w:rsidR="000743E0" w:rsidRPr="00B22BCB" w:rsidRDefault="000743E0" w:rsidP="00144CAC">
            <w:pPr>
              <w:pStyle w:val="Tabletext"/>
              <w:keepNext/>
              <w:rPr>
                <w:szCs w:val="20"/>
              </w:rPr>
            </w:pPr>
            <w:r w:rsidRPr="00B22BCB">
              <w:rPr>
                <w:szCs w:val="20"/>
              </w:rPr>
              <w:t>ALT increased</w:t>
            </w:r>
          </w:p>
        </w:tc>
        <w:tc>
          <w:tcPr>
            <w:tcW w:w="555" w:type="pct"/>
            <w:tcBorders>
              <w:top w:val="nil"/>
              <w:bottom w:val="single" w:sz="4" w:space="0" w:color="auto"/>
            </w:tcBorders>
          </w:tcPr>
          <w:p w14:paraId="77BD2975" w14:textId="77777777" w:rsidR="000743E0" w:rsidRPr="00B22BCB" w:rsidRDefault="000743E0" w:rsidP="00144CAC">
            <w:pPr>
              <w:pStyle w:val="Tablecentre"/>
              <w:rPr>
                <w:rFonts w:ascii="Arial Narrow" w:hAnsi="Arial Narrow"/>
              </w:rPr>
            </w:pPr>
            <w:r w:rsidRPr="00B22BCB">
              <w:rPr>
                <w:rFonts w:ascii="Arial Narrow" w:hAnsi="Arial Narrow"/>
              </w:rPr>
              <w:t>0</w:t>
            </w:r>
          </w:p>
        </w:tc>
        <w:tc>
          <w:tcPr>
            <w:tcW w:w="624" w:type="pct"/>
            <w:tcBorders>
              <w:top w:val="nil"/>
              <w:bottom w:val="single" w:sz="4" w:space="0" w:color="auto"/>
            </w:tcBorders>
          </w:tcPr>
          <w:p w14:paraId="2EEC73A0" w14:textId="77777777" w:rsidR="000743E0" w:rsidRPr="00B22BCB" w:rsidRDefault="000743E0" w:rsidP="00144CAC">
            <w:pPr>
              <w:pStyle w:val="Tablecentre"/>
              <w:rPr>
                <w:rFonts w:ascii="Arial Narrow" w:hAnsi="Arial Narrow"/>
              </w:rPr>
            </w:pPr>
            <w:r w:rsidRPr="00B22BCB">
              <w:rPr>
                <w:rFonts w:ascii="Arial Narrow" w:hAnsi="Arial Narrow"/>
              </w:rPr>
              <w:t>30 (2.1)</w:t>
            </w:r>
          </w:p>
        </w:tc>
        <w:tc>
          <w:tcPr>
            <w:tcW w:w="1415" w:type="pct"/>
            <w:tcBorders>
              <w:top w:val="nil"/>
              <w:bottom w:val="single" w:sz="4" w:space="0" w:color="auto"/>
            </w:tcBorders>
          </w:tcPr>
          <w:p w14:paraId="401CA05C" w14:textId="77777777" w:rsidR="000743E0" w:rsidRPr="00B22BCB" w:rsidDel="00EF3F28" w:rsidRDefault="000743E0" w:rsidP="00144CAC">
            <w:pPr>
              <w:pStyle w:val="Tablecentre"/>
              <w:rPr>
                <w:rFonts w:ascii="Arial Narrow" w:hAnsi="Arial Narrow"/>
              </w:rPr>
            </w:pPr>
            <w:r w:rsidRPr="00B22BCB">
              <w:rPr>
                <w:rFonts w:ascii="Arial Narrow" w:hAnsi="Arial Narrow"/>
              </w:rPr>
              <w:t>0.15 (0.01, 2.42); p = 0.18</w:t>
            </w:r>
          </w:p>
        </w:tc>
        <w:tc>
          <w:tcPr>
            <w:tcW w:w="1465" w:type="pct"/>
            <w:tcBorders>
              <w:top w:val="nil"/>
              <w:bottom w:val="single" w:sz="4" w:space="0" w:color="auto"/>
            </w:tcBorders>
          </w:tcPr>
          <w:p w14:paraId="2540BE18" w14:textId="77777777" w:rsidR="000743E0" w:rsidRPr="00B22BCB" w:rsidDel="00EF3F28" w:rsidRDefault="000743E0" w:rsidP="00144CAC">
            <w:pPr>
              <w:pStyle w:val="Tablecentre"/>
              <w:rPr>
                <w:rFonts w:ascii="Arial Narrow" w:hAnsi="Arial Narrow"/>
                <w:b/>
              </w:rPr>
            </w:pPr>
            <w:r w:rsidRPr="00B22BCB">
              <w:rPr>
                <w:rFonts w:ascii="Arial Narrow" w:hAnsi="Arial Narrow"/>
                <w:b/>
              </w:rPr>
              <w:t>-0.02 (-0.03, -0.01); p = 0.0004</w:t>
            </w:r>
          </w:p>
        </w:tc>
      </w:tr>
    </w:tbl>
    <w:p w14:paraId="2AD8C906" w14:textId="77777777" w:rsidR="000743E0" w:rsidRPr="00B913C3" w:rsidRDefault="000743E0" w:rsidP="000743E0">
      <w:pPr>
        <w:pStyle w:val="Tablefooter0"/>
        <w:rPr>
          <w:rFonts w:ascii="Arial Narrow" w:hAnsi="Arial Narrow"/>
        </w:rPr>
      </w:pPr>
      <w:r w:rsidRPr="00B913C3">
        <w:rPr>
          <w:rFonts w:ascii="Arial Narrow" w:hAnsi="Arial Narrow"/>
        </w:rPr>
        <w:t>Source: Table 2.6-8, p 97 of the submission.</w:t>
      </w:r>
    </w:p>
    <w:p w14:paraId="59A4C5EB" w14:textId="1F2DFA22" w:rsidR="000743E0" w:rsidRPr="00B913C3" w:rsidRDefault="000743E0" w:rsidP="000743E0">
      <w:pPr>
        <w:pStyle w:val="Tablefooter0"/>
        <w:rPr>
          <w:rFonts w:ascii="Arial Narrow" w:hAnsi="Arial Narrow"/>
        </w:rPr>
      </w:pPr>
      <w:r w:rsidRPr="00B913C3">
        <w:rPr>
          <w:rFonts w:ascii="Arial Narrow" w:hAnsi="Arial Narrow"/>
        </w:rPr>
        <w:t>AE = adverse event; ALT = alanine aminotransferase; CI = confidence interval; RD = risk difference; RR = relative risk</w:t>
      </w:r>
    </w:p>
    <w:p w14:paraId="2149A0F0" w14:textId="2D15222E" w:rsidR="000743E0" w:rsidRPr="00B913C3" w:rsidRDefault="00817300" w:rsidP="000743E0">
      <w:pPr>
        <w:pStyle w:val="Tablefooter0"/>
        <w:rPr>
          <w:rFonts w:ascii="Arial Narrow" w:hAnsi="Arial Narrow"/>
        </w:rPr>
      </w:pPr>
      <w:r w:rsidRPr="00B913C3">
        <w:rPr>
          <w:rFonts w:ascii="Arial Narrow" w:hAnsi="Arial Narrow"/>
          <w:vertAlign w:val="superscript"/>
        </w:rPr>
        <w:t>a</w:t>
      </w:r>
      <w:r w:rsidR="000743E0" w:rsidRPr="00B913C3">
        <w:rPr>
          <w:rFonts w:ascii="Arial Narrow" w:hAnsi="Arial Narrow"/>
        </w:rPr>
        <w:t xml:space="preserve"> Calculated using RevMan v5.3 </w:t>
      </w:r>
      <w:r w:rsidR="00B222C2" w:rsidRPr="00B913C3">
        <w:rPr>
          <w:rFonts w:ascii="Arial Narrow" w:hAnsi="Arial Narrow"/>
        </w:rPr>
        <w:t>by the submission</w:t>
      </w:r>
    </w:p>
    <w:p w14:paraId="44D6E3C3" w14:textId="415BEF74" w:rsidR="007C238C" w:rsidRDefault="000743E0" w:rsidP="00333BD0">
      <w:pPr>
        <w:pStyle w:val="Tablefooter0"/>
        <w:keepNext/>
        <w:rPr>
          <w:rFonts w:ascii="Arial Narrow" w:hAnsi="Arial Narrow"/>
        </w:rPr>
      </w:pPr>
      <w:r w:rsidRPr="00B913C3">
        <w:rPr>
          <w:rFonts w:ascii="Arial Narrow" w:hAnsi="Arial Narrow"/>
          <w:b/>
        </w:rPr>
        <w:t>Bold</w:t>
      </w:r>
      <w:r w:rsidRPr="00B913C3">
        <w:rPr>
          <w:rFonts w:ascii="Arial Narrow" w:hAnsi="Arial Narrow"/>
        </w:rPr>
        <w:t xml:space="preserve"> indicates statistically significant differences.</w:t>
      </w:r>
    </w:p>
    <w:p w14:paraId="7EFDF9D9" w14:textId="77777777" w:rsidR="00333BD0" w:rsidRPr="00333BD0" w:rsidRDefault="00333BD0" w:rsidP="00333BD0">
      <w:pPr>
        <w:pStyle w:val="Tablefooter0"/>
        <w:keepNext/>
        <w:rPr>
          <w:rFonts w:ascii="Arial Narrow" w:hAnsi="Arial Narrow"/>
        </w:rPr>
      </w:pPr>
    </w:p>
    <w:p w14:paraId="754806F8" w14:textId="1B50F6B1" w:rsidR="00325A47" w:rsidRPr="002B4570" w:rsidRDefault="00976A51" w:rsidP="00B76BAF">
      <w:pPr>
        <w:pStyle w:val="3-BodyText"/>
      </w:pPr>
      <w:r w:rsidRPr="00B22BCB">
        <w:t xml:space="preserve">The submission also compared </w:t>
      </w:r>
      <w:r w:rsidR="00337BFF" w:rsidRPr="00B22BCB">
        <w:t>asciminib</w:t>
      </w:r>
      <w:r w:rsidRPr="00B22BCB">
        <w:t xml:space="preserve"> treatment-related safety data to </w:t>
      </w:r>
      <w:r w:rsidR="0038675B" w:rsidRPr="0038675B">
        <w:t xml:space="preserve">Giles </w:t>
      </w:r>
      <w:r w:rsidR="0038675B" w:rsidRPr="0038675B">
        <w:rPr>
          <w:i/>
        </w:rPr>
        <w:t>et al.</w:t>
      </w:r>
      <w:r w:rsidRPr="00B22BCB">
        <w:t xml:space="preserve"> (2010)</w:t>
      </w:r>
      <w:r w:rsidR="009F167F" w:rsidRPr="00B22BCB">
        <w:t>, which</w:t>
      </w:r>
      <w:r w:rsidR="00455139" w:rsidRPr="00B22BCB">
        <w:t xml:space="preserve"> was</w:t>
      </w:r>
      <w:r w:rsidR="009F167F" w:rsidRPr="00B22BCB">
        <w:t xml:space="preserve"> a single arm study of 39 patients with CML-CP who had failed 2 prior </w:t>
      </w:r>
      <w:r w:rsidR="009F167F" w:rsidRPr="002B4570">
        <w:t>TKIs</w:t>
      </w:r>
      <w:r w:rsidRPr="002B4570">
        <w:t xml:space="preserve">. ASCEMBL enrolled more fit patients, reflected in the better ECOG PS compared to the </w:t>
      </w:r>
      <w:r w:rsidR="0038675B" w:rsidRPr="002B4570">
        <w:t>Giles et al.</w:t>
      </w:r>
      <w:r w:rsidR="00BB195B" w:rsidRPr="002B4570">
        <w:t xml:space="preserve"> (2010)</w:t>
      </w:r>
      <w:r w:rsidRPr="002B4570">
        <w:t xml:space="preserve"> (ECOG PS = 0 in 80%</w:t>
      </w:r>
      <w:r w:rsidR="00292174" w:rsidRPr="002B4570">
        <w:t xml:space="preserve"> [asciminib]</w:t>
      </w:r>
      <w:r w:rsidRPr="002B4570">
        <w:t xml:space="preserve"> vs 64%</w:t>
      </w:r>
      <w:r w:rsidR="00292174" w:rsidRPr="002B4570">
        <w:t xml:space="preserve"> [nilotinib]</w:t>
      </w:r>
      <w:r w:rsidRPr="002B4570">
        <w:t xml:space="preserve">). The numbers in the nilotinib arm of </w:t>
      </w:r>
      <w:r w:rsidR="0038675B" w:rsidRPr="002B4570">
        <w:t>Giles et al.</w:t>
      </w:r>
      <w:r w:rsidR="002B047F" w:rsidRPr="002B4570">
        <w:t xml:space="preserve"> (2010)</w:t>
      </w:r>
      <w:r w:rsidRPr="002B4570">
        <w:t xml:space="preserve"> were low, making it difficult to conduct a meaningful comparison. Any-grade rash was significantly higher in the nilotinib arm, </w:t>
      </w:r>
      <w:r w:rsidR="005E04FE" w:rsidRPr="002B4570">
        <w:t>as was</w:t>
      </w:r>
      <w:r w:rsidRPr="002B4570">
        <w:t xml:space="preserve"> Grade </w:t>
      </w:r>
      <w:r w:rsidRPr="002B4570">
        <w:rPr>
          <w:rFonts w:cstheme="minorHAnsi"/>
        </w:rPr>
        <w:t>≥</w:t>
      </w:r>
      <w:r w:rsidRPr="002B4570">
        <w:t>3</w:t>
      </w:r>
      <w:r w:rsidR="00DF5E8F">
        <w:t xml:space="preserve"> </w:t>
      </w:r>
      <w:r w:rsidR="00DF5E8F" w:rsidRPr="00DF5E8F">
        <w:t>alanine aminotransferase</w:t>
      </w:r>
      <w:r w:rsidRPr="002B4570">
        <w:t xml:space="preserve"> </w:t>
      </w:r>
      <w:r w:rsidR="00DF5E8F">
        <w:t>(</w:t>
      </w:r>
      <w:r w:rsidRPr="002B4570">
        <w:t>ALT</w:t>
      </w:r>
      <w:r w:rsidR="00DF5E8F">
        <w:t>)</w:t>
      </w:r>
      <w:r w:rsidRPr="002B4570">
        <w:t xml:space="preserve"> increase (0 vs 3</w:t>
      </w:r>
      <w:r w:rsidR="0031789D">
        <w:t>0</w:t>
      </w:r>
      <w:r w:rsidRPr="002B4570">
        <w:t xml:space="preserve"> cases)</w:t>
      </w:r>
      <w:r w:rsidR="008016B6" w:rsidRPr="002B4570">
        <w:t xml:space="preserve">, and </w:t>
      </w:r>
      <w:r w:rsidR="00337BFF" w:rsidRPr="002B4570">
        <w:t>asciminib</w:t>
      </w:r>
      <w:r w:rsidRPr="002B4570">
        <w:t xml:space="preserve"> was associated with numerically fewer </w:t>
      </w:r>
      <w:r w:rsidR="006B6906" w:rsidRPr="002B4570">
        <w:t>treatment-related AEs</w:t>
      </w:r>
      <w:r w:rsidRPr="002B4570">
        <w:t xml:space="preserve"> in all other categories. This comparison was also vulnerable to the bias in classification of ‘treatment</w:t>
      </w:r>
      <w:r w:rsidR="003A6A0C">
        <w:t>-</w:t>
      </w:r>
      <w:r w:rsidRPr="002B4570">
        <w:t xml:space="preserve">related’ </w:t>
      </w:r>
      <w:r w:rsidR="00AA2193">
        <w:t>AEs</w:t>
      </w:r>
      <w:r w:rsidRPr="002B4570">
        <w:t xml:space="preserve"> in the </w:t>
      </w:r>
      <w:r w:rsidR="00337BFF" w:rsidRPr="002B4570">
        <w:t>asciminib</w:t>
      </w:r>
      <w:r w:rsidRPr="002B4570">
        <w:t xml:space="preserve"> arm of ASCEMBL</w:t>
      </w:r>
      <w:r w:rsidR="00372A6D" w:rsidRPr="002B4570">
        <w:t>.</w:t>
      </w:r>
    </w:p>
    <w:p w14:paraId="6A486F04" w14:textId="1F5CD105" w:rsidR="00AA2193" w:rsidRDefault="008B279D" w:rsidP="00AA2193">
      <w:pPr>
        <w:pStyle w:val="3-BodyText"/>
        <w:numPr>
          <w:ilvl w:val="0"/>
          <w:numId w:val="0"/>
        </w:numPr>
      </w:pPr>
      <w:r w:rsidRPr="00857DC0">
        <w:rPr>
          <w:rFonts w:cstheme="minorHAnsi"/>
          <w:b/>
          <w:bCs/>
          <w:i/>
          <w:iCs/>
          <w:u w:val="single"/>
        </w:rPr>
        <w:t xml:space="preserve">Asciminib versus </w:t>
      </w:r>
      <w:r>
        <w:rPr>
          <w:rFonts w:cstheme="minorHAnsi"/>
          <w:b/>
          <w:bCs/>
          <w:i/>
          <w:iCs/>
          <w:u w:val="single"/>
        </w:rPr>
        <w:t>ponatinib</w:t>
      </w:r>
    </w:p>
    <w:p w14:paraId="03428E89" w14:textId="4960D2F2" w:rsidR="008B279D" w:rsidRPr="00082B14" w:rsidRDefault="000D7B8A" w:rsidP="00B76BAF">
      <w:pPr>
        <w:pStyle w:val="3-BodyText"/>
      </w:pPr>
      <w:r w:rsidRPr="002B4570">
        <w:t>The submission used safety data from the primary analys</w:t>
      </w:r>
      <w:r w:rsidR="004C3A0D" w:rsidRPr="002B4570">
        <w:t>e</w:t>
      </w:r>
      <w:r w:rsidRPr="002B4570">
        <w:t xml:space="preserve">s </w:t>
      </w:r>
      <w:r w:rsidR="0075704F" w:rsidRPr="002B4570">
        <w:t>of</w:t>
      </w:r>
      <w:r w:rsidRPr="002B4570">
        <w:t xml:space="preserve"> </w:t>
      </w:r>
      <w:r w:rsidR="000675B5" w:rsidRPr="002B4570">
        <w:t xml:space="preserve">the </w:t>
      </w:r>
      <w:r w:rsidRPr="002B4570">
        <w:t>ASCEMBL and PACE</w:t>
      </w:r>
      <w:r w:rsidR="000675B5" w:rsidRPr="002B4570">
        <w:t xml:space="preserve"> trials</w:t>
      </w:r>
      <w:r w:rsidRPr="002B4570">
        <w:t xml:space="preserve">, which </w:t>
      </w:r>
      <w:r w:rsidR="00E7613A" w:rsidRPr="002B4570">
        <w:t xml:space="preserve">reflected approximately 12 weeks (3 months) more treatment exposure in the ponatinib arm </w:t>
      </w:r>
      <w:r w:rsidRPr="002B4570">
        <w:t>(43.</w:t>
      </w:r>
      <w:r w:rsidR="002A12E0" w:rsidRPr="002B4570">
        <w:t>4</w:t>
      </w:r>
      <w:r w:rsidRPr="002B4570">
        <w:t xml:space="preserve"> </w:t>
      </w:r>
      <w:r w:rsidRPr="008B10EA">
        <w:t>weeks</w:t>
      </w:r>
      <w:r w:rsidR="008B279D" w:rsidRPr="008B10EA">
        <w:t xml:space="preserve"> [asciminib]</w:t>
      </w:r>
      <w:r w:rsidR="008878D5" w:rsidRPr="008B10EA">
        <w:t xml:space="preserve"> vs</w:t>
      </w:r>
      <w:r w:rsidRPr="008B10EA">
        <w:t xml:space="preserve"> 55.5 weeks</w:t>
      </w:r>
      <w:r w:rsidR="008B279D" w:rsidRPr="008B10EA">
        <w:t xml:space="preserve"> [ponatinib]</w:t>
      </w:r>
      <w:r w:rsidRPr="008B10EA">
        <w:t>).</w:t>
      </w:r>
      <w:r w:rsidRPr="002B4570">
        <w:t xml:space="preserve"> This is not reasonable, as the submission used efficacy data from the updated analysis of </w:t>
      </w:r>
      <w:r w:rsidR="000675B5" w:rsidRPr="002B4570">
        <w:t xml:space="preserve">the </w:t>
      </w:r>
      <w:r w:rsidRPr="002B4570">
        <w:t>ASCEMBL</w:t>
      </w:r>
      <w:r w:rsidR="000675B5" w:rsidRPr="002B4570">
        <w:t xml:space="preserve"> trial</w:t>
      </w:r>
      <w:r w:rsidRPr="002B4570">
        <w:t xml:space="preserve"> (median treatment of 67.14 weeks</w:t>
      </w:r>
      <w:r w:rsidR="006D21DD" w:rsidRPr="002B4570">
        <w:t xml:space="preserve"> in the asciminib arm</w:t>
      </w:r>
      <w:r w:rsidRPr="002B4570">
        <w:t xml:space="preserve">). Comparison of safety data should reflect the median treatment duration used to establish non-inferior efficacy, particularly as the submission </w:t>
      </w:r>
      <w:r w:rsidR="0031789D">
        <w:t>characterised</w:t>
      </w:r>
      <w:r w:rsidR="0031789D" w:rsidRPr="002B4570">
        <w:t xml:space="preserve"> </w:t>
      </w:r>
      <w:r w:rsidRPr="002B4570">
        <w:t xml:space="preserve">this </w:t>
      </w:r>
      <w:r w:rsidR="0031789D">
        <w:t>as</w:t>
      </w:r>
      <w:r w:rsidRPr="002B4570">
        <w:t xml:space="preserve"> </w:t>
      </w:r>
      <w:r w:rsidR="00D63208" w:rsidRPr="002B4570">
        <w:t>a</w:t>
      </w:r>
      <w:r w:rsidR="00690EE1" w:rsidRPr="002B4570">
        <w:t>n</w:t>
      </w:r>
      <w:r w:rsidR="00D63208" w:rsidRPr="002B4570">
        <w:t xml:space="preserve"> </w:t>
      </w:r>
      <w:r w:rsidR="000675B5" w:rsidRPr="002B4570">
        <w:t>unadjusted, unanchored</w:t>
      </w:r>
      <w:r w:rsidR="00D63208" w:rsidRPr="002B4570">
        <w:t xml:space="preserve"> </w:t>
      </w:r>
      <w:r w:rsidRPr="002B4570">
        <w:t xml:space="preserve">comparison, </w:t>
      </w:r>
      <w:r w:rsidRPr="00082B14">
        <w:t>yet</w:t>
      </w:r>
      <w:r w:rsidR="009973E2" w:rsidRPr="00082B14">
        <w:t xml:space="preserve"> it </w:t>
      </w:r>
      <w:r w:rsidRPr="00082B14">
        <w:t xml:space="preserve">has </w:t>
      </w:r>
      <w:r w:rsidR="00465074" w:rsidRPr="00082B14">
        <w:t xml:space="preserve">attempted to </w:t>
      </w:r>
      <w:r w:rsidRPr="00082B14">
        <w:t>match treatment durations for the safety comparison.</w:t>
      </w:r>
      <w:r w:rsidR="00294428" w:rsidRPr="00082B14">
        <w:t xml:space="preserve"> </w:t>
      </w:r>
    </w:p>
    <w:p w14:paraId="1C8EB0B0" w14:textId="1E43823D" w:rsidR="00294428" w:rsidRPr="002B4570" w:rsidRDefault="00294428" w:rsidP="00B76BAF">
      <w:pPr>
        <w:pStyle w:val="3-BodyText"/>
      </w:pPr>
      <w:r w:rsidRPr="00082B14">
        <w:t>As discussed above</w:t>
      </w:r>
      <w:r w:rsidR="004B6177" w:rsidRPr="00082B14">
        <w:t xml:space="preserve"> (paragraph </w:t>
      </w:r>
      <w:r w:rsidR="004B6177" w:rsidRPr="00082B14">
        <w:fldChar w:fldCharType="begin"/>
      </w:r>
      <w:r w:rsidR="004B6177" w:rsidRPr="00082B14">
        <w:instrText xml:space="preserve"> REF _Ref110434675 \r \h </w:instrText>
      </w:r>
      <w:r w:rsidR="002F2984" w:rsidRPr="00082B14">
        <w:instrText xml:space="preserve"> \* MERGEFORMAT </w:instrText>
      </w:r>
      <w:r w:rsidR="004B6177" w:rsidRPr="00082B14">
        <w:fldChar w:fldCharType="separate"/>
      </w:r>
      <w:r w:rsidR="00A914F4">
        <w:t>6.13</w:t>
      </w:r>
      <w:r w:rsidR="004B6177" w:rsidRPr="00082B14">
        <w:fldChar w:fldCharType="end"/>
      </w:r>
      <w:r w:rsidR="004B6177" w:rsidRPr="00082B14">
        <w:t>)</w:t>
      </w:r>
      <w:r w:rsidRPr="00082B14">
        <w:t xml:space="preserve">, the </w:t>
      </w:r>
      <w:r w:rsidR="00337BFF" w:rsidRPr="00082B14">
        <w:t>asciminib</w:t>
      </w:r>
      <w:r w:rsidRPr="00082B14">
        <w:t xml:space="preserve"> population were younger, fitter and had less time since initial diagnosis compared</w:t>
      </w:r>
      <w:r w:rsidRPr="002B4570">
        <w:t xml:space="preserve"> to the CML-CP ponatinib patients in PACE, which may bias safety outcomes against ponatinib. This comparison was also vulnerable to the bias in classification of ‘treatment</w:t>
      </w:r>
      <w:r w:rsidR="004B6177">
        <w:t>-</w:t>
      </w:r>
      <w:r w:rsidRPr="002B4570">
        <w:t xml:space="preserve">related’ </w:t>
      </w:r>
      <w:r w:rsidR="00AA2193">
        <w:t>AEs</w:t>
      </w:r>
      <w:r w:rsidRPr="002B4570">
        <w:t xml:space="preserve"> in the </w:t>
      </w:r>
      <w:r w:rsidR="00337BFF" w:rsidRPr="002B4570">
        <w:t>asciminib</w:t>
      </w:r>
      <w:r w:rsidRPr="002B4570">
        <w:t xml:space="preserve"> arm of </w:t>
      </w:r>
      <w:r w:rsidR="000675B5" w:rsidRPr="002B4570">
        <w:t xml:space="preserve">the </w:t>
      </w:r>
      <w:r w:rsidRPr="002B4570">
        <w:t>ASCEMBL</w:t>
      </w:r>
      <w:r w:rsidR="000675B5" w:rsidRPr="002B4570">
        <w:t xml:space="preserve"> trial</w:t>
      </w:r>
      <w:r w:rsidR="00A00CB6" w:rsidRPr="002B4570">
        <w:t>, and the safety data from the ponatinib cohort included 64 patients who had the T315I mutation; these patients were excluded from ASCEMBL.</w:t>
      </w:r>
    </w:p>
    <w:p w14:paraId="563F1A70" w14:textId="2AC9A638" w:rsidR="00D63208" w:rsidRPr="00B22BCB" w:rsidRDefault="00D63208" w:rsidP="00D63208">
      <w:pPr>
        <w:pStyle w:val="TableFigureHeading"/>
      </w:pPr>
      <w:r w:rsidRPr="00B22BCB">
        <w:t xml:space="preserve">Table </w:t>
      </w:r>
      <w:r w:rsidR="00CA52C1">
        <w:fldChar w:fldCharType="begin"/>
      </w:r>
      <w:r w:rsidR="00CA52C1">
        <w:instrText xml:space="preserve"> SEQ Table \* ARABIC </w:instrText>
      </w:r>
      <w:r w:rsidR="00CA52C1">
        <w:fldChar w:fldCharType="separate"/>
      </w:r>
      <w:r w:rsidR="00A914F4">
        <w:rPr>
          <w:noProof/>
        </w:rPr>
        <w:t>13</w:t>
      </w:r>
      <w:r w:rsidR="00CA52C1">
        <w:rPr>
          <w:noProof/>
        </w:rPr>
        <w:fldChar w:fldCharType="end"/>
      </w:r>
      <w:r w:rsidRPr="00B22BCB">
        <w:rPr>
          <w:noProof/>
        </w:rPr>
        <w:t>:</w:t>
      </w:r>
      <w:r w:rsidRPr="00B22BCB">
        <w:t xml:space="preserve"> </w:t>
      </w:r>
      <w:r w:rsidR="00D011DA">
        <w:t>Unadjusted, unanchored</w:t>
      </w:r>
      <w:r w:rsidR="00D011DA" w:rsidRPr="00B22BCB">
        <w:t xml:space="preserve"> </w:t>
      </w:r>
      <w:r w:rsidRPr="00B22BCB">
        <w:t xml:space="preserve">comparison of treatment-related safety outcomes, ASCEMBL </w:t>
      </w:r>
      <w:r w:rsidR="00337BFF" w:rsidRPr="00B22BCB">
        <w:t>asciminib</w:t>
      </w:r>
      <w:r w:rsidRPr="00B22BCB">
        <w:t xml:space="preserve"> and PACE CML-CP safety populations</w:t>
      </w:r>
      <w:r w:rsidR="00ED2343" w:rsidRPr="00B22BCB">
        <w:t xml:space="preserve"> (primary analysis)</w:t>
      </w:r>
    </w:p>
    <w:tbl>
      <w:tblPr>
        <w:tblStyle w:val="TableGrid"/>
        <w:tblW w:w="5000" w:type="pct"/>
        <w:tblLook w:val="04A0" w:firstRow="1" w:lastRow="0" w:firstColumn="1" w:lastColumn="0" w:noHBand="0" w:noVBand="1"/>
      </w:tblPr>
      <w:tblGrid>
        <w:gridCol w:w="2120"/>
        <w:gridCol w:w="1001"/>
        <w:gridCol w:w="985"/>
        <w:gridCol w:w="2411"/>
        <w:gridCol w:w="2500"/>
      </w:tblGrid>
      <w:tr w:rsidR="00D63208" w:rsidRPr="00B22BCB" w14:paraId="01EC99A4" w14:textId="77777777" w:rsidTr="00D011DA">
        <w:trPr>
          <w:tblHeader/>
        </w:trPr>
        <w:tc>
          <w:tcPr>
            <w:tcW w:w="1176" w:type="pct"/>
            <w:tcBorders>
              <w:bottom w:val="single" w:sz="4" w:space="0" w:color="auto"/>
            </w:tcBorders>
            <w:shd w:val="clear" w:color="auto" w:fill="auto"/>
          </w:tcPr>
          <w:p w14:paraId="4DE61E6B" w14:textId="77777777" w:rsidR="00D63208" w:rsidRPr="00B22BCB" w:rsidRDefault="00D63208" w:rsidP="00B76BAF">
            <w:pPr>
              <w:pStyle w:val="Tableheading0"/>
              <w:keepNext w:val="0"/>
              <w:rPr>
                <w:rFonts w:ascii="Arial Narrow" w:hAnsi="Arial Narrow"/>
              </w:rPr>
            </w:pPr>
            <w:r w:rsidRPr="00B22BCB">
              <w:rPr>
                <w:rFonts w:ascii="Arial Narrow" w:hAnsi="Arial Narrow"/>
              </w:rPr>
              <w:t>Safety outcomes, n (%)</w:t>
            </w:r>
          </w:p>
        </w:tc>
        <w:tc>
          <w:tcPr>
            <w:tcW w:w="555" w:type="pct"/>
            <w:tcBorders>
              <w:bottom w:val="single" w:sz="4" w:space="0" w:color="auto"/>
            </w:tcBorders>
            <w:shd w:val="clear" w:color="auto" w:fill="auto"/>
          </w:tcPr>
          <w:p w14:paraId="7F2A0A4B" w14:textId="77777777" w:rsidR="00D63208" w:rsidRDefault="00D63208" w:rsidP="00B76BAF">
            <w:pPr>
              <w:pStyle w:val="Tableheading0"/>
              <w:keepNext w:val="0"/>
              <w:rPr>
                <w:rFonts w:ascii="Arial Narrow" w:hAnsi="Arial Narrow"/>
              </w:rPr>
            </w:pPr>
            <w:r w:rsidRPr="00B22BCB">
              <w:rPr>
                <w:rFonts w:ascii="Arial Narrow" w:hAnsi="Arial Narrow"/>
              </w:rPr>
              <w:t>Asciminib</w:t>
            </w:r>
          </w:p>
          <w:p w14:paraId="385778EF" w14:textId="66820A32" w:rsidR="000675B5" w:rsidRDefault="000675B5" w:rsidP="00B76BAF">
            <w:pPr>
              <w:pStyle w:val="Tableheading0"/>
              <w:keepNext w:val="0"/>
              <w:rPr>
                <w:rFonts w:ascii="Arial Narrow" w:hAnsi="Arial Narrow"/>
              </w:rPr>
            </w:pPr>
            <w:r>
              <w:rPr>
                <w:rFonts w:ascii="Arial Narrow" w:hAnsi="Arial Narrow"/>
              </w:rPr>
              <w:t>N</w:t>
            </w:r>
            <w:r w:rsidR="00D011DA">
              <w:rPr>
                <w:rFonts w:ascii="Arial Narrow" w:hAnsi="Arial Narrow"/>
              </w:rPr>
              <w:t xml:space="preserve"> = 156</w:t>
            </w:r>
          </w:p>
          <w:p w14:paraId="1029BFA6" w14:textId="7BE1D30E" w:rsidR="000675B5" w:rsidRPr="00B22BCB" w:rsidRDefault="000675B5" w:rsidP="00B76BAF">
            <w:pPr>
              <w:pStyle w:val="Tableheading0"/>
              <w:keepNext w:val="0"/>
              <w:rPr>
                <w:rFonts w:ascii="Arial Narrow" w:hAnsi="Arial Narrow"/>
              </w:rPr>
            </w:pPr>
            <w:r>
              <w:rPr>
                <w:rFonts w:ascii="Arial Narrow" w:hAnsi="Arial Narrow"/>
              </w:rPr>
              <w:t>n (%)</w:t>
            </w:r>
          </w:p>
        </w:tc>
        <w:tc>
          <w:tcPr>
            <w:tcW w:w="546" w:type="pct"/>
            <w:tcBorders>
              <w:bottom w:val="single" w:sz="4" w:space="0" w:color="auto"/>
            </w:tcBorders>
            <w:shd w:val="clear" w:color="auto" w:fill="auto"/>
          </w:tcPr>
          <w:p w14:paraId="682299F9" w14:textId="77777777" w:rsidR="00D63208" w:rsidRDefault="00D63208" w:rsidP="00B76BAF">
            <w:pPr>
              <w:pStyle w:val="Tableheading0"/>
              <w:keepNext w:val="0"/>
              <w:rPr>
                <w:rFonts w:ascii="Arial Narrow" w:hAnsi="Arial Narrow"/>
              </w:rPr>
            </w:pPr>
            <w:r w:rsidRPr="00B22BCB">
              <w:rPr>
                <w:rFonts w:ascii="Arial Narrow" w:hAnsi="Arial Narrow"/>
              </w:rPr>
              <w:t>Ponatinib</w:t>
            </w:r>
          </w:p>
          <w:p w14:paraId="1279CF7C" w14:textId="285863DA" w:rsidR="000675B5" w:rsidRDefault="000675B5" w:rsidP="000675B5">
            <w:pPr>
              <w:pStyle w:val="Tableheading0"/>
              <w:keepNext w:val="0"/>
              <w:rPr>
                <w:rFonts w:ascii="Arial Narrow" w:hAnsi="Arial Narrow"/>
              </w:rPr>
            </w:pPr>
            <w:r>
              <w:rPr>
                <w:rFonts w:ascii="Arial Narrow" w:hAnsi="Arial Narrow"/>
              </w:rPr>
              <w:t>N</w:t>
            </w:r>
            <w:r w:rsidR="00D011DA">
              <w:rPr>
                <w:rFonts w:ascii="Arial Narrow" w:hAnsi="Arial Narrow"/>
              </w:rPr>
              <w:t xml:space="preserve"> = 270</w:t>
            </w:r>
          </w:p>
          <w:p w14:paraId="2CA9EF70" w14:textId="66197C58" w:rsidR="000675B5" w:rsidRPr="00B22BCB" w:rsidRDefault="000675B5" w:rsidP="000675B5">
            <w:pPr>
              <w:pStyle w:val="Tableheading0"/>
              <w:keepNext w:val="0"/>
              <w:rPr>
                <w:rFonts w:ascii="Arial Narrow" w:hAnsi="Arial Narrow"/>
              </w:rPr>
            </w:pPr>
            <w:r>
              <w:rPr>
                <w:rFonts w:ascii="Arial Narrow" w:hAnsi="Arial Narrow"/>
              </w:rPr>
              <w:t>n (%)</w:t>
            </w:r>
          </w:p>
        </w:tc>
        <w:tc>
          <w:tcPr>
            <w:tcW w:w="1337" w:type="pct"/>
            <w:tcBorders>
              <w:bottom w:val="single" w:sz="4" w:space="0" w:color="auto"/>
            </w:tcBorders>
            <w:shd w:val="clear" w:color="auto" w:fill="auto"/>
          </w:tcPr>
          <w:p w14:paraId="68CA9856" w14:textId="77777777" w:rsidR="00D63208" w:rsidRDefault="009E765E" w:rsidP="00B76BAF">
            <w:pPr>
              <w:pStyle w:val="Tableheading0"/>
              <w:keepNext w:val="0"/>
              <w:rPr>
                <w:rFonts w:ascii="Arial Narrow" w:hAnsi="Arial Narrow"/>
              </w:rPr>
            </w:pPr>
            <w:r w:rsidRPr="00B22BCB">
              <w:rPr>
                <w:rFonts w:ascii="Arial Narrow" w:hAnsi="Arial Narrow"/>
              </w:rPr>
              <w:t xml:space="preserve">Unadjusted </w:t>
            </w:r>
            <w:r w:rsidR="00D63208" w:rsidRPr="00B22BCB">
              <w:rPr>
                <w:rFonts w:ascii="Arial Narrow" w:hAnsi="Arial Narrow"/>
              </w:rPr>
              <w:t>RR (95% CI)</w:t>
            </w:r>
            <w:r w:rsidR="00A446F6" w:rsidRPr="00B22BCB">
              <w:rPr>
                <w:rFonts w:ascii="Arial Narrow" w:hAnsi="Arial Narrow"/>
                <w:vertAlign w:val="superscript"/>
              </w:rPr>
              <w:t>a</w:t>
            </w:r>
          </w:p>
          <w:p w14:paraId="0E537501" w14:textId="79451E27" w:rsidR="00A43B5A" w:rsidRPr="00A43B5A" w:rsidRDefault="00A43B5A" w:rsidP="00B76BAF">
            <w:pPr>
              <w:pStyle w:val="Tableheading0"/>
              <w:keepNext w:val="0"/>
              <w:rPr>
                <w:rFonts w:ascii="Arial Narrow" w:hAnsi="Arial Narrow"/>
              </w:rPr>
            </w:pPr>
            <w:r>
              <w:rPr>
                <w:rFonts w:ascii="Arial Narrow" w:hAnsi="Arial Narrow"/>
              </w:rPr>
              <w:t>P-value</w:t>
            </w:r>
          </w:p>
        </w:tc>
        <w:tc>
          <w:tcPr>
            <w:tcW w:w="1386" w:type="pct"/>
            <w:tcBorders>
              <w:bottom w:val="single" w:sz="4" w:space="0" w:color="auto"/>
            </w:tcBorders>
            <w:shd w:val="clear" w:color="auto" w:fill="auto"/>
          </w:tcPr>
          <w:p w14:paraId="59B97EEF" w14:textId="77777777" w:rsidR="00D63208" w:rsidRDefault="009E765E" w:rsidP="00B76BAF">
            <w:pPr>
              <w:pStyle w:val="Tableheading0"/>
              <w:keepNext w:val="0"/>
              <w:rPr>
                <w:rFonts w:ascii="Arial Narrow" w:hAnsi="Arial Narrow"/>
              </w:rPr>
            </w:pPr>
            <w:r w:rsidRPr="00B22BCB">
              <w:rPr>
                <w:rFonts w:ascii="Arial Narrow" w:hAnsi="Arial Narrow"/>
              </w:rPr>
              <w:t xml:space="preserve">Unadjusted </w:t>
            </w:r>
            <w:r w:rsidR="00D63208" w:rsidRPr="00B22BCB">
              <w:rPr>
                <w:rFonts w:ascii="Arial Narrow" w:hAnsi="Arial Narrow"/>
              </w:rPr>
              <w:t>RD (95% CI)</w:t>
            </w:r>
            <w:r w:rsidR="00A446F6" w:rsidRPr="00B22BCB">
              <w:rPr>
                <w:rFonts w:ascii="Arial Narrow" w:hAnsi="Arial Narrow"/>
                <w:vertAlign w:val="superscript"/>
              </w:rPr>
              <w:t>a</w:t>
            </w:r>
          </w:p>
          <w:p w14:paraId="32BC6E9F" w14:textId="44670D95" w:rsidR="00A43B5A" w:rsidRPr="00A43B5A" w:rsidRDefault="00A43B5A" w:rsidP="00B76BAF">
            <w:pPr>
              <w:pStyle w:val="Tableheading0"/>
              <w:keepNext w:val="0"/>
              <w:rPr>
                <w:rFonts w:ascii="Arial Narrow" w:hAnsi="Arial Narrow"/>
              </w:rPr>
            </w:pPr>
            <w:r>
              <w:rPr>
                <w:rFonts w:ascii="Arial Narrow" w:hAnsi="Arial Narrow"/>
              </w:rPr>
              <w:t>P-value</w:t>
            </w:r>
          </w:p>
        </w:tc>
      </w:tr>
      <w:tr w:rsidR="00D63208" w:rsidRPr="00B22BCB" w14:paraId="5DE6CC31" w14:textId="77777777" w:rsidTr="00D011DA">
        <w:tc>
          <w:tcPr>
            <w:tcW w:w="1176" w:type="pct"/>
            <w:tcBorders>
              <w:top w:val="single" w:sz="4" w:space="0" w:color="auto"/>
              <w:bottom w:val="nil"/>
            </w:tcBorders>
          </w:tcPr>
          <w:p w14:paraId="6CCECDD1" w14:textId="422CC15E" w:rsidR="00D63208" w:rsidRPr="00B22BCB" w:rsidRDefault="00D63208" w:rsidP="00B76BAF">
            <w:pPr>
              <w:pStyle w:val="Btable"/>
              <w:keepNext w:val="0"/>
              <w:rPr>
                <w:rFonts w:ascii="Arial Narrow" w:hAnsi="Arial Narrow"/>
              </w:rPr>
            </w:pPr>
            <w:r w:rsidRPr="00B22BCB">
              <w:rPr>
                <w:rFonts w:ascii="Arial Narrow" w:hAnsi="Arial Narrow"/>
              </w:rPr>
              <w:t xml:space="preserve">Grade </w:t>
            </w:r>
            <w:r w:rsidRPr="00B22BCB">
              <w:rPr>
                <w:rFonts w:ascii="Arial Narrow" w:hAnsi="Arial Narrow" w:cs="Calibri"/>
              </w:rPr>
              <w:t>≥</w:t>
            </w:r>
            <w:r w:rsidRPr="00B22BCB">
              <w:rPr>
                <w:rFonts w:ascii="Arial Narrow" w:hAnsi="Arial Narrow"/>
              </w:rPr>
              <w:t>3 TRAEs</w:t>
            </w:r>
          </w:p>
        </w:tc>
        <w:tc>
          <w:tcPr>
            <w:tcW w:w="555" w:type="pct"/>
            <w:tcBorders>
              <w:top w:val="single" w:sz="4" w:space="0" w:color="auto"/>
              <w:bottom w:val="nil"/>
            </w:tcBorders>
          </w:tcPr>
          <w:p w14:paraId="54BAAF55" w14:textId="77777777" w:rsidR="00D63208" w:rsidRPr="00B22BCB" w:rsidRDefault="00D63208" w:rsidP="00B76BAF">
            <w:pPr>
              <w:pStyle w:val="Btable"/>
              <w:keepNext w:val="0"/>
              <w:rPr>
                <w:rFonts w:ascii="Arial Narrow" w:hAnsi="Arial Narrow"/>
              </w:rPr>
            </w:pPr>
          </w:p>
        </w:tc>
        <w:tc>
          <w:tcPr>
            <w:tcW w:w="546" w:type="pct"/>
            <w:tcBorders>
              <w:top w:val="single" w:sz="4" w:space="0" w:color="auto"/>
              <w:bottom w:val="nil"/>
            </w:tcBorders>
          </w:tcPr>
          <w:p w14:paraId="18E529B8" w14:textId="77777777" w:rsidR="00D63208" w:rsidRPr="00B22BCB" w:rsidRDefault="00D63208" w:rsidP="00B76BAF">
            <w:pPr>
              <w:pStyle w:val="Btable"/>
              <w:keepNext w:val="0"/>
              <w:rPr>
                <w:rFonts w:ascii="Arial Narrow" w:hAnsi="Arial Narrow"/>
              </w:rPr>
            </w:pPr>
          </w:p>
        </w:tc>
        <w:tc>
          <w:tcPr>
            <w:tcW w:w="1337" w:type="pct"/>
            <w:tcBorders>
              <w:top w:val="single" w:sz="4" w:space="0" w:color="auto"/>
              <w:bottom w:val="nil"/>
            </w:tcBorders>
          </w:tcPr>
          <w:p w14:paraId="2A7E4984" w14:textId="77777777" w:rsidR="00D63208" w:rsidRPr="00B22BCB" w:rsidRDefault="00D63208" w:rsidP="00B76BAF">
            <w:pPr>
              <w:pStyle w:val="Tablecentre"/>
              <w:keepNext w:val="0"/>
              <w:rPr>
                <w:rFonts w:ascii="Arial Narrow" w:hAnsi="Arial Narrow"/>
              </w:rPr>
            </w:pPr>
          </w:p>
        </w:tc>
        <w:tc>
          <w:tcPr>
            <w:tcW w:w="1386" w:type="pct"/>
            <w:tcBorders>
              <w:top w:val="single" w:sz="4" w:space="0" w:color="auto"/>
              <w:bottom w:val="nil"/>
            </w:tcBorders>
          </w:tcPr>
          <w:p w14:paraId="49D72658" w14:textId="77777777" w:rsidR="00D63208" w:rsidRPr="00B22BCB" w:rsidRDefault="00D63208" w:rsidP="00B76BAF">
            <w:pPr>
              <w:pStyle w:val="Tablecentre"/>
              <w:keepNext w:val="0"/>
              <w:rPr>
                <w:rFonts w:ascii="Arial Narrow" w:hAnsi="Arial Narrow"/>
              </w:rPr>
            </w:pPr>
          </w:p>
        </w:tc>
      </w:tr>
      <w:tr w:rsidR="00D63208" w:rsidRPr="00B22BCB" w14:paraId="7A4993FF" w14:textId="77777777" w:rsidTr="00D011DA">
        <w:tc>
          <w:tcPr>
            <w:tcW w:w="1176" w:type="pct"/>
            <w:tcBorders>
              <w:top w:val="nil"/>
              <w:bottom w:val="nil"/>
            </w:tcBorders>
          </w:tcPr>
          <w:p w14:paraId="7A3465EA" w14:textId="77777777" w:rsidR="00D63208" w:rsidRPr="00B22BCB" w:rsidRDefault="00D63208" w:rsidP="00B76BAF">
            <w:pPr>
              <w:pStyle w:val="Tabletext"/>
              <w:rPr>
                <w:szCs w:val="20"/>
              </w:rPr>
            </w:pPr>
            <w:r w:rsidRPr="00B22BCB">
              <w:rPr>
                <w:szCs w:val="20"/>
              </w:rPr>
              <w:t>Haematological AEs</w:t>
            </w:r>
          </w:p>
        </w:tc>
        <w:tc>
          <w:tcPr>
            <w:tcW w:w="555" w:type="pct"/>
            <w:tcBorders>
              <w:top w:val="nil"/>
              <w:bottom w:val="nil"/>
            </w:tcBorders>
          </w:tcPr>
          <w:p w14:paraId="4736B459" w14:textId="77777777" w:rsidR="00D63208" w:rsidRPr="00B22BCB" w:rsidRDefault="00D63208" w:rsidP="00B76BAF">
            <w:pPr>
              <w:pStyle w:val="Tabletext"/>
              <w:rPr>
                <w:szCs w:val="20"/>
              </w:rPr>
            </w:pPr>
          </w:p>
        </w:tc>
        <w:tc>
          <w:tcPr>
            <w:tcW w:w="546" w:type="pct"/>
            <w:tcBorders>
              <w:top w:val="nil"/>
              <w:bottom w:val="nil"/>
            </w:tcBorders>
          </w:tcPr>
          <w:p w14:paraId="18B19B5E" w14:textId="77777777" w:rsidR="00D63208" w:rsidRPr="00B22BCB" w:rsidRDefault="00D63208" w:rsidP="00B76BAF">
            <w:pPr>
              <w:pStyle w:val="Tabletext"/>
              <w:rPr>
                <w:szCs w:val="20"/>
              </w:rPr>
            </w:pPr>
          </w:p>
        </w:tc>
        <w:tc>
          <w:tcPr>
            <w:tcW w:w="1337" w:type="pct"/>
            <w:tcBorders>
              <w:top w:val="nil"/>
              <w:bottom w:val="nil"/>
            </w:tcBorders>
          </w:tcPr>
          <w:p w14:paraId="70A2213D" w14:textId="77777777" w:rsidR="00D63208" w:rsidRPr="00B22BCB" w:rsidRDefault="00D63208" w:rsidP="00B76BAF">
            <w:pPr>
              <w:pStyle w:val="Tablecentre"/>
              <w:keepNext w:val="0"/>
              <w:rPr>
                <w:rFonts w:ascii="Arial Narrow" w:hAnsi="Arial Narrow"/>
              </w:rPr>
            </w:pPr>
          </w:p>
        </w:tc>
        <w:tc>
          <w:tcPr>
            <w:tcW w:w="1386" w:type="pct"/>
            <w:tcBorders>
              <w:top w:val="nil"/>
              <w:bottom w:val="nil"/>
            </w:tcBorders>
          </w:tcPr>
          <w:p w14:paraId="16E214ED" w14:textId="77777777" w:rsidR="00D63208" w:rsidRPr="00B22BCB" w:rsidRDefault="00D63208" w:rsidP="00B76BAF">
            <w:pPr>
              <w:pStyle w:val="Tablecentre"/>
              <w:keepNext w:val="0"/>
              <w:rPr>
                <w:rFonts w:ascii="Arial Narrow" w:hAnsi="Arial Narrow"/>
              </w:rPr>
            </w:pPr>
          </w:p>
        </w:tc>
      </w:tr>
      <w:tr w:rsidR="00D63208" w:rsidRPr="00B22BCB" w14:paraId="79BBBE02" w14:textId="77777777" w:rsidTr="00D011DA">
        <w:tc>
          <w:tcPr>
            <w:tcW w:w="1176" w:type="pct"/>
            <w:tcBorders>
              <w:top w:val="nil"/>
              <w:bottom w:val="nil"/>
            </w:tcBorders>
          </w:tcPr>
          <w:p w14:paraId="73BF9DE9" w14:textId="77777777" w:rsidR="00D63208" w:rsidRPr="00B22BCB" w:rsidRDefault="00D63208" w:rsidP="00B76BAF">
            <w:pPr>
              <w:pStyle w:val="Tab1table"/>
              <w:rPr>
                <w:rFonts w:ascii="Arial Narrow" w:hAnsi="Arial Narrow"/>
              </w:rPr>
            </w:pPr>
            <w:r w:rsidRPr="00B22BCB">
              <w:rPr>
                <w:rFonts w:ascii="Arial Narrow" w:hAnsi="Arial Narrow"/>
              </w:rPr>
              <w:t>Thrombocytopenia</w:t>
            </w:r>
          </w:p>
        </w:tc>
        <w:tc>
          <w:tcPr>
            <w:tcW w:w="555" w:type="pct"/>
            <w:tcBorders>
              <w:top w:val="nil"/>
              <w:bottom w:val="nil"/>
            </w:tcBorders>
          </w:tcPr>
          <w:p w14:paraId="137E9FA7" w14:textId="77777777" w:rsidR="00D63208" w:rsidRPr="00B22BCB" w:rsidRDefault="00D63208" w:rsidP="00B76BAF">
            <w:pPr>
              <w:pStyle w:val="Tablecentre"/>
              <w:keepNext w:val="0"/>
              <w:rPr>
                <w:rFonts w:ascii="Arial Narrow" w:hAnsi="Arial Narrow"/>
              </w:rPr>
            </w:pPr>
            <w:r w:rsidRPr="00B22BCB">
              <w:rPr>
                <w:rFonts w:ascii="Arial Narrow" w:hAnsi="Arial Narrow"/>
              </w:rPr>
              <w:t>24 (15.4)</w:t>
            </w:r>
          </w:p>
        </w:tc>
        <w:tc>
          <w:tcPr>
            <w:tcW w:w="546" w:type="pct"/>
            <w:tcBorders>
              <w:top w:val="nil"/>
              <w:bottom w:val="nil"/>
            </w:tcBorders>
          </w:tcPr>
          <w:p w14:paraId="7B8CED7B" w14:textId="77777777" w:rsidR="00D63208" w:rsidRPr="00B22BCB" w:rsidRDefault="00D63208" w:rsidP="00B76BAF">
            <w:pPr>
              <w:pStyle w:val="Tablecentre"/>
              <w:keepNext w:val="0"/>
              <w:rPr>
                <w:rFonts w:ascii="Arial Narrow" w:hAnsi="Arial Narrow"/>
              </w:rPr>
            </w:pPr>
            <w:r w:rsidRPr="00B22BCB">
              <w:rPr>
                <w:rFonts w:ascii="Arial Narrow" w:hAnsi="Arial Narrow"/>
              </w:rPr>
              <w:t>86 (31.9)</w:t>
            </w:r>
          </w:p>
        </w:tc>
        <w:tc>
          <w:tcPr>
            <w:tcW w:w="1337" w:type="pct"/>
            <w:tcBorders>
              <w:top w:val="nil"/>
              <w:bottom w:val="nil"/>
            </w:tcBorders>
          </w:tcPr>
          <w:p w14:paraId="003399B7" w14:textId="764B120E" w:rsidR="00D63208" w:rsidRPr="00B22BCB" w:rsidRDefault="00D63208" w:rsidP="00F33C78">
            <w:pPr>
              <w:pStyle w:val="Tablecentre"/>
              <w:keepNext w:val="0"/>
              <w:rPr>
                <w:rFonts w:ascii="Arial Narrow" w:hAnsi="Arial Narrow"/>
                <w:b/>
                <w:bCs/>
              </w:rPr>
            </w:pPr>
            <w:r w:rsidRPr="00B22BCB">
              <w:rPr>
                <w:rFonts w:ascii="Arial Narrow" w:hAnsi="Arial Narrow"/>
                <w:b/>
                <w:bCs/>
              </w:rPr>
              <w:t>0.48 (0.32, 0.73)</w:t>
            </w:r>
            <w:r w:rsidR="00D011DA">
              <w:rPr>
                <w:rFonts w:ascii="Arial Narrow" w:hAnsi="Arial Narrow"/>
                <w:b/>
                <w:bCs/>
              </w:rPr>
              <w:t>;</w:t>
            </w:r>
            <w:r w:rsidR="00F33C78">
              <w:rPr>
                <w:rFonts w:ascii="Arial Narrow" w:hAnsi="Arial Narrow"/>
                <w:b/>
                <w:bCs/>
              </w:rPr>
              <w:t xml:space="preserve"> </w:t>
            </w:r>
            <w:r w:rsidRPr="00B22BCB">
              <w:rPr>
                <w:rFonts w:ascii="Arial Narrow" w:hAnsi="Arial Narrow"/>
                <w:b/>
                <w:bCs/>
              </w:rPr>
              <w:t>P = 0.0005</w:t>
            </w:r>
          </w:p>
        </w:tc>
        <w:tc>
          <w:tcPr>
            <w:tcW w:w="1386" w:type="pct"/>
            <w:tcBorders>
              <w:top w:val="nil"/>
              <w:bottom w:val="nil"/>
            </w:tcBorders>
          </w:tcPr>
          <w:p w14:paraId="547DD0AF" w14:textId="1E6B8187" w:rsidR="00D63208" w:rsidRPr="00B22BCB" w:rsidRDefault="00D63208" w:rsidP="00F33C78">
            <w:pPr>
              <w:pStyle w:val="Tablecentre"/>
              <w:keepNext w:val="0"/>
              <w:rPr>
                <w:rFonts w:ascii="Arial Narrow" w:hAnsi="Arial Narrow"/>
                <w:b/>
                <w:bCs/>
              </w:rPr>
            </w:pPr>
            <w:r w:rsidRPr="00B22BCB">
              <w:rPr>
                <w:rFonts w:ascii="Arial Narrow" w:hAnsi="Arial Narrow"/>
                <w:b/>
                <w:bCs/>
              </w:rPr>
              <w:t>-0.16 (-0.24, -0.09)</w:t>
            </w:r>
            <w:r w:rsidR="00F33C78">
              <w:rPr>
                <w:rFonts w:ascii="Arial Narrow" w:hAnsi="Arial Narrow"/>
                <w:b/>
                <w:bCs/>
              </w:rPr>
              <w:t xml:space="preserve">; </w:t>
            </w:r>
            <w:r w:rsidRPr="00B22BCB">
              <w:rPr>
                <w:rFonts w:ascii="Arial Narrow" w:hAnsi="Arial Narrow"/>
                <w:b/>
                <w:bCs/>
              </w:rPr>
              <w:t>P &lt; 0.0001</w:t>
            </w:r>
          </w:p>
        </w:tc>
      </w:tr>
      <w:tr w:rsidR="00D63208" w:rsidRPr="00B22BCB" w14:paraId="2838424B" w14:textId="77777777" w:rsidTr="00D011DA">
        <w:tc>
          <w:tcPr>
            <w:tcW w:w="1176" w:type="pct"/>
            <w:tcBorders>
              <w:top w:val="nil"/>
              <w:bottom w:val="nil"/>
            </w:tcBorders>
          </w:tcPr>
          <w:p w14:paraId="32755D45" w14:textId="77777777" w:rsidR="00D63208" w:rsidRPr="00B22BCB" w:rsidRDefault="00D63208" w:rsidP="00B76BAF">
            <w:pPr>
              <w:pStyle w:val="Tab1table"/>
              <w:rPr>
                <w:rFonts w:ascii="Arial Narrow" w:hAnsi="Arial Narrow"/>
              </w:rPr>
            </w:pPr>
            <w:r w:rsidRPr="00B22BCB">
              <w:rPr>
                <w:rFonts w:ascii="Arial Narrow" w:hAnsi="Arial Narrow"/>
              </w:rPr>
              <w:t>Neutropenia</w:t>
            </w:r>
          </w:p>
        </w:tc>
        <w:tc>
          <w:tcPr>
            <w:tcW w:w="555" w:type="pct"/>
            <w:tcBorders>
              <w:top w:val="nil"/>
              <w:bottom w:val="nil"/>
            </w:tcBorders>
          </w:tcPr>
          <w:p w14:paraId="09B65487" w14:textId="77777777" w:rsidR="00D63208" w:rsidRPr="00B22BCB" w:rsidRDefault="00D63208" w:rsidP="00B76BAF">
            <w:pPr>
              <w:pStyle w:val="Tablecentre"/>
              <w:keepNext w:val="0"/>
              <w:rPr>
                <w:rFonts w:ascii="Arial Narrow" w:hAnsi="Arial Narrow"/>
              </w:rPr>
            </w:pPr>
            <w:r w:rsidRPr="00B22BCB">
              <w:rPr>
                <w:rFonts w:ascii="Arial Narrow" w:hAnsi="Arial Narrow"/>
              </w:rPr>
              <w:t>20 (12.8)</w:t>
            </w:r>
          </w:p>
        </w:tc>
        <w:tc>
          <w:tcPr>
            <w:tcW w:w="546" w:type="pct"/>
            <w:tcBorders>
              <w:top w:val="nil"/>
              <w:bottom w:val="nil"/>
            </w:tcBorders>
          </w:tcPr>
          <w:p w14:paraId="413B2E20" w14:textId="77777777" w:rsidR="00D63208" w:rsidRPr="00B22BCB" w:rsidRDefault="00D63208" w:rsidP="00B76BAF">
            <w:pPr>
              <w:pStyle w:val="Tablecentre"/>
              <w:keepNext w:val="0"/>
              <w:rPr>
                <w:rFonts w:ascii="Arial Narrow" w:hAnsi="Arial Narrow"/>
              </w:rPr>
            </w:pPr>
            <w:r w:rsidRPr="00B22BCB">
              <w:rPr>
                <w:rFonts w:ascii="Arial Narrow" w:hAnsi="Arial Narrow"/>
              </w:rPr>
              <w:t>38 (14.1)</w:t>
            </w:r>
          </w:p>
        </w:tc>
        <w:tc>
          <w:tcPr>
            <w:tcW w:w="1337" w:type="pct"/>
            <w:tcBorders>
              <w:top w:val="nil"/>
              <w:bottom w:val="nil"/>
            </w:tcBorders>
          </w:tcPr>
          <w:p w14:paraId="4BE559B5" w14:textId="4EA029CE" w:rsidR="00D63208" w:rsidRPr="00B22BCB" w:rsidRDefault="00D63208" w:rsidP="00F33C78">
            <w:pPr>
              <w:pStyle w:val="Tablecentre"/>
              <w:keepNext w:val="0"/>
              <w:rPr>
                <w:rFonts w:ascii="Arial Narrow" w:hAnsi="Arial Narrow"/>
              </w:rPr>
            </w:pPr>
            <w:r w:rsidRPr="00B22BCB">
              <w:rPr>
                <w:rFonts w:ascii="Arial Narrow" w:hAnsi="Arial Narrow"/>
              </w:rPr>
              <w:t>0.91 (0.55, 1.51)</w:t>
            </w:r>
            <w:r w:rsidR="00D011DA">
              <w:rPr>
                <w:rFonts w:ascii="Arial Narrow" w:hAnsi="Arial Narrow"/>
              </w:rPr>
              <w:t>;</w:t>
            </w:r>
            <w:r w:rsidR="00F33C78">
              <w:rPr>
                <w:rFonts w:ascii="Arial Narrow" w:hAnsi="Arial Narrow"/>
              </w:rPr>
              <w:t xml:space="preserve"> </w:t>
            </w:r>
            <w:r w:rsidRPr="00B22BCB">
              <w:rPr>
                <w:rFonts w:ascii="Arial Narrow" w:hAnsi="Arial Narrow"/>
              </w:rPr>
              <w:t>P = 0.72</w:t>
            </w:r>
          </w:p>
        </w:tc>
        <w:tc>
          <w:tcPr>
            <w:tcW w:w="1386" w:type="pct"/>
            <w:tcBorders>
              <w:top w:val="nil"/>
              <w:bottom w:val="nil"/>
            </w:tcBorders>
          </w:tcPr>
          <w:p w14:paraId="3BAE4921" w14:textId="5E48A352" w:rsidR="00D63208" w:rsidRPr="00B22BCB" w:rsidRDefault="00D63208" w:rsidP="00F33C78">
            <w:pPr>
              <w:pStyle w:val="Tablecentre"/>
              <w:keepNext w:val="0"/>
              <w:rPr>
                <w:rFonts w:ascii="Arial Narrow" w:hAnsi="Arial Narrow"/>
              </w:rPr>
            </w:pPr>
            <w:r w:rsidRPr="00B22BCB">
              <w:rPr>
                <w:rFonts w:ascii="Arial Narrow" w:hAnsi="Arial Narrow"/>
              </w:rPr>
              <w:t>-0.01 (-0.08, 0.05)</w:t>
            </w:r>
            <w:r w:rsidR="00F33C78">
              <w:rPr>
                <w:rFonts w:ascii="Arial Narrow" w:hAnsi="Arial Narrow"/>
              </w:rPr>
              <w:t xml:space="preserve">; </w:t>
            </w:r>
            <w:r w:rsidRPr="00B22BCB">
              <w:rPr>
                <w:rFonts w:ascii="Arial Narrow" w:hAnsi="Arial Narrow"/>
              </w:rPr>
              <w:t>P = 0.71</w:t>
            </w:r>
          </w:p>
        </w:tc>
      </w:tr>
      <w:tr w:rsidR="00D63208" w:rsidRPr="00B22BCB" w14:paraId="256C3A9A" w14:textId="77777777" w:rsidTr="00D011DA">
        <w:tc>
          <w:tcPr>
            <w:tcW w:w="1176" w:type="pct"/>
            <w:tcBorders>
              <w:top w:val="nil"/>
              <w:bottom w:val="nil"/>
            </w:tcBorders>
          </w:tcPr>
          <w:p w14:paraId="1153FFC8" w14:textId="77777777" w:rsidR="00D63208" w:rsidRPr="00B22BCB" w:rsidRDefault="00D63208" w:rsidP="00B76BAF">
            <w:pPr>
              <w:pStyle w:val="Tab1table"/>
              <w:rPr>
                <w:rFonts w:ascii="Arial Narrow" w:hAnsi="Arial Narrow"/>
              </w:rPr>
            </w:pPr>
            <w:r w:rsidRPr="00B22BCB">
              <w:rPr>
                <w:rFonts w:ascii="Arial Narrow" w:hAnsi="Arial Narrow"/>
              </w:rPr>
              <w:t xml:space="preserve">Anaemia </w:t>
            </w:r>
          </w:p>
        </w:tc>
        <w:tc>
          <w:tcPr>
            <w:tcW w:w="555" w:type="pct"/>
            <w:tcBorders>
              <w:top w:val="nil"/>
              <w:bottom w:val="nil"/>
            </w:tcBorders>
          </w:tcPr>
          <w:p w14:paraId="2D53A868" w14:textId="77777777" w:rsidR="00D63208" w:rsidRPr="00B22BCB" w:rsidRDefault="00D63208" w:rsidP="00B76BAF">
            <w:pPr>
              <w:pStyle w:val="Tablecentre"/>
              <w:keepNext w:val="0"/>
              <w:rPr>
                <w:rFonts w:ascii="Arial Narrow" w:hAnsi="Arial Narrow"/>
              </w:rPr>
            </w:pPr>
            <w:r w:rsidRPr="00B22BCB">
              <w:rPr>
                <w:rFonts w:ascii="Arial Narrow" w:hAnsi="Arial Narrow"/>
              </w:rPr>
              <w:t>1 (0.6)</w:t>
            </w:r>
          </w:p>
        </w:tc>
        <w:tc>
          <w:tcPr>
            <w:tcW w:w="546" w:type="pct"/>
            <w:tcBorders>
              <w:top w:val="nil"/>
              <w:bottom w:val="nil"/>
            </w:tcBorders>
          </w:tcPr>
          <w:p w14:paraId="5B73C56B" w14:textId="77777777" w:rsidR="00D63208" w:rsidRPr="00B22BCB" w:rsidRDefault="00D63208" w:rsidP="00B76BAF">
            <w:pPr>
              <w:pStyle w:val="Tablecentre"/>
              <w:keepNext w:val="0"/>
              <w:rPr>
                <w:rFonts w:ascii="Arial Narrow" w:hAnsi="Arial Narrow"/>
              </w:rPr>
            </w:pPr>
            <w:r w:rsidRPr="00B22BCB">
              <w:rPr>
                <w:rFonts w:ascii="Arial Narrow" w:hAnsi="Arial Narrow"/>
              </w:rPr>
              <w:t>15 (5.6)</w:t>
            </w:r>
          </w:p>
        </w:tc>
        <w:tc>
          <w:tcPr>
            <w:tcW w:w="1337" w:type="pct"/>
            <w:tcBorders>
              <w:top w:val="nil"/>
              <w:bottom w:val="nil"/>
            </w:tcBorders>
          </w:tcPr>
          <w:p w14:paraId="039F2FB8" w14:textId="1D0FC72D" w:rsidR="00D63208" w:rsidRPr="00B22BCB" w:rsidRDefault="00D63208" w:rsidP="00F33C78">
            <w:pPr>
              <w:pStyle w:val="Tablecentre"/>
              <w:keepNext w:val="0"/>
              <w:rPr>
                <w:rFonts w:ascii="Arial Narrow" w:hAnsi="Arial Narrow"/>
                <w:b/>
                <w:bCs/>
              </w:rPr>
            </w:pPr>
            <w:r w:rsidRPr="00B22BCB">
              <w:rPr>
                <w:rFonts w:ascii="Arial Narrow" w:hAnsi="Arial Narrow"/>
                <w:b/>
                <w:bCs/>
              </w:rPr>
              <w:t>0.12 (0.02, 0.87)</w:t>
            </w:r>
            <w:r w:rsidR="00D011DA">
              <w:rPr>
                <w:rFonts w:ascii="Arial Narrow" w:hAnsi="Arial Narrow"/>
                <w:b/>
                <w:bCs/>
              </w:rPr>
              <w:t>;</w:t>
            </w:r>
            <w:r w:rsidR="00F33C78">
              <w:rPr>
                <w:rFonts w:ascii="Arial Narrow" w:hAnsi="Arial Narrow"/>
                <w:b/>
                <w:bCs/>
              </w:rPr>
              <w:t xml:space="preserve"> </w:t>
            </w:r>
            <w:r w:rsidRPr="00B22BCB">
              <w:rPr>
                <w:rFonts w:ascii="Arial Narrow" w:hAnsi="Arial Narrow"/>
                <w:b/>
                <w:bCs/>
              </w:rPr>
              <w:t>P = 0.04</w:t>
            </w:r>
          </w:p>
        </w:tc>
        <w:tc>
          <w:tcPr>
            <w:tcW w:w="1386" w:type="pct"/>
            <w:tcBorders>
              <w:top w:val="nil"/>
              <w:bottom w:val="nil"/>
            </w:tcBorders>
          </w:tcPr>
          <w:p w14:paraId="6126B7F6" w14:textId="58DAF00F" w:rsidR="00D63208" w:rsidRPr="00B22BCB" w:rsidRDefault="00D63208" w:rsidP="00F33C78">
            <w:pPr>
              <w:pStyle w:val="Tablecentre"/>
              <w:keepNext w:val="0"/>
              <w:rPr>
                <w:rFonts w:ascii="Arial Narrow" w:hAnsi="Arial Narrow"/>
                <w:b/>
                <w:bCs/>
              </w:rPr>
            </w:pPr>
            <w:r w:rsidRPr="00B22BCB">
              <w:rPr>
                <w:rFonts w:ascii="Arial Narrow" w:hAnsi="Arial Narrow"/>
                <w:b/>
                <w:bCs/>
              </w:rPr>
              <w:t>-0.05 (-0.08, -0.02)</w:t>
            </w:r>
            <w:r w:rsidR="00F33C78">
              <w:rPr>
                <w:rFonts w:ascii="Arial Narrow" w:hAnsi="Arial Narrow"/>
                <w:b/>
                <w:bCs/>
              </w:rPr>
              <w:t xml:space="preserve">; </w:t>
            </w:r>
            <w:r w:rsidRPr="00B22BCB">
              <w:rPr>
                <w:rFonts w:ascii="Arial Narrow" w:hAnsi="Arial Narrow"/>
                <w:b/>
                <w:bCs/>
              </w:rPr>
              <w:t>P = 0.001</w:t>
            </w:r>
          </w:p>
        </w:tc>
      </w:tr>
      <w:tr w:rsidR="00D63208" w:rsidRPr="00B22BCB" w14:paraId="4FDCD100" w14:textId="77777777" w:rsidTr="00D011DA">
        <w:tc>
          <w:tcPr>
            <w:tcW w:w="1176" w:type="pct"/>
            <w:tcBorders>
              <w:top w:val="nil"/>
              <w:bottom w:val="nil"/>
            </w:tcBorders>
          </w:tcPr>
          <w:p w14:paraId="4410DE71" w14:textId="77777777" w:rsidR="00D63208" w:rsidRPr="00B22BCB" w:rsidRDefault="00D63208" w:rsidP="00B76BAF">
            <w:pPr>
              <w:pStyle w:val="Tab1table"/>
              <w:rPr>
                <w:rFonts w:ascii="Arial Narrow" w:hAnsi="Arial Narrow"/>
              </w:rPr>
            </w:pPr>
            <w:r w:rsidRPr="00B22BCB">
              <w:rPr>
                <w:rFonts w:ascii="Arial Narrow" w:hAnsi="Arial Narrow"/>
              </w:rPr>
              <w:t>Pancytopenia</w:t>
            </w:r>
          </w:p>
        </w:tc>
        <w:tc>
          <w:tcPr>
            <w:tcW w:w="555" w:type="pct"/>
            <w:tcBorders>
              <w:top w:val="nil"/>
              <w:bottom w:val="nil"/>
            </w:tcBorders>
          </w:tcPr>
          <w:p w14:paraId="6795B558"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nil"/>
            </w:tcBorders>
          </w:tcPr>
          <w:p w14:paraId="3928A198" w14:textId="77777777" w:rsidR="00D63208" w:rsidRPr="00B22BCB" w:rsidRDefault="00D63208" w:rsidP="00B76BAF">
            <w:pPr>
              <w:pStyle w:val="Tablecentre"/>
              <w:keepNext w:val="0"/>
              <w:rPr>
                <w:rFonts w:ascii="Arial Narrow" w:hAnsi="Arial Narrow"/>
              </w:rPr>
            </w:pPr>
            <w:r w:rsidRPr="00B22BCB">
              <w:rPr>
                <w:rFonts w:ascii="Arial Narrow" w:hAnsi="Arial Narrow"/>
              </w:rPr>
              <w:t>2 (0.7)</w:t>
            </w:r>
          </w:p>
        </w:tc>
        <w:tc>
          <w:tcPr>
            <w:tcW w:w="1337" w:type="pct"/>
            <w:tcBorders>
              <w:top w:val="nil"/>
              <w:bottom w:val="nil"/>
            </w:tcBorders>
          </w:tcPr>
          <w:p w14:paraId="3DB00DE2" w14:textId="51E36EA2" w:rsidR="00D63208" w:rsidRPr="00B22BCB" w:rsidRDefault="00D63208" w:rsidP="00F33C78">
            <w:pPr>
              <w:pStyle w:val="Tablecentre"/>
              <w:keepNext w:val="0"/>
              <w:rPr>
                <w:rFonts w:ascii="Arial Narrow" w:hAnsi="Arial Narrow"/>
              </w:rPr>
            </w:pPr>
            <w:r w:rsidRPr="00B22BCB">
              <w:rPr>
                <w:rFonts w:ascii="Arial Narrow" w:hAnsi="Arial Narrow"/>
              </w:rPr>
              <w:t>0.35 (0.02, 7.15)</w:t>
            </w:r>
            <w:r w:rsidR="00D011DA">
              <w:rPr>
                <w:rFonts w:ascii="Arial Narrow" w:hAnsi="Arial Narrow"/>
              </w:rPr>
              <w:t>;</w:t>
            </w:r>
            <w:r w:rsidR="00F33C78">
              <w:rPr>
                <w:rFonts w:ascii="Arial Narrow" w:hAnsi="Arial Narrow"/>
              </w:rPr>
              <w:t xml:space="preserve"> </w:t>
            </w:r>
            <w:r w:rsidRPr="00B22BCB">
              <w:rPr>
                <w:rFonts w:ascii="Arial Narrow" w:hAnsi="Arial Narrow"/>
              </w:rPr>
              <w:t>P = 0.49</w:t>
            </w:r>
          </w:p>
        </w:tc>
        <w:tc>
          <w:tcPr>
            <w:tcW w:w="1386" w:type="pct"/>
            <w:tcBorders>
              <w:top w:val="nil"/>
              <w:bottom w:val="nil"/>
            </w:tcBorders>
          </w:tcPr>
          <w:p w14:paraId="058B6636" w14:textId="47004719" w:rsidR="00D63208" w:rsidRPr="00B22BCB" w:rsidRDefault="00D63208" w:rsidP="00F33C78">
            <w:pPr>
              <w:pStyle w:val="Tablecentre"/>
              <w:keepNext w:val="0"/>
              <w:rPr>
                <w:rFonts w:ascii="Arial Narrow" w:hAnsi="Arial Narrow"/>
              </w:rPr>
            </w:pPr>
            <w:r w:rsidRPr="00B22BCB">
              <w:rPr>
                <w:rFonts w:ascii="Arial Narrow" w:hAnsi="Arial Narrow"/>
              </w:rPr>
              <w:t>-0.01 (-0.02, 0.01)</w:t>
            </w:r>
            <w:r w:rsidR="00F33C78">
              <w:rPr>
                <w:rFonts w:ascii="Arial Narrow" w:hAnsi="Arial Narrow"/>
              </w:rPr>
              <w:t xml:space="preserve">; </w:t>
            </w:r>
            <w:r w:rsidRPr="00B22BCB">
              <w:rPr>
                <w:rFonts w:ascii="Arial Narrow" w:hAnsi="Arial Narrow"/>
              </w:rPr>
              <w:t>P = 0.31</w:t>
            </w:r>
          </w:p>
        </w:tc>
      </w:tr>
      <w:tr w:rsidR="00D63208" w:rsidRPr="00B22BCB" w14:paraId="1782CD4C" w14:textId="77777777" w:rsidTr="00D011DA">
        <w:tc>
          <w:tcPr>
            <w:tcW w:w="1176" w:type="pct"/>
            <w:tcBorders>
              <w:top w:val="nil"/>
              <w:bottom w:val="nil"/>
            </w:tcBorders>
          </w:tcPr>
          <w:p w14:paraId="654ACD5B" w14:textId="77777777" w:rsidR="00D63208" w:rsidRPr="00B22BCB" w:rsidRDefault="00D63208" w:rsidP="00B76BAF">
            <w:pPr>
              <w:pStyle w:val="Tab1table"/>
              <w:rPr>
                <w:rFonts w:ascii="Arial Narrow" w:hAnsi="Arial Narrow"/>
              </w:rPr>
            </w:pPr>
            <w:r w:rsidRPr="00B22BCB">
              <w:rPr>
                <w:rFonts w:ascii="Arial Narrow" w:hAnsi="Arial Narrow"/>
              </w:rPr>
              <w:t>Febrile neutropenia</w:t>
            </w:r>
          </w:p>
        </w:tc>
        <w:tc>
          <w:tcPr>
            <w:tcW w:w="555" w:type="pct"/>
            <w:tcBorders>
              <w:top w:val="nil"/>
              <w:bottom w:val="nil"/>
            </w:tcBorders>
          </w:tcPr>
          <w:p w14:paraId="19AE632C"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nil"/>
            </w:tcBorders>
          </w:tcPr>
          <w:p w14:paraId="176A6D55" w14:textId="77777777" w:rsidR="00D63208" w:rsidRPr="00B22BCB" w:rsidRDefault="00D63208" w:rsidP="00B76BAF">
            <w:pPr>
              <w:pStyle w:val="Tablecentre"/>
              <w:keepNext w:val="0"/>
              <w:rPr>
                <w:rFonts w:ascii="Arial Narrow" w:hAnsi="Arial Narrow"/>
              </w:rPr>
            </w:pPr>
            <w:r w:rsidRPr="00B22BCB">
              <w:rPr>
                <w:rFonts w:ascii="Arial Narrow" w:hAnsi="Arial Narrow"/>
              </w:rPr>
              <w:t>1 (0.4)</w:t>
            </w:r>
          </w:p>
        </w:tc>
        <w:tc>
          <w:tcPr>
            <w:tcW w:w="1337" w:type="pct"/>
            <w:tcBorders>
              <w:top w:val="nil"/>
              <w:bottom w:val="nil"/>
            </w:tcBorders>
          </w:tcPr>
          <w:p w14:paraId="05E06D1E" w14:textId="5CE9D4D9" w:rsidR="00D63208" w:rsidRPr="00B22BCB" w:rsidRDefault="00D63208" w:rsidP="00F33C78">
            <w:pPr>
              <w:pStyle w:val="Tablecentre"/>
              <w:keepNext w:val="0"/>
              <w:rPr>
                <w:rFonts w:ascii="Arial Narrow" w:hAnsi="Arial Narrow"/>
              </w:rPr>
            </w:pPr>
            <w:r w:rsidRPr="00B22BCB">
              <w:rPr>
                <w:rFonts w:ascii="Arial Narrow" w:hAnsi="Arial Narrow"/>
              </w:rPr>
              <w:t>0.58 (0.02, 14.04)</w:t>
            </w:r>
            <w:r w:rsidR="00D011DA">
              <w:rPr>
                <w:rFonts w:ascii="Arial Narrow" w:hAnsi="Arial Narrow"/>
              </w:rPr>
              <w:t>;</w:t>
            </w:r>
            <w:r w:rsidR="00F33C78">
              <w:rPr>
                <w:rFonts w:ascii="Arial Narrow" w:hAnsi="Arial Narrow"/>
              </w:rPr>
              <w:t xml:space="preserve"> </w:t>
            </w:r>
            <w:r w:rsidRPr="00B22BCB">
              <w:rPr>
                <w:rFonts w:ascii="Arial Narrow" w:hAnsi="Arial Narrow"/>
              </w:rPr>
              <w:t>P = 0.73</w:t>
            </w:r>
          </w:p>
        </w:tc>
        <w:tc>
          <w:tcPr>
            <w:tcW w:w="1386" w:type="pct"/>
            <w:tcBorders>
              <w:top w:val="nil"/>
              <w:bottom w:val="nil"/>
            </w:tcBorders>
          </w:tcPr>
          <w:p w14:paraId="1E0A9856" w14:textId="3A0CB05B" w:rsidR="00D63208" w:rsidRPr="00B22BCB" w:rsidRDefault="00D63208" w:rsidP="00F33C78">
            <w:pPr>
              <w:pStyle w:val="Tablecentre"/>
              <w:keepNext w:val="0"/>
              <w:rPr>
                <w:rFonts w:ascii="Arial Narrow" w:hAnsi="Arial Narrow"/>
              </w:rPr>
            </w:pPr>
            <w:r w:rsidRPr="00B22BCB">
              <w:rPr>
                <w:rFonts w:ascii="Arial Narrow" w:hAnsi="Arial Narrow"/>
              </w:rPr>
              <w:t>-0.00 (-0.02, 0.01)</w:t>
            </w:r>
            <w:r w:rsidR="00F33C78">
              <w:rPr>
                <w:rFonts w:ascii="Arial Narrow" w:hAnsi="Arial Narrow"/>
              </w:rPr>
              <w:t xml:space="preserve">; </w:t>
            </w:r>
            <w:r w:rsidRPr="00B22BCB">
              <w:rPr>
                <w:rFonts w:ascii="Arial Narrow" w:hAnsi="Arial Narrow"/>
              </w:rPr>
              <w:t>P = 0.56</w:t>
            </w:r>
          </w:p>
        </w:tc>
      </w:tr>
      <w:tr w:rsidR="00D63208" w:rsidRPr="00B22BCB" w14:paraId="260EED94" w14:textId="77777777" w:rsidTr="00D011DA">
        <w:tc>
          <w:tcPr>
            <w:tcW w:w="1176" w:type="pct"/>
            <w:tcBorders>
              <w:top w:val="nil"/>
              <w:bottom w:val="nil"/>
            </w:tcBorders>
          </w:tcPr>
          <w:p w14:paraId="100A9CFA" w14:textId="77777777" w:rsidR="00D63208" w:rsidRPr="00B22BCB" w:rsidRDefault="00D63208" w:rsidP="00B76BAF">
            <w:pPr>
              <w:pStyle w:val="Tabletext"/>
              <w:rPr>
                <w:szCs w:val="20"/>
              </w:rPr>
            </w:pPr>
            <w:r w:rsidRPr="00B22BCB">
              <w:rPr>
                <w:szCs w:val="20"/>
              </w:rPr>
              <w:t>Non-haematological AEs</w:t>
            </w:r>
          </w:p>
        </w:tc>
        <w:tc>
          <w:tcPr>
            <w:tcW w:w="555" w:type="pct"/>
            <w:tcBorders>
              <w:top w:val="nil"/>
              <w:bottom w:val="nil"/>
            </w:tcBorders>
          </w:tcPr>
          <w:p w14:paraId="0234D76D" w14:textId="77777777" w:rsidR="00D63208" w:rsidRPr="00B22BCB" w:rsidRDefault="00D63208" w:rsidP="00B76BAF">
            <w:pPr>
              <w:pStyle w:val="Tabletext"/>
              <w:rPr>
                <w:szCs w:val="20"/>
              </w:rPr>
            </w:pPr>
          </w:p>
        </w:tc>
        <w:tc>
          <w:tcPr>
            <w:tcW w:w="546" w:type="pct"/>
            <w:tcBorders>
              <w:top w:val="nil"/>
              <w:bottom w:val="nil"/>
            </w:tcBorders>
          </w:tcPr>
          <w:p w14:paraId="40391157" w14:textId="77777777" w:rsidR="00D63208" w:rsidRPr="00B22BCB" w:rsidRDefault="00D63208" w:rsidP="00B76BAF">
            <w:pPr>
              <w:pStyle w:val="Tabletext"/>
              <w:rPr>
                <w:szCs w:val="20"/>
              </w:rPr>
            </w:pPr>
          </w:p>
        </w:tc>
        <w:tc>
          <w:tcPr>
            <w:tcW w:w="1337" w:type="pct"/>
            <w:tcBorders>
              <w:top w:val="nil"/>
              <w:bottom w:val="nil"/>
            </w:tcBorders>
          </w:tcPr>
          <w:p w14:paraId="685B1EE8" w14:textId="77777777" w:rsidR="00D63208" w:rsidRPr="00B22BCB" w:rsidRDefault="00D63208" w:rsidP="00B76BAF">
            <w:pPr>
              <w:pStyle w:val="Tablecentre"/>
              <w:keepNext w:val="0"/>
              <w:rPr>
                <w:rFonts w:ascii="Arial Narrow" w:hAnsi="Arial Narrow"/>
              </w:rPr>
            </w:pPr>
          </w:p>
        </w:tc>
        <w:tc>
          <w:tcPr>
            <w:tcW w:w="1386" w:type="pct"/>
            <w:tcBorders>
              <w:top w:val="nil"/>
              <w:bottom w:val="nil"/>
            </w:tcBorders>
          </w:tcPr>
          <w:p w14:paraId="0ABD9522" w14:textId="77777777" w:rsidR="00D63208" w:rsidRPr="00B22BCB" w:rsidRDefault="00D63208" w:rsidP="00B76BAF">
            <w:pPr>
              <w:pStyle w:val="Tablecentre"/>
              <w:keepNext w:val="0"/>
              <w:rPr>
                <w:rFonts w:ascii="Arial Narrow" w:hAnsi="Arial Narrow"/>
              </w:rPr>
            </w:pPr>
          </w:p>
        </w:tc>
      </w:tr>
      <w:tr w:rsidR="00D63208" w:rsidRPr="00B22BCB" w14:paraId="4B91DB4F" w14:textId="77777777" w:rsidTr="00D011DA">
        <w:tc>
          <w:tcPr>
            <w:tcW w:w="1176" w:type="pct"/>
            <w:tcBorders>
              <w:top w:val="nil"/>
              <w:bottom w:val="nil"/>
            </w:tcBorders>
          </w:tcPr>
          <w:p w14:paraId="25BD1165" w14:textId="77777777" w:rsidR="00D63208" w:rsidRPr="00B22BCB" w:rsidRDefault="00D63208" w:rsidP="00B76BAF">
            <w:pPr>
              <w:pStyle w:val="Tab1table"/>
              <w:rPr>
                <w:rFonts w:ascii="Arial Narrow" w:hAnsi="Arial Narrow"/>
              </w:rPr>
            </w:pPr>
            <w:r w:rsidRPr="00B22BCB">
              <w:rPr>
                <w:rFonts w:ascii="Arial Narrow" w:hAnsi="Arial Narrow"/>
              </w:rPr>
              <w:t>Increased amylase</w:t>
            </w:r>
          </w:p>
        </w:tc>
        <w:tc>
          <w:tcPr>
            <w:tcW w:w="555" w:type="pct"/>
            <w:tcBorders>
              <w:top w:val="nil"/>
              <w:bottom w:val="nil"/>
            </w:tcBorders>
          </w:tcPr>
          <w:p w14:paraId="01349DC6" w14:textId="77777777" w:rsidR="00D63208" w:rsidRPr="00B22BCB" w:rsidRDefault="00D63208" w:rsidP="00B76BAF">
            <w:pPr>
              <w:pStyle w:val="Tablecentre"/>
              <w:keepNext w:val="0"/>
              <w:rPr>
                <w:rFonts w:ascii="Arial Narrow" w:hAnsi="Arial Narrow"/>
              </w:rPr>
            </w:pPr>
            <w:r w:rsidRPr="00B22BCB">
              <w:rPr>
                <w:rFonts w:ascii="Arial Narrow" w:hAnsi="Arial Narrow"/>
              </w:rPr>
              <w:t>14 (9.0)</w:t>
            </w:r>
          </w:p>
        </w:tc>
        <w:tc>
          <w:tcPr>
            <w:tcW w:w="546" w:type="pct"/>
            <w:tcBorders>
              <w:top w:val="nil"/>
              <w:bottom w:val="nil"/>
            </w:tcBorders>
          </w:tcPr>
          <w:p w14:paraId="2F2F8256" w14:textId="77777777" w:rsidR="00D63208" w:rsidRPr="00B22BCB" w:rsidRDefault="00D63208" w:rsidP="00B76BAF">
            <w:pPr>
              <w:pStyle w:val="Tablecentre"/>
              <w:keepNext w:val="0"/>
              <w:rPr>
                <w:rFonts w:ascii="Arial Narrow" w:hAnsi="Arial Narrow"/>
              </w:rPr>
            </w:pPr>
            <w:r w:rsidRPr="00B22BCB">
              <w:rPr>
                <w:rFonts w:ascii="Arial Narrow" w:hAnsi="Arial Narrow"/>
              </w:rPr>
              <w:t>4 (1.5)</w:t>
            </w:r>
          </w:p>
        </w:tc>
        <w:tc>
          <w:tcPr>
            <w:tcW w:w="1337" w:type="pct"/>
            <w:tcBorders>
              <w:top w:val="nil"/>
              <w:bottom w:val="nil"/>
            </w:tcBorders>
          </w:tcPr>
          <w:p w14:paraId="6293943D" w14:textId="37C51EAB" w:rsidR="00D63208" w:rsidRPr="00B22BCB" w:rsidRDefault="00D63208" w:rsidP="00D011DA">
            <w:pPr>
              <w:pStyle w:val="Tablecentre"/>
              <w:keepNext w:val="0"/>
              <w:rPr>
                <w:rFonts w:ascii="Arial Narrow" w:hAnsi="Arial Narrow"/>
                <w:b/>
                <w:bCs/>
              </w:rPr>
            </w:pPr>
            <w:r w:rsidRPr="00B22BCB">
              <w:rPr>
                <w:rFonts w:ascii="Arial Narrow" w:hAnsi="Arial Narrow"/>
                <w:b/>
                <w:bCs/>
              </w:rPr>
              <w:t>6.06 (2.03, 18.08)</w:t>
            </w:r>
            <w:r w:rsidR="00D011DA">
              <w:rPr>
                <w:rFonts w:ascii="Arial Narrow" w:hAnsi="Arial Narrow"/>
                <w:b/>
                <w:bCs/>
              </w:rPr>
              <w:t xml:space="preserve">; </w:t>
            </w:r>
            <w:r w:rsidRPr="00B22BCB">
              <w:rPr>
                <w:rFonts w:ascii="Arial Narrow" w:hAnsi="Arial Narrow"/>
                <w:b/>
                <w:bCs/>
              </w:rPr>
              <w:t>P = 0.001</w:t>
            </w:r>
          </w:p>
        </w:tc>
        <w:tc>
          <w:tcPr>
            <w:tcW w:w="1386" w:type="pct"/>
            <w:tcBorders>
              <w:top w:val="nil"/>
              <w:bottom w:val="nil"/>
            </w:tcBorders>
          </w:tcPr>
          <w:p w14:paraId="7F53C3F7" w14:textId="0080E7C7" w:rsidR="00D63208" w:rsidRPr="00B22BCB" w:rsidRDefault="00D63208" w:rsidP="00D011DA">
            <w:pPr>
              <w:pStyle w:val="Tablecentre"/>
              <w:keepNext w:val="0"/>
              <w:rPr>
                <w:rFonts w:ascii="Arial Narrow" w:hAnsi="Arial Narrow"/>
                <w:b/>
                <w:bCs/>
              </w:rPr>
            </w:pPr>
            <w:r w:rsidRPr="00B22BCB">
              <w:rPr>
                <w:rFonts w:ascii="Arial Narrow" w:hAnsi="Arial Narrow"/>
                <w:b/>
                <w:bCs/>
              </w:rPr>
              <w:t>0.07 (0.03, 0.12)</w:t>
            </w:r>
            <w:r w:rsidR="00D011DA">
              <w:rPr>
                <w:rFonts w:ascii="Arial Narrow" w:hAnsi="Arial Narrow"/>
                <w:b/>
                <w:bCs/>
              </w:rPr>
              <w:t xml:space="preserve">; </w:t>
            </w:r>
            <w:r w:rsidRPr="00B22BCB">
              <w:rPr>
                <w:rFonts w:ascii="Arial Narrow" w:hAnsi="Arial Narrow"/>
                <w:b/>
                <w:bCs/>
              </w:rPr>
              <w:t>P = 0.002</w:t>
            </w:r>
          </w:p>
        </w:tc>
      </w:tr>
      <w:tr w:rsidR="00D63208" w:rsidRPr="00B22BCB" w14:paraId="692FB0E4" w14:textId="77777777" w:rsidTr="00D011DA">
        <w:tc>
          <w:tcPr>
            <w:tcW w:w="1176" w:type="pct"/>
            <w:tcBorders>
              <w:top w:val="nil"/>
              <w:bottom w:val="nil"/>
            </w:tcBorders>
          </w:tcPr>
          <w:p w14:paraId="359733DA" w14:textId="77777777" w:rsidR="00D63208" w:rsidRPr="00B22BCB" w:rsidRDefault="00D63208" w:rsidP="00B76BAF">
            <w:pPr>
              <w:pStyle w:val="Tab1table"/>
              <w:rPr>
                <w:rFonts w:ascii="Arial Narrow" w:hAnsi="Arial Narrow"/>
              </w:rPr>
            </w:pPr>
            <w:r w:rsidRPr="00B22BCB">
              <w:rPr>
                <w:rFonts w:ascii="Arial Narrow" w:hAnsi="Arial Narrow"/>
              </w:rPr>
              <w:t xml:space="preserve">Increased lipase </w:t>
            </w:r>
          </w:p>
        </w:tc>
        <w:tc>
          <w:tcPr>
            <w:tcW w:w="555" w:type="pct"/>
            <w:tcBorders>
              <w:top w:val="nil"/>
              <w:bottom w:val="nil"/>
            </w:tcBorders>
          </w:tcPr>
          <w:p w14:paraId="7A8BCB47" w14:textId="77777777" w:rsidR="00D63208" w:rsidRPr="00B22BCB" w:rsidRDefault="00D63208" w:rsidP="00B76BAF">
            <w:pPr>
              <w:pStyle w:val="Tablecentre"/>
              <w:keepNext w:val="0"/>
              <w:rPr>
                <w:rFonts w:ascii="Arial Narrow" w:hAnsi="Arial Narrow"/>
              </w:rPr>
            </w:pPr>
            <w:r w:rsidRPr="00B22BCB">
              <w:rPr>
                <w:rFonts w:ascii="Arial Narrow" w:hAnsi="Arial Narrow"/>
              </w:rPr>
              <w:t>4 (2.6)</w:t>
            </w:r>
          </w:p>
        </w:tc>
        <w:tc>
          <w:tcPr>
            <w:tcW w:w="546" w:type="pct"/>
            <w:tcBorders>
              <w:top w:val="nil"/>
              <w:bottom w:val="nil"/>
            </w:tcBorders>
          </w:tcPr>
          <w:p w14:paraId="579C76CC" w14:textId="77777777" w:rsidR="00D63208" w:rsidRPr="00B22BCB" w:rsidRDefault="00D63208" w:rsidP="00B76BAF">
            <w:pPr>
              <w:pStyle w:val="Tablecentre"/>
              <w:keepNext w:val="0"/>
              <w:rPr>
                <w:rFonts w:ascii="Arial Narrow" w:hAnsi="Arial Narrow"/>
              </w:rPr>
            </w:pPr>
            <w:r w:rsidRPr="00B22BCB">
              <w:rPr>
                <w:rFonts w:ascii="Arial Narrow" w:hAnsi="Arial Narrow"/>
              </w:rPr>
              <w:t>27 (10.0)</w:t>
            </w:r>
          </w:p>
        </w:tc>
        <w:tc>
          <w:tcPr>
            <w:tcW w:w="1337" w:type="pct"/>
            <w:tcBorders>
              <w:top w:val="nil"/>
              <w:bottom w:val="nil"/>
            </w:tcBorders>
          </w:tcPr>
          <w:p w14:paraId="454544A0" w14:textId="029E8E43" w:rsidR="00D63208" w:rsidRPr="00B22BCB" w:rsidRDefault="00D63208" w:rsidP="00D011DA">
            <w:pPr>
              <w:pStyle w:val="Tablecentre"/>
              <w:keepNext w:val="0"/>
              <w:rPr>
                <w:rFonts w:ascii="Arial Narrow" w:hAnsi="Arial Narrow"/>
                <w:b/>
                <w:bCs/>
              </w:rPr>
            </w:pPr>
            <w:r w:rsidRPr="00B22BCB">
              <w:rPr>
                <w:rFonts w:ascii="Arial Narrow" w:hAnsi="Arial Narrow"/>
                <w:b/>
                <w:bCs/>
              </w:rPr>
              <w:t>0.26 (0.09, 0.72)</w:t>
            </w:r>
            <w:r w:rsidR="00D011DA">
              <w:rPr>
                <w:rFonts w:ascii="Arial Narrow" w:hAnsi="Arial Narrow"/>
                <w:b/>
                <w:bCs/>
              </w:rPr>
              <w:t xml:space="preserve">; </w:t>
            </w:r>
            <w:r w:rsidRPr="00B22BCB">
              <w:rPr>
                <w:rFonts w:ascii="Arial Narrow" w:hAnsi="Arial Narrow"/>
                <w:b/>
                <w:bCs/>
              </w:rPr>
              <w:t>P = 0.010</w:t>
            </w:r>
          </w:p>
        </w:tc>
        <w:tc>
          <w:tcPr>
            <w:tcW w:w="1386" w:type="pct"/>
            <w:tcBorders>
              <w:top w:val="nil"/>
              <w:bottom w:val="nil"/>
            </w:tcBorders>
          </w:tcPr>
          <w:p w14:paraId="342421C1" w14:textId="72C86602" w:rsidR="00D63208" w:rsidRPr="00B22BCB" w:rsidRDefault="00D63208" w:rsidP="00D011DA">
            <w:pPr>
              <w:pStyle w:val="Tablecentre"/>
              <w:keepNext w:val="0"/>
              <w:rPr>
                <w:rFonts w:ascii="Arial Narrow" w:hAnsi="Arial Narrow"/>
                <w:b/>
                <w:bCs/>
              </w:rPr>
            </w:pPr>
            <w:r w:rsidRPr="00B22BCB">
              <w:rPr>
                <w:rFonts w:ascii="Arial Narrow" w:hAnsi="Arial Narrow"/>
                <w:b/>
                <w:bCs/>
              </w:rPr>
              <w:t>-0.07 (-0.12, -0.03)</w:t>
            </w:r>
            <w:r w:rsidR="00D011DA">
              <w:rPr>
                <w:rFonts w:ascii="Arial Narrow" w:hAnsi="Arial Narrow"/>
                <w:b/>
                <w:bCs/>
              </w:rPr>
              <w:t xml:space="preserve">; </w:t>
            </w:r>
            <w:r w:rsidRPr="00B22BCB">
              <w:rPr>
                <w:rFonts w:ascii="Arial Narrow" w:hAnsi="Arial Narrow"/>
                <w:b/>
                <w:bCs/>
              </w:rPr>
              <w:t>P = 0.0008</w:t>
            </w:r>
          </w:p>
        </w:tc>
      </w:tr>
      <w:tr w:rsidR="00D63208" w:rsidRPr="00B22BCB" w14:paraId="1CD11270" w14:textId="77777777" w:rsidTr="00D011DA">
        <w:tc>
          <w:tcPr>
            <w:tcW w:w="1176" w:type="pct"/>
            <w:tcBorders>
              <w:top w:val="nil"/>
              <w:bottom w:val="nil"/>
            </w:tcBorders>
          </w:tcPr>
          <w:p w14:paraId="65A21B7A" w14:textId="77777777" w:rsidR="00D63208" w:rsidRPr="00B22BCB" w:rsidRDefault="00D63208" w:rsidP="00B76BAF">
            <w:pPr>
              <w:pStyle w:val="Tab1table"/>
              <w:rPr>
                <w:rFonts w:ascii="Arial Narrow" w:hAnsi="Arial Narrow"/>
              </w:rPr>
            </w:pPr>
            <w:r w:rsidRPr="00B22BCB">
              <w:rPr>
                <w:rFonts w:ascii="Arial Narrow" w:hAnsi="Arial Narrow"/>
              </w:rPr>
              <w:t>Hypertension</w:t>
            </w:r>
          </w:p>
        </w:tc>
        <w:tc>
          <w:tcPr>
            <w:tcW w:w="555" w:type="pct"/>
            <w:tcBorders>
              <w:top w:val="nil"/>
              <w:bottom w:val="nil"/>
            </w:tcBorders>
          </w:tcPr>
          <w:p w14:paraId="38AF2980" w14:textId="77777777" w:rsidR="00D63208" w:rsidRPr="00B22BCB" w:rsidRDefault="00D63208" w:rsidP="00B76BAF">
            <w:pPr>
              <w:pStyle w:val="Tablecentre"/>
              <w:keepNext w:val="0"/>
              <w:rPr>
                <w:rFonts w:ascii="Arial Narrow" w:hAnsi="Arial Narrow"/>
              </w:rPr>
            </w:pPr>
            <w:r w:rsidRPr="00B22BCB">
              <w:rPr>
                <w:rFonts w:ascii="Arial Narrow" w:hAnsi="Arial Narrow"/>
              </w:rPr>
              <w:t>3 (1.9)</w:t>
            </w:r>
          </w:p>
        </w:tc>
        <w:tc>
          <w:tcPr>
            <w:tcW w:w="546" w:type="pct"/>
            <w:tcBorders>
              <w:top w:val="nil"/>
              <w:bottom w:val="nil"/>
            </w:tcBorders>
          </w:tcPr>
          <w:p w14:paraId="1F51A472" w14:textId="77777777" w:rsidR="00D63208" w:rsidRPr="00B22BCB" w:rsidRDefault="00D63208" w:rsidP="00B76BAF">
            <w:pPr>
              <w:pStyle w:val="Tablecentre"/>
              <w:keepNext w:val="0"/>
              <w:rPr>
                <w:rFonts w:ascii="Arial Narrow" w:hAnsi="Arial Narrow"/>
              </w:rPr>
            </w:pPr>
            <w:r w:rsidRPr="00B22BCB">
              <w:rPr>
                <w:rFonts w:ascii="Arial Narrow" w:hAnsi="Arial Narrow"/>
              </w:rPr>
              <w:t>6 (2.2)</w:t>
            </w:r>
          </w:p>
        </w:tc>
        <w:tc>
          <w:tcPr>
            <w:tcW w:w="1337" w:type="pct"/>
            <w:tcBorders>
              <w:top w:val="nil"/>
              <w:bottom w:val="nil"/>
            </w:tcBorders>
          </w:tcPr>
          <w:p w14:paraId="1C42ACF5" w14:textId="481C85DB" w:rsidR="00D63208" w:rsidRPr="00B22BCB" w:rsidRDefault="00D63208" w:rsidP="00D011DA">
            <w:pPr>
              <w:pStyle w:val="Tablecentre"/>
              <w:keepNext w:val="0"/>
              <w:rPr>
                <w:rFonts w:ascii="Arial Narrow" w:hAnsi="Arial Narrow"/>
              </w:rPr>
            </w:pPr>
            <w:r w:rsidRPr="00B22BCB">
              <w:rPr>
                <w:rFonts w:ascii="Arial Narrow" w:hAnsi="Arial Narrow"/>
              </w:rPr>
              <w:t>0.87 (0.22, 3.41)</w:t>
            </w:r>
            <w:r w:rsidR="00D011DA">
              <w:rPr>
                <w:rFonts w:ascii="Arial Narrow" w:hAnsi="Arial Narrow"/>
              </w:rPr>
              <w:t xml:space="preserve">; </w:t>
            </w:r>
            <w:r w:rsidRPr="00B22BCB">
              <w:rPr>
                <w:rFonts w:ascii="Arial Narrow" w:hAnsi="Arial Narrow"/>
              </w:rPr>
              <w:t>P = 0.84</w:t>
            </w:r>
          </w:p>
        </w:tc>
        <w:tc>
          <w:tcPr>
            <w:tcW w:w="1386" w:type="pct"/>
            <w:tcBorders>
              <w:top w:val="nil"/>
              <w:bottom w:val="nil"/>
            </w:tcBorders>
          </w:tcPr>
          <w:p w14:paraId="0FC1E73F" w14:textId="31269B24" w:rsidR="00D63208" w:rsidRPr="00B22BCB" w:rsidRDefault="00D63208" w:rsidP="00D011DA">
            <w:pPr>
              <w:pStyle w:val="Tablecentre"/>
              <w:keepNext w:val="0"/>
              <w:rPr>
                <w:rFonts w:ascii="Arial Narrow" w:hAnsi="Arial Narrow"/>
              </w:rPr>
            </w:pPr>
            <w:r w:rsidRPr="00B22BCB">
              <w:rPr>
                <w:rFonts w:ascii="Arial Narrow" w:hAnsi="Arial Narrow"/>
              </w:rPr>
              <w:t>-0.00 (-0.03, 0.02)</w:t>
            </w:r>
            <w:r w:rsidR="00D011DA">
              <w:rPr>
                <w:rFonts w:ascii="Arial Narrow" w:hAnsi="Arial Narrow"/>
              </w:rPr>
              <w:t xml:space="preserve">; </w:t>
            </w:r>
            <w:r w:rsidRPr="00B22BCB">
              <w:rPr>
                <w:rFonts w:ascii="Arial Narrow" w:hAnsi="Arial Narrow"/>
              </w:rPr>
              <w:t>P = 0.83</w:t>
            </w:r>
          </w:p>
        </w:tc>
      </w:tr>
      <w:tr w:rsidR="00D63208" w:rsidRPr="00B22BCB" w14:paraId="01692050" w14:textId="77777777" w:rsidTr="00D011DA">
        <w:tc>
          <w:tcPr>
            <w:tcW w:w="1176" w:type="pct"/>
            <w:tcBorders>
              <w:top w:val="nil"/>
              <w:bottom w:val="nil"/>
            </w:tcBorders>
          </w:tcPr>
          <w:p w14:paraId="1BBD0F28" w14:textId="77777777" w:rsidR="00D63208" w:rsidRPr="00B22BCB" w:rsidRDefault="00D63208" w:rsidP="00B76BAF">
            <w:pPr>
              <w:pStyle w:val="Tab1table"/>
              <w:rPr>
                <w:rFonts w:ascii="Arial Narrow" w:hAnsi="Arial Narrow"/>
              </w:rPr>
            </w:pPr>
            <w:r w:rsidRPr="00B22BCB">
              <w:rPr>
                <w:rFonts w:ascii="Arial Narrow" w:hAnsi="Arial Narrow"/>
              </w:rPr>
              <w:t xml:space="preserve">Headache </w:t>
            </w:r>
          </w:p>
        </w:tc>
        <w:tc>
          <w:tcPr>
            <w:tcW w:w="555" w:type="pct"/>
            <w:tcBorders>
              <w:top w:val="nil"/>
              <w:bottom w:val="nil"/>
            </w:tcBorders>
          </w:tcPr>
          <w:p w14:paraId="472308BB" w14:textId="77777777" w:rsidR="00D63208" w:rsidRPr="00B22BCB" w:rsidRDefault="00D63208" w:rsidP="00B76BAF">
            <w:pPr>
              <w:pStyle w:val="Tablecentre"/>
              <w:keepNext w:val="0"/>
              <w:rPr>
                <w:rFonts w:ascii="Arial Narrow" w:hAnsi="Arial Narrow"/>
              </w:rPr>
            </w:pPr>
            <w:r w:rsidRPr="00B22BCB">
              <w:rPr>
                <w:rFonts w:ascii="Arial Narrow" w:hAnsi="Arial Narrow"/>
              </w:rPr>
              <w:t>1 (0.6)</w:t>
            </w:r>
          </w:p>
        </w:tc>
        <w:tc>
          <w:tcPr>
            <w:tcW w:w="546" w:type="pct"/>
            <w:tcBorders>
              <w:top w:val="nil"/>
              <w:bottom w:val="nil"/>
            </w:tcBorders>
          </w:tcPr>
          <w:p w14:paraId="38C63144" w14:textId="77777777" w:rsidR="00D63208" w:rsidRPr="00B22BCB" w:rsidRDefault="00D63208" w:rsidP="00B76BAF">
            <w:pPr>
              <w:pStyle w:val="Tablecentre"/>
              <w:keepNext w:val="0"/>
              <w:rPr>
                <w:rFonts w:ascii="Arial Narrow" w:hAnsi="Arial Narrow"/>
              </w:rPr>
            </w:pPr>
            <w:r w:rsidRPr="00B22BCB">
              <w:rPr>
                <w:rFonts w:ascii="Arial Narrow" w:hAnsi="Arial Narrow"/>
              </w:rPr>
              <w:t>5 (1.9)</w:t>
            </w:r>
          </w:p>
        </w:tc>
        <w:tc>
          <w:tcPr>
            <w:tcW w:w="1337" w:type="pct"/>
            <w:tcBorders>
              <w:top w:val="nil"/>
              <w:bottom w:val="nil"/>
            </w:tcBorders>
          </w:tcPr>
          <w:p w14:paraId="53D6D4E2" w14:textId="532C3E38" w:rsidR="00D63208" w:rsidRPr="00B22BCB" w:rsidRDefault="00D63208" w:rsidP="00D011DA">
            <w:pPr>
              <w:pStyle w:val="Tablecentre"/>
              <w:keepNext w:val="0"/>
              <w:rPr>
                <w:rFonts w:ascii="Arial Narrow" w:hAnsi="Arial Narrow"/>
              </w:rPr>
            </w:pPr>
            <w:r w:rsidRPr="00B22BCB">
              <w:rPr>
                <w:rFonts w:ascii="Arial Narrow" w:hAnsi="Arial Narrow"/>
              </w:rPr>
              <w:t>0.35 (0.04, 2.94)</w:t>
            </w:r>
            <w:r w:rsidR="00D011DA">
              <w:rPr>
                <w:rFonts w:ascii="Arial Narrow" w:hAnsi="Arial Narrow"/>
              </w:rPr>
              <w:t xml:space="preserve">; </w:t>
            </w:r>
            <w:r w:rsidRPr="00B22BCB">
              <w:rPr>
                <w:rFonts w:ascii="Arial Narrow" w:hAnsi="Arial Narrow"/>
              </w:rPr>
              <w:t>P = 0.33</w:t>
            </w:r>
          </w:p>
        </w:tc>
        <w:tc>
          <w:tcPr>
            <w:tcW w:w="1386" w:type="pct"/>
            <w:tcBorders>
              <w:top w:val="nil"/>
              <w:bottom w:val="nil"/>
            </w:tcBorders>
          </w:tcPr>
          <w:p w14:paraId="0344CC95" w14:textId="6521D254" w:rsidR="00D63208" w:rsidRPr="00B22BCB" w:rsidRDefault="00D63208" w:rsidP="00D011DA">
            <w:pPr>
              <w:pStyle w:val="Tablecentre"/>
              <w:keepNext w:val="0"/>
              <w:rPr>
                <w:rFonts w:ascii="Arial Narrow" w:hAnsi="Arial Narrow"/>
              </w:rPr>
            </w:pPr>
            <w:r w:rsidRPr="00B22BCB">
              <w:rPr>
                <w:rFonts w:ascii="Arial Narrow" w:hAnsi="Arial Narrow"/>
              </w:rPr>
              <w:t>-0.01 (-0.03, 0.01)</w:t>
            </w:r>
            <w:r w:rsidR="00D011DA">
              <w:rPr>
                <w:rFonts w:ascii="Arial Narrow" w:hAnsi="Arial Narrow"/>
              </w:rPr>
              <w:t xml:space="preserve">; </w:t>
            </w:r>
            <w:r w:rsidRPr="00B22BCB">
              <w:rPr>
                <w:rFonts w:ascii="Arial Narrow" w:hAnsi="Arial Narrow"/>
              </w:rPr>
              <w:t>P = 0.24</w:t>
            </w:r>
          </w:p>
        </w:tc>
      </w:tr>
      <w:tr w:rsidR="00D63208" w:rsidRPr="00B22BCB" w14:paraId="5275E4CA" w14:textId="77777777" w:rsidTr="00D011DA">
        <w:tc>
          <w:tcPr>
            <w:tcW w:w="1176" w:type="pct"/>
            <w:tcBorders>
              <w:top w:val="nil"/>
              <w:bottom w:val="nil"/>
            </w:tcBorders>
          </w:tcPr>
          <w:p w14:paraId="390948AD" w14:textId="77777777" w:rsidR="00D63208" w:rsidRPr="00B22BCB" w:rsidRDefault="00D63208" w:rsidP="00B76BAF">
            <w:pPr>
              <w:pStyle w:val="Tab1table"/>
              <w:rPr>
                <w:rFonts w:ascii="Arial Narrow" w:hAnsi="Arial Narrow"/>
              </w:rPr>
            </w:pPr>
            <w:r w:rsidRPr="00B22BCB">
              <w:rPr>
                <w:rFonts w:ascii="Arial Narrow" w:hAnsi="Arial Narrow"/>
              </w:rPr>
              <w:t>Abdominal pain</w:t>
            </w:r>
          </w:p>
        </w:tc>
        <w:tc>
          <w:tcPr>
            <w:tcW w:w="555" w:type="pct"/>
            <w:tcBorders>
              <w:top w:val="nil"/>
              <w:bottom w:val="nil"/>
            </w:tcBorders>
          </w:tcPr>
          <w:p w14:paraId="10217B89"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nil"/>
            </w:tcBorders>
          </w:tcPr>
          <w:p w14:paraId="0E2B2BBB" w14:textId="77777777" w:rsidR="00D63208" w:rsidRPr="00B22BCB" w:rsidRDefault="00D63208" w:rsidP="00B76BAF">
            <w:pPr>
              <w:pStyle w:val="Tablecentre"/>
              <w:keepNext w:val="0"/>
              <w:rPr>
                <w:rFonts w:ascii="Arial Narrow" w:hAnsi="Arial Narrow"/>
              </w:rPr>
            </w:pPr>
            <w:r w:rsidRPr="00B22BCB">
              <w:rPr>
                <w:rFonts w:ascii="Arial Narrow" w:hAnsi="Arial Narrow"/>
              </w:rPr>
              <w:t>20 (7.4)</w:t>
            </w:r>
          </w:p>
        </w:tc>
        <w:tc>
          <w:tcPr>
            <w:tcW w:w="1337" w:type="pct"/>
            <w:tcBorders>
              <w:top w:val="nil"/>
              <w:bottom w:val="nil"/>
            </w:tcBorders>
          </w:tcPr>
          <w:p w14:paraId="1A1DED81" w14:textId="3DAD4616" w:rsidR="00D63208" w:rsidRPr="00B22BCB" w:rsidRDefault="00D63208" w:rsidP="00D011DA">
            <w:pPr>
              <w:pStyle w:val="Tablecentre"/>
              <w:keepNext w:val="0"/>
              <w:rPr>
                <w:rFonts w:ascii="Arial Narrow" w:hAnsi="Arial Narrow"/>
                <w:b/>
                <w:bCs/>
              </w:rPr>
            </w:pPr>
            <w:r w:rsidRPr="00B22BCB">
              <w:rPr>
                <w:rFonts w:ascii="Arial Narrow" w:hAnsi="Arial Narrow"/>
                <w:b/>
                <w:bCs/>
              </w:rPr>
              <w:t>0.04 (0.00, 0.69)</w:t>
            </w:r>
            <w:r w:rsidR="00D011DA">
              <w:rPr>
                <w:rFonts w:ascii="Arial Narrow" w:hAnsi="Arial Narrow"/>
                <w:b/>
                <w:bCs/>
              </w:rPr>
              <w:t xml:space="preserve">; </w:t>
            </w:r>
            <w:r w:rsidRPr="00B22BCB">
              <w:rPr>
                <w:rFonts w:ascii="Arial Narrow" w:hAnsi="Arial Narrow"/>
                <w:b/>
                <w:bCs/>
              </w:rPr>
              <w:t>P = 0.03</w:t>
            </w:r>
          </w:p>
        </w:tc>
        <w:tc>
          <w:tcPr>
            <w:tcW w:w="1386" w:type="pct"/>
            <w:tcBorders>
              <w:top w:val="nil"/>
              <w:bottom w:val="nil"/>
            </w:tcBorders>
          </w:tcPr>
          <w:p w14:paraId="27F3E3C6" w14:textId="1BF7EE33" w:rsidR="00D63208" w:rsidRPr="00B22BCB" w:rsidRDefault="00D63208" w:rsidP="00D011DA">
            <w:pPr>
              <w:pStyle w:val="Tablecentre"/>
              <w:keepNext w:val="0"/>
              <w:rPr>
                <w:rFonts w:ascii="Arial Narrow" w:hAnsi="Arial Narrow"/>
                <w:b/>
                <w:bCs/>
              </w:rPr>
            </w:pPr>
            <w:r w:rsidRPr="00B22BCB">
              <w:rPr>
                <w:rFonts w:ascii="Arial Narrow" w:hAnsi="Arial Narrow"/>
                <w:b/>
                <w:bCs/>
              </w:rPr>
              <w:t>-0.07 (-0.11, -0.04)</w:t>
            </w:r>
            <w:r w:rsidR="00D011DA">
              <w:rPr>
                <w:rFonts w:ascii="Arial Narrow" w:hAnsi="Arial Narrow"/>
                <w:b/>
                <w:bCs/>
              </w:rPr>
              <w:t xml:space="preserve">; </w:t>
            </w:r>
            <w:r w:rsidRPr="00B22BCB">
              <w:rPr>
                <w:rFonts w:ascii="Arial Narrow" w:hAnsi="Arial Narrow"/>
                <w:b/>
                <w:bCs/>
              </w:rPr>
              <w:t>P &lt; 0.0001</w:t>
            </w:r>
          </w:p>
        </w:tc>
      </w:tr>
      <w:tr w:rsidR="00D63208" w:rsidRPr="00B22BCB" w14:paraId="15BFB4AD" w14:textId="77777777" w:rsidTr="00D011DA">
        <w:tc>
          <w:tcPr>
            <w:tcW w:w="1176" w:type="pct"/>
            <w:tcBorders>
              <w:top w:val="nil"/>
              <w:bottom w:val="nil"/>
            </w:tcBorders>
          </w:tcPr>
          <w:p w14:paraId="0FD70CA0" w14:textId="77777777" w:rsidR="00D63208" w:rsidRPr="00B22BCB" w:rsidRDefault="00D63208" w:rsidP="00B76BAF">
            <w:pPr>
              <w:pStyle w:val="Tab1table"/>
              <w:rPr>
                <w:rFonts w:ascii="Arial Narrow" w:hAnsi="Arial Narrow"/>
              </w:rPr>
            </w:pPr>
            <w:r w:rsidRPr="00B22BCB">
              <w:rPr>
                <w:rFonts w:ascii="Arial Narrow" w:hAnsi="Arial Narrow"/>
              </w:rPr>
              <w:t xml:space="preserve">Rash </w:t>
            </w:r>
          </w:p>
        </w:tc>
        <w:tc>
          <w:tcPr>
            <w:tcW w:w="555" w:type="pct"/>
            <w:tcBorders>
              <w:top w:val="nil"/>
              <w:bottom w:val="nil"/>
            </w:tcBorders>
          </w:tcPr>
          <w:p w14:paraId="12EFD291"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nil"/>
            </w:tcBorders>
          </w:tcPr>
          <w:p w14:paraId="2D4A0153" w14:textId="77777777" w:rsidR="00D63208" w:rsidRPr="00B22BCB" w:rsidRDefault="00D63208" w:rsidP="00B76BAF">
            <w:pPr>
              <w:pStyle w:val="Tablecentre"/>
              <w:keepNext w:val="0"/>
              <w:rPr>
                <w:rFonts w:ascii="Arial Narrow" w:hAnsi="Arial Narrow"/>
              </w:rPr>
            </w:pPr>
            <w:r w:rsidRPr="00B22BCB">
              <w:rPr>
                <w:rFonts w:ascii="Arial Narrow" w:hAnsi="Arial Narrow"/>
              </w:rPr>
              <w:t>10 (3.7)</w:t>
            </w:r>
          </w:p>
        </w:tc>
        <w:tc>
          <w:tcPr>
            <w:tcW w:w="1337" w:type="pct"/>
            <w:tcBorders>
              <w:top w:val="nil"/>
              <w:bottom w:val="nil"/>
            </w:tcBorders>
          </w:tcPr>
          <w:p w14:paraId="22868D2D" w14:textId="50A12E2B" w:rsidR="00D63208" w:rsidRPr="00B22BCB" w:rsidRDefault="00D63208" w:rsidP="00D011DA">
            <w:pPr>
              <w:pStyle w:val="Tablecentre"/>
              <w:keepNext w:val="0"/>
              <w:rPr>
                <w:rFonts w:ascii="Arial Narrow" w:hAnsi="Arial Narrow"/>
              </w:rPr>
            </w:pPr>
            <w:r w:rsidRPr="00B22BCB">
              <w:rPr>
                <w:rFonts w:ascii="Arial Narrow" w:hAnsi="Arial Narrow"/>
              </w:rPr>
              <w:t>0.08 (0.00, 1.39)</w:t>
            </w:r>
            <w:r w:rsidR="00D011DA">
              <w:rPr>
                <w:rFonts w:ascii="Arial Narrow" w:hAnsi="Arial Narrow"/>
              </w:rPr>
              <w:t xml:space="preserve">; </w:t>
            </w:r>
            <w:r w:rsidRPr="00B22BCB">
              <w:rPr>
                <w:rFonts w:ascii="Arial Narrow" w:hAnsi="Arial Narrow"/>
              </w:rPr>
              <w:t>P = 0.08</w:t>
            </w:r>
          </w:p>
        </w:tc>
        <w:tc>
          <w:tcPr>
            <w:tcW w:w="1386" w:type="pct"/>
            <w:tcBorders>
              <w:top w:val="nil"/>
              <w:bottom w:val="nil"/>
            </w:tcBorders>
          </w:tcPr>
          <w:p w14:paraId="7A4720BC" w14:textId="7170062F" w:rsidR="00D63208" w:rsidRPr="00B22BCB" w:rsidRDefault="00D63208" w:rsidP="00D011DA">
            <w:pPr>
              <w:pStyle w:val="Tablecentre"/>
              <w:keepNext w:val="0"/>
              <w:rPr>
                <w:rFonts w:ascii="Arial Narrow" w:hAnsi="Arial Narrow"/>
              </w:rPr>
            </w:pPr>
            <w:r w:rsidRPr="00B22BCB">
              <w:rPr>
                <w:rFonts w:ascii="Arial Narrow" w:hAnsi="Arial Narrow"/>
                <w:b/>
                <w:bCs/>
              </w:rPr>
              <w:t>-0.04 (-0.06, -0.01)</w:t>
            </w:r>
            <w:r w:rsidR="00D011DA">
              <w:rPr>
                <w:rFonts w:ascii="Arial Narrow" w:hAnsi="Arial Narrow"/>
                <w:b/>
                <w:bCs/>
              </w:rPr>
              <w:t xml:space="preserve">; </w:t>
            </w:r>
            <w:r w:rsidRPr="00B22BCB">
              <w:rPr>
                <w:rFonts w:ascii="Arial Narrow" w:hAnsi="Arial Narrow"/>
                <w:b/>
                <w:bCs/>
              </w:rPr>
              <w:t>P = 0.003</w:t>
            </w:r>
          </w:p>
        </w:tc>
      </w:tr>
      <w:tr w:rsidR="00D63208" w:rsidRPr="00B22BCB" w14:paraId="4CE40E14" w14:textId="77777777" w:rsidTr="00D011DA">
        <w:tc>
          <w:tcPr>
            <w:tcW w:w="1176" w:type="pct"/>
            <w:tcBorders>
              <w:top w:val="nil"/>
              <w:bottom w:val="nil"/>
            </w:tcBorders>
          </w:tcPr>
          <w:p w14:paraId="7683055F" w14:textId="77777777" w:rsidR="00D63208" w:rsidRPr="00B22BCB" w:rsidRDefault="00D63208" w:rsidP="00B76BAF">
            <w:pPr>
              <w:pStyle w:val="Tab1table"/>
              <w:rPr>
                <w:rFonts w:ascii="Arial Narrow" w:hAnsi="Arial Narrow"/>
              </w:rPr>
            </w:pPr>
            <w:r w:rsidRPr="00B22BCB">
              <w:rPr>
                <w:rFonts w:ascii="Arial Narrow" w:hAnsi="Arial Narrow"/>
              </w:rPr>
              <w:t xml:space="preserve">Increased ALT </w:t>
            </w:r>
          </w:p>
        </w:tc>
        <w:tc>
          <w:tcPr>
            <w:tcW w:w="555" w:type="pct"/>
            <w:tcBorders>
              <w:top w:val="nil"/>
              <w:bottom w:val="nil"/>
            </w:tcBorders>
          </w:tcPr>
          <w:p w14:paraId="7DAB0382"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nil"/>
            </w:tcBorders>
          </w:tcPr>
          <w:p w14:paraId="70B402C6" w14:textId="77777777" w:rsidR="00D63208" w:rsidRPr="00B22BCB" w:rsidRDefault="00D63208" w:rsidP="00B76BAF">
            <w:pPr>
              <w:pStyle w:val="Tablecentre"/>
              <w:keepNext w:val="0"/>
              <w:rPr>
                <w:rFonts w:ascii="Arial Narrow" w:hAnsi="Arial Narrow"/>
              </w:rPr>
            </w:pPr>
            <w:r w:rsidRPr="00B22BCB">
              <w:rPr>
                <w:rFonts w:ascii="Arial Narrow" w:hAnsi="Arial Narrow"/>
              </w:rPr>
              <w:t>9 (3.3)</w:t>
            </w:r>
          </w:p>
        </w:tc>
        <w:tc>
          <w:tcPr>
            <w:tcW w:w="1337" w:type="pct"/>
            <w:tcBorders>
              <w:top w:val="nil"/>
              <w:bottom w:val="nil"/>
            </w:tcBorders>
          </w:tcPr>
          <w:p w14:paraId="2CF03A72" w14:textId="12355F29" w:rsidR="00D63208" w:rsidRPr="00B22BCB" w:rsidRDefault="00D63208" w:rsidP="00D011DA">
            <w:pPr>
              <w:pStyle w:val="Tablecentre"/>
              <w:keepNext w:val="0"/>
              <w:rPr>
                <w:rFonts w:ascii="Arial Narrow" w:hAnsi="Arial Narrow"/>
              </w:rPr>
            </w:pPr>
            <w:r w:rsidRPr="00B22BCB">
              <w:rPr>
                <w:rFonts w:ascii="Arial Narrow" w:hAnsi="Arial Narrow"/>
              </w:rPr>
              <w:t>0.09 (0.01, 1.55)</w:t>
            </w:r>
            <w:r w:rsidR="00D011DA">
              <w:rPr>
                <w:rFonts w:ascii="Arial Narrow" w:hAnsi="Arial Narrow"/>
              </w:rPr>
              <w:t xml:space="preserve">; </w:t>
            </w:r>
            <w:r w:rsidRPr="00B22BCB">
              <w:rPr>
                <w:rFonts w:ascii="Arial Narrow" w:hAnsi="Arial Narrow"/>
              </w:rPr>
              <w:t>P = 0.10</w:t>
            </w:r>
          </w:p>
        </w:tc>
        <w:tc>
          <w:tcPr>
            <w:tcW w:w="1386" w:type="pct"/>
            <w:tcBorders>
              <w:top w:val="nil"/>
              <w:bottom w:val="nil"/>
            </w:tcBorders>
          </w:tcPr>
          <w:p w14:paraId="4ED49850" w14:textId="11C65D16" w:rsidR="00D63208" w:rsidRPr="00B22BCB" w:rsidRDefault="00D63208" w:rsidP="00D011DA">
            <w:pPr>
              <w:pStyle w:val="Tablecentre"/>
              <w:keepNext w:val="0"/>
              <w:rPr>
                <w:rFonts w:ascii="Arial Narrow" w:hAnsi="Arial Narrow"/>
                <w:b/>
                <w:bCs/>
              </w:rPr>
            </w:pPr>
            <w:r w:rsidRPr="00B22BCB">
              <w:rPr>
                <w:rFonts w:ascii="Arial Narrow" w:hAnsi="Arial Narrow"/>
                <w:b/>
                <w:bCs/>
              </w:rPr>
              <w:t>-0.03 (-0.06, -0.01)</w:t>
            </w:r>
            <w:r w:rsidR="00D011DA">
              <w:rPr>
                <w:rFonts w:ascii="Arial Narrow" w:hAnsi="Arial Narrow"/>
                <w:b/>
                <w:bCs/>
              </w:rPr>
              <w:t xml:space="preserve">; </w:t>
            </w:r>
            <w:r w:rsidRPr="00B22BCB">
              <w:rPr>
                <w:rFonts w:ascii="Arial Narrow" w:hAnsi="Arial Narrow"/>
                <w:b/>
                <w:bCs/>
              </w:rPr>
              <w:t>P = 0.006</w:t>
            </w:r>
          </w:p>
        </w:tc>
      </w:tr>
      <w:tr w:rsidR="00D63208" w:rsidRPr="00B22BCB" w14:paraId="5D074677" w14:textId="77777777" w:rsidTr="00D011DA">
        <w:tc>
          <w:tcPr>
            <w:tcW w:w="1176" w:type="pct"/>
            <w:tcBorders>
              <w:top w:val="nil"/>
              <w:bottom w:val="single" w:sz="4" w:space="0" w:color="auto"/>
            </w:tcBorders>
          </w:tcPr>
          <w:p w14:paraId="63FCE703" w14:textId="77777777" w:rsidR="00D63208" w:rsidRPr="00B22BCB" w:rsidRDefault="00D63208" w:rsidP="00B76BAF">
            <w:pPr>
              <w:pStyle w:val="Tab1table"/>
              <w:rPr>
                <w:rFonts w:ascii="Arial Narrow" w:hAnsi="Arial Narrow"/>
              </w:rPr>
            </w:pPr>
            <w:r w:rsidRPr="00B22BCB">
              <w:rPr>
                <w:rFonts w:ascii="Arial Narrow" w:hAnsi="Arial Narrow"/>
              </w:rPr>
              <w:t>Arthralgia</w:t>
            </w:r>
          </w:p>
        </w:tc>
        <w:tc>
          <w:tcPr>
            <w:tcW w:w="555" w:type="pct"/>
            <w:tcBorders>
              <w:top w:val="nil"/>
              <w:bottom w:val="single" w:sz="4" w:space="0" w:color="auto"/>
            </w:tcBorders>
          </w:tcPr>
          <w:p w14:paraId="7A638BE1" w14:textId="77777777" w:rsidR="00D63208" w:rsidRPr="00B22BCB" w:rsidRDefault="00D63208" w:rsidP="00B76BAF">
            <w:pPr>
              <w:pStyle w:val="Tablecentre"/>
              <w:keepNext w:val="0"/>
              <w:rPr>
                <w:rFonts w:ascii="Arial Narrow" w:hAnsi="Arial Narrow"/>
              </w:rPr>
            </w:pPr>
            <w:r w:rsidRPr="00B22BCB">
              <w:rPr>
                <w:rFonts w:ascii="Arial Narrow" w:hAnsi="Arial Narrow"/>
              </w:rPr>
              <w:t>0</w:t>
            </w:r>
          </w:p>
        </w:tc>
        <w:tc>
          <w:tcPr>
            <w:tcW w:w="546" w:type="pct"/>
            <w:tcBorders>
              <w:top w:val="nil"/>
              <w:bottom w:val="single" w:sz="4" w:space="0" w:color="auto"/>
            </w:tcBorders>
          </w:tcPr>
          <w:p w14:paraId="330F64D6" w14:textId="77777777" w:rsidR="00D63208" w:rsidRPr="00B22BCB" w:rsidRDefault="00D63208" w:rsidP="00B76BAF">
            <w:pPr>
              <w:pStyle w:val="Tablecentre"/>
              <w:keepNext w:val="0"/>
              <w:rPr>
                <w:rFonts w:ascii="Arial Narrow" w:hAnsi="Arial Narrow"/>
              </w:rPr>
            </w:pPr>
            <w:r w:rsidRPr="00B22BCB">
              <w:rPr>
                <w:rFonts w:ascii="Arial Narrow" w:hAnsi="Arial Narrow"/>
              </w:rPr>
              <w:t>6 (2.2)</w:t>
            </w:r>
          </w:p>
        </w:tc>
        <w:tc>
          <w:tcPr>
            <w:tcW w:w="1337" w:type="pct"/>
            <w:tcBorders>
              <w:top w:val="nil"/>
              <w:bottom w:val="single" w:sz="4" w:space="0" w:color="auto"/>
            </w:tcBorders>
          </w:tcPr>
          <w:p w14:paraId="33A4FB4C" w14:textId="6BDDC03F" w:rsidR="00D63208" w:rsidRPr="00B22BCB" w:rsidRDefault="00D63208" w:rsidP="00D011DA">
            <w:pPr>
              <w:pStyle w:val="Tablecentre"/>
              <w:keepNext w:val="0"/>
              <w:rPr>
                <w:rFonts w:ascii="Arial Narrow" w:hAnsi="Arial Narrow"/>
              </w:rPr>
            </w:pPr>
            <w:r w:rsidRPr="00B22BCB">
              <w:rPr>
                <w:rFonts w:ascii="Arial Narrow" w:hAnsi="Arial Narrow"/>
              </w:rPr>
              <w:t>0.13 (0.01, 2.34)</w:t>
            </w:r>
            <w:r w:rsidR="00D011DA">
              <w:rPr>
                <w:rFonts w:ascii="Arial Narrow" w:hAnsi="Arial Narrow"/>
              </w:rPr>
              <w:t xml:space="preserve">; </w:t>
            </w:r>
            <w:r w:rsidRPr="00B22BCB">
              <w:rPr>
                <w:rFonts w:ascii="Arial Narrow" w:hAnsi="Arial Narrow"/>
              </w:rPr>
              <w:t>P = 0.17</w:t>
            </w:r>
          </w:p>
        </w:tc>
        <w:tc>
          <w:tcPr>
            <w:tcW w:w="1386" w:type="pct"/>
            <w:tcBorders>
              <w:top w:val="nil"/>
              <w:bottom w:val="single" w:sz="4" w:space="0" w:color="auto"/>
            </w:tcBorders>
          </w:tcPr>
          <w:p w14:paraId="2717F463" w14:textId="60347A97" w:rsidR="00D63208" w:rsidRPr="00B22BCB" w:rsidRDefault="00D63208" w:rsidP="00D011DA">
            <w:pPr>
              <w:pStyle w:val="Tablecentre"/>
              <w:keepNext w:val="0"/>
              <w:rPr>
                <w:rFonts w:ascii="Arial Narrow" w:hAnsi="Arial Narrow"/>
                <w:b/>
                <w:bCs/>
              </w:rPr>
            </w:pPr>
            <w:r w:rsidRPr="00B22BCB">
              <w:rPr>
                <w:rFonts w:ascii="Arial Narrow" w:hAnsi="Arial Narrow"/>
                <w:b/>
                <w:bCs/>
              </w:rPr>
              <w:t>-0.02 (-0.04, -0.00)</w:t>
            </w:r>
            <w:r w:rsidR="00D011DA">
              <w:rPr>
                <w:rFonts w:ascii="Arial Narrow" w:hAnsi="Arial Narrow"/>
                <w:b/>
                <w:bCs/>
              </w:rPr>
              <w:t xml:space="preserve">; </w:t>
            </w:r>
            <w:r w:rsidRPr="00B22BCB">
              <w:rPr>
                <w:rFonts w:ascii="Arial Narrow" w:hAnsi="Arial Narrow"/>
                <w:b/>
                <w:bCs/>
              </w:rPr>
              <w:t>P = 0.03</w:t>
            </w:r>
          </w:p>
        </w:tc>
      </w:tr>
    </w:tbl>
    <w:p w14:paraId="5AA4A1E1" w14:textId="77777777" w:rsidR="00D63208" w:rsidRPr="00B22BCB" w:rsidRDefault="00D63208" w:rsidP="00D63208">
      <w:pPr>
        <w:pStyle w:val="TableFigureFooter"/>
      </w:pPr>
      <w:r w:rsidRPr="00B22BCB">
        <w:t>Source: Table 2(a).6-1, pp 157-158 of the submission.</w:t>
      </w:r>
    </w:p>
    <w:p w14:paraId="78E31D8F" w14:textId="77777777" w:rsidR="00D63208" w:rsidRPr="00B22BCB" w:rsidRDefault="00D63208" w:rsidP="00D63208">
      <w:pPr>
        <w:pStyle w:val="TableFigureFooter"/>
      </w:pPr>
      <w:r w:rsidRPr="00B22BCB">
        <w:t>AE = adverse event; ALT = alanine aminotransferase; AST = aspartate aminotransferase; CI = confidence interval; RD = risk difference; RR = relative risk; TRAE = treatment-related adverse event</w:t>
      </w:r>
    </w:p>
    <w:p w14:paraId="3BF1FB93" w14:textId="51F9D009" w:rsidR="00D63208" w:rsidRPr="00B22BCB" w:rsidRDefault="00A446F6" w:rsidP="00D63208">
      <w:pPr>
        <w:pStyle w:val="TableFigureFooter"/>
      </w:pPr>
      <w:r w:rsidRPr="00B22BCB">
        <w:rPr>
          <w:vertAlign w:val="superscript"/>
        </w:rPr>
        <w:t>a</w:t>
      </w:r>
      <w:r w:rsidR="00D63208" w:rsidRPr="00B22BCB">
        <w:t xml:space="preserve"> Calculated using RevMan v5.3 </w:t>
      </w:r>
      <w:r w:rsidR="00B222C2" w:rsidRPr="00B22BCB">
        <w:t>by the submission</w:t>
      </w:r>
    </w:p>
    <w:p w14:paraId="4D4CFD5C" w14:textId="5E025166" w:rsidR="00D63208" w:rsidRPr="00B22BCB" w:rsidRDefault="00D63208" w:rsidP="00D63208">
      <w:pPr>
        <w:pStyle w:val="TableFigureFooter"/>
      </w:pPr>
      <w:r w:rsidRPr="00B22BCB">
        <w:rPr>
          <w:b/>
        </w:rPr>
        <w:t>Bold</w:t>
      </w:r>
      <w:r w:rsidRPr="00B22BCB">
        <w:t xml:space="preserve"> indicates statistically significant differences.</w:t>
      </w:r>
    </w:p>
    <w:p w14:paraId="19F99F8E" w14:textId="62A27134" w:rsidR="002C7D77" w:rsidRPr="00B22BCB" w:rsidRDefault="002C7D77" w:rsidP="00D63208">
      <w:pPr>
        <w:pStyle w:val="TableFigureFooter"/>
      </w:pPr>
      <w:r w:rsidRPr="00B22BCB">
        <w:t>Note: Median treatment exposure 43.36 weeks for asciminib, 55.5 weeks for ponatinib.</w:t>
      </w:r>
    </w:p>
    <w:p w14:paraId="52255AC4" w14:textId="4900E0D0" w:rsidR="003D5C8E" w:rsidRPr="002B4570" w:rsidRDefault="004251EC" w:rsidP="00B76BAF">
      <w:pPr>
        <w:pStyle w:val="3-BodyText"/>
        <w:rPr>
          <w:iCs/>
        </w:rPr>
      </w:pPr>
      <w:r w:rsidRPr="00B22BCB">
        <w:t>The submission presented comparative safety data regarding arter</w:t>
      </w:r>
      <w:r w:rsidR="0089126A" w:rsidRPr="00B22BCB">
        <w:t>ial occlusive events (AOEs), for which ponatinib has a black box warning.</w:t>
      </w:r>
      <w:r w:rsidR="00355761" w:rsidRPr="00B22BCB">
        <w:t xml:space="preserve"> The </w:t>
      </w:r>
      <w:r w:rsidR="00337BFF" w:rsidRPr="00B22BCB">
        <w:t>asciminib</w:t>
      </w:r>
      <w:r w:rsidR="00355761" w:rsidRPr="00B22BCB">
        <w:t xml:space="preserve"> safety data </w:t>
      </w:r>
      <w:r w:rsidR="00C576E4" w:rsidRPr="00B22BCB">
        <w:t>were</w:t>
      </w:r>
      <w:r w:rsidR="00355761" w:rsidRPr="00B22BCB">
        <w:t xml:space="preserve"> based on the primary analysis (median duration of treatment 43.4 weeks, median follow-up 14.9 months), whilst the ponatinib data was based on the end of study analysis (median treatment duration 139 weeks, median follow-up 56.8 months). The ‘Any AOE’ rate was lower in </w:t>
      </w:r>
      <w:r w:rsidR="00337BFF" w:rsidRPr="00B22BCB">
        <w:t>asciminib</w:t>
      </w:r>
      <w:r w:rsidR="00355761" w:rsidRPr="00B22BCB">
        <w:t xml:space="preserve"> vs ponatinib (3.2% vs 31%), and serious events such as myocardial infarction, acute coronary syndrome, ischaemic stroke/cerebral infarction were lower in </w:t>
      </w:r>
      <w:r w:rsidR="00337BFF" w:rsidRPr="00B22BCB">
        <w:t>asciminib</w:t>
      </w:r>
      <w:r w:rsidR="00355761" w:rsidRPr="00B22BCB">
        <w:t xml:space="preserve"> compared to ponatinib (0.6 – 1.3% vs 3 – 4%).</w:t>
      </w:r>
      <w:r w:rsidR="00B37DEE" w:rsidRPr="00B22BCB">
        <w:rPr>
          <w:iCs/>
        </w:rPr>
        <w:t xml:space="preserve"> </w:t>
      </w:r>
      <w:r w:rsidR="00B37DEE" w:rsidRPr="002B4570">
        <w:rPr>
          <w:iCs/>
        </w:rPr>
        <w:t xml:space="preserve">These data are difficult to interpret due to the widely disparate exposure and follow-up, </w:t>
      </w:r>
      <w:bookmarkStart w:id="44" w:name="_Toc22897643"/>
      <w:r w:rsidR="007861FA" w:rsidRPr="002B4570">
        <w:rPr>
          <w:iCs/>
        </w:rPr>
        <w:t xml:space="preserve">which is </w:t>
      </w:r>
      <w:r w:rsidR="006D6071" w:rsidRPr="002B4570">
        <w:rPr>
          <w:iCs/>
        </w:rPr>
        <w:t xml:space="preserve">most </w:t>
      </w:r>
      <w:r w:rsidR="007861FA" w:rsidRPr="002B4570">
        <w:rPr>
          <w:iCs/>
        </w:rPr>
        <w:t xml:space="preserve">important when measuring serious but rare </w:t>
      </w:r>
      <w:r w:rsidR="00AA2193">
        <w:rPr>
          <w:iCs/>
        </w:rPr>
        <w:t>AEs</w:t>
      </w:r>
      <w:r w:rsidR="007861FA" w:rsidRPr="002B4570">
        <w:rPr>
          <w:iCs/>
        </w:rPr>
        <w:t>.</w:t>
      </w:r>
    </w:p>
    <w:p w14:paraId="7A1772B6" w14:textId="23BB3145" w:rsidR="00B60939" w:rsidRPr="00B22BCB" w:rsidRDefault="00B60939" w:rsidP="00E9094A">
      <w:pPr>
        <w:pStyle w:val="4-SubsectionHeading"/>
      </w:pPr>
      <w:bookmarkStart w:id="45" w:name="_Toc22897644"/>
      <w:bookmarkStart w:id="46" w:name="_Toc103772586"/>
      <w:bookmarkEnd w:id="44"/>
      <w:r w:rsidRPr="00B22BCB">
        <w:t>Clinical claim</w:t>
      </w:r>
      <w:bookmarkEnd w:id="45"/>
      <w:bookmarkEnd w:id="46"/>
    </w:p>
    <w:p w14:paraId="1DC86442" w14:textId="7EABF8AC" w:rsidR="00250100" w:rsidRPr="002B4570" w:rsidRDefault="006402AC" w:rsidP="00B7424F">
      <w:pPr>
        <w:pStyle w:val="3-BodyText"/>
      </w:pPr>
      <w:r w:rsidRPr="002B4570">
        <w:t xml:space="preserve">The submission described </w:t>
      </w:r>
      <w:r w:rsidR="00337BFF" w:rsidRPr="002B4570">
        <w:t>asciminib</w:t>
      </w:r>
      <w:r w:rsidRPr="002B4570">
        <w:t xml:space="preserve"> as non-inferior in terms of effectiveness compared to nilotinib and ponatinib.</w:t>
      </w:r>
      <w:r w:rsidR="00C576E4" w:rsidRPr="002B4570">
        <w:t xml:space="preserve"> </w:t>
      </w:r>
      <w:r w:rsidR="00F00C0C" w:rsidRPr="008B10EA">
        <w:t>The evaluation considered t</w:t>
      </w:r>
      <w:r w:rsidR="00154354" w:rsidRPr="008B10EA">
        <w:t xml:space="preserve">his claim </w:t>
      </w:r>
      <w:r w:rsidR="00F00C0C" w:rsidRPr="008B10EA">
        <w:t>to be</w:t>
      </w:r>
      <w:r w:rsidR="00F00C0C" w:rsidRPr="002B4570">
        <w:t xml:space="preserve"> </w:t>
      </w:r>
      <w:r w:rsidR="00154354" w:rsidRPr="002B4570">
        <w:t xml:space="preserve">uncertain given the </w:t>
      </w:r>
      <w:r w:rsidR="00C773C2" w:rsidRPr="002B4570">
        <w:t>transitivity issues</w:t>
      </w:r>
      <w:r w:rsidR="00280B68" w:rsidRPr="002B4570">
        <w:t xml:space="preserve">, </w:t>
      </w:r>
      <w:r w:rsidR="00154354" w:rsidRPr="002B4570">
        <w:t xml:space="preserve">methodological flaws </w:t>
      </w:r>
      <w:r w:rsidR="00280B68" w:rsidRPr="002B4570">
        <w:t xml:space="preserve">and absence of a non-inferiority margin </w:t>
      </w:r>
      <w:r w:rsidR="00154354" w:rsidRPr="002B4570">
        <w:t>in the</w:t>
      </w:r>
      <w:r w:rsidR="00171BAB" w:rsidRPr="002B4570">
        <w:t xml:space="preserve"> unanchored, unadjusted</w:t>
      </w:r>
      <w:r w:rsidR="00154354" w:rsidRPr="002B4570">
        <w:t xml:space="preserve"> indirect comparison used as the evidence base</w:t>
      </w:r>
      <w:r w:rsidR="00250100" w:rsidRPr="002B4570">
        <w:t>:</w:t>
      </w:r>
    </w:p>
    <w:p w14:paraId="0532EABD" w14:textId="736A2F82" w:rsidR="00BE296B" w:rsidRPr="00082B14" w:rsidRDefault="00BE296B" w:rsidP="009458A3">
      <w:pPr>
        <w:pStyle w:val="ListParagraph"/>
        <w:numPr>
          <w:ilvl w:val="0"/>
          <w:numId w:val="14"/>
        </w:numPr>
      </w:pPr>
      <w:r w:rsidRPr="002B4570">
        <w:t xml:space="preserve">In the ITC with nilotinib, MMR rates were compared against a French subgroup of </w:t>
      </w:r>
      <w:r w:rsidR="008938F2">
        <w:t xml:space="preserve">the </w:t>
      </w:r>
      <w:r w:rsidRPr="002B4570">
        <w:t>ENACT</w:t>
      </w:r>
      <w:r w:rsidR="008938F2">
        <w:t xml:space="preserve"> trial</w:t>
      </w:r>
      <w:r w:rsidRPr="002B4570">
        <w:t xml:space="preserve"> which was not pre-specified, for which baseline characteristics are unknown</w:t>
      </w:r>
      <w:r w:rsidR="00803DFF" w:rsidRPr="002B4570">
        <w:t xml:space="preserve">, and </w:t>
      </w:r>
      <w:r w:rsidRPr="002B4570">
        <w:t>the 95% CIs of odds ratio</w:t>
      </w:r>
      <w:r w:rsidR="000329A6" w:rsidRPr="002B4570">
        <w:t>s</w:t>
      </w:r>
      <w:r w:rsidRPr="002B4570">
        <w:t xml:space="preserve"> had lower limits below 0.7 and 0.6. The comparison of CCyR rates was only performed at a 6-month timepoint, </w:t>
      </w:r>
      <w:r w:rsidR="00E76D2C" w:rsidRPr="002B4570">
        <w:t xml:space="preserve">which </w:t>
      </w:r>
      <w:r w:rsidRPr="00082B14">
        <w:t xml:space="preserve">statistically significantly favoured asciminib. </w:t>
      </w:r>
      <w:r w:rsidR="00B262F8" w:rsidRPr="00082B14">
        <w:t xml:space="preserve">While the PSCR provided limited patient characteristics for age and resistance/intolerance to prior treatment with imatinib, comprehensive baseline characteristics such as best response to prior TKI, time since initial diagnosis, or performance status are not available (paragraph </w:t>
      </w:r>
      <w:r w:rsidR="00B262F8" w:rsidRPr="00082B14">
        <w:fldChar w:fldCharType="begin"/>
      </w:r>
      <w:r w:rsidR="00B262F8" w:rsidRPr="00082B14">
        <w:instrText xml:space="preserve"> REF _Ref106263962 \r \h  \* MERGEFORMAT </w:instrText>
      </w:r>
      <w:r w:rsidR="00B262F8" w:rsidRPr="00082B14">
        <w:fldChar w:fldCharType="separate"/>
      </w:r>
      <w:r w:rsidR="00A914F4">
        <w:t>6.17</w:t>
      </w:r>
      <w:r w:rsidR="00B262F8" w:rsidRPr="00082B14">
        <w:fldChar w:fldCharType="end"/>
      </w:r>
      <w:r w:rsidR="00B262F8" w:rsidRPr="00082B14">
        <w:t>).</w:t>
      </w:r>
    </w:p>
    <w:p w14:paraId="3D15CC56" w14:textId="4BAD77E0" w:rsidR="00BE296B" w:rsidRPr="00082B14" w:rsidRDefault="00E76D2C" w:rsidP="009458A3">
      <w:pPr>
        <w:pStyle w:val="3-BodyText"/>
        <w:numPr>
          <w:ilvl w:val="0"/>
          <w:numId w:val="14"/>
        </w:numPr>
      </w:pPr>
      <w:r w:rsidRPr="002E7D71">
        <w:rPr>
          <w:bCs/>
        </w:rPr>
        <w:t>T</w:t>
      </w:r>
      <w:r w:rsidR="00BE296B" w:rsidRPr="002E7D71">
        <w:rPr>
          <w:bCs/>
        </w:rPr>
        <w:t>he ITC with ponatinib</w:t>
      </w:r>
      <w:r w:rsidRPr="002E7D71">
        <w:rPr>
          <w:bCs/>
        </w:rPr>
        <w:t xml:space="preserve"> </w:t>
      </w:r>
      <w:r w:rsidRPr="002E7D71">
        <w:t xml:space="preserve">was vulnerable to differences in baseline characteristics which </w:t>
      </w:r>
      <w:r w:rsidR="00240422" w:rsidRPr="002E7D71">
        <w:t xml:space="preserve">prognostically </w:t>
      </w:r>
      <w:r w:rsidR="00240422" w:rsidRPr="00082B14">
        <w:t>favoured</w:t>
      </w:r>
      <w:r w:rsidRPr="00082B14">
        <w:t xml:space="preserve"> asciminib over ponatinib</w:t>
      </w:r>
      <w:r w:rsidR="00240422" w:rsidRPr="00082B14">
        <w:t>, and the ITC between the asciminib arm of ASCEMBL and the T315I subgroup of PACE demonstrated MMR and CCyR rates which statistically significantly favoured ponatinib</w:t>
      </w:r>
      <w:r w:rsidR="00BE296B" w:rsidRPr="00082B14">
        <w:rPr>
          <w:bCs/>
        </w:rPr>
        <w:t xml:space="preserve">. </w:t>
      </w:r>
      <w:r w:rsidR="00BF1E33" w:rsidRPr="00082B14">
        <w:rPr>
          <w:bCs/>
        </w:rPr>
        <w:t xml:space="preserve">While the PSCR provided a MAIC analysis </w:t>
      </w:r>
      <w:r w:rsidR="00916A40" w:rsidRPr="00082B14">
        <w:rPr>
          <w:bCs/>
        </w:rPr>
        <w:t>(</w:t>
      </w:r>
      <w:r w:rsidR="00BF1E33" w:rsidRPr="00082B14">
        <w:rPr>
          <w:bCs/>
        </w:rPr>
        <w:t>adjust</w:t>
      </w:r>
      <w:r w:rsidR="00916A40" w:rsidRPr="00082B14">
        <w:rPr>
          <w:bCs/>
        </w:rPr>
        <w:t>ing</w:t>
      </w:r>
      <w:r w:rsidR="00BF1E33" w:rsidRPr="00082B14">
        <w:rPr>
          <w:bCs/>
        </w:rPr>
        <w:t xml:space="preserve"> </w:t>
      </w:r>
      <w:r w:rsidR="00BF1E33" w:rsidRPr="00082B14">
        <w:t>for sex, median age, race, PCyR at baseline, prior TKIs, resistance/intolerance to prior TKIs, mutation status and ECOG performance status</w:t>
      </w:r>
      <w:r w:rsidR="00916A40" w:rsidRPr="00082B14">
        <w:t>)</w:t>
      </w:r>
      <w:r w:rsidR="00BF1E33" w:rsidRPr="00082B14">
        <w:t xml:space="preserve"> that may support a claim of non</w:t>
      </w:r>
      <w:r w:rsidR="00BF1E33" w:rsidRPr="00082B14">
        <w:noBreakHyphen/>
        <w:t xml:space="preserve">inferior efficacy for asciminib versus ponatinib, the analysis involves a number of assumptions and selections of non-stratified subgroups from the PACE trial that would require a formal evaluation (paragraph </w:t>
      </w:r>
      <w:r w:rsidR="00BF1E33" w:rsidRPr="00082B14">
        <w:fldChar w:fldCharType="begin"/>
      </w:r>
      <w:r w:rsidR="00BF1E33" w:rsidRPr="00082B14">
        <w:instrText xml:space="preserve"> REF _Ref106266517 \r \h  \* MERGEFORMAT </w:instrText>
      </w:r>
      <w:r w:rsidR="00BF1E33" w:rsidRPr="00082B14">
        <w:fldChar w:fldCharType="separate"/>
      </w:r>
      <w:r w:rsidR="00A914F4">
        <w:t>6.21</w:t>
      </w:r>
      <w:r w:rsidR="00BF1E33" w:rsidRPr="00082B14">
        <w:fldChar w:fldCharType="end"/>
      </w:r>
      <w:r w:rsidR="00BF1E33" w:rsidRPr="00082B14">
        <w:t>).</w:t>
      </w:r>
    </w:p>
    <w:p w14:paraId="52FAFF91" w14:textId="58DCAAB5" w:rsidR="00C773C2" w:rsidRPr="00082B14" w:rsidRDefault="00B62641" w:rsidP="00430CEE">
      <w:pPr>
        <w:pStyle w:val="3-BodyText"/>
      </w:pPr>
      <w:bookmarkStart w:id="47" w:name="_Ref106194063"/>
      <w:r>
        <w:t>T</w:t>
      </w:r>
      <w:r w:rsidR="00C227A2" w:rsidRPr="002B4570">
        <w:t xml:space="preserve">he </w:t>
      </w:r>
      <w:r w:rsidR="00D949C8" w:rsidRPr="002B4570">
        <w:t xml:space="preserve">asciminib </w:t>
      </w:r>
      <w:r w:rsidR="00C227A2" w:rsidRPr="002B4570">
        <w:t>evidence</w:t>
      </w:r>
      <w:r w:rsidR="003151C5">
        <w:t xml:space="preserve"> </w:t>
      </w:r>
      <w:r w:rsidR="003151C5" w:rsidRPr="002E7D71">
        <w:t xml:space="preserve">from the </w:t>
      </w:r>
      <w:r w:rsidR="006D489A" w:rsidRPr="002B4570">
        <w:t>ASCEMBL</w:t>
      </w:r>
      <w:r w:rsidR="003151C5" w:rsidRPr="002E7D71">
        <w:t xml:space="preserve"> trial</w:t>
      </w:r>
      <w:r w:rsidR="00C227A2" w:rsidRPr="002B4570">
        <w:t xml:space="preserve"> </w:t>
      </w:r>
      <w:r w:rsidR="00C773C2" w:rsidRPr="002B4570">
        <w:t>was only obtained in patients without a T315I mutation</w:t>
      </w:r>
      <w:r w:rsidR="00C227A2" w:rsidRPr="002B4570">
        <w:t xml:space="preserve">. </w:t>
      </w:r>
      <w:r w:rsidR="00C773C2" w:rsidRPr="002B4570">
        <w:t xml:space="preserve">The submission highlighted the fact that the imatinib, dasatinib and nilotinib PBS restrictions do not specifically exclude use in patients with a T315I mutation. This is </w:t>
      </w:r>
      <w:r w:rsidR="006F4590">
        <w:t>correct</w:t>
      </w:r>
      <w:r w:rsidR="00C773C2" w:rsidRPr="002B4570">
        <w:t>, however many of the clinical trials that established efficacy for these treatments did not exclude patients with a T315I mutation</w:t>
      </w:r>
      <w:r w:rsidR="00F850FF" w:rsidRPr="002B4570">
        <w:t>,</w:t>
      </w:r>
      <w:r w:rsidR="00C773C2" w:rsidRPr="002B4570">
        <w:t xml:space="preserve"> </w:t>
      </w:r>
      <w:r w:rsidR="00C41AFC" w:rsidRPr="002B4570">
        <w:t xml:space="preserve">including the </w:t>
      </w:r>
      <w:r w:rsidR="00217486" w:rsidRPr="002B4570">
        <w:t xml:space="preserve">ENACT trial used in </w:t>
      </w:r>
      <w:r w:rsidR="00F850FF" w:rsidRPr="002B4570">
        <w:t>this ITC</w:t>
      </w:r>
      <w:r w:rsidR="00C773C2" w:rsidRPr="002B4570">
        <w:t xml:space="preserve">, and clinicians know that first- and second-generation TKIs are not effective in patients with a T315I mutation. </w:t>
      </w:r>
      <w:r w:rsidR="00C773C2" w:rsidRPr="002B4570">
        <w:rPr>
          <w:bCs/>
        </w:rPr>
        <w:t xml:space="preserve">The submission </w:t>
      </w:r>
      <w:r w:rsidR="009C317B" w:rsidRPr="002B4570">
        <w:rPr>
          <w:bCs/>
        </w:rPr>
        <w:t>claimed</w:t>
      </w:r>
      <w:r w:rsidR="00C773C2" w:rsidRPr="002B4570">
        <w:rPr>
          <w:bCs/>
        </w:rPr>
        <w:t xml:space="preserve"> that asciminib </w:t>
      </w:r>
      <w:r w:rsidR="00F850FF" w:rsidRPr="002B4570">
        <w:rPr>
          <w:bCs/>
        </w:rPr>
        <w:t>is effective</w:t>
      </w:r>
      <w:r w:rsidR="00C773C2" w:rsidRPr="002B4570">
        <w:rPr>
          <w:bCs/>
        </w:rPr>
        <w:t xml:space="preserve"> in patients with a T315I mutation and </w:t>
      </w:r>
      <w:r w:rsidR="009C317B" w:rsidRPr="002B4570">
        <w:rPr>
          <w:bCs/>
        </w:rPr>
        <w:t>stated</w:t>
      </w:r>
      <w:r w:rsidR="00C773C2" w:rsidRPr="002B4570">
        <w:rPr>
          <w:bCs/>
        </w:rPr>
        <w:t xml:space="preserve">, without qualification, that asciminib is non-inferior in terms of effectiveness compared to ponatinib in the </w:t>
      </w:r>
      <w:r w:rsidR="00C773C2" w:rsidRPr="00082B14">
        <w:rPr>
          <w:bCs/>
        </w:rPr>
        <w:t xml:space="preserve">treatment of CML-CP. The proposed PBS restriction for asciminib would allow substitution of asciminib for ponatinib in patients with a T315I mutation. </w:t>
      </w:r>
      <w:r w:rsidR="00C773C2" w:rsidRPr="00082B14">
        <w:t>The PBAC previously estimated that 15% of patients who fail first-line TKI therapy will have the T315I mutation (para</w:t>
      </w:r>
      <w:r w:rsidR="00576C70" w:rsidRPr="00082B14">
        <w:t>graph</w:t>
      </w:r>
      <w:r w:rsidR="00C773C2" w:rsidRPr="00082B14">
        <w:t xml:space="preserve"> 6.41, ponatinib </w:t>
      </w:r>
      <w:r w:rsidR="00576C70" w:rsidRPr="00082B14">
        <w:t>PSD</w:t>
      </w:r>
      <w:r w:rsidR="00C773C2" w:rsidRPr="00082B14">
        <w:t>, November 2014)</w:t>
      </w:r>
      <w:r w:rsidR="007F37B9" w:rsidRPr="00082B14">
        <w:t xml:space="preserve">, </w:t>
      </w:r>
      <w:r w:rsidR="000329A6" w:rsidRPr="00082B14">
        <w:t>and it is likely that</w:t>
      </w:r>
      <w:r w:rsidR="007F37B9" w:rsidRPr="00082B14">
        <w:t xml:space="preserve"> almost all current ponatinib use is in </w:t>
      </w:r>
      <w:r w:rsidR="00240422" w:rsidRPr="00082B14">
        <w:t xml:space="preserve">patients </w:t>
      </w:r>
      <w:r w:rsidR="00C42D2C" w:rsidRPr="00082B14">
        <w:t>with</w:t>
      </w:r>
      <w:r w:rsidR="00240422" w:rsidRPr="00082B14">
        <w:t xml:space="preserve"> this mutation</w:t>
      </w:r>
      <w:r w:rsidR="00C773C2" w:rsidRPr="00082B14">
        <w:t>.</w:t>
      </w:r>
      <w:bookmarkEnd w:id="47"/>
      <w:r w:rsidR="003151C5" w:rsidRPr="00082B14">
        <w:t xml:space="preserve"> The ESC noted that there are single arm data available for 45 patients with Ph+ CML in CP with the T315I mutation treated with asciminib in a multi-centre, open-label clinical trial, </w:t>
      </w:r>
      <w:r w:rsidR="00916A40" w:rsidRPr="00082B14">
        <w:rPr>
          <w:bCs/>
        </w:rPr>
        <w:t>CABL001</w:t>
      </w:r>
      <w:r w:rsidR="003151C5" w:rsidRPr="00082B14">
        <w:t>X2101</w:t>
      </w:r>
      <w:r w:rsidR="00152A68" w:rsidRPr="00082B14">
        <w:t xml:space="preserve"> (paragraph </w:t>
      </w:r>
      <w:r w:rsidR="00152A68" w:rsidRPr="00082B14">
        <w:fldChar w:fldCharType="begin"/>
      </w:r>
      <w:r w:rsidR="00152A68" w:rsidRPr="00082B14">
        <w:instrText xml:space="preserve"> REF _Ref106270781 \r \h  \* MERGEFORMAT </w:instrText>
      </w:r>
      <w:r w:rsidR="00152A68" w:rsidRPr="00082B14">
        <w:fldChar w:fldCharType="separate"/>
      </w:r>
      <w:r w:rsidR="00A914F4">
        <w:t>6.22</w:t>
      </w:r>
      <w:r w:rsidR="00152A68" w:rsidRPr="00082B14">
        <w:fldChar w:fldCharType="end"/>
      </w:r>
      <w:r w:rsidR="00152A68" w:rsidRPr="00082B14">
        <w:t>)</w:t>
      </w:r>
      <w:r w:rsidR="003151C5" w:rsidRPr="00082B14">
        <w:t>.</w:t>
      </w:r>
    </w:p>
    <w:p w14:paraId="606C701B" w14:textId="248DD5E5" w:rsidR="00845815" w:rsidRPr="002E7D71" w:rsidRDefault="00845815" w:rsidP="00430CEE">
      <w:pPr>
        <w:pStyle w:val="3-BodyText"/>
        <w:rPr>
          <w:rFonts w:eastAsia="Calibri"/>
        </w:rPr>
      </w:pPr>
      <w:r w:rsidRPr="002E7D71">
        <w:t>The ESC considered that the efficacy claim of non-inferiority compared to nilotinib and ponatinib was uncertain</w:t>
      </w:r>
      <w:r w:rsidR="001B74B3" w:rsidRPr="002E7D71">
        <w:t xml:space="preserve"> due to the transitivity issues between the trials, analysis interpretations, absence of a non-inferiority margin and different timepoints of analysis to compare treatments.</w:t>
      </w:r>
      <w:r w:rsidR="00916A40">
        <w:t xml:space="preserve"> </w:t>
      </w:r>
      <w:r w:rsidR="0017469E">
        <w:t>T</w:t>
      </w:r>
      <w:r w:rsidR="00916A40">
        <w:t>he PBAC agreed with the evaluation and the ESC that</w:t>
      </w:r>
      <w:r w:rsidR="00412048">
        <w:t xml:space="preserve"> the</w:t>
      </w:r>
      <w:r w:rsidR="00916A40">
        <w:t xml:space="preserve"> issues associated with the ITCs</w:t>
      </w:r>
      <w:r w:rsidR="00412048">
        <w:t xml:space="preserve"> of asciminib</w:t>
      </w:r>
      <w:r w:rsidR="00916A40">
        <w:t xml:space="preserve"> against nilotinib and ponatinib make the clinical claim of non-inferiority uncertain</w:t>
      </w:r>
      <w:r w:rsidR="0017469E">
        <w:t>.</w:t>
      </w:r>
      <w:r w:rsidR="00916A40">
        <w:t xml:space="preserve"> </w:t>
      </w:r>
      <w:r w:rsidR="0017469E">
        <w:t>However,</w:t>
      </w:r>
      <w:r w:rsidR="00916A40">
        <w:t xml:space="preserve"> it considered that</w:t>
      </w:r>
      <w:r w:rsidR="00E0244E">
        <w:t xml:space="preserve"> in light of the available evidence in the CML-CP therapeutic area,</w:t>
      </w:r>
      <w:r w:rsidR="00916A40">
        <w:t xml:space="preserve"> non-inferior efficacy</w:t>
      </w:r>
      <w:r w:rsidR="00412048">
        <w:t xml:space="preserve"> of asciminib against</w:t>
      </w:r>
      <w:r w:rsidR="00916A40">
        <w:t xml:space="preserve"> nilotinib is likely supported. </w:t>
      </w:r>
      <w:r w:rsidR="00E0244E">
        <w:t xml:space="preserve">The PBAC did not accept the clinical claim of non-inferiority against ponatinib based on the </w:t>
      </w:r>
      <w:r w:rsidR="0017469E">
        <w:t xml:space="preserve">comparison between the </w:t>
      </w:r>
      <w:r w:rsidR="006D489A" w:rsidRPr="002B4570">
        <w:t>ASCEMBL</w:t>
      </w:r>
      <w:r w:rsidR="0017469E">
        <w:t xml:space="preserve"> and PACE trials</w:t>
      </w:r>
      <w:r w:rsidR="00E0244E">
        <w:t xml:space="preserve">, but </w:t>
      </w:r>
      <w:r w:rsidR="00C44188">
        <w:t>noted</w:t>
      </w:r>
      <w:r w:rsidR="00E0244E">
        <w:t xml:space="preserve"> that asciminib</w:t>
      </w:r>
      <w:r w:rsidR="00C44188">
        <w:t xml:space="preserve"> data</w:t>
      </w:r>
      <w:r w:rsidR="00E0244E">
        <w:t xml:space="preserve"> </w:t>
      </w:r>
      <w:r w:rsidR="00C44188">
        <w:t>from</w:t>
      </w:r>
      <w:r w:rsidR="00E0244E">
        <w:t xml:space="preserve"> patients</w:t>
      </w:r>
      <w:r w:rsidR="0017469E">
        <w:t xml:space="preserve"> with the T315I mutation</w:t>
      </w:r>
      <w:r w:rsidR="00E0244E">
        <w:t xml:space="preserve"> from the </w:t>
      </w:r>
      <w:bookmarkStart w:id="48" w:name="_Hlk110496050"/>
      <w:r w:rsidR="00E0244E" w:rsidRPr="00B215CE">
        <w:rPr>
          <w:bCs/>
        </w:rPr>
        <w:t>CABL001</w:t>
      </w:r>
      <w:r w:rsidR="00E0244E" w:rsidRPr="002E7D71">
        <w:t>X2101</w:t>
      </w:r>
      <w:r w:rsidR="00E0244E">
        <w:t xml:space="preserve"> study</w:t>
      </w:r>
      <w:bookmarkEnd w:id="48"/>
      <w:r w:rsidR="00C44188">
        <w:t xml:space="preserve"> is relevant to the consideration</w:t>
      </w:r>
      <w:r w:rsidR="00E0244E">
        <w:t>.</w:t>
      </w:r>
    </w:p>
    <w:p w14:paraId="76B35A0A" w14:textId="628293DF" w:rsidR="007C62C1" w:rsidRPr="002B4570" w:rsidRDefault="005F7588" w:rsidP="00B37DEE">
      <w:pPr>
        <w:pStyle w:val="3-BodyText"/>
      </w:pPr>
      <w:r w:rsidRPr="00B22BCB">
        <w:rPr>
          <w:rFonts w:eastAsia="Calibri"/>
        </w:rPr>
        <w:t xml:space="preserve">The submission described </w:t>
      </w:r>
      <w:r w:rsidR="00337BFF" w:rsidRPr="00B22BCB">
        <w:rPr>
          <w:rFonts w:eastAsia="Calibri"/>
        </w:rPr>
        <w:t>asciminib</w:t>
      </w:r>
      <w:r w:rsidRPr="00B22BCB">
        <w:rPr>
          <w:rFonts w:eastAsia="Calibri"/>
        </w:rPr>
        <w:t xml:space="preserve"> as superior in terms of </w:t>
      </w:r>
      <w:r w:rsidR="00355761" w:rsidRPr="00B22BCB">
        <w:rPr>
          <w:rFonts w:eastAsia="Calibri"/>
        </w:rPr>
        <w:t>safety</w:t>
      </w:r>
      <w:r w:rsidRPr="00B22BCB">
        <w:rPr>
          <w:rFonts w:eastAsia="Calibri"/>
        </w:rPr>
        <w:t xml:space="preserve"> compared to </w:t>
      </w:r>
      <w:r w:rsidR="00355761" w:rsidRPr="00B22BCB">
        <w:rPr>
          <w:rFonts w:eastAsia="Calibri"/>
        </w:rPr>
        <w:t>nilotinib and ponatinib</w:t>
      </w:r>
      <w:r w:rsidRPr="00B22BCB">
        <w:rPr>
          <w:rFonts w:eastAsia="Calibri"/>
        </w:rPr>
        <w:t xml:space="preserve">. </w:t>
      </w:r>
      <w:r w:rsidR="001B74B3" w:rsidRPr="00294AC6">
        <w:rPr>
          <w:rFonts w:eastAsia="Calibri"/>
        </w:rPr>
        <w:t>The ESC agreed with the evaluation that</w:t>
      </w:r>
      <w:r w:rsidR="001B74B3">
        <w:rPr>
          <w:rFonts w:eastAsia="Calibri"/>
        </w:rPr>
        <w:t xml:space="preserve"> t</w:t>
      </w:r>
      <w:r w:rsidRPr="002B4570">
        <w:rPr>
          <w:rFonts w:eastAsia="Calibri"/>
        </w:rPr>
        <w:t xml:space="preserve">his claim was not adequately </w:t>
      </w:r>
      <w:bookmarkStart w:id="49" w:name="_Toc22897645"/>
      <w:r w:rsidR="00B37DEE" w:rsidRPr="002B4570">
        <w:rPr>
          <w:rFonts w:eastAsia="Calibri"/>
        </w:rPr>
        <w:t>supported by the evidence</w:t>
      </w:r>
      <w:r w:rsidR="00B7424F" w:rsidRPr="002B4570">
        <w:rPr>
          <w:rFonts w:eastAsia="Calibri"/>
        </w:rPr>
        <w:t>, as follows</w:t>
      </w:r>
      <w:r w:rsidR="00DC00EC" w:rsidRPr="002B4570">
        <w:rPr>
          <w:rFonts w:eastAsia="Calibri"/>
        </w:rPr>
        <w:t xml:space="preserve">. </w:t>
      </w:r>
    </w:p>
    <w:p w14:paraId="1A53006B" w14:textId="51680356" w:rsidR="005044AE" w:rsidRPr="002B4570" w:rsidRDefault="00DC00EC" w:rsidP="009458A3">
      <w:pPr>
        <w:pStyle w:val="3-BodyText"/>
        <w:numPr>
          <w:ilvl w:val="0"/>
          <w:numId w:val="15"/>
        </w:numPr>
      </w:pPr>
      <w:r w:rsidRPr="002B4570">
        <w:t xml:space="preserve">All-cause AEs in the ASCEMBL trial represent </w:t>
      </w:r>
      <w:r w:rsidR="00475245" w:rsidRPr="002B4570">
        <w:t>the</w:t>
      </w:r>
      <w:r w:rsidR="00CA10CD" w:rsidRPr="002B4570">
        <w:t xml:space="preserve"> only randomised</w:t>
      </w:r>
      <w:r w:rsidRPr="002B4570">
        <w:t xml:space="preserve"> safety comparison of </w:t>
      </w:r>
      <w:r w:rsidR="00337BFF" w:rsidRPr="002B4570">
        <w:t>asciminib</w:t>
      </w:r>
      <w:r w:rsidRPr="002B4570">
        <w:t xml:space="preserve"> and a second-generation TKI</w:t>
      </w:r>
      <w:r w:rsidR="00F005D0">
        <w:t xml:space="preserve"> (bosutinib)</w:t>
      </w:r>
      <w:r w:rsidR="00716BC3" w:rsidRPr="002B4570">
        <w:t xml:space="preserve"> presented by the submission. This trial failed to demonstrate </w:t>
      </w:r>
      <w:r w:rsidR="00474D44" w:rsidRPr="002B4570">
        <w:t>a</w:t>
      </w:r>
      <w:r w:rsidRPr="002B4570">
        <w:t xml:space="preserve"> statistically significant difference</w:t>
      </w:r>
      <w:r w:rsidR="007169CF" w:rsidRPr="002B4570">
        <w:t xml:space="preserve"> between </w:t>
      </w:r>
      <w:r w:rsidR="00337BFF" w:rsidRPr="002B4570">
        <w:t>asciminib</w:t>
      </w:r>
      <w:r w:rsidR="007169CF" w:rsidRPr="002B4570">
        <w:t xml:space="preserve"> and bosutinib</w:t>
      </w:r>
      <w:r w:rsidRPr="002B4570">
        <w:t xml:space="preserve"> in any-grade AEs, SAEs, fatal SAEs or Grade</w:t>
      </w:r>
      <w:r w:rsidR="00BB5260" w:rsidRPr="002B4570">
        <w:t> </w:t>
      </w:r>
      <w:r w:rsidRPr="002B4570">
        <w:rPr>
          <w:rFonts w:cstheme="minorHAnsi"/>
        </w:rPr>
        <w:t>≥</w:t>
      </w:r>
      <w:r w:rsidRPr="002B4570">
        <w:t>3 AEs. There was a significant difference in AEs leading to discontinuation</w:t>
      </w:r>
      <w:r w:rsidR="00991540" w:rsidRPr="002B4570">
        <w:t xml:space="preserve"> which favoured </w:t>
      </w:r>
      <w:r w:rsidR="00337BFF" w:rsidRPr="002B4570">
        <w:t>asciminib</w:t>
      </w:r>
      <w:r w:rsidRPr="002B4570">
        <w:t>. T</w:t>
      </w:r>
      <w:r w:rsidR="00B37DEE" w:rsidRPr="002B4570">
        <w:rPr>
          <w:rFonts w:eastAsia="Calibri"/>
        </w:rPr>
        <w:t xml:space="preserve">he </w:t>
      </w:r>
      <w:r w:rsidR="00337BFF" w:rsidRPr="002B4570">
        <w:rPr>
          <w:rFonts w:eastAsia="Calibri"/>
        </w:rPr>
        <w:t>asciminib</w:t>
      </w:r>
      <w:r w:rsidR="00B37DEE" w:rsidRPr="002B4570">
        <w:rPr>
          <w:rFonts w:eastAsia="Calibri"/>
        </w:rPr>
        <w:t xml:space="preserve"> arm of ASCEMBL </w:t>
      </w:r>
      <w:r w:rsidR="005D0C04" w:rsidRPr="002B4570">
        <w:rPr>
          <w:rFonts w:eastAsia="Calibri"/>
        </w:rPr>
        <w:t>was</w:t>
      </w:r>
      <w:r w:rsidR="00B37DEE" w:rsidRPr="002B4570">
        <w:rPr>
          <w:rFonts w:eastAsia="Calibri"/>
        </w:rPr>
        <w:t xml:space="preserve"> bias</w:t>
      </w:r>
      <w:r w:rsidR="005D0C04" w:rsidRPr="002B4570">
        <w:rPr>
          <w:rFonts w:eastAsia="Calibri"/>
        </w:rPr>
        <w:t>ed</w:t>
      </w:r>
      <w:r w:rsidR="00B37DEE" w:rsidRPr="002B4570">
        <w:rPr>
          <w:rFonts w:eastAsia="Calibri"/>
        </w:rPr>
        <w:t xml:space="preserve"> in </w:t>
      </w:r>
      <w:r w:rsidR="005D0C04" w:rsidRPr="002B4570">
        <w:rPr>
          <w:rFonts w:eastAsia="Calibri"/>
        </w:rPr>
        <w:t xml:space="preserve">the </w:t>
      </w:r>
      <w:r w:rsidR="005E3308" w:rsidRPr="002B4570">
        <w:rPr>
          <w:rFonts w:eastAsia="Calibri"/>
        </w:rPr>
        <w:t>recording</w:t>
      </w:r>
      <w:r w:rsidR="00B37DEE" w:rsidRPr="002B4570">
        <w:rPr>
          <w:rFonts w:eastAsia="Calibri"/>
        </w:rPr>
        <w:t xml:space="preserve"> of treatment-related AEs</w:t>
      </w:r>
      <w:r w:rsidR="009D1196" w:rsidRPr="002B4570">
        <w:rPr>
          <w:rFonts w:eastAsia="Calibri"/>
        </w:rPr>
        <w:t xml:space="preserve">, which </w:t>
      </w:r>
      <w:r w:rsidR="001C1AB1" w:rsidRPr="002B4570">
        <w:rPr>
          <w:rFonts w:eastAsia="Calibri"/>
        </w:rPr>
        <w:t>demonstrated statistically significant differences between asciminib and bosutinib</w:t>
      </w:r>
      <w:r w:rsidR="00BB5260" w:rsidRPr="002B4570">
        <w:rPr>
          <w:rFonts w:eastAsia="Calibri"/>
        </w:rPr>
        <w:t>,</w:t>
      </w:r>
      <w:r w:rsidR="001C1AB1" w:rsidRPr="002B4570">
        <w:rPr>
          <w:rFonts w:eastAsia="Calibri"/>
        </w:rPr>
        <w:t xml:space="preserve"> and </w:t>
      </w:r>
      <w:r w:rsidR="009D1196" w:rsidRPr="002B4570">
        <w:rPr>
          <w:rFonts w:eastAsia="Calibri"/>
        </w:rPr>
        <w:t>carried into</w:t>
      </w:r>
      <w:r w:rsidR="00AE7A16" w:rsidRPr="002B4570">
        <w:rPr>
          <w:rFonts w:eastAsia="Calibri"/>
        </w:rPr>
        <w:t xml:space="preserve"> the</w:t>
      </w:r>
      <w:r w:rsidR="009D1196" w:rsidRPr="002B4570">
        <w:rPr>
          <w:rFonts w:eastAsia="Calibri"/>
        </w:rPr>
        <w:t xml:space="preserve"> </w:t>
      </w:r>
      <w:r w:rsidRPr="002B4570">
        <w:rPr>
          <w:rFonts w:eastAsia="Calibri"/>
        </w:rPr>
        <w:t>indirect</w:t>
      </w:r>
      <w:r w:rsidR="009D1196" w:rsidRPr="002B4570">
        <w:rPr>
          <w:rFonts w:eastAsia="Calibri"/>
        </w:rPr>
        <w:t xml:space="preserve"> safety comparisons. </w:t>
      </w:r>
    </w:p>
    <w:p w14:paraId="2A80B54C" w14:textId="1243015B" w:rsidR="005044AE" w:rsidRPr="002B4570" w:rsidRDefault="004C1DB0" w:rsidP="009458A3">
      <w:pPr>
        <w:pStyle w:val="3-BodyText"/>
        <w:numPr>
          <w:ilvl w:val="0"/>
          <w:numId w:val="15"/>
        </w:numPr>
      </w:pPr>
      <w:r w:rsidRPr="002B4570">
        <w:rPr>
          <w:rFonts w:eastAsia="Calibri"/>
        </w:rPr>
        <w:t>T</w:t>
      </w:r>
      <w:r w:rsidR="009D1196" w:rsidRPr="002B4570">
        <w:rPr>
          <w:rFonts w:eastAsia="Calibri"/>
        </w:rPr>
        <w:t>he transitivity assumption for th</w:t>
      </w:r>
      <w:r w:rsidR="00DC00EC" w:rsidRPr="002B4570">
        <w:rPr>
          <w:rFonts w:eastAsia="Calibri"/>
        </w:rPr>
        <w:t xml:space="preserve">e </w:t>
      </w:r>
      <w:r w:rsidR="009D1196" w:rsidRPr="002B4570">
        <w:rPr>
          <w:rFonts w:eastAsia="Calibri"/>
        </w:rPr>
        <w:t>comparison</w:t>
      </w:r>
      <w:r w:rsidR="00DC00EC" w:rsidRPr="002B4570">
        <w:rPr>
          <w:rFonts w:eastAsia="Calibri"/>
        </w:rPr>
        <w:t>s</w:t>
      </w:r>
      <w:r w:rsidR="009D1196" w:rsidRPr="002B4570">
        <w:rPr>
          <w:rFonts w:eastAsia="Calibri"/>
        </w:rPr>
        <w:t xml:space="preserve"> may not hold</w:t>
      </w:r>
      <w:r w:rsidR="00F8164A" w:rsidRPr="002B4570">
        <w:rPr>
          <w:rFonts w:eastAsia="Calibri"/>
        </w:rPr>
        <w:t>, as patients in</w:t>
      </w:r>
      <w:r w:rsidR="009D1196" w:rsidRPr="002B4570">
        <w:rPr>
          <w:rFonts w:eastAsia="Calibri"/>
        </w:rPr>
        <w:t xml:space="preserve"> the </w:t>
      </w:r>
      <w:r w:rsidR="00337BFF" w:rsidRPr="002B4570">
        <w:rPr>
          <w:rFonts w:eastAsia="Calibri"/>
        </w:rPr>
        <w:t>asciminib</w:t>
      </w:r>
      <w:r w:rsidR="009D1196" w:rsidRPr="002B4570">
        <w:rPr>
          <w:rFonts w:eastAsia="Calibri"/>
        </w:rPr>
        <w:t xml:space="preserve"> arm of</w:t>
      </w:r>
      <w:r w:rsidR="005044AE" w:rsidRPr="002B4570">
        <w:rPr>
          <w:rFonts w:eastAsia="Calibri"/>
        </w:rPr>
        <w:t xml:space="preserve"> the</w:t>
      </w:r>
      <w:r w:rsidR="009D1196" w:rsidRPr="002B4570">
        <w:rPr>
          <w:rFonts w:eastAsia="Calibri"/>
        </w:rPr>
        <w:t xml:space="preserve"> ASCMEBL</w:t>
      </w:r>
      <w:r w:rsidR="005044AE" w:rsidRPr="002B4570">
        <w:rPr>
          <w:rFonts w:eastAsia="Calibri"/>
        </w:rPr>
        <w:t xml:space="preserve"> trial</w:t>
      </w:r>
      <w:r w:rsidR="00F8164A" w:rsidRPr="002B4570">
        <w:rPr>
          <w:rFonts w:eastAsia="Calibri"/>
        </w:rPr>
        <w:t xml:space="preserve"> were younger, with a lower ECOG PS</w:t>
      </w:r>
      <w:r w:rsidR="009D1196" w:rsidRPr="002B4570">
        <w:rPr>
          <w:rFonts w:eastAsia="Calibri"/>
        </w:rPr>
        <w:t xml:space="preserve">, compared to </w:t>
      </w:r>
      <w:r w:rsidR="005D0C04" w:rsidRPr="002B4570">
        <w:rPr>
          <w:rFonts w:eastAsia="Calibri"/>
        </w:rPr>
        <w:t xml:space="preserve">patients in </w:t>
      </w:r>
      <w:r w:rsidR="009D1196" w:rsidRPr="002B4570">
        <w:rPr>
          <w:rFonts w:eastAsia="Calibri"/>
        </w:rPr>
        <w:t>the nilotinib and ponatinib trials</w:t>
      </w:r>
      <w:r w:rsidR="00F8164A" w:rsidRPr="002B4570">
        <w:rPr>
          <w:rFonts w:eastAsia="Calibri"/>
        </w:rPr>
        <w:t xml:space="preserve">. </w:t>
      </w:r>
      <w:r w:rsidR="00AA65E0" w:rsidRPr="002B4570">
        <w:t xml:space="preserve">The asymmetrically large number of patients in the ENACT </w:t>
      </w:r>
      <w:r w:rsidR="00121C1B" w:rsidRPr="002B4570">
        <w:t xml:space="preserve">trial </w:t>
      </w:r>
      <w:r w:rsidR="00AA65E0" w:rsidRPr="002B4570">
        <w:t xml:space="preserve">generated substantial statistical power to detect differences, but this </w:t>
      </w:r>
      <w:r w:rsidR="00337CC6" w:rsidRPr="002B4570">
        <w:t xml:space="preserve">power needs to be </w:t>
      </w:r>
      <w:r w:rsidR="00AA65E0" w:rsidRPr="002B4570">
        <w:t xml:space="preserve">qualified by the inherent uncertainties of an unanchored, </w:t>
      </w:r>
      <w:r w:rsidR="00292174" w:rsidRPr="002B4570">
        <w:t xml:space="preserve">unadjusted </w:t>
      </w:r>
      <w:r w:rsidR="00AA65E0" w:rsidRPr="002B4570">
        <w:t>ITC.</w:t>
      </w:r>
      <w:r w:rsidR="00CB4209" w:rsidRPr="002B4570">
        <w:t xml:space="preserve"> </w:t>
      </w:r>
    </w:p>
    <w:p w14:paraId="7C054F4F" w14:textId="77777777" w:rsidR="005044AE" w:rsidRPr="002B4570" w:rsidRDefault="00CB4209" w:rsidP="009458A3">
      <w:pPr>
        <w:pStyle w:val="3-BodyText"/>
        <w:numPr>
          <w:ilvl w:val="0"/>
          <w:numId w:val="15"/>
        </w:numPr>
      </w:pPr>
      <w:r w:rsidRPr="002B4570">
        <w:t xml:space="preserve">Differences in </w:t>
      </w:r>
      <w:r w:rsidR="00337BFF" w:rsidRPr="002B4570">
        <w:t>asciminib</w:t>
      </w:r>
      <w:r w:rsidRPr="002B4570">
        <w:t xml:space="preserve"> exposure and follow-up, compared to ponatinib, made interpretation of the safety comparison difficult.</w:t>
      </w:r>
      <w:r w:rsidR="00AA65E0" w:rsidRPr="002B4570">
        <w:t xml:space="preserve"> </w:t>
      </w:r>
    </w:p>
    <w:p w14:paraId="03AC0E6A" w14:textId="77777777" w:rsidR="00F777CD" w:rsidRDefault="00C82560" w:rsidP="009458A3">
      <w:pPr>
        <w:pStyle w:val="3-BodyText"/>
        <w:numPr>
          <w:ilvl w:val="0"/>
          <w:numId w:val="15"/>
        </w:numPr>
      </w:pPr>
      <w:r w:rsidRPr="002B4570">
        <w:t xml:space="preserve">Finally, </w:t>
      </w:r>
      <w:r w:rsidR="008265A3" w:rsidRPr="002B4570">
        <w:t>patients in the asciminib arm of ASCEMBL were 14-18 years younger than the target Australian population (median age 52 vs 67-70 years)</w:t>
      </w:r>
      <w:r w:rsidRPr="002B4570">
        <w:t xml:space="preserve">, which poses an applicability issue for these safety data. </w:t>
      </w:r>
      <w:r w:rsidR="0047164F" w:rsidRPr="002B4570">
        <w:t>Combined, t</w:t>
      </w:r>
      <w:r w:rsidR="00DC00EC" w:rsidRPr="002B4570">
        <w:t>hese factors introduce substantial uncertainty into the indirect safety comparison</w:t>
      </w:r>
      <w:r w:rsidR="00980439" w:rsidRPr="002B4570">
        <w:t xml:space="preserve"> of </w:t>
      </w:r>
      <w:r w:rsidR="00337BFF" w:rsidRPr="002B4570">
        <w:t>asciminib</w:t>
      </w:r>
      <w:r w:rsidR="00980439" w:rsidRPr="002B4570">
        <w:t xml:space="preserve"> vs nilotinib and ponatinib</w:t>
      </w:r>
      <w:r w:rsidR="00AD5F94" w:rsidRPr="002B4570">
        <w:t>, and</w:t>
      </w:r>
      <w:r w:rsidR="004D7D0E" w:rsidRPr="002B4570">
        <w:t xml:space="preserve"> the submission’s</w:t>
      </w:r>
      <w:r w:rsidR="00AD5F94" w:rsidRPr="002B4570">
        <w:t xml:space="preserve"> claim </w:t>
      </w:r>
      <w:r w:rsidR="00DF6978" w:rsidRPr="002B4570">
        <w:t xml:space="preserve">that </w:t>
      </w:r>
      <w:r w:rsidR="00337BFF" w:rsidRPr="002B4570">
        <w:t>asciminib</w:t>
      </w:r>
      <w:r w:rsidR="00DF6978" w:rsidRPr="002B4570">
        <w:t xml:space="preserve"> </w:t>
      </w:r>
      <w:r w:rsidR="009B1F25" w:rsidRPr="002B4570">
        <w:t>is superior in terms of safety.</w:t>
      </w:r>
    </w:p>
    <w:p w14:paraId="205A1EB2" w14:textId="4D8F3ED7" w:rsidR="00B37DEE" w:rsidRPr="002E7D71" w:rsidRDefault="00F777CD" w:rsidP="00F777CD">
      <w:pPr>
        <w:pStyle w:val="3-BodyText"/>
      </w:pPr>
      <w:r w:rsidRPr="002E7D71">
        <w:t xml:space="preserve">The ESC considered that the safety claim would be better described as non-inferior compared to </w:t>
      </w:r>
      <w:r w:rsidRPr="002E7D71">
        <w:rPr>
          <w:rFonts w:eastAsia="Calibri"/>
        </w:rPr>
        <w:t>nilotinib and ponatinib.</w:t>
      </w:r>
      <w:r w:rsidR="009840DA">
        <w:rPr>
          <w:rFonts w:eastAsia="Calibri"/>
        </w:rPr>
        <w:t xml:space="preserve"> </w:t>
      </w:r>
      <w:r w:rsidR="009840DA" w:rsidRPr="009840DA">
        <w:rPr>
          <w:rFonts w:eastAsia="Calibri"/>
        </w:rPr>
        <w:t xml:space="preserve">The pre-PBAC response </w:t>
      </w:r>
      <w:r w:rsidR="009840DA">
        <w:rPr>
          <w:rFonts w:eastAsia="Calibri"/>
        </w:rPr>
        <w:t>noted</w:t>
      </w:r>
      <w:r w:rsidR="00E7665F">
        <w:rPr>
          <w:rFonts w:eastAsia="Calibri"/>
        </w:rPr>
        <w:t xml:space="preserve"> </w:t>
      </w:r>
      <w:r w:rsidR="009840DA">
        <w:rPr>
          <w:rFonts w:eastAsia="Calibri"/>
        </w:rPr>
        <w:t>that</w:t>
      </w:r>
      <w:r w:rsidR="009840DA" w:rsidRPr="009840DA">
        <w:rPr>
          <w:rFonts w:eastAsia="Calibri"/>
        </w:rPr>
        <w:t xml:space="preserve"> </w:t>
      </w:r>
      <w:r w:rsidR="00E7665F">
        <w:rPr>
          <w:rFonts w:eastAsia="Calibri"/>
        </w:rPr>
        <w:t>t</w:t>
      </w:r>
      <w:r w:rsidR="009840DA" w:rsidRPr="009840DA">
        <w:rPr>
          <w:rFonts w:eastAsia="Calibri"/>
        </w:rPr>
        <w:t>he PBAC had previously considered the safety profile of ponatinib to be inferior to nilotinib (</w:t>
      </w:r>
      <w:r w:rsidR="00E7665F">
        <w:rPr>
          <w:rFonts w:eastAsia="Calibri"/>
        </w:rPr>
        <w:t>paragraph 7.6, p</w:t>
      </w:r>
      <w:r w:rsidR="009840DA" w:rsidRPr="009840DA">
        <w:rPr>
          <w:rFonts w:eastAsia="Calibri"/>
        </w:rPr>
        <w:t>onatinib PSD</w:t>
      </w:r>
      <w:r w:rsidR="00E7665F">
        <w:rPr>
          <w:rFonts w:eastAsia="Calibri"/>
        </w:rPr>
        <w:t>,</w:t>
      </w:r>
      <w:r w:rsidR="009840DA" w:rsidRPr="009840DA">
        <w:rPr>
          <w:rFonts w:eastAsia="Calibri"/>
        </w:rPr>
        <w:t xml:space="preserve"> November 2014). </w:t>
      </w:r>
      <w:r w:rsidR="00E7665F">
        <w:rPr>
          <w:rFonts w:eastAsia="Calibri"/>
        </w:rPr>
        <w:t>The pre-PBAC response claimed that a</w:t>
      </w:r>
      <w:r w:rsidR="009840DA" w:rsidRPr="009840DA">
        <w:rPr>
          <w:rFonts w:eastAsia="Calibri"/>
        </w:rPr>
        <w:t>s asciminib is superior to nilotinib in terms of safety, it is reasonable to consider that it is also has superior safety to ponatinib.</w:t>
      </w:r>
      <w:r w:rsidR="00E7665F">
        <w:rPr>
          <w:rFonts w:eastAsia="Calibri"/>
        </w:rPr>
        <w:t xml:space="preserve"> The PBAC did not accept this reasoning,</w:t>
      </w:r>
      <w:r w:rsidR="00C04CD4">
        <w:rPr>
          <w:rFonts w:eastAsia="Calibri"/>
        </w:rPr>
        <w:t xml:space="preserve"> noting that superior safety of asciminib to nilotinib cannot be assessed in the context of an unanchored, unadjusted ITC. The PBAC</w:t>
      </w:r>
      <w:r w:rsidR="00E7665F">
        <w:rPr>
          <w:rFonts w:eastAsia="Calibri"/>
        </w:rPr>
        <w:t xml:space="preserve"> </w:t>
      </w:r>
      <w:r w:rsidR="00C04CD4">
        <w:rPr>
          <w:rFonts w:eastAsia="Calibri"/>
        </w:rPr>
        <w:t>considered that</w:t>
      </w:r>
      <w:r w:rsidR="00C903C4">
        <w:rPr>
          <w:rFonts w:eastAsia="Calibri"/>
        </w:rPr>
        <w:t xml:space="preserve"> the available data do not support the claim of superior safety to either nilotinib or ponatinib.</w:t>
      </w:r>
      <w:r w:rsidR="00C04CD4">
        <w:rPr>
          <w:rFonts w:eastAsia="Calibri"/>
        </w:rPr>
        <w:t xml:space="preserve">  </w:t>
      </w:r>
    </w:p>
    <w:p w14:paraId="74A1172E" w14:textId="25A404D5" w:rsidR="00B60939" w:rsidRPr="00B22BCB" w:rsidRDefault="00B60939" w:rsidP="00B37DEE">
      <w:pPr>
        <w:pStyle w:val="4-SubsectionHeading"/>
      </w:pPr>
      <w:bookmarkStart w:id="50" w:name="_Toc103772587"/>
      <w:r w:rsidRPr="00B22BCB">
        <w:t>Economic analysis</w:t>
      </w:r>
      <w:bookmarkEnd w:id="49"/>
      <w:bookmarkEnd w:id="50"/>
      <w:r w:rsidR="00491B3A" w:rsidRPr="00B22BCB">
        <w:t xml:space="preserve"> </w:t>
      </w:r>
    </w:p>
    <w:p w14:paraId="74D3F980" w14:textId="7F41E7CA" w:rsidR="009A4AAC" w:rsidRPr="002030CB" w:rsidRDefault="00936F3C" w:rsidP="002030CB">
      <w:pPr>
        <w:pStyle w:val="3-BodyText"/>
        <w:rPr>
          <w:i/>
          <w:iCs/>
        </w:rPr>
      </w:pPr>
      <w:r w:rsidRPr="00B22BCB">
        <w:t>The submission presented a</w:t>
      </w:r>
      <w:r w:rsidR="00F15119">
        <w:t>n analysis using</w:t>
      </w:r>
      <w:r w:rsidR="003731BD">
        <w:t xml:space="preserve"> a</w:t>
      </w:r>
      <w:r w:rsidR="00F15119">
        <w:t xml:space="preserve"> </w:t>
      </w:r>
      <w:r w:rsidRPr="00B22BCB">
        <w:t xml:space="preserve">CMA based on the submission’s therapeutic conclusions that </w:t>
      </w:r>
      <w:r w:rsidR="00337BFF" w:rsidRPr="00B22BCB">
        <w:t>asciminib</w:t>
      </w:r>
      <w:r w:rsidRPr="00B22BCB">
        <w:t xml:space="preserve"> is non-inferior in terms of efficacy, and superior in terms of safety, to nilotinib and ponatinib in patients who are resistant to or intolerant of at least two prior TKIs. </w:t>
      </w:r>
      <w:r w:rsidRPr="002B4570">
        <w:t>As discussed above, the</w:t>
      </w:r>
      <w:r w:rsidR="007E07A5" w:rsidRPr="002B4570">
        <w:t>re are uncertainties regarding the</w:t>
      </w:r>
      <w:r w:rsidRPr="002B4570">
        <w:t xml:space="preserve"> claim of non-inferior efficacy in patients without the T315I mutation</w:t>
      </w:r>
      <w:r w:rsidR="009B70A6" w:rsidRPr="002B4570">
        <w:t>,</w:t>
      </w:r>
      <w:r w:rsidR="007E07A5" w:rsidRPr="002B4570">
        <w:t xml:space="preserve"> and</w:t>
      </w:r>
      <w:r w:rsidRPr="002B4570">
        <w:t xml:space="preserve"> the claim of </w:t>
      </w:r>
      <w:r w:rsidR="00F34370" w:rsidRPr="002B4570">
        <w:t>superior</w:t>
      </w:r>
      <w:r w:rsidRPr="002B4570">
        <w:t xml:space="preserve"> safety is uncertain due to a combination of transitivity issues, bias in the ASCEMBL safety data, and mismatched patient exposure/follow-up between the asciminib arm of ASCEMBL, and the PACE trial population. </w:t>
      </w:r>
    </w:p>
    <w:p w14:paraId="3B53F084" w14:textId="378D08CC" w:rsidR="008A03C9" w:rsidRPr="008A03C9" w:rsidRDefault="008A03C9" w:rsidP="008A03C9">
      <w:pPr>
        <w:pStyle w:val="3-BodyText"/>
        <w:numPr>
          <w:ilvl w:val="0"/>
          <w:numId w:val="0"/>
        </w:numPr>
        <w:rPr>
          <w:b/>
          <w:bCs/>
          <w:i/>
          <w:iCs/>
        </w:rPr>
      </w:pPr>
      <w:r w:rsidRPr="008A03C9">
        <w:rPr>
          <w:b/>
          <w:bCs/>
          <w:i/>
          <w:iCs/>
        </w:rPr>
        <w:t>Equi-effective doses</w:t>
      </w:r>
    </w:p>
    <w:p w14:paraId="1D864572" w14:textId="27DBFCE3" w:rsidR="00CA1D9E" w:rsidRPr="00B22BCB" w:rsidRDefault="00CA1D9E" w:rsidP="00B76BAF">
      <w:pPr>
        <w:pStyle w:val="3-BodyText"/>
      </w:pPr>
      <w:r w:rsidRPr="00B22BCB">
        <w:t xml:space="preserve">The recommended dose for </w:t>
      </w:r>
      <w:r w:rsidR="00337BFF" w:rsidRPr="00B22BCB">
        <w:t>asciminib</w:t>
      </w:r>
      <w:r w:rsidRPr="00B22BCB">
        <w:t xml:space="preserve"> is </w:t>
      </w:r>
      <w:r w:rsidR="00050703" w:rsidRPr="00B22BCB">
        <w:t>80</w:t>
      </w:r>
      <w:r w:rsidR="00050703">
        <w:t> </w:t>
      </w:r>
      <w:r w:rsidRPr="00B22BCB">
        <w:t xml:space="preserve">mg/day, nilotinib </w:t>
      </w:r>
      <w:r w:rsidR="00050703" w:rsidRPr="00B22BCB">
        <w:t>800</w:t>
      </w:r>
      <w:r w:rsidR="00050703">
        <w:t> </w:t>
      </w:r>
      <w:r w:rsidRPr="00B22BCB">
        <w:t xml:space="preserve">mg/day and ponatinib </w:t>
      </w:r>
      <w:r w:rsidR="00050703" w:rsidRPr="00B22BCB">
        <w:t>45</w:t>
      </w:r>
      <w:r w:rsidR="00050703">
        <w:t> </w:t>
      </w:r>
      <w:r w:rsidRPr="00B22BCB">
        <w:t xml:space="preserve">mg/day. </w:t>
      </w:r>
      <w:r w:rsidR="00F34370" w:rsidRPr="00B22BCB">
        <w:t>The submission</w:t>
      </w:r>
      <w:r w:rsidR="009A4AAC" w:rsidRPr="00B22BCB">
        <w:t xml:space="preserve"> used the mean dose intensity for </w:t>
      </w:r>
      <w:r w:rsidR="00337BFF" w:rsidRPr="00B22BCB">
        <w:t>asciminib</w:t>
      </w:r>
      <w:r w:rsidR="009A4AAC" w:rsidRPr="00B22BCB">
        <w:t xml:space="preserve"> from the secondary analysis of ASCEMBL, and</w:t>
      </w:r>
      <w:r w:rsidR="00F34370" w:rsidRPr="00B22BCB">
        <w:t xml:space="preserve"> the therapeutic relativity sheet to determine the equi-effective doses for nilotinib and ponatinib, consistent with paragraph 6.32, ponatinib PSD November 2014</w:t>
      </w:r>
      <w:r w:rsidRPr="00B22BCB">
        <w:t xml:space="preserve">: </w:t>
      </w:r>
    </w:p>
    <w:p w14:paraId="58C38127" w14:textId="08AD120F" w:rsidR="00A00CB6" w:rsidRPr="00B22BCB" w:rsidRDefault="00CA1D9E" w:rsidP="002030CB">
      <w:pPr>
        <w:pStyle w:val="3-BodyText"/>
        <w:numPr>
          <w:ilvl w:val="0"/>
          <w:numId w:val="0"/>
        </w:numPr>
        <w:ind w:left="720" w:firstLine="720"/>
      </w:pPr>
      <w:r w:rsidRPr="00B22BCB">
        <w:t>Asciminib 71.1</w:t>
      </w:r>
      <w:r w:rsidR="00050703">
        <w:t> </w:t>
      </w:r>
      <w:r w:rsidRPr="00B22BCB">
        <w:t xml:space="preserve">mg daily ≡ Nilotinib </w:t>
      </w:r>
      <w:r w:rsidR="00050703" w:rsidRPr="00B22BCB">
        <w:t>797</w:t>
      </w:r>
      <w:r w:rsidR="00050703">
        <w:t> </w:t>
      </w:r>
      <w:r w:rsidRPr="00B22BCB">
        <w:t>mg daily ≡ Ponatinib 30.</w:t>
      </w:r>
      <w:r w:rsidR="00050703" w:rsidRPr="00B22BCB">
        <w:t>2</w:t>
      </w:r>
      <w:r w:rsidR="00050703">
        <w:t> </w:t>
      </w:r>
      <w:r w:rsidRPr="00B22BCB">
        <w:t>mg daily.</w:t>
      </w:r>
    </w:p>
    <w:p w14:paraId="2DAAB77E" w14:textId="613B5444" w:rsidR="00DC6A33" w:rsidRDefault="009D1B87" w:rsidP="002030CB">
      <w:pPr>
        <w:pStyle w:val="3-BodyText"/>
        <w:rPr>
          <w:i/>
          <w:iCs/>
        </w:rPr>
      </w:pPr>
      <w:bookmarkStart w:id="51" w:name="_Ref106619119"/>
      <w:r w:rsidRPr="002B4570">
        <w:t xml:space="preserve">The submission did not attempt to establish an equi-effective dose of </w:t>
      </w:r>
      <w:r w:rsidR="00337BFF" w:rsidRPr="002B4570">
        <w:t>asciminib</w:t>
      </w:r>
      <w:r w:rsidRPr="002B4570">
        <w:t xml:space="preserve"> with the median dose intensities reported for nilotinib and ponatinib in</w:t>
      </w:r>
      <w:r w:rsidR="007151C8">
        <w:t xml:space="preserve"> the</w:t>
      </w:r>
      <w:r w:rsidRPr="002B4570">
        <w:t xml:space="preserve"> ENACT (782.5</w:t>
      </w:r>
      <w:r w:rsidR="003251FA" w:rsidRPr="002B4570">
        <w:t> </w:t>
      </w:r>
      <w:r w:rsidRPr="002B4570">
        <w:t>mg/d</w:t>
      </w:r>
      <w:r w:rsidR="003251FA" w:rsidRPr="002B4570">
        <w:t>ay</w:t>
      </w:r>
      <w:r w:rsidRPr="002B4570">
        <w:t>) and PACE (30.0</w:t>
      </w:r>
      <w:r w:rsidR="00050703">
        <w:t> </w:t>
      </w:r>
      <w:r w:rsidRPr="002B4570">
        <w:t>mg/d</w:t>
      </w:r>
      <w:r w:rsidR="003251FA" w:rsidRPr="002B4570">
        <w:t>ay</w:t>
      </w:r>
      <w:r w:rsidRPr="002B4570">
        <w:t>)</w:t>
      </w:r>
      <w:r w:rsidR="007151C8">
        <w:t xml:space="preserve"> trials</w:t>
      </w:r>
      <w:r w:rsidR="00C67A61">
        <w:t xml:space="preserve">, </w:t>
      </w:r>
      <w:r w:rsidR="00C67A61" w:rsidRPr="008B10EA">
        <w:t>respectively</w:t>
      </w:r>
      <w:r w:rsidR="004C1DB0" w:rsidRPr="002B4570">
        <w:t xml:space="preserve"> (mean doses not reported)</w:t>
      </w:r>
      <w:r w:rsidRPr="002B4570">
        <w:t>.</w:t>
      </w:r>
      <w:r w:rsidR="001944B1">
        <w:t xml:space="preserve"> </w:t>
      </w:r>
      <w:r w:rsidR="0094335B" w:rsidRPr="002E7D71">
        <w:t>T</w:t>
      </w:r>
      <w:r w:rsidR="001944B1" w:rsidRPr="002E7D71">
        <w:t xml:space="preserve">he PSCR </w:t>
      </w:r>
      <w:r w:rsidR="001C5472" w:rsidRPr="002E7D71">
        <w:t>noted that in the absence of mean or median dose for nilotinib in the proposed population, the approach was aligned with the PBAC’s previous consideration of ponatinib whereby the mean and median dose of the ponatinib and nilotinib studies were used to determine the equi</w:t>
      </w:r>
      <w:r w:rsidR="001C5472" w:rsidRPr="002E7D71">
        <w:noBreakHyphen/>
        <w:t xml:space="preserve">effective doses, respectively (paragraph 6.32 ponatinib PSD states “the PBAC considered the equi-effective dose are Ponatinib 30.2 mg daily = Dasatinib </w:t>
      </w:r>
      <w:r w:rsidR="00050703" w:rsidRPr="002E7D71">
        <w:t>102</w:t>
      </w:r>
      <w:r w:rsidR="00050703">
        <w:t> </w:t>
      </w:r>
      <w:r w:rsidR="001C5472" w:rsidRPr="002E7D71">
        <w:t xml:space="preserve">mg daily = Nilotinib </w:t>
      </w:r>
      <w:r w:rsidR="00050703" w:rsidRPr="002E7D71">
        <w:t>797</w:t>
      </w:r>
      <w:r w:rsidR="00050703">
        <w:t> </w:t>
      </w:r>
      <w:r w:rsidR="001C5472" w:rsidRPr="002E7D71">
        <w:t xml:space="preserve">mg daily”). The PSCR stated that patients in ENACT received at least one prior TKI, so the nilotinib dose is likely to be slightly higher than 782.5 mg in those who failed two prior TKIs, and therefore argued for the nilotinib dose to be 797 mg daily. </w:t>
      </w:r>
      <w:r w:rsidR="002030CB" w:rsidRPr="002E7D71">
        <w:t>Notwithstanding</w:t>
      </w:r>
      <w:r w:rsidR="001C5472" w:rsidRPr="002E7D71">
        <w:t xml:space="preserve">, the ESC </w:t>
      </w:r>
      <w:r w:rsidR="002030CB" w:rsidRPr="002E7D71">
        <w:t>considered</w:t>
      </w:r>
      <w:r w:rsidR="001C5472" w:rsidRPr="002E7D71">
        <w:t xml:space="preserve"> that </w:t>
      </w:r>
      <w:r w:rsidR="002030CB" w:rsidRPr="002E7D71">
        <w:t>the submission’s estimated equi-effective doses underestimate the relative dose of asciminib to the comparators, as they are not drawn from consistent sources and are not based on the clinical trial doses</w:t>
      </w:r>
      <w:r w:rsidR="002030CB" w:rsidRPr="002E7D71">
        <w:rPr>
          <w:b/>
          <w:bCs/>
        </w:rPr>
        <w:t xml:space="preserve"> </w:t>
      </w:r>
      <w:r w:rsidR="002030CB" w:rsidRPr="002E7D71">
        <w:t>used to claim non-inferiority.</w:t>
      </w:r>
      <w:bookmarkEnd w:id="51"/>
      <w:r w:rsidR="002030CB" w:rsidRPr="002030CB">
        <w:rPr>
          <w:i/>
          <w:iCs/>
        </w:rPr>
        <w:t xml:space="preserve"> </w:t>
      </w:r>
    </w:p>
    <w:p w14:paraId="16BA9A4E" w14:textId="2F52F3A2" w:rsidR="00DC6A33" w:rsidRPr="002E7D71" w:rsidRDefault="007151C8" w:rsidP="00DC6A33">
      <w:pPr>
        <w:pStyle w:val="3-BodyText"/>
      </w:pPr>
      <w:r w:rsidRPr="002E7D71">
        <w:t xml:space="preserve">The evaluation considered that the equi-effective asciminib dose should </w:t>
      </w:r>
      <w:r w:rsidR="0019737C" w:rsidRPr="002E7D71">
        <w:t>reflect the median dose in the ASCEMBL trial</w:t>
      </w:r>
      <w:r w:rsidRPr="002E7D71">
        <w:t xml:space="preserve"> </w:t>
      </w:r>
      <w:r w:rsidR="0019737C" w:rsidRPr="002E7D71">
        <w:t>(</w:t>
      </w:r>
      <w:r w:rsidRPr="002E7D71">
        <w:t>79.</w:t>
      </w:r>
      <w:r w:rsidR="00050703" w:rsidRPr="002E7D71">
        <w:t>8</w:t>
      </w:r>
      <w:r w:rsidR="00050703">
        <w:t> </w:t>
      </w:r>
      <w:r w:rsidRPr="002E7D71">
        <w:t>mg</w:t>
      </w:r>
      <w:r w:rsidR="0019737C" w:rsidRPr="002E7D71">
        <w:t>) from the 6 January 2021 data cut-off (</w:t>
      </w:r>
      <w:r w:rsidR="0019737C" w:rsidRPr="002E7D71">
        <w:fldChar w:fldCharType="begin"/>
      </w:r>
      <w:r w:rsidR="0019737C" w:rsidRPr="002E7D71">
        <w:instrText xml:space="preserve"> REF _Ref102049883 \h  \* MERGEFORMAT </w:instrText>
      </w:r>
      <w:r w:rsidR="0019737C" w:rsidRPr="002E7D71">
        <w:fldChar w:fldCharType="separate"/>
      </w:r>
      <w:r w:rsidR="00A914F4" w:rsidRPr="00B22BCB">
        <w:t xml:space="preserve">Table </w:t>
      </w:r>
      <w:r w:rsidR="00A914F4">
        <w:rPr>
          <w:noProof/>
        </w:rPr>
        <w:t>6</w:t>
      </w:r>
      <w:r w:rsidR="0019737C" w:rsidRPr="002E7D71">
        <w:fldChar w:fldCharType="end"/>
      </w:r>
      <w:r w:rsidR="0019737C" w:rsidRPr="002E7D71">
        <w:t>)</w:t>
      </w:r>
      <w:r w:rsidRPr="002E7D71">
        <w:t>, rather than</w:t>
      </w:r>
      <w:r w:rsidR="0019737C" w:rsidRPr="002E7D71">
        <w:t xml:space="preserve"> the mean dose</w:t>
      </w:r>
      <w:r w:rsidRPr="002E7D71">
        <w:t xml:space="preserve"> (</w:t>
      </w:r>
      <w:r w:rsidR="0019737C" w:rsidRPr="002E7D71">
        <w:t>71.</w:t>
      </w:r>
      <w:r w:rsidR="00050703" w:rsidRPr="002E7D71">
        <w:t>1</w:t>
      </w:r>
      <w:r w:rsidR="00050703">
        <w:t> </w:t>
      </w:r>
      <w:r w:rsidR="0019737C" w:rsidRPr="002E7D71">
        <w:t>mg</w:t>
      </w:r>
      <w:r w:rsidRPr="002E7D71">
        <w:t xml:space="preserve">), </w:t>
      </w:r>
      <w:r w:rsidR="0019737C" w:rsidRPr="002E7D71">
        <w:t>for consistency with the median trial-based doses for nilotinib and ponatinib.</w:t>
      </w:r>
    </w:p>
    <w:p w14:paraId="3C7811A3" w14:textId="41BCC17D" w:rsidR="0094335B" w:rsidRPr="002E7D71" w:rsidRDefault="002030CB" w:rsidP="002030CB">
      <w:pPr>
        <w:pStyle w:val="3-BodyText"/>
      </w:pPr>
      <w:r w:rsidRPr="002E7D71">
        <w:t>The evaluation and the ESC considered that the equi-effective doses should be:</w:t>
      </w:r>
    </w:p>
    <w:p w14:paraId="10CDDC2D" w14:textId="370DE6FC" w:rsidR="00D32D12" w:rsidRDefault="002030CB" w:rsidP="00DC6A33">
      <w:pPr>
        <w:pStyle w:val="3-BodyText"/>
        <w:numPr>
          <w:ilvl w:val="0"/>
          <w:numId w:val="0"/>
        </w:numPr>
        <w:ind w:left="1440"/>
        <w:rPr>
          <w:i/>
          <w:iCs/>
        </w:rPr>
      </w:pPr>
      <w:r w:rsidRPr="002E7D71">
        <w:t>Asciminib 79.</w:t>
      </w:r>
      <w:r w:rsidR="00050703" w:rsidRPr="002E7D71">
        <w:t>8</w:t>
      </w:r>
      <w:r w:rsidR="00050703">
        <w:t> </w:t>
      </w:r>
      <w:r w:rsidRPr="002E7D71">
        <w:t>mg daily ≡ Nilotinib 7</w:t>
      </w:r>
      <w:r w:rsidR="00FD5533" w:rsidRPr="002E7D71">
        <w:t>82.</w:t>
      </w:r>
      <w:r w:rsidR="00050703" w:rsidRPr="002E7D71">
        <w:t>5</w:t>
      </w:r>
      <w:r w:rsidR="00050703">
        <w:t> </w:t>
      </w:r>
      <w:r w:rsidRPr="002E7D71">
        <w:t>mg daily ≡ Ponatinib 30.</w:t>
      </w:r>
      <w:r w:rsidR="00FD5533" w:rsidRPr="002E7D71">
        <w:t>0</w:t>
      </w:r>
      <w:r w:rsidR="00050703">
        <w:t> </w:t>
      </w:r>
      <w:r w:rsidRPr="002E7D71">
        <w:t>mg daily</w:t>
      </w:r>
      <w:r w:rsidRPr="00FD5533">
        <w:rPr>
          <w:i/>
          <w:iCs/>
        </w:rPr>
        <w:t>.</w:t>
      </w:r>
    </w:p>
    <w:p w14:paraId="1B5B5E90" w14:textId="1B4786F8" w:rsidR="00AD3903" w:rsidRPr="00AD3903" w:rsidRDefault="00AD3903" w:rsidP="00AD3903">
      <w:pPr>
        <w:pStyle w:val="3-BodyText"/>
      </w:pPr>
      <w:r w:rsidRPr="002E7D71">
        <w:t>The ESC noted that if equi-effective doses are calculated based on the trial dosing, the cost-minimised price of asciminib would be lower than the submission’s proposed price.</w:t>
      </w:r>
    </w:p>
    <w:p w14:paraId="301E3E15" w14:textId="2A65085C" w:rsidR="00282D4F" w:rsidRDefault="00282D4F" w:rsidP="00282D4F">
      <w:pPr>
        <w:pStyle w:val="3-BodyText"/>
      </w:pPr>
      <w:r>
        <w:t>The PBAC agreed with the evaluation and the ESC that</w:t>
      </w:r>
      <w:r w:rsidR="00A52B6D">
        <w:t>, since there was no mean dose of nilotinib reported in the ENACT trial,</w:t>
      </w:r>
      <w:r>
        <w:t xml:space="preserve"> the equi-effective dose</w:t>
      </w:r>
      <w:r w:rsidR="00766D90">
        <w:t>s for asciminib and nilotinib</w:t>
      </w:r>
      <w:r w:rsidR="00A52B6D">
        <w:t xml:space="preserve"> in patients without the T315I mutation</w:t>
      </w:r>
      <w:r w:rsidR="00766D90">
        <w:t xml:space="preserve"> should be based on median doses from the </w:t>
      </w:r>
      <w:r w:rsidR="006D489A" w:rsidRPr="002B4570">
        <w:t>ASCEMBL</w:t>
      </w:r>
      <w:r w:rsidR="00766D90">
        <w:t xml:space="preserve"> and ENACT trials (</w:t>
      </w:r>
      <w:r w:rsidR="00766D90" w:rsidRPr="002E7D71">
        <w:t>Asciminib 79.</w:t>
      </w:r>
      <w:r w:rsidR="00050703" w:rsidRPr="002E7D71">
        <w:t>8</w:t>
      </w:r>
      <w:r w:rsidR="00050703">
        <w:t> </w:t>
      </w:r>
      <w:r w:rsidR="00766D90" w:rsidRPr="002E7D71">
        <w:t>mg daily ≡ Nilotinib 782.</w:t>
      </w:r>
      <w:r w:rsidR="00050703" w:rsidRPr="002E7D71">
        <w:t>5</w:t>
      </w:r>
      <w:r w:rsidR="00050703">
        <w:t> </w:t>
      </w:r>
      <w:r w:rsidR="00766D90" w:rsidRPr="002E7D71">
        <w:t>mg daily</w:t>
      </w:r>
      <w:r w:rsidR="00766D90">
        <w:t xml:space="preserve">). The PBAC considered that the </w:t>
      </w:r>
      <w:r w:rsidR="00C52F8F">
        <w:t>equi-effective doses for asciminib and ponatinib</w:t>
      </w:r>
      <w:r w:rsidR="00C2279E">
        <w:t xml:space="preserve"> in patients with the T315I mutation</w:t>
      </w:r>
      <w:r w:rsidR="00C52F8F">
        <w:t xml:space="preserve"> could not be established from the analyses presented in the submission.</w:t>
      </w:r>
    </w:p>
    <w:p w14:paraId="04A09204" w14:textId="73F91243" w:rsidR="00EA3827" w:rsidRPr="00EA3827" w:rsidRDefault="00EA3827" w:rsidP="00EA3827">
      <w:pPr>
        <w:pStyle w:val="3-BodyText"/>
        <w:numPr>
          <w:ilvl w:val="0"/>
          <w:numId w:val="0"/>
        </w:numPr>
        <w:ind w:left="720" w:hanging="720"/>
        <w:rPr>
          <w:b/>
          <w:bCs/>
          <w:i/>
          <w:iCs/>
        </w:rPr>
      </w:pPr>
      <w:r w:rsidRPr="00EA3827">
        <w:rPr>
          <w:b/>
          <w:bCs/>
          <w:i/>
          <w:iCs/>
        </w:rPr>
        <w:t>Adverse events</w:t>
      </w:r>
    </w:p>
    <w:p w14:paraId="2ADA13D4" w14:textId="00FE833F" w:rsidR="00CA1D9E" w:rsidRPr="002B4570" w:rsidRDefault="007E07A5" w:rsidP="00B76BAF">
      <w:pPr>
        <w:pStyle w:val="3-BodyText"/>
      </w:pPr>
      <w:r w:rsidRPr="002B4570">
        <w:t xml:space="preserve">For the CMA with nilotinib, the submission used comparative safety data between ASCEMBL and </w:t>
      </w:r>
      <w:r w:rsidR="0038675B" w:rsidRPr="002B4570">
        <w:t>Giles et al.</w:t>
      </w:r>
      <w:r w:rsidRPr="002B4570">
        <w:t xml:space="preserve"> (2010), which showed a statistically significant difference in treatment-related Grade </w:t>
      </w:r>
      <w:r w:rsidRPr="002B4570">
        <w:rPr>
          <w:rFonts w:cstheme="minorHAnsi"/>
        </w:rPr>
        <w:t>≥</w:t>
      </w:r>
      <w:r w:rsidRPr="002B4570">
        <w:t>3 ALT increase (0/156 vs 3/39). The</w:t>
      </w:r>
      <w:r w:rsidR="00517964">
        <w:t xml:space="preserve"> evaluation considered the</w:t>
      </w:r>
      <w:r w:rsidRPr="002B4570">
        <w:t xml:space="preserve"> safety data from </w:t>
      </w:r>
      <w:r w:rsidR="0038675B" w:rsidRPr="002B4570">
        <w:t>Giles et al.</w:t>
      </w:r>
      <w:r w:rsidRPr="002B4570">
        <w:t xml:space="preserve"> (2010) are small and vulnerable to imbalances in confounders, as well as transitivity issues as outlined in ‘comparative harms’ above. Further, the difference in Grade </w:t>
      </w:r>
      <w:r w:rsidRPr="002B4570">
        <w:rPr>
          <w:rFonts w:cstheme="minorHAnsi"/>
        </w:rPr>
        <w:t>≥</w:t>
      </w:r>
      <w:r w:rsidRPr="002B4570">
        <w:t xml:space="preserve">3 ALT increase was not statistically significant in the comparison of safety data between ASCEMBL and ENACT (Grade </w:t>
      </w:r>
      <w:r w:rsidRPr="002B4570">
        <w:rPr>
          <w:rFonts w:cstheme="minorHAnsi"/>
        </w:rPr>
        <w:t>≥</w:t>
      </w:r>
      <w:r w:rsidRPr="002B4570">
        <w:t xml:space="preserve">3 ALT increase in 30/1,422 [2.1%]), which had a lot more power. This comparison was dismissed by the submission because ENACT also enrolled patients who had only failed 1 prior TKI, although this is more likely to </w:t>
      </w:r>
      <w:r w:rsidR="009B70A6" w:rsidRPr="002B4570">
        <w:t>a</w:t>
      </w:r>
      <w:r w:rsidRPr="002B4570">
        <w:t>ffect comparative efficacy than comparative safety. Cross reactivity of hepatic injury is uncommon between TKIs, so the differences in line of therapy are unlikely to affect this safety outcome</w:t>
      </w:r>
      <w:r w:rsidRPr="002B4570">
        <w:rPr>
          <w:rStyle w:val="FootnoteReference"/>
        </w:rPr>
        <w:footnoteReference w:id="11"/>
      </w:r>
      <w:r w:rsidRPr="002B4570">
        <w:t>.</w:t>
      </w:r>
      <w:r w:rsidR="0090320B">
        <w:t xml:space="preserve"> </w:t>
      </w:r>
      <w:r w:rsidR="0090320B" w:rsidRPr="002E7D71">
        <w:t xml:space="preserve">The PSCR acknowledged that it may be reasonable to exclude the cost offset associated with the management of ALT increase grade </w:t>
      </w:r>
      <w:r w:rsidR="0090320B" w:rsidRPr="002E7D71">
        <w:rPr>
          <w:rFonts w:cstheme="minorHAnsi"/>
        </w:rPr>
        <w:t>≥</w:t>
      </w:r>
      <w:r w:rsidR="0090320B" w:rsidRPr="002E7D71">
        <w:t>3 from the CMA.</w:t>
      </w:r>
    </w:p>
    <w:p w14:paraId="3E0E2481" w14:textId="1ECEB6B3" w:rsidR="00BD4F20" w:rsidRPr="008263CE" w:rsidRDefault="007E07A5" w:rsidP="00B76BAF">
      <w:pPr>
        <w:pStyle w:val="3-BodyText"/>
      </w:pPr>
      <w:r w:rsidRPr="002B4570">
        <w:t xml:space="preserve">For the CMA with ponatinib, the submission used comparative safety data from ASCEMBL and PACE. This found five Grade </w:t>
      </w:r>
      <w:r w:rsidRPr="002B4570">
        <w:rPr>
          <w:rFonts w:cstheme="minorHAnsi"/>
        </w:rPr>
        <w:t>≥</w:t>
      </w:r>
      <w:r w:rsidRPr="002B4570">
        <w:t xml:space="preserve">3 treatment-related </w:t>
      </w:r>
      <w:r w:rsidR="00AA2193">
        <w:t>AEs</w:t>
      </w:r>
      <w:r w:rsidRPr="002B4570">
        <w:t xml:space="preserve"> (</w:t>
      </w:r>
      <w:r w:rsidRPr="008A4101">
        <w:t xml:space="preserve">TRAEs) were significantly less common in those receiving </w:t>
      </w:r>
      <w:r w:rsidR="00337BFF" w:rsidRPr="008A4101">
        <w:t>asciminib</w:t>
      </w:r>
      <w:r w:rsidRPr="008A4101">
        <w:t xml:space="preserve"> than ponatinib (thrombocytopenia, anaemia, increased lipase, abdominal pain and angina) and one Grade </w:t>
      </w:r>
      <w:r w:rsidRPr="008A4101">
        <w:rPr>
          <w:rFonts w:cstheme="minorHAnsi"/>
        </w:rPr>
        <w:t>≥</w:t>
      </w:r>
      <w:r w:rsidRPr="008A4101">
        <w:t xml:space="preserve">3 TRAE was more common with </w:t>
      </w:r>
      <w:r w:rsidR="00337BFF" w:rsidRPr="008A4101">
        <w:t>asciminib</w:t>
      </w:r>
      <w:r w:rsidRPr="008A4101">
        <w:t xml:space="preserve"> </w:t>
      </w:r>
      <w:r w:rsidRPr="002B4570">
        <w:t xml:space="preserve">than ponatinib (increase amylase). As discussed under ‘comparative harms’ above, a combination of transitivity issues, bias in the ASCEMBL safety data, and mismatched patient exposure/follow-up between the asciminib arm of </w:t>
      </w:r>
      <w:r w:rsidRPr="008263CE">
        <w:t xml:space="preserve">ASCEMBL and the PACE trial population may have biased the safety comparison in favour of </w:t>
      </w:r>
      <w:r w:rsidR="00337BFF" w:rsidRPr="008263CE">
        <w:t>asciminib</w:t>
      </w:r>
      <w:r w:rsidRPr="008263CE">
        <w:t>.</w:t>
      </w:r>
      <w:r w:rsidR="001F6EAA" w:rsidRPr="008263CE">
        <w:t xml:space="preserve"> The of risks of uncertainty in costs associated with safety profiles are further discussed in</w:t>
      </w:r>
      <w:r w:rsidR="00DC6A33" w:rsidRPr="008263CE">
        <w:t xml:space="preserve"> paragraph </w:t>
      </w:r>
      <w:r w:rsidR="00DC6A33" w:rsidRPr="008263CE">
        <w:fldChar w:fldCharType="begin"/>
      </w:r>
      <w:r w:rsidR="00DC6A33" w:rsidRPr="008263CE">
        <w:instrText xml:space="preserve"> REF _Ref106617252 \r \h  \* MERGEFORMAT </w:instrText>
      </w:r>
      <w:r w:rsidR="00DC6A33" w:rsidRPr="008263CE">
        <w:fldChar w:fldCharType="separate"/>
      </w:r>
      <w:r w:rsidR="00A914F4">
        <w:t>6.51</w:t>
      </w:r>
      <w:r w:rsidR="00DC6A33" w:rsidRPr="008263CE">
        <w:fldChar w:fldCharType="end"/>
      </w:r>
      <w:r w:rsidR="001F6EAA" w:rsidRPr="008263CE">
        <w:t xml:space="preserve"> below.</w:t>
      </w:r>
      <w:r w:rsidR="00BD4F20" w:rsidRPr="008263CE">
        <w:t xml:space="preserve"> </w:t>
      </w:r>
    </w:p>
    <w:p w14:paraId="40578D6C" w14:textId="3EFDC8DA" w:rsidR="00517964" w:rsidRPr="002E7D71" w:rsidRDefault="00BD4F20" w:rsidP="007D63DE">
      <w:pPr>
        <w:pStyle w:val="3-BodyText"/>
      </w:pPr>
      <w:r w:rsidRPr="002E7D71">
        <w:t xml:space="preserve">The PSCR stated that Grade </w:t>
      </w:r>
      <w:r w:rsidRPr="002E7D71">
        <w:rPr>
          <w:rFonts w:cstheme="minorHAnsi"/>
        </w:rPr>
        <w:t>≥</w:t>
      </w:r>
      <w:r w:rsidRPr="002E7D71">
        <w:t>3 TRAEs are clinically complex and are likely to require hospitalisation; however,</w:t>
      </w:r>
      <w:r w:rsidR="002F69F0" w:rsidRPr="002E7D71">
        <w:t xml:space="preserve"> Grade 3 laboratory abnormalities, such as elevated lipase/amylase, anaemia and thrombocytopenia, are frequently treated in the outpatient setting.</w:t>
      </w:r>
      <w:r w:rsidRPr="002E7D71">
        <w:t xml:space="preserve"> </w:t>
      </w:r>
      <w:r w:rsidR="00155613" w:rsidRPr="002E7D71">
        <w:t>Furthermore, t</w:t>
      </w:r>
      <w:r w:rsidR="00D42A53" w:rsidRPr="002E7D71">
        <w:t>he ESC noted that the submission’s claim of superior safety of asciminib v</w:t>
      </w:r>
      <w:r w:rsidR="00033316">
        <w:t>er</w:t>
      </w:r>
      <w:r w:rsidR="00D42A53" w:rsidRPr="002E7D71">
        <w:t>s</w:t>
      </w:r>
      <w:r w:rsidR="00033316">
        <w:t>us</w:t>
      </w:r>
      <w:r w:rsidR="00D42A53" w:rsidRPr="002E7D71">
        <w:t xml:space="preserve"> nilotinib and ponatinib is poorly supported by non-comparative evidence. The resultant additional costs of treatment for adverse events associated with nilotinib and ponatinib inflated the total cost of the comparators, and consequently the sponsor requested a higher price for asciminib.</w:t>
      </w:r>
      <w:r w:rsidR="00184FFF" w:rsidRPr="002E7D71">
        <w:t xml:space="preserve"> </w:t>
      </w:r>
    </w:p>
    <w:p w14:paraId="38745CAE" w14:textId="48DE33EA" w:rsidR="00EA3827" w:rsidRPr="00EA3827" w:rsidRDefault="00EA3827" w:rsidP="00EA3827">
      <w:pPr>
        <w:pStyle w:val="3-BodyText"/>
        <w:numPr>
          <w:ilvl w:val="0"/>
          <w:numId w:val="0"/>
        </w:numPr>
        <w:rPr>
          <w:b/>
          <w:bCs/>
          <w:i/>
          <w:iCs/>
        </w:rPr>
      </w:pPr>
      <w:r w:rsidRPr="00EA3827">
        <w:rPr>
          <w:b/>
          <w:bCs/>
          <w:i/>
          <w:iCs/>
        </w:rPr>
        <w:t>Monitoring</w:t>
      </w:r>
    </w:p>
    <w:p w14:paraId="1CCDC29C" w14:textId="290F192E" w:rsidR="00D16EDF" w:rsidRPr="002B4570" w:rsidRDefault="00836522" w:rsidP="00107ECC">
      <w:pPr>
        <w:pStyle w:val="3-BodyText"/>
      </w:pPr>
      <w:r w:rsidRPr="002B4570">
        <w:t xml:space="preserve">The submission identified the nilotinib PI recommended one additional </w:t>
      </w:r>
      <w:r w:rsidR="009373DE" w:rsidRPr="002B4570">
        <w:t xml:space="preserve">electrocardiogram (ECG) </w:t>
      </w:r>
      <w:r w:rsidRPr="002B4570">
        <w:t xml:space="preserve">compared to the draft </w:t>
      </w:r>
      <w:r w:rsidR="00337BFF" w:rsidRPr="002B4570">
        <w:t>asciminib</w:t>
      </w:r>
      <w:r w:rsidRPr="002B4570">
        <w:t xml:space="preserve"> PI. T</w:t>
      </w:r>
      <w:r w:rsidR="009373DE" w:rsidRPr="002B4570">
        <w:t xml:space="preserve">he submission incorrectly costed </w:t>
      </w:r>
      <w:r w:rsidR="008878D5" w:rsidRPr="002B4570">
        <w:t>$236.25 for MBS item 55129, which is for a transthoracic echocardiogram and stress test. The appropriate MBS item is 11704, which represents a standard twelve-lead ECG and report, costing $32.55.</w:t>
      </w:r>
      <w:r w:rsidR="00BD4F20">
        <w:t xml:space="preserve"> </w:t>
      </w:r>
      <w:r w:rsidR="00BD4F20" w:rsidRPr="002E7D71">
        <w:t>The PSCR agreed with the evaluation that this proposed revision to the CMA is reasonable.</w:t>
      </w:r>
      <w:r w:rsidR="008878D5" w:rsidRPr="002B4570">
        <w:t xml:space="preserve"> In regard to the ECG monitoring requirements for ponatinib, the submission incorrectly assumed that when the ponatinib PI stated “monitor cardiac function and monitor patients for signs and symptoms consistent with heart failure”, this meant an ECG must be performed every 6 months whilst on therapy. This is not the case: the PI </w:t>
      </w:r>
      <w:r w:rsidRPr="002B4570">
        <w:t xml:space="preserve">only </w:t>
      </w:r>
      <w:r w:rsidR="008878D5" w:rsidRPr="002B4570">
        <w:t xml:space="preserve">recommends measurement of one ECG prior to commencing ponatinib therapy, to establish a baseline QT interval. Cardiac function </w:t>
      </w:r>
      <w:r w:rsidRPr="002B4570">
        <w:t xml:space="preserve">monitoring is primarily performed </w:t>
      </w:r>
      <w:r w:rsidR="008878D5" w:rsidRPr="002B4570">
        <w:t>clinically</w:t>
      </w:r>
      <w:r w:rsidR="00A24F9A" w:rsidRPr="002B4570">
        <w:t xml:space="preserve">, </w:t>
      </w:r>
      <w:r w:rsidR="00EA27D8" w:rsidRPr="002B4570">
        <w:t>through</w:t>
      </w:r>
      <w:r w:rsidRPr="002B4570">
        <w:t xml:space="preserve"> history taking and physical examination.</w:t>
      </w:r>
    </w:p>
    <w:p w14:paraId="4FA8EC51" w14:textId="06B975D6" w:rsidR="00107ECC" w:rsidRPr="002B4570" w:rsidRDefault="00107ECC" w:rsidP="00107ECC">
      <w:pPr>
        <w:pStyle w:val="3-BodyText"/>
      </w:pPr>
      <w:r w:rsidRPr="002B4570">
        <w:t>The ponatinib PI recommends patients are monitored for evidence of thromboembolism and vascular occlusion; the submission interpreted this as requiring duplex ultrasounds and retinal angiography every 6 months.</w:t>
      </w:r>
      <w:r w:rsidR="00BD1910" w:rsidRPr="002B4570">
        <w:t xml:space="preserve"> These tests represent a substantial expense ($1,326.80 over 2 years</w:t>
      </w:r>
      <w:r w:rsidR="0060587C" w:rsidRPr="002B4570">
        <w:t xml:space="preserve">, and $3,648.70 over the </w:t>
      </w:r>
      <w:r w:rsidR="00B22BCB" w:rsidRPr="002B4570">
        <w:t>5.06-year</w:t>
      </w:r>
      <w:r w:rsidR="0060587C" w:rsidRPr="002B4570">
        <w:t xml:space="preserve"> time horizon</w:t>
      </w:r>
      <w:r w:rsidR="00BD1910" w:rsidRPr="002B4570">
        <w:t>) with a low yield, as these rare events (peripheral vascular disorder occurred in 1%, venous thromboembolism in 6%, and ocular occlusion in &lt; 1% of patients</w:t>
      </w:r>
      <w:r w:rsidR="00E915D8" w:rsidRPr="002B4570">
        <w:t xml:space="preserve"> in PACE</w:t>
      </w:r>
      <w:r w:rsidR="00BD1910" w:rsidRPr="002B4570">
        <w:t xml:space="preserve">). </w:t>
      </w:r>
      <w:r w:rsidR="00D17B78" w:rsidRPr="002B4570">
        <w:t>Comparatively, the</w:t>
      </w:r>
      <w:r w:rsidR="00BD1910" w:rsidRPr="002B4570">
        <w:t xml:space="preserve"> risk of</w:t>
      </w:r>
      <w:r w:rsidR="00D17B78" w:rsidRPr="002B4570">
        <w:t xml:space="preserve"> a cerebrovascular occlusive event is much higher (13% of patients in PACE), however it would be inappropriate to screen for </w:t>
      </w:r>
      <w:r w:rsidR="002C7C51" w:rsidRPr="002B4570">
        <w:t xml:space="preserve">these events </w:t>
      </w:r>
      <w:r w:rsidR="00D17B78" w:rsidRPr="002B4570">
        <w:t>with 6-monthly magnetic resonance imaging scans.</w:t>
      </w:r>
      <w:r w:rsidR="00BD1910" w:rsidRPr="002B4570">
        <w:t xml:space="preserve"> As these are acute, usually symptomatic events, they can be monitored through patient education and regular physician visits.</w:t>
      </w:r>
    </w:p>
    <w:p w14:paraId="41BD8E4F" w14:textId="31386BEC" w:rsidR="00CE0E21" w:rsidRPr="00EA3827" w:rsidRDefault="00EA3827" w:rsidP="00EA3827">
      <w:pPr>
        <w:pStyle w:val="3-BodyText"/>
        <w:numPr>
          <w:ilvl w:val="0"/>
          <w:numId w:val="0"/>
        </w:numPr>
        <w:rPr>
          <w:b/>
          <w:bCs/>
          <w:i/>
          <w:iCs/>
        </w:rPr>
      </w:pPr>
      <w:r w:rsidRPr="00EA3827">
        <w:rPr>
          <w:b/>
          <w:bCs/>
          <w:i/>
          <w:iCs/>
        </w:rPr>
        <w:t>Time horizon</w:t>
      </w:r>
    </w:p>
    <w:p w14:paraId="299DA837" w14:textId="4345D1AD" w:rsidR="009373DE" w:rsidRPr="002E7D71" w:rsidRDefault="00CE0E21" w:rsidP="00430CEE">
      <w:pPr>
        <w:pStyle w:val="3-BodyText"/>
      </w:pPr>
      <w:r w:rsidRPr="002B4570">
        <w:t xml:space="preserve">The submission </w:t>
      </w:r>
      <w:r w:rsidR="00EC0ADE" w:rsidRPr="002B4570">
        <w:t>elected a time horizon of two years</w:t>
      </w:r>
      <w:r w:rsidRPr="002B4570">
        <w:t>, which under</w:t>
      </w:r>
      <w:r w:rsidR="00573F83">
        <w:t>-</w:t>
      </w:r>
      <w:r w:rsidR="00E57FE5" w:rsidRPr="002B4570">
        <w:t>represent</w:t>
      </w:r>
      <w:r w:rsidRPr="002B4570">
        <w:t>s</w:t>
      </w:r>
      <w:r w:rsidR="00E57FE5" w:rsidRPr="002B4570">
        <w:t xml:space="preserve"> the chronicity of CML-CP, and is substantially </w:t>
      </w:r>
      <w:r w:rsidR="008A0809" w:rsidRPr="002B4570">
        <w:t>less</w:t>
      </w:r>
      <w:r w:rsidR="00E57FE5" w:rsidRPr="002B4570">
        <w:t xml:space="preserve"> than the durations outlined in the </w:t>
      </w:r>
      <w:r w:rsidR="001616B2" w:rsidRPr="002B4570">
        <w:t xml:space="preserve">most </w:t>
      </w:r>
      <w:r w:rsidR="00E57FE5" w:rsidRPr="002B4570">
        <w:t>recent DUSC review: ‘third or later line’ treatments</w:t>
      </w:r>
      <w:r w:rsidR="001B52A6" w:rsidRPr="002B4570">
        <w:t xml:space="preserve"> were</w:t>
      </w:r>
      <w:r w:rsidR="00E57FE5" w:rsidRPr="002B4570">
        <w:t xml:space="preserve"> continued for a mean of 5.06 years (without excluding breaks), and first-line treatments had a mean of 8.49 years (Table 10, p 15 of the public release document, October 2019 DUSC meeting)</w:t>
      </w:r>
      <w:r w:rsidR="000678C8" w:rsidRPr="002B4570">
        <w:t xml:space="preserve">. </w:t>
      </w:r>
      <w:r w:rsidR="00044C74" w:rsidRPr="002B4570">
        <w:t>Asciminib</w:t>
      </w:r>
      <w:r w:rsidR="00E57FE5" w:rsidRPr="002B4570">
        <w:t xml:space="preserve"> may be used as a first-</w:t>
      </w:r>
      <w:r w:rsidR="0069584B" w:rsidRPr="002B4570">
        <w:t xml:space="preserve">, second- or third </w:t>
      </w:r>
      <w:r w:rsidR="00E57FE5" w:rsidRPr="002B4570">
        <w:t>-line treatment</w:t>
      </w:r>
      <w:r w:rsidR="00E4383E" w:rsidRPr="002B4570">
        <w:t xml:space="preserve"> under the proposed PBS restriction</w:t>
      </w:r>
      <w:r w:rsidR="00E57FE5" w:rsidRPr="002B4570">
        <w:t>.</w:t>
      </w:r>
      <w:r w:rsidR="00757435" w:rsidRPr="002B4570">
        <w:t xml:space="preserve"> The </w:t>
      </w:r>
      <w:r w:rsidRPr="002B4570">
        <w:t xml:space="preserve">cost-minimised price of asciminib became lower if </w:t>
      </w:r>
      <w:r w:rsidR="00757435" w:rsidRPr="002B4570">
        <w:t xml:space="preserve">the time horizon </w:t>
      </w:r>
      <w:r w:rsidRPr="002B4570">
        <w:t>wa</w:t>
      </w:r>
      <w:r w:rsidR="00757435" w:rsidRPr="002B4570">
        <w:t>s extended</w:t>
      </w:r>
      <w:r w:rsidR="000B4D89" w:rsidRPr="002B4570">
        <w:t xml:space="preserve"> beyond </w:t>
      </w:r>
      <w:r w:rsidR="003A5402" w:rsidRPr="002B4570">
        <w:t>two</w:t>
      </w:r>
      <w:r w:rsidR="000B4D89" w:rsidRPr="002B4570">
        <w:t xml:space="preserve"> years</w:t>
      </w:r>
      <w:r w:rsidR="00915A50" w:rsidRPr="002B4570">
        <w:t>, as the one-off costs of investigations associated with commencement ma</w:t>
      </w:r>
      <w:r w:rsidR="00B03FE5" w:rsidRPr="002B4570">
        <w:t>de</w:t>
      </w:r>
      <w:r w:rsidR="00915A50" w:rsidRPr="002B4570">
        <w:t xml:space="preserve"> up a smaller proportion of </w:t>
      </w:r>
      <w:r w:rsidR="00535FC9" w:rsidRPr="002B4570">
        <w:t>total</w:t>
      </w:r>
      <w:r w:rsidR="00915A50" w:rsidRPr="002B4570">
        <w:t xml:space="preserve"> difference</w:t>
      </w:r>
      <w:r w:rsidR="00EA2289" w:rsidRPr="002B4570">
        <w:t>s</w:t>
      </w:r>
      <w:r w:rsidR="00915A50" w:rsidRPr="002B4570">
        <w:t xml:space="preserve"> the longer treatment is continued, and the differences in costs of monitoring/</w:t>
      </w:r>
      <w:r w:rsidR="00AA2193">
        <w:t>AEs</w:t>
      </w:r>
      <w:r w:rsidR="00915A50" w:rsidRPr="002B4570">
        <w:t>, multiplied over more years, create</w:t>
      </w:r>
      <w:r w:rsidR="00EA2289" w:rsidRPr="002B4570">
        <w:t>d</w:t>
      </w:r>
      <w:r w:rsidR="00915A50" w:rsidRPr="002B4570">
        <w:t xml:space="preserve"> a larger incremental gap</w:t>
      </w:r>
      <w:r w:rsidR="000B4D89" w:rsidRPr="002B4570">
        <w:t>.</w:t>
      </w:r>
      <w:r w:rsidR="003B2B48">
        <w:t xml:space="preserve"> </w:t>
      </w:r>
      <w:r w:rsidR="003B2B48" w:rsidRPr="002E7D71">
        <w:t>The</w:t>
      </w:r>
      <w:r w:rsidR="00A30570">
        <w:t xml:space="preserve"> pre-PBAC response stated that the </w:t>
      </w:r>
      <w:r w:rsidR="00532ED3">
        <w:t>cost minimisation</w:t>
      </w:r>
      <w:r w:rsidR="00A30570">
        <w:t xml:space="preserve"> for ponatinib</w:t>
      </w:r>
      <w:r w:rsidR="00532ED3">
        <w:t xml:space="preserve"> (July 2015 PBAC meeting) was performed over a time horizon of one year, and that increasing the time horizon to two years for asciminib is a conservative approach, since reducing the time horizon would increase the proposed AEMP.</w:t>
      </w:r>
      <w:r w:rsidR="003B2B48" w:rsidRPr="002E7D71">
        <w:t xml:space="preserve"> </w:t>
      </w:r>
      <w:r w:rsidR="00987D86">
        <w:t>The PBAC considered the two-year time horizon to be a reasonable basis for the analysis.</w:t>
      </w:r>
    </w:p>
    <w:p w14:paraId="57B8D300" w14:textId="4587E1B3" w:rsidR="00F273E4" w:rsidRPr="00F273E4" w:rsidRDefault="00F273E4" w:rsidP="00F273E4">
      <w:pPr>
        <w:pStyle w:val="3-BodyText"/>
        <w:keepNext/>
        <w:keepLines/>
        <w:numPr>
          <w:ilvl w:val="0"/>
          <w:numId w:val="0"/>
        </w:numPr>
        <w:rPr>
          <w:b/>
          <w:bCs/>
          <w:i/>
          <w:iCs/>
        </w:rPr>
      </w:pPr>
      <w:bookmarkStart w:id="52" w:name="_Ref104377156"/>
      <w:r w:rsidRPr="00F273E4">
        <w:rPr>
          <w:b/>
          <w:bCs/>
          <w:i/>
          <w:iCs/>
        </w:rPr>
        <w:t>Cost minimisation approach</w:t>
      </w:r>
    </w:p>
    <w:p w14:paraId="77C8D149" w14:textId="32513C3C" w:rsidR="00464105" w:rsidRDefault="008A03C9" w:rsidP="008A03C9">
      <w:pPr>
        <w:pStyle w:val="3-BodyText"/>
      </w:pPr>
      <w:bookmarkStart w:id="53" w:name="_Ref110516425"/>
      <w:r w:rsidRPr="002B4570">
        <w:t>The results of the CMA are presented in</w:t>
      </w:r>
      <w:r>
        <w:t xml:space="preserve"> </w:t>
      </w:r>
      <w:r w:rsidRPr="002E7D71">
        <w:fldChar w:fldCharType="begin"/>
      </w:r>
      <w:r w:rsidRPr="002E7D71">
        <w:instrText xml:space="preserve"> REF _Ref103635505 \h  \* MERGEFORMAT </w:instrText>
      </w:r>
      <w:r w:rsidRPr="002E7D71">
        <w:fldChar w:fldCharType="separate"/>
      </w:r>
      <w:r w:rsidR="00A914F4" w:rsidRPr="00B22BCB">
        <w:t xml:space="preserve">Table </w:t>
      </w:r>
      <w:r w:rsidR="00A914F4">
        <w:rPr>
          <w:noProof/>
        </w:rPr>
        <w:t>14</w:t>
      </w:r>
      <w:r w:rsidRPr="002E7D71">
        <w:fldChar w:fldCharType="end"/>
      </w:r>
      <w:r w:rsidRPr="002E7D71">
        <w:t xml:space="preserve"> and </w:t>
      </w:r>
      <w:r w:rsidRPr="002E7D71">
        <w:fldChar w:fldCharType="begin"/>
      </w:r>
      <w:r w:rsidRPr="002E7D71">
        <w:instrText xml:space="preserve"> REF _Ref103635507 \h  \* MERGEFORMAT </w:instrText>
      </w:r>
      <w:r w:rsidRPr="002E7D71">
        <w:fldChar w:fldCharType="separate"/>
      </w:r>
      <w:r w:rsidR="00A914F4" w:rsidRPr="00B22BCB">
        <w:t xml:space="preserve">Table </w:t>
      </w:r>
      <w:r w:rsidR="00A914F4">
        <w:rPr>
          <w:noProof/>
        </w:rPr>
        <w:t>15</w:t>
      </w:r>
      <w:r w:rsidRPr="002E7D71">
        <w:fldChar w:fldCharType="end"/>
      </w:r>
      <w:r w:rsidRPr="002E7D71">
        <w:t xml:space="preserve"> against nilotinib and ponatinib, respectively.</w:t>
      </w:r>
      <w:r w:rsidRPr="002B4570">
        <w:t xml:space="preserve"> The submission adjusted the AEMP to correspond to prior 5% and 10% F1 anniversary price reductions for nilotinib (April 2016 and 2019), the 5% F1 anniversary price reduction for ponatinib (April 2021). The submission proposed an effective price on the basis of Clause 5.7 of the Strategic Agreement between Medicines Australia and the Commonwealth (the Strategic Agreement) that, until expiration of the agreement 30 June 2022, asciminib can be listed with a price equivalent to that of the other TKI drugs prior to the application of any F1 statutory cuts. The PBAC ha</w:t>
      </w:r>
      <w:r w:rsidR="00D57163">
        <w:t>s</w:t>
      </w:r>
      <w:r w:rsidRPr="002B4570">
        <w:t xml:space="preserve"> previously considered that the application of Clause 5.7 of the Strategic Agreement is determined by the Minister (or Delegate), and is not a matter for PBAC (para</w:t>
      </w:r>
      <w:r w:rsidR="008B10EA">
        <w:t>graph</w:t>
      </w:r>
      <w:r w:rsidRPr="002B4570">
        <w:t xml:space="preserve"> 6.41, levonorgestrel PSD, March 2019 Meeting). </w:t>
      </w:r>
      <w:bookmarkEnd w:id="52"/>
      <w:r w:rsidR="00F75607" w:rsidRPr="002E7D71">
        <w:t xml:space="preserve">The prices shown in </w:t>
      </w:r>
      <w:r w:rsidR="00F75607" w:rsidRPr="002E7D71">
        <w:fldChar w:fldCharType="begin"/>
      </w:r>
      <w:r w:rsidR="00F75607" w:rsidRPr="002E7D71">
        <w:instrText xml:space="preserve"> REF _Ref103635505 \h  \* MERGEFORMAT </w:instrText>
      </w:r>
      <w:r w:rsidR="00F75607" w:rsidRPr="002E7D71">
        <w:fldChar w:fldCharType="separate"/>
      </w:r>
      <w:r w:rsidR="00A914F4" w:rsidRPr="00B22BCB">
        <w:t xml:space="preserve">Table </w:t>
      </w:r>
      <w:r w:rsidR="00A914F4">
        <w:rPr>
          <w:noProof/>
        </w:rPr>
        <w:t>14</w:t>
      </w:r>
      <w:r w:rsidR="00F75607" w:rsidRPr="002E7D71">
        <w:fldChar w:fldCharType="end"/>
      </w:r>
      <w:r w:rsidR="00F75607" w:rsidRPr="002E7D71">
        <w:t xml:space="preserve"> and </w:t>
      </w:r>
      <w:r w:rsidR="00F75607" w:rsidRPr="002E7D71">
        <w:fldChar w:fldCharType="begin"/>
      </w:r>
      <w:r w:rsidR="00F75607" w:rsidRPr="002E7D71">
        <w:instrText xml:space="preserve"> REF _Ref103635507 \h  \* MERGEFORMAT </w:instrText>
      </w:r>
      <w:r w:rsidR="00F75607" w:rsidRPr="002E7D71">
        <w:fldChar w:fldCharType="separate"/>
      </w:r>
      <w:r w:rsidR="00A914F4" w:rsidRPr="00B22BCB">
        <w:t xml:space="preserve">Table </w:t>
      </w:r>
      <w:r w:rsidR="00A914F4">
        <w:rPr>
          <w:noProof/>
        </w:rPr>
        <w:t>15</w:t>
      </w:r>
      <w:r w:rsidR="00F75607" w:rsidRPr="002E7D71">
        <w:fldChar w:fldCharType="end"/>
      </w:r>
      <w:r w:rsidR="00F75607" w:rsidRPr="002E7D71">
        <w:t xml:space="preserve"> have been adjusted to remove the application of Clause 5.7.</w:t>
      </w:r>
      <w:bookmarkEnd w:id="53"/>
    </w:p>
    <w:p w14:paraId="718096BF" w14:textId="77777777" w:rsidR="00464105" w:rsidRDefault="00464105">
      <w:pPr>
        <w:jc w:val="left"/>
        <w:rPr>
          <w:rFonts w:asciiTheme="minorHAnsi" w:hAnsiTheme="minorHAnsi"/>
          <w:snapToGrid w:val="0"/>
        </w:rPr>
      </w:pPr>
      <w:r>
        <w:br w:type="page"/>
      </w:r>
    </w:p>
    <w:p w14:paraId="3A627BB7" w14:textId="4E69B8D9" w:rsidR="009373DE" w:rsidRPr="00B22BCB" w:rsidRDefault="009373DE" w:rsidP="009373DE">
      <w:pPr>
        <w:pStyle w:val="TableFigureHeading"/>
      </w:pPr>
      <w:bookmarkStart w:id="54" w:name="_Ref103635505"/>
      <w:r w:rsidRPr="00B22BCB">
        <w:t xml:space="preserve">Table </w:t>
      </w:r>
      <w:r w:rsidR="00CA52C1">
        <w:fldChar w:fldCharType="begin"/>
      </w:r>
      <w:r w:rsidR="00CA52C1">
        <w:instrText xml:space="preserve"> SE</w:instrText>
      </w:r>
      <w:r w:rsidR="00CA52C1">
        <w:instrText xml:space="preserve">Q Table \* ARABIC </w:instrText>
      </w:r>
      <w:r w:rsidR="00CA52C1">
        <w:fldChar w:fldCharType="separate"/>
      </w:r>
      <w:r w:rsidR="00A914F4">
        <w:rPr>
          <w:noProof/>
        </w:rPr>
        <w:t>14</w:t>
      </w:r>
      <w:r w:rsidR="00CA52C1">
        <w:rPr>
          <w:noProof/>
        </w:rPr>
        <w:fldChar w:fldCharType="end"/>
      </w:r>
      <w:bookmarkEnd w:id="54"/>
      <w:r w:rsidRPr="00B22BCB">
        <w:rPr>
          <w:noProof/>
        </w:rPr>
        <w:t>:</w:t>
      </w:r>
      <w:r w:rsidRPr="00B22BCB">
        <w:t xml:space="preserve"> Economic </w:t>
      </w:r>
      <w:r w:rsidR="003A04E1">
        <w:t>e</w:t>
      </w:r>
      <w:r w:rsidRPr="00B22BCB">
        <w:t xml:space="preserve">valuation of </w:t>
      </w:r>
      <w:r w:rsidR="00337BFF" w:rsidRPr="00B22BCB">
        <w:t>asciminib</w:t>
      </w:r>
      <w:r w:rsidRPr="00B22BCB">
        <w:t xml:space="preserve"> vs nilotinib </w:t>
      </w:r>
    </w:p>
    <w:tbl>
      <w:tblPr>
        <w:tblStyle w:val="Summarybox1"/>
        <w:tblW w:w="5000" w:type="pct"/>
        <w:tblLayout w:type="fixed"/>
        <w:tblLook w:val="04A0" w:firstRow="1" w:lastRow="0" w:firstColumn="1" w:lastColumn="0" w:noHBand="0" w:noVBand="1"/>
      </w:tblPr>
      <w:tblGrid>
        <w:gridCol w:w="2952"/>
        <w:gridCol w:w="1266"/>
        <w:gridCol w:w="1127"/>
        <w:gridCol w:w="1268"/>
        <w:gridCol w:w="32"/>
        <w:gridCol w:w="1288"/>
        <w:gridCol w:w="1077"/>
        <w:gridCol w:w="7"/>
      </w:tblGrid>
      <w:tr w:rsidR="009373DE" w:rsidRPr="002B4570" w14:paraId="2C377AF8" w14:textId="77777777" w:rsidTr="00FC3233">
        <w:trPr>
          <w:gridAfter w:val="1"/>
          <w:wAfter w:w="4" w:type="pct"/>
        </w:trPr>
        <w:tc>
          <w:tcPr>
            <w:tcW w:w="1637" w:type="pct"/>
            <w:shd w:val="clear" w:color="auto" w:fill="auto"/>
            <w:vAlign w:val="center"/>
          </w:tcPr>
          <w:p w14:paraId="6F30E150" w14:textId="77777777" w:rsidR="009373DE" w:rsidRPr="002B4570" w:rsidRDefault="009373DE" w:rsidP="00144CAC">
            <w:pPr>
              <w:pStyle w:val="Tabletext"/>
              <w:keepNext/>
            </w:pPr>
            <w:bookmarkStart w:id="55" w:name="_Hlk104280099"/>
          </w:p>
        </w:tc>
        <w:tc>
          <w:tcPr>
            <w:tcW w:w="702" w:type="pct"/>
            <w:shd w:val="clear" w:color="auto" w:fill="auto"/>
            <w:vAlign w:val="center"/>
          </w:tcPr>
          <w:p w14:paraId="41409EFE" w14:textId="77777777" w:rsidR="009373DE" w:rsidRPr="002B4570" w:rsidRDefault="009373DE" w:rsidP="00144CAC">
            <w:pPr>
              <w:pStyle w:val="Tabletext"/>
              <w:keepNext/>
              <w:rPr>
                <w:b/>
                <w:bCs/>
                <w:color w:val="000000"/>
              </w:rPr>
            </w:pPr>
            <w:r w:rsidRPr="002B4570">
              <w:rPr>
                <w:b/>
                <w:bCs/>
                <w:color w:val="000000"/>
              </w:rPr>
              <w:t xml:space="preserve">Asciminib </w:t>
            </w:r>
          </w:p>
          <w:p w14:paraId="67204386" w14:textId="77777777" w:rsidR="009373DE" w:rsidRPr="002B4570" w:rsidRDefault="009373DE" w:rsidP="00144CAC">
            <w:pPr>
              <w:pStyle w:val="Tabletext"/>
              <w:keepNext/>
              <w:rPr>
                <w:b/>
                <w:bCs/>
              </w:rPr>
            </w:pPr>
            <w:r w:rsidRPr="002B4570">
              <w:rPr>
                <w:b/>
                <w:bCs/>
                <w:color w:val="000000"/>
              </w:rPr>
              <w:t>60 x 40 mg</w:t>
            </w:r>
          </w:p>
        </w:tc>
        <w:tc>
          <w:tcPr>
            <w:tcW w:w="625" w:type="pct"/>
            <w:shd w:val="clear" w:color="auto" w:fill="auto"/>
            <w:vAlign w:val="center"/>
          </w:tcPr>
          <w:p w14:paraId="5BCB4FEF" w14:textId="77777777" w:rsidR="009373DE" w:rsidRPr="002B4570" w:rsidRDefault="009373DE" w:rsidP="00144CAC">
            <w:pPr>
              <w:pStyle w:val="Tabletext"/>
              <w:keepNext/>
              <w:rPr>
                <w:b/>
                <w:bCs/>
                <w:color w:val="000000"/>
              </w:rPr>
            </w:pPr>
            <w:r w:rsidRPr="002B4570">
              <w:rPr>
                <w:b/>
                <w:bCs/>
                <w:color w:val="000000"/>
              </w:rPr>
              <w:t xml:space="preserve">Asciminib </w:t>
            </w:r>
          </w:p>
          <w:p w14:paraId="21C65F04" w14:textId="77777777" w:rsidR="009373DE" w:rsidRPr="002B4570" w:rsidRDefault="009373DE" w:rsidP="00144CAC">
            <w:pPr>
              <w:pStyle w:val="Tabletext"/>
              <w:keepNext/>
              <w:rPr>
                <w:b/>
                <w:bCs/>
              </w:rPr>
            </w:pPr>
            <w:r w:rsidRPr="002B4570">
              <w:rPr>
                <w:b/>
                <w:bCs/>
                <w:color w:val="000000"/>
              </w:rPr>
              <w:t>60 x 20 mg</w:t>
            </w:r>
          </w:p>
        </w:tc>
        <w:tc>
          <w:tcPr>
            <w:tcW w:w="721" w:type="pct"/>
            <w:gridSpan w:val="2"/>
            <w:shd w:val="clear" w:color="auto" w:fill="auto"/>
            <w:vAlign w:val="center"/>
          </w:tcPr>
          <w:p w14:paraId="5237D21A" w14:textId="77777777" w:rsidR="009373DE" w:rsidRPr="002B4570" w:rsidRDefault="009373DE" w:rsidP="00144CAC">
            <w:pPr>
              <w:pStyle w:val="Tabletext"/>
              <w:keepNext/>
              <w:rPr>
                <w:b/>
                <w:bCs/>
              </w:rPr>
            </w:pPr>
            <w:r w:rsidRPr="002B4570">
              <w:rPr>
                <w:b/>
                <w:bCs/>
              </w:rPr>
              <w:t xml:space="preserve">Nilotinib </w:t>
            </w:r>
          </w:p>
          <w:p w14:paraId="42840B62" w14:textId="77777777" w:rsidR="009373DE" w:rsidRPr="002B4570" w:rsidRDefault="009373DE" w:rsidP="00144CAC">
            <w:pPr>
              <w:pStyle w:val="Tabletext"/>
              <w:keepNext/>
              <w:rPr>
                <w:b/>
                <w:bCs/>
              </w:rPr>
            </w:pPr>
            <w:r w:rsidRPr="002B4570">
              <w:rPr>
                <w:b/>
                <w:bCs/>
              </w:rPr>
              <w:t>120 x 150 mg</w:t>
            </w:r>
          </w:p>
        </w:tc>
        <w:tc>
          <w:tcPr>
            <w:tcW w:w="714" w:type="pct"/>
            <w:shd w:val="clear" w:color="auto" w:fill="auto"/>
            <w:vAlign w:val="center"/>
          </w:tcPr>
          <w:p w14:paraId="5EB58392" w14:textId="77777777" w:rsidR="009373DE" w:rsidRPr="002B4570" w:rsidRDefault="009373DE" w:rsidP="00144CAC">
            <w:pPr>
              <w:pStyle w:val="Tabletext"/>
              <w:keepNext/>
              <w:rPr>
                <w:b/>
                <w:bCs/>
              </w:rPr>
            </w:pPr>
            <w:r w:rsidRPr="002B4570">
              <w:rPr>
                <w:b/>
                <w:bCs/>
              </w:rPr>
              <w:t xml:space="preserve">Nilotinib </w:t>
            </w:r>
          </w:p>
          <w:p w14:paraId="74855120" w14:textId="6889BD20" w:rsidR="009373DE" w:rsidRPr="002B4570" w:rsidRDefault="009373DE" w:rsidP="00144CAC">
            <w:pPr>
              <w:pStyle w:val="Tabletext"/>
              <w:keepNext/>
              <w:rPr>
                <w:b/>
                <w:bCs/>
              </w:rPr>
            </w:pPr>
            <w:r w:rsidRPr="002B4570">
              <w:rPr>
                <w:b/>
                <w:bCs/>
              </w:rPr>
              <w:t xml:space="preserve">120 x </w:t>
            </w:r>
            <w:r w:rsidR="00FC3233" w:rsidRPr="002B4570">
              <w:rPr>
                <w:b/>
                <w:bCs/>
              </w:rPr>
              <w:t>200</w:t>
            </w:r>
            <w:r w:rsidR="00FC3233">
              <w:rPr>
                <w:b/>
                <w:bCs/>
              </w:rPr>
              <w:t> </w:t>
            </w:r>
            <w:r w:rsidRPr="002B4570">
              <w:rPr>
                <w:b/>
                <w:bCs/>
              </w:rPr>
              <w:t>mg</w:t>
            </w:r>
          </w:p>
        </w:tc>
        <w:tc>
          <w:tcPr>
            <w:tcW w:w="597" w:type="pct"/>
            <w:shd w:val="clear" w:color="auto" w:fill="auto"/>
            <w:vAlign w:val="center"/>
          </w:tcPr>
          <w:p w14:paraId="398637B4" w14:textId="77777777" w:rsidR="009373DE" w:rsidRPr="002B4570" w:rsidRDefault="009373DE" w:rsidP="00144CAC">
            <w:pPr>
              <w:pStyle w:val="Tabletext"/>
              <w:keepNext/>
              <w:rPr>
                <w:b/>
                <w:bCs/>
              </w:rPr>
            </w:pPr>
          </w:p>
          <w:p w14:paraId="6D13D0A0" w14:textId="7613D174" w:rsidR="009373DE" w:rsidRPr="002B4570" w:rsidRDefault="009373DE" w:rsidP="00144CAC">
            <w:pPr>
              <w:pStyle w:val="Tabletext"/>
              <w:keepNext/>
              <w:rPr>
                <w:b/>
                <w:bCs/>
              </w:rPr>
            </w:pPr>
            <w:r w:rsidRPr="002B4570">
              <w:rPr>
                <w:b/>
                <w:bCs/>
              </w:rPr>
              <w:t>Increment</w:t>
            </w:r>
          </w:p>
        </w:tc>
      </w:tr>
      <w:tr w:rsidR="009373DE" w:rsidRPr="002B4570" w14:paraId="18DF20FC" w14:textId="77777777" w:rsidTr="00AC0867">
        <w:tc>
          <w:tcPr>
            <w:tcW w:w="5000" w:type="pct"/>
            <w:gridSpan w:val="8"/>
            <w:shd w:val="clear" w:color="auto" w:fill="auto"/>
            <w:vAlign w:val="center"/>
          </w:tcPr>
          <w:p w14:paraId="677544D9" w14:textId="77777777" w:rsidR="009373DE" w:rsidRPr="002B4570" w:rsidRDefault="009373DE" w:rsidP="00144CAC">
            <w:pPr>
              <w:pStyle w:val="Tabletext"/>
              <w:keepNext/>
              <w:rPr>
                <w:b/>
                <w:bCs/>
              </w:rPr>
            </w:pPr>
            <w:r w:rsidRPr="002B4570">
              <w:rPr>
                <w:b/>
                <w:bCs/>
              </w:rPr>
              <w:t>Medicines</w:t>
            </w:r>
          </w:p>
        </w:tc>
      </w:tr>
      <w:tr w:rsidR="009373DE" w:rsidRPr="002B4570" w14:paraId="16CA7960" w14:textId="77777777" w:rsidTr="00FC3233">
        <w:trPr>
          <w:gridAfter w:val="1"/>
          <w:wAfter w:w="4" w:type="pct"/>
        </w:trPr>
        <w:tc>
          <w:tcPr>
            <w:tcW w:w="1637" w:type="pct"/>
            <w:shd w:val="clear" w:color="auto" w:fill="auto"/>
            <w:vAlign w:val="center"/>
          </w:tcPr>
          <w:p w14:paraId="43012975" w14:textId="77777777" w:rsidR="009373DE" w:rsidRPr="002B4570" w:rsidRDefault="009373DE" w:rsidP="00144CAC">
            <w:pPr>
              <w:pStyle w:val="Tabletext"/>
              <w:keepNext/>
              <w:rPr>
                <w:color w:val="000000"/>
              </w:rPr>
            </w:pPr>
            <w:r w:rsidRPr="002B4570">
              <w:rPr>
                <w:color w:val="000000"/>
              </w:rPr>
              <w:t>Days of treatment</w:t>
            </w:r>
          </w:p>
        </w:tc>
        <w:tc>
          <w:tcPr>
            <w:tcW w:w="1327" w:type="pct"/>
            <w:gridSpan w:val="2"/>
            <w:shd w:val="clear" w:color="auto" w:fill="auto"/>
            <w:vAlign w:val="center"/>
          </w:tcPr>
          <w:p w14:paraId="1EA0330A" w14:textId="77777777" w:rsidR="009373DE" w:rsidRPr="002B4570" w:rsidRDefault="009373DE" w:rsidP="00144CAC">
            <w:pPr>
              <w:pStyle w:val="Tabletext"/>
              <w:keepNext/>
              <w:rPr>
                <w:color w:val="000000"/>
              </w:rPr>
            </w:pPr>
            <w:r w:rsidRPr="002B4570">
              <w:rPr>
                <w:color w:val="000000"/>
              </w:rPr>
              <w:t>730.50</w:t>
            </w:r>
          </w:p>
        </w:tc>
        <w:tc>
          <w:tcPr>
            <w:tcW w:w="1435" w:type="pct"/>
            <w:gridSpan w:val="3"/>
            <w:shd w:val="clear" w:color="auto" w:fill="auto"/>
            <w:vAlign w:val="center"/>
          </w:tcPr>
          <w:p w14:paraId="02D2CFB1" w14:textId="77777777" w:rsidR="009373DE" w:rsidRPr="002B4570" w:rsidRDefault="009373DE" w:rsidP="00144CAC">
            <w:pPr>
              <w:pStyle w:val="Tabletext"/>
              <w:keepNext/>
              <w:rPr>
                <w:color w:val="000000"/>
              </w:rPr>
            </w:pPr>
            <w:r w:rsidRPr="002B4570">
              <w:rPr>
                <w:color w:val="000000"/>
              </w:rPr>
              <w:t>730.50</w:t>
            </w:r>
          </w:p>
        </w:tc>
        <w:tc>
          <w:tcPr>
            <w:tcW w:w="597" w:type="pct"/>
            <w:shd w:val="clear" w:color="auto" w:fill="auto"/>
            <w:vAlign w:val="center"/>
          </w:tcPr>
          <w:p w14:paraId="6C767098" w14:textId="77777777" w:rsidR="009373DE" w:rsidRPr="002B4570" w:rsidRDefault="009373DE" w:rsidP="00144CAC">
            <w:pPr>
              <w:pStyle w:val="Tabletext"/>
              <w:keepNext/>
              <w:rPr>
                <w:color w:val="000000"/>
              </w:rPr>
            </w:pPr>
            <w:r w:rsidRPr="002B4570">
              <w:rPr>
                <w:color w:val="000000"/>
              </w:rPr>
              <w:t>-</w:t>
            </w:r>
          </w:p>
        </w:tc>
      </w:tr>
      <w:tr w:rsidR="009373DE" w:rsidRPr="002B4570" w14:paraId="7C21FB6B" w14:textId="77777777" w:rsidTr="00464105">
        <w:trPr>
          <w:gridAfter w:val="1"/>
          <w:wAfter w:w="4" w:type="pct"/>
        </w:trPr>
        <w:tc>
          <w:tcPr>
            <w:tcW w:w="1637" w:type="pct"/>
            <w:shd w:val="clear" w:color="auto" w:fill="auto"/>
            <w:vAlign w:val="center"/>
          </w:tcPr>
          <w:p w14:paraId="709F0F8B" w14:textId="77777777" w:rsidR="009373DE" w:rsidRPr="002B4570" w:rsidRDefault="009373DE" w:rsidP="00144CAC">
            <w:pPr>
              <w:pStyle w:val="Tabletext"/>
              <w:keepNext/>
              <w:rPr>
                <w:color w:val="000000"/>
              </w:rPr>
            </w:pPr>
            <w:r w:rsidRPr="002B4570">
              <w:rPr>
                <w:color w:val="000000"/>
              </w:rPr>
              <w:t>Prescriptions</w:t>
            </w:r>
          </w:p>
        </w:tc>
        <w:tc>
          <w:tcPr>
            <w:tcW w:w="702" w:type="pct"/>
            <w:tcBorders>
              <w:bottom w:val="single" w:sz="4" w:space="0" w:color="auto"/>
            </w:tcBorders>
            <w:shd w:val="solid" w:color="000000" w:fill="000000"/>
            <w:vAlign w:val="center"/>
          </w:tcPr>
          <w:p w14:paraId="21244621" w14:textId="2386771C" w:rsidR="009373DE" w:rsidRPr="0058660F" w:rsidRDefault="00464105" w:rsidP="00144CAC">
            <w:pPr>
              <w:pStyle w:val="Tabletext"/>
              <w:keepNext/>
              <w:rPr>
                <w:color w:val="000000"/>
              </w:rPr>
            </w:pPr>
            <w:r w:rsidRPr="00464105">
              <w:rPr>
                <w:color w:val="000000"/>
                <w:spacing w:val="49"/>
                <w:fitText w:val="319" w:id="-1435290112"/>
                <w14:textFill>
                  <w14:solidFill>
                    <w14:srgbClr w14:val="000000">
                      <w14:alpha w14:val="100000"/>
                    </w14:srgbClr>
                  </w14:solidFill>
                </w14:textFill>
              </w:rPr>
              <w:t>|||</w:t>
            </w:r>
            <w:r w:rsidRPr="00464105">
              <w:rPr>
                <w:color w:val="000000"/>
                <w:spacing w:val="2"/>
                <w:fitText w:val="319" w:id="-1435290112"/>
                <w14:textFill>
                  <w14:solidFill>
                    <w14:srgbClr w14:val="000000">
                      <w14:alpha w14:val="100000"/>
                    </w14:srgbClr>
                  </w14:solidFill>
                </w14:textFill>
              </w:rPr>
              <w:t>|</w:t>
            </w:r>
          </w:p>
        </w:tc>
        <w:tc>
          <w:tcPr>
            <w:tcW w:w="625" w:type="pct"/>
            <w:tcBorders>
              <w:bottom w:val="single" w:sz="4" w:space="0" w:color="auto"/>
            </w:tcBorders>
            <w:shd w:val="solid" w:color="000000" w:fill="000000"/>
            <w:vAlign w:val="center"/>
          </w:tcPr>
          <w:p w14:paraId="07A31292" w14:textId="0141F367" w:rsidR="009373DE" w:rsidRPr="0058660F" w:rsidRDefault="00464105" w:rsidP="00144CAC">
            <w:pPr>
              <w:pStyle w:val="Tabletext"/>
              <w:keepNext/>
              <w:rPr>
                <w:color w:val="000000"/>
              </w:rPr>
            </w:pPr>
            <w:r w:rsidRPr="00464105">
              <w:rPr>
                <w:color w:val="000000"/>
                <w:spacing w:val="50"/>
                <w:fitText w:val="228" w:id="-1435290110"/>
                <w14:textFill>
                  <w14:solidFill>
                    <w14:srgbClr w14:val="000000">
                      <w14:alpha w14:val="100000"/>
                    </w14:srgbClr>
                  </w14:solidFill>
                </w14:textFill>
              </w:rPr>
              <w:t>||</w:t>
            </w:r>
            <w:r w:rsidRPr="00464105">
              <w:rPr>
                <w:color w:val="000000"/>
                <w:spacing w:val="1"/>
                <w:fitText w:val="228" w:id="-1435290110"/>
                <w14:textFill>
                  <w14:solidFill>
                    <w14:srgbClr w14:val="000000">
                      <w14:alpha w14:val="100000"/>
                    </w14:srgbClr>
                  </w14:solidFill>
                </w14:textFill>
              </w:rPr>
              <w:t>|</w:t>
            </w:r>
          </w:p>
        </w:tc>
        <w:tc>
          <w:tcPr>
            <w:tcW w:w="703" w:type="pct"/>
            <w:shd w:val="clear" w:color="auto" w:fill="auto"/>
            <w:vAlign w:val="center"/>
          </w:tcPr>
          <w:p w14:paraId="160C0F75" w14:textId="77777777" w:rsidR="009373DE" w:rsidRPr="0058660F" w:rsidRDefault="009373DE" w:rsidP="00144CAC">
            <w:pPr>
              <w:pStyle w:val="Tabletext"/>
              <w:keepNext/>
              <w:rPr>
                <w:color w:val="000000"/>
              </w:rPr>
            </w:pPr>
            <w:r w:rsidRPr="0058660F">
              <w:rPr>
                <w:color w:val="000000"/>
              </w:rPr>
              <w:t>0.37</w:t>
            </w:r>
          </w:p>
        </w:tc>
        <w:tc>
          <w:tcPr>
            <w:tcW w:w="731" w:type="pct"/>
            <w:gridSpan w:val="2"/>
            <w:shd w:val="clear" w:color="auto" w:fill="auto"/>
            <w:vAlign w:val="center"/>
          </w:tcPr>
          <w:p w14:paraId="67B9B99E" w14:textId="77777777" w:rsidR="009373DE" w:rsidRPr="0058660F" w:rsidRDefault="009373DE" w:rsidP="00144CAC">
            <w:pPr>
              <w:pStyle w:val="Tabletext"/>
              <w:keepNext/>
              <w:rPr>
                <w:color w:val="000000"/>
              </w:rPr>
            </w:pPr>
            <w:r w:rsidRPr="0058660F">
              <w:rPr>
                <w:color w:val="000000"/>
              </w:rPr>
              <w:t>23.98</w:t>
            </w:r>
          </w:p>
        </w:tc>
        <w:tc>
          <w:tcPr>
            <w:tcW w:w="597" w:type="pct"/>
            <w:shd w:val="clear" w:color="auto" w:fill="auto"/>
            <w:vAlign w:val="center"/>
          </w:tcPr>
          <w:p w14:paraId="5B12D27D" w14:textId="77777777" w:rsidR="009373DE" w:rsidRPr="002B4570" w:rsidRDefault="009373DE" w:rsidP="00144CAC">
            <w:pPr>
              <w:pStyle w:val="Tabletext"/>
              <w:keepNext/>
              <w:rPr>
                <w:color w:val="000000"/>
              </w:rPr>
            </w:pPr>
            <w:r w:rsidRPr="002B4570">
              <w:rPr>
                <w:color w:val="000000"/>
              </w:rPr>
              <w:t>-</w:t>
            </w:r>
          </w:p>
        </w:tc>
      </w:tr>
      <w:tr w:rsidR="009D1B87" w:rsidRPr="002B4570" w14:paraId="11E23C0B" w14:textId="77777777" w:rsidTr="00464105">
        <w:trPr>
          <w:gridAfter w:val="1"/>
          <w:wAfter w:w="4" w:type="pct"/>
        </w:trPr>
        <w:tc>
          <w:tcPr>
            <w:tcW w:w="1637" w:type="pct"/>
            <w:shd w:val="clear" w:color="auto" w:fill="auto"/>
            <w:vAlign w:val="center"/>
          </w:tcPr>
          <w:p w14:paraId="7D454A68" w14:textId="49D29CB7" w:rsidR="009D1B87" w:rsidRPr="002B4570" w:rsidRDefault="009D1B87" w:rsidP="00144CAC">
            <w:pPr>
              <w:pStyle w:val="Tabletext"/>
              <w:keepNext/>
              <w:rPr>
                <w:color w:val="000000"/>
              </w:rPr>
            </w:pPr>
            <w:r w:rsidRPr="002B4570">
              <w:rPr>
                <w:color w:val="000000"/>
              </w:rPr>
              <w:t xml:space="preserve">Prescriptions </w:t>
            </w:r>
            <w:r w:rsidR="00166E9D">
              <w:rPr>
                <w:color w:val="000000"/>
              </w:rPr>
              <w:t>r</w:t>
            </w:r>
            <w:r w:rsidRPr="002B4570">
              <w:rPr>
                <w:color w:val="000000"/>
              </w:rPr>
              <w:t>evised</w:t>
            </w:r>
          </w:p>
        </w:tc>
        <w:tc>
          <w:tcPr>
            <w:tcW w:w="702" w:type="pct"/>
            <w:shd w:val="solid" w:color="000000" w:fill="000000"/>
            <w:vAlign w:val="center"/>
          </w:tcPr>
          <w:p w14:paraId="664483D2" w14:textId="07A4AF0A" w:rsidR="009D1B87" w:rsidRPr="0058660F" w:rsidRDefault="00464105" w:rsidP="00144CAC">
            <w:pPr>
              <w:pStyle w:val="Tabletext"/>
              <w:keepNext/>
              <w:rPr>
                <w:color w:val="000000"/>
              </w:rPr>
            </w:pPr>
            <w:r w:rsidRPr="00464105">
              <w:rPr>
                <w:color w:val="000000"/>
                <w:spacing w:val="49"/>
                <w:fitText w:val="319" w:id="-1435290111"/>
                <w14:textFill>
                  <w14:solidFill>
                    <w14:srgbClr w14:val="000000">
                      <w14:alpha w14:val="100000"/>
                    </w14:srgbClr>
                  </w14:solidFill>
                </w14:textFill>
              </w:rPr>
              <w:t>|||</w:t>
            </w:r>
            <w:r w:rsidRPr="00464105">
              <w:rPr>
                <w:color w:val="000000"/>
                <w:spacing w:val="2"/>
                <w:fitText w:val="319" w:id="-1435290111"/>
                <w14:textFill>
                  <w14:solidFill>
                    <w14:srgbClr w14:val="000000">
                      <w14:alpha w14:val="100000"/>
                    </w14:srgbClr>
                  </w14:solidFill>
                </w14:textFill>
              </w:rPr>
              <w:t>|</w:t>
            </w:r>
          </w:p>
        </w:tc>
        <w:tc>
          <w:tcPr>
            <w:tcW w:w="625" w:type="pct"/>
            <w:shd w:val="solid" w:color="000000" w:fill="000000"/>
            <w:vAlign w:val="center"/>
          </w:tcPr>
          <w:p w14:paraId="6D81FBDC" w14:textId="173711D3" w:rsidR="009D1B87" w:rsidRPr="0058660F" w:rsidRDefault="00464105" w:rsidP="00144CAC">
            <w:pPr>
              <w:pStyle w:val="Tabletext"/>
              <w:keepNext/>
              <w:rPr>
                <w:color w:val="000000"/>
              </w:rPr>
            </w:pPr>
            <w:r w:rsidRPr="00464105">
              <w:rPr>
                <w:color w:val="000000"/>
                <w:spacing w:val="50"/>
                <w:fitText w:val="228" w:id="-1435289600"/>
                <w14:textFill>
                  <w14:solidFill>
                    <w14:srgbClr w14:val="000000">
                      <w14:alpha w14:val="100000"/>
                    </w14:srgbClr>
                  </w14:solidFill>
                </w14:textFill>
              </w:rPr>
              <w:t>||</w:t>
            </w:r>
            <w:r w:rsidRPr="00464105">
              <w:rPr>
                <w:color w:val="000000"/>
                <w:spacing w:val="1"/>
                <w:fitText w:val="228" w:id="-1435289600"/>
                <w14:textFill>
                  <w14:solidFill>
                    <w14:srgbClr w14:val="000000">
                      <w14:alpha w14:val="100000"/>
                    </w14:srgbClr>
                  </w14:solidFill>
                </w14:textFill>
              </w:rPr>
              <w:t>|</w:t>
            </w:r>
          </w:p>
        </w:tc>
        <w:tc>
          <w:tcPr>
            <w:tcW w:w="703" w:type="pct"/>
            <w:shd w:val="clear" w:color="auto" w:fill="auto"/>
            <w:vAlign w:val="center"/>
          </w:tcPr>
          <w:p w14:paraId="2EA80854" w14:textId="49AD4E90" w:rsidR="009D1B87" w:rsidRPr="0058660F" w:rsidRDefault="009D1B87" w:rsidP="00144CAC">
            <w:pPr>
              <w:pStyle w:val="Tabletext"/>
              <w:keepNext/>
              <w:rPr>
                <w:color w:val="000000"/>
              </w:rPr>
            </w:pPr>
            <w:r w:rsidRPr="0058660F">
              <w:rPr>
                <w:color w:val="000000"/>
              </w:rPr>
              <w:t>2.12</w:t>
            </w:r>
          </w:p>
        </w:tc>
        <w:tc>
          <w:tcPr>
            <w:tcW w:w="731" w:type="pct"/>
            <w:gridSpan w:val="2"/>
            <w:shd w:val="clear" w:color="auto" w:fill="auto"/>
            <w:vAlign w:val="center"/>
          </w:tcPr>
          <w:p w14:paraId="7F545D72" w14:textId="18ABC2F5" w:rsidR="009D1B87" w:rsidRPr="0058660F" w:rsidRDefault="009D1B87" w:rsidP="00144CAC">
            <w:pPr>
              <w:pStyle w:val="Tabletext"/>
              <w:keepNext/>
              <w:rPr>
                <w:color w:val="000000"/>
              </w:rPr>
            </w:pPr>
            <w:r w:rsidRPr="0058660F">
              <w:rPr>
                <w:color w:val="000000"/>
              </w:rPr>
              <w:t>22.23</w:t>
            </w:r>
          </w:p>
        </w:tc>
        <w:tc>
          <w:tcPr>
            <w:tcW w:w="597" w:type="pct"/>
            <w:shd w:val="clear" w:color="auto" w:fill="auto"/>
            <w:vAlign w:val="center"/>
          </w:tcPr>
          <w:p w14:paraId="6291E3EF" w14:textId="1EC3B53A" w:rsidR="009D1B87" w:rsidRPr="002B4570" w:rsidRDefault="00AC0867" w:rsidP="00144CAC">
            <w:pPr>
              <w:pStyle w:val="Tabletext"/>
              <w:keepNext/>
              <w:rPr>
                <w:color w:val="000000"/>
              </w:rPr>
            </w:pPr>
            <w:r>
              <w:rPr>
                <w:color w:val="000000"/>
              </w:rPr>
              <w:t>-</w:t>
            </w:r>
          </w:p>
        </w:tc>
      </w:tr>
      <w:tr w:rsidR="000C1755" w:rsidRPr="002B4570" w14:paraId="2844FEAC" w14:textId="77777777" w:rsidTr="00FC3233">
        <w:trPr>
          <w:gridAfter w:val="1"/>
          <w:wAfter w:w="4" w:type="pct"/>
        </w:trPr>
        <w:tc>
          <w:tcPr>
            <w:tcW w:w="1637" w:type="pct"/>
            <w:shd w:val="clear" w:color="auto" w:fill="auto"/>
            <w:vAlign w:val="center"/>
          </w:tcPr>
          <w:p w14:paraId="24ECC66F" w14:textId="2FD2F4A5" w:rsidR="000C1755" w:rsidRPr="008B10EA" w:rsidRDefault="000C1755" w:rsidP="00144CAC">
            <w:pPr>
              <w:pStyle w:val="Tabletext"/>
              <w:keepNext/>
              <w:rPr>
                <w:color w:val="000000"/>
              </w:rPr>
            </w:pPr>
            <w:r w:rsidRPr="008B10EA">
              <w:rPr>
                <w:color w:val="000000"/>
              </w:rPr>
              <w:t>AEMP revised</w:t>
            </w:r>
            <w:r w:rsidR="00253C9C" w:rsidRPr="008B10EA">
              <w:rPr>
                <w:color w:val="000000"/>
                <w:vertAlign w:val="superscript"/>
              </w:rPr>
              <w:t>a</w:t>
            </w:r>
            <w:r w:rsidRPr="008B10EA">
              <w:rPr>
                <w:color w:val="000000"/>
              </w:rPr>
              <w:t xml:space="preserve"> no C5.7</w:t>
            </w:r>
            <w:r w:rsidR="00AC0867" w:rsidRPr="008B10EA">
              <w:rPr>
                <w:color w:val="000000"/>
                <w:vertAlign w:val="superscript"/>
              </w:rPr>
              <w:t>b</w:t>
            </w:r>
          </w:p>
        </w:tc>
        <w:tc>
          <w:tcPr>
            <w:tcW w:w="702" w:type="pct"/>
            <w:shd w:val="clear" w:color="auto" w:fill="auto"/>
            <w:vAlign w:val="center"/>
          </w:tcPr>
          <w:p w14:paraId="2A856153" w14:textId="67E93F1B" w:rsidR="0055551B" w:rsidRPr="003938D3" w:rsidRDefault="0055551B" w:rsidP="00144CAC">
            <w:pPr>
              <w:pStyle w:val="Tabletext"/>
              <w:keepNext/>
              <w:rPr>
                <w:color w:val="000000"/>
                <w:highlight w:val="yellow"/>
              </w:rPr>
            </w:pPr>
            <w:r w:rsidRPr="00B65441">
              <w:rPr>
                <w:color w:val="000000"/>
              </w:rPr>
              <w:t>$</w:t>
            </w:r>
            <w:r w:rsidR="00341457" w:rsidRPr="00341457">
              <w:rPr>
                <w:color w:val="000000"/>
                <w:spacing w:val="51"/>
                <w:shd w:val="solid" w:color="000000" w:fill="000000"/>
                <w:fitText w:val="326" w:id="-1436313342"/>
                <w14:textFill>
                  <w14:solidFill>
                    <w14:srgbClr w14:val="000000">
                      <w14:alpha w14:val="100000"/>
                    </w14:srgbClr>
                  </w14:solidFill>
                </w14:textFill>
              </w:rPr>
              <w:t>|||</w:t>
            </w:r>
            <w:r w:rsidR="00341457" w:rsidRPr="00341457">
              <w:rPr>
                <w:color w:val="000000"/>
                <w:spacing w:val="1"/>
                <w:shd w:val="solid" w:color="000000" w:fill="000000"/>
                <w:fitText w:val="326" w:id="-1436313342"/>
                <w14:textFill>
                  <w14:solidFill>
                    <w14:srgbClr w14:val="000000">
                      <w14:alpha w14:val="100000"/>
                    </w14:srgbClr>
                  </w14:solidFill>
                </w14:textFill>
              </w:rPr>
              <w:t>|</w:t>
            </w:r>
          </w:p>
        </w:tc>
        <w:tc>
          <w:tcPr>
            <w:tcW w:w="625" w:type="pct"/>
            <w:shd w:val="clear" w:color="auto" w:fill="auto"/>
            <w:vAlign w:val="center"/>
          </w:tcPr>
          <w:p w14:paraId="59F36E30" w14:textId="3AF6213E" w:rsidR="000C1755" w:rsidRPr="003938D3" w:rsidRDefault="0055551B" w:rsidP="00144CAC">
            <w:pPr>
              <w:pStyle w:val="Tabletext"/>
              <w:keepNext/>
              <w:rPr>
                <w:color w:val="000000"/>
                <w:highlight w:val="yellow"/>
              </w:rPr>
            </w:pPr>
            <w:r w:rsidRPr="00B65441">
              <w:rPr>
                <w:color w:val="000000"/>
              </w:rPr>
              <w:t>$</w:t>
            </w:r>
            <w:r w:rsidR="00341457" w:rsidRPr="00341457">
              <w:rPr>
                <w:color w:val="000000"/>
                <w:spacing w:val="50"/>
                <w:shd w:val="solid" w:color="000000" w:fill="000000"/>
                <w:fitText w:val="325" w:id="-1436313341"/>
                <w14:textFill>
                  <w14:solidFill>
                    <w14:srgbClr w14:val="000000">
                      <w14:alpha w14:val="100000"/>
                    </w14:srgbClr>
                  </w14:solidFill>
                </w14:textFill>
              </w:rPr>
              <w:t>|||</w:t>
            </w:r>
            <w:r w:rsidR="00341457" w:rsidRPr="00341457">
              <w:rPr>
                <w:color w:val="000000"/>
                <w:spacing w:val="13"/>
                <w:shd w:val="solid" w:color="000000" w:fill="000000"/>
                <w:fitText w:val="325" w:id="-1436313341"/>
                <w14:textFill>
                  <w14:solidFill>
                    <w14:srgbClr w14:val="000000">
                      <w14:alpha w14:val="100000"/>
                    </w14:srgbClr>
                  </w14:solidFill>
                </w14:textFill>
              </w:rPr>
              <w:t>|</w:t>
            </w:r>
          </w:p>
        </w:tc>
        <w:tc>
          <w:tcPr>
            <w:tcW w:w="703" w:type="pct"/>
            <w:shd w:val="clear" w:color="auto" w:fill="auto"/>
            <w:vAlign w:val="center"/>
          </w:tcPr>
          <w:p w14:paraId="6AD71AC0" w14:textId="29C4FA54" w:rsidR="000C1755" w:rsidRPr="0058660F" w:rsidRDefault="00DF6BDF" w:rsidP="00144CAC">
            <w:pPr>
              <w:pStyle w:val="Tabletext"/>
              <w:keepNext/>
              <w:rPr>
                <w:color w:val="000000"/>
              </w:rPr>
            </w:pPr>
            <w:r w:rsidRPr="0058660F">
              <w:rPr>
                <w:color w:val="000000"/>
              </w:rPr>
              <w:t>$3,694.89</w:t>
            </w:r>
          </w:p>
        </w:tc>
        <w:tc>
          <w:tcPr>
            <w:tcW w:w="731" w:type="pct"/>
            <w:gridSpan w:val="2"/>
            <w:shd w:val="clear" w:color="auto" w:fill="auto"/>
            <w:vAlign w:val="center"/>
          </w:tcPr>
          <w:p w14:paraId="592A267E" w14:textId="7ED5621E" w:rsidR="000C1755" w:rsidRPr="0058660F" w:rsidRDefault="00DF6BDF" w:rsidP="00144CAC">
            <w:pPr>
              <w:pStyle w:val="Tabletext"/>
              <w:keepNext/>
              <w:rPr>
                <w:color w:val="000000"/>
              </w:rPr>
            </w:pPr>
            <w:r w:rsidRPr="0058660F">
              <w:rPr>
                <w:color w:val="000000"/>
              </w:rPr>
              <w:t>$4,895.54</w:t>
            </w:r>
          </w:p>
        </w:tc>
        <w:tc>
          <w:tcPr>
            <w:tcW w:w="597" w:type="pct"/>
            <w:shd w:val="clear" w:color="auto" w:fill="auto"/>
            <w:vAlign w:val="center"/>
          </w:tcPr>
          <w:p w14:paraId="41139B98" w14:textId="550C2791" w:rsidR="000C1755" w:rsidRPr="00733970" w:rsidRDefault="00AC0867" w:rsidP="00144CAC">
            <w:pPr>
              <w:pStyle w:val="Tabletext"/>
              <w:keepNext/>
              <w:rPr>
                <w:color w:val="000000"/>
              </w:rPr>
            </w:pPr>
            <w:r w:rsidRPr="00733970">
              <w:rPr>
                <w:color w:val="000000"/>
              </w:rPr>
              <w:t>-</w:t>
            </w:r>
          </w:p>
        </w:tc>
      </w:tr>
      <w:bookmarkEnd w:id="55"/>
      <w:tr w:rsidR="006D025C" w:rsidRPr="002B4570" w14:paraId="4A6B7B10" w14:textId="77777777" w:rsidTr="00FC3233">
        <w:trPr>
          <w:gridAfter w:val="1"/>
          <w:wAfter w:w="4" w:type="pct"/>
        </w:trPr>
        <w:tc>
          <w:tcPr>
            <w:tcW w:w="1637" w:type="pct"/>
            <w:shd w:val="clear" w:color="auto" w:fill="auto"/>
            <w:vAlign w:val="center"/>
          </w:tcPr>
          <w:p w14:paraId="47EF3EB5" w14:textId="4E56DA0A" w:rsidR="006D025C" w:rsidRPr="008B10EA" w:rsidRDefault="006D025C" w:rsidP="006D025C">
            <w:pPr>
              <w:pStyle w:val="Tabletext"/>
              <w:keepNext/>
              <w:rPr>
                <w:color w:val="000000"/>
              </w:rPr>
            </w:pPr>
            <w:r w:rsidRPr="008B10EA">
              <w:rPr>
                <w:color w:val="000000"/>
              </w:rPr>
              <w:t>Cost of medicines revised</w:t>
            </w:r>
            <w:r w:rsidRPr="008B10EA">
              <w:rPr>
                <w:color w:val="000000"/>
                <w:vertAlign w:val="superscript"/>
              </w:rPr>
              <w:t>a</w:t>
            </w:r>
            <w:r w:rsidRPr="008B10EA">
              <w:rPr>
                <w:color w:val="000000"/>
              </w:rPr>
              <w:t xml:space="preserve"> no C5.7</w:t>
            </w:r>
            <w:r w:rsidR="00AC0867" w:rsidRPr="008B10EA">
              <w:rPr>
                <w:color w:val="000000"/>
                <w:vertAlign w:val="superscript"/>
              </w:rPr>
              <w:t>b</w:t>
            </w:r>
          </w:p>
        </w:tc>
        <w:tc>
          <w:tcPr>
            <w:tcW w:w="702" w:type="pct"/>
            <w:shd w:val="clear" w:color="auto" w:fill="auto"/>
          </w:tcPr>
          <w:p w14:paraId="404570E8" w14:textId="2324C6A2" w:rsidR="006D025C" w:rsidRPr="003938D3" w:rsidRDefault="006D025C" w:rsidP="006D025C">
            <w:pPr>
              <w:pStyle w:val="Tabletext"/>
              <w:keepNext/>
              <w:rPr>
                <w:rFonts w:cs="Calibri"/>
                <w:color w:val="000000"/>
                <w:highlight w:val="yellow"/>
              </w:rPr>
            </w:pPr>
            <w:r w:rsidRPr="00B65441">
              <w:t>$</w:t>
            </w:r>
            <w:r w:rsidR="00341457" w:rsidRPr="00341457">
              <w:rPr>
                <w:color w:val="000000"/>
                <w:spacing w:val="51"/>
                <w:shd w:val="solid" w:color="000000" w:fill="000000"/>
                <w:fitText w:val="326" w:id="-1436313340"/>
                <w14:textFill>
                  <w14:solidFill>
                    <w14:srgbClr w14:val="000000">
                      <w14:alpha w14:val="100000"/>
                    </w14:srgbClr>
                  </w14:solidFill>
                </w14:textFill>
              </w:rPr>
              <w:t>|||</w:t>
            </w:r>
            <w:r w:rsidR="00341457" w:rsidRPr="00341457">
              <w:rPr>
                <w:color w:val="000000"/>
                <w:spacing w:val="1"/>
                <w:shd w:val="solid" w:color="000000" w:fill="000000"/>
                <w:fitText w:val="326" w:id="-1436313340"/>
                <w14:textFill>
                  <w14:solidFill>
                    <w14:srgbClr w14:val="000000">
                      <w14:alpha w14:val="100000"/>
                    </w14:srgbClr>
                  </w14:solidFill>
                </w14:textFill>
              </w:rPr>
              <w:t>|</w:t>
            </w:r>
          </w:p>
        </w:tc>
        <w:tc>
          <w:tcPr>
            <w:tcW w:w="625" w:type="pct"/>
            <w:shd w:val="clear" w:color="auto" w:fill="auto"/>
          </w:tcPr>
          <w:p w14:paraId="4309553D" w14:textId="5733E45E" w:rsidR="006D025C" w:rsidRPr="003938D3" w:rsidRDefault="006D025C" w:rsidP="006D025C">
            <w:pPr>
              <w:pStyle w:val="Tabletext"/>
              <w:keepNext/>
              <w:rPr>
                <w:rFonts w:cs="Calibri"/>
                <w:color w:val="000000"/>
                <w:highlight w:val="yellow"/>
              </w:rPr>
            </w:pPr>
            <w:r w:rsidRPr="00B65441">
              <w:t>$</w:t>
            </w:r>
            <w:r w:rsidR="00341457" w:rsidRPr="00341457">
              <w:rPr>
                <w:color w:val="000000"/>
                <w:spacing w:val="50"/>
                <w:shd w:val="solid" w:color="000000" w:fill="000000"/>
                <w:fitText w:val="325" w:id="-1436313088"/>
                <w14:textFill>
                  <w14:solidFill>
                    <w14:srgbClr w14:val="000000">
                      <w14:alpha w14:val="100000"/>
                    </w14:srgbClr>
                  </w14:solidFill>
                </w14:textFill>
              </w:rPr>
              <w:t>|||</w:t>
            </w:r>
            <w:r w:rsidR="00341457" w:rsidRPr="00341457">
              <w:rPr>
                <w:color w:val="000000"/>
                <w:spacing w:val="13"/>
                <w:shd w:val="solid" w:color="000000" w:fill="000000"/>
                <w:fitText w:val="325" w:id="-1436313088"/>
                <w14:textFill>
                  <w14:solidFill>
                    <w14:srgbClr w14:val="000000">
                      <w14:alpha w14:val="100000"/>
                    </w14:srgbClr>
                  </w14:solidFill>
                </w14:textFill>
              </w:rPr>
              <w:t>|</w:t>
            </w:r>
          </w:p>
        </w:tc>
        <w:tc>
          <w:tcPr>
            <w:tcW w:w="703" w:type="pct"/>
            <w:shd w:val="clear" w:color="auto" w:fill="auto"/>
          </w:tcPr>
          <w:p w14:paraId="5817E0A5" w14:textId="20A16120" w:rsidR="006D025C" w:rsidRPr="0058660F" w:rsidRDefault="006D025C" w:rsidP="006D025C">
            <w:pPr>
              <w:pStyle w:val="Tabletext"/>
              <w:keepNext/>
              <w:rPr>
                <w:rFonts w:cs="Calibri"/>
                <w:color w:val="000000"/>
              </w:rPr>
            </w:pPr>
            <w:r w:rsidRPr="0058660F">
              <w:t>$7,827.44</w:t>
            </w:r>
          </w:p>
        </w:tc>
        <w:tc>
          <w:tcPr>
            <w:tcW w:w="731" w:type="pct"/>
            <w:gridSpan w:val="2"/>
            <w:shd w:val="clear" w:color="auto" w:fill="auto"/>
          </w:tcPr>
          <w:p w14:paraId="271211D4" w14:textId="6A17D49A" w:rsidR="006D025C" w:rsidRPr="0058660F" w:rsidRDefault="006D025C" w:rsidP="006D025C">
            <w:pPr>
              <w:pStyle w:val="Tabletext"/>
              <w:keepNext/>
              <w:rPr>
                <w:rFonts w:cs="Calibri"/>
                <w:color w:val="000000"/>
              </w:rPr>
            </w:pPr>
            <w:r w:rsidRPr="0058660F">
              <w:t>$108,835.44</w:t>
            </w:r>
          </w:p>
        </w:tc>
        <w:tc>
          <w:tcPr>
            <w:tcW w:w="597" w:type="pct"/>
            <w:shd w:val="clear" w:color="auto" w:fill="auto"/>
          </w:tcPr>
          <w:p w14:paraId="7B42BD77" w14:textId="3DA8FD18" w:rsidR="006D025C" w:rsidRPr="00B65441" w:rsidRDefault="006D025C" w:rsidP="006D025C">
            <w:pPr>
              <w:pStyle w:val="Tabletext"/>
              <w:keepNext/>
              <w:rPr>
                <w:color w:val="000000"/>
                <w:highlight w:val="darkGray"/>
              </w:rPr>
            </w:pPr>
            <w:r w:rsidRPr="00B65441">
              <w:t>$</w:t>
            </w:r>
            <w:r w:rsidR="00341457" w:rsidRPr="00341457">
              <w:rPr>
                <w:color w:val="000000"/>
                <w:spacing w:val="50"/>
                <w:shd w:val="solid" w:color="000000" w:fill="000000"/>
                <w:fitText w:val="325" w:id="-1436313087"/>
                <w14:textFill>
                  <w14:solidFill>
                    <w14:srgbClr w14:val="000000">
                      <w14:alpha w14:val="100000"/>
                    </w14:srgbClr>
                  </w14:solidFill>
                </w14:textFill>
              </w:rPr>
              <w:t>|||</w:t>
            </w:r>
            <w:r w:rsidR="00341457" w:rsidRPr="00341457">
              <w:rPr>
                <w:color w:val="000000"/>
                <w:spacing w:val="13"/>
                <w:shd w:val="solid" w:color="000000" w:fill="000000"/>
                <w:fitText w:val="325" w:id="-1436313087"/>
                <w14:textFill>
                  <w14:solidFill>
                    <w14:srgbClr w14:val="000000">
                      <w14:alpha w14:val="100000"/>
                    </w14:srgbClr>
                  </w14:solidFill>
                </w14:textFill>
              </w:rPr>
              <w:t>|</w:t>
            </w:r>
          </w:p>
        </w:tc>
      </w:tr>
      <w:tr w:rsidR="00253C9C" w:rsidRPr="002B4570" w14:paraId="217EAFBA" w14:textId="77777777" w:rsidTr="00FC3233">
        <w:trPr>
          <w:gridAfter w:val="1"/>
          <w:wAfter w:w="4" w:type="pct"/>
        </w:trPr>
        <w:tc>
          <w:tcPr>
            <w:tcW w:w="1637" w:type="pct"/>
            <w:shd w:val="clear" w:color="auto" w:fill="auto"/>
            <w:vAlign w:val="center"/>
          </w:tcPr>
          <w:p w14:paraId="2347EACD" w14:textId="0DDDC18F" w:rsidR="00253C9C" w:rsidRPr="008B10EA" w:rsidRDefault="00253C9C" w:rsidP="00144CAC">
            <w:pPr>
              <w:pStyle w:val="Tabletext"/>
              <w:keepNext/>
              <w:rPr>
                <w:color w:val="000000"/>
              </w:rPr>
            </w:pPr>
            <w:r w:rsidRPr="008B10EA">
              <w:rPr>
                <w:color w:val="000000"/>
              </w:rPr>
              <w:t>Total medicines revised</w:t>
            </w:r>
            <w:r w:rsidRPr="008B10EA">
              <w:rPr>
                <w:color w:val="000000"/>
                <w:vertAlign w:val="superscript"/>
              </w:rPr>
              <w:t>a</w:t>
            </w:r>
            <w:r w:rsidRPr="008B10EA">
              <w:rPr>
                <w:color w:val="000000"/>
              </w:rPr>
              <w:t xml:space="preserve"> no C5.7</w:t>
            </w:r>
            <w:r w:rsidR="00DB7032" w:rsidRPr="008B10EA">
              <w:rPr>
                <w:color w:val="000000"/>
                <w:vertAlign w:val="superscript"/>
              </w:rPr>
              <w:t>b</w:t>
            </w:r>
          </w:p>
        </w:tc>
        <w:tc>
          <w:tcPr>
            <w:tcW w:w="1327" w:type="pct"/>
            <w:gridSpan w:val="2"/>
            <w:shd w:val="clear" w:color="auto" w:fill="auto"/>
            <w:vAlign w:val="center"/>
          </w:tcPr>
          <w:p w14:paraId="19078DDF" w14:textId="3647BBED" w:rsidR="00253C9C" w:rsidRPr="003938D3" w:rsidRDefault="003354D2" w:rsidP="00144CAC">
            <w:pPr>
              <w:pStyle w:val="Tabletext"/>
              <w:keepNext/>
              <w:rPr>
                <w:rFonts w:cs="Calibri"/>
                <w:color w:val="000000"/>
                <w:highlight w:val="yellow"/>
              </w:rPr>
            </w:pPr>
            <w:r w:rsidRPr="00B65441">
              <w:rPr>
                <w:rFonts w:cs="Calibri"/>
                <w:color w:val="000000"/>
              </w:rPr>
              <w:t>$</w:t>
            </w:r>
            <w:r w:rsidR="00341457" w:rsidRPr="00341457">
              <w:rPr>
                <w:rFonts w:cs="Calibri"/>
                <w:color w:val="000000"/>
                <w:spacing w:val="51"/>
                <w:shd w:val="solid" w:color="000000" w:fill="000000"/>
                <w:fitText w:val="326" w:id="-1436313086"/>
                <w14:textFill>
                  <w14:solidFill>
                    <w14:srgbClr w14:val="000000">
                      <w14:alpha w14:val="100000"/>
                    </w14:srgbClr>
                  </w14:solidFill>
                </w14:textFill>
              </w:rPr>
              <w:t>|||</w:t>
            </w:r>
            <w:r w:rsidR="00341457" w:rsidRPr="00341457">
              <w:rPr>
                <w:rFonts w:cs="Calibri"/>
                <w:color w:val="000000"/>
                <w:spacing w:val="1"/>
                <w:shd w:val="solid" w:color="000000" w:fill="000000"/>
                <w:fitText w:val="326" w:id="-1436313086"/>
                <w14:textFill>
                  <w14:solidFill>
                    <w14:srgbClr w14:val="000000">
                      <w14:alpha w14:val="100000"/>
                    </w14:srgbClr>
                  </w14:solidFill>
                </w14:textFill>
              </w:rPr>
              <w:t>|</w:t>
            </w:r>
          </w:p>
        </w:tc>
        <w:tc>
          <w:tcPr>
            <w:tcW w:w="1435" w:type="pct"/>
            <w:gridSpan w:val="3"/>
            <w:shd w:val="clear" w:color="auto" w:fill="auto"/>
            <w:vAlign w:val="center"/>
          </w:tcPr>
          <w:p w14:paraId="51DA5DDB" w14:textId="4F841010" w:rsidR="00253C9C" w:rsidRPr="0058660F" w:rsidRDefault="003354D2" w:rsidP="00144CAC">
            <w:pPr>
              <w:pStyle w:val="Tabletext"/>
              <w:keepNext/>
              <w:rPr>
                <w:rFonts w:cs="Calibri"/>
                <w:color w:val="000000"/>
              </w:rPr>
            </w:pPr>
            <w:r w:rsidRPr="0058660F">
              <w:rPr>
                <w:rFonts w:cs="Calibri"/>
                <w:color w:val="000000"/>
              </w:rPr>
              <w:t>$116</w:t>
            </w:r>
            <w:r w:rsidR="00B4076F" w:rsidRPr="0058660F">
              <w:rPr>
                <w:rFonts w:cs="Calibri"/>
                <w:color w:val="000000"/>
              </w:rPr>
              <w:t>,</w:t>
            </w:r>
            <w:r w:rsidRPr="0058660F">
              <w:rPr>
                <w:rFonts w:cs="Calibri"/>
                <w:color w:val="000000"/>
              </w:rPr>
              <w:t>662.88</w:t>
            </w:r>
          </w:p>
        </w:tc>
        <w:tc>
          <w:tcPr>
            <w:tcW w:w="597" w:type="pct"/>
            <w:shd w:val="clear" w:color="auto" w:fill="auto"/>
            <w:vAlign w:val="center"/>
          </w:tcPr>
          <w:p w14:paraId="414F7D17" w14:textId="55A6A3DB" w:rsidR="00253C9C" w:rsidRPr="00B65441" w:rsidRDefault="00764949" w:rsidP="00144CAC">
            <w:pPr>
              <w:pStyle w:val="Tabletext"/>
              <w:keepNext/>
              <w:rPr>
                <w:color w:val="000000"/>
                <w:highlight w:val="darkGray"/>
              </w:rPr>
            </w:pPr>
            <w:r w:rsidRPr="00B65441">
              <w:t>$</w:t>
            </w:r>
            <w:r w:rsidR="00341457" w:rsidRPr="00341457">
              <w:rPr>
                <w:color w:val="000000"/>
                <w:spacing w:val="50"/>
                <w:shd w:val="solid" w:color="000000" w:fill="000000"/>
                <w:fitText w:val="325" w:id="-1436313085"/>
                <w14:textFill>
                  <w14:solidFill>
                    <w14:srgbClr w14:val="000000">
                      <w14:alpha w14:val="100000"/>
                    </w14:srgbClr>
                  </w14:solidFill>
                </w14:textFill>
              </w:rPr>
              <w:t>|||</w:t>
            </w:r>
            <w:r w:rsidR="00341457" w:rsidRPr="00341457">
              <w:rPr>
                <w:color w:val="000000"/>
                <w:spacing w:val="13"/>
                <w:shd w:val="solid" w:color="000000" w:fill="000000"/>
                <w:fitText w:val="325" w:id="-1436313085"/>
                <w14:textFill>
                  <w14:solidFill>
                    <w14:srgbClr w14:val="000000">
                      <w14:alpha w14:val="100000"/>
                    </w14:srgbClr>
                  </w14:solidFill>
                </w14:textFill>
              </w:rPr>
              <w:t>|</w:t>
            </w:r>
          </w:p>
        </w:tc>
      </w:tr>
      <w:tr w:rsidR="009D1B87" w:rsidRPr="002B4570" w14:paraId="1F430530" w14:textId="77777777" w:rsidTr="00AE1E1A">
        <w:tc>
          <w:tcPr>
            <w:tcW w:w="5000" w:type="pct"/>
            <w:gridSpan w:val="8"/>
            <w:shd w:val="clear" w:color="auto" w:fill="auto"/>
            <w:vAlign w:val="center"/>
          </w:tcPr>
          <w:p w14:paraId="5D519EB9" w14:textId="77777777" w:rsidR="009D1B87" w:rsidRPr="00733970" w:rsidRDefault="009D1B87" w:rsidP="00144CAC">
            <w:pPr>
              <w:pStyle w:val="Tabletext"/>
              <w:keepNext/>
              <w:rPr>
                <w:b/>
                <w:bCs/>
                <w:color w:val="000000"/>
              </w:rPr>
            </w:pPr>
            <w:r w:rsidRPr="00733970">
              <w:rPr>
                <w:b/>
                <w:bCs/>
                <w:color w:val="000000"/>
              </w:rPr>
              <w:t>Monitoring</w:t>
            </w:r>
          </w:p>
        </w:tc>
      </w:tr>
      <w:tr w:rsidR="0025592B" w:rsidRPr="002B4570" w14:paraId="201FABF6" w14:textId="77777777" w:rsidTr="00FC3233">
        <w:trPr>
          <w:gridAfter w:val="1"/>
          <w:wAfter w:w="4" w:type="pct"/>
        </w:trPr>
        <w:tc>
          <w:tcPr>
            <w:tcW w:w="1637" w:type="pct"/>
            <w:shd w:val="clear" w:color="auto" w:fill="auto"/>
            <w:vAlign w:val="center"/>
          </w:tcPr>
          <w:p w14:paraId="692ABE14" w14:textId="77777777" w:rsidR="0025592B" w:rsidRPr="002B4570" w:rsidRDefault="0025592B" w:rsidP="00144CAC">
            <w:pPr>
              <w:pStyle w:val="Tabletext"/>
              <w:keepNext/>
              <w:rPr>
                <w:color w:val="000000"/>
              </w:rPr>
            </w:pPr>
            <w:r w:rsidRPr="002B4570">
              <w:rPr>
                <w:color w:val="000000"/>
              </w:rPr>
              <w:t>QT prolongation</w:t>
            </w:r>
          </w:p>
        </w:tc>
        <w:tc>
          <w:tcPr>
            <w:tcW w:w="1327" w:type="pct"/>
            <w:gridSpan w:val="2"/>
            <w:shd w:val="clear" w:color="auto" w:fill="auto"/>
            <w:vAlign w:val="center"/>
          </w:tcPr>
          <w:p w14:paraId="27CAF596" w14:textId="77777777" w:rsidR="0025592B" w:rsidRPr="002B4570" w:rsidRDefault="0025592B" w:rsidP="00144CAC">
            <w:pPr>
              <w:pStyle w:val="Tabletext"/>
              <w:keepNext/>
              <w:rPr>
                <w:color w:val="000000"/>
              </w:rPr>
            </w:pPr>
            <w:r w:rsidRPr="002B4570">
              <w:rPr>
                <w:color w:val="000000"/>
              </w:rPr>
              <w:t>$0.00</w:t>
            </w:r>
          </w:p>
        </w:tc>
        <w:tc>
          <w:tcPr>
            <w:tcW w:w="1435" w:type="pct"/>
            <w:gridSpan w:val="3"/>
            <w:shd w:val="clear" w:color="auto" w:fill="auto"/>
            <w:vAlign w:val="center"/>
          </w:tcPr>
          <w:p w14:paraId="7F34EB81" w14:textId="77777777" w:rsidR="0025592B" w:rsidRPr="002B4570" w:rsidRDefault="0025592B" w:rsidP="00144CAC">
            <w:pPr>
              <w:pStyle w:val="Tabletext"/>
              <w:keepNext/>
              <w:rPr>
                <w:color w:val="000000"/>
              </w:rPr>
            </w:pPr>
            <w:r w:rsidRPr="002B4570">
              <w:rPr>
                <w:color w:val="000000"/>
              </w:rPr>
              <w:t>$236.25</w:t>
            </w:r>
          </w:p>
          <w:p w14:paraId="303C39AF" w14:textId="2C3BA24F" w:rsidR="0025592B" w:rsidRPr="002B4570" w:rsidRDefault="0025592B" w:rsidP="00144CAC">
            <w:pPr>
              <w:pStyle w:val="Tabletext"/>
              <w:keepNext/>
              <w:rPr>
                <w:color w:val="000000"/>
              </w:rPr>
            </w:pPr>
            <w:r w:rsidRPr="002B4570">
              <w:rPr>
                <w:color w:val="000000"/>
              </w:rPr>
              <w:t>Revised: $32.55</w:t>
            </w:r>
          </w:p>
        </w:tc>
        <w:tc>
          <w:tcPr>
            <w:tcW w:w="597" w:type="pct"/>
            <w:shd w:val="clear" w:color="auto" w:fill="auto"/>
            <w:vAlign w:val="center"/>
          </w:tcPr>
          <w:p w14:paraId="3B2A32E0" w14:textId="77777777" w:rsidR="0025592B" w:rsidRPr="002B4570" w:rsidRDefault="0025592B" w:rsidP="00144CAC">
            <w:pPr>
              <w:pStyle w:val="Tabletext"/>
              <w:keepNext/>
              <w:rPr>
                <w:color w:val="000000"/>
              </w:rPr>
            </w:pPr>
            <w:r w:rsidRPr="002B4570">
              <w:rPr>
                <w:color w:val="000000"/>
              </w:rPr>
              <w:t>-$236.25</w:t>
            </w:r>
          </w:p>
          <w:p w14:paraId="117DBF46" w14:textId="5CEE9BA8" w:rsidR="0025592B" w:rsidRPr="002B4570" w:rsidRDefault="0025592B" w:rsidP="00144CAC">
            <w:pPr>
              <w:pStyle w:val="Tabletext"/>
              <w:keepNext/>
              <w:rPr>
                <w:color w:val="000000"/>
              </w:rPr>
            </w:pPr>
            <w:r w:rsidRPr="002B4570">
              <w:rPr>
                <w:color w:val="000000"/>
              </w:rPr>
              <w:t>-$32.55</w:t>
            </w:r>
          </w:p>
        </w:tc>
      </w:tr>
      <w:tr w:rsidR="009D1B87" w:rsidRPr="002B4570" w14:paraId="5FACFB88" w14:textId="77777777" w:rsidTr="00FC3233">
        <w:trPr>
          <w:gridAfter w:val="1"/>
          <w:wAfter w:w="4" w:type="pct"/>
        </w:trPr>
        <w:tc>
          <w:tcPr>
            <w:tcW w:w="1637" w:type="pct"/>
            <w:shd w:val="clear" w:color="auto" w:fill="auto"/>
            <w:vAlign w:val="center"/>
          </w:tcPr>
          <w:p w14:paraId="7A14B370" w14:textId="77777777" w:rsidR="009D1B87" w:rsidRPr="002B4570" w:rsidRDefault="009D1B87" w:rsidP="00144CAC">
            <w:pPr>
              <w:pStyle w:val="Tabletext"/>
              <w:keepNext/>
              <w:rPr>
                <w:color w:val="000000"/>
              </w:rPr>
            </w:pPr>
            <w:r w:rsidRPr="002B4570">
              <w:rPr>
                <w:color w:val="000000"/>
              </w:rPr>
              <w:t>Full blood count</w:t>
            </w:r>
          </w:p>
        </w:tc>
        <w:tc>
          <w:tcPr>
            <w:tcW w:w="1327" w:type="pct"/>
            <w:gridSpan w:val="2"/>
            <w:shd w:val="clear" w:color="auto" w:fill="auto"/>
            <w:vAlign w:val="center"/>
          </w:tcPr>
          <w:p w14:paraId="0734BCF0" w14:textId="77777777" w:rsidR="009D1B87" w:rsidRPr="002B4570" w:rsidRDefault="009D1B87" w:rsidP="00144CAC">
            <w:pPr>
              <w:pStyle w:val="Tabletext"/>
              <w:keepNext/>
              <w:rPr>
                <w:color w:val="000000"/>
              </w:rPr>
            </w:pPr>
            <w:r w:rsidRPr="002B4570">
              <w:rPr>
                <w:color w:val="000000"/>
              </w:rPr>
              <w:t>$457.65</w:t>
            </w:r>
          </w:p>
        </w:tc>
        <w:tc>
          <w:tcPr>
            <w:tcW w:w="1435" w:type="pct"/>
            <w:gridSpan w:val="3"/>
            <w:shd w:val="clear" w:color="auto" w:fill="auto"/>
            <w:vAlign w:val="center"/>
          </w:tcPr>
          <w:p w14:paraId="0D40F05F" w14:textId="77777777" w:rsidR="009D1B87" w:rsidRPr="002B4570" w:rsidRDefault="009D1B87" w:rsidP="00144CAC">
            <w:pPr>
              <w:pStyle w:val="Tabletext"/>
              <w:keepNext/>
              <w:rPr>
                <w:color w:val="000000"/>
              </w:rPr>
            </w:pPr>
            <w:r w:rsidRPr="002B4570">
              <w:rPr>
                <w:color w:val="000000"/>
              </w:rPr>
              <w:t>$440.70</w:t>
            </w:r>
          </w:p>
        </w:tc>
        <w:tc>
          <w:tcPr>
            <w:tcW w:w="597" w:type="pct"/>
            <w:shd w:val="clear" w:color="auto" w:fill="auto"/>
            <w:vAlign w:val="center"/>
          </w:tcPr>
          <w:p w14:paraId="0F52344C" w14:textId="77777777" w:rsidR="009D1B87" w:rsidRPr="002B4570" w:rsidRDefault="009D1B87" w:rsidP="00144CAC">
            <w:pPr>
              <w:pStyle w:val="Tabletext"/>
              <w:keepNext/>
              <w:rPr>
                <w:color w:val="000000"/>
              </w:rPr>
            </w:pPr>
            <w:r w:rsidRPr="002B4570">
              <w:rPr>
                <w:color w:val="000000"/>
              </w:rPr>
              <w:t>$16.95</w:t>
            </w:r>
          </w:p>
        </w:tc>
      </w:tr>
      <w:tr w:rsidR="009D1B87" w:rsidRPr="002B4570" w14:paraId="6A3E38D0" w14:textId="77777777" w:rsidTr="00FC3233">
        <w:trPr>
          <w:gridAfter w:val="1"/>
          <w:wAfter w:w="4" w:type="pct"/>
        </w:trPr>
        <w:tc>
          <w:tcPr>
            <w:tcW w:w="1637" w:type="pct"/>
            <w:shd w:val="clear" w:color="auto" w:fill="auto"/>
            <w:vAlign w:val="center"/>
          </w:tcPr>
          <w:p w14:paraId="0A3A8BE4" w14:textId="77777777" w:rsidR="009D1B87" w:rsidRPr="002B4570" w:rsidRDefault="009D1B87" w:rsidP="00144CAC">
            <w:pPr>
              <w:pStyle w:val="Tabletext"/>
              <w:keepNext/>
              <w:rPr>
                <w:color w:val="000000"/>
              </w:rPr>
            </w:pPr>
            <w:r w:rsidRPr="002B4570">
              <w:rPr>
                <w:color w:val="000000"/>
              </w:rPr>
              <w:t>Blood tests</w:t>
            </w:r>
          </w:p>
        </w:tc>
        <w:tc>
          <w:tcPr>
            <w:tcW w:w="1327" w:type="pct"/>
            <w:gridSpan w:val="2"/>
            <w:shd w:val="clear" w:color="auto" w:fill="auto"/>
            <w:vAlign w:val="center"/>
          </w:tcPr>
          <w:p w14:paraId="03156A7F" w14:textId="77777777" w:rsidR="009D1B87" w:rsidRPr="002B4570" w:rsidRDefault="009D1B87" w:rsidP="00144CAC">
            <w:pPr>
              <w:pStyle w:val="Tabletext"/>
              <w:keepNext/>
              <w:rPr>
                <w:color w:val="000000"/>
              </w:rPr>
            </w:pPr>
            <w:r w:rsidRPr="002B4570">
              <w:rPr>
                <w:color w:val="000000"/>
              </w:rPr>
              <w:t>$283.60</w:t>
            </w:r>
          </w:p>
        </w:tc>
        <w:tc>
          <w:tcPr>
            <w:tcW w:w="1435" w:type="pct"/>
            <w:gridSpan w:val="3"/>
            <w:shd w:val="clear" w:color="auto" w:fill="auto"/>
            <w:vAlign w:val="center"/>
          </w:tcPr>
          <w:p w14:paraId="67A3343F" w14:textId="77777777" w:rsidR="009D1B87" w:rsidRPr="002B4570" w:rsidRDefault="009D1B87" w:rsidP="00144CAC">
            <w:pPr>
              <w:pStyle w:val="Tabletext"/>
              <w:keepNext/>
              <w:rPr>
                <w:color w:val="000000"/>
              </w:rPr>
            </w:pPr>
            <w:r w:rsidRPr="002B4570">
              <w:rPr>
                <w:color w:val="000000"/>
              </w:rPr>
              <w:t>$387.90</w:t>
            </w:r>
          </w:p>
        </w:tc>
        <w:tc>
          <w:tcPr>
            <w:tcW w:w="597" w:type="pct"/>
            <w:shd w:val="clear" w:color="auto" w:fill="auto"/>
            <w:vAlign w:val="center"/>
          </w:tcPr>
          <w:p w14:paraId="7B1831DF" w14:textId="77777777" w:rsidR="009D1B87" w:rsidRPr="002B4570" w:rsidRDefault="009D1B87" w:rsidP="00144CAC">
            <w:pPr>
              <w:pStyle w:val="Tabletext"/>
              <w:keepNext/>
              <w:rPr>
                <w:color w:val="000000"/>
              </w:rPr>
            </w:pPr>
            <w:r w:rsidRPr="002B4570">
              <w:rPr>
                <w:color w:val="000000"/>
              </w:rPr>
              <w:t>-$104.30</w:t>
            </w:r>
          </w:p>
        </w:tc>
      </w:tr>
      <w:tr w:rsidR="0025592B" w:rsidRPr="002B4570" w14:paraId="3D00267A" w14:textId="77777777" w:rsidTr="00FC3233">
        <w:trPr>
          <w:gridAfter w:val="1"/>
          <w:wAfter w:w="4" w:type="pct"/>
        </w:trPr>
        <w:tc>
          <w:tcPr>
            <w:tcW w:w="1637" w:type="pct"/>
            <w:shd w:val="clear" w:color="auto" w:fill="auto"/>
            <w:vAlign w:val="center"/>
          </w:tcPr>
          <w:p w14:paraId="701666B1" w14:textId="77777777" w:rsidR="0025592B" w:rsidRPr="002B4570" w:rsidRDefault="0025592B" w:rsidP="00144CAC">
            <w:pPr>
              <w:pStyle w:val="Tabletext"/>
              <w:keepNext/>
              <w:rPr>
                <w:color w:val="000000"/>
              </w:rPr>
            </w:pPr>
            <w:r w:rsidRPr="002B4570">
              <w:rPr>
                <w:color w:val="000000"/>
              </w:rPr>
              <w:t>Total monitoring</w:t>
            </w:r>
          </w:p>
        </w:tc>
        <w:tc>
          <w:tcPr>
            <w:tcW w:w="1327" w:type="pct"/>
            <w:gridSpan w:val="2"/>
            <w:shd w:val="clear" w:color="auto" w:fill="auto"/>
            <w:vAlign w:val="center"/>
          </w:tcPr>
          <w:p w14:paraId="266E7A0E" w14:textId="77777777" w:rsidR="0025592B" w:rsidRPr="002B4570" w:rsidRDefault="0025592B" w:rsidP="00144CAC">
            <w:pPr>
              <w:pStyle w:val="Tabletext"/>
              <w:keepNext/>
              <w:rPr>
                <w:color w:val="000000"/>
              </w:rPr>
            </w:pPr>
            <w:r w:rsidRPr="002B4570">
              <w:rPr>
                <w:color w:val="000000"/>
              </w:rPr>
              <w:t>$741.25</w:t>
            </w:r>
          </w:p>
        </w:tc>
        <w:tc>
          <w:tcPr>
            <w:tcW w:w="1435" w:type="pct"/>
            <w:gridSpan w:val="3"/>
            <w:shd w:val="clear" w:color="auto" w:fill="auto"/>
            <w:vAlign w:val="center"/>
          </w:tcPr>
          <w:p w14:paraId="69687CE3" w14:textId="77777777" w:rsidR="0025592B" w:rsidRPr="002B4570" w:rsidRDefault="0025592B" w:rsidP="00144CAC">
            <w:pPr>
              <w:pStyle w:val="Tabletext"/>
              <w:keepNext/>
              <w:rPr>
                <w:color w:val="000000"/>
              </w:rPr>
            </w:pPr>
            <w:r w:rsidRPr="002B4570">
              <w:rPr>
                <w:color w:val="000000"/>
              </w:rPr>
              <w:t>$1,064.85</w:t>
            </w:r>
          </w:p>
          <w:p w14:paraId="774D3855" w14:textId="688C0CD8" w:rsidR="0025592B" w:rsidRPr="002B4570" w:rsidRDefault="0025592B" w:rsidP="00144CAC">
            <w:pPr>
              <w:pStyle w:val="Tabletext"/>
              <w:keepNext/>
              <w:rPr>
                <w:color w:val="000000"/>
              </w:rPr>
            </w:pPr>
            <w:r w:rsidRPr="002B4570">
              <w:rPr>
                <w:color w:val="000000"/>
              </w:rPr>
              <w:t>Revised: $861.15</w:t>
            </w:r>
          </w:p>
        </w:tc>
        <w:tc>
          <w:tcPr>
            <w:tcW w:w="597" w:type="pct"/>
            <w:shd w:val="clear" w:color="auto" w:fill="auto"/>
            <w:vAlign w:val="center"/>
          </w:tcPr>
          <w:p w14:paraId="22A9C9B7" w14:textId="77777777" w:rsidR="0025592B" w:rsidRPr="002B4570" w:rsidRDefault="0025592B" w:rsidP="00144CAC">
            <w:pPr>
              <w:pStyle w:val="Tabletext"/>
              <w:keepNext/>
              <w:rPr>
                <w:color w:val="000000"/>
              </w:rPr>
            </w:pPr>
            <w:r w:rsidRPr="002B4570">
              <w:rPr>
                <w:color w:val="000000"/>
              </w:rPr>
              <w:t>-$323.60</w:t>
            </w:r>
          </w:p>
          <w:p w14:paraId="68771F7E" w14:textId="66AC2C99" w:rsidR="0025592B" w:rsidRPr="002B4570" w:rsidRDefault="0025592B" w:rsidP="00144CAC">
            <w:pPr>
              <w:pStyle w:val="Tabletext"/>
              <w:keepNext/>
              <w:rPr>
                <w:color w:val="000000"/>
              </w:rPr>
            </w:pPr>
            <w:r w:rsidRPr="002B4570">
              <w:rPr>
                <w:color w:val="000000"/>
              </w:rPr>
              <w:t>-$119.90</w:t>
            </w:r>
          </w:p>
        </w:tc>
      </w:tr>
      <w:tr w:rsidR="009D1B87" w:rsidRPr="002B4570" w14:paraId="6C446CF9" w14:textId="77777777" w:rsidTr="00AC0867">
        <w:tc>
          <w:tcPr>
            <w:tcW w:w="5000" w:type="pct"/>
            <w:gridSpan w:val="8"/>
            <w:shd w:val="clear" w:color="auto" w:fill="auto"/>
            <w:vAlign w:val="center"/>
          </w:tcPr>
          <w:p w14:paraId="49D0D9E8" w14:textId="2EF04509" w:rsidR="009D1B87" w:rsidRPr="00DB7032" w:rsidRDefault="009D1B87" w:rsidP="00144CAC">
            <w:pPr>
              <w:pStyle w:val="Tabletext"/>
              <w:keepNext/>
              <w:rPr>
                <w:b/>
                <w:bCs/>
                <w:color w:val="000000"/>
              </w:rPr>
            </w:pPr>
            <w:r w:rsidRPr="00DB7032">
              <w:rPr>
                <w:b/>
                <w:bCs/>
                <w:color w:val="000000"/>
              </w:rPr>
              <w:t>AE grade ≥3</w:t>
            </w:r>
          </w:p>
        </w:tc>
      </w:tr>
      <w:tr w:rsidR="0025592B" w:rsidRPr="002B4570" w14:paraId="4A95DE60" w14:textId="77777777" w:rsidTr="00FC3233">
        <w:trPr>
          <w:gridAfter w:val="1"/>
          <w:wAfter w:w="4" w:type="pct"/>
        </w:trPr>
        <w:tc>
          <w:tcPr>
            <w:tcW w:w="1637" w:type="pct"/>
            <w:shd w:val="clear" w:color="auto" w:fill="auto"/>
            <w:vAlign w:val="center"/>
          </w:tcPr>
          <w:p w14:paraId="1815888B" w14:textId="77777777" w:rsidR="0025592B" w:rsidRPr="002B4570" w:rsidRDefault="0025592B" w:rsidP="00144CAC">
            <w:pPr>
              <w:pStyle w:val="Tabletext"/>
              <w:keepNext/>
              <w:rPr>
                <w:color w:val="000000"/>
              </w:rPr>
            </w:pPr>
            <w:r w:rsidRPr="002B4570">
              <w:rPr>
                <w:color w:val="000000"/>
              </w:rPr>
              <w:t>Increased ALT</w:t>
            </w:r>
          </w:p>
        </w:tc>
        <w:tc>
          <w:tcPr>
            <w:tcW w:w="1327" w:type="pct"/>
            <w:gridSpan w:val="2"/>
            <w:shd w:val="clear" w:color="auto" w:fill="auto"/>
            <w:vAlign w:val="center"/>
          </w:tcPr>
          <w:p w14:paraId="0D23E82F" w14:textId="77777777" w:rsidR="0025592B" w:rsidRPr="002B4570" w:rsidRDefault="0025592B" w:rsidP="00144CAC">
            <w:pPr>
              <w:pStyle w:val="Tabletext"/>
              <w:keepNext/>
              <w:rPr>
                <w:color w:val="000000"/>
              </w:rPr>
            </w:pPr>
            <w:r w:rsidRPr="002B4570">
              <w:rPr>
                <w:color w:val="000000"/>
              </w:rPr>
              <w:t>$0.00</w:t>
            </w:r>
          </w:p>
        </w:tc>
        <w:tc>
          <w:tcPr>
            <w:tcW w:w="1435" w:type="pct"/>
            <w:gridSpan w:val="3"/>
            <w:shd w:val="clear" w:color="auto" w:fill="auto"/>
            <w:vAlign w:val="center"/>
          </w:tcPr>
          <w:p w14:paraId="015DBAF6" w14:textId="77777777" w:rsidR="0025592B" w:rsidRPr="002B4570" w:rsidRDefault="0025592B" w:rsidP="00144CAC">
            <w:pPr>
              <w:pStyle w:val="Tabletext"/>
              <w:keepNext/>
              <w:rPr>
                <w:color w:val="000000"/>
              </w:rPr>
            </w:pPr>
            <w:r w:rsidRPr="002B4570">
              <w:rPr>
                <w:color w:val="000000"/>
              </w:rPr>
              <w:t>$651.95</w:t>
            </w:r>
          </w:p>
          <w:p w14:paraId="358F0294" w14:textId="03DA16C9" w:rsidR="0025592B" w:rsidRPr="002B4570" w:rsidRDefault="0025592B" w:rsidP="00144CAC">
            <w:pPr>
              <w:pStyle w:val="Tabletext"/>
              <w:keepNext/>
              <w:rPr>
                <w:color w:val="000000"/>
              </w:rPr>
            </w:pPr>
            <w:r w:rsidRPr="002B4570">
              <w:rPr>
                <w:color w:val="000000"/>
              </w:rPr>
              <w:t>Revised: $373.34</w:t>
            </w:r>
          </w:p>
        </w:tc>
        <w:tc>
          <w:tcPr>
            <w:tcW w:w="597" w:type="pct"/>
            <w:shd w:val="clear" w:color="auto" w:fill="auto"/>
            <w:vAlign w:val="center"/>
          </w:tcPr>
          <w:p w14:paraId="44B2D391" w14:textId="77777777" w:rsidR="0025592B" w:rsidRPr="002B4570" w:rsidRDefault="0025592B" w:rsidP="00144CAC">
            <w:pPr>
              <w:pStyle w:val="Tabletext"/>
              <w:keepNext/>
              <w:rPr>
                <w:color w:val="000000"/>
              </w:rPr>
            </w:pPr>
            <w:r w:rsidRPr="002B4570">
              <w:rPr>
                <w:color w:val="000000"/>
              </w:rPr>
              <w:t>-$651.95</w:t>
            </w:r>
          </w:p>
          <w:p w14:paraId="4A62C7C0" w14:textId="1B6B475B" w:rsidR="0025592B" w:rsidRPr="002B4570" w:rsidRDefault="0025592B" w:rsidP="00144CAC">
            <w:pPr>
              <w:pStyle w:val="Tabletext"/>
              <w:keepNext/>
              <w:rPr>
                <w:color w:val="000000"/>
              </w:rPr>
            </w:pPr>
            <w:r w:rsidRPr="002B4570">
              <w:rPr>
                <w:color w:val="000000"/>
              </w:rPr>
              <w:t>-$373.34</w:t>
            </w:r>
          </w:p>
        </w:tc>
      </w:tr>
      <w:tr w:rsidR="0025592B" w:rsidRPr="002B4570" w14:paraId="0F7F40D5" w14:textId="77777777" w:rsidTr="00FC3233">
        <w:trPr>
          <w:gridAfter w:val="1"/>
          <w:wAfter w:w="4" w:type="pct"/>
        </w:trPr>
        <w:tc>
          <w:tcPr>
            <w:tcW w:w="1637" w:type="pct"/>
            <w:shd w:val="clear" w:color="auto" w:fill="auto"/>
            <w:vAlign w:val="center"/>
          </w:tcPr>
          <w:p w14:paraId="7280E99B" w14:textId="77777777" w:rsidR="0025592B" w:rsidRPr="002B4570" w:rsidRDefault="0025592B" w:rsidP="00144CAC">
            <w:pPr>
              <w:pStyle w:val="Tabletext"/>
              <w:keepNext/>
              <w:rPr>
                <w:color w:val="000000"/>
              </w:rPr>
            </w:pPr>
            <w:r w:rsidRPr="002B4570">
              <w:rPr>
                <w:color w:val="000000"/>
              </w:rPr>
              <w:t>Total AEs</w:t>
            </w:r>
          </w:p>
        </w:tc>
        <w:tc>
          <w:tcPr>
            <w:tcW w:w="1327" w:type="pct"/>
            <w:gridSpan w:val="2"/>
            <w:shd w:val="clear" w:color="auto" w:fill="auto"/>
            <w:vAlign w:val="center"/>
          </w:tcPr>
          <w:p w14:paraId="568ECC41" w14:textId="77777777" w:rsidR="0025592B" w:rsidRPr="002B4570" w:rsidRDefault="0025592B" w:rsidP="00144CAC">
            <w:pPr>
              <w:pStyle w:val="Tabletext"/>
              <w:keepNext/>
              <w:rPr>
                <w:color w:val="000000"/>
              </w:rPr>
            </w:pPr>
            <w:r w:rsidRPr="002B4570">
              <w:rPr>
                <w:color w:val="000000"/>
              </w:rPr>
              <w:t>$0.00</w:t>
            </w:r>
          </w:p>
        </w:tc>
        <w:tc>
          <w:tcPr>
            <w:tcW w:w="1435" w:type="pct"/>
            <w:gridSpan w:val="3"/>
            <w:shd w:val="clear" w:color="auto" w:fill="auto"/>
            <w:vAlign w:val="center"/>
          </w:tcPr>
          <w:p w14:paraId="12E8163E" w14:textId="77777777" w:rsidR="0025592B" w:rsidRPr="00733970" w:rsidRDefault="0025592B" w:rsidP="00144CAC">
            <w:pPr>
              <w:pStyle w:val="Tabletext"/>
              <w:keepNext/>
              <w:rPr>
                <w:color w:val="000000"/>
              </w:rPr>
            </w:pPr>
            <w:r w:rsidRPr="00733970">
              <w:rPr>
                <w:color w:val="000000"/>
              </w:rPr>
              <w:t>$651.95</w:t>
            </w:r>
          </w:p>
          <w:p w14:paraId="3F3EB7A6" w14:textId="31E38A02" w:rsidR="0025592B" w:rsidRPr="00733970" w:rsidRDefault="00452502" w:rsidP="00144CAC">
            <w:pPr>
              <w:pStyle w:val="Tabletext"/>
              <w:keepNext/>
              <w:rPr>
                <w:color w:val="000000"/>
              </w:rPr>
            </w:pPr>
            <w:r w:rsidRPr="00733970">
              <w:rPr>
                <w:color w:val="000000"/>
              </w:rPr>
              <w:t xml:space="preserve">Revised: </w:t>
            </w:r>
            <w:r w:rsidR="0025592B" w:rsidRPr="00733970">
              <w:rPr>
                <w:color w:val="000000"/>
              </w:rPr>
              <w:t>$373.34</w:t>
            </w:r>
          </w:p>
        </w:tc>
        <w:tc>
          <w:tcPr>
            <w:tcW w:w="597" w:type="pct"/>
            <w:shd w:val="clear" w:color="auto" w:fill="auto"/>
            <w:vAlign w:val="center"/>
          </w:tcPr>
          <w:p w14:paraId="1472B378" w14:textId="77777777" w:rsidR="0025592B" w:rsidRPr="00733970" w:rsidRDefault="0025592B" w:rsidP="00144CAC">
            <w:pPr>
              <w:pStyle w:val="Tabletext"/>
              <w:keepNext/>
              <w:rPr>
                <w:color w:val="000000"/>
              </w:rPr>
            </w:pPr>
            <w:r w:rsidRPr="00733970">
              <w:rPr>
                <w:color w:val="000000"/>
              </w:rPr>
              <w:t>-$651.95</w:t>
            </w:r>
          </w:p>
          <w:p w14:paraId="64183391" w14:textId="0F5BC07D" w:rsidR="0025592B" w:rsidRPr="00733970" w:rsidRDefault="0025592B" w:rsidP="00144CAC">
            <w:pPr>
              <w:pStyle w:val="Tabletext"/>
              <w:keepNext/>
              <w:rPr>
                <w:color w:val="000000"/>
              </w:rPr>
            </w:pPr>
            <w:r w:rsidRPr="00733970">
              <w:rPr>
                <w:color w:val="000000"/>
              </w:rPr>
              <w:t>-$373.34</w:t>
            </w:r>
          </w:p>
        </w:tc>
      </w:tr>
      <w:tr w:rsidR="009D1B87" w:rsidRPr="002B4570" w14:paraId="78679910" w14:textId="77777777" w:rsidTr="00AE1E1A">
        <w:tc>
          <w:tcPr>
            <w:tcW w:w="5000" w:type="pct"/>
            <w:gridSpan w:val="8"/>
            <w:shd w:val="clear" w:color="auto" w:fill="auto"/>
            <w:vAlign w:val="center"/>
          </w:tcPr>
          <w:p w14:paraId="1FE6E839" w14:textId="77777777" w:rsidR="009D1B87" w:rsidRPr="00733970" w:rsidRDefault="009D1B87" w:rsidP="00144CAC">
            <w:pPr>
              <w:pStyle w:val="Tabletext"/>
              <w:keepNext/>
              <w:rPr>
                <w:b/>
                <w:bCs/>
                <w:color w:val="000000"/>
              </w:rPr>
            </w:pPr>
            <w:r w:rsidRPr="00733970">
              <w:rPr>
                <w:b/>
                <w:bCs/>
                <w:color w:val="000000"/>
              </w:rPr>
              <w:t>Total cost of treatment over 2 years</w:t>
            </w:r>
          </w:p>
        </w:tc>
      </w:tr>
      <w:tr w:rsidR="003354D2" w:rsidRPr="002B4570" w14:paraId="0A6CEEC2" w14:textId="77777777" w:rsidTr="00FC3233">
        <w:trPr>
          <w:gridAfter w:val="1"/>
          <w:wAfter w:w="4" w:type="pct"/>
        </w:trPr>
        <w:tc>
          <w:tcPr>
            <w:tcW w:w="1637" w:type="pct"/>
            <w:shd w:val="clear" w:color="auto" w:fill="auto"/>
            <w:vAlign w:val="center"/>
          </w:tcPr>
          <w:p w14:paraId="27A57AD4" w14:textId="75587D56" w:rsidR="003354D2" w:rsidRPr="008B10EA" w:rsidRDefault="003354D2" w:rsidP="003354D2">
            <w:pPr>
              <w:pStyle w:val="Tabletext"/>
              <w:keepNext/>
              <w:rPr>
                <w:color w:val="000000"/>
              </w:rPr>
            </w:pPr>
            <w:r w:rsidRPr="008B10EA">
              <w:rPr>
                <w:color w:val="000000"/>
              </w:rPr>
              <w:t>Total cost revised</w:t>
            </w:r>
            <w:r w:rsidRPr="008B10EA">
              <w:rPr>
                <w:color w:val="000000"/>
                <w:vertAlign w:val="superscript"/>
              </w:rPr>
              <w:t>a</w:t>
            </w:r>
            <w:r w:rsidRPr="008B10EA">
              <w:rPr>
                <w:color w:val="000000"/>
              </w:rPr>
              <w:t xml:space="preserve"> no C5.7</w:t>
            </w:r>
            <w:r w:rsidR="00AE1E1A" w:rsidRPr="008B10EA">
              <w:rPr>
                <w:color w:val="000000"/>
                <w:vertAlign w:val="superscript"/>
              </w:rPr>
              <w:t>b</w:t>
            </w:r>
          </w:p>
        </w:tc>
        <w:tc>
          <w:tcPr>
            <w:tcW w:w="1327" w:type="pct"/>
            <w:gridSpan w:val="2"/>
            <w:shd w:val="clear" w:color="auto" w:fill="auto"/>
            <w:vAlign w:val="center"/>
          </w:tcPr>
          <w:p w14:paraId="1265ED7C" w14:textId="4B5FAC46" w:rsidR="003354D2" w:rsidRPr="00A42753" w:rsidRDefault="003354D2" w:rsidP="003354D2">
            <w:pPr>
              <w:pStyle w:val="Tabletext"/>
              <w:keepNext/>
              <w:rPr>
                <w:rFonts w:cs="Calibri"/>
                <w:color w:val="000000"/>
                <w:highlight w:val="yellow"/>
              </w:rPr>
            </w:pPr>
            <w:r w:rsidRPr="00B65441">
              <w:rPr>
                <w:rFonts w:cs="Calibri"/>
                <w:color w:val="000000"/>
                <w:szCs w:val="20"/>
              </w:rPr>
              <w:t>$</w:t>
            </w:r>
            <w:r w:rsidR="00341457" w:rsidRPr="00341457">
              <w:rPr>
                <w:rFonts w:cs="Calibri"/>
                <w:color w:val="000000"/>
                <w:spacing w:val="51"/>
                <w:szCs w:val="20"/>
                <w:shd w:val="solid" w:color="000000" w:fill="000000"/>
                <w:fitText w:val="326" w:id="-1436313084"/>
                <w14:textFill>
                  <w14:solidFill>
                    <w14:srgbClr w14:val="000000">
                      <w14:alpha w14:val="100000"/>
                    </w14:srgbClr>
                  </w14:solidFill>
                </w14:textFill>
              </w:rPr>
              <w:t>|||</w:t>
            </w:r>
            <w:r w:rsidR="00341457" w:rsidRPr="00341457">
              <w:rPr>
                <w:rFonts w:cs="Calibri"/>
                <w:color w:val="000000"/>
                <w:spacing w:val="1"/>
                <w:szCs w:val="20"/>
                <w:shd w:val="solid" w:color="000000" w:fill="000000"/>
                <w:fitText w:val="326" w:id="-1436313084"/>
                <w14:textFill>
                  <w14:solidFill>
                    <w14:srgbClr w14:val="000000">
                      <w14:alpha w14:val="100000"/>
                    </w14:srgbClr>
                  </w14:solidFill>
                </w14:textFill>
              </w:rPr>
              <w:t>|</w:t>
            </w:r>
          </w:p>
        </w:tc>
        <w:tc>
          <w:tcPr>
            <w:tcW w:w="1435" w:type="pct"/>
            <w:gridSpan w:val="3"/>
            <w:shd w:val="clear" w:color="auto" w:fill="auto"/>
            <w:vAlign w:val="center"/>
          </w:tcPr>
          <w:p w14:paraId="6B54790C" w14:textId="5A29D0B0" w:rsidR="003354D2" w:rsidRPr="00A42753" w:rsidRDefault="003354D2" w:rsidP="003354D2">
            <w:pPr>
              <w:pStyle w:val="Tabletext"/>
              <w:keepNext/>
              <w:rPr>
                <w:rFonts w:cs="Calibri"/>
                <w:color w:val="000000"/>
                <w:highlight w:val="yellow"/>
              </w:rPr>
            </w:pPr>
            <w:r w:rsidRPr="0058660F">
              <w:rPr>
                <w:rFonts w:cs="Calibri"/>
                <w:color w:val="000000"/>
                <w:szCs w:val="20"/>
              </w:rPr>
              <w:t>$117,898.37</w:t>
            </w:r>
          </w:p>
        </w:tc>
        <w:tc>
          <w:tcPr>
            <w:tcW w:w="597" w:type="pct"/>
            <w:shd w:val="clear" w:color="auto" w:fill="auto"/>
            <w:vAlign w:val="center"/>
          </w:tcPr>
          <w:p w14:paraId="22B4BABF" w14:textId="17EDB74E" w:rsidR="003354D2" w:rsidRPr="00A42753" w:rsidRDefault="003354D2" w:rsidP="003354D2">
            <w:pPr>
              <w:pStyle w:val="Tabletext"/>
              <w:keepNext/>
              <w:rPr>
                <w:color w:val="000000"/>
                <w:highlight w:val="yellow"/>
              </w:rPr>
            </w:pPr>
            <w:r w:rsidRPr="00B65441">
              <w:rPr>
                <w:rFonts w:cs="Calibri"/>
                <w:color w:val="000000"/>
                <w:szCs w:val="20"/>
              </w:rPr>
              <w:t>$</w:t>
            </w:r>
            <w:r w:rsidR="00341457" w:rsidRPr="00341457">
              <w:rPr>
                <w:rFonts w:cs="Calibri"/>
                <w:color w:val="000000"/>
                <w:spacing w:val="50"/>
                <w:szCs w:val="20"/>
                <w:shd w:val="solid" w:color="000000" w:fill="000000"/>
                <w:fitText w:val="325" w:id="-1436313083"/>
                <w14:textFill>
                  <w14:solidFill>
                    <w14:srgbClr w14:val="000000">
                      <w14:alpha w14:val="100000"/>
                    </w14:srgbClr>
                  </w14:solidFill>
                </w14:textFill>
              </w:rPr>
              <w:t>|||</w:t>
            </w:r>
            <w:r w:rsidR="00341457" w:rsidRPr="00341457">
              <w:rPr>
                <w:rFonts w:cs="Calibri"/>
                <w:color w:val="000000"/>
                <w:spacing w:val="13"/>
                <w:szCs w:val="20"/>
                <w:shd w:val="solid" w:color="000000" w:fill="000000"/>
                <w:fitText w:val="325" w:id="-1436313083"/>
                <w14:textFill>
                  <w14:solidFill>
                    <w14:srgbClr w14:val="000000">
                      <w14:alpha w14:val="100000"/>
                    </w14:srgbClr>
                  </w14:solidFill>
                </w14:textFill>
              </w:rPr>
              <w:t>|</w:t>
            </w:r>
          </w:p>
        </w:tc>
      </w:tr>
    </w:tbl>
    <w:p w14:paraId="6B0F287F" w14:textId="77777777" w:rsidR="009373DE" w:rsidRPr="00B22BCB" w:rsidRDefault="009373DE" w:rsidP="009373DE">
      <w:pPr>
        <w:pStyle w:val="TableFigureFooter"/>
      </w:pPr>
      <w:r w:rsidRPr="00B22BCB">
        <w:t>Source: Table 3.4-6, p 182 of the submission.</w:t>
      </w:r>
    </w:p>
    <w:p w14:paraId="75481F99" w14:textId="40158986" w:rsidR="00DF1E71" w:rsidRPr="00B22BCB" w:rsidRDefault="009373DE" w:rsidP="009373DE">
      <w:pPr>
        <w:pStyle w:val="TableFigureFooter"/>
      </w:pPr>
      <w:r w:rsidRPr="00B22BCB">
        <w:t>AEMP</w:t>
      </w:r>
      <w:r w:rsidR="000E3D3F">
        <w:t xml:space="preserve"> =</w:t>
      </w:r>
      <w:r w:rsidRPr="00B22BCB">
        <w:t xml:space="preserve"> Approved ex-manufacturer price; AE = adverse event</w:t>
      </w:r>
      <w:r w:rsidR="000C1755">
        <w:t xml:space="preserve">; </w:t>
      </w:r>
      <w:r w:rsidR="000C1755" w:rsidRPr="000C1755">
        <w:rPr>
          <w:i/>
          <w:iCs/>
        </w:rPr>
        <w:t>C5.7 = Clause 5.7</w:t>
      </w:r>
    </w:p>
    <w:p w14:paraId="60162AFC" w14:textId="4B002174" w:rsidR="0012708E" w:rsidRPr="008B10EA" w:rsidRDefault="0012708E" w:rsidP="009373DE">
      <w:pPr>
        <w:pStyle w:val="TableFigureFooter"/>
      </w:pPr>
      <w:r w:rsidRPr="008B10EA">
        <w:rPr>
          <w:vertAlign w:val="superscript"/>
        </w:rPr>
        <w:t>a</w:t>
      </w:r>
      <w:r w:rsidRPr="008B10EA">
        <w:t xml:space="preserve"> Revised by the evaluation so that the equi-effective doses are consistent with the doses used in the studies, and adjustment of the ECG and liver hospitalisation costs.</w:t>
      </w:r>
    </w:p>
    <w:p w14:paraId="5F102BDE" w14:textId="79B64360" w:rsidR="00AC0867" w:rsidRPr="008B10EA" w:rsidRDefault="00AC0867" w:rsidP="009373DE">
      <w:pPr>
        <w:pStyle w:val="TableFigureFooter"/>
      </w:pPr>
      <w:r w:rsidRPr="008B10EA">
        <w:rPr>
          <w:vertAlign w:val="superscript"/>
        </w:rPr>
        <w:t>b</w:t>
      </w:r>
      <w:r w:rsidRPr="008B10EA">
        <w:t xml:space="preserve"> The submission</w:t>
      </w:r>
      <w:r w:rsidR="00DA16B1" w:rsidRPr="008B10EA">
        <w:t xml:space="preserve"> proposed</w:t>
      </w:r>
      <w:r w:rsidRPr="008B10EA">
        <w:t xml:space="preserve"> AEMP correspond</w:t>
      </w:r>
      <w:r w:rsidR="00DA16B1" w:rsidRPr="008B10EA">
        <w:t>ed</w:t>
      </w:r>
      <w:r w:rsidRPr="008B10EA">
        <w:t xml:space="preserve"> to prior 5% and 10% F1 anniversary price reductions for nilotinib (application of Clause 5.7). </w:t>
      </w:r>
      <w:r w:rsidR="009D523F" w:rsidRPr="008B10EA">
        <w:t>“</w:t>
      </w:r>
      <w:r w:rsidRPr="008B10EA">
        <w:t>No C5.7</w:t>
      </w:r>
      <w:r w:rsidR="009D523F" w:rsidRPr="008B10EA">
        <w:t>” in the table</w:t>
      </w:r>
      <w:r w:rsidRPr="008B10EA">
        <w:t xml:space="preserve"> refers to AEMP without Clause 5.7 applied. </w:t>
      </w:r>
    </w:p>
    <w:p w14:paraId="502AF8CD" w14:textId="52560D1F" w:rsidR="009D1B87" w:rsidRDefault="009D1B87" w:rsidP="009D1B87">
      <w:pPr>
        <w:pStyle w:val="3-BodyText"/>
      </w:pPr>
      <w:r w:rsidRPr="002B4570">
        <w:t xml:space="preserve">The submission’s economic costings </w:t>
      </w:r>
      <w:r w:rsidR="00CC0AF8">
        <w:t>were</w:t>
      </w:r>
      <w:r w:rsidRPr="002B4570">
        <w:t xml:space="preserve"> revised during the evaluation so that the dosing is consistent with the doses used in the studies (</w:t>
      </w:r>
      <w:r w:rsidR="00337BFF" w:rsidRPr="002B4570">
        <w:t>asciminib</w:t>
      </w:r>
      <w:r w:rsidRPr="002B4570">
        <w:t xml:space="preserve"> 79.8</w:t>
      </w:r>
      <w:r w:rsidR="00FF1B7C">
        <w:t> </w:t>
      </w:r>
      <w:r w:rsidRPr="002B4570">
        <w:t xml:space="preserve">mg/day, </w:t>
      </w:r>
      <w:r w:rsidR="003A04E1">
        <w:t>n</w:t>
      </w:r>
      <w:r w:rsidRPr="002B4570">
        <w:t>ilotinib 782.</w:t>
      </w:r>
      <w:r w:rsidR="00A8415F">
        <w:t>5 </w:t>
      </w:r>
      <w:r w:rsidRPr="002B4570">
        <w:t xml:space="preserve">mg/day). Also, the ECG and liver hospitalisation </w:t>
      </w:r>
      <w:r w:rsidR="00256513" w:rsidRPr="00425317">
        <w:t>costs</w:t>
      </w:r>
      <w:r w:rsidRPr="002B4570">
        <w:t xml:space="preserve"> are updated</w:t>
      </w:r>
      <w:r w:rsidR="00316B89">
        <w:t>,</w:t>
      </w:r>
      <w:r w:rsidR="00AC0867">
        <w:t xml:space="preserve"> </w:t>
      </w:r>
      <w:r w:rsidR="00AC0867" w:rsidRPr="002E7D71">
        <w:t xml:space="preserve">and </w:t>
      </w:r>
      <w:r w:rsidR="009967B2" w:rsidRPr="002E7D71">
        <w:t xml:space="preserve">application of </w:t>
      </w:r>
      <w:r w:rsidR="00AC0867" w:rsidRPr="002E7D71">
        <w:t>Clause 5.7 has been</w:t>
      </w:r>
      <w:r w:rsidR="009967B2" w:rsidRPr="002E7D71">
        <w:t xml:space="preserve"> removed</w:t>
      </w:r>
      <w:r w:rsidRPr="002E7D71">
        <w:t>.</w:t>
      </w:r>
      <w:r w:rsidRPr="002B4570">
        <w:t xml:space="preserve"> With these revised inputs, the submission’s model back</w:t>
      </w:r>
      <w:r w:rsidR="00205DDD" w:rsidRPr="002B4570">
        <w:t>-</w:t>
      </w:r>
      <w:r w:rsidRPr="002B4570">
        <w:t>calculates an AEMP of</w:t>
      </w:r>
      <w:r w:rsidR="009967B2">
        <w:t xml:space="preserve"> </w:t>
      </w:r>
      <w:r w:rsidR="009967B2" w:rsidRPr="0058660F">
        <w:rPr>
          <w:color w:val="000000"/>
        </w:rPr>
        <w:t>$</w:t>
      </w:r>
      <w:r w:rsidR="00341457" w:rsidRPr="00464105">
        <w:rPr>
          <w:color w:val="000000"/>
          <w:w w:val="15"/>
          <w:shd w:val="solid" w:color="000000" w:fill="000000"/>
          <w:fitText w:val="-20" w:id="-1436313082"/>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82"/>
          <w14:textFill>
            <w14:solidFill>
              <w14:srgbClr w14:val="000000">
                <w14:alpha w14:val="100000"/>
              </w14:srgbClr>
            </w14:solidFill>
          </w14:textFill>
        </w:rPr>
        <w:t>|</w:t>
      </w:r>
      <w:r w:rsidR="00341457" w:rsidRPr="00341457">
        <w:t xml:space="preserve"> </w:t>
      </w:r>
      <w:r w:rsidRPr="002E7D71">
        <w:t>p</w:t>
      </w:r>
      <w:r w:rsidRPr="002B4570">
        <w:t>er asciminib pack is required for cost-minimisation against nilotinib.</w:t>
      </w:r>
      <w:r w:rsidR="00402519">
        <w:t xml:space="preserve"> </w:t>
      </w:r>
      <w:r w:rsidR="00425317">
        <w:t xml:space="preserve">The pre-PBAC response acknowledged the difference in the incidence of ALT increase grade </w:t>
      </w:r>
      <w:r w:rsidR="00425317">
        <w:rPr>
          <w:rFonts w:cstheme="minorHAnsi"/>
        </w:rPr>
        <w:t>≥</w:t>
      </w:r>
      <w:r w:rsidR="00425317">
        <w:t>3 was not statistically significant and hence it would be appropriate for the cost offset to be excluded from the CMA and as a result</w:t>
      </w:r>
      <w:r w:rsidR="00C838AC">
        <w:t>,</w:t>
      </w:r>
      <w:r w:rsidR="00425317">
        <w:t xml:space="preserve"> the CMA of asciminib versus nilotinib </w:t>
      </w:r>
      <w:r w:rsidR="00CC0AF8">
        <w:t>would</w:t>
      </w:r>
      <w:r w:rsidR="00425317">
        <w:t xml:space="preserve"> not include cost (offsets) due to differences in AEs grade </w:t>
      </w:r>
      <w:r w:rsidR="00425317">
        <w:rPr>
          <w:rFonts w:cstheme="minorHAnsi"/>
        </w:rPr>
        <w:t>≥</w:t>
      </w:r>
      <w:r w:rsidR="00425317">
        <w:t>3.</w:t>
      </w:r>
      <w:r w:rsidR="00987D86">
        <w:t xml:space="preserve"> The PBAC considered </w:t>
      </w:r>
      <w:r w:rsidR="009C5C74">
        <w:t xml:space="preserve">that </w:t>
      </w:r>
      <w:r w:rsidR="00987D86">
        <w:t xml:space="preserve">cost offsets for adverse events </w:t>
      </w:r>
      <w:r w:rsidR="009C5C74">
        <w:t xml:space="preserve">should not be included in the CMA </w:t>
      </w:r>
      <w:r w:rsidR="00987D86">
        <w:t xml:space="preserve">and </w:t>
      </w:r>
      <w:r w:rsidR="009C5C74">
        <w:t xml:space="preserve">this was </w:t>
      </w:r>
      <w:r w:rsidR="00987D86">
        <w:t>consistent with its view that the claim of superior safety was not adequately supported.</w:t>
      </w:r>
    </w:p>
    <w:p w14:paraId="4BC7EF0F" w14:textId="77777777" w:rsidR="009D1B87" w:rsidRPr="00B22BCB" w:rsidRDefault="009D1B87" w:rsidP="009373DE">
      <w:pPr>
        <w:pStyle w:val="TableFigureFooter"/>
      </w:pPr>
    </w:p>
    <w:p w14:paraId="147210B9" w14:textId="463D397B" w:rsidR="009373DE" w:rsidRPr="00B22BCB" w:rsidRDefault="009373DE" w:rsidP="009373DE">
      <w:pPr>
        <w:pStyle w:val="TableFigureHeading"/>
      </w:pPr>
      <w:bookmarkStart w:id="56" w:name="_Ref103635507"/>
      <w:r w:rsidRPr="00B22BCB">
        <w:t xml:space="preserve">Table </w:t>
      </w:r>
      <w:r w:rsidR="00CA52C1">
        <w:fldChar w:fldCharType="begin"/>
      </w:r>
      <w:r w:rsidR="00CA52C1">
        <w:instrText xml:space="preserve"> SEQ Table \* ARABIC </w:instrText>
      </w:r>
      <w:r w:rsidR="00CA52C1">
        <w:fldChar w:fldCharType="separate"/>
      </w:r>
      <w:r w:rsidR="00A914F4">
        <w:rPr>
          <w:noProof/>
        </w:rPr>
        <w:t>15</w:t>
      </w:r>
      <w:r w:rsidR="00CA52C1">
        <w:rPr>
          <w:noProof/>
        </w:rPr>
        <w:fldChar w:fldCharType="end"/>
      </w:r>
      <w:bookmarkEnd w:id="56"/>
      <w:r w:rsidRPr="00B22BCB">
        <w:rPr>
          <w:noProof/>
        </w:rPr>
        <w:t>:</w:t>
      </w:r>
      <w:r w:rsidRPr="00B22BCB">
        <w:t xml:space="preserve"> Economic </w:t>
      </w:r>
      <w:r w:rsidR="003A04E1">
        <w:t>e</w:t>
      </w:r>
      <w:r w:rsidRPr="00B22BCB">
        <w:t xml:space="preserve">valuation of </w:t>
      </w:r>
      <w:r w:rsidR="00337BFF" w:rsidRPr="00B22BCB">
        <w:t>asciminib</w:t>
      </w:r>
      <w:r w:rsidRPr="00B22BCB">
        <w:t xml:space="preserve"> vs ponatinib</w:t>
      </w:r>
    </w:p>
    <w:tbl>
      <w:tblPr>
        <w:tblStyle w:val="Summarybox1"/>
        <w:tblW w:w="5028" w:type="pct"/>
        <w:tblLayout w:type="fixed"/>
        <w:tblLook w:val="04A0" w:firstRow="1" w:lastRow="0" w:firstColumn="1" w:lastColumn="0" w:noHBand="0" w:noVBand="1"/>
      </w:tblPr>
      <w:tblGrid>
        <w:gridCol w:w="2969"/>
        <w:gridCol w:w="1277"/>
        <w:gridCol w:w="1137"/>
        <w:gridCol w:w="1416"/>
        <w:gridCol w:w="1133"/>
        <w:gridCol w:w="1135"/>
      </w:tblGrid>
      <w:tr w:rsidR="00CE0961" w:rsidRPr="002B4570" w14:paraId="23E47C36" w14:textId="77777777" w:rsidTr="00CE0961">
        <w:tc>
          <w:tcPr>
            <w:tcW w:w="1637" w:type="pct"/>
            <w:shd w:val="clear" w:color="auto" w:fill="auto"/>
            <w:vAlign w:val="center"/>
          </w:tcPr>
          <w:p w14:paraId="679053C2" w14:textId="77777777" w:rsidR="0025592B" w:rsidRPr="002B4570" w:rsidRDefault="0025592B" w:rsidP="00394B6E">
            <w:pPr>
              <w:pStyle w:val="TableText0"/>
              <w:rPr>
                <w:sz w:val="20"/>
                <w:szCs w:val="20"/>
              </w:rPr>
            </w:pPr>
            <w:bookmarkStart w:id="57" w:name="_Hlk104279683"/>
          </w:p>
        </w:tc>
        <w:tc>
          <w:tcPr>
            <w:tcW w:w="704" w:type="pct"/>
            <w:shd w:val="clear" w:color="auto" w:fill="auto"/>
            <w:vAlign w:val="center"/>
          </w:tcPr>
          <w:p w14:paraId="26EA2F91" w14:textId="77777777" w:rsidR="0025592B" w:rsidRPr="00733970" w:rsidRDefault="0025592B" w:rsidP="00394B6E">
            <w:pPr>
              <w:pStyle w:val="TableText0"/>
              <w:rPr>
                <w:b/>
                <w:bCs w:val="0"/>
                <w:color w:val="000000"/>
                <w:sz w:val="20"/>
                <w:szCs w:val="20"/>
              </w:rPr>
            </w:pPr>
            <w:r w:rsidRPr="00733970">
              <w:rPr>
                <w:b/>
                <w:bCs w:val="0"/>
                <w:color w:val="000000"/>
                <w:sz w:val="20"/>
                <w:szCs w:val="20"/>
              </w:rPr>
              <w:t xml:space="preserve">Asciminib </w:t>
            </w:r>
          </w:p>
          <w:p w14:paraId="012F8B59" w14:textId="77777777" w:rsidR="0025592B" w:rsidRPr="00733970" w:rsidRDefault="0025592B" w:rsidP="00394B6E">
            <w:pPr>
              <w:pStyle w:val="TableText0"/>
              <w:rPr>
                <w:b/>
                <w:bCs w:val="0"/>
                <w:sz w:val="20"/>
                <w:szCs w:val="20"/>
              </w:rPr>
            </w:pPr>
            <w:r w:rsidRPr="00733970">
              <w:rPr>
                <w:b/>
                <w:bCs w:val="0"/>
                <w:color w:val="000000"/>
                <w:sz w:val="20"/>
                <w:szCs w:val="20"/>
              </w:rPr>
              <w:t>60 x 40 mg</w:t>
            </w:r>
          </w:p>
        </w:tc>
        <w:tc>
          <w:tcPr>
            <w:tcW w:w="626" w:type="pct"/>
            <w:shd w:val="clear" w:color="auto" w:fill="auto"/>
            <w:vAlign w:val="center"/>
          </w:tcPr>
          <w:p w14:paraId="18017541" w14:textId="77777777" w:rsidR="0025592B" w:rsidRPr="002B4570" w:rsidRDefault="0025592B" w:rsidP="00394B6E">
            <w:pPr>
              <w:pStyle w:val="TableText0"/>
              <w:rPr>
                <w:b/>
                <w:bCs w:val="0"/>
                <w:color w:val="000000"/>
                <w:sz w:val="20"/>
                <w:szCs w:val="20"/>
              </w:rPr>
            </w:pPr>
            <w:r w:rsidRPr="002B4570">
              <w:rPr>
                <w:b/>
                <w:bCs w:val="0"/>
                <w:color w:val="000000"/>
                <w:sz w:val="20"/>
                <w:szCs w:val="20"/>
              </w:rPr>
              <w:t xml:space="preserve">Asciminib </w:t>
            </w:r>
          </w:p>
          <w:p w14:paraId="0AFC00A1" w14:textId="77777777" w:rsidR="0025592B" w:rsidRPr="002B4570" w:rsidRDefault="0025592B" w:rsidP="00394B6E">
            <w:pPr>
              <w:pStyle w:val="TableText0"/>
              <w:rPr>
                <w:b/>
                <w:bCs w:val="0"/>
                <w:sz w:val="20"/>
                <w:szCs w:val="20"/>
              </w:rPr>
            </w:pPr>
            <w:r w:rsidRPr="002B4570">
              <w:rPr>
                <w:b/>
                <w:bCs w:val="0"/>
                <w:color w:val="000000"/>
                <w:sz w:val="20"/>
                <w:szCs w:val="20"/>
              </w:rPr>
              <w:t>60 x 20 mg</w:t>
            </w:r>
          </w:p>
        </w:tc>
        <w:tc>
          <w:tcPr>
            <w:tcW w:w="781" w:type="pct"/>
            <w:shd w:val="clear" w:color="auto" w:fill="auto"/>
            <w:vAlign w:val="center"/>
          </w:tcPr>
          <w:p w14:paraId="00B0E072" w14:textId="77777777" w:rsidR="0025592B" w:rsidRPr="002B4570" w:rsidRDefault="0025592B" w:rsidP="00394B6E">
            <w:pPr>
              <w:pStyle w:val="TableText0"/>
              <w:rPr>
                <w:b/>
                <w:bCs w:val="0"/>
                <w:sz w:val="20"/>
                <w:szCs w:val="20"/>
              </w:rPr>
            </w:pPr>
            <w:r w:rsidRPr="002B4570">
              <w:rPr>
                <w:b/>
                <w:bCs w:val="0"/>
                <w:sz w:val="20"/>
                <w:szCs w:val="20"/>
              </w:rPr>
              <w:t xml:space="preserve">Ponatinib </w:t>
            </w:r>
          </w:p>
          <w:p w14:paraId="1C9F16DF" w14:textId="77777777" w:rsidR="0025592B" w:rsidRPr="002B4570" w:rsidRDefault="0025592B" w:rsidP="00394B6E">
            <w:pPr>
              <w:pStyle w:val="TableText0"/>
              <w:rPr>
                <w:b/>
                <w:bCs w:val="0"/>
                <w:sz w:val="20"/>
                <w:szCs w:val="20"/>
              </w:rPr>
            </w:pPr>
            <w:r w:rsidRPr="002B4570">
              <w:rPr>
                <w:b/>
                <w:bCs w:val="0"/>
                <w:sz w:val="20"/>
                <w:szCs w:val="20"/>
              </w:rPr>
              <w:t>60 x 15 mg</w:t>
            </w:r>
          </w:p>
        </w:tc>
        <w:tc>
          <w:tcPr>
            <w:tcW w:w="625" w:type="pct"/>
            <w:shd w:val="clear" w:color="auto" w:fill="auto"/>
            <w:vAlign w:val="center"/>
          </w:tcPr>
          <w:p w14:paraId="1E3D339B" w14:textId="77777777" w:rsidR="0025592B" w:rsidRPr="002B4570" w:rsidRDefault="0025592B" w:rsidP="00394B6E">
            <w:pPr>
              <w:pStyle w:val="TableText0"/>
              <w:rPr>
                <w:b/>
                <w:bCs w:val="0"/>
                <w:sz w:val="20"/>
                <w:szCs w:val="20"/>
              </w:rPr>
            </w:pPr>
            <w:r w:rsidRPr="002B4570">
              <w:rPr>
                <w:b/>
                <w:bCs w:val="0"/>
                <w:sz w:val="20"/>
                <w:szCs w:val="20"/>
              </w:rPr>
              <w:t>Ponatinib</w:t>
            </w:r>
          </w:p>
          <w:p w14:paraId="2CF18CB0" w14:textId="77777777" w:rsidR="0025592B" w:rsidRPr="002B4570" w:rsidRDefault="0025592B" w:rsidP="00394B6E">
            <w:pPr>
              <w:pStyle w:val="TableText0"/>
              <w:rPr>
                <w:b/>
                <w:bCs w:val="0"/>
                <w:sz w:val="20"/>
                <w:szCs w:val="20"/>
              </w:rPr>
            </w:pPr>
            <w:r w:rsidRPr="002B4570">
              <w:rPr>
                <w:b/>
                <w:bCs w:val="0"/>
                <w:sz w:val="20"/>
                <w:szCs w:val="20"/>
              </w:rPr>
              <w:t>30 x 45 mg</w:t>
            </w:r>
          </w:p>
        </w:tc>
        <w:tc>
          <w:tcPr>
            <w:tcW w:w="626" w:type="pct"/>
            <w:shd w:val="clear" w:color="auto" w:fill="auto"/>
            <w:vAlign w:val="center"/>
          </w:tcPr>
          <w:p w14:paraId="49AF0B70" w14:textId="77777777" w:rsidR="0025592B" w:rsidRPr="002B4570" w:rsidRDefault="0025592B" w:rsidP="00394B6E">
            <w:pPr>
              <w:pStyle w:val="TableText0"/>
              <w:rPr>
                <w:b/>
                <w:bCs w:val="0"/>
                <w:sz w:val="20"/>
                <w:szCs w:val="20"/>
              </w:rPr>
            </w:pPr>
          </w:p>
          <w:p w14:paraId="5B5696CF" w14:textId="3E99E88F" w:rsidR="0025592B" w:rsidRPr="002B4570" w:rsidRDefault="0025592B" w:rsidP="00394B6E">
            <w:pPr>
              <w:pStyle w:val="TableText0"/>
              <w:rPr>
                <w:b/>
                <w:bCs w:val="0"/>
                <w:sz w:val="20"/>
                <w:szCs w:val="20"/>
              </w:rPr>
            </w:pPr>
            <w:r w:rsidRPr="002B4570">
              <w:rPr>
                <w:b/>
                <w:bCs w:val="0"/>
                <w:sz w:val="20"/>
                <w:szCs w:val="20"/>
              </w:rPr>
              <w:t>Increment</w:t>
            </w:r>
          </w:p>
        </w:tc>
      </w:tr>
      <w:tr w:rsidR="0025592B" w:rsidRPr="002B4570" w14:paraId="6BB40E3D" w14:textId="77777777" w:rsidTr="00CE0961">
        <w:tc>
          <w:tcPr>
            <w:tcW w:w="5000" w:type="pct"/>
            <w:gridSpan w:val="6"/>
            <w:shd w:val="clear" w:color="auto" w:fill="auto"/>
            <w:vAlign w:val="center"/>
          </w:tcPr>
          <w:p w14:paraId="0F7DE482" w14:textId="77777777" w:rsidR="0025592B" w:rsidRPr="00733970" w:rsidRDefault="0025592B" w:rsidP="00394B6E">
            <w:pPr>
              <w:pStyle w:val="TableText0"/>
              <w:rPr>
                <w:b/>
                <w:bCs w:val="0"/>
                <w:sz w:val="20"/>
                <w:szCs w:val="20"/>
              </w:rPr>
            </w:pPr>
            <w:r w:rsidRPr="00733970">
              <w:rPr>
                <w:b/>
                <w:bCs w:val="0"/>
                <w:sz w:val="20"/>
                <w:szCs w:val="20"/>
              </w:rPr>
              <w:t>Medicines</w:t>
            </w:r>
          </w:p>
        </w:tc>
      </w:tr>
      <w:tr w:rsidR="00CE0961" w:rsidRPr="002B4570" w14:paraId="4B214F21" w14:textId="77777777" w:rsidTr="00CE0961">
        <w:tc>
          <w:tcPr>
            <w:tcW w:w="1637" w:type="pct"/>
            <w:shd w:val="clear" w:color="auto" w:fill="auto"/>
            <w:vAlign w:val="center"/>
          </w:tcPr>
          <w:p w14:paraId="75933125" w14:textId="77777777" w:rsidR="0025592B" w:rsidRPr="002B4570" w:rsidRDefault="0025592B" w:rsidP="00394B6E">
            <w:pPr>
              <w:pStyle w:val="TableText0"/>
              <w:rPr>
                <w:color w:val="000000"/>
                <w:sz w:val="20"/>
                <w:szCs w:val="20"/>
              </w:rPr>
            </w:pPr>
            <w:r w:rsidRPr="002B4570">
              <w:rPr>
                <w:color w:val="000000"/>
                <w:sz w:val="20"/>
                <w:szCs w:val="20"/>
              </w:rPr>
              <w:t>Days of treatment</w:t>
            </w:r>
          </w:p>
        </w:tc>
        <w:tc>
          <w:tcPr>
            <w:tcW w:w="1331" w:type="pct"/>
            <w:gridSpan w:val="2"/>
            <w:shd w:val="clear" w:color="auto" w:fill="auto"/>
            <w:vAlign w:val="center"/>
          </w:tcPr>
          <w:p w14:paraId="2AD1435E" w14:textId="77777777" w:rsidR="0025592B" w:rsidRPr="00733970" w:rsidRDefault="0025592B" w:rsidP="00394B6E">
            <w:pPr>
              <w:pStyle w:val="TableText0"/>
              <w:rPr>
                <w:color w:val="000000"/>
                <w:sz w:val="20"/>
                <w:szCs w:val="20"/>
              </w:rPr>
            </w:pPr>
            <w:r w:rsidRPr="00733970">
              <w:rPr>
                <w:color w:val="000000"/>
                <w:sz w:val="20"/>
                <w:szCs w:val="20"/>
              </w:rPr>
              <w:t>730.50</w:t>
            </w:r>
          </w:p>
        </w:tc>
        <w:tc>
          <w:tcPr>
            <w:tcW w:w="1406" w:type="pct"/>
            <w:gridSpan w:val="2"/>
            <w:shd w:val="clear" w:color="auto" w:fill="auto"/>
            <w:vAlign w:val="center"/>
          </w:tcPr>
          <w:p w14:paraId="3912286B" w14:textId="77777777" w:rsidR="0025592B" w:rsidRPr="002B4570" w:rsidRDefault="0025592B" w:rsidP="00394B6E">
            <w:pPr>
              <w:pStyle w:val="TableText0"/>
              <w:rPr>
                <w:color w:val="000000"/>
                <w:sz w:val="20"/>
                <w:szCs w:val="20"/>
              </w:rPr>
            </w:pPr>
            <w:r w:rsidRPr="002B4570">
              <w:rPr>
                <w:color w:val="000000"/>
                <w:sz w:val="20"/>
                <w:szCs w:val="20"/>
              </w:rPr>
              <w:t>730.50</w:t>
            </w:r>
          </w:p>
        </w:tc>
        <w:tc>
          <w:tcPr>
            <w:tcW w:w="626" w:type="pct"/>
            <w:shd w:val="clear" w:color="auto" w:fill="auto"/>
            <w:vAlign w:val="center"/>
          </w:tcPr>
          <w:p w14:paraId="08A55E5A" w14:textId="77777777" w:rsidR="0025592B" w:rsidRPr="002B4570" w:rsidRDefault="0025592B" w:rsidP="00394B6E">
            <w:pPr>
              <w:pStyle w:val="TableText0"/>
              <w:rPr>
                <w:color w:val="000000"/>
                <w:sz w:val="20"/>
                <w:szCs w:val="20"/>
              </w:rPr>
            </w:pPr>
            <w:r w:rsidRPr="002B4570">
              <w:rPr>
                <w:color w:val="000000"/>
                <w:sz w:val="20"/>
                <w:szCs w:val="20"/>
              </w:rPr>
              <w:t>-</w:t>
            </w:r>
          </w:p>
        </w:tc>
      </w:tr>
      <w:tr w:rsidR="00CE0961" w:rsidRPr="002B4570" w14:paraId="5F82543E" w14:textId="77777777" w:rsidTr="00464105">
        <w:tc>
          <w:tcPr>
            <w:tcW w:w="1637" w:type="pct"/>
            <w:shd w:val="clear" w:color="auto" w:fill="auto"/>
            <w:vAlign w:val="center"/>
          </w:tcPr>
          <w:p w14:paraId="57E573D0" w14:textId="77777777" w:rsidR="0025592B" w:rsidRPr="002B4570" w:rsidRDefault="0025592B" w:rsidP="00394B6E">
            <w:pPr>
              <w:pStyle w:val="TableText0"/>
              <w:rPr>
                <w:color w:val="000000"/>
                <w:sz w:val="20"/>
                <w:szCs w:val="20"/>
              </w:rPr>
            </w:pPr>
            <w:r w:rsidRPr="002B4570">
              <w:rPr>
                <w:color w:val="000000"/>
                <w:sz w:val="20"/>
                <w:szCs w:val="20"/>
              </w:rPr>
              <w:t>Prescriptions</w:t>
            </w:r>
          </w:p>
        </w:tc>
        <w:tc>
          <w:tcPr>
            <w:tcW w:w="704" w:type="pct"/>
            <w:tcBorders>
              <w:bottom w:val="single" w:sz="4" w:space="0" w:color="auto"/>
            </w:tcBorders>
            <w:shd w:val="solid" w:color="000000" w:fill="000000"/>
            <w:vAlign w:val="center"/>
          </w:tcPr>
          <w:p w14:paraId="1898CFB3" w14:textId="04CF1E3A" w:rsidR="0025592B" w:rsidRPr="0058660F" w:rsidRDefault="00464105" w:rsidP="00394B6E">
            <w:pPr>
              <w:pStyle w:val="TableText0"/>
              <w:rPr>
                <w:color w:val="000000"/>
                <w:sz w:val="20"/>
                <w:szCs w:val="20"/>
              </w:rPr>
            </w:pPr>
            <w:r w:rsidRPr="00464105">
              <w:rPr>
                <w:rFonts w:cs="Calibri"/>
                <w:color w:val="000000"/>
                <w:spacing w:val="49"/>
                <w:sz w:val="20"/>
                <w:szCs w:val="20"/>
                <w:fitText w:val="319" w:id="-1435289597"/>
                <w14:textFill>
                  <w14:solidFill>
                    <w14:srgbClr w14:val="000000">
                      <w14:alpha w14:val="100000"/>
                    </w14:srgbClr>
                  </w14:solidFill>
                </w14:textFill>
              </w:rPr>
              <w:t>|||</w:t>
            </w:r>
            <w:r w:rsidRPr="00464105">
              <w:rPr>
                <w:rFonts w:cs="Calibri"/>
                <w:color w:val="000000"/>
                <w:spacing w:val="2"/>
                <w:sz w:val="20"/>
                <w:szCs w:val="20"/>
                <w:fitText w:val="319" w:id="-1435289597"/>
                <w14:textFill>
                  <w14:solidFill>
                    <w14:srgbClr w14:val="000000">
                      <w14:alpha w14:val="100000"/>
                    </w14:srgbClr>
                  </w14:solidFill>
                </w14:textFill>
              </w:rPr>
              <w:t>|</w:t>
            </w:r>
          </w:p>
        </w:tc>
        <w:tc>
          <w:tcPr>
            <w:tcW w:w="626" w:type="pct"/>
            <w:tcBorders>
              <w:bottom w:val="single" w:sz="4" w:space="0" w:color="auto"/>
            </w:tcBorders>
            <w:shd w:val="solid" w:color="000000" w:fill="000000"/>
            <w:vAlign w:val="center"/>
          </w:tcPr>
          <w:p w14:paraId="3964D766" w14:textId="417D2B7B" w:rsidR="0025592B" w:rsidRPr="0058660F" w:rsidRDefault="00464105" w:rsidP="00394B6E">
            <w:pPr>
              <w:pStyle w:val="TableText0"/>
              <w:rPr>
                <w:color w:val="000000"/>
                <w:sz w:val="20"/>
                <w:szCs w:val="20"/>
              </w:rPr>
            </w:pPr>
            <w:r w:rsidRPr="00464105">
              <w:rPr>
                <w:rFonts w:cs="Calibri"/>
                <w:color w:val="000000"/>
                <w:spacing w:val="49"/>
                <w:sz w:val="20"/>
                <w:szCs w:val="20"/>
                <w:fitText w:val="227" w:id="-1435289596"/>
                <w14:textFill>
                  <w14:solidFill>
                    <w14:srgbClr w14:val="000000">
                      <w14:alpha w14:val="100000"/>
                    </w14:srgbClr>
                  </w14:solidFill>
                </w14:textFill>
              </w:rPr>
              <w:t>||</w:t>
            </w:r>
            <w:r w:rsidRPr="00464105">
              <w:rPr>
                <w:rFonts w:cs="Calibri"/>
                <w:color w:val="000000"/>
                <w:spacing w:val="2"/>
                <w:sz w:val="20"/>
                <w:szCs w:val="20"/>
                <w:fitText w:val="227" w:id="-1435289596"/>
                <w14:textFill>
                  <w14:solidFill>
                    <w14:srgbClr w14:val="000000">
                      <w14:alpha w14:val="100000"/>
                    </w14:srgbClr>
                  </w14:solidFill>
                </w14:textFill>
              </w:rPr>
              <w:t>|</w:t>
            </w:r>
          </w:p>
        </w:tc>
        <w:tc>
          <w:tcPr>
            <w:tcW w:w="781" w:type="pct"/>
            <w:shd w:val="clear" w:color="auto" w:fill="auto"/>
            <w:vAlign w:val="center"/>
          </w:tcPr>
          <w:p w14:paraId="6CA847EF" w14:textId="77777777" w:rsidR="0025592B" w:rsidRPr="0058660F" w:rsidRDefault="0025592B" w:rsidP="00394B6E">
            <w:pPr>
              <w:pStyle w:val="TableText0"/>
              <w:rPr>
                <w:color w:val="000000"/>
                <w:sz w:val="20"/>
                <w:szCs w:val="20"/>
              </w:rPr>
            </w:pPr>
            <w:r w:rsidRPr="0058660F">
              <w:rPr>
                <w:rFonts w:cs="Calibri"/>
                <w:color w:val="000000"/>
                <w:sz w:val="20"/>
                <w:szCs w:val="20"/>
              </w:rPr>
              <w:t>24.03</w:t>
            </w:r>
          </w:p>
        </w:tc>
        <w:tc>
          <w:tcPr>
            <w:tcW w:w="625" w:type="pct"/>
            <w:shd w:val="clear" w:color="auto" w:fill="auto"/>
            <w:vAlign w:val="center"/>
          </w:tcPr>
          <w:p w14:paraId="0EDC7A89" w14:textId="77777777" w:rsidR="0025592B" w:rsidRPr="0058660F" w:rsidRDefault="0025592B" w:rsidP="00394B6E">
            <w:pPr>
              <w:pStyle w:val="TableText0"/>
              <w:rPr>
                <w:color w:val="000000"/>
                <w:sz w:val="20"/>
                <w:szCs w:val="20"/>
              </w:rPr>
            </w:pPr>
            <w:r w:rsidRPr="0058660F">
              <w:rPr>
                <w:rFonts w:cs="Calibri"/>
                <w:color w:val="000000"/>
                <w:sz w:val="20"/>
                <w:szCs w:val="20"/>
              </w:rPr>
              <w:t>0.32</w:t>
            </w:r>
          </w:p>
        </w:tc>
        <w:tc>
          <w:tcPr>
            <w:tcW w:w="626" w:type="pct"/>
            <w:shd w:val="clear" w:color="auto" w:fill="auto"/>
            <w:vAlign w:val="center"/>
          </w:tcPr>
          <w:p w14:paraId="3B55A406" w14:textId="77777777" w:rsidR="0025592B" w:rsidRPr="00A42753" w:rsidRDefault="0025592B" w:rsidP="00394B6E">
            <w:pPr>
              <w:pStyle w:val="TableText0"/>
              <w:rPr>
                <w:color w:val="000000"/>
                <w:sz w:val="20"/>
                <w:szCs w:val="20"/>
                <w:highlight w:val="yellow"/>
              </w:rPr>
            </w:pPr>
            <w:r w:rsidRPr="00B65441">
              <w:rPr>
                <w:color w:val="000000"/>
                <w:sz w:val="20"/>
                <w:szCs w:val="20"/>
              </w:rPr>
              <w:t>-</w:t>
            </w:r>
          </w:p>
        </w:tc>
      </w:tr>
      <w:tr w:rsidR="00CE0961" w:rsidRPr="002B4570" w14:paraId="183DA397" w14:textId="77777777" w:rsidTr="00464105">
        <w:tc>
          <w:tcPr>
            <w:tcW w:w="1637" w:type="pct"/>
            <w:shd w:val="clear" w:color="auto" w:fill="auto"/>
            <w:vAlign w:val="center"/>
          </w:tcPr>
          <w:p w14:paraId="25E6B51A" w14:textId="13ABDED5" w:rsidR="0025592B" w:rsidRPr="002B4570" w:rsidRDefault="0025592B" w:rsidP="00394B6E">
            <w:pPr>
              <w:pStyle w:val="TableText0"/>
              <w:rPr>
                <w:color w:val="000000"/>
                <w:sz w:val="20"/>
                <w:szCs w:val="20"/>
              </w:rPr>
            </w:pPr>
            <w:r w:rsidRPr="002B4570">
              <w:rPr>
                <w:color w:val="000000"/>
                <w:sz w:val="20"/>
                <w:szCs w:val="20"/>
              </w:rPr>
              <w:t>Prescriptions</w:t>
            </w:r>
            <w:r w:rsidR="00452502">
              <w:rPr>
                <w:color w:val="000000"/>
                <w:sz w:val="20"/>
                <w:szCs w:val="20"/>
              </w:rPr>
              <w:t xml:space="preserve"> revised</w:t>
            </w:r>
          </w:p>
        </w:tc>
        <w:tc>
          <w:tcPr>
            <w:tcW w:w="704" w:type="pct"/>
            <w:shd w:val="solid" w:color="000000" w:fill="000000"/>
            <w:vAlign w:val="center"/>
          </w:tcPr>
          <w:p w14:paraId="1EBE7379" w14:textId="2A1EE479" w:rsidR="0025592B" w:rsidRPr="0058660F" w:rsidRDefault="00464105" w:rsidP="00394B6E">
            <w:pPr>
              <w:pStyle w:val="TableText0"/>
              <w:rPr>
                <w:rFonts w:cs="Calibri"/>
                <w:color w:val="000000"/>
                <w:sz w:val="20"/>
                <w:szCs w:val="20"/>
              </w:rPr>
            </w:pPr>
            <w:r w:rsidRPr="00464105">
              <w:rPr>
                <w:rFonts w:cs="Calibri"/>
                <w:color w:val="000000"/>
                <w:spacing w:val="49"/>
                <w:sz w:val="20"/>
                <w:szCs w:val="20"/>
                <w:fitText w:val="319" w:id="-1435289599"/>
                <w14:textFill>
                  <w14:solidFill>
                    <w14:srgbClr w14:val="000000">
                      <w14:alpha w14:val="100000"/>
                    </w14:srgbClr>
                  </w14:solidFill>
                </w14:textFill>
              </w:rPr>
              <w:t>|||</w:t>
            </w:r>
            <w:r w:rsidRPr="00464105">
              <w:rPr>
                <w:rFonts w:cs="Calibri"/>
                <w:color w:val="000000"/>
                <w:spacing w:val="2"/>
                <w:sz w:val="20"/>
                <w:szCs w:val="20"/>
                <w:fitText w:val="319" w:id="-1435289599"/>
                <w14:textFill>
                  <w14:solidFill>
                    <w14:srgbClr w14:val="000000">
                      <w14:alpha w14:val="100000"/>
                    </w14:srgbClr>
                  </w14:solidFill>
                </w14:textFill>
              </w:rPr>
              <w:t>|</w:t>
            </w:r>
          </w:p>
        </w:tc>
        <w:tc>
          <w:tcPr>
            <w:tcW w:w="626" w:type="pct"/>
            <w:shd w:val="solid" w:color="000000" w:fill="000000"/>
            <w:vAlign w:val="center"/>
          </w:tcPr>
          <w:p w14:paraId="0B60B84F" w14:textId="378E0E27" w:rsidR="0025592B" w:rsidRPr="0058660F" w:rsidRDefault="00464105" w:rsidP="00394B6E">
            <w:pPr>
              <w:pStyle w:val="TableText0"/>
              <w:rPr>
                <w:rFonts w:cs="Calibri"/>
                <w:color w:val="000000"/>
                <w:sz w:val="20"/>
                <w:szCs w:val="20"/>
              </w:rPr>
            </w:pPr>
            <w:r w:rsidRPr="00464105">
              <w:rPr>
                <w:rFonts w:cs="Calibri"/>
                <w:color w:val="000000"/>
                <w:spacing w:val="49"/>
                <w:sz w:val="20"/>
                <w:szCs w:val="20"/>
                <w:fitText w:val="227" w:id="-1435289595"/>
                <w14:textFill>
                  <w14:solidFill>
                    <w14:srgbClr w14:val="000000">
                      <w14:alpha w14:val="100000"/>
                    </w14:srgbClr>
                  </w14:solidFill>
                </w14:textFill>
              </w:rPr>
              <w:t>||</w:t>
            </w:r>
            <w:r w:rsidRPr="00464105">
              <w:rPr>
                <w:rFonts w:cs="Calibri"/>
                <w:color w:val="000000"/>
                <w:spacing w:val="2"/>
                <w:sz w:val="20"/>
                <w:szCs w:val="20"/>
                <w:fitText w:val="227" w:id="-1435289595"/>
                <w14:textFill>
                  <w14:solidFill>
                    <w14:srgbClr w14:val="000000">
                      <w14:alpha w14:val="100000"/>
                    </w14:srgbClr>
                  </w14:solidFill>
                </w14:textFill>
              </w:rPr>
              <w:t>|</w:t>
            </w:r>
          </w:p>
        </w:tc>
        <w:tc>
          <w:tcPr>
            <w:tcW w:w="781" w:type="pct"/>
            <w:shd w:val="clear" w:color="auto" w:fill="auto"/>
            <w:vAlign w:val="center"/>
          </w:tcPr>
          <w:p w14:paraId="188B6FE4" w14:textId="77777777" w:rsidR="0025592B" w:rsidRPr="0058660F" w:rsidRDefault="0025592B" w:rsidP="00394B6E">
            <w:pPr>
              <w:pStyle w:val="TableText0"/>
              <w:rPr>
                <w:rFonts w:cs="Calibri"/>
                <w:color w:val="000000"/>
                <w:sz w:val="20"/>
                <w:szCs w:val="20"/>
              </w:rPr>
            </w:pPr>
            <w:r w:rsidRPr="0058660F">
              <w:rPr>
                <w:rFonts w:cs="Calibri"/>
                <w:color w:val="000000"/>
                <w:sz w:val="20"/>
                <w:szCs w:val="20"/>
              </w:rPr>
              <w:t>24.28</w:t>
            </w:r>
          </w:p>
        </w:tc>
        <w:tc>
          <w:tcPr>
            <w:tcW w:w="625" w:type="pct"/>
            <w:shd w:val="clear" w:color="auto" w:fill="auto"/>
            <w:vAlign w:val="center"/>
          </w:tcPr>
          <w:p w14:paraId="3850325B" w14:textId="77777777" w:rsidR="0025592B" w:rsidRPr="0058660F" w:rsidRDefault="0025592B" w:rsidP="00394B6E">
            <w:pPr>
              <w:pStyle w:val="TableText0"/>
              <w:rPr>
                <w:rFonts w:cs="Calibri"/>
                <w:color w:val="000000"/>
                <w:sz w:val="20"/>
                <w:szCs w:val="20"/>
              </w:rPr>
            </w:pPr>
            <w:r w:rsidRPr="0058660F">
              <w:rPr>
                <w:rFonts w:cs="Calibri"/>
                <w:color w:val="000000"/>
                <w:sz w:val="20"/>
                <w:szCs w:val="20"/>
              </w:rPr>
              <w:t>0.07</w:t>
            </w:r>
          </w:p>
        </w:tc>
        <w:tc>
          <w:tcPr>
            <w:tcW w:w="626" w:type="pct"/>
            <w:shd w:val="clear" w:color="auto" w:fill="auto"/>
            <w:vAlign w:val="center"/>
          </w:tcPr>
          <w:p w14:paraId="77A88D32" w14:textId="77777777" w:rsidR="0025592B" w:rsidRPr="00A42753" w:rsidRDefault="0025592B" w:rsidP="00394B6E">
            <w:pPr>
              <w:pStyle w:val="TableText0"/>
              <w:rPr>
                <w:color w:val="000000"/>
                <w:sz w:val="20"/>
                <w:szCs w:val="20"/>
                <w:highlight w:val="yellow"/>
              </w:rPr>
            </w:pPr>
          </w:p>
        </w:tc>
      </w:tr>
      <w:tr w:rsidR="00A951D7" w:rsidRPr="002B4570" w14:paraId="63D1DF17" w14:textId="77777777" w:rsidTr="00CE0961">
        <w:tc>
          <w:tcPr>
            <w:tcW w:w="1637" w:type="pct"/>
            <w:shd w:val="clear" w:color="auto" w:fill="auto"/>
          </w:tcPr>
          <w:p w14:paraId="60B72EEC" w14:textId="62FD8301" w:rsidR="00AB0389" w:rsidRPr="008B10EA" w:rsidRDefault="00AB0389" w:rsidP="00AB0389">
            <w:pPr>
              <w:pStyle w:val="TableText0"/>
              <w:rPr>
                <w:color w:val="000000"/>
                <w:sz w:val="20"/>
                <w:szCs w:val="20"/>
              </w:rPr>
            </w:pPr>
            <w:r w:rsidRPr="008B10EA">
              <w:rPr>
                <w:sz w:val="20"/>
                <w:szCs w:val="20"/>
              </w:rPr>
              <w:t>AEMP revised</w:t>
            </w:r>
            <w:r w:rsidR="00EF27B2" w:rsidRPr="008B10EA">
              <w:rPr>
                <w:sz w:val="20"/>
                <w:szCs w:val="20"/>
                <w:vertAlign w:val="superscript"/>
              </w:rPr>
              <w:t>a</w:t>
            </w:r>
            <w:r w:rsidRPr="008B10EA">
              <w:rPr>
                <w:sz w:val="20"/>
                <w:szCs w:val="20"/>
              </w:rPr>
              <w:t xml:space="preserve"> no C5.7</w:t>
            </w:r>
            <w:r w:rsidR="00A951D7" w:rsidRPr="008B10EA">
              <w:rPr>
                <w:sz w:val="20"/>
                <w:szCs w:val="20"/>
                <w:vertAlign w:val="superscript"/>
              </w:rPr>
              <w:t>b</w:t>
            </w:r>
          </w:p>
        </w:tc>
        <w:tc>
          <w:tcPr>
            <w:tcW w:w="704" w:type="pct"/>
            <w:shd w:val="clear" w:color="auto" w:fill="auto"/>
            <w:vAlign w:val="center"/>
          </w:tcPr>
          <w:p w14:paraId="6E9004CC" w14:textId="578CD912" w:rsidR="00AB0389" w:rsidRPr="003938D3" w:rsidRDefault="00114511" w:rsidP="00AB0389">
            <w:pPr>
              <w:pStyle w:val="TableText0"/>
              <w:rPr>
                <w:rFonts w:cs="Calibri"/>
                <w:color w:val="000000"/>
                <w:sz w:val="20"/>
                <w:szCs w:val="20"/>
                <w:highlight w:val="yellow"/>
              </w:rPr>
            </w:pPr>
            <w:r w:rsidRPr="0058660F">
              <w:rPr>
                <w:rFonts w:cs="Calibri"/>
                <w:color w:val="000000"/>
                <w:sz w:val="20"/>
                <w:szCs w:val="20"/>
              </w:rPr>
              <w:t>$</w:t>
            </w:r>
            <w:r w:rsidR="00341457" w:rsidRPr="00341457">
              <w:rPr>
                <w:rFonts w:cs="Calibri"/>
                <w:color w:val="000000"/>
                <w:spacing w:val="50"/>
                <w:sz w:val="20"/>
                <w:szCs w:val="20"/>
                <w:shd w:val="solid" w:color="000000" w:fill="000000"/>
                <w:fitText w:val="325" w:id="-1436313081"/>
                <w14:textFill>
                  <w14:solidFill>
                    <w14:srgbClr w14:val="000000">
                      <w14:alpha w14:val="100000"/>
                    </w14:srgbClr>
                  </w14:solidFill>
                </w14:textFill>
              </w:rPr>
              <w:t>|||</w:t>
            </w:r>
            <w:r w:rsidR="00341457" w:rsidRPr="00341457">
              <w:rPr>
                <w:rFonts w:cs="Calibri"/>
                <w:color w:val="000000"/>
                <w:spacing w:val="13"/>
                <w:sz w:val="20"/>
                <w:szCs w:val="20"/>
                <w:shd w:val="solid" w:color="000000" w:fill="000000"/>
                <w:fitText w:val="325" w:id="-1436313081"/>
                <w14:textFill>
                  <w14:solidFill>
                    <w14:srgbClr w14:val="000000">
                      <w14:alpha w14:val="100000"/>
                    </w14:srgbClr>
                  </w14:solidFill>
                </w14:textFill>
              </w:rPr>
              <w:t>|</w:t>
            </w:r>
          </w:p>
        </w:tc>
        <w:tc>
          <w:tcPr>
            <w:tcW w:w="626" w:type="pct"/>
            <w:shd w:val="clear" w:color="auto" w:fill="auto"/>
            <w:vAlign w:val="center"/>
          </w:tcPr>
          <w:p w14:paraId="261509FC" w14:textId="346811D2" w:rsidR="00AB0389" w:rsidRPr="003938D3" w:rsidRDefault="00114511" w:rsidP="00AB0389">
            <w:pPr>
              <w:pStyle w:val="TableText0"/>
              <w:rPr>
                <w:rFonts w:cs="Calibri"/>
                <w:color w:val="000000"/>
                <w:sz w:val="20"/>
                <w:szCs w:val="20"/>
                <w:highlight w:val="yellow"/>
              </w:rPr>
            </w:pPr>
            <w:r w:rsidRPr="0058660F">
              <w:rPr>
                <w:rFonts w:cs="Calibri"/>
                <w:color w:val="000000"/>
                <w:sz w:val="20"/>
                <w:szCs w:val="20"/>
              </w:rPr>
              <w:t>$</w:t>
            </w:r>
            <w:r w:rsidR="00341457" w:rsidRPr="00341457">
              <w:rPr>
                <w:rFonts w:cs="Calibri"/>
                <w:color w:val="000000"/>
                <w:spacing w:val="50"/>
                <w:sz w:val="20"/>
                <w:szCs w:val="20"/>
                <w:shd w:val="solid" w:color="000000" w:fill="000000"/>
                <w:fitText w:val="325" w:id="-1436313080"/>
                <w14:textFill>
                  <w14:solidFill>
                    <w14:srgbClr w14:val="000000">
                      <w14:alpha w14:val="100000"/>
                    </w14:srgbClr>
                  </w14:solidFill>
                </w14:textFill>
              </w:rPr>
              <w:t>|||</w:t>
            </w:r>
            <w:r w:rsidR="00341457" w:rsidRPr="00341457">
              <w:rPr>
                <w:rFonts w:cs="Calibri"/>
                <w:color w:val="000000"/>
                <w:spacing w:val="13"/>
                <w:sz w:val="20"/>
                <w:szCs w:val="20"/>
                <w:shd w:val="solid" w:color="000000" w:fill="000000"/>
                <w:fitText w:val="325" w:id="-1436313080"/>
                <w14:textFill>
                  <w14:solidFill>
                    <w14:srgbClr w14:val="000000">
                      <w14:alpha w14:val="100000"/>
                    </w14:srgbClr>
                  </w14:solidFill>
                </w14:textFill>
              </w:rPr>
              <w:t>|</w:t>
            </w:r>
          </w:p>
        </w:tc>
        <w:tc>
          <w:tcPr>
            <w:tcW w:w="781" w:type="pct"/>
            <w:shd w:val="clear" w:color="auto" w:fill="auto"/>
            <w:vAlign w:val="center"/>
          </w:tcPr>
          <w:p w14:paraId="102CD667" w14:textId="707D073C" w:rsidR="00AB0389" w:rsidRPr="0058660F" w:rsidRDefault="00AB0389" w:rsidP="00AB0389">
            <w:pPr>
              <w:pStyle w:val="TableText0"/>
              <w:rPr>
                <w:rFonts w:cs="Calibri"/>
                <w:color w:val="000000"/>
                <w:sz w:val="20"/>
                <w:szCs w:val="20"/>
              </w:rPr>
            </w:pPr>
            <w:r w:rsidRPr="0058660F">
              <w:rPr>
                <w:rFonts w:cs="Calibri"/>
                <w:color w:val="000000"/>
                <w:sz w:val="20"/>
                <w:szCs w:val="20"/>
              </w:rPr>
              <w:t>$5,328.18</w:t>
            </w:r>
          </w:p>
        </w:tc>
        <w:tc>
          <w:tcPr>
            <w:tcW w:w="625" w:type="pct"/>
            <w:shd w:val="clear" w:color="auto" w:fill="auto"/>
            <w:vAlign w:val="center"/>
          </w:tcPr>
          <w:p w14:paraId="2329D655" w14:textId="078B82B6" w:rsidR="00AB0389" w:rsidRPr="0058660F" w:rsidRDefault="00AB0389" w:rsidP="00AB0389">
            <w:pPr>
              <w:pStyle w:val="TableText0"/>
              <w:rPr>
                <w:rFonts w:cs="Calibri"/>
                <w:color w:val="000000"/>
                <w:sz w:val="20"/>
                <w:szCs w:val="20"/>
              </w:rPr>
            </w:pPr>
            <w:r w:rsidRPr="0058660F">
              <w:rPr>
                <w:rFonts w:cs="Calibri"/>
                <w:color w:val="000000"/>
                <w:sz w:val="20"/>
                <w:szCs w:val="20"/>
              </w:rPr>
              <w:t>$6,011.65</w:t>
            </w:r>
          </w:p>
        </w:tc>
        <w:tc>
          <w:tcPr>
            <w:tcW w:w="626" w:type="pct"/>
            <w:shd w:val="clear" w:color="auto" w:fill="auto"/>
            <w:vAlign w:val="center"/>
          </w:tcPr>
          <w:p w14:paraId="1710351A" w14:textId="77777777" w:rsidR="00AB0389" w:rsidRPr="00A42753" w:rsidRDefault="00AB0389" w:rsidP="00AB0389">
            <w:pPr>
              <w:pStyle w:val="TableText0"/>
              <w:rPr>
                <w:color w:val="000000"/>
                <w:sz w:val="20"/>
                <w:szCs w:val="20"/>
                <w:highlight w:val="yellow"/>
              </w:rPr>
            </w:pPr>
          </w:p>
        </w:tc>
      </w:tr>
      <w:bookmarkEnd w:id="57"/>
      <w:tr w:rsidR="00A951D7" w:rsidRPr="002B4570" w14:paraId="65E44BD2" w14:textId="77777777" w:rsidTr="00CE0961">
        <w:tc>
          <w:tcPr>
            <w:tcW w:w="1637" w:type="pct"/>
            <w:shd w:val="clear" w:color="auto" w:fill="auto"/>
            <w:vAlign w:val="center"/>
          </w:tcPr>
          <w:p w14:paraId="31C62EE6" w14:textId="3297A78A" w:rsidR="00DC4432" w:rsidRPr="008B10EA" w:rsidRDefault="00DC4432" w:rsidP="00DC4432">
            <w:pPr>
              <w:pStyle w:val="TableText0"/>
              <w:rPr>
                <w:color w:val="000000"/>
                <w:szCs w:val="20"/>
              </w:rPr>
            </w:pPr>
            <w:r w:rsidRPr="008B10EA">
              <w:rPr>
                <w:color w:val="000000"/>
                <w:sz w:val="20"/>
                <w:szCs w:val="20"/>
              </w:rPr>
              <w:t>Cost of medicines revised</w:t>
            </w:r>
            <w:r w:rsidRPr="008B10EA">
              <w:rPr>
                <w:color w:val="000000"/>
                <w:sz w:val="20"/>
                <w:szCs w:val="20"/>
                <w:vertAlign w:val="superscript"/>
              </w:rPr>
              <w:t>a</w:t>
            </w:r>
            <w:r w:rsidRPr="008B10EA">
              <w:rPr>
                <w:color w:val="000000"/>
                <w:sz w:val="20"/>
                <w:szCs w:val="20"/>
              </w:rPr>
              <w:t xml:space="preserve"> no C5.7</w:t>
            </w:r>
            <w:r w:rsidR="00A951D7" w:rsidRPr="008B10EA">
              <w:rPr>
                <w:color w:val="000000"/>
                <w:sz w:val="20"/>
                <w:szCs w:val="20"/>
                <w:vertAlign w:val="superscript"/>
              </w:rPr>
              <w:t>b</w:t>
            </w:r>
          </w:p>
        </w:tc>
        <w:tc>
          <w:tcPr>
            <w:tcW w:w="704" w:type="pct"/>
            <w:shd w:val="clear" w:color="auto" w:fill="auto"/>
            <w:vAlign w:val="center"/>
          </w:tcPr>
          <w:p w14:paraId="1B01EF1F" w14:textId="397FE390" w:rsidR="00DC4432" w:rsidRPr="003938D3" w:rsidRDefault="00DC4432" w:rsidP="00DC4432">
            <w:pPr>
              <w:pStyle w:val="TableText0"/>
              <w:rPr>
                <w:rFonts w:cs="Calibri"/>
                <w:color w:val="000000"/>
                <w:szCs w:val="20"/>
                <w:highlight w:val="yellow"/>
              </w:rPr>
            </w:pPr>
            <w:r w:rsidRPr="0058660F">
              <w:rPr>
                <w:rFonts w:cs="Calibri"/>
                <w:color w:val="000000"/>
                <w:sz w:val="20"/>
                <w:szCs w:val="20"/>
              </w:rPr>
              <w:t>$</w:t>
            </w:r>
            <w:r w:rsidR="00341457" w:rsidRPr="00341457">
              <w:rPr>
                <w:rFonts w:cs="Calibri"/>
                <w:color w:val="000000"/>
                <w:spacing w:val="50"/>
                <w:sz w:val="20"/>
                <w:szCs w:val="20"/>
                <w:shd w:val="solid" w:color="000000" w:fill="000000"/>
                <w:fitText w:val="325" w:id="-1436313079"/>
                <w14:textFill>
                  <w14:solidFill>
                    <w14:srgbClr w14:val="000000">
                      <w14:alpha w14:val="100000"/>
                    </w14:srgbClr>
                  </w14:solidFill>
                </w14:textFill>
              </w:rPr>
              <w:t>|||</w:t>
            </w:r>
            <w:r w:rsidR="00341457" w:rsidRPr="00341457">
              <w:rPr>
                <w:rFonts w:cs="Calibri"/>
                <w:color w:val="000000"/>
                <w:spacing w:val="13"/>
                <w:sz w:val="20"/>
                <w:szCs w:val="20"/>
                <w:shd w:val="solid" w:color="000000" w:fill="000000"/>
                <w:fitText w:val="325" w:id="-1436313079"/>
                <w14:textFill>
                  <w14:solidFill>
                    <w14:srgbClr w14:val="000000">
                      <w14:alpha w14:val="100000"/>
                    </w14:srgbClr>
                  </w14:solidFill>
                </w14:textFill>
              </w:rPr>
              <w:t>|</w:t>
            </w:r>
          </w:p>
        </w:tc>
        <w:tc>
          <w:tcPr>
            <w:tcW w:w="626" w:type="pct"/>
            <w:shd w:val="clear" w:color="auto" w:fill="auto"/>
            <w:vAlign w:val="center"/>
          </w:tcPr>
          <w:p w14:paraId="343F2944" w14:textId="0CA03620" w:rsidR="00DC4432" w:rsidRPr="003938D3" w:rsidRDefault="00DC4432" w:rsidP="00DC4432">
            <w:pPr>
              <w:pStyle w:val="TableText0"/>
              <w:rPr>
                <w:rFonts w:cs="Calibri"/>
                <w:color w:val="000000"/>
                <w:szCs w:val="20"/>
                <w:highlight w:val="yellow"/>
              </w:rPr>
            </w:pPr>
            <w:r w:rsidRPr="0058660F">
              <w:rPr>
                <w:rFonts w:cs="Calibri"/>
                <w:color w:val="000000"/>
                <w:sz w:val="20"/>
                <w:szCs w:val="20"/>
              </w:rPr>
              <w:t>$</w:t>
            </w:r>
            <w:r w:rsidR="00341457" w:rsidRPr="00341457">
              <w:rPr>
                <w:rFonts w:cs="Calibri"/>
                <w:color w:val="000000"/>
                <w:spacing w:val="50"/>
                <w:sz w:val="20"/>
                <w:szCs w:val="20"/>
                <w:shd w:val="solid" w:color="000000" w:fill="000000"/>
                <w:fitText w:val="325" w:id="-1436313078"/>
                <w14:textFill>
                  <w14:solidFill>
                    <w14:srgbClr w14:val="000000">
                      <w14:alpha w14:val="100000"/>
                    </w14:srgbClr>
                  </w14:solidFill>
                </w14:textFill>
              </w:rPr>
              <w:t>|||</w:t>
            </w:r>
            <w:r w:rsidR="00341457" w:rsidRPr="00341457">
              <w:rPr>
                <w:rFonts w:cs="Calibri"/>
                <w:color w:val="000000"/>
                <w:spacing w:val="13"/>
                <w:sz w:val="20"/>
                <w:szCs w:val="20"/>
                <w:shd w:val="solid" w:color="000000" w:fill="000000"/>
                <w:fitText w:val="325" w:id="-1436313078"/>
                <w14:textFill>
                  <w14:solidFill>
                    <w14:srgbClr w14:val="000000">
                      <w14:alpha w14:val="100000"/>
                    </w14:srgbClr>
                  </w14:solidFill>
                </w14:textFill>
              </w:rPr>
              <w:t>|</w:t>
            </w:r>
          </w:p>
        </w:tc>
        <w:tc>
          <w:tcPr>
            <w:tcW w:w="781" w:type="pct"/>
            <w:shd w:val="clear" w:color="auto" w:fill="auto"/>
            <w:vAlign w:val="center"/>
          </w:tcPr>
          <w:p w14:paraId="761EE799" w14:textId="38160DC0" w:rsidR="00DC4432" w:rsidRPr="0058660F" w:rsidRDefault="00DC4432" w:rsidP="00DC4432">
            <w:pPr>
              <w:pStyle w:val="TableText0"/>
              <w:rPr>
                <w:rFonts w:cs="Calibri"/>
                <w:color w:val="000000"/>
                <w:szCs w:val="20"/>
              </w:rPr>
            </w:pPr>
            <w:r w:rsidRPr="0058660F">
              <w:rPr>
                <w:rFonts w:cs="Calibri"/>
                <w:color w:val="000000"/>
                <w:sz w:val="20"/>
                <w:szCs w:val="20"/>
              </w:rPr>
              <w:t>$129,351.96</w:t>
            </w:r>
          </w:p>
        </w:tc>
        <w:tc>
          <w:tcPr>
            <w:tcW w:w="625" w:type="pct"/>
            <w:shd w:val="clear" w:color="auto" w:fill="auto"/>
            <w:vAlign w:val="center"/>
          </w:tcPr>
          <w:p w14:paraId="1AA7C6E1" w14:textId="411A5FC8" w:rsidR="00DC4432" w:rsidRPr="0058660F" w:rsidRDefault="00DC4432" w:rsidP="00DC4432">
            <w:pPr>
              <w:pStyle w:val="TableText0"/>
              <w:rPr>
                <w:rFonts w:cs="Calibri"/>
                <w:color w:val="000000"/>
                <w:szCs w:val="20"/>
              </w:rPr>
            </w:pPr>
            <w:r w:rsidRPr="0058660F">
              <w:rPr>
                <w:rFonts w:cs="Calibri"/>
                <w:color w:val="000000"/>
                <w:sz w:val="20"/>
                <w:szCs w:val="20"/>
              </w:rPr>
              <w:t>$439.15</w:t>
            </w:r>
          </w:p>
        </w:tc>
        <w:tc>
          <w:tcPr>
            <w:tcW w:w="626" w:type="pct"/>
            <w:shd w:val="clear" w:color="auto" w:fill="auto"/>
            <w:vAlign w:val="center"/>
          </w:tcPr>
          <w:p w14:paraId="3185679A" w14:textId="6FF8E290" w:rsidR="00DC4432" w:rsidRPr="00A42753" w:rsidRDefault="00DC4432" w:rsidP="00DC4432">
            <w:pPr>
              <w:pStyle w:val="TableText0"/>
              <w:rPr>
                <w:rFonts w:cs="Calibri"/>
                <w:color w:val="000000"/>
                <w:szCs w:val="20"/>
                <w:highlight w:val="yellow"/>
              </w:rPr>
            </w:pPr>
            <w:r w:rsidRPr="0058660F">
              <w:rPr>
                <w:rFonts w:cs="Calibri"/>
                <w:color w:val="000000"/>
                <w:sz w:val="20"/>
                <w:szCs w:val="20"/>
              </w:rPr>
              <w:t>$</w:t>
            </w:r>
            <w:r w:rsidR="00341457" w:rsidRPr="00341457">
              <w:rPr>
                <w:rFonts w:cs="Calibri"/>
                <w:color w:val="000000"/>
                <w:spacing w:val="51"/>
                <w:sz w:val="20"/>
                <w:szCs w:val="20"/>
                <w:shd w:val="solid" w:color="000000" w:fill="000000"/>
                <w:fitText w:val="326" w:id="-1436313077"/>
                <w14:textFill>
                  <w14:solidFill>
                    <w14:srgbClr w14:val="000000">
                      <w14:alpha w14:val="100000"/>
                    </w14:srgbClr>
                  </w14:solidFill>
                </w14:textFill>
              </w:rPr>
              <w:t>|||</w:t>
            </w:r>
            <w:r w:rsidR="00341457" w:rsidRPr="00341457">
              <w:rPr>
                <w:rFonts w:cs="Calibri"/>
                <w:color w:val="000000"/>
                <w:spacing w:val="3"/>
                <w:sz w:val="20"/>
                <w:szCs w:val="20"/>
                <w:shd w:val="solid" w:color="000000" w:fill="000000"/>
                <w:fitText w:val="326" w:id="-1436313077"/>
                <w14:textFill>
                  <w14:solidFill>
                    <w14:srgbClr w14:val="000000">
                      <w14:alpha w14:val="100000"/>
                    </w14:srgbClr>
                  </w14:solidFill>
                </w14:textFill>
              </w:rPr>
              <w:t>|</w:t>
            </w:r>
          </w:p>
        </w:tc>
      </w:tr>
      <w:tr w:rsidR="00CE0961" w:rsidRPr="002B4570" w14:paraId="6877FB97" w14:textId="77777777" w:rsidTr="00CE0961">
        <w:tc>
          <w:tcPr>
            <w:tcW w:w="1637" w:type="pct"/>
            <w:shd w:val="clear" w:color="auto" w:fill="auto"/>
            <w:vAlign w:val="center"/>
          </w:tcPr>
          <w:p w14:paraId="0FCABDE6" w14:textId="7F031B5E" w:rsidR="009345E9" w:rsidRPr="008B10EA" w:rsidRDefault="009345E9" w:rsidP="00394B6E">
            <w:pPr>
              <w:pStyle w:val="TableText0"/>
              <w:rPr>
                <w:color w:val="000000"/>
                <w:szCs w:val="20"/>
              </w:rPr>
            </w:pPr>
            <w:r w:rsidRPr="008B10EA">
              <w:rPr>
                <w:color w:val="000000"/>
                <w:sz w:val="20"/>
                <w:szCs w:val="20"/>
              </w:rPr>
              <w:t>Total medicines revised</w:t>
            </w:r>
            <w:r w:rsidRPr="008B10EA">
              <w:rPr>
                <w:color w:val="000000"/>
                <w:sz w:val="20"/>
                <w:szCs w:val="20"/>
                <w:vertAlign w:val="superscript"/>
              </w:rPr>
              <w:t>a</w:t>
            </w:r>
            <w:r w:rsidRPr="008B10EA">
              <w:rPr>
                <w:color w:val="000000"/>
                <w:sz w:val="20"/>
                <w:szCs w:val="20"/>
              </w:rPr>
              <w:t xml:space="preserve"> no C5.7</w:t>
            </w:r>
            <w:r w:rsidR="00A951D7" w:rsidRPr="008B10EA">
              <w:rPr>
                <w:color w:val="000000"/>
                <w:sz w:val="20"/>
                <w:szCs w:val="20"/>
                <w:vertAlign w:val="superscript"/>
              </w:rPr>
              <w:t>b</w:t>
            </w:r>
          </w:p>
        </w:tc>
        <w:tc>
          <w:tcPr>
            <w:tcW w:w="1331" w:type="pct"/>
            <w:gridSpan w:val="2"/>
            <w:shd w:val="clear" w:color="auto" w:fill="auto"/>
            <w:vAlign w:val="center"/>
          </w:tcPr>
          <w:p w14:paraId="6FE3D873" w14:textId="2A0D7028" w:rsidR="009345E9" w:rsidRPr="003938D3" w:rsidRDefault="005974F2" w:rsidP="00394B6E">
            <w:pPr>
              <w:pStyle w:val="TableText0"/>
              <w:rPr>
                <w:color w:val="000000"/>
                <w:sz w:val="20"/>
                <w:szCs w:val="20"/>
                <w:highlight w:val="yellow"/>
              </w:rPr>
            </w:pPr>
            <w:r w:rsidRPr="0058660F">
              <w:rPr>
                <w:color w:val="000000"/>
                <w:sz w:val="20"/>
                <w:szCs w:val="20"/>
              </w:rPr>
              <w:t>$</w:t>
            </w:r>
            <w:r w:rsidR="00341457" w:rsidRPr="00341457">
              <w:rPr>
                <w:color w:val="000000"/>
                <w:spacing w:val="50"/>
                <w:sz w:val="20"/>
                <w:szCs w:val="20"/>
                <w:shd w:val="solid" w:color="000000" w:fill="000000"/>
                <w:fitText w:val="325" w:id="-1436313076"/>
                <w14:textFill>
                  <w14:solidFill>
                    <w14:srgbClr w14:val="000000">
                      <w14:alpha w14:val="100000"/>
                    </w14:srgbClr>
                  </w14:solidFill>
                </w14:textFill>
              </w:rPr>
              <w:t>|||</w:t>
            </w:r>
            <w:r w:rsidR="00341457" w:rsidRPr="00341457">
              <w:rPr>
                <w:color w:val="000000"/>
                <w:spacing w:val="13"/>
                <w:sz w:val="20"/>
                <w:szCs w:val="20"/>
                <w:shd w:val="solid" w:color="000000" w:fill="000000"/>
                <w:fitText w:val="325" w:id="-1436313076"/>
                <w14:textFill>
                  <w14:solidFill>
                    <w14:srgbClr w14:val="000000">
                      <w14:alpha w14:val="100000"/>
                    </w14:srgbClr>
                  </w14:solidFill>
                </w14:textFill>
              </w:rPr>
              <w:t>|</w:t>
            </w:r>
          </w:p>
        </w:tc>
        <w:tc>
          <w:tcPr>
            <w:tcW w:w="1406" w:type="pct"/>
            <w:gridSpan w:val="2"/>
            <w:shd w:val="clear" w:color="auto" w:fill="auto"/>
            <w:vAlign w:val="center"/>
          </w:tcPr>
          <w:p w14:paraId="12F3A0F3" w14:textId="789047A2" w:rsidR="009345E9" w:rsidRPr="00A42753" w:rsidRDefault="005974F2" w:rsidP="00394B6E">
            <w:pPr>
              <w:pStyle w:val="TableText0"/>
              <w:rPr>
                <w:color w:val="000000"/>
                <w:sz w:val="20"/>
                <w:szCs w:val="20"/>
                <w:highlight w:val="yellow"/>
              </w:rPr>
            </w:pPr>
            <w:r w:rsidRPr="0058660F">
              <w:rPr>
                <w:color w:val="000000"/>
                <w:sz w:val="20"/>
                <w:szCs w:val="20"/>
              </w:rPr>
              <w:t>$129,791.11</w:t>
            </w:r>
          </w:p>
        </w:tc>
        <w:tc>
          <w:tcPr>
            <w:tcW w:w="626" w:type="pct"/>
            <w:shd w:val="clear" w:color="auto" w:fill="auto"/>
            <w:vAlign w:val="center"/>
          </w:tcPr>
          <w:p w14:paraId="277256C8" w14:textId="245E2864" w:rsidR="009345E9" w:rsidRPr="00A42753" w:rsidRDefault="008C244E" w:rsidP="00394B6E">
            <w:pPr>
              <w:pStyle w:val="TableText0"/>
              <w:rPr>
                <w:color w:val="000000"/>
                <w:szCs w:val="20"/>
                <w:highlight w:val="yellow"/>
              </w:rPr>
            </w:pPr>
            <w:r w:rsidRPr="0058660F">
              <w:rPr>
                <w:rFonts w:cs="Calibri"/>
                <w:color w:val="000000"/>
                <w:sz w:val="20"/>
                <w:szCs w:val="20"/>
              </w:rPr>
              <w:t>$</w:t>
            </w:r>
            <w:r w:rsidR="00341457" w:rsidRPr="00341457">
              <w:rPr>
                <w:rFonts w:cs="Calibri"/>
                <w:color w:val="000000"/>
                <w:spacing w:val="51"/>
                <w:sz w:val="20"/>
                <w:szCs w:val="20"/>
                <w:shd w:val="solid" w:color="000000" w:fill="000000"/>
                <w:fitText w:val="326" w:id="-1436313075"/>
                <w14:textFill>
                  <w14:solidFill>
                    <w14:srgbClr w14:val="000000">
                      <w14:alpha w14:val="100000"/>
                    </w14:srgbClr>
                  </w14:solidFill>
                </w14:textFill>
              </w:rPr>
              <w:t>|||</w:t>
            </w:r>
            <w:r w:rsidR="00341457" w:rsidRPr="00341457">
              <w:rPr>
                <w:rFonts w:cs="Calibri"/>
                <w:color w:val="000000"/>
                <w:spacing w:val="3"/>
                <w:sz w:val="20"/>
                <w:szCs w:val="20"/>
                <w:shd w:val="solid" w:color="000000" w:fill="000000"/>
                <w:fitText w:val="326" w:id="-1436313075"/>
                <w14:textFill>
                  <w14:solidFill>
                    <w14:srgbClr w14:val="000000">
                      <w14:alpha w14:val="100000"/>
                    </w14:srgbClr>
                  </w14:solidFill>
                </w14:textFill>
              </w:rPr>
              <w:t>|</w:t>
            </w:r>
          </w:p>
        </w:tc>
      </w:tr>
      <w:tr w:rsidR="0025592B" w:rsidRPr="002B4570" w14:paraId="27911273" w14:textId="77777777" w:rsidTr="00CE0961">
        <w:tc>
          <w:tcPr>
            <w:tcW w:w="5000" w:type="pct"/>
            <w:gridSpan w:val="6"/>
            <w:shd w:val="clear" w:color="auto" w:fill="auto"/>
            <w:vAlign w:val="center"/>
          </w:tcPr>
          <w:p w14:paraId="6F18DADC" w14:textId="77777777" w:rsidR="0025592B" w:rsidRPr="00733970" w:rsidRDefault="0025592B" w:rsidP="00394B6E">
            <w:pPr>
              <w:pStyle w:val="TableText0"/>
              <w:rPr>
                <w:b/>
                <w:bCs w:val="0"/>
                <w:color w:val="000000"/>
                <w:sz w:val="20"/>
                <w:szCs w:val="20"/>
              </w:rPr>
            </w:pPr>
            <w:r w:rsidRPr="00733970">
              <w:rPr>
                <w:b/>
                <w:bCs w:val="0"/>
                <w:color w:val="000000"/>
                <w:sz w:val="20"/>
                <w:szCs w:val="20"/>
              </w:rPr>
              <w:t>Monitoring</w:t>
            </w:r>
          </w:p>
        </w:tc>
      </w:tr>
      <w:tr w:rsidR="0025592B" w:rsidRPr="002B4570" w14:paraId="03D5CC92" w14:textId="77777777" w:rsidTr="00CE0961">
        <w:tc>
          <w:tcPr>
            <w:tcW w:w="1637" w:type="pct"/>
            <w:shd w:val="clear" w:color="auto" w:fill="auto"/>
            <w:vAlign w:val="bottom"/>
          </w:tcPr>
          <w:p w14:paraId="037D883E" w14:textId="77777777" w:rsidR="0025592B" w:rsidRPr="002B4570" w:rsidRDefault="0025592B" w:rsidP="00394B6E">
            <w:pPr>
              <w:pStyle w:val="TableText0"/>
              <w:rPr>
                <w:color w:val="000000"/>
                <w:sz w:val="20"/>
                <w:szCs w:val="20"/>
              </w:rPr>
            </w:pPr>
            <w:r w:rsidRPr="002B4570">
              <w:rPr>
                <w:rFonts w:cs="Calibri"/>
                <w:color w:val="000000"/>
                <w:sz w:val="20"/>
                <w:szCs w:val="20"/>
              </w:rPr>
              <w:t>Blood tests</w:t>
            </w:r>
          </w:p>
        </w:tc>
        <w:tc>
          <w:tcPr>
            <w:tcW w:w="1331" w:type="pct"/>
            <w:gridSpan w:val="2"/>
            <w:shd w:val="clear" w:color="auto" w:fill="auto"/>
            <w:vAlign w:val="center"/>
          </w:tcPr>
          <w:p w14:paraId="01E06A6D" w14:textId="77777777" w:rsidR="0025592B" w:rsidRPr="00733970" w:rsidRDefault="0025592B" w:rsidP="00394B6E">
            <w:pPr>
              <w:pStyle w:val="TableText0"/>
              <w:rPr>
                <w:color w:val="000000"/>
                <w:sz w:val="20"/>
                <w:szCs w:val="20"/>
              </w:rPr>
            </w:pPr>
            <w:r w:rsidRPr="00733970">
              <w:rPr>
                <w:rFonts w:cs="Calibri"/>
                <w:color w:val="000000"/>
                <w:sz w:val="20"/>
                <w:szCs w:val="20"/>
              </w:rPr>
              <w:t>$283.60</w:t>
            </w:r>
          </w:p>
        </w:tc>
        <w:tc>
          <w:tcPr>
            <w:tcW w:w="1406" w:type="pct"/>
            <w:gridSpan w:val="2"/>
            <w:shd w:val="clear" w:color="auto" w:fill="auto"/>
            <w:vAlign w:val="center"/>
          </w:tcPr>
          <w:p w14:paraId="195F780B" w14:textId="77777777" w:rsidR="0025592B" w:rsidRPr="00733970" w:rsidRDefault="0025592B" w:rsidP="00394B6E">
            <w:pPr>
              <w:pStyle w:val="TableText0"/>
              <w:rPr>
                <w:color w:val="000000"/>
                <w:sz w:val="20"/>
                <w:szCs w:val="20"/>
              </w:rPr>
            </w:pPr>
            <w:r w:rsidRPr="00733970">
              <w:rPr>
                <w:rFonts w:cs="Calibri"/>
                <w:color w:val="000000"/>
                <w:sz w:val="20"/>
                <w:szCs w:val="20"/>
              </w:rPr>
              <w:t>$424.80</w:t>
            </w:r>
          </w:p>
        </w:tc>
        <w:tc>
          <w:tcPr>
            <w:tcW w:w="626" w:type="pct"/>
            <w:shd w:val="clear" w:color="auto" w:fill="auto"/>
            <w:vAlign w:val="center"/>
          </w:tcPr>
          <w:p w14:paraId="7E8D0A6C" w14:textId="77777777" w:rsidR="0025592B" w:rsidRPr="00733970" w:rsidRDefault="0025592B" w:rsidP="00394B6E">
            <w:pPr>
              <w:pStyle w:val="TableText0"/>
              <w:rPr>
                <w:color w:val="000000"/>
                <w:sz w:val="20"/>
                <w:szCs w:val="20"/>
              </w:rPr>
            </w:pPr>
            <w:r w:rsidRPr="00733970">
              <w:rPr>
                <w:rFonts w:cs="Calibri"/>
                <w:color w:val="000000"/>
                <w:sz w:val="20"/>
                <w:szCs w:val="20"/>
              </w:rPr>
              <w:t>-$141.20</w:t>
            </w:r>
          </w:p>
        </w:tc>
      </w:tr>
      <w:tr w:rsidR="0025592B" w:rsidRPr="002B4570" w14:paraId="6587CB82" w14:textId="77777777" w:rsidTr="00CE0961">
        <w:tc>
          <w:tcPr>
            <w:tcW w:w="1637" w:type="pct"/>
            <w:shd w:val="clear" w:color="auto" w:fill="auto"/>
            <w:vAlign w:val="bottom"/>
          </w:tcPr>
          <w:p w14:paraId="3C15AFEA" w14:textId="77777777" w:rsidR="0025592B" w:rsidRPr="002B4570" w:rsidRDefault="0025592B" w:rsidP="00394B6E">
            <w:pPr>
              <w:pStyle w:val="TableText0"/>
              <w:rPr>
                <w:color w:val="000000"/>
                <w:sz w:val="20"/>
                <w:szCs w:val="20"/>
              </w:rPr>
            </w:pPr>
            <w:r w:rsidRPr="002B4570">
              <w:rPr>
                <w:rFonts w:cs="Calibri"/>
                <w:color w:val="000000"/>
                <w:sz w:val="20"/>
                <w:szCs w:val="20"/>
              </w:rPr>
              <w:t>Hypersensitivity</w:t>
            </w:r>
          </w:p>
        </w:tc>
        <w:tc>
          <w:tcPr>
            <w:tcW w:w="1331" w:type="pct"/>
            <w:gridSpan w:val="2"/>
            <w:shd w:val="clear" w:color="auto" w:fill="auto"/>
            <w:vAlign w:val="bottom"/>
          </w:tcPr>
          <w:p w14:paraId="270A8AA9"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c>
          <w:tcPr>
            <w:tcW w:w="1406" w:type="pct"/>
            <w:gridSpan w:val="2"/>
            <w:shd w:val="clear" w:color="auto" w:fill="auto"/>
            <w:vAlign w:val="center"/>
          </w:tcPr>
          <w:p w14:paraId="5A764963"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c>
          <w:tcPr>
            <w:tcW w:w="626" w:type="pct"/>
            <w:shd w:val="clear" w:color="auto" w:fill="auto"/>
            <w:vAlign w:val="center"/>
          </w:tcPr>
          <w:p w14:paraId="06EA4C8F"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r>
      <w:tr w:rsidR="0025592B" w:rsidRPr="002B4570" w14:paraId="23518154" w14:textId="77777777" w:rsidTr="00CE0961">
        <w:tc>
          <w:tcPr>
            <w:tcW w:w="1637" w:type="pct"/>
            <w:shd w:val="clear" w:color="auto" w:fill="auto"/>
            <w:vAlign w:val="bottom"/>
          </w:tcPr>
          <w:p w14:paraId="259737F5" w14:textId="77777777" w:rsidR="0025592B" w:rsidRPr="002B4570" w:rsidRDefault="0025592B" w:rsidP="00394B6E">
            <w:pPr>
              <w:pStyle w:val="TableText0"/>
              <w:rPr>
                <w:color w:val="000000"/>
                <w:sz w:val="20"/>
                <w:szCs w:val="20"/>
              </w:rPr>
            </w:pPr>
            <w:r w:rsidRPr="002B4570">
              <w:rPr>
                <w:rFonts w:cs="Calibri"/>
                <w:color w:val="000000"/>
                <w:sz w:val="20"/>
                <w:szCs w:val="20"/>
              </w:rPr>
              <w:t>TE &amp; VO</w:t>
            </w:r>
          </w:p>
        </w:tc>
        <w:tc>
          <w:tcPr>
            <w:tcW w:w="1331" w:type="pct"/>
            <w:gridSpan w:val="2"/>
            <w:shd w:val="clear" w:color="auto" w:fill="auto"/>
            <w:vAlign w:val="center"/>
          </w:tcPr>
          <w:p w14:paraId="354A83E7"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c>
          <w:tcPr>
            <w:tcW w:w="1406" w:type="pct"/>
            <w:gridSpan w:val="2"/>
            <w:shd w:val="clear" w:color="auto" w:fill="auto"/>
            <w:vAlign w:val="center"/>
          </w:tcPr>
          <w:p w14:paraId="06B2FCDA" w14:textId="77777777" w:rsidR="0025592B" w:rsidRPr="00733970" w:rsidRDefault="0025592B" w:rsidP="00394B6E">
            <w:pPr>
              <w:pStyle w:val="TableText0"/>
              <w:rPr>
                <w:color w:val="000000"/>
                <w:sz w:val="20"/>
                <w:szCs w:val="20"/>
              </w:rPr>
            </w:pPr>
            <w:r w:rsidRPr="00733970">
              <w:rPr>
                <w:rFonts w:cs="Calibri"/>
                <w:color w:val="000000"/>
                <w:sz w:val="20"/>
                <w:szCs w:val="20"/>
              </w:rPr>
              <w:t>$694.40</w:t>
            </w:r>
          </w:p>
        </w:tc>
        <w:tc>
          <w:tcPr>
            <w:tcW w:w="626" w:type="pct"/>
            <w:shd w:val="clear" w:color="auto" w:fill="auto"/>
            <w:vAlign w:val="center"/>
          </w:tcPr>
          <w:p w14:paraId="1B9AF90F" w14:textId="77777777" w:rsidR="0025592B" w:rsidRPr="00733970" w:rsidRDefault="0025592B" w:rsidP="00394B6E">
            <w:pPr>
              <w:pStyle w:val="TableText0"/>
              <w:rPr>
                <w:color w:val="000000"/>
                <w:sz w:val="20"/>
                <w:szCs w:val="20"/>
              </w:rPr>
            </w:pPr>
            <w:r w:rsidRPr="00733970">
              <w:rPr>
                <w:rFonts w:cs="Calibri"/>
                <w:color w:val="000000"/>
                <w:sz w:val="20"/>
                <w:szCs w:val="20"/>
              </w:rPr>
              <w:t>-$694.40</w:t>
            </w:r>
          </w:p>
        </w:tc>
      </w:tr>
      <w:tr w:rsidR="0025592B" w:rsidRPr="002B4570" w14:paraId="078BD0B4" w14:textId="77777777" w:rsidTr="00CE0961">
        <w:tc>
          <w:tcPr>
            <w:tcW w:w="1637" w:type="pct"/>
            <w:shd w:val="clear" w:color="auto" w:fill="auto"/>
            <w:vAlign w:val="bottom"/>
          </w:tcPr>
          <w:p w14:paraId="08DB34EF" w14:textId="77777777" w:rsidR="0025592B" w:rsidRPr="002B4570" w:rsidRDefault="0025592B" w:rsidP="00394B6E">
            <w:pPr>
              <w:pStyle w:val="TableText0"/>
              <w:rPr>
                <w:color w:val="000000"/>
                <w:sz w:val="20"/>
                <w:szCs w:val="20"/>
              </w:rPr>
            </w:pPr>
            <w:r w:rsidRPr="002B4570">
              <w:rPr>
                <w:rFonts w:cs="Calibri"/>
                <w:color w:val="000000"/>
                <w:sz w:val="20"/>
                <w:szCs w:val="20"/>
              </w:rPr>
              <w:t>Ocular occlusion</w:t>
            </w:r>
          </w:p>
        </w:tc>
        <w:tc>
          <w:tcPr>
            <w:tcW w:w="1331" w:type="pct"/>
            <w:gridSpan w:val="2"/>
            <w:shd w:val="clear" w:color="auto" w:fill="auto"/>
            <w:vAlign w:val="center"/>
          </w:tcPr>
          <w:p w14:paraId="5C8A57E4"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c>
          <w:tcPr>
            <w:tcW w:w="1406" w:type="pct"/>
            <w:gridSpan w:val="2"/>
            <w:shd w:val="clear" w:color="auto" w:fill="auto"/>
            <w:vAlign w:val="center"/>
          </w:tcPr>
          <w:p w14:paraId="425A9FF8" w14:textId="77777777" w:rsidR="0025592B" w:rsidRPr="00733970" w:rsidRDefault="0025592B" w:rsidP="00394B6E">
            <w:pPr>
              <w:pStyle w:val="TableText0"/>
              <w:rPr>
                <w:color w:val="000000"/>
                <w:sz w:val="20"/>
                <w:szCs w:val="20"/>
              </w:rPr>
            </w:pPr>
            <w:r w:rsidRPr="00733970">
              <w:rPr>
                <w:rFonts w:cs="Calibri"/>
                <w:color w:val="000000"/>
                <w:sz w:val="20"/>
                <w:szCs w:val="20"/>
              </w:rPr>
              <w:t>$632.40</w:t>
            </w:r>
          </w:p>
        </w:tc>
        <w:tc>
          <w:tcPr>
            <w:tcW w:w="626" w:type="pct"/>
            <w:shd w:val="clear" w:color="auto" w:fill="auto"/>
            <w:vAlign w:val="center"/>
          </w:tcPr>
          <w:p w14:paraId="29B7B447" w14:textId="77777777" w:rsidR="0025592B" w:rsidRPr="00733970" w:rsidRDefault="0025592B" w:rsidP="00394B6E">
            <w:pPr>
              <w:pStyle w:val="TableText0"/>
              <w:rPr>
                <w:color w:val="000000"/>
                <w:sz w:val="20"/>
                <w:szCs w:val="20"/>
              </w:rPr>
            </w:pPr>
            <w:r w:rsidRPr="00733970">
              <w:rPr>
                <w:rFonts w:cs="Calibri"/>
                <w:color w:val="000000"/>
                <w:sz w:val="20"/>
                <w:szCs w:val="20"/>
              </w:rPr>
              <w:t>-$632.40</w:t>
            </w:r>
          </w:p>
        </w:tc>
      </w:tr>
      <w:tr w:rsidR="0025592B" w:rsidRPr="002B4570" w14:paraId="32463718" w14:textId="77777777" w:rsidTr="00CE0961">
        <w:tc>
          <w:tcPr>
            <w:tcW w:w="1637" w:type="pct"/>
            <w:shd w:val="clear" w:color="auto" w:fill="auto"/>
            <w:vAlign w:val="bottom"/>
          </w:tcPr>
          <w:p w14:paraId="19D232C1" w14:textId="77777777" w:rsidR="0025592B" w:rsidRPr="007028FF" w:rsidRDefault="0025592B" w:rsidP="00394B6E">
            <w:pPr>
              <w:pStyle w:val="TableText0"/>
              <w:rPr>
                <w:rFonts w:cs="Calibri"/>
                <w:color w:val="000000"/>
                <w:sz w:val="20"/>
                <w:szCs w:val="20"/>
              </w:rPr>
            </w:pPr>
            <w:r w:rsidRPr="002B4570">
              <w:rPr>
                <w:rFonts w:cs="Calibri"/>
                <w:color w:val="000000"/>
                <w:sz w:val="20"/>
                <w:szCs w:val="20"/>
              </w:rPr>
              <w:t>Cardiac function</w:t>
            </w:r>
          </w:p>
        </w:tc>
        <w:tc>
          <w:tcPr>
            <w:tcW w:w="1331" w:type="pct"/>
            <w:gridSpan w:val="2"/>
            <w:shd w:val="clear" w:color="auto" w:fill="auto"/>
            <w:vAlign w:val="center"/>
          </w:tcPr>
          <w:p w14:paraId="2FF1D3C8"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$0.00</w:t>
            </w:r>
          </w:p>
          <w:p w14:paraId="6B5665F0"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Revised $130.20</w:t>
            </w:r>
          </w:p>
        </w:tc>
        <w:tc>
          <w:tcPr>
            <w:tcW w:w="1406" w:type="pct"/>
            <w:gridSpan w:val="2"/>
            <w:shd w:val="clear" w:color="auto" w:fill="auto"/>
            <w:vAlign w:val="center"/>
          </w:tcPr>
          <w:p w14:paraId="6C91908F"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$945.00</w:t>
            </w:r>
          </w:p>
          <w:p w14:paraId="2763BF34"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$130.20</w:t>
            </w:r>
          </w:p>
        </w:tc>
        <w:tc>
          <w:tcPr>
            <w:tcW w:w="626" w:type="pct"/>
            <w:shd w:val="clear" w:color="auto" w:fill="auto"/>
            <w:vAlign w:val="center"/>
          </w:tcPr>
          <w:p w14:paraId="38AAEE1B"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-$945.00</w:t>
            </w:r>
          </w:p>
          <w:p w14:paraId="107D4ED7"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$0.00</w:t>
            </w:r>
          </w:p>
        </w:tc>
      </w:tr>
      <w:tr w:rsidR="0025592B" w:rsidRPr="002B4570" w14:paraId="5BDB5FA3" w14:textId="77777777" w:rsidTr="00CE0961">
        <w:tc>
          <w:tcPr>
            <w:tcW w:w="1637" w:type="pct"/>
            <w:shd w:val="clear" w:color="auto" w:fill="auto"/>
            <w:vAlign w:val="bottom"/>
          </w:tcPr>
          <w:p w14:paraId="4ABC54E8" w14:textId="77777777" w:rsidR="0025592B" w:rsidRPr="007028FF" w:rsidRDefault="0025592B" w:rsidP="00394B6E">
            <w:pPr>
              <w:pStyle w:val="TableText0"/>
              <w:rPr>
                <w:rFonts w:cs="Calibri"/>
                <w:color w:val="000000"/>
                <w:sz w:val="20"/>
                <w:szCs w:val="20"/>
              </w:rPr>
            </w:pPr>
            <w:r w:rsidRPr="002B4570">
              <w:rPr>
                <w:rFonts w:cs="Calibri"/>
                <w:color w:val="000000"/>
                <w:sz w:val="20"/>
                <w:szCs w:val="20"/>
              </w:rPr>
              <w:t>Total monitoring</w:t>
            </w:r>
          </w:p>
        </w:tc>
        <w:tc>
          <w:tcPr>
            <w:tcW w:w="1331" w:type="pct"/>
            <w:gridSpan w:val="2"/>
            <w:shd w:val="clear" w:color="auto" w:fill="auto"/>
            <w:vAlign w:val="center"/>
          </w:tcPr>
          <w:p w14:paraId="3612232C"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$283.60</w:t>
            </w:r>
          </w:p>
          <w:p w14:paraId="70DC0F1F"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Revised $413.80</w:t>
            </w:r>
          </w:p>
        </w:tc>
        <w:tc>
          <w:tcPr>
            <w:tcW w:w="1406" w:type="pct"/>
            <w:gridSpan w:val="2"/>
            <w:shd w:val="clear" w:color="auto" w:fill="auto"/>
            <w:vAlign w:val="center"/>
          </w:tcPr>
          <w:p w14:paraId="453D04AF"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$2,696.60</w:t>
            </w:r>
          </w:p>
          <w:p w14:paraId="50E9811E"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$1,881.80</w:t>
            </w:r>
          </w:p>
        </w:tc>
        <w:tc>
          <w:tcPr>
            <w:tcW w:w="626" w:type="pct"/>
            <w:shd w:val="clear" w:color="auto" w:fill="auto"/>
            <w:vAlign w:val="center"/>
          </w:tcPr>
          <w:p w14:paraId="290B4A0B"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-$2,413.00</w:t>
            </w:r>
          </w:p>
          <w:p w14:paraId="31246249"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-$1,468.00</w:t>
            </w:r>
          </w:p>
        </w:tc>
      </w:tr>
      <w:tr w:rsidR="0025592B" w:rsidRPr="002B4570" w14:paraId="777E35FE" w14:textId="77777777" w:rsidTr="00CE0961">
        <w:tc>
          <w:tcPr>
            <w:tcW w:w="5000" w:type="pct"/>
            <w:gridSpan w:val="6"/>
            <w:shd w:val="clear" w:color="auto" w:fill="auto"/>
            <w:vAlign w:val="center"/>
          </w:tcPr>
          <w:p w14:paraId="09F0D73F" w14:textId="5B56ACEF" w:rsidR="0025592B" w:rsidRPr="00733970" w:rsidRDefault="0025592B" w:rsidP="00394B6E">
            <w:pPr>
              <w:pStyle w:val="TableText0"/>
              <w:rPr>
                <w:b/>
                <w:bCs w:val="0"/>
                <w:color w:val="000000"/>
                <w:sz w:val="20"/>
                <w:szCs w:val="20"/>
              </w:rPr>
            </w:pPr>
            <w:r w:rsidRPr="00733970">
              <w:rPr>
                <w:b/>
                <w:bCs w:val="0"/>
                <w:color w:val="000000"/>
                <w:sz w:val="20"/>
                <w:szCs w:val="20"/>
              </w:rPr>
              <w:t>TRAE grade ≥3 and occlusive events</w:t>
            </w:r>
          </w:p>
        </w:tc>
      </w:tr>
      <w:tr w:rsidR="0025592B" w:rsidRPr="002B4570" w14:paraId="0B588F01" w14:textId="77777777" w:rsidTr="00CE0961">
        <w:tc>
          <w:tcPr>
            <w:tcW w:w="1637" w:type="pct"/>
            <w:shd w:val="clear" w:color="auto" w:fill="auto"/>
            <w:vAlign w:val="center"/>
          </w:tcPr>
          <w:p w14:paraId="3FEA54A0" w14:textId="77777777" w:rsidR="0025592B" w:rsidRPr="002B4570" w:rsidRDefault="0025592B" w:rsidP="00394B6E">
            <w:pPr>
              <w:pStyle w:val="TableText0"/>
              <w:rPr>
                <w:color w:val="000000"/>
                <w:sz w:val="20"/>
                <w:szCs w:val="20"/>
              </w:rPr>
            </w:pPr>
            <w:r w:rsidRPr="002B4570">
              <w:rPr>
                <w:rFonts w:cs="Calibri"/>
                <w:color w:val="000000"/>
                <w:sz w:val="20"/>
                <w:szCs w:val="20"/>
              </w:rPr>
              <w:t>Thrombocytopenia</w:t>
            </w:r>
          </w:p>
        </w:tc>
        <w:tc>
          <w:tcPr>
            <w:tcW w:w="1331" w:type="pct"/>
            <w:gridSpan w:val="2"/>
            <w:shd w:val="clear" w:color="auto" w:fill="auto"/>
            <w:vAlign w:val="center"/>
          </w:tcPr>
          <w:p w14:paraId="1BBD41A3" w14:textId="77777777" w:rsidR="0025592B" w:rsidRPr="00733970" w:rsidRDefault="0025592B" w:rsidP="00394B6E">
            <w:pPr>
              <w:pStyle w:val="TableText0"/>
              <w:rPr>
                <w:color w:val="000000"/>
                <w:sz w:val="20"/>
                <w:szCs w:val="20"/>
              </w:rPr>
            </w:pPr>
            <w:r w:rsidRPr="00733970">
              <w:rPr>
                <w:rFonts w:cs="Calibri"/>
                <w:color w:val="000000"/>
                <w:sz w:val="20"/>
                <w:szCs w:val="20"/>
              </w:rPr>
              <w:t>$1,325.61</w:t>
            </w:r>
          </w:p>
        </w:tc>
        <w:tc>
          <w:tcPr>
            <w:tcW w:w="1406" w:type="pct"/>
            <w:gridSpan w:val="2"/>
            <w:shd w:val="clear" w:color="auto" w:fill="auto"/>
            <w:vAlign w:val="center"/>
          </w:tcPr>
          <w:p w14:paraId="468BD6F1" w14:textId="77777777" w:rsidR="0025592B" w:rsidRPr="00733970" w:rsidRDefault="0025592B" w:rsidP="00394B6E">
            <w:pPr>
              <w:pStyle w:val="TableText0"/>
              <w:rPr>
                <w:color w:val="000000"/>
                <w:sz w:val="20"/>
                <w:szCs w:val="20"/>
              </w:rPr>
            </w:pPr>
            <w:r w:rsidRPr="00733970">
              <w:rPr>
                <w:rFonts w:cs="Calibri"/>
                <w:color w:val="000000"/>
                <w:sz w:val="20"/>
                <w:szCs w:val="20"/>
              </w:rPr>
              <w:t>$2,441.86</w:t>
            </w:r>
          </w:p>
        </w:tc>
        <w:tc>
          <w:tcPr>
            <w:tcW w:w="626" w:type="pct"/>
            <w:shd w:val="clear" w:color="auto" w:fill="auto"/>
            <w:vAlign w:val="center"/>
          </w:tcPr>
          <w:p w14:paraId="7DC1B563" w14:textId="77777777" w:rsidR="0025592B" w:rsidRPr="00733970" w:rsidRDefault="0025592B" w:rsidP="00394B6E">
            <w:pPr>
              <w:pStyle w:val="TableText0"/>
              <w:rPr>
                <w:color w:val="000000"/>
                <w:sz w:val="20"/>
                <w:szCs w:val="20"/>
              </w:rPr>
            </w:pPr>
            <w:r w:rsidRPr="00733970">
              <w:rPr>
                <w:rFonts w:cs="Calibri"/>
                <w:color w:val="000000"/>
                <w:sz w:val="20"/>
                <w:szCs w:val="20"/>
              </w:rPr>
              <w:t>-$1,116.25</w:t>
            </w:r>
          </w:p>
        </w:tc>
      </w:tr>
      <w:tr w:rsidR="0025592B" w:rsidRPr="002B4570" w14:paraId="5154ADC0" w14:textId="77777777" w:rsidTr="00CE0961">
        <w:tc>
          <w:tcPr>
            <w:tcW w:w="1637" w:type="pct"/>
            <w:shd w:val="clear" w:color="auto" w:fill="auto"/>
            <w:vAlign w:val="center"/>
          </w:tcPr>
          <w:p w14:paraId="5F72CC8A" w14:textId="77777777" w:rsidR="0025592B" w:rsidRPr="002B4570" w:rsidRDefault="0025592B" w:rsidP="00394B6E">
            <w:pPr>
              <w:pStyle w:val="TableText0"/>
              <w:rPr>
                <w:color w:val="000000"/>
                <w:sz w:val="20"/>
                <w:szCs w:val="20"/>
              </w:rPr>
            </w:pPr>
            <w:r w:rsidRPr="002B4570">
              <w:rPr>
                <w:rFonts w:cs="Calibri"/>
                <w:color w:val="000000"/>
                <w:sz w:val="20"/>
                <w:szCs w:val="20"/>
              </w:rPr>
              <w:t>Anaemia</w:t>
            </w:r>
          </w:p>
        </w:tc>
        <w:tc>
          <w:tcPr>
            <w:tcW w:w="1331" w:type="pct"/>
            <w:gridSpan w:val="2"/>
            <w:shd w:val="clear" w:color="auto" w:fill="auto"/>
            <w:vAlign w:val="center"/>
          </w:tcPr>
          <w:p w14:paraId="521DA64B" w14:textId="77777777" w:rsidR="0025592B" w:rsidRPr="00733970" w:rsidRDefault="0025592B" w:rsidP="00394B6E">
            <w:pPr>
              <w:pStyle w:val="TableText0"/>
              <w:rPr>
                <w:color w:val="000000"/>
                <w:sz w:val="20"/>
                <w:szCs w:val="20"/>
              </w:rPr>
            </w:pPr>
            <w:r w:rsidRPr="00733970">
              <w:rPr>
                <w:rFonts w:cs="Calibri"/>
                <w:color w:val="000000"/>
                <w:sz w:val="20"/>
                <w:szCs w:val="20"/>
              </w:rPr>
              <w:t>$32.05</w:t>
            </w:r>
          </w:p>
        </w:tc>
        <w:tc>
          <w:tcPr>
            <w:tcW w:w="1406" w:type="pct"/>
            <w:gridSpan w:val="2"/>
            <w:shd w:val="clear" w:color="auto" w:fill="auto"/>
            <w:vAlign w:val="center"/>
          </w:tcPr>
          <w:p w14:paraId="5681751E" w14:textId="77777777" w:rsidR="0025592B" w:rsidRPr="00733970" w:rsidRDefault="0025592B" w:rsidP="00394B6E">
            <w:pPr>
              <w:pStyle w:val="TableText0"/>
              <w:rPr>
                <w:color w:val="000000"/>
                <w:sz w:val="20"/>
                <w:szCs w:val="20"/>
              </w:rPr>
            </w:pPr>
            <w:r w:rsidRPr="00733970">
              <w:rPr>
                <w:rFonts w:cs="Calibri"/>
                <w:color w:val="000000"/>
                <w:sz w:val="20"/>
                <w:szCs w:val="20"/>
              </w:rPr>
              <w:t>$247.13</w:t>
            </w:r>
          </w:p>
        </w:tc>
        <w:tc>
          <w:tcPr>
            <w:tcW w:w="626" w:type="pct"/>
            <w:shd w:val="clear" w:color="auto" w:fill="auto"/>
            <w:vAlign w:val="center"/>
          </w:tcPr>
          <w:p w14:paraId="3F76F2FD" w14:textId="77777777" w:rsidR="0025592B" w:rsidRPr="00733970" w:rsidRDefault="0025592B" w:rsidP="00394B6E">
            <w:pPr>
              <w:pStyle w:val="TableText0"/>
              <w:rPr>
                <w:color w:val="000000"/>
                <w:sz w:val="20"/>
                <w:szCs w:val="20"/>
              </w:rPr>
            </w:pPr>
            <w:r w:rsidRPr="00733970">
              <w:rPr>
                <w:rFonts w:cs="Calibri"/>
                <w:color w:val="000000"/>
                <w:sz w:val="20"/>
                <w:szCs w:val="20"/>
              </w:rPr>
              <w:t>-$215.08</w:t>
            </w:r>
          </w:p>
        </w:tc>
      </w:tr>
      <w:tr w:rsidR="0025592B" w:rsidRPr="002B4570" w14:paraId="2EA60A2D" w14:textId="77777777" w:rsidTr="00CE0961">
        <w:tc>
          <w:tcPr>
            <w:tcW w:w="1637" w:type="pct"/>
            <w:shd w:val="clear" w:color="auto" w:fill="auto"/>
            <w:vAlign w:val="center"/>
          </w:tcPr>
          <w:p w14:paraId="389A706C" w14:textId="77777777" w:rsidR="0025592B" w:rsidRPr="002B4570" w:rsidRDefault="0025592B" w:rsidP="00394B6E">
            <w:pPr>
              <w:pStyle w:val="TableText0"/>
              <w:rPr>
                <w:color w:val="000000"/>
                <w:sz w:val="20"/>
                <w:szCs w:val="20"/>
              </w:rPr>
            </w:pPr>
            <w:r w:rsidRPr="002B4570">
              <w:rPr>
                <w:rFonts w:cs="Calibri"/>
                <w:color w:val="000000"/>
                <w:sz w:val="20"/>
                <w:szCs w:val="20"/>
              </w:rPr>
              <w:t>Increased lipase</w:t>
            </w:r>
          </w:p>
        </w:tc>
        <w:tc>
          <w:tcPr>
            <w:tcW w:w="1331" w:type="pct"/>
            <w:gridSpan w:val="2"/>
            <w:shd w:val="clear" w:color="auto" w:fill="auto"/>
            <w:vAlign w:val="center"/>
          </w:tcPr>
          <w:p w14:paraId="17D7B8A0"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$209.92</w:t>
            </w:r>
          </w:p>
          <w:p w14:paraId="49D2A05A" w14:textId="77777777" w:rsidR="0025592B" w:rsidRPr="00733970" w:rsidRDefault="0025592B" w:rsidP="00394B6E">
            <w:pPr>
              <w:pStyle w:val="TableText0"/>
              <w:rPr>
                <w:color w:val="000000"/>
                <w:sz w:val="20"/>
                <w:szCs w:val="20"/>
              </w:rPr>
            </w:pPr>
            <w:r w:rsidRPr="00733970">
              <w:rPr>
                <w:rFonts w:cs="Calibri"/>
                <w:color w:val="000000"/>
                <w:sz w:val="20"/>
                <w:szCs w:val="20"/>
              </w:rPr>
              <w:t>Revised $120.53</w:t>
            </w:r>
          </w:p>
        </w:tc>
        <w:tc>
          <w:tcPr>
            <w:tcW w:w="1406" w:type="pct"/>
            <w:gridSpan w:val="2"/>
            <w:shd w:val="clear" w:color="auto" w:fill="auto"/>
            <w:vAlign w:val="center"/>
          </w:tcPr>
          <w:p w14:paraId="305E6873"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$728.42</w:t>
            </w:r>
          </w:p>
          <w:p w14:paraId="30D9CFC2" w14:textId="77777777" w:rsidR="0025592B" w:rsidRPr="00733970" w:rsidRDefault="0025592B" w:rsidP="00394B6E">
            <w:pPr>
              <w:pStyle w:val="TableText0"/>
              <w:rPr>
                <w:color w:val="000000"/>
                <w:sz w:val="20"/>
                <w:szCs w:val="20"/>
              </w:rPr>
            </w:pPr>
            <w:r w:rsidRPr="00733970">
              <w:rPr>
                <w:rFonts w:cs="Calibri"/>
                <w:color w:val="000000"/>
                <w:sz w:val="20"/>
                <w:szCs w:val="20"/>
              </w:rPr>
              <w:t>$418.25</w:t>
            </w:r>
          </w:p>
        </w:tc>
        <w:tc>
          <w:tcPr>
            <w:tcW w:w="626" w:type="pct"/>
            <w:shd w:val="clear" w:color="auto" w:fill="auto"/>
            <w:vAlign w:val="center"/>
          </w:tcPr>
          <w:p w14:paraId="2F03FFFF"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-$518.50</w:t>
            </w:r>
          </w:p>
          <w:p w14:paraId="4780AE28" w14:textId="77777777" w:rsidR="0025592B" w:rsidRPr="00733970" w:rsidRDefault="0025592B" w:rsidP="00394B6E">
            <w:pPr>
              <w:pStyle w:val="TableText0"/>
              <w:rPr>
                <w:color w:val="000000"/>
                <w:sz w:val="20"/>
                <w:szCs w:val="20"/>
              </w:rPr>
            </w:pPr>
            <w:r w:rsidRPr="00733970">
              <w:rPr>
                <w:rFonts w:cs="Calibri"/>
                <w:color w:val="000000"/>
                <w:sz w:val="20"/>
                <w:szCs w:val="20"/>
              </w:rPr>
              <w:t>-$297.71</w:t>
            </w:r>
          </w:p>
        </w:tc>
      </w:tr>
      <w:tr w:rsidR="0025592B" w:rsidRPr="002B4570" w14:paraId="6F1949A1" w14:textId="77777777" w:rsidTr="00CE0961">
        <w:tc>
          <w:tcPr>
            <w:tcW w:w="1637" w:type="pct"/>
            <w:shd w:val="clear" w:color="auto" w:fill="auto"/>
            <w:vAlign w:val="center"/>
          </w:tcPr>
          <w:p w14:paraId="32E12B6D" w14:textId="77777777" w:rsidR="0025592B" w:rsidRPr="002B4570" w:rsidRDefault="0025592B" w:rsidP="00394B6E">
            <w:pPr>
              <w:pStyle w:val="TableText0"/>
              <w:rPr>
                <w:color w:val="000000"/>
                <w:sz w:val="20"/>
                <w:szCs w:val="20"/>
              </w:rPr>
            </w:pPr>
            <w:r w:rsidRPr="002B4570">
              <w:rPr>
                <w:rFonts w:cs="Calibri"/>
                <w:color w:val="000000"/>
                <w:sz w:val="20"/>
                <w:szCs w:val="20"/>
              </w:rPr>
              <w:t>Increased amylase</w:t>
            </w:r>
          </w:p>
        </w:tc>
        <w:tc>
          <w:tcPr>
            <w:tcW w:w="1331" w:type="pct"/>
            <w:gridSpan w:val="2"/>
            <w:shd w:val="clear" w:color="auto" w:fill="auto"/>
            <w:vAlign w:val="center"/>
          </w:tcPr>
          <w:p w14:paraId="034BCE97"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$734.73</w:t>
            </w:r>
          </w:p>
          <w:p w14:paraId="0E41301B" w14:textId="77777777" w:rsidR="0025592B" w:rsidRPr="00733970" w:rsidRDefault="0025592B" w:rsidP="00394B6E">
            <w:pPr>
              <w:pStyle w:val="TableText0"/>
              <w:rPr>
                <w:color w:val="000000"/>
                <w:sz w:val="20"/>
                <w:szCs w:val="20"/>
              </w:rPr>
            </w:pPr>
            <w:r w:rsidRPr="00733970">
              <w:rPr>
                <w:rFonts w:cs="Calibri"/>
                <w:color w:val="000000"/>
                <w:sz w:val="20"/>
                <w:szCs w:val="20"/>
              </w:rPr>
              <w:t>Revised $421.87</w:t>
            </w:r>
          </w:p>
        </w:tc>
        <w:tc>
          <w:tcPr>
            <w:tcW w:w="1406" w:type="pct"/>
            <w:gridSpan w:val="2"/>
            <w:shd w:val="clear" w:color="auto" w:fill="auto"/>
            <w:vAlign w:val="center"/>
          </w:tcPr>
          <w:p w14:paraId="75DF2698"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$107.91</w:t>
            </w:r>
          </w:p>
          <w:p w14:paraId="0CD87B33" w14:textId="77777777" w:rsidR="0025592B" w:rsidRPr="00733970" w:rsidRDefault="0025592B" w:rsidP="00394B6E">
            <w:pPr>
              <w:pStyle w:val="TableText0"/>
              <w:rPr>
                <w:color w:val="000000"/>
                <w:sz w:val="20"/>
                <w:szCs w:val="20"/>
              </w:rPr>
            </w:pPr>
            <w:r w:rsidRPr="00733970">
              <w:rPr>
                <w:rFonts w:cs="Calibri"/>
                <w:color w:val="000000"/>
                <w:sz w:val="20"/>
                <w:szCs w:val="20"/>
              </w:rPr>
              <w:t>$61.96</w:t>
            </w:r>
          </w:p>
        </w:tc>
        <w:tc>
          <w:tcPr>
            <w:tcW w:w="626" w:type="pct"/>
            <w:shd w:val="clear" w:color="auto" w:fill="auto"/>
            <w:vAlign w:val="center"/>
          </w:tcPr>
          <w:p w14:paraId="67FB0F3E"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$626.82</w:t>
            </w:r>
          </w:p>
          <w:p w14:paraId="2584B4D0" w14:textId="77777777" w:rsidR="0025592B" w:rsidRPr="00733970" w:rsidRDefault="0025592B" w:rsidP="00394B6E">
            <w:pPr>
              <w:pStyle w:val="TableText0"/>
              <w:rPr>
                <w:color w:val="000000"/>
                <w:sz w:val="20"/>
                <w:szCs w:val="20"/>
              </w:rPr>
            </w:pPr>
            <w:r w:rsidRPr="00733970">
              <w:rPr>
                <w:rFonts w:cs="Calibri"/>
                <w:color w:val="000000"/>
                <w:sz w:val="20"/>
                <w:szCs w:val="20"/>
              </w:rPr>
              <w:t>$359.91</w:t>
            </w:r>
          </w:p>
        </w:tc>
      </w:tr>
      <w:tr w:rsidR="0025592B" w:rsidRPr="002B4570" w14:paraId="4985FD6F" w14:textId="77777777" w:rsidTr="00CE0961">
        <w:tc>
          <w:tcPr>
            <w:tcW w:w="1637" w:type="pct"/>
            <w:shd w:val="clear" w:color="auto" w:fill="auto"/>
            <w:vAlign w:val="center"/>
          </w:tcPr>
          <w:p w14:paraId="382A9CED" w14:textId="77777777" w:rsidR="0025592B" w:rsidRPr="002B4570" w:rsidRDefault="0025592B" w:rsidP="00394B6E">
            <w:pPr>
              <w:pStyle w:val="TableText0"/>
              <w:rPr>
                <w:color w:val="000000"/>
                <w:sz w:val="20"/>
                <w:szCs w:val="20"/>
              </w:rPr>
            </w:pPr>
            <w:r w:rsidRPr="002B4570">
              <w:rPr>
                <w:rFonts w:cs="Calibri"/>
                <w:color w:val="000000"/>
                <w:sz w:val="20"/>
                <w:szCs w:val="20"/>
              </w:rPr>
              <w:t>Abdominal pain</w:t>
            </w:r>
          </w:p>
        </w:tc>
        <w:tc>
          <w:tcPr>
            <w:tcW w:w="1331" w:type="pct"/>
            <w:gridSpan w:val="2"/>
            <w:shd w:val="clear" w:color="auto" w:fill="auto"/>
            <w:vAlign w:val="center"/>
          </w:tcPr>
          <w:p w14:paraId="55D2F841" w14:textId="77777777" w:rsidR="0025592B" w:rsidRPr="00733970" w:rsidRDefault="0025592B" w:rsidP="00394B6E">
            <w:pPr>
              <w:pStyle w:val="TableText0"/>
              <w:rPr>
                <w:color w:val="000000"/>
                <w:sz w:val="20"/>
                <w:szCs w:val="20"/>
              </w:rPr>
            </w:pPr>
            <w:r w:rsidRPr="00733970">
              <w:rPr>
                <w:rFonts w:cs="Calibri"/>
                <w:color w:val="000000"/>
                <w:sz w:val="20"/>
                <w:szCs w:val="20"/>
              </w:rPr>
              <w:t>$0.00</w:t>
            </w:r>
          </w:p>
        </w:tc>
        <w:tc>
          <w:tcPr>
            <w:tcW w:w="1406" w:type="pct"/>
            <w:gridSpan w:val="2"/>
            <w:shd w:val="clear" w:color="auto" w:fill="auto"/>
            <w:vAlign w:val="center"/>
          </w:tcPr>
          <w:p w14:paraId="198AAC62" w14:textId="77777777" w:rsidR="0025592B" w:rsidRPr="00733970" w:rsidRDefault="0025592B" w:rsidP="00394B6E">
            <w:pPr>
              <w:pStyle w:val="TableText0"/>
              <w:rPr>
                <w:color w:val="000000"/>
                <w:sz w:val="20"/>
                <w:szCs w:val="20"/>
              </w:rPr>
            </w:pPr>
            <w:r w:rsidRPr="00733970">
              <w:rPr>
                <w:rFonts w:cs="Calibri"/>
                <w:color w:val="000000"/>
                <w:sz w:val="20"/>
                <w:szCs w:val="20"/>
              </w:rPr>
              <w:t>$211.27</w:t>
            </w:r>
          </w:p>
        </w:tc>
        <w:tc>
          <w:tcPr>
            <w:tcW w:w="626" w:type="pct"/>
            <w:shd w:val="clear" w:color="auto" w:fill="auto"/>
            <w:vAlign w:val="center"/>
          </w:tcPr>
          <w:p w14:paraId="7803EC1D" w14:textId="77777777" w:rsidR="0025592B" w:rsidRPr="00733970" w:rsidRDefault="0025592B" w:rsidP="00394B6E">
            <w:pPr>
              <w:pStyle w:val="TableText0"/>
              <w:rPr>
                <w:color w:val="000000"/>
                <w:sz w:val="20"/>
                <w:szCs w:val="20"/>
              </w:rPr>
            </w:pPr>
            <w:r w:rsidRPr="00733970">
              <w:rPr>
                <w:rFonts w:cs="Calibri"/>
                <w:color w:val="000000"/>
                <w:sz w:val="20"/>
                <w:szCs w:val="20"/>
              </w:rPr>
              <w:t>-$211.27</w:t>
            </w:r>
          </w:p>
        </w:tc>
      </w:tr>
      <w:tr w:rsidR="0025592B" w:rsidRPr="002B4570" w14:paraId="06F2AC14" w14:textId="77777777" w:rsidTr="00CE0961">
        <w:tc>
          <w:tcPr>
            <w:tcW w:w="1637" w:type="pct"/>
            <w:shd w:val="clear" w:color="auto" w:fill="auto"/>
            <w:vAlign w:val="center"/>
          </w:tcPr>
          <w:p w14:paraId="3458708E" w14:textId="77777777" w:rsidR="0025592B" w:rsidRPr="002B4570" w:rsidRDefault="0025592B" w:rsidP="00394B6E">
            <w:pPr>
              <w:pStyle w:val="TableText0"/>
              <w:rPr>
                <w:color w:val="000000"/>
                <w:sz w:val="20"/>
                <w:szCs w:val="20"/>
              </w:rPr>
            </w:pPr>
            <w:r w:rsidRPr="002B4570">
              <w:rPr>
                <w:rFonts w:cs="Calibri"/>
                <w:color w:val="000000"/>
                <w:sz w:val="20"/>
                <w:szCs w:val="20"/>
              </w:rPr>
              <w:t>Angina</w:t>
            </w:r>
          </w:p>
        </w:tc>
        <w:tc>
          <w:tcPr>
            <w:tcW w:w="1331" w:type="pct"/>
            <w:gridSpan w:val="2"/>
            <w:shd w:val="clear" w:color="auto" w:fill="auto"/>
            <w:vAlign w:val="center"/>
          </w:tcPr>
          <w:p w14:paraId="3FE2BA46" w14:textId="77777777" w:rsidR="0025592B" w:rsidRPr="00733970" w:rsidRDefault="0025592B" w:rsidP="00394B6E">
            <w:pPr>
              <w:pStyle w:val="TableText0"/>
              <w:rPr>
                <w:color w:val="000000"/>
                <w:sz w:val="20"/>
                <w:szCs w:val="20"/>
              </w:rPr>
            </w:pPr>
            <w:r w:rsidRPr="00733970">
              <w:rPr>
                <w:rFonts w:cs="Calibri"/>
                <w:color w:val="000000"/>
                <w:sz w:val="20"/>
                <w:szCs w:val="20"/>
              </w:rPr>
              <w:t>$39.65</w:t>
            </w:r>
          </w:p>
        </w:tc>
        <w:tc>
          <w:tcPr>
            <w:tcW w:w="1406" w:type="pct"/>
            <w:gridSpan w:val="2"/>
            <w:shd w:val="clear" w:color="auto" w:fill="auto"/>
            <w:vAlign w:val="center"/>
          </w:tcPr>
          <w:p w14:paraId="7810DC3A" w14:textId="77777777" w:rsidR="0025592B" w:rsidRPr="00733970" w:rsidRDefault="0025592B" w:rsidP="00394B6E">
            <w:pPr>
              <w:pStyle w:val="TableText0"/>
              <w:rPr>
                <w:color w:val="000000"/>
                <w:sz w:val="20"/>
                <w:szCs w:val="20"/>
              </w:rPr>
            </w:pPr>
            <w:r w:rsidRPr="00733970">
              <w:rPr>
                <w:rFonts w:cs="Calibri"/>
                <w:color w:val="000000"/>
                <w:sz w:val="20"/>
                <w:szCs w:val="20"/>
              </w:rPr>
              <w:t>$448.38</w:t>
            </w:r>
          </w:p>
        </w:tc>
        <w:tc>
          <w:tcPr>
            <w:tcW w:w="626" w:type="pct"/>
            <w:shd w:val="clear" w:color="auto" w:fill="auto"/>
            <w:vAlign w:val="center"/>
          </w:tcPr>
          <w:p w14:paraId="39DDA43E" w14:textId="77777777" w:rsidR="0025592B" w:rsidRPr="00733970" w:rsidRDefault="0025592B" w:rsidP="00394B6E">
            <w:pPr>
              <w:pStyle w:val="TableText0"/>
              <w:rPr>
                <w:color w:val="000000"/>
                <w:sz w:val="20"/>
                <w:szCs w:val="20"/>
              </w:rPr>
            </w:pPr>
            <w:r w:rsidRPr="00733970">
              <w:rPr>
                <w:rFonts w:cs="Calibri"/>
                <w:color w:val="000000"/>
                <w:sz w:val="20"/>
                <w:szCs w:val="20"/>
              </w:rPr>
              <w:t>-$408.73</w:t>
            </w:r>
          </w:p>
        </w:tc>
      </w:tr>
      <w:tr w:rsidR="0025592B" w:rsidRPr="002B4570" w14:paraId="5810F811" w14:textId="77777777" w:rsidTr="00CE0961">
        <w:tc>
          <w:tcPr>
            <w:tcW w:w="1637" w:type="pct"/>
            <w:shd w:val="clear" w:color="auto" w:fill="auto"/>
            <w:vAlign w:val="center"/>
          </w:tcPr>
          <w:p w14:paraId="26C02EAB" w14:textId="77777777" w:rsidR="0025592B" w:rsidRPr="002B4570" w:rsidRDefault="0025592B" w:rsidP="00394B6E">
            <w:pPr>
              <w:pStyle w:val="TableText0"/>
              <w:rPr>
                <w:color w:val="000000"/>
                <w:sz w:val="20"/>
                <w:szCs w:val="20"/>
              </w:rPr>
            </w:pPr>
            <w:r w:rsidRPr="002B4570">
              <w:rPr>
                <w:color w:val="000000"/>
                <w:sz w:val="20"/>
                <w:szCs w:val="20"/>
              </w:rPr>
              <w:t>Total TRAE &amp; OE</w:t>
            </w:r>
          </w:p>
        </w:tc>
        <w:tc>
          <w:tcPr>
            <w:tcW w:w="1331" w:type="pct"/>
            <w:gridSpan w:val="2"/>
            <w:shd w:val="clear" w:color="auto" w:fill="auto"/>
            <w:vAlign w:val="center"/>
          </w:tcPr>
          <w:p w14:paraId="35CB20D3"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$2,341.96</w:t>
            </w:r>
          </w:p>
          <w:p w14:paraId="4CB71C2A" w14:textId="77777777" w:rsidR="0025592B" w:rsidRPr="00733970" w:rsidRDefault="0025592B" w:rsidP="00394B6E">
            <w:pPr>
              <w:pStyle w:val="TableText0"/>
              <w:rPr>
                <w:color w:val="000000"/>
                <w:sz w:val="20"/>
                <w:szCs w:val="20"/>
              </w:rPr>
            </w:pPr>
            <w:r w:rsidRPr="00733970">
              <w:rPr>
                <w:rFonts w:cs="Calibri"/>
                <w:color w:val="000000"/>
                <w:sz w:val="20"/>
                <w:szCs w:val="20"/>
              </w:rPr>
              <w:t>Revised: $1,939.71</w:t>
            </w:r>
          </w:p>
        </w:tc>
        <w:tc>
          <w:tcPr>
            <w:tcW w:w="1406" w:type="pct"/>
            <w:gridSpan w:val="2"/>
            <w:shd w:val="clear" w:color="auto" w:fill="auto"/>
            <w:vAlign w:val="center"/>
          </w:tcPr>
          <w:p w14:paraId="27C0451C"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$4,184.98</w:t>
            </w:r>
          </w:p>
          <w:p w14:paraId="16281273" w14:textId="77777777" w:rsidR="0025592B" w:rsidRPr="00733970" w:rsidRDefault="0025592B" w:rsidP="00394B6E">
            <w:pPr>
              <w:pStyle w:val="TableText0"/>
              <w:rPr>
                <w:color w:val="000000"/>
                <w:sz w:val="20"/>
                <w:szCs w:val="20"/>
              </w:rPr>
            </w:pPr>
            <w:r w:rsidRPr="00733970">
              <w:rPr>
                <w:color w:val="000000"/>
                <w:sz w:val="20"/>
                <w:szCs w:val="20"/>
              </w:rPr>
              <w:t>$3,828.85</w:t>
            </w:r>
          </w:p>
        </w:tc>
        <w:tc>
          <w:tcPr>
            <w:tcW w:w="626" w:type="pct"/>
            <w:shd w:val="clear" w:color="auto" w:fill="auto"/>
            <w:vAlign w:val="center"/>
          </w:tcPr>
          <w:p w14:paraId="1A588000" w14:textId="77777777" w:rsidR="0025592B" w:rsidRPr="00733970" w:rsidRDefault="0025592B" w:rsidP="00394B6E">
            <w:pPr>
              <w:pStyle w:val="TableText0"/>
              <w:rPr>
                <w:rFonts w:cs="Calibri"/>
                <w:color w:val="000000"/>
                <w:sz w:val="20"/>
                <w:szCs w:val="20"/>
              </w:rPr>
            </w:pPr>
            <w:r w:rsidRPr="00733970">
              <w:rPr>
                <w:rFonts w:cs="Calibri"/>
                <w:color w:val="000000"/>
                <w:sz w:val="20"/>
                <w:szCs w:val="20"/>
              </w:rPr>
              <w:t>-$1,843.02</w:t>
            </w:r>
          </w:p>
          <w:p w14:paraId="503338A5" w14:textId="77777777" w:rsidR="0025592B" w:rsidRPr="00733970" w:rsidRDefault="0025592B" w:rsidP="00394B6E">
            <w:pPr>
              <w:pStyle w:val="TableText0"/>
              <w:rPr>
                <w:color w:val="000000"/>
                <w:sz w:val="20"/>
                <w:szCs w:val="20"/>
              </w:rPr>
            </w:pPr>
            <w:r w:rsidRPr="00733970">
              <w:rPr>
                <w:color w:val="000000"/>
                <w:sz w:val="20"/>
                <w:szCs w:val="20"/>
              </w:rPr>
              <w:t>-$1,889.14</w:t>
            </w:r>
          </w:p>
        </w:tc>
      </w:tr>
      <w:tr w:rsidR="0025592B" w:rsidRPr="002B4570" w14:paraId="70842AF9" w14:textId="77777777" w:rsidTr="00CE0961">
        <w:tc>
          <w:tcPr>
            <w:tcW w:w="5000" w:type="pct"/>
            <w:gridSpan w:val="6"/>
            <w:shd w:val="clear" w:color="auto" w:fill="auto"/>
            <w:vAlign w:val="center"/>
          </w:tcPr>
          <w:p w14:paraId="1E09941F" w14:textId="77777777" w:rsidR="0025592B" w:rsidRPr="00733970" w:rsidRDefault="0025592B" w:rsidP="00394B6E">
            <w:pPr>
              <w:pStyle w:val="TableText0"/>
              <w:rPr>
                <w:b/>
                <w:bCs w:val="0"/>
                <w:color w:val="000000"/>
                <w:sz w:val="20"/>
                <w:szCs w:val="20"/>
              </w:rPr>
            </w:pPr>
            <w:r w:rsidRPr="00733970">
              <w:rPr>
                <w:b/>
                <w:bCs w:val="0"/>
                <w:color w:val="000000"/>
                <w:sz w:val="20"/>
                <w:szCs w:val="20"/>
              </w:rPr>
              <w:t>Total cost of treatment over 2 years</w:t>
            </w:r>
          </w:p>
        </w:tc>
      </w:tr>
      <w:tr w:rsidR="00CE0961" w:rsidRPr="002B4570" w14:paraId="4A9A8E3F" w14:textId="77777777" w:rsidTr="00CE0961">
        <w:tc>
          <w:tcPr>
            <w:tcW w:w="1637" w:type="pct"/>
            <w:shd w:val="clear" w:color="auto" w:fill="auto"/>
            <w:vAlign w:val="center"/>
          </w:tcPr>
          <w:p w14:paraId="0C6F63C4" w14:textId="30783CD5" w:rsidR="000D5A14" w:rsidRPr="008B10EA" w:rsidRDefault="000D5A14" w:rsidP="000D5A14">
            <w:pPr>
              <w:pStyle w:val="TableText0"/>
              <w:rPr>
                <w:color w:val="000000"/>
                <w:szCs w:val="20"/>
              </w:rPr>
            </w:pPr>
            <w:r w:rsidRPr="008B10EA">
              <w:rPr>
                <w:color w:val="000000"/>
                <w:sz w:val="20"/>
                <w:szCs w:val="20"/>
              </w:rPr>
              <w:t>Total cost revised</w:t>
            </w:r>
            <w:r w:rsidRPr="008B10EA">
              <w:rPr>
                <w:color w:val="000000"/>
                <w:sz w:val="20"/>
                <w:szCs w:val="20"/>
                <w:vertAlign w:val="superscript"/>
              </w:rPr>
              <w:t>a</w:t>
            </w:r>
            <w:r w:rsidRPr="008B10EA">
              <w:rPr>
                <w:color w:val="000000"/>
                <w:sz w:val="20"/>
                <w:szCs w:val="20"/>
              </w:rPr>
              <w:t xml:space="preserve"> no C5.7</w:t>
            </w:r>
            <w:r w:rsidR="00A951D7" w:rsidRPr="008B10EA">
              <w:rPr>
                <w:color w:val="000000"/>
                <w:sz w:val="20"/>
                <w:szCs w:val="20"/>
                <w:vertAlign w:val="superscript"/>
              </w:rPr>
              <w:t>b</w:t>
            </w:r>
          </w:p>
        </w:tc>
        <w:tc>
          <w:tcPr>
            <w:tcW w:w="1331" w:type="pct"/>
            <w:gridSpan w:val="2"/>
            <w:shd w:val="clear" w:color="auto" w:fill="auto"/>
            <w:vAlign w:val="center"/>
          </w:tcPr>
          <w:p w14:paraId="2853106D" w14:textId="6A14353D" w:rsidR="000D5A14" w:rsidRPr="00A42753" w:rsidRDefault="000D5A14" w:rsidP="000D5A14">
            <w:pPr>
              <w:pStyle w:val="TableText0"/>
              <w:rPr>
                <w:rFonts w:cs="Calibri"/>
                <w:color w:val="000000"/>
                <w:szCs w:val="20"/>
                <w:highlight w:val="yellow"/>
              </w:rPr>
            </w:pPr>
            <w:r w:rsidRPr="0058660F">
              <w:rPr>
                <w:rFonts w:cs="Calibri"/>
                <w:color w:val="000000"/>
                <w:sz w:val="20"/>
                <w:szCs w:val="20"/>
              </w:rPr>
              <w:t>$</w:t>
            </w:r>
            <w:r w:rsidR="00341457" w:rsidRPr="00341457">
              <w:rPr>
                <w:rFonts w:cs="Calibri"/>
                <w:color w:val="000000"/>
                <w:spacing w:val="51"/>
                <w:sz w:val="20"/>
                <w:szCs w:val="20"/>
                <w:shd w:val="solid" w:color="000000" w:fill="000000"/>
                <w:fitText w:val="325" w:id="-1436313074"/>
                <w14:textFill>
                  <w14:solidFill>
                    <w14:srgbClr w14:val="000000">
                      <w14:alpha w14:val="100000"/>
                    </w14:srgbClr>
                  </w14:solidFill>
                </w14:textFill>
              </w:rPr>
              <w:t>|||</w:t>
            </w:r>
            <w:r w:rsidR="00341457" w:rsidRPr="00341457">
              <w:rPr>
                <w:rFonts w:cs="Calibri"/>
                <w:color w:val="000000"/>
                <w:spacing w:val="2"/>
                <w:sz w:val="20"/>
                <w:szCs w:val="20"/>
                <w:shd w:val="solid" w:color="000000" w:fill="000000"/>
                <w:fitText w:val="325" w:id="-1436313074"/>
                <w14:textFill>
                  <w14:solidFill>
                    <w14:srgbClr w14:val="000000">
                      <w14:alpha w14:val="100000"/>
                    </w14:srgbClr>
                  </w14:solidFill>
                </w14:textFill>
              </w:rPr>
              <w:t>|</w:t>
            </w:r>
          </w:p>
        </w:tc>
        <w:tc>
          <w:tcPr>
            <w:tcW w:w="1406" w:type="pct"/>
            <w:gridSpan w:val="2"/>
            <w:shd w:val="clear" w:color="auto" w:fill="auto"/>
            <w:vAlign w:val="center"/>
          </w:tcPr>
          <w:p w14:paraId="15A9DE3F" w14:textId="7618C5A3" w:rsidR="000D5A14" w:rsidRPr="00A42753" w:rsidRDefault="000D5A14" w:rsidP="000D5A14">
            <w:pPr>
              <w:pStyle w:val="TableText0"/>
              <w:rPr>
                <w:rFonts w:cs="Calibri"/>
                <w:color w:val="000000"/>
                <w:szCs w:val="20"/>
                <w:highlight w:val="yellow"/>
              </w:rPr>
            </w:pPr>
            <w:r w:rsidRPr="0058660F">
              <w:rPr>
                <w:rFonts w:cs="Calibri"/>
                <w:color w:val="000000"/>
                <w:sz w:val="20"/>
                <w:szCs w:val="20"/>
              </w:rPr>
              <w:t>$135,501.76</w:t>
            </w:r>
          </w:p>
        </w:tc>
        <w:tc>
          <w:tcPr>
            <w:tcW w:w="626" w:type="pct"/>
            <w:shd w:val="clear" w:color="auto" w:fill="auto"/>
            <w:vAlign w:val="center"/>
          </w:tcPr>
          <w:p w14:paraId="30BFD6A7" w14:textId="33D416E1" w:rsidR="000D5A14" w:rsidRPr="00A42753" w:rsidRDefault="000D5A14" w:rsidP="000D5A14">
            <w:pPr>
              <w:pStyle w:val="TableText0"/>
              <w:rPr>
                <w:rFonts w:cs="Calibri"/>
                <w:color w:val="000000"/>
                <w:szCs w:val="20"/>
                <w:highlight w:val="yellow"/>
              </w:rPr>
            </w:pPr>
            <w:r w:rsidRPr="0058660F">
              <w:rPr>
                <w:rFonts w:cs="Calibri"/>
                <w:color w:val="000000"/>
                <w:sz w:val="20"/>
                <w:szCs w:val="20"/>
              </w:rPr>
              <w:t>$</w:t>
            </w:r>
            <w:r w:rsidR="00341457" w:rsidRPr="00341457">
              <w:rPr>
                <w:rFonts w:cs="Calibri"/>
                <w:color w:val="000000"/>
                <w:spacing w:val="51"/>
                <w:sz w:val="20"/>
                <w:szCs w:val="20"/>
                <w:shd w:val="solid" w:color="000000" w:fill="000000"/>
                <w:fitText w:val="326" w:id="-1436313073"/>
                <w14:textFill>
                  <w14:solidFill>
                    <w14:srgbClr w14:val="000000">
                      <w14:alpha w14:val="100000"/>
                    </w14:srgbClr>
                  </w14:solidFill>
                </w14:textFill>
              </w:rPr>
              <w:t>|||</w:t>
            </w:r>
            <w:r w:rsidR="00341457" w:rsidRPr="00341457">
              <w:rPr>
                <w:rFonts w:cs="Calibri"/>
                <w:color w:val="000000"/>
                <w:spacing w:val="3"/>
                <w:sz w:val="20"/>
                <w:szCs w:val="20"/>
                <w:shd w:val="solid" w:color="000000" w:fill="000000"/>
                <w:fitText w:val="326" w:id="-1436313073"/>
                <w14:textFill>
                  <w14:solidFill>
                    <w14:srgbClr w14:val="000000">
                      <w14:alpha w14:val="100000"/>
                    </w14:srgbClr>
                  </w14:solidFill>
                </w14:textFill>
              </w:rPr>
              <w:t>|</w:t>
            </w:r>
          </w:p>
        </w:tc>
      </w:tr>
    </w:tbl>
    <w:p w14:paraId="75A3FDB4" w14:textId="77777777" w:rsidR="009373DE" w:rsidRPr="00B22BCB" w:rsidRDefault="009373DE" w:rsidP="009373DE">
      <w:pPr>
        <w:pStyle w:val="TableFigureFooter"/>
      </w:pPr>
      <w:r w:rsidRPr="00B22BCB">
        <w:t>Source: Table 3(a).4-4, p 194 of the submission.</w:t>
      </w:r>
    </w:p>
    <w:p w14:paraId="1700A679" w14:textId="3055585B" w:rsidR="009373DE" w:rsidRDefault="009373DE" w:rsidP="009373DE">
      <w:pPr>
        <w:pStyle w:val="TableFigureFooter"/>
      </w:pPr>
      <w:r w:rsidRPr="00B22BCB">
        <w:t xml:space="preserve">AEMP: Approved ex-manufacturer price; </w:t>
      </w:r>
      <w:r w:rsidR="00347982" w:rsidRPr="000C1755">
        <w:rPr>
          <w:i/>
          <w:iCs/>
        </w:rPr>
        <w:t>C5.7 = Clause 5.7</w:t>
      </w:r>
      <w:r w:rsidR="00347982">
        <w:rPr>
          <w:i/>
          <w:iCs/>
        </w:rPr>
        <w:t xml:space="preserve">; </w:t>
      </w:r>
      <w:r w:rsidRPr="00B22BCB">
        <w:t>TRAE = treatment-related adverse event; TE = thromboembolism; VO = vascular occlusion; OE = occlusive events.</w:t>
      </w:r>
    </w:p>
    <w:p w14:paraId="58EEF04F" w14:textId="370616EF" w:rsidR="00EF27B2" w:rsidRPr="008B10EA" w:rsidRDefault="00EF27B2" w:rsidP="009373DE">
      <w:pPr>
        <w:pStyle w:val="TableFigureFooter"/>
      </w:pPr>
      <w:r w:rsidRPr="008B10EA">
        <w:rPr>
          <w:vertAlign w:val="superscript"/>
        </w:rPr>
        <w:t>a</w:t>
      </w:r>
      <w:r w:rsidRPr="008B10EA">
        <w:t xml:space="preserve"> Revised by the evaluation so that the equi-effective doses are consistent with the doses used in the studies, and adjustment of the increased lipase/amylase hospital cost estimate, and no incremental cost for ECG.</w:t>
      </w:r>
    </w:p>
    <w:p w14:paraId="70B9800F" w14:textId="7066E953" w:rsidR="009E01A0" w:rsidRPr="008B10EA" w:rsidRDefault="009D523F" w:rsidP="009373DE">
      <w:pPr>
        <w:pStyle w:val="TableFigureFooter"/>
      </w:pPr>
      <w:r w:rsidRPr="008B10EA">
        <w:rPr>
          <w:vertAlign w:val="superscript"/>
        </w:rPr>
        <w:t>b</w:t>
      </w:r>
      <w:r w:rsidRPr="008B10EA">
        <w:t xml:space="preserve"> </w:t>
      </w:r>
      <w:r w:rsidR="00DA16B1" w:rsidRPr="008B10EA">
        <w:t xml:space="preserve">The submission proposed </w:t>
      </w:r>
      <w:r w:rsidRPr="008B10EA">
        <w:t>AEMP correspond</w:t>
      </w:r>
      <w:r w:rsidR="00DA16B1" w:rsidRPr="008B10EA">
        <w:t>ed</w:t>
      </w:r>
      <w:r w:rsidRPr="008B10EA">
        <w:t xml:space="preserve"> to prior 5% F1 anniversary price reductions for ponatinib (application of Clause 5.7). “No C5.7” in the table  refers to AEMP without Clause 5.7 applied.</w:t>
      </w:r>
    </w:p>
    <w:p w14:paraId="638525CD" w14:textId="4FBD7F77" w:rsidR="00FF1B7C" w:rsidRPr="002E7D71" w:rsidRDefault="00FF1B7C" w:rsidP="00430CEE">
      <w:pPr>
        <w:pStyle w:val="3-BodyText"/>
      </w:pPr>
      <w:bookmarkStart w:id="58" w:name="_Ref106279017"/>
      <w:r w:rsidRPr="002E7D71">
        <w:t>The submission’s economic costings have been revised during the evaluation so that the dosing is consistent with the doses used in the studies (asciminib 79.8 mg/day, ponatinib 30.</w:t>
      </w:r>
      <w:r w:rsidR="00733970" w:rsidRPr="002E7D71">
        <w:t>0</w:t>
      </w:r>
      <w:r w:rsidR="00733970">
        <w:t> </w:t>
      </w:r>
      <w:r w:rsidRPr="002E7D71">
        <w:t xml:space="preserve">mg/day). Also, the ECG and </w:t>
      </w:r>
      <w:r w:rsidR="00316B89" w:rsidRPr="002E7D71">
        <w:t xml:space="preserve">increased lipase/amylase </w:t>
      </w:r>
      <w:r w:rsidRPr="002E7D71">
        <w:t xml:space="preserve">hospitalisation </w:t>
      </w:r>
      <w:r w:rsidR="00256513" w:rsidRPr="002E7D71">
        <w:t>costs</w:t>
      </w:r>
      <w:r w:rsidRPr="002E7D71">
        <w:t xml:space="preserve"> are updated</w:t>
      </w:r>
      <w:r w:rsidR="00316B89" w:rsidRPr="002E7D71">
        <w:t>, and application of Clause 5.7 has been removed</w:t>
      </w:r>
      <w:r w:rsidRPr="002E7D71">
        <w:t xml:space="preserve">. With these revised inputs, the submission’s model back-calculates an AEMP of </w:t>
      </w:r>
      <w:r w:rsidR="00316B89" w:rsidRPr="0058660F">
        <w:rPr>
          <w:color w:val="000000"/>
        </w:rPr>
        <w:t>$</w:t>
      </w:r>
      <w:r w:rsidR="00341457" w:rsidRPr="00464105">
        <w:rPr>
          <w:color w:val="000000"/>
          <w:w w:val="15"/>
          <w:shd w:val="solid" w:color="000000" w:fill="000000"/>
          <w:fitText w:val="-20" w:id="-1436313072"/>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72"/>
          <w14:textFill>
            <w14:solidFill>
              <w14:srgbClr w14:val="000000">
                <w14:alpha w14:val="100000"/>
              </w14:srgbClr>
            </w14:solidFill>
          </w14:textFill>
        </w:rPr>
        <w:t>|</w:t>
      </w:r>
      <w:r w:rsidRPr="006D489A">
        <w:t xml:space="preserve"> </w:t>
      </w:r>
      <w:r w:rsidRPr="00733970">
        <w:t>per</w:t>
      </w:r>
      <w:r w:rsidRPr="002E7D71">
        <w:t xml:space="preserve"> asciminib pack is required for cost-minimisation against </w:t>
      </w:r>
      <w:r w:rsidR="00316B89" w:rsidRPr="002E7D71">
        <w:t>ponatinib</w:t>
      </w:r>
      <w:r w:rsidRPr="002E7D71">
        <w:t xml:space="preserve">. </w:t>
      </w:r>
    </w:p>
    <w:p w14:paraId="54018D5F" w14:textId="066A4DD1" w:rsidR="0025592B" w:rsidRDefault="0025592B" w:rsidP="00430CEE">
      <w:pPr>
        <w:pStyle w:val="3-BodyText"/>
      </w:pPr>
      <w:bookmarkStart w:id="59" w:name="_Ref106617252"/>
      <w:r w:rsidRPr="002B4570">
        <w:t>As discussed previously, the equi-effective doses proposed by the submission are not based on the evidence</w:t>
      </w:r>
      <w:r w:rsidR="00385A7C" w:rsidRPr="002B4570">
        <w:t>,</w:t>
      </w:r>
      <w:r w:rsidRPr="002B4570">
        <w:t xml:space="preserve"> and the </w:t>
      </w:r>
      <w:r w:rsidR="008F2ACE">
        <w:t>evaluation</w:t>
      </w:r>
      <w:r w:rsidR="008F2ACE" w:rsidRPr="002B4570">
        <w:t xml:space="preserve"> </w:t>
      </w:r>
      <w:r w:rsidRPr="002B4570">
        <w:t xml:space="preserve">revised the equi-effective doses and prescription requirements to match the median doses used in the studies. In addition, the </w:t>
      </w:r>
      <w:r w:rsidR="00AA2193">
        <w:t>AE</w:t>
      </w:r>
      <w:r w:rsidRPr="002B4570">
        <w:t xml:space="preserve"> hospitalisation costs </w:t>
      </w:r>
      <w:r w:rsidRPr="008A4101">
        <w:t xml:space="preserve">are likely to be an overestimate and an adjustment has only been made to the increased lipase/amylase hospital cost estimate. Also, as </w:t>
      </w:r>
      <w:r w:rsidR="00337BFF" w:rsidRPr="008A4101">
        <w:t>asciminib</w:t>
      </w:r>
      <w:r w:rsidRPr="008A4101">
        <w:t xml:space="preserve"> and ponatinib require one baseline ECG only, there should be no incremental cost of this investigation.</w:t>
      </w:r>
      <w:r w:rsidR="006E1AB3">
        <w:t xml:space="preserve"> </w:t>
      </w:r>
      <w:r w:rsidR="006E1AB3" w:rsidRPr="002E7D71">
        <w:t>The PSCR agreed with the evaluation that this proposed revision to the CMA is reasonable.</w:t>
      </w:r>
      <w:bookmarkEnd w:id="58"/>
      <w:bookmarkEnd w:id="59"/>
    </w:p>
    <w:p w14:paraId="58041B87" w14:textId="194CE38B" w:rsidR="00952EF1" w:rsidRDefault="00952EF1" w:rsidP="00952EF1">
      <w:pPr>
        <w:pStyle w:val="3-BodyText"/>
      </w:pPr>
      <w:r>
        <w:t xml:space="preserve">The PBAC considered the economic evaluation of asciminib versus ponatinib was not informative as it </w:t>
      </w:r>
      <w:r w:rsidR="005E12D6">
        <w:t>was not</w:t>
      </w:r>
      <w:r>
        <w:t xml:space="preserve"> based on the circumstance of use for patients with </w:t>
      </w:r>
      <w:r w:rsidR="00390D9F">
        <w:t xml:space="preserve">the </w:t>
      </w:r>
      <w:r>
        <w:t>T315I mutation.</w:t>
      </w:r>
    </w:p>
    <w:p w14:paraId="0ED1FC4B" w14:textId="4EB3E2D7" w:rsidR="006E1AB3" w:rsidRPr="006E1AB3" w:rsidRDefault="006E1AB3" w:rsidP="006E1AB3">
      <w:pPr>
        <w:pStyle w:val="3-BodyText"/>
        <w:rPr>
          <w:i/>
          <w:iCs/>
        </w:rPr>
      </w:pPr>
      <w:r w:rsidRPr="002B4570">
        <w:t>The proposed effective AEMP was calculated as the weighted average of the AEMPs for asciminib that resulted in an identical cost of treatment over two years from the cost-minimisation analyses versus nilotinib and ponatinib, where the relative substitution from nilotinib (</w:t>
      </w:r>
      <w:r w:rsidR="00341457" w:rsidRPr="00464105">
        <w:rPr>
          <w:color w:val="000000"/>
          <w:w w:val="15"/>
          <w:shd w:val="solid" w:color="000000" w:fill="000000"/>
          <w:fitText w:val="-20" w:id="-1436313088"/>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88"/>
          <w14:textFill>
            <w14:solidFill>
              <w14:srgbClr w14:val="000000">
                <w14:alpha w14:val="100000"/>
              </w14:srgbClr>
            </w14:solidFill>
          </w14:textFill>
        </w:rPr>
        <w:t>|</w:t>
      </w:r>
      <w:r w:rsidRPr="002B4570">
        <w:t>%) and ponatinib (</w:t>
      </w:r>
      <w:r w:rsidR="00341457" w:rsidRPr="00464105">
        <w:rPr>
          <w:color w:val="000000"/>
          <w:w w:val="15"/>
          <w:shd w:val="solid" w:color="000000" w:fill="000000"/>
          <w:fitText w:val="-20" w:id="-1436313087"/>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87"/>
          <w14:textFill>
            <w14:solidFill>
              <w14:srgbClr w14:val="000000">
                <w14:alpha w14:val="100000"/>
              </w14:srgbClr>
            </w14:solidFill>
          </w14:textFill>
        </w:rPr>
        <w:t>|</w:t>
      </w:r>
      <w:r w:rsidRPr="002B4570">
        <w:t xml:space="preserve">%) served as the weights. It was unclear how the submission determined these weightings. </w:t>
      </w:r>
    </w:p>
    <w:p w14:paraId="283AC720" w14:textId="431A1F8D" w:rsidR="00DE1BA3" w:rsidRPr="002E7D71" w:rsidRDefault="00F3065A" w:rsidP="00430CEE">
      <w:pPr>
        <w:pStyle w:val="3-BodyText"/>
      </w:pPr>
      <w:r w:rsidRPr="002E7D71">
        <w:rPr>
          <w:rFonts w:cstheme="minorHAnsi"/>
          <w:highlight w:val="yellow"/>
        </w:rPr>
        <w:fldChar w:fldCharType="begin"/>
      </w:r>
      <w:r w:rsidRPr="002E7D71">
        <w:rPr>
          <w:rFonts w:cstheme="minorHAnsi"/>
        </w:rPr>
        <w:instrText xml:space="preserve"> REF _Ref104374343 \h </w:instrText>
      </w:r>
      <w:r w:rsidRPr="002E7D71">
        <w:rPr>
          <w:rFonts w:cstheme="minorHAnsi"/>
          <w:highlight w:val="yellow"/>
        </w:rPr>
        <w:instrText xml:space="preserve"> \* MERGEFORMAT </w:instrText>
      </w:r>
      <w:r w:rsidRPr="002E7D71">
        <w:rPr>
          <w:rFonts w:cstheme="minorHAnsi"/>
          <w:highlight w:val="yellow"/>
        </w:rPr>
      </w:r>
      <w:r w:rsidRPr="002E7D71">
        <w:rPr>
          <w:rFonts w:cstheme="minorHAnsi"/>
          <w:highlight w:val="yellow"/>
        </w:rPr>
        <w:fldChar w:fldCharType="separate"/>
      </w:r>
      <w:r w:rsidR="00A914F4" w:rsidRPr="00A914F4">
        <w:rPr>
          <w:rFonts w:cstheme="minorHAnsi"/>
        </w:rPr>
        <w:t xml:space="preserve">Table </w:t>
      </w:r>
      <w:r w:rsidR="00A914F4" w:rsidRPr="00A914F4">
        <w:rPr>
          <w:rFonts w:cstheme="minorHAnsi"/>
          <w:noProof/>
        </w:rPr>
        <w:t>16</w:t>
      </w:r>
      <w:r w:rsidRPr="002E7D71">
        <w:rPr>
          <w:rFonts w:cstheme="minorHAnsi"/>
          <w:highlight w:val="yellow"/>
        </w:rPr>
        <w:fldChar w:fldCharType="end"/>
      </w:r>
      <w:r w:rsidR="00DE1BA3" w:rsidRPr="002E7D71">
        <w:rPr>
          <w:rFonts w:cstheme="minorHAnsi"/>
        </w:rPr>
        <w:t xml:space="preserve"> </w:t>
      </w:r>
      <w:r w:rsidR="00DE1BA3" w:rsidRPr="002E7D71">
        <w:t xml:space="preserve">summarises </w:t>
      </w:r>
      <w:r w:rsidR="00DE1BA3" w:rsidRPr="008263CE">
        <w:t>the pricing of asc</w:t>
      </w:r>
      <w:r w:rsidR="007C238C" w:rsidRPr="008263CE">
        <w:t>iminib</w:t>
      </w:r>
      <w:r w:rsidR="00DE1BA3" w:rsidRPr="008263CE">
        <w:t xml:space="preserve"> </w:t>
      </w:r>
      <w:bookmarkStart w:id="60" w:name="_Hlk106616187"/>
      <w:r w:rsidR="00DE1BA3" w:rsidRPr="008263CE">
        <w:t>without the application of Clause 5.7 of the Strategic Agreement</w:t>
      </w:r>
      <w:bookmarkEnd w:id="60"/>
      <w:r w:rsidR="002C18D5" w:rsidRPr="008263CE">
        <w:t xml:space="preserve"> (paragraph</w:t>
      </w:r>
      <w:r w:rsidR="005D0C8A" w:rsidRPr="008263CE">
        <w:t xml:space="preserve"> </w:t>
      </w:r>
      <w:r w:rsidR="007574E8" w:rsidRPr="008263CE">
        <w:fldChar w:fldCharType="begin"/>
      </w:r>
      <w:r w:rsidR="007574E8" w:rsidRPr="008263CE">
        <w:instrText xml:space="preserve"> REF _Ref110516425 \r \h </w:instrText>
      </w:r>
      <w:r w:rsidR="008263CE">
        <w:instrText xml:space="preserve"> \* MERGEFORMAT </w:instrText>
      </w:r>
      <w:r w:rsidR="007574E8" w:rsidRPr="008263CE">
        <w:fldChar w:fldCharType="separate"/>
      </w:r>
      <w:r w:rsidR="00A914F4">
        <w:t>6.48</w:t>
      </w:r>
      <w:r w:rsidR="007574E8" w:rsidRPr="008263CE">
        <w:fldChar w:fldCharType="end"/>
      </w:r>
      <w:r w:rsidR="002C18D5" w:rsidRPr="008263CE">
        <w:t>)</w:t>
      </w:r>
      <w:r w:rsidR="00DE1BA3" w:rsidRPr="008263CE">
        <w:t xml:space="preserve">, using the weighting </w:t>
      </w:r>
      <w:r w:rsidR="006F6F86" w:rsidRPr="008263CE">
        <w:t>for the relative substitution of</w:t>
      </w:r>
      <w:r w:rsidR="00DE1BA3" w:rsidRPr="008263CE">
        <w:t xml:space="preserve"> nilotinib and ponatinib (</w:t>
      </w:r>
      <w:r w:rsidR="00341457" w:rsidRPr="00464105">
        <w:rPr>
          <w:color w:val="000000"/>
          <w:w w:val="15"/>
          <w:shd w:val="solid" w:color="000000" w:fill="000000"/>
          <w:fitText w:val="-20" w:id="-1436313086"/>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86"/>
          <w14:textFill>
            <w14:solidFill>
              <w14:srgbClr w14:val="000000">
                <w14:alpha w14:val="100000"/>
              </w14:srgbClr>
            </w14:solidFill>
          </w14:textFill>
        </w:rPr>
        <w:t>|</w:t>
      </w:r>
      <w:r w:rsidR="00DE1BA3" w:rsidRPr="008263CE">
        <w:t xml:space="preserve">% and </w:t>
      </w:r>
      <w:r w:rsidR="00341457" w:rsidRPr="00464105">
        <w:rPr>
          <w:color w:val="000000"/>
          <w:w w:val="15"/>
          <w:shd w:val="solid" w:color="000000" w:fill="000000"/>
          <w:fitText w:val="-20" w:id="-1436313085"/>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85"/>
          <w14:textFill>
            <w14:solidFill>
              <w14:srgbClr w14:val="000000">
                <w14:alpha w14:val="100000"/>
              </w14:srgbClr>
            </w14:solidFill>
          </w14:textFill>
        </w:rPr>
        <w:t>|</w:t>
      </w:r>
      <w:r w:rsidR="00DE1BA3" w:rsidRPr="008263CE">
        <w:t>%,</w:t>
      </w:r>
      <w:r w:rsidR="00DE1BA3" w:rsidRPr="002E7D71">
        <w:t xml:space="preserve"> respectively) </w:t>
      </w:r>
      <w:r w:rsidRPr="002E7D71">
        <w:t>applied</w:t>
      </w:r>
      <w:r w:rsidR="006F6F86" w:rsidRPr="002E7D71">
        <w:t xml:space="preserve"> in the submission.</w:t>
      </w:r>
      <w:r w:rsidR="00012A4C" w:rsidRPr="002E7D71">
        <w:t xml:space="preserve"> The calculations are summarised for</w:t>
      </w:r>
      <w:r w:rsidR="003A04E1" w:rsidRPr="002E7D71">
        <w:t xml:space="preserve"> both</w:t>
      </w:r>
      <w:r w:rsidR="00012A4C" w:rsidRPr="002E7D71">
        <w:t xml:space="preserve"> the submission base case and the revisions performed during the evaluation.</w:t>
      </w:r>
    </w:p>
    <w:p w14:paraId="4F617D41" w14:textId="799AF36B" w:rsidR="006F6F86" w:rsidRPr="002E7D71" w:rsidRDefault="006F6F86" w:rsidP="00F75607">
      <w:pPr>
        <w:pStyle w:val="Caption"/>
        <w:keepNext/>
        <w:keepLines/>
        <w:spacing w:after="0"/>
        <w:rPr>
          <w:rFonts w:ascii="Arial Narrow" w:hAnsi="Arial Narrow"/>
          <w:sz w:val="20"/>
          <w:szCs w:val="20"/>
        </w:rPr>
      </w:pPr>
      <w:bookmarkStart w:id="61" w:name="_Ref104374343"/>
      <w:r w:rsidRPr="002E7D71">
        <w:rPr>
          <w:rFonts w:ascii="Arial Narrow" w:hAnsi="Arial Narrow"/>
          <w:color w:val="auto"/>
          <w:sz w:val="20"/>
          <w:szCs w:val="20"/>
        </w:rPr>
        <w:t xml:space="preserve">Table </w:t>
      </w:r>
      <w:r w:rsidRPr="002E7D71">
        <w:rPr>
          <w:rFonts w:ascii="Arial Narrow" w:hAnsi="Arial Narrow"/>
          <w:color w:val="auto"/>
          <w:sz w:val="20"/>
          <w:szCs w:val="20"/>
        </w:rPr>
        <w:fldChar w:fldCharType="begin"/>
      </w:r>
      <w:r w:rsidRPr="002E7D71">
        <w:rPr>
          <w:rFonts w:ascii="Arial Narrow" w:hAnsi="Arial Narrow"/>
          <w:color w:val="auto"/>
          <w:sz w:val="20"/>
          <w:szCs w:val="20"/>
        </w:rPr>
        <w:instrText xml:space="preserve"> SEQ Table \* ARABIC </w:instrText>
      </w:r>
      <w:r w:rsidRPr="002E7D71">
        <w:rPr>
          <w:rFonts w:ascii="Arial Narrow" w:hAnsi="Arial Narrow"/>
          <w:color w:val="auto"/>
          <w:sz w:val="20"/>
          <w:szCs w:val="20"/>
        </w:rPr>
        <w:fldChar w:fldCharType="separate"/>
      </w:r>
      <w:r w:rsidR="00A914F4">
        <w:rPr>
          <w:rFonts w:ascii="Arial Narrow" w:hAnsi="Arial Narrow"/>
          <w:noProof/>
          <w:color w:val="auto"/>
          <w:sz w:val="20"/>
          <w:szCs w:val="20"/>
        </w:rPr>
        <w:t>16</w:t>
      </w:r>
      <w:r w:rsidRPr="002E7D71">
        <w:rPr>
          <w:rFonts w:ascii="Arial Narrow" w:hAnsi="Arial Narrow"/>
          <w:color w:val="auto"/>
          <w:sz w:val="20"/>
          <w:szCs w:val="20"/>
        </w:rPr>
        <w:fldChar w:fldCharType="end"/>
      </w:r>
      <w:bookmarkEnd w:id="61"/>
      <w:r w:rsidRPr="002E7D71">
        <w:rPr>
          <w:rFonts w:ascii="Arial Narrow" w:hAnsi="Arial Narrow"/>
          <w:color w:val="auto"/>
          <w:sz w:val="20"/>
          <w:szCs w:val="20"/>
        </w:rPr>
        <w:t>: Asciminib pricing summary</w:t>
      </w:r>
      <w:r w:rsidR="006430E6" w:rsidRPr="002E7D71">
        <w:rPr>
          <w:rFonts w:ascii="Arial Narrow" w:hAnsi="Arial Narrow"/>
          <w:color w:val="auto"/>
          <w:sz w:val="20"/>
          <w:szCs w:val="20"/>
        </w:rPr>
        <w:t xml:space="preserve"> without the application of Clause 5.7 of the Strategic Agreement</w:t>
      </w:r>
      <w:r w:rsidR="006430E6" w:rsidRPr="002E7D71">
        <w:rPr>
          <w:rFonts w:ascii="Arial Narrow" w:hAnsi="Arial Narrow"/>
          <w:color w:val="auto"/>
          <w:sz w:val="20"/>
          <w:szCs w:val="20"/>
          <w:vertAlign w:val="superscript"/>
        </w:rPr>
        <w:t>a</w:t>
      </w:r>
    </w:p>
    <w:tbl>
      <w:tblPr>
        <w:tblStyle w:val="Summarybox1"/>
        <w:tblW w:w="5000" w:type="pct"/>
        <w:tblLook w:val="04A0" w:firstRow="1" w:lastRow="0" w:firstColumn="1" w:lastColumn="0" w:noHBand="0" w:noVBand="1"/>
      </w:tblPr>
      <w:tblGrid>
        <w:gridCol w:w="2689"/>
        <w:gridCol w:w="2108"/>
        <w:gridCol w:w="2108"/>
        <w:gridCol w:w="2112"/>
      </w:tblGrid>
      <w:tr w:rsidR="00B62EC9" w:rsidRPr="002E7D71" w14:paraId="6A8AD584" w14:textId="2192EFA4" w:rsidTr="00B62EC9">
        <w:tc>
          <w:tcPr>
            <w:tcW w:w="1491" w:type="pct"/>
            <w:tcBorders>
              <w:bottom w:val="single" w:sz="4" w:space="0" w:color="auto"/>
            </w:tcBorders>
            <w:shd w:val="clear" w:color="auto" w:fill="auto"/>
            <w:vAlign w:val="center"/>
          </w:tcPr>
          <w:p w14:paraId="070BA64C" w14:textId="77777777" w:rsidR="00B62EC9" w:rsidRPr="002E7D71" w:rsidRDefault="00B62EC9" w:rsidP="00F75607">
            <w:pPr>
              <w:pStyle w:val="Tabletext"/>
              <w:keepNext/>
              <w:keepLines/>
            </w:pPr>
          </w:p>
        </w:tc>
        <w:tc>
          <w:tcPr>
            <w:tcW w:w="1169" w:type="pct"/>
            <w:tcBorders>
              <w:bottom w:val="single" w:sz="4" w:space="0" w:color="auto"/>
            </w:tcBorders>
            <w:shd w:val="clear" w:color="auto" w:fill="auto"/>
            <w:vAlign w:val="center"/>
          </w:tcPr>
          <w:p w14:paraId="4E2280A0" w14:textId="77777777" w:rsidR="00B62EC9" w:rsidRPr="002E7D71" w:rsidRDefault="00B62EC9" w:rsidP="00F75607">
            <w:pPr>
              <w:pStyle w:val="Tabletext"/>
              <w:keepNext/>
              <w:keepLines/>
              <w:jc w:val="center"/>
              <w:rPr>
                <w:b/>
                <w:bCs/>
                <w:color w:val="000000"/>
              </w:rPr>
            </w:pPr>
            <w:r w:rsidRPr="002E7D71">
              <w:rPr>
                <w:b/>
                <w:bCs/>
                <w:color w:val="000000"/>
              </w:rPr>
              <w:t>Asciminib EMP</w:t>
            </w:r>
          </w:p>
          <w:p w14:paraId="44AE501F" w14:textId="36A22288" w:rsidR="00B62EC9" w:rsidRPr="002E7D71" w:rsidRDefault="00B62EC9" w:rsidP="00F75607">
            <w:pPr>
              <w:pStyle w:val="Tabletext"/>
              <w:keepNext/>
              <w:keepLines/>
              <w:jc w:val="center"/>
              <w:rPr>
                <w:b/>
                <w:bCs/>
                <w:color w:val="000000"/>
              </w:rPr>
            </w:pPr>
            <w:r w:rsidRPr="002E7D71">
              <w:rPr>
                <w:b/>
                <w:bCs/>
                <w:color w:val="000000"/>
              </w:rPr>
              <w:t>40 mg and 20 mg</w:t>
            </w:r>
          </w:p>
        </w:tc>
        <w:tc>
          <w:tcPr>
            <w:tcW w:w="1169" w:type="pct"/>
            <w:tcBorders>
              <w:bottom w:val="single" w:sz="4" w:space="0" w:color="auto"/>
            </w:tcBorders>
            <w:shd w:val="clear" w:color="auto" w:fill="auto"/>
            <w:vAlign w:val="center"/>
          </w:tcPr>
          <w:p w14:paraId="5C6EDE03" w14:textId="77777777" w:rsidR="00B62EC9" w:rsidRPr="002E7D71" w:rsidRDefault="00B62EC9" w:rsidP="00F75607">
            <w:pPr>
              <w:keepNext/>
              <w:keepLines/>
              <w:jc w:val="center"/>
              <w:rPr>
                <w:rFonts w:ascii="Arial Narrow" w:hAnsi="Arial Narrow" w:cs="Times New Roman"/>
                <w:b/>
                <w:bCs/>
                <w:snapToGrid w:val="0"/>
                <w:color w:val="000000"/>
                <w:sz w:val="20"/>
              </w:rPr>
            </w:pPr>
            <w:r w:rsidRPr="002E7D71">
              <w:rPr>
                <w:rFonts w:ascii="Arial Narrow" w:hAnsi="Arial Narrow" w:cs="Times New Roman"/>
                <w:b/>
                <w:bCs/>
                <w:snapToGrid w:val="0"/>
                <w:color w:val="000000"/>
                <w:sz w:val="20"/>
              </w:rPr>
              <w:t>Asciminib EMP</w:t>
            </w:r>
          </w:p>
          <w:p w14:paraId="71FDC7F6" w14:textId="2447FFE5" w:rsidR="00B62EC9" w:rsidRPr="002E7D71" w:rsidRDefault="00B62EC9" w:rsidP="00F75607">
            <w:pPr>
              <w:keepNext/>
              <w:keepLines/>
              <w:jc w:val="center"/>
              <w:rPr>
                <w:rFonts w:ascii="Arial Narrow" w:hAnsi="Arial Narrow" w:cs="Times New Roman"/>
                <w:b/>
                <w:bCs/>
                <w:snapToGrid w:val="0"/>
                <w:color w:val="000000"/>
                <w:sz w:val="20"/>
              </w:rPr>
            </w:pPr>
            <w:r w:rsidRPr="002E7D71">
              <w:rPr>
                <w:rFonts w:ascii="Arial Narrow" w:hAnsi="Arial Narrow" w:cs="Times New Roman"/>
                <w:b/>
                <w:bCs/>
                <w:snapToGrid w:val="0"/>
                <w:color w:val="000000"/>
                <w:sz w:val="20"/>
              </w:rPr>
              <w:t>40 mg and 20 mg</w:t>
            </w:r>
          </w:p>
          <w:p w14:paraId="5805CFB2" w14:textId="024B8B63" w:rsidR="00B62EC9" w:rsidRPr="002E7D71" w:rsidRDefault="00E47F54" w:rsidP="00F75607">
            <w:pPr>
              <w:pStyle w:val="Tabletext"/>
              <w:keepNext/>
              <w:keepLines/>
              <w:jc w:val="center"/>
              <w:rPr>
                <w:b/>
                <w:bCs/>
                <w:color w:val="000000"/>
              </w:rPr>
            </w:pPr>
            <w:r w:rsidRPr="002E7D71">
              <w:rPr>
                <w:b/>
                <w:bCs/>
                <w:color w:val="000000"/>
              </w:rPr>
              <w:t>w</w:t>
            </w:r>
            <w:r w:rsidR="00B62EC9" w:rsidRPr="002E7D71">
              <w:rPr>
                <w:b/>
                <w:bCs/>
                <w:color w:val="000000"/>
              </w:rPr>
              <w:t>eighted</w:t>
            </w:r>
            <w:r w:rsidR="006430E6" w:rsidRPr="002E7D71">
              <w:rPr>
                <w:b/>
                <w:bCs/>
                <w:color w:val="000000"/>
                <w:vertAlign w:val="superscript"/>
              </w:rPr>
              <w:t>b</w:t>
            </w:r>
          </w:p>
        </w:tc>
        <w:tc>
          <w:tcPr>
            <w:tcW w:w="1171" w:type="pct"/>
            <w:tcBorders>
              <w:bottom w:val="single" w:sz="4" w:space="0" w:color="auto"/>
            </w:tcBorders>
          </w:tcPr>
          <w:p w14:paraId="0E1D1A2D" w14:textId="72D1FC4D" w:rsidR="000E3D3F" w:rsidRPr="002E7D71" w:rsidRDefault="000E3D3F" w:rsidP="00F75607">
            <w:pPr>
              <w:keepNext/>
              <w:keepLines/>
              <w:jc w:val="center"/>
              <w:rPr>
                <w:rFonts w:ascii="Arial Narrow" w:hAnsi="Arial Narrow" w:cs="Times New Roman"/>
                <w:b/>
                <w:bCs/>
                <w:snapToGrid w:val="0"/>
                <w:color w:val="000000"/>
                <w:sz w:val="20"/>
              </w:rPr>
            </w:pPr>
            <w:r w:rsidRPr="002E7D71">
              <w:rPr>
                <w:rFonts w:ascii="Arial Narrow" w:hAnsi="Arial Narrow" w:cs="Times New Roman"/>
                <w:b/>
                <w:bCs/>
                <w:snapToGrid w:val="0"/>
                <w:color w:val="000000"/>
                <w:sz w:val="20"/>
              </w:rPr>
              <w:t>Asciminib DPMQ</w:t>
            </w:r>
          </w:p>
          <w:p w14:paraId="0D81D67D" w14:textId="77777777" w:rsidR="000E3D3F" w:rsidRPr="002E7D71" w:rsidRDefault="000E3D3F" w:rsidP="00F75607">
            <w:pPr>
              <w:keepNext/>
              <w:keepLines/>
              <w:jc w:val="center"/>
              <w:rPr>
                <w:rFonts w:ascii="Arial Narrow" w:hAnsi="Arial Narrow" w:cs="Times New Roman"/>
                <w:b/>
                <w:bCs/>
                <w:snapToGrid w:val="0"/>
                <w:color w:val="000000"/>
                <w:sz w:val="20"/>
              </w:rPr>
            </w:pPr>
            <w:r w:rsidRPr="002E7D71">
              <w:rPr>
                <w:rFonts w:ascii="Arial Narrow" w:hAnsi="Arial Narrow" w:cs="Times New Roman"/>
                <w:b/>
                <w:bCs/>
                <w:snapToGrid w:val="0"/>
                <w:color w:val="000000"/>
                <w:sz w:val="20"/>
              </w:rPr>
              <w:t>40 mg and 20 mg</w:t>
            </w:r>
          </w:p>
          <w:p w14:paraId="1D0021A0" w14:textId="502A8255" w:rsidR="00B62EC9" w:rsidRPr="002E7D71" w:rsidRDefault="00E47F54" w:rsidP="00F75607">
            <w:pPr>
              <w:keepNext/>
              <w:keepLines/>
              <w:jc w:val="center"/>
              <w:rPr>
                <w:rFonts w:ascii="Arial Narrow" w:hAnsi="Arial Narrow" w:cs="Times New Roman"/>
                <w:b/>
                <w:bCs/>
                <w:snapToGrid w:val="0"/>
                <w:color w:val="000000"/>
                <w:sz w:val="20"/>
                <w:szCs w:val="20"/>
              </w:rPr>
            </w:pPr>
            <w:r w:rsidRPr="002E7D71">
              <w:rPr>
                <w:rFonts w:ascii="Arial Narrow" w:hAnsi="Arial Narrow"/>
                <w:b/>
                <w:bCs/>
                <w:color w:val="000000"/>
                <w:sz w:val="20"/>
                <w:szCs w:val="20"/>
              </w:rPr>
              <w:t>w</w:t>
            </w:r>
            <w:r w:rsidR="000E3D3F" w:rsidRPr="002E7D71">
              <w:rPr>
                <w:rFonts w:ascii="Arial Narrow" w:hAnsi="Arial Narrow"/>
                <w:b/>
                <w:bCs/>
                <w:color w:val="000000"/>
                <w:sz w:val="20"/>
                <w:szCs w:val="20"/>
              </w:rPr>
              <w:t>eighted</w:t>
            </w:r>
            <w:r w:rsidR="006430E6" w:rsidRPr="002E7D71">
              <w:rPr>
                <w:rFonts w:ascii="Arial Narrow" w:hAnsi="Arial Narrow"/>
                <w:b/>
                <w:bCs/>
                <w:color w:val="000000"/>
                <w:sz w:val="20"/>
                <w:szCs w:val="20"/>
                <w:vertAlign w:val="superscript"/>
              </w:rPr>
              <w:t>b</w:t>
            </w:r>
          </w:p>
        </w:tc>
      </w:tr>
      <w:tr w:rsidR="00B62EC9" w:rsidRPr="002E7D71" w14:paraId="54296984" w14:textId="3F64892D" w:rsidTr="00B62EC9">
        <w:tc>
          <w:tcPr>
            <w:tcW w:w="1491" w:type="pct"/>
            <w:tcBorders>
              <w:bottom w:val="nil"/>
            </w:tcBorders>
            <w:shd w:val="clear" w:color="auto" w:fill="auto"/>
            <w:vAlign w:val="center"/>
          </w:tcPr>
          <w:p w14:paraId="721D004A" w14:textId="590D5448" w:rsidR="00B62EC9" w:rsidRPr="002E7D71" w:rsidDel="00452502" w:rsidRDefault="00B62EC9" w:rsidP="00F75607">
            <w:pPr>
              <w:pStyle w:val="Tabletext"/>
              <w:keepNext/>
              <w:keepLines/>
              <w:rPr>
                <w:color w:val="000000"/>
              </w:rPr>
            </w:pPr>
            <w:r w:rsidRPr="002E7D71">
              <w:rPr>
                <w:color w:val="000000"/>
              </w:rPr>
              <w:t>Submission</w:t>
            </w:r>
          </w:p>
        </w:tc>
        <w:tc>
          <w:tcPr>
            <w:tcW w:w="1169" w:type="pct"/>
            <w:tcBorders>
              <w:bottom w:val="nil"/>
            </w:tcBorders>
            <w:shd w:val="clear" w:color="auto" w:fill="auto"/>
            <w:vAlign w:val="center"/>
          </w:tcPr>
          <w:p w14:paraId="5DA11703" w14:textId="7A9A25A5" w:rsidR="00B62EC9" w:rsidRPr="002E7D71" w:rsidRDefault="00B62EC9" w:rsidP="00F75607">
            <w:pPr>
              <w:pStyle w:val="Tabletext"/>
              <w:keepNext/>
              <w:keepLines/>
              <w:rPr>
                <w:color w:val="000000"/>
              </w:rPr>
            </w:pPr>
          </w:p>
        </w:tc>
        <w:tc>
          <w:tcPr>
            <w:tcW w:w="1169" w:type="pct"/>
            <w:tcBorders>
              <w:bottom w:val="nil"/>
            </w:tcBorders>
            <w:vAlign w:val="center"/>
          </w:tcPr>
          <w:p w14:paraId="2B560DA0" w14:textId="77777777" w:rsidR="00B62EC9" w:rsidRPr="002E7D71" w:rsidRDefault="00B62EC9" w:rsidP="00F75607">
            <w:pPr>
              <w:pStyle w:val="Tabletext"/>
              <w:keepNext/>
              <w:keepLines/>
              <w:rPr>
                <w:color w:val="000000"/>
              </w:rPr>
            </w:pPr>
          </w:p>
        </w:tc>
        <w:tc>
          <w:tcPr>
            <w:tcW w:w="1171" w:type="pct"/>
            <w:tcBorders>
              <w:bottom w:val="nil"/>
            </w:tcBorders>
          </w:tcPr>
          <w:p w14:paraId="0EEF5BFE" w14:textId="77777777" w:rsidR="00B62EC9" w:rsidRPr="002E7D71" w:rsidRDefault="00B62EC9" w:rsidP="00F75607">
            <w:pPr>
              <w:pStyle w:val="Tabletext"/>
              <w:keepNext/>
              <w:keepLines/>
              <w:rPr>
                <w:color w:val="000000"/>
              </w:rPr>
            </w:pPr>
          </w:p>
        </w:tc>
      </w:tr>
      <w:tr w:rsidR="00B62EC9" w:rsidRPr="002E7D71" w14:paraId="573215AB" w14:textId="0FA8CE2F" w:rsidTr="00B62EC9">
        <w:tc>
          <w:tcPr>
            <w:tcW w:w="1491" w:type="pct"/>
            <w:tcBorders>
              <w:top w:val="nil"/>
              <w:bottom w:val="nil"/>
            </w:tcBorders>
            <w:shd w:val="clear" w:color="auto" w:fill="auto"/>
            <w:vAlign w:val="center"/>
          </w:tcPr>
          <w:p w14:paraId="48EE5E75" w14:textId="2252E5F9" w:rsidR="00B62EC9" w:rsidRPr="002E7D71" w:rsidRDefault="00B62EC9" w:rsidP="00F75607">
            <w:pPr>
              <w:pStyle w:val="Tabletext"/>
              <w:keepNext/>
              <w:keepLines/>
              <w:ind w:left="720"/>
              <w:rPr>
                <w:color w:val="000000"/>
              </w:rPr>
            </w:pPr>
            <w:r w:rsidRPr="002E7D71">
              <w:rPr>
                <w:color w:val="000000"/>
              </w:rPr>
              <w:t>Asciminib vs nilotinib</w:t>
            </w:r>
          </w:p>
        </w:tc>
        <w:tc>
          <w:tcPr>
            <w:tcW w:w="1169" w:type="pct"/>
            <w:tcBorders>
              <w:top w:val="nil"/>
              <w:bottom w:val="nil"/>
            </w:tcBorders>
            <w:shd w:val="clear" w:color="auto" w:fill="auto"/>
            <w:vAlign w:val="center"/>
          </w:tcPr>
          <w:p w14:paraId="7BAA815F" w14:textId="2F874688" w:rsidR="00B62EC9" w:rsidRPr="003938D3" w:rsidRDefault="00B62EC9" w:rsidP="00F75607">
            <w:pPr>
              <w:pStyle w:val="Tabletext"/>
              <w:keepNext/>
              <w:keepLines/>
              <w:jc w:val="center"/>
              <w:rPr>
                <w:color w:val="000000"/>
                <w:highlight w:val="yellow"/>
              </w:rPr>
            </w:pPr>
            <w:r w:rsidRPr="002846C7">
              <w:rPr>
                <w:color w:val="000000"/>
              </w:rPr>
              <w:t>$</w:t>
            </w:r>
            <w:r w:rsidR="00341457" w:rsidRPr="00341457">
              <w:rPr>
                <w:color w:val="000000"/>
                <w:shd w:val="solid" w:color="000000" w:fill="000000"/>
                <w14:textFill>
                  <w14:solidFill>
                    <w14:srgbClr w14:val="000000">
                      <w14:alpha w14:val="100000"/>
                    </w14:srgbClr>
                  </w14:solidFill>
                </w14:textFill>
              </w:rPr>
              <w:t>|</w:t>
            </w:r>
          </w:p>
        </w:tc>
        <w:tc>
          <w:tcPr>
            <w:tcW w:w="1169" w:type="pct"/>
            <w:tcBorders>
              <w:top w:val="nil"/>
              <w:bottom w:val="nil"/>
            </w:tcBorders>
            <w:vAlign w:val="center"/>
          </w:tcPr>
          <w:p w14:paraId="2EAC2150" w14:textId="77777777" w:rsidR="00B62EC9" w:rsidRPr="002E7D71" w:rsidRDefault="00B62EC9" w:rsidP="00F75607">
            <w:pPr>
              <w:pStyle w:val="Tabletext"/>
              <w:keepNext/>
              <w:keepLines/>
              <w:jc w:val="center"/>
              <w:rPr>
                <w:color w:val="000000"/>
              </w:rPr>
            </w:pPr>
          </w:p>
        </w:tc>
        <w:tc>
          <w:tcPr>
            <w:tcW w:w="1171" w:type="pct"/>
            <w:tcBorders>
              <w:top w:val="nil"/>
              <w:bottom w:val="nil"/>
            </w:tcBorders>
          </w:tcPr>
          <w:p w14:paraId="59FA894F" w14:textId="77777777" w:rsidR="00B62EC9" w:rsidRPr="002E7D71" w:rsidRDefault="00B62EC9" w:rsidP="00F75607">
            <w:pPr>
              <w:pStyle w:val="Tabletext"/>
              <w:keepNext/>
              <w:keepLines/>
              <w:jc w:val="center"/>
              <w:rPr>
                <w:color w:val="000000"/>
              </w:rPr>
            </w:pPr>
          </w:p>
        </w:tc>
      </w:tr>
      <w:tr w:rsidR="00B62EC9" w:rsidRPr="002E7D71" w14:paraId="1410E1D9" w14:textId="7B728A4A" w:rsidTr="00B62EC9">
        <w:tc>
          <w:tcPr>
            <w:tcW w:w="1491" w:type="pct"/>
            <w:tcBorders>
              <w:top w:val="nil"/>
              <w:bottom w:val="nil"/>
            </w:tcBorders>
            <w:shd w:val="clear" w:color="auto" w:fill="auto"/>
            <w:vAlign w:val="center"/>
          </w:tcPr>
          <w:p w14:paraId="3041331E" w14:textId="29AA2203" w:rsidR="00B62EC9" w:rsidRPr="002E7D71" w:rsidRDefault="00B62EC9" w:rsidP="00F75607">
            <w:pPr>
              <w:pStyle w:val="Tabletext"/>
              <w:keepNext/>
              <w:keepLines/>
              <w:ind w:left="720"/>
              <w:rPr>
                <w:color w:val="000000"/>
              </w:rPr>
            </w:pPr>
            <w:r w:rsidRPr="002E7D71">
              <w:rPr>
                <w:color w:val="000000"/>
              </w:rPr>
              <w:t>Asciminib vs ponatinib</w:t>
            </w:r>
          </w:p>
        </w:tc>
        <w:tc>
          <w:tcPr>
            <w:tcW w:w="1169" w:type="pct"/>
            <w:tcBorders>
              <w:top w:val="nil"/>
              <w:bottom w:val="nil"/>
            </w:tcBorders>
            <w:shd w:val="clear" w:color="auto" w:fill="auto"/>
            <w:vAlign w:val="center"/>
          </w:tcPr>
          <w:p w14:paraId="5052D060" w14:textId="101A3720" w:rsidR="00B62EC9" w:rsidRPr="003938D3" w:rsidRDefault="00B62EC9" w:rsidP="00F75607">
            <w:pPr>
              <w:pStyle w:val="Tabletext"/>
              <w:keepNext/>
              <w:keepLines/>
              <w:jc w:val="center"/>
              <w:rPr>
                <w:color w:val="000000"/>
                <w:highlight w:val="yellow"/>
              </w:rPr>
            </w:pPr>
            <w:r w:rsidRPr="002846C7">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c>
          <w:tcPr>
            <w:tcW w:w="1169" w:type="pct"/>
            <w:tcBorders>
              <w:top w:val="nil"/>
              <w:bottom w:val="nil"/>
            </w:tcBorders>
            <w:vAlign w:val="center"/>
          </w:tcPr>
          <w:p w14:paraId="76E46B7B" w14:textId="77777777" w:rsidR="00B62EC9" w:rsidRPr="002E7D71" w:rsidRDefault="00B62EC9" w:rsidP="00F75607">
            <w:pPr>
              <w:pStyle w:val="Tabletext"/>
              <w:keepNext/>
              <w:keepLines/>
              <w:jc w:val="center"/>
              <w:rPr>
                <w:rFonts w:cs="Calibri"/>
                <w:color w:val="000000"/>
                <w:szCs w:val="20"/>
              </w:rPr>
            </w:pPr>
          </w:p>
        </w:tc>
        <w:tc>
          <w:tcPr>
            <w:tcW w:w="1171" w:type="pct"/>
            <w:tcBorders>
              <w:top w:val="nil"/>
              <w:bottom w:val="nil"/>
            </w:tcBorders>
          </w:tcPr>
          <w:p w14:paraId="74303CFB" w14:textId="77777777" w:rsidR="00B62EC9" w:rsidRPr="002E7D71" w:rsidRDefault="00B62EC9" w:rsidP="00F75607">
            <w:pPr>
              <w:pStyle w:val="Tabletext"/>
              <w:keepNext/>
              <w:keepLines/>
              <w:jc w:val="center"/>
              <w:rPr>
                <w:rFonts w:cs="Calibri"/>
                <w:color w:val="000000"/>
                <w:szCs w:val="20"/>
              </w:rPr>
            </w:pPr>
          </w:p>
        </w:tc>
      </w:tr>
      <w:tr w:rsidR="00B62EC9" w:rsidRPr="002E7D71" w14:paraId="0C0BCDFC" w14:textId="79A04C03" w:rsidTr="00B62EC9">
        <w:tc>
          <w:tcPr>
            <w:tcW w:w="1491" w:type="pct"/>
            <w:tcBorders>
              <w:top w:val="nil"/>
              <w:bottom w:val="single" w:sz="4" w:space="0" w:color="auto"/>
            </w:tcBorders>
            <w:shd w:val="clear" w:color="auto" w:fill="auto"/>
            <w:vAlign w:val="center"/>
          </w:tcPr>
          <w:p w14:paraId="3E7B8CB7" w14:textId="7C1BB36F" w:rsidR="00B62EC9" w:rsidRPr="002E7D71" w:rsidRDefault="00B62EC9" w:rsidP="00F75607">
            <w:pPr>
              <w:pStyle w:val="Tabletext"/>
              <w:keepNext/>
              <w:keepLines/>
              <w:ind w:left="720"/>
              <w:jc w:val="right"/>
              <w:rPr>
                <w:color w:val="000000"/>
              </w:rPr>
            </w:pPr>
            <w:r w:rsidRPr="002E7D71">
              <w:rPr>
                <w:color w:val="000000"/>
              </w:rPr>
              <w:t>Weighted</w:t>
            </w:r>
          </w:p>
        </w:tc>
        <w:tc>
          <w:tcPr>
            <w:tcW w:w="1169" w:type="pct"/>
            <w:tcBorders>
              <w:top w:val="nil"/>
              <w:bottom w:val="single" w:sz="4" w:space="0" w:color="auto"/>
            </w:tcBorders>
            <w:shd w:val="clear" w:color="auto" w:fill="auto"/>
            <w:vAlign w:val="center"/>
          </w:tcPr>
          <w:p w14:paraId="24D20D44" w14:textId="77777777" w:rsidR="00B62EC9" w:rsidRPr="003938D3" w:rsidRDefault="00B62EC9" w:rsidP="00F75607">
            <w:pPr>
              <w:pStyle w:val="Tabletext"/>
              <w:keepNext/>
              <w:keepLines/>
              <w:jc w:val="center"/>
              <w:rPr>
                <w:rFonts w:cs="Calibri"/>
                <w:color w:val="000000"/>
                <w:szCs w:val="20"/>
                <w:highlight w:val="yellow"/>
              </w:rPr>
            </w:pPr>
          </w:p>
        </w:tc>
        <w:tc>
          <w:tcPr>
            <w:tcW w:w="1169" w:type="pct"/>
            <w:tcBorders>
              <w:top w:val="nil"/>
              <w:bottom w:val="single" w:sz="4" w:space="0" w:color="auto"/>
            </w:tcBorders>
            <w:vAlign w:val="center"/>
          </w:tcPr>
          <w:p w14:paraId="2953B9CE" w14:textId="076FAE72" w:rsidR="00B62EC9" w:rsidRPr="002E7D71" w:rsidRDefault="00B62EC9" w:rsidP="00F75607">
            <w:pPr>
              <w:pStyle w:val="Tabletext"/>
              <w:keepNext/>
              <w:keepLines/>
              <w:jc w:val="center"/>
              <w:rPr>
                <w:rFonts w:cs="Calibri"/>
                <w:color w:val="000000"/>
                <w:szCs w:val="20"/>
              </w:rPr>
            </w:pPr>
            <w:r w:rsidRPr="002E7D71">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c>
          <w:tcPr>
            <w:tcW w:w="1171" w:type="pct"/>
            <w:tcBorders>
              <w:top w:val="nil"/>
              <w:bottom w:val="single" w:sz="4" w:space="0" w:color="auto"/>
            </w:tcBorders>
          </w:tcPr>
          <w:p w14:paraId="1590FF69" w14:textId="3911C1BA" w:rsidR="00B62EC9" w:rsidRPr="002E7D71" w:rsidRDefault="000E3D3F" w:rsidP="00F75607">
            <w:pPr>
              <w:pStyle w:val="Tabletext"/>
              <w:keepNext/>
              <w:keepLines/>
              <w:jc w:val="center"/>
              <w:rPr>
                <w:rFonts w:cs="Calibri"/>
                <w:color w:val="000000"/>
                <w:szCs w:val="20"/>
              </w:rPr>
            </w:pPr>
            <w:r w:rsidRPr="002E7D71">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r>
      <w:tr w:rsidR="00B62EC9" w:rsidRPr="002E7D71" w14:paraId="5957897E" w14:textId="76A31D68" w:rsidTr="00B62EC9">
        <w:tc>
          <w:tcPr>
            <w:tcW w:w="1491" w:type="pct"/>
            <w:tcBorders>
              <w:bottom w:val="nil"/>
            </w:tcBorders>
            <w:shd w:val="clear" w:color="auto" w:fill="auto"/>
            <w:vAlign w:val="center"/>
          </w:tcPr>
          <w:p w14:paraId="53C1DF4B" w14:textId="486F0AB6" w:rsidR="00B62EC9" w:rsidRPr="002E7D71" w:rsidRDefault="00B62EC9" w:rsidP="00F75607">
            <w:pPr>
              <w:pStyle w:val="Tabletext"/>
              <w:keepNext/>
              <w:keepLines/>
              <w:rPr>
                <w:color w:val="000000"/>
              </w:rPr>
            </w:pPr>
            <w:r w:rsidRPr="002E7D71">
              <w:rPr>
                <w:color w:val="000000"/>
              </w:rPr>
              <w:t>Revised by evaluation</w:t>
            </w:r>
          </w:p>
        </w:tc>
        <w:tc>
          <w:tcPr>
            <w:tcW w:w="1169" w:type="pct"/>
            <w:tcBorders>
              <w:bottom w:val="nil"/>
            </w:tcBorders>
            <w:shd w:val="clear" w:color="auto" w:fill="auto"/>
            <w:vAlign w:val="center"/>
          </w:tcPr>
          <w:p w14:paraId="4FA02121" w14:textId="19D86C6B" w:rsidR="00B62EC9" w:rsidRPr="003938D3" w:rsidRDefault="00B62EC9" w:rsidP="00F75607">
            <w:pPr>
              <w:pStyle w:val="Tabletext"/>
              <w:keepNext/>
              <w:keepLines/>
              <w:jc w:val="center"/>
              <w:rPr>
                <w:color w:val="000000"/>
                <w:highlight w:val="yellow"/>
              </w:rPr>
            </w:pPr>
          </w:p>
        </w:tc>
        <w:tc>
          <w:tcPr>
            <w:tcW w:w="1169" w:type="pct"/>
            <w:tcBorders>
              <w:bottom w:val="nil"/>
            </w:tcBorders>
            <w:vAlign w:val="center"/>
          </w:tcPr>
          <w:p w14:paraId="70D4B42E" w14:textId="77777777" w:rsidR="00B62EC9" w:rsidRPr="002E7D71" w:rsidRDefault="00B62EC9" w:rsidP="00F75607">
            <w:pPr>
              <w:pStyle w:val="Tabletext"/>
              <w:keepNext/>
              <w:keepLines/>
              <w:jc w:val="center"/>
              <w:rPr>
                <w:color w:val="000000"/>
              </w:rPr>
            </w:pPr>
          </w:p>
        </w:tc>
        <w:tc>
          <w:tcPr>
            <w:tcW w:w="1171" w:type="pct"/>
            <w:tcBorders>
              <w:bottom w:val="nil"/>
            </w:tcBorders>
          </w:tcPr>
          <w:p w14:paraId="6AAC1CCF" w14:textId="77777777" w:rsidR="00B62EC9" w:rsidRPr="002E7D71" w:rsidRDefault="00B62EC9" w:rsidP="00F75607">
            <w:pPr>
              <w:pStyle w:val="Tabletext"/>
              <w:keepNext/>
              <w:keepLines/>
              <w:jc w:val="center"/>
              <w:rPr>
                <w:color w:val="000000"/>
              </w:rPr>
            </w:pPr>
          </w:p>
        </w:tc>
      </w:tr>
      <w:tr w:rsidR="00B62EC9" w:rsidRPr="002E7D71" w14:paraId="2347920A" w14:textId="67DA1F1E" w:rsidTr="00B62EC9">
        <w:tc>
          <w:tcPr>
            <w:tcW w:w="1491" w:type="pct"/>
            <w:tcBorders>
              <w:top w:val="nil"/>
              <w:bottom w:val="nil"/>
            </w:tcBorders>
            <w:shd w:val="clear" w:color="auto" w:fill="auto"/>
            <w:vAlign w:val="center"/>
          </w:tcPr>
          <w:p w14:paraId="4B558C5B" w14:textId="6D843402" w:rsidR="00B62EC9" w:rsidRPr="002E7D71" w:rsidRDefault="00B62EC9" w:rsidP="00F75607">
            <w:pPr>
              <w:pStyle w:val="Tabletext"/>
              <w:keepNext/>
              <w:keepLines/>
              <w:ind w:left="720"/>
              <w:rPr>
                <w:color w:val="000000"/>
              </w:rPr>
            </w:pPr>
            <w:r w:rsidRPr="002E7D71">
              <w:rPr>
                <w:color w:val="000000"/>
              </w:rPr>
              <w:t>Asciminib vs nilotinib</w:t>
            </w:r>
            <w:r w:rsidR="00CE0961" w:rsidRPr="002E7D71">
              <w:rPr>
                <w:color w:val="000000"/>
                <w:vertAlign w:val="superscript"/>
              </w:rPr>
              <w:t>c</w:t>
            </w:r>
          </w:p>
        </w:tc>
        <w:tc>
          <w:tcPr>
            <w:tcW w:w="1169" w:type="pct"/>
            <w:tcBorders>
              <w:top w:val="nil"/>
              <w:bottom w:val="nil"/>
            </w:tcBorders>
            <w:shd w:val="clear" w:color="auto" w:fill="auto"/>
            <w:vAlign w:val="center"/>
          </w:tcPr>
          <w:p w14:paraId="2BF64F29" w14:textId="3B8FA8A6" w:rsidR="00B62EC9" w:rsidRPr="00480561" w:rsidRDefault="00B62EC9" w:rsidP="00F75607">
            <w:pPr>
              <w:pStyle w:val="Tabletext"/>
              <w:keepNext/>
              <w:keepLines/>
              <w:jc w:val="center"/>
              <w:rPr>
                <w:color w:val="000000"/>
                <w:highlight w:val="darkGray"/>
              </w:rPr>
            </w:pPr>
            <w:r w:rsidRPr="00480561">
              <w:rPr>
                <w:color w:val="000000"/>
              </w:rPr>
              <w:t>$</w:t>
            </w:r>
            <w:r w:rsidR="00341457" w:rsidRPr="00341457">
              <w:rPr>
                <w:color w:val="000000"/>
                <w:shd w:val="solid" w:color="000000" w:fill="000000"/>
                <w14:textFill>
                  <w14:solidFill>
                    <w14:srgbClr w14:val="000000">
                      <w14:alpha w14:val="100000"/>
                    </w14:srgbClr>
                  </w14:solidFill>
                </w14:textFill>
              </w:rPr>
              <w:t>|</w:t>
            </w:r>
          </w:p>
        </w:tc>
        <w:tc>
          <w:tcPr>
            <w:tcW w:w="1169" w:type="pct"/>
            <w:tcBorders>
              <w:top w:val="nil"/>
              <w:bottom w:val="nil"/>
            </w:tcBorders>
            <w:vAlign w:val="center"/>
          </w:tcPr>
          <w:p w14:paraId="4C6CE146" w14:textId="77777777" w:rsidR="00B62EC9" w:rsidRPr="002E7D71" w:rsidRDefault="00B62EC9" w:rsidP="00F75607">
            <w:pPr>
              <w:pStyle w:val="Tabletext"/>
              <w:keepNext/>
              <w:keepLines/>
              <w:jc w:val="center"/>
              <w:rPr>
                <w:color w:val="000000"/>
              </w:rPr>
            </w:pPr>
          </w:p>
        </w:tc>
        <w:tc>
          <w:tcPr>
            <w:tcW w:w="1171" w:type="pct"/>
            <w:tcBorders>
              <w:top w:val="nil"/>
              <w:bottom w:val="nil"/>
            </w:tcBorders>
          </w:tcPr>
          <w:p w14:paraId="35E8ADA5" w14:textId="77777777" w:rsidR="00B62EC9" w:rsidRPr="002E7D71" w:rsidRDefault="00B62EC9" w:rsidP="00F75607">
            <w:pPr>
              <w:pStyle w:val="Tabletext"/>
              <w:keepNext/>
              <w:keepLines/>
              <w:jc w:val="center"/>
              <w:rPr>
                <w:color w:val="000000"/>
              </w:rPr>
            </w:pPr>
          </w:p>
        </w:tc>
      </w:tr>
      <w:tr w:rsidR="00B62EC9" w:rsidRPr="002E7D71" w14:paraId="161102A1" w14:textId="3A5A746C" w:rsidTr="00B62EC9">
        <w:tc>
          <w:tcPr>
            <w:tcW w:w="1491" w:type="pct"/>
            <w:tcBorders>
              <w:top w:val="nil"/>
              <w:bottom w:val="nil"/>
            </w:tcBorders>
            <w:shd w:val="clear" w:color="auto" w:fill="auto"/>
            <w:vAlign w:val="center"/>
          </w:tcPr>
          <w:p w14:paraId="644A0E80" w14:textId="3D8EED80" w:rsidR="00B62EC9" w:rsidRPr="002E7D71" w:rsidRDefault="00B62EC9" w:rsidP="00F75607">
            <w:pPr>
              <w:pStyle w:val="Tabletext"/>
              <w:keepNext/>
              <w:keepLines/>
              <w:ind w:left="720"/>
              <w:rPr>
                <w:color w:val="000000"/>
              </w:rPr>
            </w:pPr>
            <w:r w:rsidRPr="002E7D71">
              <w:rPr>
                <w:color w:val="000000"/>
              </w:rPr>
              <w:t>Asciminib vs ponatinib</w:t>
            </w:r>
            <w:r w:rsidR="00CE0961" w:rsidRPr="002E7D71">
              <w:rPr>
                <w:color w:val="000000"/>
                <w:vertAlign w:val="superscript"/>
              </w:rPr>
              <w:t>d</w:t>
            </w:r>
          </w:p>
        </w:tc>
        <w:tc>
          <w:tcPr>
            <w:tcW w:w="1169" w:type="pct"/>
            <w:tcBorders>
              <w:top w:val="nil"/>
              <w:bottom w:val="nil"/>
            </w:tcBorders>
            <w:shd w:val="clear" w:color="auto" w:fill="auto"/>
            <w:vAlign w:val="center"/>
          </w:tcPr>
          <w:p w14:paraId="081B301A" w14:textId="1BAB4032" w:rsidR="00B62EC9" w:rsidRPr="00480561" w:rsidRDefault="00B62EC9" w:rsidP="00F75607">
            <w:pPr>
              <w:pStyle w:val="Tabletext"/>
              <w:keepNext/>
              <w:keepLines/>
              <w:jc w:val="center"/>
              <w:rPr>
                <w:color w:val="000000"/>
                <w:highlight w:val="darkGray"/>
              </w:rPr>
            </w:pPr>
            <w:r w:rsidRPr="00480561">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c>
          <w:tcPr>
            <w:tcW w:w="1169" w:type="pct"/>
            <w:tcBorders>
              <w:top w:val="nil"/>
              <w:bottom w:val="nil"/>
            </w:tcBorders>
            <w:vAlign w:val="center"/>
          </w:tcPr>
          <w:p w14:paraId="2F656697" w14:textId="77777777" w:rsidR="00B62EC9" w:rsidRPr="002E7D71" w:rsidRDefault="00B62EC9" w:rsidP="00F75607">
            <w:pPr>
              <w:pStyle w:val="Tabletext"/>
              <w:keepNext/>
              <w:keepLines/>
              <w:jc w:val="center"/>
              <w:rPr>
                <w:rFonts w:cs="Calibri"/>
                <w:color w:val="000000"/>
                <w:szCs w:val="20"/>
              </w:rPr>
            </w:pPr>
          </w:p>
        </w:tc>
        <w:tc>
          <w:tcPr>
            <w:tcW w:w="1171" w:type="pct"/>
            <w:tcBorders>
              <w:top w:val="nil"/>
              <w:bottom w:val="nil"/>
            </w:tcBorders>
          </w:tcPr>
          <w:p w14:paraId="3B313923" w14:textId="77777777" w:rsidR="00B62EC9" w:rsidRPr="002E7D71" w:rsidRDefault="00B62EC9" w:rsidP="00F75607">
            <w:pPr>
              <w:pStyle w:val="Tabletext"/>
              <w:keepNext/>
              <w:keepLines/>
              <w:jc w:val="center"/>
              <w:rPr>
                <w:rFonts w:cs="Calibri"/>
                <w:color w:val="000000"/>
                <w:szCs w:val="20"/>
              </w:rPr>
            </w:pPr>
          </w:p>
        </w:tc>
      </w:tr>
      <w:tr w:rsidR="00B62EC9" w:rsidRPr="002E7D71" w14:paraId="09DC5521" w14:textId="6A69CEC0" w:rsidTr="00B62EC9">
        <w:tc>
          <w:tcPr>
            <w:tcW w:w="1491" w:type="pct"/>
            <w:tcBorders>
              <w:top w:val="nil"/>
            </w:tcBorders>
            <w:shd w:val="clear" w:color="auto" w:fill="auto"/>
            <w:vAlign w:val="center"/>
          </w:tcPr>
          <w:p w14:paraId="130E16DB" w14:textId="4DBF9E10" w:rsidR="00B62EC9" w:rsidRPr="002E7D71" w:rsidRDefault="00B62EC9" w:rsidP="00F75607">
            <w:pPr>
              <w:pStyle w:val="Tabletext"/>
              <w:keepNext/>
              <w:keepLines/>
              <w:ind w:left="720"/>
              <w:jc w:val="right"/>
              <w:rPr>
                <w:color w:val="000000"/>
              </w:rPr>
            </w:pPr>
            <w:r w:rsidRPr="002E7D71">
              <w:rPr>
                <w:color w:val="000000"/>
              </w:rPr>
              <w:t>Weighted</w:t>
            </w:r>
          </w:p>
        </w:tc>
        <w:tc>
          <w:tcPr>
            <w:tcW w:w="1169" w:type="pct"/>
            <w:tcBorders>
              <w:top w:val="nil"/>
            </w:tcBorders>
            <w:shd w:val="clear" w:color="auto" w:fill="auto"/>
            <w:vAlign w:val="center"/>
          </w:tcPr>
          <w:p w14:paraId="1E8F7CBE" w14:textId="77777777" w:rsidR="00B62EC9" w:rsidRPr="002E7D71" w:rsidRDefault="00B62EC9" w:rsidP="00F75607">
            <w:pPr>
              <w:pStyle w:val="Tabletext"/>
              <w:keepNext/>
              <w:keepLines/>
              <w:jc w:val="center"/>
              <w:rPr>
                <w:rFonts w:cs="Calibri"/>
                <w:color w:val="000000"/>
                <w:szCs w:val="20"/>
              </w:rPr>
            </w:pPr>
          </w:p>
        </w:tc>
        <w:tc>
          <w:tcPr>
            <w:tcW w:w="1169" w:type="pct"/>
            <w:tcBorders>
              <w:top w:val="nil"/>
            </w:tcBorders>
            <w:vAlign w:val="center"/>
          </w:tcPr>
          <w:p w14:paraId="01B14CCF" w14:textId="6AE8A486" w:rsidR="00B62EC9" w:rsidRPr="002E7D71" w:rsidRDefault="00B62EC9" w:rsidP="00F75607">
            <w:pPr>
              <w:pStyle w:val="Tabletext"/>
              <w:keepNext/>
              <w:keepLines/>
              <w:jc w:val="center"/>
              <w:rPr>
                <w:rFonts w:cs="Calibri"/>
                <w:color w:val="000000"/>
                <w:szCs w:val="20"/>
              </w:rPr>
            </w:pPr>
            <w:r w:rsidRPr="002E7D71">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c>
          <w:tcPr>
            <w:tcW w:w="1171" w:type="pct"/>
            <w:tcBorders>
              <w:top w:val="nil"/>
            </w:tcBorders>
          </w:tcPr>
          <w:p w14:paraId="782D902F" w14:textId="452568A6" w:rsidR="00B62EC9" w:rsidRPr="002E7D71" w:rsidRDefault="000E3D3F" w:rsidP="00F75607">
            <w:pPr>
              <w:pStyle w:val="Tabletext"/>
              <w:keepNext/>
              <w:keepLines/>
              <w:jc w:val="center"/>
              <w:rPr>
                <w:rFonts w:cs="Calibri"/>
                <w:color w:val="000000"/>
                <w:szCs w:val="20"/>
              </w:rPr>
            </w:pPr>
            <w:r w:rsidRPr="002E7D71">
              <w:rPr>
                <w:rFonts w:cs="Calibri"/>
                <w:color w:val="000000"/>
                <w:szCs w:val="20"/>
              </w:rPr>
              <w:t>$</w:t>
            </w:r>
            <w:r w:rsidR="00341457" w:rsidRPr="00341457">
              <w:rPr>
                <w:rFonts w:cs="Calibri"/>
                <w:color w:val="000000"/>
                <w:szCs w:val="20"/>
                <w:shd w:val="solid" w:color="000000" w:fill="000000"/>
                <w14:textFill>
                  <w14:solidFill>
                    <w14:srgbClr w14:val="000000">
                      <w14:alpha w14:val="100000"/>
                    </w14:srgbClr>
                  </w14:solidFill>
                </w14:textFill>
              </w:rPr>
              <w:t>|</w:t>
            </w:r>
          </w:p>
        </w:tc>
      </w:tr>
    </w:tbl>
    <w:p w14:paraId="36A33E37" w14:textId="2108837B" w:rsidR="006F6F86" w:rsidRPr="002E7D71" w:rsidRDefault="006F6F86" w:rsidP="00F75607">
      <w:pPr>
        <w:pStyle w:val="Tablefooter0"/>
        <w:keepNext/>
        <w:keepLines/>
        <w:rPr>
          <w:rFonts w:ascii="Arial Narrow" w:hAnsi="Arial Narrow"/>
        </w:rPr>
      </w:pPr>
      <w:r w:rsidRPr="002E7D71">
        <w:rPr>
          <w:rFonts w:ascii="Arial Narrow" w:hAnsi="Arial Narrow"/>
        </w:rPr>
        <w:t>EMP</w:t>
      </w:r>
      <w:r w:rsidR="000E3D3F" w:rsidRPr="002E7D71">
        <w:rPr>
          <w:rFonts w:ascii="Arial Narrow" w:hAnsi="Arial Narrow"/>
        </w:rPr>
        <w:t xml:space="preserve"> =</w:t>
      </w:r>
      <w:r w:rsidRPr="002E7D71">
        <w:rPr>
          <w:rFonts w:ascii="Arial Narrow" w:hAnsi="Arial Narrow"/>
        </w:rPr>
        <w:t xml:space="preserve"> </w:t>
      </w:r>
      <w:r w:rsidR="00F3065A" w:rsidRPr="002E7D71">
        <w:rPr>
          <w:rFonts w:ascii="Arial Narrow" w:hAnsi="Arial Narrow"/>
        </w:rPr>
        <w:t>E</w:t>
      </w:r>
      <w:r w:rsidRPr="002E7D71">
        <w:rPr>
          <w:rFonts w:ascii="Arial Narrow" w:hAnsi="Arial Narrow"/>
        </w:rPr>
        <w:t>x-manufacturer price</w:t>
      </w:r>
      <w:r w:rsidR="000E3D3F" w:rsidRPr="002E7D71">
        <w:rPr>
          <w:rFonts w:ascii="Arial Narrow" w:hAnsi="Arial Narrow"/>
        </w:rPr>
        <w:t>; DPMQ = dispensed price for maximum quantity</w:t>
      </w:r>
      <w:r w:rsidRPr="002E7D71">
        <w:rPr>
          <w:rFonts w:ascii="Arial Narrow" w:hAnsi="Arial Narrow"/>
        </w:rPr>
        <w:t>.</w:t>
      </w:r>
    </w:p>
    <w:p w14:paraId="5EA8C9F1" w14:textId="7068BD6F" w:rsidR="006430E6" w:rsidRPr="002E7D71" w:rsidRDefault="006430E6" w:rsidP="00F75607">
      <w:pPr>
        <w:pStyle w:val="Tablefooter0"/>
        <w:keepNext/>
        <w:keepLines/>
        <w:rPr>
          <w:rFonts w:ascii="Arial Narrow" w:hAnsi="Arial Narrow"/>
        </w:rPr>
      </w:pPr>
      <w:r w:rsidRPr="002E7D71">
        <w:rPr>
          <w:rFonts w:ascii="Arial Narrow" w:hAnsi="Arial Narrow"/>
          <w:vertAlign w:val="superscript"/>
        </w:rPr>
        <w:t>a</w:t>
      </w:r>
      <w:r w:rsidRPr="002E7D71">
        <w:rPr>
          <w:rFonts w:ascii="Arial Narrow" w:hAnsi="Arial Narrow"/>
        </w:rPr>
        <w:t xml:space="preserve"> The Strategic Agreement specifies that, until expiration of the agreement 30 June 2022, asciminib can be listed with a price equivalent to that of the other TKI drugs prior to the application of any F1 statutory cuts.</w:t>
      </w:r>
    </w:p>
    <w:p w14:paraId="7D38321F" w14:textId="504DDBC1" w:rsidR="006430E6" w:rsidRPr="002E7D71" w:rsidRDefault="006430E6" w:rsidP="00F75607">
      <w:pPr>
        <w:pStyle w:val="Tablefooter0"/>
        <w:keepNext/>
        <w:keepLines/>
        <w:rPr>
          <w:rFonts w:ascii="Arial Narrow" w:hAnsi="Arial Narrow"/>
        </w:rPr>
      </w:pPr>
      <w:r w:rsidRPr="002E7D71">
        <w:rPr>
          <w:rFonts w:ascii="Arial Narrow" w:hAnsi="Arial Narrow"/>
          <w:vertAlign w:val="superscript"/>
        </w:rPr>
        <w:t>b</w:t>
      </w:r>
      <w:r w:rsidRPr="002E7D71">
        <w:rPr>
          <w:rFonts w:ascii="Arial Narrow" w:hAnsi="Arial Narrow"/>
        </w:rPr>
        <w:t xml:space="preserve"> Weighted according to the relative substitution of nilotinib and ponatinib (</w:t>
      </w:r>
      <w:r w:rsidR="00341457" w:rsidRPr="00341457">
        <w:rPr>
          <w:rFonts w:ascii="Arial Narrow" w:hAnsi="Arial Narrow"/>
          <w:color w:val="000000"/>
          <w:spacing w:val="37"/>
          <w:shd w:val="solid" w:color="000000" w:fill="000000"/>
          <w:fitText w:val="280" w:id="-1436313084"/>
          <w14:textFill>
            <w14:solidFill>
              <w14:srgbClr w14:val="000000">
                <w14:alpha w14:val="100000"/>
              </w14:srgbClr>
            </w14:solidFill>
          </w14:textFill>
        </w:rPr>
        <w:t xml:space="preserve">|  </w:t>
      </w:r>
      <w:r w:rsidR="00341457" w:rsidRPr="00341457">
        <w:rPr>
          <w:rFonts w:ascii="Arial Narrow" w:hAnsi="Arial Narrow"/>
          <w:color w:val="000000"/>
          <w:spacing w:val="12"/>
          <w:shd w:val="solid" w:color="000000" w:fill="000000"/>
          <w:fitText w:val="280" w:id="-1436313084"/>
          <w14:textFill>
            <w14:solidFill>
              <w14:srgbClr w14:val="000000">
                <w14:alpha w14:val="100000"/>
              </w14:srgbClr>
            </w14:solidFill>
          </w14:textFill>
        </w:rPr>
        <w:t>|</w:t>
      </w:r>
      <w:r w:rsidRPr="002E7D71">
        <w:rPr>
          <w:rFonts w:ascii="Arial Narrow" w:hAnsi="Arial Narrow"/>
        </w:rPr>
        <w:t xml:space="preserve">% and </w:t>
      </w:r>
      <w:r w:rsidR="00341457" w:rsidRPr="00341457">
        <w:rPr>
          <w:rFonts w:ascii="Arial Narrow" w:hAnsi="Arial Narrow"/>
          <w:color w:val="000000"/>
          <w:shd w:val="solid" w:color="000000" w:fill="000000"/>
          <w:fitText w:val="281" w:id="-1436313083"/>
          <w14:textFill>
            <w14:solidFill>
              <w14:srgbClr w14:val="000000">
                <w14:alpha w14:val="100000"/>
              </w14:srgbClr>
            </w14:solidFill>
          </w14:textFill>
        </w:rPr>
        <w:t>||  |</w:t>
      </w:r>
      <w:r w:rsidR="00341457" w:rsidRPr="00341457">
        <w:rPr>
          <w:rFonts w:ascii="Arial Narrow" w:hAnsi="Arial Narrow"/>
          <w:color w:val="000000"/>
          <w:spacing w:val="50"/>
          <w:shd w:val="solid" w:color="000000" w:fill="000000"/>
          <w:fitText w:val="281" w:id="-1436313083"/>
          <w14:textFill>
            <w14:solidFill>
              <w14:srgbClr w14:val="000000">
                <w14:alpha w14:val="100000"/>
              </w14:srgbClr>
            </w14:solidFill>
          </w14:textFill>
        </w:rPr>
        <w:t>|</w:t>
      </w:r>
      <w:r w:rsidRPr="002E7D71">
        <w:rPr>
          <w:rFonts w:ascii="Arial Narrow" w:hAnsi="Arial Narrow"/>
        </w:rPr>
        <w:t>%, respectively) applied in the submission.</w:t>
      </w:r>
    </w:p>
    <w:p w14:paraId="12FDCC7A" w14:textId="4698A498" w:rsidR="00F3065A" w:rsidRPr="002E7D71" w:rsidRDefault="00CE0961" w:rsidP="00F75607">
      <w:pPr>
        <w:pStyle w:val="Tablefooter0"/>
        <w:keepNext/>
        <w:keepLines/>
        <w:rPr>
          <w:rFonts w:ascii="Arial Narrow" w:hAnsi="Arial Narrow"/>
        </w:rPr>
      </w:pPr>
      <w:r w:rsidRPr="002E7D71">
        <w:rPr>
          <w:rFonts w:ascii="Arial Narrow" w:hAnsi="Arial Narrow"/>
          <w:vertAlign w:val="superscript"/>
        </w:rPr>
        <w:t>c</w:t>
      </w:r>
      <w:r w:rsidR="00F3065A" w:rsidRPr="002E7D71">
        <w:rPr>
          <w:rFonts w:ascii="Arial Narrow" w:hAnsi="Arial Narrow"/>
        </w:rPr>
        <w:t xml:space="preserve"> Revised by the evaluation </w:t>
      </w:r>
      <w:r w:rsidR="003A04E1" w:rsidRPr="002E7D71">
        <w:rPr>
          <w:rFonts w:ascii="Arial Narrow" w:hAnsi="Arial Narrow"/>
        </w:rPr>
        <w:t>so that the</w:t>
      </w:r>
      <w:r w:rsidR="0071129C" w:rsidRPr="002E7D71">
        <w:rPr>
          <w:rFonts w:ascii="Arial Narrow" w:hAnsi="Arial Narrow"/>
        </w:rPr>
        <w:t xml:space="preserve"> equi-effective</w:t>
      </w:r>
      <w:r w:rsidR="003A04E1" w:rsidRPr="002E7D71">
        <w:rPr>
          <w:rFonts w:ascii="Arial Narrow" w:hAnsi="Arial Narrow"/>
        </w:rPr>
        <w:t xml:space="preserve"> dos</w:t>
      </w:r>
      <w:r w:rsidR="0071129C" w:rsidRPr="002E7D71">
        <w:rPr>
          <w:rFonts w:ascii="Arial Narrow" w:hAnsi="Arial Narrow"/>
        </w:rPr>
        <w:t>es are</w:t>
      </w:r>
      <w:r w:rsidR="003A04E1" w:rsidRPr="002E7D71">
        <w:rPr>
          <w:rFonts w:ascii="Arial Narrow" w:hAnsi="Arial Narrow"/>
        </w:rPr>
        <w:t xml:space="preserve"> consistent with the doses used in the studies</w:t>
      </w:r>
      <w:r w:rsidR="0071129C" w:rsidRPr="002E7D71">
        <w:rPr>
          <w:rFonts w:ascii="Arial Narrow" w:hAnsi="Arial Narrow"/>
        </w:rPr>
        <w:t>,</w:t>
      </w:r>
      <w:r w:rsidR="003A04E1" w:rsidRPr="002E7D71">
        <w:rPr>
          <w:rFonts w:ascii="Arial Narrow" w:hAnsi="Arial Narrow"/>
        </w:rPr>
        <w:t xml:space="preserve"> and </w:t>
      </w:r>
      <w:r w:rsidR="0071129C" w:rsidRPr="002E7D71">
        <w:rPr>
          <w:rFonts w:ascii="Arial Narrow" w:hAnsi="Arial Narrow"/>
        </w:rPr>
        <w:t>adjustment</w:t>
      </w:r>
      <w:r w:rsidR="003A04E1" w:rsidRPr="002E7D71">
        <w:rPr>
          <w:rFonts w:ascii="Arial Narrow" w:hAnsi="Arial Narrow"/>
        </w:rPr>
        <w:t xml:space="preserve"> of the ECG and liver hospitalisation </w:t>
      </w:r>
      <w:r w:rsidR="0071129C" w:rsidRPr="002E7D71">
        <w:rPr>
          <w:rFonts w:ascii="Arial Narrow" w:hAnsi="Arial Narrow"/>
        </w:rPr>
        <w:t>costs</w:t>
      </w:r>
      <w:r w:rsidR="003A04E1" w:rsidRPr="002E7D71">
        <w:rPr>
          <w:rFonts w:ascii="Arial Narrow" w:hAnsi="Arial Narrow"/>
        </w:rPr>
        <w:t>.</w:t>
      </w:r>
    </w:p>
    <w:p w14:paraId="3F4B5D4F" w14:textId="47A84566" w:rsidR="006F6F86" w:rsidRDefault="00CE0961" w:rsidP="00333BD0">
      <w:pPr>
        <w:pStyle w:val="Tablefooter0"/>
        <w:keepNext/>
        <w:keepLines/>
        <w:rPr>
          <w:rFonts w:ascii="Arial Narrow" w:hAnsi="Arial Narrow"/>
          <w:i/>
          <w:iCs/>
        </w:rPr>
      </w:pPr>
      <w:r w:rsidRPr="002E7D71">
        <w:rPr>
          <w:rFonts w:ascii="Arial Narrow" w:hAnsi="Arial Narrow"/>
          <w:vertAlign w:val="superscript"/>
        </w:rPr>
        <w:t>d</w:t>
      </w:r>
      <w:r w:rsidR="002C18D5" w:rsidRPr="002E7D71">
        <w:rPr>
          <w:rFonts w:ascii="Arial Narrow" w:hAnsi="Arial Narrow"/>
        </w:rPr>
        <w:t xml:space="preserve"> Revised</w:t>
      </w:r>
      <w:r w:rsidR="00F86330" w:rsidRPr="002E7D71">
        <w:rPr>
          <w:rFonts w:ascii="Arial Narrow" w:hAnsi="Arial Narrow"/>
        </w:rPr>
        <w:t xml:space="preserve"> by the evaluation</w:t>
      </w:r>
      <w:r w:rsidR="0071129C" w:rsidRPr="002E7D71">
        <w:rPr>
          <w:rFonts w:ascii="Arial Narrow" w:hAnsi="Arial Narrow"/>
        </w:rPr>
        <w:t xml:space="preserve"> so that the equi-effective doses are consistent with the doses used in the studies, </w:t>
      </w:r>
      <w:r w:rsidR="00F86330" w:rsidRPr="002E7D71">
        <w:rPr>
          <w:rFonts w:ascii="Arial Narrow" w:hAnsi="Arial Narrow"/>
        </w:rPr>
        <w:t xml:space="preserve">and adjustment </w:t>
      </w:r>
      <w:r w:rsidR="0071129C" w:rsidRPr="002E7D71">
        <w:rPr>
          <w:rFonts w:ascii="Arial Narrow" w:hAnsi="Arial Narrow"/>
        </w:rPr>
        <w:t>of</w:t>
      </w:r>
      <w:r w:rsidR="00F86330" w:rsidRPr="002E7D71">
        <w:rPr>
          <w:rFonts w:ascii="Arial Narrow" w:hAnsi="Arial Narrow"/>
        </w:rPr>
        <w:t xml:space="preserve"> the increased lipase/amylase hospital cost estimate</w:t>
      </w:r>
      <w:r w:rsidR="0071129C" w:rsidRPr="002E7D71">
        <w:rPr>
          <w:rFonts w:ascii="Arial Narrow" w:hAnsi="Arial Narrow"/>
        </w:rPr>
        <w:t>, and no incremental cost for ECG</w:t>
      </w:r>
      <w:r w:rsidR="00F86330" w:rsidRPr="00F86330">
        <w:rPr>
          <w:rFonts w:ascii="Arial Narrow" w:hAnsi="Arial Narrow"/>
          <w:i/>
          <w:iCs/>
        </w:rPr>
        <w:t>.</w:t>
      </w:r>
    </w:p>
    <w:p w14:paraId="1D7B286F" w14:textId="77777777" w:rsidR="00333BD0" w:rsidRPr="00333BD0" w:rsidRDefault="00333BD0" w:rsidP="00333BD0">
      <w:pPr>
        <w:pStyle w:val="Tablefooter0"/>
        <w:keepNext/>
        <w:keepLines/>
        <w:rPr>
          <w:rFonts w:ascii="Arial Narrow" w:hAnsi="Arial Narrow"/>
          <w:i/>
          <w:iCs/>
        </w:rPr>
      </w:pPr>
    </w:p>
    <w:p w14:paraId="0F782A95" w14:textId="1AF0FD04" w:rsidR="009E01A0" w:rsidRPr="00B22BCB" w:rsidRDefault="009E01A0" w:rsidP="009E01A0">
      <w:pPr>
        <w:pStyle w:val="4-SubsectionHeading"/>
      </w:pPr>
      <w:bookmarkStart w:id="62" w:name="_Toc22898858"/>
      <w:bookmarkStart w:id="63" w:name="_Toc92743467"/>
      <w:bookmarkStart w:id="64" w:name="_Toc103772588"/>
      <w:r w:rsidRPr="00B22BCB">
        <w:t>Asciminib cost/patient/year</w:t>
      </w:r>
      <w:bookmarkEnd w:id="62"/>
      <w:bookmarkEnd w:id="63"/>
      <w:bookmarkEnd w:id="64"/>
    </w:p>
    <w:p w14:paraId="061B16ED" w14:textId="68D89C1C" w:rsidR="009373DE" w:rsidRPr="002E7D71" w:rsidRDefault="00C64AF3" w:rsidP="008A04AF">
      <w:pPr>
        <w:pStyle w:val="3-BodyText"/>
      </w:pPr>
      <w:r w:rsidRPr="002E7D71">
        <w:rPr>
          <w:rFonts w:eastAsiaTheme="minorHAnsi"/>
        </w:rPr>
        <w:t>The expected cost of asciminib is $</w:t>
      </w:r>
      <w:r w:rsidR="00341457" w:rsidRPr="00464105">
        <w:rPr>
          <w:rFonts w:eastAsiaTheme="minorHAnsi"/>
          <w:color w:val="000000"/>
          <w:w w:val="60"/>
          <w:shd w:val="solid" w:color="000000" w:fill="000000"/>
          <w:fitText w:val="468" w:id="-1436313082"/>
          <w14:textFill>
            <w14:solidFill>
              <w14:srgbClr w14:val="000000">
                <w14:alpha w14:val="100000"/>
              </w14:srgbClr>
            </w14:solidFill>
          </w14:textFill>
        </w:rPr>
        <w:t>|||  ||</w:t>
      </w:r>
      <w:r w:rsidR="00341457" w:rsidRPr="00464105">
        <w:rPr>
          <w:rFonts w:eastAsiaTheme="minorHAnsi"/>
          <w:color w:val="000000"/>
          <w:spacing w:val="4"/>
          <w:w w:val="60"/>
          <w:shd w:val="solid" w:color="000000" w:fill="000000"/>
          <w:fitText w:val="468" w:id="-1436313082"/>
          <w14:textFill>
            <w14:solidFill>
              <w14:srgbClr w14:val="000000">
                <w14:alpha w14:val="100000"/>
              </w14:srgbClr>
            </w14:solidFill>
          </w14:textFill>
        </w:rPr>
        <w:t>|</w:t>
      </w:r>
      <w:r w:rsidRPr="002E7D71">
        <w:rPr>
          <w:rFonts w:eastAsiaTheme="minorHAnsi"/>
        </w:rPr>
        <w:t xml:space="preserve"> per patient per year. The cost is calculated using the asciminib price revised by the evaluation and without Clause 5.7 applied. It assumes a DPMQ of </w:t>
      </w:r>
      <w:r w:rsidRPr="002E7D71">
        <w:rPr>
          <w:rFonts w:eastAsiaTheme="minorHAnsi"/>
          <w:color w:val="000000"/>
        </w:rPr>
        <w:t>$</w:t>
      </w:r>
      <w:r w:rsidR="00341457" w:rsidRPr="00464105">
        <w:rPr>
          <w:rFonts w:eastAsiaTheme="minorHAnsi"/>
          <w:color w:val="000000"/>
          <w:w w:val="15"/>
          <w:shd w:val="solid" w:color="000000" w:fill="000000"/>
          <w:fitText w:val="-20" w:id="-1436313081"/>
          <w14:textFill>
            <w14:solidFill>
              <w14:srgbClr w14:val="000000">
                <w14:alpha w14:val="100000"/>
              </w14:srgbClr>
            </w14:solidFill>
          </w14:textFill>
        </w:rPr>
        <w:t xml:space="preserve">|  </w:t>
      </w:r>
      <w:r w:rsidR="00341457" w:rsidRPr="00464105">
        <w:rPr>
          <w:rFonts w:eastAsiaTheme="minorHAnsi"/>
          <w:color w:val="000000"/>
          <w:spacing w:val="-69"/>
          <w:w w:val="15"/>
          <w:shd w:val="solid" w:color="000000" w:fill="000000"/>
          <w:fitText w:val="-20" w:id="-1436313081"/>
          <w14:textFill>
            <w14:solidFill>
              <w14:srgbClr w14:val="000000">
                <w14:alpha w14:val="100000"/>
              </w14:srgbClr>
            </w14:solidFill>
          </w14:textFill>
        </w:rPr>
        <w:t>|</w:t>
      </w:r>
      <w:r w:rsidRPr="002E7D71">
        <w:rPr>
          <w:rFonts w:eastAsiaTheme="minorHAnsi"/>
          <w:color w:val="000000"/>
        </w:rPr>
        <w:t xml:space="preserve"> (</w:t>
      </w:r>
      <w:r w:rsidRPr="002E7D71">
        <w:rPr>
          <w:rFonts w:eastAsiaTheme="minorHAnsi"/>
        </w:rPr>
        <w:t>Table 16</w:t>
      </w:r>
      <w:r w:rsidRPr="002E7D71">
        <w:rPr>
          <w:rFonts w:eastAsiaTheme="minorHAnsi"/>
          <w:color w:val="000000"/>
        </w:rPr>
        <w:t>), which is weighted between nilotinib (</w:t>
      </w:r>
      <w:r w:rsidR="00341457" w:rsidRPr="00464105">
        <w:rPr>
          <w:rFonts w:eastAsiaTheme="minorHAnsi"/>
          <w:color w:val="000000"/>
          <w:w w:val="15"/>
          <w:shd w:val="solid" w:color="000000" w:fill="000000"/>
          <w:fitText w:val="-20" w:id="-1436313080"/>
          <w14:textFill>
            <w14:solidFill>
              <w14:srgbClr w14:val="000000">
                <w14:alpha w14:val="100000"/>
              </w14:srgbClr>
            </w14:solidFill>
          </w14:textFill>
        </w:rPr>
        <w:t xml:space="preserve">|  </w:t>
      </w:r>
      <w:r w:rsidR="00341457" w:rsidRPr="00464105">
        <w:rPr>
          <w:rFonts w:eastAsiaTheme="minorHAnsi"/>
          <w:color w:val="000000"/>
          <w:spacing w:val="-69"/>
          <w:w w:val="15"/>
          <w:shd w:val="solid" w:color="000000" w:fill="000000"/>
          <w:fitText w:val="-20" w:id="-1436313080"/>
          <w14:textFill>
            <w14:solidFill>
              <w14:srgbClr w14:val="000000">
                <w14:alpha w14:val="100000"/>
              </w14:srgbClr>
            </w14:solidFill>
          </w14:textFill>
        </w:rPr>
        <w:t>|</w:t>
      </w:r>
      <w:r w:rsidRPr="002E7D71">
        <w:rPr>
          <w:rFonts w:eastAsiaTheme="minorHAnsi"/>
          <w:color w:val="000000"/>
        </w:rPr>
        <w:t xml:space="preserve">%) and ponatinib </w:t>
      </w:r>
      <w:r w:rsidRPr="00733970">
        <w:rPr>
          <w:rFonts w:eastAsiaTheme="minorHAnsi"/>
          <w:color w:val="000000"/>
        </w:rPr>
        <w:t>(</w:t>
      </w:r>
      <w:r w:rsidR="00341457" w:rsidRPr="00464105">
        <w:rPr>
          <w:rFonts w:eastAsiaTheme="minorHAnsi"/>
          <w:color w:val="000000"/>
          <w:w w:val="15"/>
          <w:shd w:val="solid" w:color="000000" w:fill="000000"/>
          <w:fitText w:val="-20" w:id="-1436313079"/>
          <w14:textFill>
            <w14:solidFill>
              <w14:srgbClr w14:val="000000">
                <w14:alpha w14:val="100000"/>
              </w14:srgbClr>
            </w14:solidFill>
          </w14:textFill>
        </w:rPr>
        <w:t xml:space="preserve">|  </w:t>
      </w:r>
      <w:r w:rsidR="00341457" w:rsidRPr="00464105">
        <w:rPr>
          <w:rFonts w:eastAsiaTheme="minorHAnsi"/>
          <w:color w:val="000000"/>
          <w:spacing w:val="-69"/>
          <w:w w:val="15"/>
          <w:shd w:val="solid" w:color="000000" w:fill="000000"/>
          <w:fitText w:val="-20" w:id="-1436313079"/>
          <w14:textFill>
            <w14:solidFill>
              <w14:srgbClr w14:val="000000">
                <w14:alpha w14:val="100000"/>
              </w14:srgbClr>
            </w14:solidFill>
          </w14:textFill>
        </w:rPr>
        <w:t>|</w:t>
      </w:r>
      <w:r w:rsidRPr="002E7D71">
        <w:rPr>
          <w:rFonts w:eastAsiaTheme="minorHAnsi"/>
          <w:color w:val="000000"/>
        </w:rPr>
        <w:t>%) as requested by the submission, and 12.2 prescriptions per year (</w:t>
      </w:r>
      <w:r w:rsidRPr="002E7D71">
        <w:rPr>
          <w:rFonts w:eastAsiaTheme="minorHAnsi"/>
        </w:rPr>
        <w:fldChar w:fldCharType="begin"/>
      </w:r>
      <w:r w:rsidRPr="002E7D71">
        <w:rPr>
          <w:rFonts w:eastAsiaTheme="minorHAnsi"/>
          <w:color w:val="000000"/>
        </w:rPr>
        <w:instrText xml:space="preserve"> REF _Ref103635505 \h </w:instrText>
      </w:r>
      <w:r w:rsidRPr="002E7D71">
        <w:rPr>
          <w:rFonts w:eastAsiaTheme="minorHAnsi"/>
        </w:rPr>
        <w:instrText xml:space="preserve"> \* MERGEFORMAT </w:instrText>
      </w:r>
      <w:r w:rsidRPr="002E7D71">
        <w:rPr>
          <w:rFonts w:eastAsiaTheme="minorHAnsi"/>
        </w:rPr>
      </w:r>
      <w:r w:rsidRPr="002E7D71">
        <w:rPr>
          <w:rFonts w:eastAsiaTheme="minorHAnsi"/>
        </w:rPr>
        <w:fldChar w:fldCharType="separate"/>
      </w:r>
      <w:r w:rsidR="00A914F4" w:rsidRPr="00B22BCB">
        <w:t xml:space="preserve">Table </w:t>
      </w:r>
      <w:r w:rsidR="00A914F4">
        <w:rPr>
          <w:noProof/>
        </w:rPr>
        <w:t>14</w:t>
      </w:r>
      <w:r w:rsidRPr="002E7D71">
        <w:rPr>
          <w:rFonts w:eastAsiaTheme="minorHAnsi"/>
        </w:rPr>
        <w:fldChar w:fldCharType="end"/>
      </w:r>
      <w:r w:rsidRPr="002E7D71">
        <w:rPr>
          <w:rFonts w:eastAsiaTheme="minorHAnsi"/>
          <w:color w:val="000000"/>
        </w:rPr>
        <w:t xml:space="preserve"> and </w:t>
      </w:r>
      <w:r w:rsidRPr="002E7D71">
        <w:rPr>
          <w:rFonts w:eastAsiaTheme="minorHAnsi"/>
        </w:rPr>
        <w:fldChar w:fldCharType="begin"/>
      </w:r>
      <w:r w:rsidRPr="002E7D71">
        <w:rPr>
          <w:rFonts w:eastAsiaTheme="minorHAnsi"/>
          <w:color w:val="000000"/>
        </w:rPr>
        <w:instrText xml:space="preserve"> REF _Ref103635507 \h </w:instrText>
      </w:r>
      <w:r w:rsidRPr="002E7D71">
        <w:rPr>
          <w:rFonts w:eastAsiaTheme="minorHAnsi"/>
        </w:rPr>
        <w:instrText xml:space="preserve"> \* MERGEFORMAT </w:instrText>
      </w:r>
      <w:r w:rsidRPr="002E7D71">
        <w:rPr>
          <w:rFonts w:eastAsiaTheme="minorHAnsi"/>
        </w:rPr>
      </w:r>
      <w:r w:rsidRPr="002E7D71">
        <w:rPr>
          <w:rFonts w:eastAsiaTheme="minorHAnsi"/>
        </w:rPr>
        <w:fldChar w:fldCharType="separate"/>
      </w:r>
      <w:r w:rsidR="00A914F4" w:rsidRPr="00B22BCB">
        <w:t xml:space="preserve">Table </w:t>
      </w:r>
      <w:r w:rsidR="00A914F4">
        <w:rPr>
          <w:noProof/>
        </w:rPr>
        <w:t>15</w:t>
      </w:r>
      <w:r w:rsidRPr="002E7D71">
        <w:rPr>
          <w:rFonts w:eastAsiaTheme="minorHAnsi"/>
        </w:rPr>
        <w:fldChar w:fldCharType="end"/>
      </w:r>
      <w:r w:rsidRPr="002E7D71">
        <w:rPr>
          <w:rFonts w:eastAsiaTheme="minorHAnsi"/>
          <w:color w:val="000000"/>
        </w:rPr>
        <w:t>).</w:t>
      </w:r>
      <w:r w:rsidR="00F47F7A" w:rsidRPr="002E7D71">
        <w:t xml:space="preserve"> </w:t>
      </w:r>
    </w:p>
    <w:p w14:paraId="268768EF" w14:textId="3626F292" w:rsidR="00B60939" w:rsidRPr="00B22BCB" w:rsidRDefault="00B60939" w:rsidP="002B05A1">
      <w:pPr>
        <w:pStyle w:val="4-SubsectionHeading"/>
      </w:pPr>
      <w:bookmarkStart w:id="65" w:name="_Toc22897647"/>
      <w:bookmarkStart w:id="66" w:name="_Toc103772589"/>
      <w:r w:rsidRPr="00B22BCB">
        <w:t>Estimated PBS usage &amp; financial implications</w:t>
      </w:r>
      <w:bookmarkEnd w:id="65"/>
      <w:bookmarkEnd w:id="66"/>
    </w:p>
    <w:p w14:paraId="6F9D3D27" w14:textId="35A458E5" w:rsidR="00AA58D7" w:rsidRPr="00B22BCB" w:rsidRDefault="00AA58D7" w:rsidP="00AA58D7">
      <w:pPr>
        <w:pStyle w:val="3-BodyText"/>
      </w:pPr>
      <w:r w:rsidRPr="00B22BCB">
        <w:t xml:space="preserve">This submission </w:t>
      </w:r>
      <w:r>
        <w:t xml:space="preserve">was </w:t>
      </w:r>
      <w:r w:rsidRPr="00B22BCB">
        <w:t>considered by DUSC.</w:t>
      </w:r>
    </w:p>
    <w:p w14:paraId="75C9CA8D" w14:textId="77947ED1" w:rsidR="00AA58D7" w:rsidRPr="002E7D71" w:rsidRDefault="00AA58D7" w:rsidP="006D11B4">
      <w:pPr>
        <w:pStyle w:val="3-BodyText"/>
      </w:pPr>
      <w:r w:rsidRPr="00B22BCB">
        <w:t xml:space="preserve">The submission used an epidemiological approach to predict the likely use and financial impact of listing of asciminib on the PBS/RPBS. The key inputs for the financial estimates are summarised </w:t>
      </w:r>
      <w:r w:rsidR="007574E8">
        <w:t xml:space="preserve">in </w:t>
      </w:r>
      <w:r w:rsidR="007574E8">
        <w:fldChar w:fldCharType="begin"/>
      </w:r>
      <w:r w:rsidR="007574E8">
        <w:instrText xml:space="preserve"> REF _Ref103005131 \h </w:instrText>
      </w:r>
      <w:r w:rsidR="007574E8">
        <w:fldChar w:fldCharType="separate"/>
      </w:r>
      <w:r w:rsidR="00A914F4" w:rsidRPr="00B22BCB">
        <w:t xml:space="preserve">Table </w:t>
      </w:r>
      <w:r w:rsidR="00A914F4">
        <w:rPr>
          <w:noProof/>
        </w:rPr>
        <w:t>17</w:t>
      </w:r>
      <w:r w:rsidR="007574E8">
        <w:fldChar w:fldCharType="end"/>
      </w:r>
      <w:r w:rsidRPr="00B22BCB">
        <w:t>. The mean doses and distributions by strength are consistent with those used</w:t>
      </w:r>
      <w:r w:rsidR="007574E8">
        <w:t xml:space="preserve"> by the submission</w:t>
      </w:r>
      <w:r w:rsidRPr="00B22BCB">
        <w:t xml:space="preserve"> in the economics section and respective relativity sheets</w:t>
      </w:r>
      <w:r w:rsidRPr="008E14B4">
        <w:t>.</w:t>
      </w:r>
      <w:r w:rsidRPr="008E14B4">
        <w:rPr>
          <w:i/>
          <w:iCs/>
        </w:rPr>
        <w:t xml:space="preserve"> </w:t>
      </w:r>
      <w:r w:rsidRPr="008E14B4">
        <w:t xml:space="preserve">The sponsor requested a SPA for asciminib such that the proposed published AEMP for 1 pack </w:t>
      </w:r>
      <w:r w:rsidRPr="008263CE">
        <w:t xml:space="preserve">containing 60 x </w:t>
      </w:r>
      <w:r w:rsidR="00733970" w:rsidRPr="008263CE">
        <w:t>20</w:t>
      </w:r>
      <w:r w:rsidR="00733970">
        <w:t> </w:t>
      </w:r>
      <w:r w:rsidRPr="008263CE">
        <w:t xml:space="preserve">mg </w:t>
      </w:r>
      <w:r w:rsidR="00B6675E" w:rsidRPr="008263CE">
        <w:t xml:space="preserve">or </w:t>
      </w:r>
      <w:r w:rsidRPr="008263CE">
        <w:t xml:space="preserve">60 x </w:t>
      </w:r>
      <w:r w:rsidR="00733970" w:rsidRPr="008263CE">
        <w:t>40</w:t>
      </w:r>
      <w:r w:rsidR="00733970">
        <w:t> </w:t>
      </w:r>
      <w:r w:rsidRPr="008263CE">
        <w:t>mg tablets is $</w:t>
      </w:r>
      <w:r w:rsidR="00341457" w:rsidRPr="00464105">
        <w:rPr>
          <w:color w:val="000000"/>
          <w:w w:val="15"/>
          <w:shd w:val="solid" w:color="000000" w:fill="000000"/>
          <w:fitText w:val="-20" w:id="-1436313078"/>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78"/>
          <w14:textFill>
            <w14:solidFill>
              <w14:srgbClr w14:val="000000">
                <w14:alpha w14:val="100000"/>
              </w14:srgbClr>
            </w14:solidFill>
          </w14:textFill>
        </w:rPr>
        <w:t>|</w:t>
      </w:r>
      <w:r w:rsidRPr="008263CE">
        <w:t>. The financial estimates were based on the proposed effective (weighted average) AEMP of $</w:t>
      </w:r>
      <w:r w:rsidR="00341457" w:rsidRPr="00464105">
        <w:rPr>
          <w:color w:val="000000"/>
          <w:w w:val="15"/>
          <w:shd w:val="solid" w:color="000000" w:fill="000000"/>
          <w:fitText w:val="-20" w:id="-1436313077"/>
          <w14:textFill>
            <w14:solidFill>
              <w14:srgbClr w14:val="000000">
                <w14:alpha w14:val="100000"/>
              </w14:srgbClr>
            </w14:solidFill>
          </w14:textFill>
        </w:rPr>
        <w:t xml:space="preserve">|  </w:t>
      </w:r>
      <w:r w:rsidR="00341457" w:rsidRPr="00464105">
        <w:rPr>
          <w:color w:val="000000"/>
          <w:spacing w:val="-69"/>
          <w:w w:val="15"/>
          <w:shd w:val="solid" w:color="000000" w:fill="000000"/>
          <w:fitText w:val="-20" w:id="-1436313077"/>
          <w14:textFill>
            <w14:solidFill>
              <w14:srgbClr w14:val="000000">
                <w14:alpha w14:val="100000"/>
              </w14:srgbClr>
            </w14:solidFill>
          </w14:textFill>
        </w:rPr>
        <w:t>|</w:t>
      </w:r>
      <w:r w:rsidRPr="008263CE">
        <w:rPr>
          <w:i/>
          <w:iCs/>
        </w:rPr>
        <w:t>.</w:t>
      </w:r>
      <w:r w:rsidR="00A201FA" w:rsidRPr="008263CE">
        <w:t xml:space="preserve"> The prices </w:t>
      </w:r>
      <w:r w:rsidR="007A79A2" w:rsidRPr="008263CE">
        <w:t>applied to the financial estimates</w:t>
      </w:r>
      <w:r w:rsidR="00A201FA" w:rsidRPr="008263CE">
        <w:t xml:space="preserve"> in the submission</w:t>
      </w:r>
      <w:r w:rsidR="008E14B4" w:rsidRPr="008263CE">
        <w:t xml:space="preserve"> were</w:t>
      </w:r>
      <w:r w:rsidR="00A201FA" w:rsidRPr="008263CE">
        <w:t xml:space="preserve"> inappropriately</w:t>
      </w:r>
      <w:r w:rsidR="008E14B4" w:rsidRPr="008263CE">
        <w:t xml:space="preserve"> derived by</w:t>
      </w:r>
      <w:r w:rsidR="00A201FA" w:rsidRPr="008263CE">
        <w:t xml:space="preserve"> </w:t>
      </w:r>
      <w:r w:rsidR="008E14B4" w:rsidRPr="008263CE">
        <w:t>applying</w:t>
      </w:r>
      <w:r w:rsidR="00A201FA" w:rsidRPr="008263CE">
        <w:t xml:space="preserve"> Clause 5.7</w:t>
      </w:r>
      <w:r w:rsidR="008E14B4" w:rsidRPr="008263CE">
        <w:t xml:space="preserve"> to the prices for nilotinib/ponatinib; this has been rectified below (</w:t>
      </w:r>
      <w:r w:rsidR="007A79A2" w:rsidRPr="008263CE">
        <w:t xml:space="preserve">see </w:t>
      </w:r>
      <w:r w:rsidR="008E14B4" w:rsidRPr="008263CE">
        <w:t xml:space="preserve">paragraph </w:t>
      </w:r>
      <w:r w:rsidR="008E14B4" w:rsidRPr="008263CE">
        <w:fldChar w:fldCharType="begin"/>
      </w:r>
      <w:r w:rsidR="008E14B4" w:rsidRPr="008263CE">
        <w:instrText xml:space="preserve"> REF _Ref110522762 \r \h  \* MERGEFORMAT </w:instrText>
      </w:r>
      <w:r w:rsidR="008E14B4" w:rsidRPr="008263CE">
        <w:fldChar w:fldCharType="separate"/>
      </w:r>
      <w:r w:rsidR="00A914F4">
        <w:t>6.58</w:t>
      </w:r>
      <w:r w:rsidR="008E14B4" w:rsidRPr="008263CE">
        <w:fldChar w:fldCharType="end"/>
      </w:r>
      <w:r w:rsidR="008E14B4" w:rsidRPr="008263CE">
        <w:t>).</w:t>
      </w:r>
      <w:r w:rsidR="00A201FA">
        <w:t xml:space="preserve"> </w:t>
      </w:r>
    </w:p>
    <w:p w14:paraId="596C89DE" w14:textId="0A00E63C" w:rsidR="00AA58D7" w:rsidRPr="00B22BCB" w:rsidRDefault="00AA58D7" w:rsidP="00AA58D7">
      <w:pPr>
        <w:pStyle w:val="TableFigureHeading"/>
        <w:rPr>
          <w:rStyle w:val="CommentReference"/>
          <w:b/>
          <w:szCs w:val="24"/>
        </w:rPr>
      </w:pPr>
      <w:bookmarkStart w:id="67" w:name="_Ref103005131"/>
      <w:r w:rsidRPr="00B22BCB">
        <w:t xml:space="preserve">Table </w:t>
      </w:r>
      <w:r w:rsidR="00CA52C1">
        <w:fldChar w:fldCharType="begin"/>
      </w:r>
      <w:r w:rsidR="00CA52C1">
        <w:instrText xml:space="preserve"> SEQ Table \* ARABIC </w:instrText>
      </w:r>
      <w:r w:rsidR="00CA52C1">
        <w:fldChar w:fldCharType="separate"/>
      </w:r>
      <w:r w:rsidR="00A914F4">
        <w:rPr>
          <w:noProof/>
        </w:rPr>
        <w:t>17</w:t>
      </w:r>
      <w:r w:rsidR="00CA52C1">
        <w:rPr>
          <w:noProof/>
        </w:rPr>
        <w:fldChar w:fldCharType="end"/>
      </w:r>
      <w:bookmarkEnd w:id="67"/>
      <w:r w:rsidRPr="00B22BCB">
        <w:t xml:space="preserve">: </w:t>
      </w:r>
      <w:r w:rsidRPr="00B22BCB">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2536"/>
        <w:gridCol w:w="4768"/>
      </w:tblGrid>
      <w:tr w:rsidR="00AA58D7" w:rsidRPr="00B22BCB" w14:paraId="64411F9F" w14:textId="77777777" w:rsidTr="005548BB">
        <w:trPr>
          <w:cantSplit/>
          <w:tblHeader/>
        </w:trPr>
        <w:tc>
          <w:tcPr>
            <w:tcW w:w="950" w:type="pct"/>
            <w:shd w:val="clear" w:color="auto" w:fill="auto"/>
            <w:vAlign w:val="center"/>
          </w:tcPr>
          <w:p w14:paraId="33F1F339" w14:textId="77777777" w:rsidR="00AA58D7" w:rsidRPr="00B22BCB" w:rsidRDefault="00AA58D7" w:rsidP="005548BB">
            <w:pPr>
              <w:pStyle w:val="In-tableHeading"/>
              <w:keepNext w:val="0"/>
              <w:rPr>
                <w:szCs w:val="20"/>
                <w:lang w:val="en-AU"/>
              </w:rPr>
            </w:pPr>
            <w:r w:rsidRPr="00B22BCB">
              <w:rPr>
                <w:szCs w:val="20"/>
                <w:lang w:val="en-AU"/>
              </w:rPr>
              <w:t>Parameter</w:t>
            </w:r>
          </w:p>
        </w:tc>
        <w:tc>
          <w:tcPr>
            <w:tcW w:w="1406" w:type="pct"/>
            <w:shd w:val="clear" w:color="auto" w:fill="auto"/>
            <w:vAlign w:val="center"/>
          </w:tcPr>
          <w:p w14:paraId="640CA8EC" w14:textId="77777777" w:rsidR="00AA58D7" w:rsidRPr="00B22BCB" w:rsidRDefault="00AA58D7" w:rsidP="005548BB">
            <w:pPr>
              <w:pStyle w:val="In-tableHeading"/>
              <w:keepNext w:val="0"/>
              <w:rPr>
                <w:szCs w:val="20"/>
                <w:lang w:val="en-AU"/>
              </w:rPr>
            </w:pPr>
            <w:r w:rsidRPr="00B22BCB">
              <w:rPr>
                <w:szCs w:val="20"/>
                <w:lang w:val="en-AU"/>
              </w:rPr>
              <w:t>Value applied</w:t>
            </w:r>
          </w:p>
        </w:tc>
        <w:tc>
          <w:tcPr>
            <w:tcW w:w="2644" w:type="pct"/>
            <w:shd w:val="clear" w:color="auto" w:fill="auto"/>
            <w:vAlign w:val="center"/>
          </w:tcPr>
          <w:p w14:paraId="54B9500F" w14:textId="77777777" w:rsidR="00AA58D7" w:rsidRPr="00B22BCB" w:rsidRDefault="00AA58D7" w:rsidP="005548BB">
            <w:pPr>
              <w:pStyle w:val="In-tableHeading"/>
              <w:keepNext w:val="0"/>
              <w:rPr>
                <w:szCs w:val="20"/>
                <w:lang w:val="en-AU"/>
              </w:rPr>
            </w:pPr>
            <w:r w:rsidRPr="00B22BCB">
              <w:rPr>
                <w:szCs w:val="20"/>
                <w:lang w:val="en-AU"/>
              </w:rPr>
              <w:t>Source/Comment</w:t>
            </w:r>
          </w:p>
        </w:tc>
      </w:tr>
      <w:tr w:rsidR="00AA58D7" w:rsidRPr="00B22BCB" w14:paraId="26324F11" w14:textId="77777777" w:rsidTr="005548BB">
        <w:trPr>
          <w:cantSplit/>
        </w:trPr>
        <w:tc>
          <w:tcPr>
            <w:tcW w:w="950" w:type="pct"/>
            <w:shd w:val="clear" w:color="auto" w:fill="auto"/>
          </w:tcPr>
          <w:p w14:paraId="3166FE3D" w14:textId="77777777" w:rsidR="00AA58D7" w:rsidRPr="00B22BCB" w:rsidRDefault="00AA58D7" w:rsidP="005548BB">
            <w:pPr>
              <w:pStyle w:val="TableText0"/>
              <w:keepNext w:val="0"/>
              <w:rPr>
                <w:szCs w:val="20"/>
              </w:rPr>
            </w:pPr>
            <w:r w:rsidRPr="00B22BCB">
              <w:rPr>
                <w:rFonts w:cstheme="minorHAnsi"/>
                <w:color w:val="000000" w:themeColor="text1"/>
                <w:szCs w:val="20"/>
              </w:rPr>
              <w:t xml:space="preserve">Prevalent patients receiving treatment with their third TKI </w:t>
            </w:r>
          </w:p>
        </w:tc>
        <w:tc>
          <w:tcPr>
            <w:tcW w:w="1406" w:type="pct"/>
            <w:shd w:val="clear" w:color="auto" w:fill="auto"/>
          </w:tcPr>
          <w:p w14:paraId="57343E14" w14:textId="77777777" w:rsidR="00AA58D7" w:rsidRPr="00B22BCB" w:rsidRDefault="00AA58D7" w:rsidP="005548BB">
            <w:pPr>
              <w:jc w:val="left"/>
              <w:rPr>
                <w:rFonts w:ascii="Arial Narrow" w:hAnsi="Arial Narrow" w:cstheme="minorHAnsi"/>
                <w:bCs/>
                <w:color w:val="000000" w:themeColor="text1"/>
                <w:sz w:val="20"/>
                <w:szCs w:val="20"/>
                <w:u w:val="single"/>
              </w:rPr>
            </w:pP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Patients</w:t>
            </w:r>
          </w:p>
          <w:p w14:paraId="0A3E6FE4"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2022:            528</w:t>
            </w:r>
          </w:p>
          <w:p w14:paraId="18574384"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2023:            599</w:t>
            </w:r>
          </w:p>
          <w:p w14:paraId="66C5CF94"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2024:            671</w:t>
            </w:r>
          </w:p>
          <w:p w14:paraId="4DB95C8C"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2025:            742</w:t>
            </w:r>
          </w:p>
          <w:p w14:paraId="5B204365"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2026:            814</w:t>
            </w:r>
          </w:p>
          <w:p w14:paraId="7FC6600A" w14:textId="77777777" w:rsidR="00AA58D7" w:rsidRPr="00B22BCB" w:rsidRDefault="00AA58D7" w:rsidP="005548BB">
            <w:pPr>
              <w:pStyle w:val="TableText0"/>
              <w:keepNext w:val="0"/>
              <w:rPr>
                <w:szCs w:val="20"/>
              </w:rPr>
            </w:pPr>
            <w:r w:rsidRPr="00B22BCB">
              <w:rPr>
                <w:rFonts w:cstheme="minorHAnsi"/>
                <w:color w:val="000000" w:themeColor="text1"/>
                <w:szCs w:val="20"/>
              </w:rPr>
              <w:t>2027:            885</w:t>
            </w:r>
          </w:p>
        </w:tc>
        <w:tc>
          <w:tcPr>
            <w:tcW w:w="2644" w:type="pct"/>
            <w:shd w:val="clear" w:color="auto" w:fill="auto"/>
          </w:tcPr>
          <w:p w14:paraId="785F647A" w14:textId="77777777" w:rsidR="00AA58D7" w:rsidRPr="002E7D71" w:rsidRDefault="00AA58D7" w:rsidP="005548BB">
            <w:pPr>
              <w:jc w:val="left"/>
              <w:rPr>
                <w:rFonts w:ascii="Arial Narrow" w:hAnsi="Arial Narrow" w:cstheme="minorHAnsi"/>
                <w:bCs/>
                <w:color w:val="000000" w:themeColor="text1"/>
                <w:sz w:val="20"/>
                <w:szCs w:val="20"/>
              </w:rPr>
            </w:pPr>
            <w:r w:rsidRPr="002E7D71">
              <w:rPr>
                <w:rFonts w:ascii="Arial Narrow" w:hAnsi="Arial Narrow" w:cstheme="minorHAnsi"/>
                <w:bCs/>
                <w:color w:val="000000" w:themeColor="text1"/>
                <w:sz w:val="20"/>
                <w:szCs w:val="20"/>
              </w:rPr>
              <w:t>Linear trend analysis of a 6-month moving average, based on the 10% PBS sample data from 2018 – 2021.</w:t>
            </w:r>
          </w:p>
          <w:p w14:paraId="7E9E9E78" w14:textId="5F44488C" w:rsidR="00AA58D7" w:rsidRPr="002E7D71" w:rsidRDefault="00AA58D7" w:rsidP="005548BB">
            <w:pPr>
              <w:jc w:val="left"/>
              <w:rPr>
                <w:rFonts w:ascii="Arial Narrow" w:hAnsi="Arial Narrow" w:cstheme="minorHAnsi"/>
                <w:b/>
                <w:color w:val="000000" w:themeColor="text1"/>
                <w:sz w:val="20"/>
                <w:szCs w:val="20"/>
              </w:rPr>
            </w:pPr>
            <w:r w:rsidRPr="002E7D71">
              <w:rPr>
                <w:rFonts w:ascii="Arial Narrow" w:hAnsi="Arial Narrow" w:cstheme="minorHAnsi"/>
                <w:bCs/>
                <w:color w:val="000000" w:themeColor="text1"/>
                <w:sz w:val="20"/>
                <w:szCs w:val="20"/>
              </w:rPr>
              <w:t xml:space="preserve">This is a reasonable linear fit to the available data, however may be an overestimate given data from 2018 – 2021 suggests that the growth in third-line treatment may not be sustained in a linear fashion. </w:t>
            </w:r>
            <w:r w:rsidRPr="002E7D71">
              <w:rPr>
                <w:rFonts w:ascii="Arial Narrow" w:hAnsi="Arial Narrow"/>
                <w:bCs/>
                <w:sz w:val="20"/>
                <w:szCs w:val="20"/>
              </w:rPr>
              <w:t>AIHW data show that the incidence of all CML</w:t>
            </w:r>
            <w:r w:rsidRPr="002E7D71">
              <w:rPr>
                <w:rFonts w:ascii="Arial Narrow" w:hAnsi="Arial Narrow"/>
                <w:sz w:val="20"/>
                <w:szCs w:val="20"/>
              </w:rPr>
              <w:t xml:space="preserve"> has demonstrated little growth, from 306 cases in 2008 to 362 in 2017 (actual data) and 376 in 2021 (projected)</w:t>
            </w:r>
            <w:r w:rsidRPr="002E7D71">
              <w:rPr>
                <w:rFonts w:ascii="Arial Narrow" w:hAnsi="Arial Narrow"/>
                <w:b/>
                <w:sz w:val="20"/>
                <w:szCs w:val="20"/>
              </w:rPr>
              <w:t>.</w:t>
            </w:r>
            <w:r w:rsidR="00F116CC">
              <w:rPr>
                <w:rFonts w:ascii="Arial Narrow" w:hAnsi="Arial Narrow"/>
                <w:b/>
                <w:sz w:val="20"/>
                <w:szCs w:val="20"/>
              </w:rPr>
              <w:t xml:space="preserve"> </w:t>
            </w:r>
            <w:r w:rsidR="00F116CC" w:rsidRPr="005C2CB8">
              <w:rPr>
                <w:rFonts w:ascii="Arial Narrow" w:hAnsi="Arial Narrow"/>
                <w:bCs/>
                <w:sz w:val="20"/>
                <w:szCs w:val="20"/>
              </w:rPr>
              <w:t>DUSC considered t</w:t>
            </w:r>
            <w:r w:rsidR="00F116CC" w:rsidRPr="005C2CB8">
              <w:rPr>
                <w:rFonts w:ascii="Arial Narrow" w:hAnsi="Arial Narrow" w:cstheme="minorHAnsi"/>
                <w:bCs/>
                <w:color w:val="000000" w:themeColor="text1"/>
                <w:sz w:val="20"/>
                <w:szCs w:val="20"/>
              </w:rPr>
              <w:t>he 10% PBS sample data is likely not representative for this population (e.g. analysis appears to be based on 53 people) and thus considered the estimated growth is not accurate. DUSC also noted the method for identifying the third line utilisation was not defined.</w:t>
            </w:r>
          </w:p>
        </w:tc>
      </w:tr>
      <w:tr w:rsidR="00AA58D7" w:rsidRPr="00B22BCB" w14:paraId="72A6FA09" w14:textId="77777777" w:rsidTr="005548BB">
        <w:trPr>
          <w:cantSplit/>
        </w:trPr>
        <w:tc>
          <w:tcPr>
            <w:tcW w:w="950" w:type="pct"/>
            <w:shd w:val="clear" w:color="auto" w:fill="auto"/>
          </w:tcPr>
          <w:p w14:paraId="7310012F" w14:textId="77777777" w:rsidR="00AA58D7" w:rsidRPr="00B22BCB" w:rsidRDefault="00AA58D7" w:rsidP="005548BB">
            <w:pPr>
              <w:pStyle w:val="TableText0"/>
              <w:keepNext w:val="0"/>
              <w:rPr>
                <w:szCs w:val="20"/>
              </w:rPr>
            </w:pPr>
            <w:r w:rsidRPr="00B22BCB">
              <w:rPr>
                <w:rFonts w:cstheme="minorHAnsi"/>
                <w:color w:val="000000" w:themeColor="text1"/>
                <w:szCs w:val="20"/>
              </w:rPr>
              <w:t>Distribution of patients by third TKI</w:t>
            </w:r>
          </w:p>
        </w:tc>
        <w:tc>
          <w:tcPr>
            <w:tcW w:w="1406" w:type="pct"/>
            <w:shd w:val="clear" w:color="auto" w:fill="auto"/>
          </w:tcPr>
          <w:p w14:paraId="480A6940"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Nil.</w:t>
            </w: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Pon.</w:t>
            </w: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Das.</w:t>
            </w: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Ima.</w:t>
            </w:r>
            <w:r w:rsidRPr="00B22BCB">
              <w:rPr>
                <w:rFonts w:ascii="Arial Narrow" w:hAnsi="Arial Narrow" w:cstheme="minorHAnsi"/>
                <w:bCs/>
                <w:color w:val="000000" w:themeColor="text1"/>
                <w:sz w:val="20"/>
                <w:szCs w:val="20"/>
              </w:rPr>
              <w:t xml:space="preserve"> </w:t>
            </w:r>
          </w:p>
          <w:p w14:paraId="52749BC8"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2022:   33%    9%      38%     20%</w:t>
            </w:r>
          </w:p>
          <w:p w14:paraId="5E893832"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 xml:space="preserve">2023:   32%    10%    38%     21% </w:t>
            </w:r>
          </w:p>
          <w:p w14:paraId="513DCF9F"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 xml:space="preserve">2024:   31%    10%    37%     22% </w:t>
            </w:r>
          </w:p>
          <w:p w14:paraId="4B52F176"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 xml:space="preserve">2025:   30%    11%    37%     22% </w:t>
            </w:r>
          </w:p>
          <w:p w14:paraId="48060885"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 xml:space="preserve">2026:   29%    11%    37%     23% </w:t>
            </w:r>
          </w:p>
          <w:p w14:paraId="2A81A930" w14:textId="77777777" w:rsidR="00AA58D7" w:rsidRPr="00B22BCB" w:rsidRDefault="00AA58D7" w:rsidP="005548BB">
            <w:pPr>
              <w:pStyle w:val="TableText0"/>
              <w:keepNext w:val="0"/>
              <w:rPr>
                <w:szCs w:val="20"/>
              </w:rPr>
            </w:pPr>
            <w:r w:rsidRPr="00B22BCB">
              <w:rPr>
                <w:rFonts w:cstheme="minorHAnsi"/>
                <w:color w:val="000000" w:themeColor="text1"/>
                <w:szCs w:val="20"/>
              </w:rPr>
              <w:t xml:space="preserve">2027:   29%    11%    37%     23% </w:t>
            </w:r>
          </w:p>
        </w:tc>
        <w:tc>
          <w:tcPr>
            <w:tcW w:w="2644" w:type="pct"/>
            <w:shd w:val="clear" w:color="auto" w:fill="auto"/>
          </w:tcPr>
          <w:p w14:paraId="4B446C3B" w14:textId="77777777" w:rsidR="00AA58D7" w:rsidRPr="002E7D71" w:rsidRDefault="00AA58D7" w:rsidP="005548BB">
            <w:pPr>
              <w:jc w:val="left"/>
              <w:rPr>
                <w:rFonts w:ascii="Arial Narrow" w:hAnsi="Arial Narrow" w:cstheme="minorHAnsi"/>
                <w:b/>
                <w:color w:val="000000" w:themeColor="text1"/>
                <w:sz w:val="20"/>
                <w:szCs w:val="20"/>
              </w:rPr>
            </w:pPr>
            <w:r w:rsidRPr="002E7D71">
              <w:rPr>
                <w:rFonts w:ascii="Arial Narrow" w:hAnsi="Arial Narrow" w:cstheme="minorHAnsi"/>
                <w:bCs/>
                <w:color w:val="000000" w:themeColor="text1"/>
                <w:sz w:val="20"/>
                <w:szCs w:val="20"/>
              </w:rPr>
              <w:t xml:space="preserve">Linear trend analysis of a 12-month moving average using the distribution of treatments from 2018 – 2021. </w:t>
            </w:r>
          </w:p>
          <w:p w14:paraId="1AF8EC73" w14:textId="77777777" w:rsidR="00AA58D7" w:rsidRPr="002E7D71" w:rsidRDefault="00AA58D7" w:rsidP="005548BB">
            <w:pPr>
              <w:jc w:val="left"/>
              <w:rPr>
                <w:rFonts w:ascii="Arial Narrow" w:hAnsi="Arial Narrow" w:cstheme="minorHAnsi"/>
                <w:bCs/>
                <w:color w:val="000000" w:themeColor="text1"/>
                <w:sz w:val="20"/>
                <w:szCs w:val="20"/>
              </w:rPr>
            </w:pPr>
          </w:p>
          <w:p w14:paraId="5A93C986" w14:textId="749930D8" w:rsidR="00AA58D7" w:rsidRPr="002E7D71" w:rsidRDefault="00AA58D7" w:rsidP="005548BB">
            <w:pPr>
              <w:jc w:val="left"/>
              <w:rPr>
                <w:rFonts w:ascii="Arial Narrow" w:hAnsi="Arial Narrow"/>
                <w:sz w:val="20"/>
                <w:szCs w:val="20"/>
              </w:rPr>
            </w:pPr>
            <w:r w:rsidRPr="002E7D71">
              <w:rPr>
                <w:rFonts w:ascii="Arial Narrow" w:hAnsi="Arial Narrow" w:cstheme="minorHAnsi"/>
                <w:bCs/>
                <w:color w:val="000000" w:themeColor="text1"/>
                <w:sz w:val="20"/>
                <w:szCs w:val="20"/>
              </w:rPr>
              <w:t xml:space="preserve">This likely overestimates nilotinib and underestimates imatinib proportions. The 12-month moving average </w:t>
            </w:r>
            <w:r w:rsidRPr="002E7D71">
              <w:rPr>
                <w:rFonts w:ascii="Arial Narrow" w:hAnsi="Arial Narrow"/>
                <w:sz w:val="20"/>
                <w:szCs w:val="20"/>
              </w:rPr>
              <w:t>masks the changes in prescribing trends observed in the final year of data, where there was a decline in the share of nilotinib in the third line, and an increase in third line imatinib: in this one year, the nilotinib share dropped by 10% (from 40% to 30%) whilst imatinib share increased by 10% (from 15% to 25%). The submission’s model predicts nilotinib use will jump back up to 33% in 2022, then resume its decline and take 5 years to drop 4%, whilst imatinib use will drop back down to 20%, then take 5 years to increase by 3%.</w:t>
            </w:r>
            <w:r w:rsidR="005C2CB8">
              <w:rPr>
                <w:rFonts w:ascii="Arial Narrow" w:hAnsi="Arial Narrow"/>
                <w:sz w:val="20"/>
                <w:szCs w:val="20"/>
              </w:rPr>
              <w:t xml:space="preserve"> </w:t>
            </w:r>
          </w:p>
        </w:tc>
      </w:tr>
      <w:tr w:rsidR="00AA58D7" w:rsidRPr="00B22BCB" w14:paraId="0A1E8379" w14:textId="77777777" w:rsidTr="005548BB">
        <w:trPr>
          <w:cantSplit/>
        </w:trPr>
        <w:tc>
          <w:tcPr>
            <w:tcW w:w="950" w:type="pct"/>
            <w:shd w:val="clear" w:color="auto" w:fill="auto"/>
          </w:tcPr>
          <w:p w14:paraId="0AD31BBE" w14:textId="77777777" w:rsidR="00AA58D7" w:rsidRPr="00B22BCB" w:rsidRDefault="00AA58D7" w:rsidP="005548BB">
            <w:pPr>
              <w:pStyle w:val="TableText0"/>
              <w:keepNext w:val="0"/>
              <w:rPr>
                <w:szCs w:val="20"/>
              </w:rPr>
            </w:pPr>
            <w:r w:rsidRPr="00B22BCB">
              <w:rPr>
                <w:rFonts w:cstheme="minorHAnsi"/>
                <w:color w:val="000000" w:themeColor="text1"/>
                <w:szCs w:val="20"/>
              </w:rPr>
              <w:t>Uptake (%) of asciminib</w:t>
            </w:r>
          </w:p>
        </w:tc>
        <w:tc>
          <w:tcPr>
            <w:tcW w:w="1406" w:type="pct"/>
            <w:shd w:val="clear" w:color="auto" w:fill="auto"/>
          </w:tcPr>
          <w:p w14:paraId="5FDBEDDC" w14:textId="77777777" w:rsidR="00AA58D7" w:rsidRPr="00B22BCB" w:rsidRDefault="00AA58D7" w:rsidP="005548BB">
            <w:pPr>
              <w:jc w:val="left"/>
              <w:rPr>
                <w:rFonts w:ascii="Arial Narrow" w:hAnsi="Arial Narrow" w:cstheme="minorHAnsi"/>
                <w:bCs/>
                <w:sz w:val="20"/>
                <w:szCs w:val="20"/>
                <w:u w:val="single"/>
              </w:rPr>
            </w:pPr>
            <w:r w:rsidRPr="00B22BCB">
              <w:rPr>
                <w:rFonts w:ascii="Arial Narrow" w:hAnsi="Arial Narrow" w:cstheme="minorHAnsi"/>
                <w:bCs/>
                <w:sz w:val="20"/>
                <w:szCs w:val="20"/>
              </w:rPr>
              <w:t xml:space="preserve">                       </w:t>
            </w:r>
            <w:r w:rsidRPr="00B22BCB">
              <w:rPr>
                <w:rFonts w:ascii="Arial Narrow" w:hAnsi="Arial Narrow" w:cstheme="minorHAnsi"/>
                <w:bCs/>
                <w:sz w:val="20"/>
                <w:szCs w:val="20"/>
                <w:u w:val="single"/>
              </w:rPr>
              <w:t>Uptake</w:t>
            </w:r>
          </w:p>
          <w:p w14:paraId="134106B6"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2022:              35.0%</w:t>
            </w:r>
          </w:p>
          <w:p w14:paraId="40AB3C46"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2023:              40.0%</w:t>
            </w:r>
          </w:p>
          <w:p w14:paraId="04342033"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2024:              45.0%</w:t>
            </w:r>
          </w:p>
          <w:p w14:paraId="5EC4050A"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2025:              47.5%</w:t>
            </w:r>
          </w:p>
          <w:p w14:paraId="21023989"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2026:              48.5%</w:t>
            </w:r>
          </w:p>
          <w:p w14:paraId="6D65FBA2" w14:textId="77777777" w:rsidR="00AA58D7" w:rsidRPr="00B22BCB" w:rsidRDefault="00AA58D7" w:rsidP="005548BB">
            <w:pPr>
              <w:pStyle w:val="TableText0"/>
              <w:keepNext w:val="0"/>
              <w:rPr>
                <w:szCs w:val="20"/>
              </w:rPr>
            </w:pPr>
            <w:r w:rsidRPr="00B22BCB">
              <w:rPr>
                <w:rFonts w:cstheme="minorHAnsi"/>
                <w:szCs w:val="20"/>
              </w:rPr>
              <w:t>2027:              49.5%</w:t>
            </w:r>
          </w:p>
        </w:tc>
        <w:tc>
          <w:tcPr>
            <w:tcW w:w="2644" w:type="pct"/>
            <w:shd w:val="clear" w:color="auto" w:fill="auto"/>
          </w:tcPr>
          <w:p w14:paraId="7C735EE6" w14:textId="77777777" w:rsidR="00AA58D7" w:rsidRPr="002E7D71" w:rsidRDefault="00AA58D7" w:rsidP="005548BB">
            <w:pPr>
              <w:pStyle w:val="TableText0"/>
              <w:keepNext w:val="0"/>
              <w:rPr>
                <w:rFonts w:cstheme="minorHAnsi"/>
                <w:color w:val="000000" w:themeColor="text1"/>
                <w:szCs w:val="20"/>
              </w:rPr>
            </w:pPr>
            <w:r w:rsidRPr="002E7D71">
              <w:rPr>
                <w:rFonts w:cstheme="minorHAnsi"/>
                <w:color w:val="000000" w:themeColor="text1"/>
                <w:szCs w:val="20"/>
              </w:rPr>
              <w:t>Sponsor assumed.</w:t>
            </w:r>
          </w:p>
          <w:p w14:paraId="710C90DE" w14:textId="77777777" w:rsidR="00AA58D7" w:rsidRPr="00B22BCB" w:rsidRDefault="00AA58D7" w:rsidP="005548BB">
            <w:pPr>
              <w:pStyle w:val="TableText0"/>
              <w:keepNext w:val="0"/>
              <w:rPr>
                <w:i/>
                <w:iCs/>
                <w:szCs w:val="20"/>
                <w:u w:val="single"/>
              </w:rPr>
            </w:pPr>
            <w:r w:rsidRPr="002E7D71">
              <w:rPr>
                <w:szCs w:val="20"/>
              </w:rPr>
              <w:t>This is likely an underestimate, as explained in the row below.</w:t>
            </w:r>
          </w:p>
        </w:tc>
      </w:tr>
      <w:tr w:rsidR="00AA58D7" w:rsidRPr="00B22BCB" w14:paraId="7587BD5A" w14:textId="77777777" w:rsidTr="005548BB">
        <w:trPr>
          <w:cantSplit/>
        </w:trPr>
        <w:tc>
          <w:tcPr>
            <w:tcW w:w="950" w:type="pct"/>
            <w:shd w:val="clear" w:color="auto" w:fill="auto"/>
          </w:tcPr>
          <w:p w14:paraId="4FA65EF2" w14:textId="77777777" w:rsidR="00AA58D7" w:rsidRPr="00B22BCB" w:rsidRDefault="00AA58D7" w:rsidP="005548BB">
            <w:pPr>
              <w:pStyle w:val="TableText0"/>
              <w:keepNext w:val="0"/>
              <w:rPr>
                <w:szCs w:val="20"/>
              </w:rPr>
            </w:pPr>
            <w:r w:rsidRPr="00B22BCB">
              <w:rPr>
                <w:rFonts w:cstheme="minorHAnsi"/>
                <w:color w:val="000000" w:themeColor="text1"/>
                <w:szCs w:val="20"/>
              </w:rPr>
              <w:t>Distribution (%) of substitution from nilotinib, ponatinib, dasatinib and imatinib</w:t>
            </w:r>
          </w:p>
        </w:tc>
        <w:tc>
          <w:tcPr>
            <w:tcW w:w="1406" w:type="pct"/>
            <w:shd w:val="clear" w:color="auto" w:fill="auto"/>
          </w:tcPr>
          <w:p w14:paraId="3C954746" w14:textId="77777777" w:rsidR="00AA58D7" w:rsidRPr="00B22BCB" w:rsidRDefault="00AA58D7" w:rsidP="005548BB">
            <w:pPr>
              <w:jc w:val="left"/>
              <w:rPr>
                <w:rFonts w:ascii="Arial Narrow" w:hAnsi="Arial Narrow" w:cstheme="minorHAnsi"/>
                <w:bCs/>
                <w:color w:val="000000" w:themeColor="text1"/>
                <w:sz w:val="20"/>
                <w:szCs w:val="20"/>
                <w:u w:val="single"/>
              </w:rPr>
            </w:pPr>
            <w:r w:rsidRPr="00B22BCB">
              <w:rPr>
                <w:rFonts w:ascii="Arial Narrow" w:hAnsi="Arial Narrow" w:cstheme="minorHAnsi"/>
                <w:bCs/>
                <w:color w:val="000000" w:themeColor="text1"/>
                <w:sz w:val="20"/>
                <w:szCs w:val="20"/>
              </w:rPr>
              <w:t xml:space="preserve">                    </w:t>
            </w:r>
            <w:r w:rsidRPr="00B22BCB">
              <w:rPr>
                <w:rFonts w:ascii="Arial Narrow" w:hAnsi="Arial Narrow" w:cstheme="minorHAnsi"/>
                <w:bCs/>
                <w:color w:val="000000" w:themeColor="text1"/>
                <w:sz w:val="20"/>
                <w:szCs w:val="20"/>
                <w:u w:val="single"/>
              </w:rPr>
              <w:t>Distribution</w:t>
            </w:r>
          </w:p>
          <w:p w14:paraId="45DC2EB5"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Nilotinib:         49.1%</w:t>
            </w:r>
          </w:p>
          <w:p w14:paraId="2AF8AD46"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Ponatinib:       10.2%</w:t>
            </w:r>
          </w:p>
          <w:p w14:paraId="211C0FE7" w14:textId="77777777" w:rsidR="00AA58D7" w:rsidRPr="00B22BCB" w:rsidRDefault="00AA58D7" w:rsidP="005548BB">
            <w:pPr>
              <w:jc w:val="left"/>
              <w:rPr>
                <w:rFonts w:ascii="Arial Narrow" w:hAnsi="Arial Narrow" w:cstheme="minorHAnsi"/>
                <w:bCs/>
                <w:color w:val="000000" w:themeColor="text1"/>
                <w:sz w:val="20"/>
                <w:szCs w:val="20"/>
              </w:rPr>
            </w:pPr>
            <w:r w:rsidRPr="00B22BCB">
              <w:rPr>
                <w:rFonts w:ascii="Arial Narrow" w:hAnsi="Arial Narrow" w:cstheme="minorHAnsi"/>
                <w:bCs/>
                <w:color w:val="000000" w:themeColor="text1"/>
                <w:sz w:val="20"/>
                <w:szCs w:val="20"/>
              </w:rPr>
              <w:t>Dasatinib:       20.4%</w:t>
            </w:r>
          </w:p>
          <w:p w14:paraId="4C9AD09B" w14:textId="77777777" w:rsidR="00AA58D7" w:rsidRPr="00B22BCB" w:rsidRDefault="00AA58D7" w:rsidP="005548BB">
            <w:pPr>
              <w:pStyle w:val="TableText0"/>
              <w:keepNext w:val="0"/>
              <w:rPr>
                <w:szCs w:val="20"/>
              </w:rPr>
            </w:pPr>
            <w:r w:rsidRPr="00B22BCB">
              <w:rPr>
                <w:rFonts w:cstheme="minorHAnsi"/>
                <w:color w:val="000000" w:themeColor="text1"/>
                <w:szCs w:val="20"/>
              </w:rPr>
              <w:t>Imatinib:         20.4%</w:t>
            </w:r>
          </w:p>
        </w:tc>
        <w:tc>
          <w:tcPr>
            <w:tcW w:w="2644" w:type="pct"/>
            <w:shd w:val="clear" w:color="auto" w:fill="auto"/>
          </w:tcPr>
          <w:p w14:paraId="284AF961" w14:textId="77777777" w:rsidR="00AA58D7" w:rsidRDefault="00AA58D7" w:rsidP="005548BB">
            <w:pPr>
              <w:jc w:val="left"/>
              <w:rPr>
                <w:rFonts w:ascii="Arial Narrow" w:hAnsi="Arial Narrow" w:cstheme="minorHAnsi"/>
                <w:bCs/>
                <w:i/>
                <w:iCs/>
                <w:color w:val="000000" w:themeColor="text1"/>
                <w:sz w:val="20"/>
                <w:szCs w:val="20"/>
              </w:rPr>
            </w:pPr>
            <w:r w:rsidRPr="00B22BCB">
              <w:rPr>
                <w:rFonts w:ascii="Arial Narrow" w:hAnsi="Arial Narrow" w:cstheme="minorHAnsi"/>
                <w:bCs/>
                <w:color w:val="000000" w:themeColor="text1"/>
                <w:sz w:val="20"/>
                <w:szCs w:val="20"/>
              </w:rPr>
              <w:t xml:space="preserve">Analysis of 10% PBS sample data treatment sequences since 2016. </w:t>
            </w:r>
            <w:r w:rsidRPr="002E7D71">
              <w:rPr>
                <w:rFonts w:ascii="Arial Narrow" w:hAnsi="Arial Narrow" w:cstheme="minorHAnsi"/>
                <w:bCs/>
                <w:color w:val="000000" w:themeColor="text1"/>
                <w:sz w:val="20"/>
                <w:szCs w:val="20"/>
              </w:rPr>
              <w:t>This is an inappropriate source of data to predict the substitutions; the addition of asciminib to the PBS would alter the later-line treatment landscape in Australia. Currently, if a TKI is given after failure of two prior TKIs, 75-80% of patients will fail</w:t>
            </w:r>
            <w:r w:rsidRPr="002E7D71">
              <w:rPr>
                <w:rStyle w:val="FootnoteReference"/>
                <w:rFonts w:ascii="Arial Narrow" w:hAnsi="Arial Narrow" w:cstheme="minorHAnsi"/>
                <w:bCs/>
                <w:color w:val="000000" w:themeColor="text1"/>
                <w:sz w:val="20"/>
                <w:szCs w:val="20"/>
              </w:rPr>
              <w:footnoteReference w:id="12"/>
            </w:r>
            <w:r w:rsidRPr="002E7D71">
              <w:rPr>
                <w:rFonts w:ascii="Arial Narrow" w:hAnsi="Arial Narrow" w:cstheme="minorHAnsi"/>
                <w:bCs/>
                <w:color w:val="000000" w:themeColor="text1"/>
                <w:sz w:val="20"/>
                <w:szCs w:val="20"/>
              </w:rPr>
              <w:t>. Asciminib represents a novel mechanism of action, which is preferable in these pre-treated patients, and is why UpToDate guidelines recommend asciminib, rather than a third TKI, in patients who have failed ≥ 2 prior TKIs</w:t>
            </w:r>
            <w:r w:rsidRPr="002E7D71">
              <w:rPr>
                <w:rStyle w:val="FootnoteReference"/>
                <w:rFonts w:ascii="Arial Narrow" w:hAnsi="Arial Narrow" w:cstheme="minorHAnsi"/>
                <w:bCs/>
                <w:color w:val="000000" w:themeColor="text1"/>
                <w:sz w:val="20"/>
                <w:szCs w:val="20"/>
              </w:rPr>
              <w:footnoteReference w:id="13"/>
            </w:r>
            <w:r w:rsidRPr="002E7D71">
              <w:rPr>
                <w:rFonts w:ascii="Arial Narrow" w:hAnsi="Arial Narrow" w:cstheme="minorHAnsi"/>
                <w:bCs/>
                <w:color w:val="000000" w:themeColor="text1"/>
                <w:sz w:val="20"/>
                <w:szCs w:val="20"/>
              </w:rPr>
              <w:t>. It is unlikely that clinicians will continue to prescribe nilotinib in 51%, and dasatinib/imatinib in 80% of patients if asciminib were available. This is particularly true if the submission’s claim of superior safety of asciminib is accepted.</w:t>
            </w:r>
            <w:r w:rsidRPr="00B22BCB">
              <w:rPr>
                <w:rFonts w:ascii="Arial Narrow" w:hAnsi="Arial Narrow" w:cstheme="minorHAnsi"/>
                <w:bCs/>
                <w:i/>
                <w:iCs/>
                <w:color w:val="000000" w:themeColor="text1"/>
                <w:sz w:val="20"/>
                <w:szCs w:val="20"/>
              </w:rPr>
              <w:t xml:space="preserve"> </w:t>
            </w:r>
          </w:p>
          <w:p w14:paraId="6A41B348" w14:textId="765D7E46" w:rsidR="005C2CB8" w:rsidRPr="005C2CB8" w:rsidRDefault="005C2CB8" w:rsidP="005548BB">
            <w:pPr>
              <w:jc w:val="left"/>
              <w:rPr>
                <w:rFonts w:ascii="Arial Narrow" w:hAnsi="Arial Narrow" w:cstheme="minorHAnsi"/>
                <w:bCs/>
                <w:color w:val="000000" w:themeColor="text1"/>
                <w:sz w:val="20"/>
                <w:szCs w:val="20"/>
              </w:rPr>
            </w:pPr>
            <w:r w:rsidRPr="005C2CB8">
              <w:rPr>
                <w:rFonts w:ascii="Arial Narrow" w:hAnsi="Arial Narrow" w:cstheme="minorHAnsi"/>
                <w:bCs/>
                <w:color w:val="000000" w:themeColor="text1"/>
                <w:sz w:val="20"/>
                <w:szCs w:val="20"/>
              </w:rPr>
              <w:t xml:space="preserve">DUSC considered the distribution highly uncertain, given the significant changes in first line and the 2016 market being significantly different from the current market in 2021. DUSC noted polynomial </w:t>
            </w:r>
            <w:r w:rsidR="001828E2">
              <w:rPr>
                <w:rFonts w:ascii="Arial Narrow" w:hAnsi="Arial Narrow" w:cstheme="minorHAnsi"/>
                <w:bCs/>
                <w:color w:val="000000" w:themeColor="text1"/>
                <w:sz w:val="20"/>
                <w:szCs w:val="20"/>
              </w:rPr>
              <w:t>functions</w:t>
            </w:r>
            <w:r w:rsidRPr="005C2CB8">
              <w:rPr>
                <w:rFonts w:ascii="Arial Narrow" w:hAnsi="Arial Narrow" w:cstheme="minorHAnsi"/>
                <w:bCs/>
                <w:color w:val="000000" w:themeColor="text1"/>
                <w:sz w:val="20"/>
                <w:szCs w:val="20"/>
              </w:rPr>
              <w:t xml:space="preserve"> may be more appropriate to model the trend.</w:t>
            </w:r>
          </w:p>
        </w:tc>
      </w:tr>
      <w:tr w:rsidR="00AA58D7" w:rsidRPr="00B22BCB" w14:paraId="377AE90C" w14:textId="77777777" w:rsidTr="005548BB">
        <w:trPr>
          <w:cantSplit/>
        </w:trPr>
        <w:tc>
          <w:tcPr>
            <w:tcW w:w="950" w:type="pct"/>
            <w:shd w:val="clear" w:color="auto" w:fill="auto"/>
            <w:vAlign w:val="center"/>
          </w:tcPr>
          <w:p w14:paraId="73780A9F" w14:textId="77777777" w:rsidR="00AA58D7" w:rsidRPr="00B22BCB" w:rsidRDefault="00AA58D7" w:rsidP="005548BB">
            <w:pPr>
              <w:pStyle w:val="TableText0"/>
              <w:keepNext w:val="0"/>
              <w:rPr>
                <w:szCs w:val="20"/>
              </w:rPr>
            </w:pPr>
            <w:r w:rsidRPr="00B22BCB">
              <w:rPr>
                <w:szCs w:val="20"/>
              </w:rPr>
              <w:t>Grandfathered patients</w:t>
            </w:r>
          </w:p>
        </w:tc>
        <w:tc>
          <w:tcPr>
            <w:tcW w:w="1406" w:type="pct"/>
            <w:shd w:val="clear" w:color="auto" w:fill="auto"/>
          </w:tcPr>
          <w:p w14:paraId="5F3C6960" w14:textId="0E834DD7" w:rsidR="00AA58D7" w:rsidRPr="00B22BCB" w:rsidRDefault="00AA58D7" w:rsidP="005548BB">
            <w:pPr>
              <w:pStyle w:val="TableText0"/>
              <w:keepNext w:val="0"/>
              <w:rPr>
                <w:szCs w:val="20"/>
              </w:rPr>
            </w:pPr>
            <w:r w:rsidRPr="00B22BCB">
              <w:rPr>
                <w:rFonts w:cstheme="minorHAnsi"/>
                <w:color w:val="000000" w:themeColor="text1"/>
                <w:szCs w:val="20"/>
              </w:rPr>
              <w:t xml:space="preserve">2022: </w:t>
            </w:r>
            <w:r w:rsidR="00341457" w:rsidRPr="00341457">
              <w:rPr>
                <w:rFonts w:cstheme="minorHAnsi"/>
                <w:color w:val="000000" w:themeColor="text1"/>
                <w:spacing w:val="51"/>
                <w:szCs w:val="20"/>
                <w:shd w:val="solid" w:color="000000" w:fill="000000"/>
                <w:fitText w:val="326" w:id="-1436313076"/>
                <w14:textFill>
                  <w14:solidFill>
                    <w14:schemeClr w14:val="tx1">
                      <w14:alpha w14:val="100000"/>
                    </w14:schemeClr>
                  </w14:solidFill>
                </w14:textFill>
              </w:rPr>
              <w:t>|||</w:t>
            </w:r>
            <w:r w:rsidR="00341457" w:rsidRPr="00341457">
              <w:rPr>
                <w:rFonts w:cstheme="minorHAnsi"/>
                <w:color w:val="000000" w:themeColor="text1"/>
                <w:spacing w:val="3"/>
                <w:szCs w:val="20"/>
                <w:shd w:val="solid" w:color="000000" w:fill="000000"/>
                <w:fitText w:val="326" w:id="-1436313076"/>
                <w14:textFill>
                  <w14:solidFill>
                    <w14:schemeClr w14:val="tx1">
                      <w14:alpha w14:val="100000"/>
                    </w14:schemeClr>
                  </w14:solidFill>
                </w14:textFill>
              </w:rPr>
              <w:t>|</w:t>
            </w:r>
            <w:r w:rsidR="00733970">
              <w:rPr>
                <w:rFonts w:cstheme="minorHAnsi"/>
                <w:color w:val="000000" w:themeColor="text1"/>
                <w:szCs w:val="20"/>
                <w:vertAlign w:val="superscript"/>
              </w:rPr>
              <w:t>1</w:t>
            </w:r>
            <w:r w:rsidRPr="00B22BCB">
              <w:rPr>
                <w:rFonts w:cstheme="minorHAnsi"/>
                <w:color w:val="000000" w:themeColor="text1"/>
                <w:szCs w:val="20"/>
              </w:rPr>
              <w:t xml:space="preserve"> patients</w:t>
            </w:r>
          </w:p>
        </w:tc>
        <w:tc>
          <w:tcPr>
            <w:tcW w:w="2644" w:type="pct"/>
            <w:shd w:val="clear" w:color="auto" w:fill="auto"/>
          </w:tcPr>
          <w:p w14:paraId="2BA36C35" w14:textId="0A075903" w:rsidR="00AA58D7" w:rsidRPr="00B22BCB" w:rsidRDefault="00AA58D7" w:rsidP="005548BB">
            <w:pPr>
              <w:pStyle w:val="TableText0"/>
              <w:keepNext w:val="0"/>
              <w:rPr>
                <w:i/>
                <w:szCs w:val="20"/>
              </w:rPr>
            </w:pPr>
            <w:r w:rsidRPr="00B22BCB">
              <w:rPr>
                <w:rFonts w:cstheme="minorHAnsi"/>
                <w:color w:val="000000" w:themeColor="text1"/>
                <w:szCs w:val="20"/>
              </w:rPr>
              <w:t>Novartis MAP</w:t>
            </w:r>
            <w:r w:rsidR="005C2CB8">
              <w:rPr>
                <w:rFonts w:cstheme="minorHAnsi"/>
                <w:color w:val="000000" w:themeColor="text1"/>
                <w:szCs w:val="20"/>
              </w:rPr>
              <w:t xml:space="preserve">. </w:t>
            </w:r>
          </w:p>
        </w:tc>
      </w:tr>
      <w:tr w:rsidR="00AA58D7" w:rsidRPr="00B22BCB" w14:paraId="38AE71CA" w14:textId="77777777" w:rsidTr="005548BB">
        <w:trPr>
          <w:cantSplit/>
        </w:trPr>
        <w:tc>
          <w:tcPr>
            <w:tcW w:w="950" w:type="pct"/>
            <w:shd w:val="clear" w:color="auto" w:fill="auto"/>
          </w:tcPr>
          <w:p w14:paraId="014B4941" w14:textId="77777777" w:rsidR="00AA58D7" w:rsidRPr="00B22BCB" w:rsidRDefault="00AA58D7" w:rsidP="005548BB">
            <w:pPr>
              <w:pStyle w:val="TableText0"/>
              <w:keepNext w:val="0"/>
              <w:rPr>
                <w:szCs w:val="20"/>
              </w:rPr>
            </w:pPr>
            <w:r w:rsidRPr="00B22BCB">
              <w:rPr>
                <w:rFonts w:cstheme="minorHAnsi"/>
                <w:color w:val="000000" w:themeColor="text1"/>
                <w:szCs w:val="20"/>
              </w:rPr>
              <w:t>Persistence grandfathered patients</w:t>
            </w:r>
          </w:p>
        </w:tc>
        <w:tc>
          <w:tcPr>
            <w:tcW w:w="1406" w:type="pct"/>
            <w:shd w:val="clear" w:color="auto" w:fill="auto"/>
          </w:tcPr>
          <w:p w14:paraId="4045F890" w14:textId="77777777" w:rsidR="00AA58D7" w:rsidRPr="00B22BCB" w:rsidRDefault="00AA58D7" w:rsidP="005548BB">
            <w:pPr>
              <w:pStyle w:val="TableText0"/>
              <w:keepNext w:val="0"/>
              <w:rPr>
                <w:rFonts w:cstheme="minorHAnsi"/>
                <w:color w:val="000000" w:themeColor="text1"/>
                <w:szCs w:val="20"/>
              </w:rPr>
            </w:pPr>
            <w:r w:rsidRPr="00B22BCB">
              <w:rPr>
                <w:rFonts w:cstheme="minorHAnsi"/>
                <w:color w:val="000000" w:themeColor="text1"/>
                <w:szCs w:val="20"/>
              </w:rPr>
              <w:t>88% per annum</w:t>
            </w:r>
          </w:p>
        </w:tc>
        <w:tc>
          <w:tcPr>
            <w:tcW w:w="2644" w:type="pct"/>
            <w:shd w:val="clear" w:color="auto" w:fill="auto"/>
          </w:tcPr>
          <w:p w14:paraId="575D7DC2" w14:textId="67ED4DF7" w:rsidR="00AA58D7" w:rsidRPr="00B22BCB" w:rsidRDefault="00AA58D7" w:rsidP="005548BB">
            <w:pPr>
              <w:pStyle w:val="TableText0"/>
              <w:keepNext w:val="0"/>
              <w:rPr>
                <w:rFonts w:cstheme="minorHAnsi"/>
                <w:i/>
                <w:iCs/>
                <w:color w:val="000000" w:themeColor="text1"/>
                <w:szCs w:val="20"/>
              </w:rPr>
            </w:pPr>
            <w:r w:rsidRPr="00B22BCB">
              <w:rPr>
                <w:rFonts w:cstheme="minorHAnsi"/>
                <w:color w:val="000000" w:themeColor="text1"/>
                <w:szCs w:val="20"/>
              </w:rPr>
              <w:t>Persistence of nilotinib over the period 12 to 36</w:t>
            </w:r>
            <w:r w:rsidR="001828E2">
              <w:rPr>
                <w:rFonts w:cstheme="minorHAnsi"/>
                <w:color w:val="000000" w:themeColor="text1"/>
                <w:szCs w:val="20"/>
              </w:rPr>
              <w:t xml:space="preserve"> </w:t>
            </w:r>
            <w:r w:rsidRPr="00B22BCB">
              <w:rPr>
                <w:rFonts w:cstheme="minorHAnsi"/>
                <w:color w:val="000000" w:themeColor="text1"/>
                <w:szCs w:val="20"/>
              </w:rPr>
              <w:t>months since initiating treatment from 10% PBS sample data.</w:t>
            </w:r>
            <w:r w:rsidR="005C2CB8">
              <w:rPr>
                <w:rFonts w:cstheme="minorHAnsi"/>
                <w:color w:val="000000" w:themeColor="text1"/>
                <w:szCs w:val="20"/>
              </w:rPr>
              <w:t xml:space="preserve"> DUSC noted this step may not be necessary.</w:t>
            </w:r>
          </w:p>
        </w:tc>
      </w:tr>
      <w:tr w:rsidR="00AA58D7" w:rsidRPr="00B22BCB" w14:paraId="3E08FADD" w14:textId="77777777" w:rsidTr="005548BB">
        <w:trPr>
          <w:cantSplit/>
        </w:trPr>
        <w:tc>
          <w:tcPr>
            <w:tcW w:w="950" w:type="pct"/>
            <w:shd w:val="clear" w:color="auto" w:fill="auto"/>
          </w:tcPr>
          <w:p w14:paraId="175024F5" w14:textId="77777777" w:rsidR="00AA58D7" w:rsidRPr="00B22BCB" w:rsidRDefault="00AA58D7" w:rsidP="005548BB">
            <w:pPr>
              <w:pStyle w:val="TableText0"/>
              <w:keepNext w:val="0"/>
              <w:rPr>
                <w:rFonts w:cstheme="minorHAnsi"/>
                <w:color w:val="000000" w:themeColor="text1"/>
                <w:szCs w:val="20"/>
              </w:rPr>
            </w:pPr>
            <w:r w:rsidRPr="00B22BCB">
              <w:rPr>
                <w:rFonts w:cstheme="minorHAnsi"/>
                <w:szCs w:val="20"/>
              </w:rPr>
              <w:t>Asciminib</w:t>
            </w:r>
          </w:p>
        </w:tc>
        <w:tc>
          <w:tcPr>
            <w:tcW w:w="1406" w:type="pct"/>
            <w:shd w:val="clear" w:color="auto" w:fill="auto"/>
          </w:tcPr>
          <w:p w14:paraId="78A684EC"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Published AEMP:</w:t>
            </w:r>
          </w:p>
          <w:p w14:paraId="27463B3C" w14:textId="7A3A2A8E"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20 mg x 60: $</w:t>
            </w:r>
            <w:r w:rsidR="00341457" w:rsidRPr="00341457">
              <w:rPr>
                <w:rFonts w:ascii="Arial Narrow" w:hAnsi="Arial Narrow" w:cstheme="minorHAnsi"/>
                <w:bCs/>
                <w:color w:val="000000"/>
                <w:spacing w:val="51"/>
                <w:sz w:val="20"/>
                <w:szCs w:val="20"/>
                <w:shd w:val="solid" w:color="000000" w:fill="000000"/>
                <w:fitText w:val="326" w:id="-1436313075"/>
                <w14:textFill>
                  <w14:solidFill>
                    <w14:srgbClr w14:val="000000">
                      <w14:alpha w14:val="100000"/>
                    </w14:srgbClr>
                  </w14:solidFill>
                </w14:textFill>
              </w:rPr>
              <w:t>|||</w:t>
            </w:r>
            <w:r w:rsidR="00341457" w:rsidRPr="00341457">
              <w:rPr>
                <w:rFonts w:ascii="Arial Narrow" w:hAnsi="Arial Narrow" w:cstheme="minorHAnsi"/>
                <w:bCs/>
                <w:color w:val="000000"/>
                <w:spacing w:val="3"/>
                <w:sz w:val="20"/>
                <w:szCs w:val="20"/>
                <w:shd w:val="solid" w:color="000000" w:fill="000000"/>
                <w:fitText w:val="326" w:id="-1436313075"/>
                <w14:textFill>
                  <w14:solidFill>
                    <w14:srgbClr w14:val="000000">
                      <w14:alpha w14:val="100000"/>
                    </w14:srgbClr>
                  </w14:solidFill>
                </w14:textFill>
              </w:rPr>
              <w:t>|</w:t>
            </w:r>
          </w:p>
          <w:p w14:paraId="4C5B3D0B" w14:textId="7221F829"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40 mg x 60: $</w:t>
            </w:r>
            <w:r w:rsidR="00341457" w:rsidRPr="00341457">
              <w:rPr>
                <w:rFonts w:ascii="Arial Narrow" w:hAnsi="Arial Narrow" w:cstheme="minorHAnsi"/>
                <w:bCs/>
                <w:color w:val="000000"/>
                <w:spacing w:val="51"/>
                <w:sz w:val="20"/>
                <w:szCs w:val="20"/>
                <w:shd w:val="solid" w:color="000000" w:fill="000000"/>
                <w:fitText w:val="326" w:id="-1436313074"/>
                <w14:textFill>
                  <w14:solidFill>
                    <w14:srgbClr w14:val="000000">
                      <w14:alpha w14:val="100000"/>
                    </w14:srgbClr>
                  </w14:solidFill>
                </w14:textFill>
              </w:rPr>
              <w:t>|||</w:t>
            </w:r>
            <w:r w:rsidR="00341457" w:rsidRPr="00341457">
              <w:rPr>
                <w:rFonts w:ascii="Arial Narrow" w:hAnsi="Arial Narrow" w:cstheme="minorHAnsi"/>
                <w:bCs/>
                <w:color w:val="000000"/>
                <w:spacing w:val="3"/>
                <w:sz w:val="20"/>
                <w:szCs w:val="20"/>
                <w:shd w:val="solid" w:color="000000" w:fill="000000"/>
                <w:fitText w:val="326" w:id="-1436313074"/>
                <w14:textFill>
                  <w14:solidFill>
                    <w14:srgbClr w14:val="000000">
                      <w14:alpha w14:val="100000"/>
                    </w14:srgbClr>
                  </w14:solidFill>
                </w14:textFill>
              </w:rPr>
              <w:t>|</w:t>
            </w:r>
          </w:p>
          <w:p w14:paraId="6341BD70"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Effective AEMP:</w:t>
            </w:r>
          </w:p>
          <w:p w14:paraId="6C0D67D9" w14:textId="233359A2"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20 mg x 60: $</w:t>
            </w:r>
            <w:r w:rsidR="00341457" w:rsidRPr="00341457">
              <w:rPr>
                <w:rFonts w:ascii="Arial Narrow" w:hAnsi="Arial Narrow" w:cstheme="minorHAnsi"/>
                <w:bCs/>
                <w:color w:val="000000"/>
                <w:spacing w:val="51"/>
                <w:sz w:val="20"/>
                <w:szCs w:val="20"/>
                <w:shd w:val="solid" w:color="000000" w:fill="000000"/>
                <w:fitText w:val="326" w:id="-1436313073"/>
                <w14:textFill>
                  <w14:solidFill>
                    <w14:srgbClr w14:val="000000">
                      <w14:alpha w14:val="100000"/>
                    </w14:srgbClr>
                  </w14:solidFill>
                </w14:textFill>
              </w:rPr>
              <w:t>|||</w:t>
            </w:r>
            <w:r w:rsidR="00341457" w:rsidRPr="00341457">
              <w:rPr>
                <w:rFonts w:ascii="Arial Narrow" w:hAnsi="Arial Narrow" w:cstheme="minorHAnsi"/>
                <w:bCs/>
                <w:color w:val="000000"/>
                <w:spacing w:val="3"/>
                <w:sz w:val="20"/>
                <w:szCs w:val="20"/>
                <w:shd w:val="solid" w:color="000000" w:fill="000000"/>
                <w:fitText w:val="326" w:id="-1436313073"/>
                <w14:textFill>
                  <w14:solidFill>
                    <w14:srgbClr w14:val="000000">
                      <w14:alpha w14:val="100000"/>
                    </w14:srgbClr>
                  </w14:solidFill>
                </w14:textFill>
              </w:rPr>
              <w:t>|</w:t>
            </w:r>
          </w:p>
          <w:p w14:paraId="5955DAD4" w14:textId="2E62B9C9"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40 mg x 60: $</w:t>
            </w:r>
            <w:r w:rsidR="00341457" w:rsidRPr="00341457">
              <w:rPr>
                <w:rFonts w:ascii="Arial Narrow" w:hAnsi="Arial Narrow" w:cstheme="minorHAnsi"/>
                <w:bCs/>
                <w:color w:val="000000"/>
                <w:spacing w:val="51"/>
                <w:sz w:val="20"/>
                <w:szCs w:val="20"/>
                <w:shd w:val="solid" w:color="000000" w:fill="000000"/>
                <w:fitText w:val="326" w:id="-1436313072"/>
                <w14:textFill>
                  <w14:solidFill>
                    <w14:srgbClr w14:val="000000">
                      <w14:alpha w14:val="100000"/>
                    </w14:srgbClr>
                  </w14:solidFill>
                </w14:textFill>
              </w:rPr>
              <w:t>|||</w:t>
            </w:r>
            <w:r w:rsidR="00341457" w:rsidRPr="00341457">
              <w:rPr>
                <w:rFonts w:ascii="Arial Narrow" w:hAnsi="Arial Narrow" w:cstheme="minorHAnsi"/>
                <w:bCs/>
                <w:color w:val="000000"/>
                <w:spacing w:val="3"/>
                <w:sz w:val="20"/>
                <w:szCs w:val="20"/>
                <w:shd w:val="solid" w:color="000000" w:fill="000000"/>
                <w:fitText w:val="326" w:id="-1436313072"/>
                <w14:textFill>
                  <w14:solidFill>
                    <w14:srgbClr w14:val="000000">
                      <w14:alpha w14:val="100000"/>
                    </w14:srgbClr>
                  </w14:solidFill>
                </w14:textFill>
              </w:rPr>
              <w:t>|</w:t>
            </w:r>
          </w:p>
          <w:p w14:paraId="4DB8DF8A" w14:textId="77777777" w:rsidR="00AA58D7" w:rsidRPr="00C50391" w:rsidRDefault="00AA58D7" w:rsidP="005548BB">
            <w:pPr>
              <w:jc w:val="left"/>
              <w:rPr>
                <w:rFonts w:ascii="Arial Narrow" w:hAnsi="Arial Narrow" w:cstheme="minorHAnsi"/>
                <w:bCs/>
                <w:sz w:val="20"/>
                <w:szCs w:val="20"/>
              </w:rPr>
            </w:pPr>
            <w:r w:rsidRPr="00C50391">
              <w:rPr>
                <w:rFonts w:ascii="Arial Narrow" w:hAnsi="Arial Narrow" w:cstheme="minorHAnsi"/>
                <w:bCs/>
                <w:sz w:val="20"/>
                <w:szCs w:val="20"/>
              </w:rPr>
              <w:t>Revised effective AEMP:</w:t>
            </w:r>
          </w:p>
          <w:p w14:paraId="486499E2" w14:textId="192FB4DC" w:rsidR="00AA58D7" w:rsidRPr="00C50391" w:rsidRDefault="00AA58D7" w:rsidP="00821D54">
            <w:pPr>
              <w:ind w:left="103"/>
              <w:jc w:val="left"/>
              <w:rPr>
                <w:rFonts w:ascii="Arial Narrow" w:hAnsi="Arial Narrow" w:cstheme="minorHAnsi"/>
                <w:bCs/>
                <w:sz w:val="20"/>
                <w:szCs w:val="20"/>
              </w:rPr>
            </w:pPr>
            <w:r w:rsidRPr="00C50391">
              <w:rPr>
                <w:rFonts w:ascii="Arial Narrow" w:hAnsi="Arial Narrow" w:cstheme="minorHAnsi"/>
                <w:bCs/>
                <w:sz w:val="20"/>
                <w:szCs w:val="20"/>
              </w:rPr>
              <w:t>20 mg x 60: $</w:t>
            </w:r>
            <w:r w:rsidR="00341457" w:rsidRPr="00341457">
              <w:rPr>
                <w:rFonts w:ascii="Arial Narrow" w:hAnsi="Arial Narrow" w:cstheme="minorHAnsi"/>
                <w:bCs/>
                <w:color w:val="000000"/>
                <w:spacing w:val="55"/>
                <w:sz w:val="20"/>
                <w:szCs w:val="20"/>
                <w:shd w:val="solid" w:color="000000" w:fill="000000"/>
                <w:fitText w:val="238" w:id="-1436313088"/>
                <w14:textFill>
                  <w14:solidFill>
                    <w14:srgbClr w14:val="000000">
                      <w14:alpha w14:val="100000"/>
                    </w14:srgbClr>
                  </w14:solidFill>
                </w14:textFill>
              </w:rPr>
              <w:t>||</w:t>
            </w:r>
            <w:r w:rsidR="00341457" w:rsidRPr="00341457">
              <w:rPr>
                <w:rFonts w:ascii="Arial Narrow" w:hAnsi="Arial Narrow" w:cstheme="minorHAnsi"/>
                <w:bCs/>
                <w:color w:val="000000"/>
                <w:spacing w:val="1"/>
                <w:sz w:val="20"/>
                <w:szCs w:val="20"/>
                <w:shd w:val="solid" w:color="000000" w:fill="000000"/>
                <w:fitText w:val="238" w:id="-1436313088"/>
                <w14:textFill>
                  <w14:solidFill>
                    <w14:srgbClr w14:val="000000">
                      <w14:alpha w14:val="100000"/>
                    </w14:srgbClr>
                  </w14:solidFill>
                </w14:textFill>
              </w:rPr>
              <w:t>|</w:t>
            </w:r>
          </w:p>
          <w:p w14:paraId="305FC9C9" w14:textId="3DCB98DB" w:rsidR="00AA58D7" w:rsidRDefault="00AA58D7" w:rsidP="00821D54">
            <w:pPr>
              <w:pStyle w:val="TableText0"/>
              <w:keepNext w:val="0"/>
              <w:ind w:left="103"/>
              <w:rPr>
                <w:rFonts w:cstheme="minorHAnsi"/>
                <w:szCs w:val="20"/>
              </w:rPr>
            </w:pPr>
            <w:r w:rsidRPr="00C50391">
              <w:rPr>
                <w:rFonts w:cstheme="minorHAnsi"/>
                <w:szCs w:val="20"/>
              </w:rPr>
              <w:t>40 mg x 60: $</w:t>
            </w:r>
            <w:r w:rsidR="00341457" w:rsidRPr="00341457">
              <w:rPr>
                <w:rFonts w:cstheme="minorHAnsi"/>
                <w:color w:val="000000"/>
                <w:spacing w:val="55"/>
                <w:szCs w:val="20"/>
                <w:shd w:val="solid" w:color="000000" w:fill="000000"/>
                <w:fitText w:val="238" w:id="-1436313087"/>
                <w14:textFill>
                  <w14:solidFill>
                    <w14:srgbClr w14:val="000000">
                      <w14:alpha w14:val="100000"/>
                    </w14:srgbClr>
                  </w14:solidFill>
                </w14:textFill>
              </w:rPr>
              <w:t>||</w:t>
            </w:r>
            <w:r w:rsidR="00341457" w:rsidRPr="00341457">
              <w:rPr>
                <w:rFonts w:cstheme="minorHAnsi"/>
                <w:color w:val="000000"/>
                <w:spacing w:val="1"/>
                <w:szCs w:val="20"/>
                <w:shd w:val="solid" w:color="000000" w:fill="000000"/>
                <w:fitText w:val="238" w:id="-1436313087"/>
                <w14:textFill>
                  <w14:solidFill>
                    <w14:srgbClr w14:val="000000">
                      <w14:alpha w14:val="100000"/>
                    </w14:srgbClr>
                  </w14:solidFill>
                </w14:textFill>
              </w:rPr>
              <w:t>|</w:t>
            </w:r>
          </w:p>
          <w:p w14:paraId="619B0B90" w14:textId="77777777" w:rsidR="00821D54" w:rsidRDefault="00821D54" w:rsidP="005548BB">
            <w:pPr>
              <w:pStyle w:val="TableText0"/>
              <w:keepNext w:val="0"/>
              <w:rPr>
                <w:rFonts w:cstheme="minorHAnsi"/>
                <w:bCs w:val="0"/>
                <w:szCs w:val="20"/>
              </w:rPr>
            </w:pPr>
            <w:r w:rsidRPr="00C50391">
              <w:rPr>
                <w:rFonts w:cstheme="minorHAnsi"/>
                <w:bCs w:val="0"/>
                <w:szCs w:val="20"/>
              </w:rPr>
              <w:t>Revised effective AEMP</w:t>
            </w:r>
            <w:r>
              <w:rPr>
                <w:rFonts w:cstheme="minorHAnsi"/>
                <w:bCs w:val="0"/>
                <w:szCs w:val="20"/>
              </w:rPr>
              <w:t xml:space="preserve"> no C5.7</w:t>
            </w:r>
            <w:r w:rsidRPr="00C50391">
              <w:rPr>
                <w:rFonts w:cstheme="minorHAnsi"/>
                <w:bCs w:val="0"/>
                <w:szCs w:val="20"/>
              </w:rPr>
              <w:t>:</w:t>
            </w:r>
          </w:p>
          <w:p w14:paraId="14178129" w14:textId="455A926E" w:rsidR="00821D54" w:rsidRPr="00C50391" w:rsidRDefault="00821D54" w:rsidP="00821D54">
            <w:pPr>
              <w:ind w:left="103"/>
              <w:jc w:val="left"/>
              <w:rPr>
                <w:rFonts w:ascii="Arial Narrow" w:hAnsi="Arial Narrow" w:cstheme="minorHAnsi"/>
                <w:bCs/>
                <w:sz w:val="20"/>
                <w:szCs w:val="20"/>
              </w:rPr>
            </w:pPr>
            <w:r w:rsidRPr="00C50391">
              <w:rPr>
                <w:rFonts w:ascii="Arial Narrow" w:hAnsi="Arial Narrow" w:cstheme="minorHAnsi"/>
                <w:bCs/>
                <w:sz w:val="20"/>
                <w:szCs w:val="20"/>
              </w:rPr>
              <w:t>20 mg x 60: $</w:t>
            </w:r>
            <w:r w:rsidR="00341457" w:rsidRPr="00341457">
              <w:rPr>
                <w:rFonts w:ascii="Arial Narrow" w:hAnsi="Arial Narrow" w:cstheme="minorHAnsi"/>
                <w:bCs/>
                <w:color w:val="000000"/>
                <w:spacing w:val="55"/>
                <w:sz w:val="20"/>
                <w:szCs w:val="20"/>
                <w:shd w:val="solid" w:color="000000" w:fill="000000"/>
                <w:fitText w:val="238" w:id="-1436313086"/>
                <w14:textFill>
                  <w14:solidFill>
                    <w14:srgbClr w14:val="000000">
                      <w14:alpha w14:val="100000"/>
                    </w14:srgbClr>
                  </w14:solidFill>
                </w14:textFill>
              </w:rPr>
              <w:t>||</w:t>
            </w:r>
            <w:r w:rsidR="00341457" w:rsidRPr="00341457">
              <w:rPr>
                <w:rFonts w:ascii="Arial Narrow" w:hAnsi="Arial Narrow" w:cstheme="minorHAnsi"/>
                <w:bCs/>
                <w:color w:val="000000"/>
                <w:spacing w:val="1"/>
                <w:sz w:val="20"/>
                <w:szCs w:val="20"/>
                <w:shd w:val="solid" w:color="000000" w:fill="000000"/>
                <w:fitText w:val="238" w:id="-1436313086"/>
                <w14:textFill>
                  <w14:solidFill>
                    <w14:srgbClr w14:val="000000">
                      <w14:alpha w14:val="100000"/>
                    </w14:srgbClr>
                  </w14:solidFill>
                </w14:textFill>
              </w:rPr>
              <w:t>|</w:t>
            </w:r>
          </w:p>
          <w:p w14:paraId="56704A64" w14:textId="7EF47A9F" w:rsidR="00821D54" w:rsidRPr="00B22BCB" w:rsidRDefault="00821D54" w:rsidP="00821D54">
            <w:pPr>
              <w:pStyle w:val="TableText0"/>
              <w:keepNext w:val="0"/>
              <w:ind w:left="103"/>
              <w:rPr>
                <w:rFonts w:cstheme="minorHAnsi"/>
                <w:color w:val="000000" w:themeColor="text1"/>
                <w:szCs w:val="20"/>
              </w:rPr>
            </w:pPr>
            <w:r w:rsidRPr="00C50391">
              <w:rPr>
                <w:rFonts w:cstheme="minorHAnsi"/>
                <w:szCs w:val="20"/>
              </w:rPr>
              <w:t xml:space="preserve">40 mg x 60: </w:t>
            </w:r>
            <w:r w:rsidRPr="00C50391">
              <w:rPr>
                <w:rFonts w:cstheme="minorHAnsi"/>
                <w:bCs w:val="0"/>
                <w:szCs w:val="20"/>
              </w:rPr>
              <w:t>$</w:t>
            </w:r>
            <w:r w:rsidR="00341457" w:rsidRPr="00341457">
              <w:rPr>
                <w:rFonts w:cstheme="minorHAnsi"/>
                <w:bCs w:val="0"/>
                <w:color w:val="000000"/>
                <w:spacing w:val="55"/>
                <w:szCs w:val="20"/>
                <w:shd w:val="solid" w:color="000000" w:fill="000000"/>
                <w:fitText w:val="238" w:id="-1436313085"/>
                <w14:textFill>
                  <w14:solidFill>
                    <w14:srgbClr w14:val="000000">
                      <w14:alpha w14:val="100000"/>
                    </w14:srgbClr>
                  </w14:solidFill>
                </w14:textFill>
              </w:rPr>
              <w:t>||</w:t>
            </w:r>
            <w:r w:rsidR="00341457" w:rsidRPr="00341457">
              <w:rPr>
                <w:rFonts w:cstheme="minorHAnsi"/>
                <w:bCs w:val="0"/>
                <w:color w:val="000000"/>
                <w:spacing w:val="1"/>
                <w:szCs w:val="20"/>
                <w:shd w:val="solid" w:color="000000" w:fill="000000"/>
                <w:fitText w:val="238" w:id="-1436313085"/>
                <w14:textFill>
                  <w14:solidFill>
                    <w14:srgbClr w14:val="000000">
                      <w14:alpha w14:val="100000"/>
                    </w14:srgbClr>
                  </w14:solidFill>
                </w14:textFill>
              </w:rPr>
              <w:t>|</w:t>
            </w:r>
          </w:p>
        </w:tc>
        <w:tc>
          <w:tcPr>
            <w:tcW w:w="2644" w:type="pct"/>
            <w:shd w:val="clear" w:color="auto" w:fill="auto"/>
          </w:tcPr>
          <w:p w14:paraId="2CE2CF9F"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Novartis proposed</w:t>
            </w:r>
          </w:p>
          <w:p w14:paraId="1443D2D1" w14:textId="77777777" w:rsidR="00AA58D7" w:rsidRPr="00B22BCB" w:rsidRDefault="00AA58D7" w:rsidP="005548BB">
            <w:pPr>
              <w:jc w:val="left"/>
              <w:rPr>
                <w:rFonts w:ascii="Arial Narrow" w:hAnsi="Arial Narrow" w:cstheme="minorHAnsi"/>
                <w:bCs/>
                <w:sz w:val="20"/>
                <w:szCs w:val="20"/>
              </w:rPr>
            </w:pPr>
          </w:p>
          <w:p w14:paraId="08FB5D6B" w14:textId="77777777" w:rsidR="00AA58D7" w:rsidRPr="00B22BCB" w:rsidRDefault="00AA58D7" w:rsidP="005548BB">
            <w:pPr>
              <w:jc w:val="left"/>
              <w:rPr>
                <w:rFonts w:ascii="Arial Narrow" w:hAnsi="Arial Narrow" w:cstheme="minorHAnsi"/>
                <w:bCs/>
                <w:sz w:val="20"/>
                <w:szCs w:val="20"/>
              </w:rPr>
            </w:pPr>
          </w:p>
          <w:p w14:paraId="2E3B7BE8" w14:textId="77777777" w:rsidR="00AA58D7" w:rsidRPr="00B22BCB" w:rsidRDefault="00AA58D7" w:rsidP="005548BB">
            <w:pPr>
              <w:jc w:val="left"/>
              <w:rPr>
                <w:rFonts w:ascii="Arial Narrow" w:hAnsi="Arial Narrow" w:cstheme="minorHAnsi"/>
                <w:bCs/>
                <w:sz w:val="20"/>
                <w:szCs w:val="20"/>
              </w:rPr>
            </w:pPr>
          </w:p>
          <w:p w14:paraId="3B0D494D" w14:textId="77777777" w:rsidR="00AA58D7" w:rsidRPr="00B22BCB" w:rsidRDefault="00AA58D7" w:rsidP="005548BB">
            <w:pPr>
              <w:jc w:val="left"/>
              <w:rPr>
                <w:rFonts w:ascii="Arial Narrow" w:hAnsi="Arial Narrow" w:cstheme="minorHAnsi"/>
                <w:bCs/>
                <w:sz w:val="20"/>
                <w:szCs w:val="20"/>
              </w:rPr>
            </w:pPr>
          </w:p>
          <w:p w14:paraId="07C1D688" w14:textId="77777777" w:rsidR="00AA58D7" w:rsidRPr="002E7D71" w:rsidRDefault="00AA58D7" w:rsidP="005548BB">
            <w:pPr>
              <w:jc w:val="left"/>
              <w:rPr>
                <w:rFonts w:ascii="Arial Narrow" w:hAnsi="Arial Narrow" w:cstheme="minorHAnsi"/>
                <w:bCs/>
                <w:sz w:val="20"/>
                <w:szCs w:val="20"/>
              </w:rPr>
            </w:pPr>
          </w:p>
          <w:p w14:paraId="324FE4CA" w14:textId="76E28B44" w:rsidR="00AA58D7" w:rsidRPr="00B22BCB" w:rsidRDefault="00AA58D7" w:rsidP="005548BB">
            <w:pPr>
              <w:pStyle w:val="TableText0"/>
              <w:keepNext w:val="0"/>
              <w:rPr>
                <w:rFonts w:cstheme="minorHAnsi"/>
                <w:color w:val="000000" w:themeColor="text1"/>
                <w:szCs w:val="20"/>
              </w:rPr>
            </w:pPr>
            <w:r w:rsidRPr="002E7D71">
              <w:rPr>
                <w:rFonts w:cstheme="minorHAnsi"/>
                <w:szCs w:val="20"/>
              </w:rPr>
              <w:t>Revised AEMP based on revised equi-effective doses, as described in</w:t>
            </w:r>
            <w:r w:rsidRPr="002E7D71">
              <w:rPr>
                <w:rFonts w:cstheme="minorHAnsi"/>
                <w:bCs w:val="0"/>
                <w:szCs w:val="20"/>
              </w:rPr>
              <w:t xml:space="preserve"> the economic analysis above</w:t>
            </w:r>
            <w:r w:rsidR="00821D54">
              <w:rPr>
                <w:rFonts w:cstheme="minorHAnsi"/>
                <w:bCs w:val="0"/>
                <w:szCs w:val="20"/>
              </w:rPr>
              <w:t>, and removal of Clause 5.7</w:t>
            </w:r>
            <w:r w:rsidRPr="002E7D71">
              <w:rPr>
                <w:rFonts w:cstheme="minorHAnsi"/>
                <w:bCs w:val="0"/>
                <w:szCs w:val="20"/>
              </w:rPr>
              <w:t>.</w:t>
            </w:r>
          </w:p>
        </w:tc>
      </w:tr>
      <w:tr w:rsidR="00AA58D7" w:rsidRPr="00B22BCB" w14:paraId="5684B882" w14:textId="77777777" w:rsidTr="005548BB">
        <w:trPr>
          <w:cantSplit/>
        </w:trPr>
        <w:tc>
          <w:tcPr>
            <w:tcW w:w="950" w:type="pct"/>
            <w:shd w:val="clear" w:color="auto" w:fill="auto"/>
          </w:tcPr>
          <w:p w14:paraId="798CD62F" w14:textId="77777777" w:rsidR="00AA58D7" w:rsidRPr="00B22BCB" w:rsidRDefault="00AA58D7" w:rsidP="005548BB">
            <w:pPr>
              <w:pStyle w:val="TableText0"/>
              <w:keepNext w:val="0"/>
              <w:rPr>
                <w:rFonts w:cstheme="minorHAnsi"/>
                <w:szCs w:val="20"/>
              </w:rPr>
            </w:pPr>
            <w:r w:rsidRPr="00B22BCB">
              <w:rPr>
                <w:rFonts w:cstheme="minorHAnsi"/>
                <w:szCs w:val="20"/>
              </w:rPr>
              <w:t>Nilotinib</w:t>
            </w:r>
          </w:p>
        </w:tc>
        <w:tc>
          <w:tcPr>
            <w:tcW w:w="1406" w:type="pct"/>
            <w:shd w:val="clear" w:color="auto" w:fill="auto"/>
          </w:tcPr>
          <w:p w14:paraId="2B01CA7A"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Effective AEMP:</w:t>
            </w:r>
          </w:p>
          <w:p w14:paraId="7EC17878"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150 mg x 120: $3,694.89   </w:t>
            </w:r>
          </w:p>
          <w:p w14:paraId="5F377EBD"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200 mg x 120: $4,895.54   </w:t>
            </w:r>
          </w:p>
        </w:tc>
        <w:tc>
          <w:tcPr>
            <w:tcW w:w="2644" w:type="pct"/>
            <w:shd w:val="clear" w:color="auto" w:fill="auto"/>
          </w:tcPr>
          <w:p w14:paraId="6F060F45" w14:textId="77777777" w:rsidR="00AA58D7" w:rsidRPr="00B22BCB" w:rsidRDefault="00AA58D7" w:rsidP="005548BB">
            <w:pPr>
              <w:pStyle w:val="TableText0"/>
              <w:keepNext w:val="0"/>
              <w:rPr>
                <w:rFonts w:cstheme="minorHAnsi"/>
                <w:szCs w:val="20"/>
              </w:rPr>
            </w:pPr>
            <w:r w:rsidRPr="00B22BCB">
              <w:rPr>
                <w:rFonts w:cstheme="minorHAnsi"/>
                <w:szCs w:val="20"/>
              </w:rPr>
              <w:t>Schedule of Pharmaceutical Benefits, items 1309X &amp; 9171Q (February 2022)</w:t>
            </w:r>
          </w:p>
        </w:tc>
      </w:tr>
      <w:tr w:rsidR="00AA58D7" w:rsidRPr="00B22BCB" w14:paraId="21D8E415" w14:textId="77777777" w:rsidTr="005548BB">
        <w:trPr>
          <w:cantSplit/>
        </w:trPr>
        <w:tc>
          <w:tcPr>
            <w:tcW w:w="950" w:type="pct"/>
            <w:shd w:val="clear" w:color="auto" w:fill="auto"/>
          </w:tcPr>
          <w:p w14:paraId="3CA7498A" w14:textId="77777777" w:rsidR="00AA58D7" w:rsidRPr="00B22BCB" w:rsidRDefault="00AA58D7" w:rsidP="005548BB">
            <w:pPr>
              <w:pStyle w:val="TableText0"/>
              <w:keepNext w:val="0"/>
              <w:rPr>
                <w:rFonts w:cstheme="minorHAnsi"/>
                <w:szCs w:val="20"/>
              </w:rPr>
            </w:pPr>
            <w:r w:rsidRPr="00B22BCB">
              <w:rPr>
                <w:rFonts w:cstheme="minorHAnsi"/>
                <w:szCs w:val="20"/>
              </w:rPr>
              <w:t>Ponatinib</w:t>
            </w:r>
          </w:p>
        </w:tc>
        <w:tc>
          <w:tcPr>
            <w:tcW w:w="1406" w:type="pct"/>
            <w:shd w:val="clear" w:color="auto" w:fill="auto"/>
          </w:tcPr>
          <w:p w14:paraId="78BD05B3"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Effective AEMP:</w:t>
            </w:r>
          </w:p>
          <w:p w14:paraId="0690AAAD"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15 mg x 60: $5,328.18</w:t>
            </w:r>
          </w:p>
          <w:p w14:paraId="76F0720E"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45 mg x 30: $6,011.65</w:t>
            </w:r>
          </w:p>
        </w:tc>
        <w:tc>
          <w:tcPr>
            <w:tcW w:w="2644" w:type="pct"/>
            <w:shd w:val="clear" w:color="auto" w:fill="auto"/>
          </w:tcPr>
          <w:p w14:paraId="015480AB" w14:textId="77777777" w:rsidR="00AA58D7" w:rsidRPr="00B22BCB" w:rsidRDefault="00AA58D7" w:rsidP="005548BB">
            <w:pPr>
              <w:pStyle w:val="TableText0"/>
              <w:keepNext w:val="0"/>
              <w:rPr>
                <w:rFonts w:cstheme="minorHAnsi"/>
                <w:szCs w:val="20"/>
              </w:rPr>
            </w:pPr>
            <w:r w:rsidRPr="00B22BCB">
              <w:rPr>
                <w:rFonts w:cstheme="minorHAnsi"/>
                <w:szCs w:val="20"/>
              </w:rPr>
              <w:t>Schedule of Pharmaceutical Benefits, items 10520Q &amp; 10530F (February 2022)</w:t>
            </w:r>
          </w:p>
        </w:tc>
      </w:tr>
      <w:tr w:rsidR="00AA58D7" w:rsidRPr="00B22BCB" w14:paraId="3FB0B73E" w14:textId="77777777" w:rsidTr="005548BB">
        <w:trPr>
          <w:cantSplit/>
        </w:trPr>
        <w:tc>
          <w:tcPr>
            <w:tcW w:w="950" w:type="pct"/>
            <w:shd w:val="clear" w:color="auto" w:fill="auto"/>
          </w:tcPr>
          <w:p w14:paraId="18B2C9CE" w14:textId="77777777" w:rsidR="00AA58D7" w:rsidRPr="00B22BCB" w:rsidRDefault="00AA58D7" w:rsidP="005548BB">
            <w:pPr>
              <w:pStyle w:val="TableText0"/>
              <w:keepNext w:val="0"/>
              <w:rPr>
                <w:rFonts w:cstheme="minorHAnsi"/>
                <w:szCs w:val="20"/>
              </w:rPr>
            </w:pPr>
            <w:r w:rsidRPr="00B22BCB">
              <w:rPr>
                <w:rFonts w:cstheme="minorHAnsi"/>
                <w:szCs w:val="20"/>
              </w:rPr>
              <w:t>Dasatinib</w:t>
            </w:r>
          </w:p>
        </w:tc>
        <w:tc>
          <w:tcPr>
            <w:tcW w:w="1406" w:type="pct"/>
            <w:shd w:val="clear" w:color="auto" w:fill="auto"/>
          </w:tcPr>
          <w:p w14:paraId="1DF4B074"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Effective AEMP:</w:t>
            </w:r>
          </w:p>
          <w:p w14:paraId="4F220E58"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70 mg x 60:  $3,820.54</w:t>
            </w:r>
          </w:p>
          <w:p w14:paraId="688D3100"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100mg x 30: $3,085.89 </w:t>
            </w:r>
          </w:p>
        </w:tc>
        <w:tc>
          <w:tcPr>
            <w:tcW w:w="2644" w:type="pct"/>
            <w:shd w:val="clear" w:color="auto" w:fill="auto"/>
          </w:tcPr>
          <w:p w14:paraId="0B9DCC3B" w14:textId="77777777" w:rsidR="00AA58D7" w:rsidRPr="00B22BCB" w:rsidRDefault="00AA58D7" w:rsidP="005548BB">
            <w:pPr>
              <w:pStyle w:val="TableText0"/>
              <w:keepNext w:val="0"/>
              <w:rPr>
                <w:rFonts w:cstheme="minorHAnsi"/>
                <w:szCs w:val="20"/>
              </w:rPr>
            </w:pPr>
            <w:r w:rsidRPr="00B22BCB">
              <w:rPr>
                <w:rFonts w:cstheme="minorHAnsi"/>
                <w:szCs w:val="20"/>
              </w:rPr>
              <w:t>Schedule of Pharmaceutical Benefits, items 1415L &amp; 1416M (February 2022)</w:t>
            </w:r>
          </w:p>
        </w:tc>
      </w:tr>
      <w:tr w:rsidR="00AA58D7" w:rsidRPr="00B22BCB" w14:paraId="21B596E1" w14:textId="77777777" w:rsidTr="005548BB">
        <w:trPr>
          <w:cantSplit/>
        </w:trPr>
        <w:tc>
          <w:tcPr>
            <w:tcW w:w="950" w:type="pct"/>
            <w:shd w:val="clear" w:color="auto" w:fill="auto"/>
          </w:tcPr>
          <w:p w14:paraId="7972AE1F" w14:textId="77777777" w:rsidR="00AA58D7" w:rsidRPr="00B22BCB" w:rsidRDefault="00AA58D7" w:rsidP="005548BB">
            <w:pPr>
              <w:pStyle w:val="TableText0"/>
              <w:keepNext w:val="0"/>
              <w:rPr>
                <w:rFonts w:cstheme="minorHAnsi"/>
                <w:szCs w:val="20"/>
              </w:rPr>
            </w:pPr>
            <w:r w:rsidRPr="00B22BCB">
              <w:rPr>
                <w:rFonts w:cstheme="minorHAnsi"/>
                <w:szCs w:val="20"/>
              </w:rPr>
              <w:t>Imatinib</w:t>
            </w:r>
          </w:p>
        </w:tc>
        <w:tc>
          <w:tcPr>
            <w:tcW w:w="1406" w:type="pct"/>
            <w:shd w:val="clear" w:color="auto" w:fill="auto"/>
          </w:tcPr>
          <w:p w14:paraId="3F8ECAFB"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Effective AEMP:</w:t>
            </w:r>
          </w:p>
          <w:p w14:paraId="640DD26D"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100 mg x 60: $290.33</w:t>
            </w:r>
          </w:p>
          <w:p w14:paraId="014E983D" w14:textId="77777777" w:rsidR="00AA58D7" w:rsidRPr="00B22BCB" w:rsidRDefault="00AA58D7" w:rsidP="005548BB">
            <w:pPr>
              <w:jc w:val="left"/>
              <w:rPr>
                <w:rFonts w:ascii="Arial Narrow" w:hAnsi="Arial Narrow" w:cstheme="minorHAnsi"/>
                <w:bCs/>
                <w:sz w:val="20"/>
                <w:szCs w:val="20"/>
              </w:rPr>
            </w:pPr>
            <w:r w:rsidRPr="00B22BCB">
              <w:rPr>
                <w:rFonts w:ascii="Arial Narrow" w:hAnsi="Arial Narrow" w:cstheme="minorHAnsi"/>
                <w:bCs/>
                <w:sz w:val="20"/>
                <w:szCs w:val="20"/>
              </w:rPr>
              <w:t xml:space="preserve">   400 mg x 30: $580.65</w:t>
            </w:r>
          </w:p>
        </w:tc>
        <w:tc>
          <w:tcPr>
            <w:tcW w:w="2644" w:type="pct"/>
            <w:shd w:val="clear" w:color="auto" w:fill="auto"/>
          </w:tcPr>
          <w:p w14:paraId="3F32FA35" w14:textId="77777777" w:rsidR="00AA58D7" w:rsidRPr="00B22BCB" w:rsidRDefault="00AA58D7" w:rsidP="005548BB">
            <w:pPr>
              <w:pStyle w:val="TableText0"/>
              <w:keepNext w:val="0"/>
              <w:rPr>
                <w:rFonts w:cstheme="minorHAnsi"/>
                <w:szCs w:val="20"/>
              </w:rPr>
            </w:pPr>
            <w:r w:rsidRPr="00B22BCB">
              <w:rPr>
                <w:rFonts w:cstheme="minorHAnsi"/>
                <w:szCs w:val="20"/>
              </w:rPr>
              <w:t>Schedule of Pharmaceutical Benefits, various items</w:t>
            </w:r>
          </w:p>
        </w:tc>
      </w:tr>
    </w:tbl>
    <w:p w14:paraId="4E69E997" w14:textId="77777777" w:rsidR="00AA58D7" w:rsidRPr="00B22BCB" w:rsidRDefault="00AA58D7" w:rsidP="00AA58D7">
      <w:pPr>
        <w:pStyle w:val="TableFigureFooter"/>
      </w:pPr>
      <w:r w:rsidRPr="00B22BCB">
        <w:t>Source: Table 4.1-1, pp 197-198 of the submission.</w:t>
      </w:r>
    </w:p>
    <w:p w14:paraId="50331401" w14:textId="7CB9E90E" w:rsidR="00AA58D7" w:rsidRPr="00B22BCB" w:rsidRDefault="00821D54" w:rsidP="00921505">
      <w:pPr>
        <w:pStyle w:val="TableFigureFooter"/>
        <w:spacing w:after="0"/>
        <w:rPr>
          <w:rFonts w:ascii="Calibri" w:hAnsi="Calibri" w:cstheme="minorBidi"/>
          <w:lang w:eastAsia="en-US"/>
        </w:rPr>
      </w:pPr>
      <w:r>
        <w:t xml:space="preserve">C5.7 = Clause 5.7; </w:t>
      </w:r>
      <w:r w:rsidR="00AA58D7" w:rsidRPr="00B22BCB">
        <w:t>Nil. = nilotinib; Pon. = ponatinib; Das. = dasatinib; Ima. = imatinib; PBS = Pharmaceutical Benefits Scheme; RPBS = Repatriation Pharmaceutical Benefits Scheme; DPMQ = Dispensed Price for Maximum Quantity; AEMP = approved ex-manufacturer price; MAP = managed access program</w:t>
      </w:r>
    </w:p>
    <w:p w14:paraId="341B1C9C" w14:textId="77777777" w:rsidR="00921505" w:rsidRPr="009A6D58" w:rsidRDefault="00921505" w:rsidP="0092150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2935583" w14:textId="0D25EE53" w:rsidR="00AA58D7" w:rsidRDefault="00921505" w:rsidP="0092150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1D00BAF2" w14:textId="77777777" w:rsidR="00921505" w:rsidRPr="00921505" w:rsidRDefault="00921505" w:rsidP="00921505">
      <w:pPr>
        <w:rPr>
          <w:rFonts w:ascii="Arial Narrow" w:hAnsi="Arial Narrow"/>
          <w:i/>
          <w:sz w:val="18"/>
          <w:szCs w:val="18"/>
        </w:rPr>
      </w:pPr>
    </w:p>
    <w:p w14:paraId="794452AF" w14:textId="1265C112" w:rsidR="00AA58D7" w:rsidRPr="00B22BCB" w:rsidRDefault="00AA58D7" w:rsidP="00AA58D7">
      <w:pPr>
        <w:pStyle w:val="3-BodyText"/>
      </w:pPr>
      <w:bookmarkStart w:id="68" w:name="_Ref110522762"/>
      <w:r w:rsidRPr="00B22BCB">
        <w:t>The estimated net financial implications for the proposed listing of asciminib for CML-CP after failure of 2 prior TKIs over the first 6 years are summarised</w:t>
      </w:r>
      <w:r w:rsidR="006B1FD5">
        <w:t xml:space="preserve"> in </w:t>
      </w:r>
      <w:r w:rsidR="006B1FD5">
        <w:fldChar w:fldCharType="begin"/>
      </w:r>
      <w:r w:rsidR="006B1FD5">
        <w:instrText xml:space="preserve"> REF _Ref110516718 \h </w:instrText>
      </w:r>
      <w:r w:rsidR="006B1FD5">
        <w:fldChar w:fldCharType="separate"/>
      </w:r>
      <w:r w:rsidR="00A914F4" w:rsidRPr="00B22BCB">
        <w:t xml:space="preserve">Table </w:t>
      </w:r>
      <w:r w:rsidR="00A914F4">
        <w:rPr>
          <w:noProof/>
        </w:rPr>
        <w:t>18</w:t>
      </w:r>
      <w:r w:rsidR="006B1FD5">
        <w:fldChar w:fldCharType="end"/>
      </w:r>
      <w:r w:rsidRPr="00B22BCB">
        <w:t xml:space="preserve">. The submission proposed that there would be additional MBS savings associated with asciminib use, </w:t>
      </w:r>
      <w:r w:rsidRPr="00B22BCB">
        <w:rPr>
          <w:rFonts w:cstheme="minorHAnsi"/>
        </w:rPr>
        <w:t>but did not estimate what this difference may be, due to differences in monitoring requirements and difficult in capturing time-dependent aspects of Grade ≥3 AEs</w:t>
      </w:r>
      <w:r w:rsidRPr="001B25EB">
        <w:rPr>
          <w:rFonts w:cstheme="minorHAnsi"/>
        </w:rPr>
        <w:t>. For the calculation of cost offsets, the submission used the published DPMQ for the comparators, which included the anniversary price reductions</w:t>
      </w:r>
      <w:r w:rsidR="009F6BDB">
        <w:rPr>
          <w:rFonts w:cstheme="minorHAnsi"/>
        </w:rPr>
        <w:t xml:space="preserve"> and reduction for dasatinib </w:t>
      </w:r>
      <w:r w:rsidR="009F6BDB" w:rsidRPr="008263CE">
        <w:rPr>
          <w:rFonts w:cstheme="minorHAnsi"/>
        </w:rPr>
        <w:t>moving to the F2 formulary</w:t>
      </w:r>
      <w:r w:rsidRPr="008263CE">
        <w:rPr>
          <w:rFonts w:cstheme="minorHAnsi"/>
        </w:rPr>
        <w:t xml:space="preserve">. </w:t>
      </w:r>
      <w:r w:rsidR="0001675D" w:rsidRPr="008263CE">
        <w:rPr>
          <w:rFonts w:cstheme="minorHAnsi"/>
        </w:rPr>
        <w:t>In the submission, t</w:t>
      </w:r>
      <w:r w:rsidRPr="008263CE">
        <w:rPr>
          <w:rFonts w:cstheme="minorHAnsi"/>
        </w:rPr>
        <w:t>he cost of asciminib was minimised against the price of nilotinib/ponatinib prior to anniversary price reductions</w:t>
      </w:r>
      <w:r w:rsidR="009F6BDB" w:rsidRPr="008263CE">
        <w:rPr>
          <w:rFonts w:cstheme="minorHAnsi"/>
        </w:rPr>
        <w:t>, but the analysis was adjusted by the evalu</w:t>
      </w:r>
      <w:r w:rsidR="00F73BE4" w:rsidRPr="008263CE">
        <w:rPr>
          <w:rFonts w:cstheme="minorHAnsi"/>
        </w:rPr>
        <w:t>a</w:t>
      </w:r>
      <w:r w:rsidR="009F6BDB" w:rsidRPr="008263CE">
        <w:rPr>
          <w:rFonts w:cstheme="minorHAnsi"/>
        </w:rPr>
        <w:t xml:space="preserve">tion </w:t>
      </w:r>
      <w:r w:rsidR="009F6BDB" w:rsidRPr="008263CE">
        <w:t>to remove the application of Clause 5.7</w:t>
      </w:r>
      <w:r w:rsidRPr="008263CE">
        <w:rPr>
          <w:rFonts w:cstheme="minorHAnsi"/>
        </w:rPr>
        <w:t xml:space="preserve"> (paragraph </w:t>
      </w:r>
      <w:r w:rsidR="009F6BDB" w:rsidRPr="008263CE">
        <w:rPr>
          <w:rFonts w:cstheme="minorHAnsi"/>
        </w:rPr>
        <w:fldChar w:fldCharType="begin"/>
      </w:r>
      <w:r w:rsidR="009F6BDB" w:rsidRPr="008263CE">
        <w:rPr>
          <w:rFonts w:cstheme="minorHAnsi"/>
        </w:rPr>
        <w:instrText xml:space="preserve"> REF _Ref110516425 \r \h </w:instrText>
      </w:r>
      <w:r w:rsidR="008263CE">
        <w:rPr>
          <w:rFonts w:cstheme="minorHAnsi"/>
        </w:rPr>
        <w:instrText xml:space="preserve"> \* MERGEFORMAT </w:instrText>
      </w:r>
      <w:r w:rsidR="009F6BDB" w:rsidRPr="008263CE">
        <w:rPr>
          <w:rFonts w:cstheme="minorHAnsi"/>
        </w:rPr>
      </w:r>
      <w:r w:rsidR="009F6BDB" w:rsidRPr="008263CE">
        <w:rPr>
          <w:rFonts w:cstheme="minorHAnsi"/>
        </w:rPr>
        <w:fldChar w:fldCharType="separate"/>
      </w:r>
      <w:r w:rsidR="00A914F4">
        <w:rPr>
          <w:rFonts w:cstheme="minorHAnsi"/>
        </w:rPr>
        <w:t>6.48</w:t>
      </w:r>
      <w:r w:rsidR="009F6BDB" w:rsidRPr="008263CE">
        <w:rPr>
          <w:rFonts w:cstheme="minorHAnsi"/>
        </w:rPr>
        <w:fldChar w:fldCharType="end"/>
      </w:r>
      <w:r w:rsidRPr="008263CE">
        <w:rPr>
          <w:rFonts w:cstheme="minorHAnsi"/>
        </w:rPr>
        <w:t>).</w:t>
      </w:r>
      <w:r w:rsidR="00A201FA">
        <w:rPr>
          <w:rFonts w:cstheme="minorHAnsi"/>
        </w:rPr>
        <w:t xml:space="preserve"> The financial impact has been recalculated from that presented in the submission to remove the application of </w:t>
      </w:r>
      <w:r w:rsidR="0001675D">
        <w:rPr>
          <w:rFonts w:cstheme="minorHAnsi"/>
        </w:rPr>
        <w:t>this clause</w:t>
      </w:r>
      <w:r w:rsidR="00A201FA">
        <w:rPr>
          <w:rFonts w:cstheme="minorHAnsi"/>
        </w:rPr>
        <w:t>.</w:t>
      </w:r>
      <w:bookmarkEnd w:id="68"/>
      <w:r>
        <w:rPr>
          <w:rFonts w:cstheme="minorHAnsi"/>
          <w:i/>
          <w:iCs/>
        </w:rPr>
        <w:t xml:space="preserve"> </w:t>
      </w:r>
    </w:p>
    <w:p w14:paraId="4D250A72" w14:textId="36AFE99B" w:rsidR="00AA58D7" w:rsidRPr="00B22BCB" w:rsidRDefault="00AA58D7" w:rsidP="00AA58D7">
      <w:pPr>
        <w:pStyle w:val="3-BodyText"/>
      </w:pPr>
      <w:r w:rsidRPr="00B22BCB">
        <w:t xml:space="preserve">The submission added </w:t>
      </w:r>
      <w:r w:rsidR="00921505">
        <w:t>&lt; 500</w:t>
      </w:r>
      <w:r w:rsidRPr="00B22BCB">
        <w:t xml:space="preserve"> grandfathered patients to </w:t>
      </w:r>
      <w:r w:rsidR="005C2CB8">
        <w:t>the</w:t>
      </w:r>
      <w:r w:rsidR="005C2CB8" w:rsidRPr="00B22BCB">
        <w:t xml:space="preserve"> </w:t>
      </w:r>
      <w:r w:rsidRPr="00B22BCB">
        <w:t xml:space="preserve">predicted </w:t>
      </w:r>
      <w:r w:rsidR="005C2CB8">
        <w:t xml:space="preserve">number of </w:t>
      </w:r>
      <w:r w:rsidRPr="00B22BCB">
        <w:t>prevalent patient</w:t>
      </w:r>
      <w:r w:rsidR="005C2CB8">
        <w:t>s treated</w:t>
      </w:r>
      <w:r w:rsidRPr="00B22BCB">
        <w:t xml:space="preserve"> in Year 1</w:t>
      </w:r>
      <w:r w:rsidR="005C2CB8">
        <w:t xml:space="preserve">, and </w:t>
      </w:r>
      <w:r w:rsidR="00D71BEE">
        <w:t>assumed 88% of patients remained on treatment for</w:t>
      </w:r>
      <w:r w:rsidR="005C2CB8">
        <w:t xml:space="preserve"> </w:t>
      </w:r>
      <w:r w:rsidR="00D71BEE">
        <w:t>each subsequent year</w:t>
      </w:r>
      <w:r w:rsidRPr="00B22BCB">
        <w:t xml:space="preserve">. </w:t>
      </w:r>
      <w:r w:rsidR="00D71BEE">
        <w:rPr>
          <w:rFonts w:cstheme="minorHAnsi"/>
        </w:rPr>
        <w:t>The PBAC noted as the grandfathered patients are accounted for separately</w:t>
      </w:r>
      <w:r w:rsidR="00B7145A">
        <w:rPr>
          <w:rFonts w:cstheme="minorHAnsi"/>
        </w:rPr>
        <w:t>,</w:t>
      </w:r>
      <w:r w:rsidR="00D71BEE">
        <w:rPr>
          <w:rFonts w:cstheme="minorHAnsi"/>
        </w:rPr>
        <w:t xml:space="preserve"> they are not included in the uptake rates.</w:t>
      </w:r>
      <w:r w:rsidR="00ED1BFF">
        <w:rPr>
          <w:rFonts w:cstheme="minorHAnsi"/>
        </w:rPr>
        <w:t xml:space="preserve"> The uptake rates including grandfathered patients have been added to</w:t>
      </w:r>
      <w:r w:rsidR="00EE19D9">
        <w:rPr>
          <w:rFonts w:cstheme="minorHAnsi"/>
        </w:rPr>
        <w:t xml:space="preserve"> </w:t>
      </w:r>
      <w:r w:rsidR="00EE19D9">
        <w:rPr>
          <w:rFonts w:cstheme="minorHAnsi"/>
        </w:rPr>
        <w:fldChar w:fldCharType="begin"/>
      </w:r>
      <w:r w:rsidR="00EE19D9">
        <w:rPr>
          <w:rFonts w:cstheme="minorHAnsi"/>
        </w:rPr>
        <w:instrText xml:space="preserve"> REF _Ref110516718 \h </w:instrText>
      </w:r>
      <w:r w:rsidR="00EE19D9">
        <w:rPr>
          <w:rFonts w:cstheme="minorHAnsi"/>
        </w:rPr>
      </w:r>
      <w:r w:rsidR="00EE19D9">
        <w:rPr>
          <w:rFonts w:cstheme="minorHAnsi"/>
        </w:rPr>
        <w:fldChar w:fldCharType="separate"/>
      </w:r>
      <w:r w:rsidR="00A914F4" w:rsidRPr="00B22BCB">
        <w:t xml:space="preserve">Table </w:t>
      </w:r>
      <w:r w:rsidR="00A914F4">
        <w:rPr>
          <w:noProof/>
        </w:rPr>
        <w:t>18</w:t>
      </w:r>
      <w:r w:rsidR="00EE19D9">
        <w:rPr>
          <w:rFonts w:cstheme="minorHAnsi"/>
        </w:rPr>
        <w:fldChar w:fldCharType="end"/>
      </w:r>
      <w:r w:rsidR="00ED1BFF">
        <w:rPr>
          <w:rFonts w:cstheme="minorHAnsi"/>
        </w:rPr>
        <w:t>.</w:t>
      </w:r>
    </w:p>
    <w:p w14:paraId="210E8F75" w14:textId="28AA3D43" w:rsidR="00AA58D7" w:rsidRPr="00B22BCB" w:rsidRDefault="00AA58D7" w:rsidP="00AA58D7">
      <w:pPr>
        <w:pStyle w:val="TableFigureHeading"/>
      </w:pPr>
      <w:bookmarkStart w:id="69" w:name="_Ref110516718"/>
      <w:r w:rsidRPr="00B22BCB">
        <w:t xml:space="preserve">Table </w:t>
      </w:r>
      <w:r w:rsidR="00CA52C1">
        <w:fldChar w:fldCharType="begin"/>
      </w:r>
      <w:r w:rsidR="00CA52C1">
        <w:instrText xml:space="preserve"> SEQ Table \</w:instrText>
      </w:r>
      <w:r w:rsidR="00CA52C1">
        <w:instrText xml:space="preserve">* ARABIC </w:instrText>
      </w:r>
      <w:r w:rsidR="00CA52C1">
        <w:fldChar w:fldCharType="separate"/>
      </w:r>
      <w:r w:rsidR="00A914F4">
        <w:rPr>
          <w:noProof/>
        </w:rPr>
        <w:t>18</w:t>
      </w:r>
      <w:r w:rsidR="00CA52C1">
        <w:rPr>
          <w:noProof/>
        </w:rPr>
        <w:fldChar w:fldCharType="end"/>
      </w:r>
      <w:bookmarkEnd w:id="69"/>
      <w:r w:rsidRPr="00B22BCB">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7"/>
        <w:gridCol w:w="1167"/>
        <w:gridCol w:w="1167"/>
        <w:gridCol w:w="1167"/>
        <w:gridCol w:w="1167"/>
        <w:gridCol w:w="1172"/>
      </w:tblGrid>
      <w:tr w:rsidR="00AA58D7" w:rsidRPr="00B22BCB" w14:paraId="18A66B28" w14:textId="77777777" w:rsidTr="005548BB">
        <w:trPr>
          <w:tblHeader/>
        </w:trPr>
        <w:tc>
          <w:tcPr>
            <w:tcW w:w="1115" w:type="pct"/>
            <w:shd w:val="clear" w:color="auto" w:fill="auto"/>
            <w:vAlign w:val="center"/>
          </w:tcPr>
          <w:p w14:paraId="46A23F64" w14:textId="77777777" w:rsidR="00AA58D7" w:rsidRPr="00B22BCB" w:rsidRDefault="00AA58D7" w:rsidP="005548BB">
            <w:pPr>
              <w:pStyle w:val="In-tableHeading"/>
              <w:jc w:val="center"/>
              <w:rPr>
                <w:szCs w:val="20"/>
                <w:lang w:val="en-AU"/>
              </w:rPr>
            </w:pPr>
          </w:p>
        </w:tc>
        <w:tc>
          <w:tcPr>
            <w:tcW w:w="647" w:type="pct"/>
            <w:shd w:val="clear" w:color="auto" w:fill="auto"/>
            <w:vAlign w:val="center"/>
          </w:tcPr>
          <w:p w14:paraId="5966A888" w14:textId="77777777" w:rsidR="00AA58D7" w:rsidRPr="00B22BCB" w:rsidRDefault="00AA58D7" w:rsidP="005548BB">
            <w:pPr>
              <w:pStyle w:val="In-tableHeading"/>
              <w:jc w:val="center"/>
              <w:rPr>
                <w:szCs w:val="20"/>
                <w:lang w:val="en-AU"/>
              </w:rPr>
            </w:pPr>
            <w:r w:rsidRPr="00B22BCB">
              <w:rPr>
                <w:szCs w:val="20"/>
                <w:lang w:val="en-AU"/>
              </w:rPr>
              <w:t>Year 1</w:t>
            </w:r>
          </w:p>
        </w:tc>
        <w:tc>
          <w:tcPr>
            <w:tcW w:w="647" w:type="pct"/>
            <w:shd w:val="clear" w:color="auto" w:fill="auto"/>
            <w:vAlign w:val="center"/>
          </w:tcPr>
          <w:p w14:paraId="525C5501" w14:textId="77777777" w:rsidR="00AA58D7" w:rsidRPr="00B22BCB" w:rsidRDefault="00AA58D7" w:rsidP="005548BB">
            <w:pPr>
              <w:pStyle w:val="In-tableHeading"/>
              <w:jc w:val="center"/>
              <w:rPr>
                <w:szCs w:val="20"/>
                <w:lang w:val="en-AU"/>
              </w:rPr>
            </w:pPr>
            <w:r w:rsidRPr="00B22BCB">
              <w:rPr>
                <w:szCs w:val="20"/>
                <w:lang w:val="en-AU"/>
              </w:rPr>
              <w:t>Year 2</w:t>
            </w:r>
          </w:p>
        </w:tc>
        <w:tc>
          <w:tcPr>
            <w:tcW w:w="647" w:type="pct"/>
            <w:shd w:val="clear" w:color="auto" w:fill="auto"/>
            <w:vAlign w:val="center"/>
          </w:tcPr>
          <w:p w14:paraId="3B35DAE9" w14:textId="77777777" w:rsidR="00AA58D7" w:rsidRPr="00B22BCB" w:rsidRDefault="00AA58D7" w:rsidP="005548BB">
            <w:pPr>
              <w:pStyle w:val="In-tableHeading"/>
              <w:jc w:val="center"/>
              <w:rPr>
                <w:szCs w:val="20"/>
                <w:lang w:val="en-AU"/>
              </w:rPr>
            </w:pPr>
            <w:r w:rsidRPr="00B22BCB">
              <w:rPr>
                <w:szCs w:val="20"/>
                <w:lang w:val="en-AU"/>
              </w:rPr>
              <w:t>Year 3</w:t>
            </w:r>
          </w:p>
        </w:tc>
        <w:tc>
          <w:tcPr>
            <w:tcW w:w="647" w:type="pct"/>
            <w:shd w:val="clear" w:color="auto" w:fill="auto"/>
            <w:vAlign w:val="center"/>
          </w:tcPr>
          <w:p w14:paraId="1C1BE46E" w14:textId="77777777" w:rsidR="00AA58D7" w:rsidRPr="00B22BCB" w:rsidRDefault="00AA58D7" w:rsidP="005548BB">
            <w:pPr>
              <w:pStyle w:val="In-tableHeading"/>
              <w:jc w:val="center"/>
              <w:rPr>
                <w:szCs w:val="20"/>
                <w:lang w:val="en-AU"/>
              </w:rPr>
            </w:pPr>
            <w:r w:rsidRPr="00B22BCB">
              <w:rPr>
                <w:szCs w:val="20"/>
                <w:lang w:val="en-AU"/>
              </w:rPr>
              <w:t>Year 4</w:t>
            </w:r>
          </w:p>
        </w:tc>
        <w:tc>
          <w:tcPr>
            <w:tcW w:w="647" w:type="pct"/>
            <w:shd w:val="clear" w:color="auto" w:fill="auto"/>
            <w:vAlign w:val="center"/>
          </w:tcPr>
          <w:p w14:paraId="751703E2" w14:textId="77777777" w:rsidR="00AA58D7" w:rsidRPr="00B22BCB" w:rsidRDefault="00AA58D7" w:rsidP="005548BB">
            <w:pPr>
              <w:pStyle w:val="In-tableHeading"/>
              <w:jc w:val="center"/>
              <w:rPr>
                <w:szCs w:val="20"/>
                <w:lang w:val="en-AU"/>
              </w:rPr>
            </w:pPr>
            <w:r w:rsidRPr="00B22BCB">
              <w:rPr>
                <w:szCs w:val="20"/>
                <w:lang w:val="en-AU"/>
              </w:rPr>
              <w:t>Year 5</w:t>
            </w:r>
          </w:p>
        </w:tc>
        <w:tc>
          <w:tcPr>
            <w:tcW w:w="650" w:type="pct"/>
          </w:tcPr>
          <w:p w14:paraId="0EFCF096" w14:textId="77777777" w:rsidR="00AA58D7" w:rsidRPr="00B22BCB" w:rsidRDefault="00AA58D7" w:rsidP="005548BB">
            <w:pPr>
              <w:pStyle w:val="In-tableHeading"/>
              <w:jc w:val="center"/>
              <w:rPr>
                <w:szCs w:val="20"/>
                <w:lang w:val="en-AU"/>
              </w:rPr>
            </w:pPr>
            <w:r w:rsidRPr="00B22BCB">
              <w:rPr>
                <w:szCs w:val="20"/>
                <w:lang w:val="en-AU"/>
              </w:rPr>
              <w:t>Year 6</w:t>
            </w:r>
          </w:p>
        </w:tc>
      </w:tr>
      <w:tr w:rsidR="00AA58D7" w:rsidRPr="00B22BCB" w14:paraId="48453959" w14:textId="77777777" w:rsidTr="005548BB">
        <w:tc>
          <w:tcPr>
            <w:tcW w:w="5000" w:type="pct"/>
            <w:gridSpan w:val="7"/>
            <w:shd w:val="clear" w:color="auto" w:fill="auto"/>
            <w:vAlign w:val="center"/>
          </w:tcPr>
          <w:p w14:paraId="4369AE01" w14:textId="77777777" w:rsidR="00AA58D7" w:rsidRPr="00B22BCB" w:rsidRDefault="00AA58D7" w:rsidP="005548BB">
            <w:pPr>
              <w:pStyle w:val="In-tableHeading"/>
              <w:rPr>
                <w:bCs/>
                <w:color w:val="000000"/>
                <w:szCs w:val="20"/>
                <w:lang w:val="en-AU"/>
              </w:rPr>
            </w:pPr>
            <w:r w:rsidRPr="00B22BCB">
              <w:rPr>
                <w:bCs/>
                <w:color w:val="000000"/>
                <w:szCs w:val="20"/>
                <w:lang w:val="en-AU"/>
              </w:rPr>
              <w:t>Estimated extent of use</w:t>
            </w:r>
          </w:p>
        </w:tc>
      </w:tr>
      <w:tr w:rsidR="00AA58D7" w:rsidRPr="00B22BCB" w14:paraId="6DEBBED6"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22B5F522" w14:textId="77777777" w:rsidR="00AA58D7" w:rsidRPr="00B22BCB" w:rsidRDefault="00AA58D7" w:rsidP="005548BB">
            <w:pPr>
              <w:pStyle w:val="TableText0"/>
              <w:rPr>
                <w:szCs w:val="20"/>
              </w:rPr>
            </w:pPr>
            <w:r w:rsidRPr="00B22BCB">
              <w:rPr>
                <w:rFonts w:cstheme="minorHAnsi"/>
                <w:szCs w:val="20"/>
              </w:rPr>
              <w:t>Total eligible population</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989DF1C" w14:textId="45CA6AE9" w:rsidR="00AA58D7" w:rsidRPr="00B22BCB" w:rsidRDefault="00ED1BFF" w:rsidP="005548BB">
            <w:pPr>
              <w:pStyle w:val="TableText0"/>
              <w:rPr>
                <w:color w:val="000000"/>
                <w:szCs w:val="20"/>
              </w:rPr>
            </w:pPr>
            <w:r>
              <w:rPr>
                <w:rFonts w:cstheme="minorHAnsi"/>
                <w:color w:val="000000"/>
                <w:szCs w:val="20"/>
              </w:rPr>
              <w:t>528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9411321" w14:textId="77777777" w:rsidR="00AA58D7" w:rsidRPr="00B22BCB" w:rsidRDefault="00AA58D7" w:rsidP="005548BB">
            <w:pPr>
              <w:pStyle w:val="TableText0"/>
              <w:rPr>
                <w:color w:val="000000"/>
                <w:szCs w:val="20"/>
              </w:rPr>
            </w:pPr>
            <w:r w:rsidRPr="00B22BCB">
              <w:rPr>
                <w:rFonts w:cstheme="minorHAnsi"/>
                <w:color w:val="000000"/>
                <w:szCs w:val="20"/>
              </w:rPr>
              <w:t>599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087D0A6" w14:textId="77777777" w:rsidR="00AA58D7" w:rsidRPr="00B22BCB" w:rsidRDefault="00AA58D7" w:rsidP="005548BB">
            <w:pPr>
              <w:pStyle w:val="TableText0"/>
              <w:rPr>
                <w:color w:val="000000"/>
                <w:szCs w:val="20"/>
              </w:rPr>
            </w:pPr>
            <w:r w:rsidRPr="00B22BCB">
              <w:rPr>
                <w:rFonts w:cstheme="minorHAnsi"/>
                <w:color w:val="000000"/>
                <w:szCs w:val="20"/>
              </w:rPr>
              <w:t>671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55C4D4B" w14:textId="77777777" w:rsidR="00AA58D7" w:rsidRPr="00B22BCB" w:rsidRDefault="00AA58D7" w:rsidP="005548BB">
            <w:pPr>
              <w:pStyle w:val="TableText0"/>
              <w:rPr>
                <w:color w:val="000000"/>
                <w:szCs w:val="20"/>
              </w:rPr>
            </w:pPr>
            <w:r w:rsidRPr="00B22BCB">
              <w:rPr>
                <w:rFonts w:cstheme="minorHAnsi"/>
                <w:color w:val="000000"/>
                <w:szCs w:val="20"/>
              </w:rPr>
              <w:t>742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10DF9AF" w14:textId="77777777" w:rsidR="00AA58D7" w:rsidRPr="00B22BCB" w:rsidRDefault="00AA58D7" w:rsidP="005548BB">
            <w:pPr>
              <w:pStyle w:val="TableText0"/>
              <w:rPr>
                <w:color w:val="000000"/>
                <w:szCs w:val="20"/>
              </w:rPr>
            </w:pPr>
            <w:r w:rsidRPr="00B22BCB">
              <w:rPr>
                <w:rFonts w:cstheme="minorHAnsi"/>
                <w:color w:val="000000"/>
                <w:szCs w:val="20"/>
              </w:rPr>
              <w:t>814</w:t>
            </w:r>
          </w:p>
        </w:tc>
        <w:tc>
          <w:tcPr>
            <w:tcW w:w="650" w:type="pct"/>
            <w:tcBorders>
              <w:top w:val="single" w:sz="4" w:space="0" w:color="auto"/>
              <w:left w:val="single" w:sz="4" w:space="0" w:color="auto"/>
              <w:bottom w:val="single" w:sz="4" w:space="0" w:color="auto"/>
              <w:right w:val="single" w:sz="4" w:space="0" w:color="auto"/>
            </w:tcBorders>
            <w:vAlign w:val="center"/>
          </w:tcPr>
          <w:p w14:paraId="50307455" w14:textId="77777777" w:rsidR="00AA58D7" w:rsidRPr="00B22BCB" w:rsidRDefault="00AA58D7" w:rsidP="005548BB">
            <w:pPr>
              <w:pStyle w:val="TableText0"/>
              <w:rPr>
                <w:color w:val="000000"/>
                <w:szCs w:val="20"/>
              </w:rPr>
            </w:pPr>
            <w:r w:rsidRPr="00B22BCB">
              <w:rPr>
                <w:rFonts w:cstheme="minorHAnsi"/>
                <w:color w:val="000000"/>
                <w:szCs w:val="20"/>
              </w:rPr>
              <w:t>885</w:t>
            </w:r>
          </w:p>
        </w:tc>
      </w:tr>
      <w:tr w:rsidR="00AA58D7" w:rsidRPr="00B22BCB" w14:paraId="5DDB710C"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08050F68" w14:textId="77777777" w:rsidR="00AA58D7" w:rsidRPr="00B22BCB" w:rsidRDefault="00AA58D7" w:rsidP="005548BB">
            <w:pPr>
              <w:pStyle w:val="TableText0"/>
              <w:rPr>
                <w:rFonts w:cstheme="minorHAnsi"/>
                <w:szCs w:val="20"/>
              </w:rPr>
            </w:pPr>
            <w:r w:rsidRPr="00B22BCB">
              <w:rPr>
                <w:rFonts w:cstheme="minorHAnsi"/>
                <w:szCs w:val="20"/>
              </w:rPr>
              <w:t>Eligible prevalent pts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52CBF67" w14:textId="77777777" w:rsidR="00AA58D7" w:rsidRPr="00B22BCB" w:rsidRDefault="00AA58D7" w:rsidP="005548BB">
            <w:pPr>
              <w:pStyle w:val="TableText0"/>
              <w:rPr>
                <w:rFonts w:cstheme="minorHAnsi"/>
                <w:color w:val="000000"/>
                <w:szCs w:val="20"/>
              </w:rPr>
            </w:pPr>
            <w:r w:rsidRPr="00B22BCB">
              <w:rPr>
                <w:rFonts w:cstheme="minorHAnsi"/>
                <w:color w:val="000000"/>
                <w:szCs w:val="20"/>
              </w:rPr>
              <w:t>35%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0B7BC37" w14:textId="77777777" w:rsidR="00AA58D7" w:rsidRPr="00B22BCB" w:rsidRDefault="00AA58D7" w:rsidP="005548BB">
            <w:pPr>
              <w:pStyle w:val="TableText0"/>
              <w:rPr>
                <w:rFonts w:cstheme="minorHAnsi"/>
                <w:color w:val="000000"/>
                <w:szCs w:val="20"/>
              </w:rPr>
            </w:pPr>
            <w:r w:rsidRPr="00B22BCB">
              <w:rPr>
                <w:rFonts w:cstheme="minorHAnsi"/>
                <w:color w:val="000000"/>
                <w:szCs w:val="20"/>
              </w:rPr>
              <w:t>40%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3BC761B" w14:textId="77777777" w:rsidR="00AA58D7" w:rsidRPr="00B22BCB" w:rsidRDefault="00AA58D7" w:rsidP="005548BB">
            <w:pPr>
              <w:pStyle w:val="TableText0"/>
              <w:rPr>
                <w:rFonts w:cstheme="minorHAnsi"/>
                <w:color w:val="000000"/>
                <w:szCs w:val="20"/>
              </w:rPr>
            </w:pPr>
            <w:r w:rsidRPr="00B22BCB">
              <w:rPr>
                <w:rFonts w:cstheme="minorHAnsi"/>
                <w:color w:val="000000"/>
                <w:szCs w:val="20"/>
              </w:rPr>
              <w:t>45%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00BA167" w14:textId="77777777" w:rsidR="00AA58D7" w:rsidRPr="00B22BCB" w:rsidRDefault="00AA58D7" w:rsidP="005548BB">
            <w:pPr>
              <w:pStyle w:val="TableText0"/>
              <w:rPr>
                <w:rFonts w:cstheme="minorHAnsi"/>
                <w:color w:val="000000"/>
                <w:szCs w:val="20"/>
              </w:rPr>
            </w:pPr>
            <w:r w:rsidRPr="00B22BCB">
              <w:rPr>
                <w:rFonts w:cstheme="minorHAnsi"/>
                <w:color w:val="000000"/>
                <w:szCs w:val="20"/>
              </w:rPr>
              <w:t>47.5%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93BE415" w14:textId="77777777" w:rsidR="00AA58D7" w:rsidRPr="00B22BCB" w:rsidRDefault="00AA58D7" w:rsidP="005548BB">
            <w:pPr>
              <w:pStyle w:val="TableText0"/>
              <w:rPr>
                <w:rFonts w:cstheme="minorHAnsi"/>
                <w:color w:val="000000"/>
                <w:szCs w:val="20"/>
              </w:rPr>
            </w:pPr>
            <w:r w:rsidRPr="00B22BCB">
              <w:rPr>
                <w:rFonts w:cstheme="minorHAnsi"/>
                <w:color w:val="000000"/>
                <w:szCs w:val="20"/>
              </w:rPr>
              <w:t>48.5%</w:t>
            </w:r>
          </w:p>
        </w:tc>
        <w:tc>
          <w:tcPr>
            <w:tcW w:w="650" w:type="pct"/>
            <w:tcBorders>
              <w:top w:val="single" w:sz="4" w:space="0" w:color="auto"/>
              <w:left w:val="single" w:sz="4" w:space="0" w:color="auto"/>
              <w:bottom w:val="single" w:sz="4" w:space="0" w:color="auto"/>
              <w:right w:val="single" w:sz="4" w:space="0" w:color="auto"/>
            </w:tcBorders>
            <w:vAlign w:val="center"/>
          </w:tcPr>
          <w:p w14:paraId="59A9B040" w14:textId="77777777" w:rsidR="00AA58D7" w:rsidRPr="00B22BCB" w:rsidRDefault="00AA58D7" w:rsidP="005548BB">
            <w:pPr>
              <w:pStyle w:val="TableText0"/>
              <w:rPr>
                <w:rFonts w:cstheme="minorHAnsi"/>
                <w:color w:val="000000"/>
                <w:szCs w:val="20"/>
              </w:rPr>
            </w:pPr>
            <w:r w:rsidRPr="00B22BCB">
              <w:rPr>
                <w:rFonts w:cstheme="minorHAnsi"/>
                <w:color w:val="000000"/>
                <w:szCs w:val="20"/>
              </w:rPr>
              <w:t>49.5%</w:t>
            </w:r>
          </w:p>
        </w:tc>
      </w:tr>
      <w:tr w:rsidR="00AA58D7" w:rsidRPr="00B22BCB" w14:paraId="5E3E2E91"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468CC57B" w14:textId="77777777" w:rsidR="00AA58D7" w:rsidRPr="00B22BCB" w:rsidRDefault="00AA58D7" w:rsidP="005548BB">
            <w:pPr>
              <w:pStyle w:val="TableText0"/>
              <w:rPr>
                <w:rFonts w:cstheme="minorHAnsi"/>
                <w:szCs w:val="20"/>
              </w:rPr>
            </w:pPr>
            <w:r w:rsidRPr="00B22BCB">
              <w:rPr>
                <w:rFonts w:cstheme="minorHAnsi"/>
                <w:szCs w:val="20"/>
              </w:rPr>
              <w:t>Treated GF patients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180DDA5" w14:textId="0B25CCFA" w:rsidR="00AA58D7" w:rsidRPr="00921505" w:rsidRDefault="00341457" w:rsidP="005548BB">
            <w:pPr>
              <w:pStyle w:val="TableText0"/>
              <w:rPr>
                <w:rFonts w:cstheme="minorHAnsi"/>
                <w:color w:val="000000"/>
                <w:szCs w:val="20"/>
                <w:vertAlign w:val="superscript"/>
              </w:rPr>
            </w:pPr>
            <w:r w:rsidRPr="00341457">
              <w:rPr>
                <w:rFonts w:cstheme="minorHAnsi"/>
                <w:color w:val="000000"/>
                <w:spacing w:val="50"/>
                <w:szCs w:val="20"/>
                <w:shd w:val="solid" w:color="000000" w:fill="000000"/>
                <w:fitText w:val="325" w:id="-1436313084"/>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84"/>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7C3D43D" w14:textId="55A2FFB4"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83"/>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3"/>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EB20512" w14:textId="73F956E8"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82"/>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2"/>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E79665E" w14:textId="5D7B23B5" w:rsidR="00AA58D7" w:rsidRPr="00B22BCB" w:rsidRDefault="00341457" w:rsidP="005548BB">
            <w:pPr>
              <w:pStyle w:val="TableText0"/>
              <w:rPr>
                <w:rFonts w:cstheme="minorHAnsi"/>
                <w:color w:val="000000"/>
                <w:szCs w:val="20"/>
              </w:rPr>
            </w:pPr>
            <w:r w:rsidRPr="00341457">
              <w:rPr>
                <w:rFonts w:cstheme="minorHAnsi"/>
                <w:color w:val="000000"/>
                <w:spacing w:val="50"/>
                <w:szCs w:val="20"/>
                <w:shd w:val="solid" w:color="000000" w:fill="000000"/>
                <w:fitText w:val="325" w:id="-1436313081"/>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81"/>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2591464" w14:textId="3C07EE6A"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80"/>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0"/>
                <w14:textFill>
                  <w14:solidFill>
                    <w14:srgbClr w14:val="000000">
                      <w14:alpha w14:val="100000"/>
                    </w14:srgbClr>
                  </w14:solidFill>
                </w14:textFill>
              </w:rPr>
              <w:t>|</w:t>
            </w:r>
            <w:r w:rsidR="00921505">
              <w:rPr>
                <w:rFonts w:cstheme="minorHAnsi"/>
                <w:color w:val="00000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6E701E10" w14:textId="023B224D" w:rsidR="00AA58D7" w:rsidRPr="00921505" w:rsidRDefault="00341457" w:rsidP="005548BB">
            <w:pPr>
              <w:pStyle w:val="TableText0"/>
              <w:rPr>
                <w:rFonts w:cstheme="minorHAnsi"/>
                <w:color w:val="000000"/>
                <w:szCs w:val="20"/>
                <w:highlight w:val="darkGray"/>
              </w:rPr>
            </w:pPr>
            <w:r w:rsidRPr="00341457">
              <w:rPr>
                <w:rFonts w:cstheme="minorHAnsi"/>
                <w:color w:val="000000"/>
                <w:spacing w:val="50"/>
                <w:szCs w:val="20"/>
                <w:shd w:val="solid" w:color="000000" w:fill="000000"/>
                <w:fitText w:val="325" w:id="-1436313079"/>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79"/>
                <w14:textFill>
                  <w14:solidFill>
                    <w14:srgbClr w14:val="000000">
                      <w14:alpha w14:val="100000"/>
                    </w14:srgbClr>
                  </w14:solidFill>
                </w14:textFill>
              </w:rPr>
              <w:t>|</w:t>
            </w:r>
            <w:r w:rsidR="00921505">
              <w:rPr>
                <w:rFonts w:cstheme="minorHAnsi"/>
                <w:color w:val="000000"/>
                <w:szCs w:val="20"/>
                <w:vertAlign w:val="superscript"/>
              </w:rPr>
              <w:t>1</w:t>
            </w:r>
          </w:p>
        </w:tc>
      </w:tr>
      <w:tr w:rsidR="00AA58D7" w:rsidRPr="00B22BCB" w14:paraId="5C4845FB"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128D5A1A" w14:textId="77777777" w:rsidR="00AA58D7" w:rsidRPr="00B22BCB" w:rsidRDefault="00AA58D7" w:rsidP="005548BB">
            <w:pPr>
              <w:pStyle w:val="TableText0"/>
              <w:rPr>
                <w:rFonts w:cstheme="minorHAnsi"/>
                <w:szCs w:val="20"/>
              </w:rPr>
            </w:pPr>
            <w:r w:rsidRPr="00B22BCB">
              <w:rPr>
                <w:rFonts w:cstheme="minorHAnsi"/>
                <w:szCs w:val="20"/>
              </w:rPr>
              <w:t>Total treated population</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3C660B9" w14:textId="7A84C060" w:rsidR="00AA58D7" w:rsidRPr="00921505" w:rsidRDefault="00341457" w:rsidP="005548BB">
            <w:pPr>
              <w:pStyle w:val="TableText0"/>
              <w:rPr>
                <w:rFonts w:cstheme="minorHAnsi"/>
                <w:color w:val="000000"/>
                <w:szCs w:val="20"/>
                <w:highlight w:val="darkGray"/>
              </w:rPr>
            </w:pPr>
            <w:r w:rsidRPr="00341457">
              <w:rPr>
                <w:rFonts w:cstheme="minorHAnsi"/>
                <w:color w:val="000000"/>
                <w:spacing w:val="50"/>
                <w:szCs w:val="20"/>
                <w:shd w:val="solid" w:color="000000" w:fill="000000"/>
                <w:fitText w:val="325" w:id="-1436313078"/>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78"/>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C798BC5" w14:textId="25DF7886"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77"/>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77"/>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DF3FA5A" w14:textId="3A87AFF2"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76"/>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76"/>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3D83D36" w14:textId="2E42F2A5" w:rsidR="00AA58D7" w:rsidRPr="00B22BCB" w:rsidRDefault="00341457" w:rsidP="005548BB">
            <w:pPr>
              <w:pStyle w:val="TableText0"/>
              <w:rPr>
                <w:rFonts w:cstheme="minorHAnsi"/>
                <w:color w:val="000000"/>
                <w:szCs w:val="20"/>
              </w:rPr>
            </w:pPr>
            <w:r w:rsidRPr="00341457">
              <w:rPr>
                <w:rFonts w:cstheme="minorHAnsi"/>
                <w:color w:val="000000"/>
                <w:spacing w:val="50"/>
                <w:szCs w:val="20"/>
                <w:shd w:val="solid" w:color="000000" w:fill="000000"/>
                <w:fitText w:val="325" w:id="-1436313075"/>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75"/>
                <w14:textFill>
                  <w14:solidFill>
                    <w14:srgbClr w14:val="000000">
                      <w14:alpha w14:val="100000"/>
                    </w14:srgbClr>
                  </w14:solidFill>
                </w14:textFill>
              </w:rPr>
              <w:t>|</w:t>
            </w:r>
            <w:r w:rsidR="00921505">
              <w:rPr>
                <w:rFonts w:cstheme="minorHAnsi"/>
                <w:color w:val="000000"/>
                <w:szCs w:val="2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9B13DBF" w14:textId="7BCAF3DD" w:rsidR="00AA58D7" w:rsidRPr="00B22BCB" w:rsidRDefault="00341457" w:rsidP="005548BB">
            <w:pPr>
              <w:pStyle w:val="TableText0"/>
              <w:rPr>
                <w:rFonts w:cstheme="minorHAnsi"/>
                <w:color w:val="000000"/>
                <w:szCs w:val="20"/>
              </w:rPr>
            </w:pPr>
            <w:r w:rsidRPr="00341457">
              <w:rPr>
                <w:rFonts w:cstheme="minorHAnsi"/>
                <w:color w:val="000000"/>
                <w:spacing w:val="51"/>
                <w:szCs w:val="20"/>
                <w:shd w:val="solid" w:color="000000" w:fill="000000"/>
                <w:fitText w:val="326" w:id="-1436313074"/>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74"/>
                <w14:textFill>
                  <w14:solidFill>
                    <w14:srgbClr w14:val="000000">
                      <w14:alpha w14:val="100000"/>
                    </w14:srgbClr>
                  </w14:solidFill>
                </w14:textFill>
              </w:rPr>
              <w:t>|</w:t>
            </w:r>
            <w:r w:rsidR="00921505">
              <w:rPr>
                <w:rFonts w:cstheme="minorHAnsi"/>
                <w:color w:val="000000"/>
                <w:szCs w:val="20"/>
                <w:vertAlign w:val="superscript"/>
              </w:rPr>
              <w:t>1</w:t>
            </w:r>
          </w:p>
        </w:tc>
        <w:tc>
          <w:tcPr>
            <w:tcW w:w="650" w:type="pct"/>
            <w:tcBorders>
              <w:top w:val="single" w:sz="4" w:space="0" w:color="auto"/>
              <w:left w:val="single" w:sz="4" w:space="0" w:color="auto"/>
              <w:bottom w:val="single" w:sz="4" w:space="0" w:color="auto"/>
              <w:right w:val="single" w:sz="4" w:space="0" w:color="auto"/>
            </w:tcBorders>
            <w:vAlign w:val="center"/>
          </w:tcPr>
          <w:p w14:paraId="2F9AAF6A" w14:textId="16DB4523" w:rsidR="00AA58D7" w:rsidRPr="00B22BCB" w:rsidRDefault="00341457" w:rsidP="005548BB">
            <w:pPr>
              <w:pStyle w:val="TableText0"/>
              <w:rPr>
                <w:rFonts w:cstheme="minorHAnsi"/>
                <w:color w:val="000000"/>
                <w:szCs w:val="20"/>
              </w:rPr>
            </w:pPr>
            <w:r w:rsidRPr="00341457">
              <w:rPr>
                <w:rFonts w:cstheme="minorHAnsi"/>
                <w:color w:val="000000"/>
                <w:spacing w:val="50"/>
                <w:szCs w:val="20"/>
                <w:shd w:val="solid" w:color="000000" w:fill="000000"/>
                <w:fitText w:val="325" w:id="-1436313073"/>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73"/>
                <w14:textFill>
                  <w14:solidFill>
                    <w14:srgbClr w14:val="000000">
                      <w14:alpha w14:val="100000"/>
                    </w14:srgbClr>
                  </w14:solidFill>
                </w14:textFill>
              </w:rPr>
              <w:t>|</w:t>
            </w:r>
            <w:r w:rsidR="00921505">
              <w:rPr>
                <w:rFonts w:cstheme="minorHAnsi"/>
                <w:color w:val="000000"/>
                <w:szCs w:val="20"/>
                <w:vertAlign w:val="superscript"/>
              </w:rPr>
              <w:t>2</w:t>
            </w:r>
          </w:p>
        </w:tc>
      </w:tr>
      <w:tr w:rsidR="00D71BEE" w:rsidRPr="00B22BCB" w14:paraId="4CFC5AFD"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571EDEF7" w14:textId="71EDA44C" w:rsidR="00D71BEE" w:rsidRPr="00B22BCB" w:rsidRDefault="00D71BEE" w:rsidP="005548BB">
            <w:pPr>
              <w:pStyle w:val="TableText0"/>
              <w:rPr>
                <w:rFonts w:cstheme="minorHAnsi"/>
                <w:szCs w:val="20"/>
              </w:rPr>
            </w:pPr>
            <w:r>
              <w:rPr>
                <w:rFonts w:cstheme="minorHAnsi"/>
                <w:szCs w:val="20"/>
              </w:rPr>
              <w:t>Uptake including GF patients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65C8FEE" w14:textId="4C6C2FE4" w:rsidR="00D71BEE" w:rsidRPr="00B22BCB" w:rsidRDefault="00ED1BFF" w:rsidP="005548BB">
            <w:pPr>
              <w:pStyle w:val="TableText0"/>
              <w:rPr>
                <w:rFonts w:cstheme="minorHAnsi"/>
                <w:color w:val="000000"/>
                <w:szCs w:val="20"/>
              </w:rPr>
            </w:pPr>
            <w:r>
              <w:rPr>
                <w:rFonts w:cstheme="minorHAnsi"/>
                <w:color w:val="000000"/>
                <w:szCs w:val="20"/>
              </w:rPr>
              <w:t>58%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80A945F" w14:textId="1F926E50" w:rsidR="00D71BEE" w:rsidRPr="00B22BCB" w:rsidRDefault="00ED1BFF" w:rsidP="005548BB">
            <w:pPr>
              <w:pStyle w:val="TableText0"/>
              <w:rPr>
                <w:rFonts w:cstheme="minorHAnsi"/>
                <w:color w:val="000000"/>
                <w:szCs w:val="20"/>
              </w:rPr>
            </w:pPr>
            <w:r>
              <w:rPr>
                <w:rFonts w:cstheme="minorHAnsi"/>
                <w:color w:val="000000"/>
                <w:szCs w:val="20"/>
              </w:rPr>
              <w:t>58%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8EAE478" w14:textId="43A66C57" w:rsidR="00D71BEE" w:rsidRPr="00B22BCB" w:rsidRDefault="00ED1BFF" w:rsidP="005548BB">
            <w:pPr>
              <w:pStyle w:val="TableText0"/>
              <w:rPr>
                <w:rFonts w:cstheme="minorHAnsi"/>
                <w:color w:val="000000"/>
                <w:szCs w:val="20"/>
              </w:rPr>
            </w:pPr>
            <w:r>
              <w:rPr>
                <w:rFonts w:cstheme="minorHAnsi"/>
                <w:color w:val="000000"/>
                <w:szCs w:val="20"/>
              </w:rPr>
              <w:t>59%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64B8EE9" w14:textId="089B31DB" w:rsidR="00D71BEE" w:rsidRPr="00B22BCB" w:rsidRDefault="00ED1BFF" w:rsidP="005548BB">
            <w:pPr>
              <w:pStyle w:val="TableText0"/>
              <w:rPr>
                <w:rFonts w:cstheme="minorHAnsi"/>
                <w:color w:val="000000"/>
                <w:szCs w:val="20"/>
              </w:rPr>
            </w:pPr>
            <w:r>
              <w:rPr>
                <w:rFonts w:cstheme="minorHAnsi"/>
                <w:color w:val="000000"/>
                <w:szCs w:val="20"/>
              </w:rPr>
              <w:t>59%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BB646C8" w14:textId="656F723B" w:rsidR="00D71BEE" w:rsidRPr="00B22BCB" w:rsidRDefault="00ED1BFF" w:rsidP="005548BB">
            <w:pPr>
              <w:pStyle w:val="TableText0"/>
              <w:rPr>
                <w:rFonts w:cstheme="minorHAnsi"/>
                <w:color w:val="000000"/>
                <w:szCs w:val="20"/>
              </w:rPr>
            </w:pPr>
            <w:r>
              <w:rPr>
                <w:rFonts w:cstheme="minorHAnsi"/>
                <w:color w:val="000000"/>
                <w:szCs w:val="20"/>
              </w:rPr>
              <w:t>57%</w:t>
            </w:r>
          </w:p>
        </w:tc>
        <w:tc>
          <w:tcPr>
            <w:tcW w:w="650" w:type="pct"/>
            <w:tcBorders>
              <w:top w:val="single" w:sz="4" w:space="0" w:color="auto"/>
              <w:left w:val="single" w:sz="4" w:space="0" w:color="auto"/>
              <w:bottom w:val="single" w:sz="4" w:space="0" w:color="auto"/>
              <w:right w:val="single" w:sz="4" w:space="0" w:color="auto"/>
            </w:tcBorders>
            <w:vAlign w:val="center"/>
          </w:tcPr>
          <w:p w14:paraId="6AC61ABB" w14:textId="03544C71" w:rsidR="00D71BEE" w:rsidRPr="00B22BCB" w:rsidRDefault="00ED1BFF" w:rsidP="005548BB">
            <w:pPr>
              <w:pStyle w:val="TableText0"/>
              <w:rPr>
                <w:rFonts w:cstheme="minorHAnsi"/>
                <w:color w:val="000000"/>
                <w:szCs w:val="20"/>
              </w:rPr>
            </w:pPr>
            <w:r>
              <w:rPr>
                <w:rFonts w:cstheme="minorHAnsi"/>
                <w:color w:val="000000"/>
                <w:szCs w:val="20"/>
              </w:rPr>
              <w:t>57%</w:t>
            </w:r>
          </w:p>
        </w:tc>
      </w:tr>
      <w:tr w:rsidR="00AA58D7" w:rsidRPr="00B22BCB" w14:paraId="720C8EBE" w14:textId="77777777" w:rsidTr="005548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5" w:type="pct"/>
            <w:tcBorders>
              <w:top w:val="single" w:sz="4" w:space="0" w:color="auto"/>
              <w:left w:val="single" w:sz="4" w:space="0" w:color="auto"/>
              <w:bottom w:val="single" w:sz="4" w:space="0" w:color="auto"/>
              <w:right w:val="single" w:sz="4" w:space="0" w:color="auto"/>
            </w:tcBorders>
            <w:shd w:val="clear" w:color="auto" w:fill="auto"/>
          </w:tcPr>
          <w:p w14:paraId="5BB18B2B" w14:textId="77777777" w:rsidR="00AA58D7" w:rsidRPr="00B22BCB" w:rsidRDefault="00AA58D7" w:rsidP="005548BB">
            <w:pPr>
              <w:pStyle w:val="TableText0"/>
              <w:rPr>
                <w:szCs w:val="20"/>
              </w:rPr>
            </w:pPr>
            <w:r w:rsidRPr="00B22BCB">
              <w:rPr>
                <w:rFonts w:cstheme="minorHAnsi"/>
                <w:szCs w:val="20"/>
              </w:rPr>
              <w:t>Total asciminib R/PBS scripts</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534DA6B" w14:textId="1579575E" w:rsidR="00AA58D7" w:rsidRPr="00B22BCB" w:rsidRDefault="00341457" w:rsidP="005548BB">
            <w:pPr>
              <w:pStyle w:val="TableText0"/>
              <w:rPr>
                <w:color w:val="000000"/>
                <w:szCs w:val="20"/>
              </w:rPr>
            </w:pPr>
            <w:r w:rsidRPr="00341457">
              <w:rPr>
                <w:rFonts w:cstheme="minorHAnsi"/>
                <w:color w:val="000000"/>
                <w:spacing w:val="50"/>
                <w:szCs w:val="20"/>
                <w:shd w:val="solid" w:color="000000" w:fill="000000"/>
                <w:fitText w:val="325" w:id="-1436313072"/>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72"/>
                <w14:textFill>
                  <w14:solidFill>
                    <w14:srgbClr w14:val="000000">
                      <w14:alpha w14:val="100000"/>
                    </w14:srgbClr>
                  </w14:solidFill>
                </w14:textFill>
              </w:rPr>
              <w:t>|</w:t>
            </w:r>
            <w:r w:rsidR="00921505">
              <w:rPr>
                <w:rFonts w:cstheme="minorHAnsi"/>
                <w:color w:val="000000"/>
                <w:szCs w:val="2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7AC26FF" w14:textId="30A5AA3A" w:rsidR="00AA58D7" w:rsidRPr="00B22BCB" w:rsidRDefault="00341457" w:rsidP="005548BB">
            <w:pPr>
              <w:pStyle w:val="TableText0"/>
              <w:rPr>
                <w:color w:val="000000"/>
                <w:szCs w:val="20"/>
              </w:rPr>
            </w:pPr>
            <w:r w:rsidRPr="00341457">
              <w:rPr>
                <w:rFonts w:cstheme="minorHAnsi"/>
                <w:color w:val="000000"/>
                <w:spacing w:val="51"/>
                <w:szCs w:val="20"/>
                <w:shd w:val="solid" w:color="000000" w:fill="000000"/>
                <w:fitText w:val="326" w:id="-1436313088"/>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8"/>
                <w14:textFill>
                  <w14:solidFill>
                    <w14:srgbClr w14:val="000000">
                      <w14:alpha w14:val="100000"/>
                    </w14:srgbClr>
                  </w14:solidFill>
                </w14:textFill>
              </w:rPr>
              <w:t>|</w:t>
            </w:r>
            <w:r w:rsidR="00921505">
              <w:rPr>
                <w:rFonts w:cstheme="minorHAnsi"/>
                <w:color w:val="000000"/>
                <w:szCs w:val="20"/>
                <w:vertAlign w:val="superscript"/>
              </w:rPr>
              <w:t>2</w:t>
            </w:r>
            <w:r w:rsidR="00AA58D7" w:rsidRPr="00B22BCB">
              <w:rPr>
                <w:rFonts w:cstheme="minorHAnsi"/>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4260BC3C" w14:textId="74020530" w:rsidR="00AA58D7" w:rsidRPr="00921505" w:rsidRDefault="00341457" w:rsidP="005548BB">
            <w:pPr>
              <w:pStyle w:val="TableText0"/>
              <w:rPr>
                <w:color w:val="000000"/>
                <w:szCs w:val="20"/>
                <w:highlight w:val="darkGray"/>
              </w:rPr>
            </w:pPr>
            <w:r w:rsidRPr="00341457">
              <w:rPr>
                <w:rFonts w:cstheme="minorHAnsi"/>
                <w:color w:val="000000"/>
                <w:spacing w:val="51"/>
                <w:szCs w:val="20"/>
                <w:shd w:val="solid" w:color="000000" w:fill="000000"/>
                <w:fitText w:val="326" w:id="-1436313087"/>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7"/>
                <w14:textFill>
                  <w14:solidFill>
                    <w14:srgbClr w14:val="000000">
                      <w14:alpha w14:val="100000"/>
                    </w14:srgbClr>
                  </w14:solidFill>
                </w14:textFill>
              </w:rPr>
              <w:t>|</w:t>
            </w:r>
            <w:r w:rsidR="00921505">
              <w:rPr>
                <w:rFonts w:cstheme="minorHAnsi"/>
                <w:color w:val="000000"/>
                <w:szCs w:val="20"/>
                <w:vertAlign w:val="superscript"/>
              </w:rPr>
              <w:t>2</w:t>
            </w:r>
            <w:r w:rsidRPr="00341457">
              <w:rPr>
                <w:rFonts w:cstheme="minorHAnsi"/>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4221B19" w14:textId="75A76E24" w:rsidR="00AA58D7" w:rsidRPr="00B22BCB" w:rsidRDefault="00341457" w:rsidP="005548BB">
            <w:pPr>
              <w:pStyle w:val="TableText0"/>
              <w:rPr>
                <w:color w:val="000000"/>
                <w:szCs w:val="20"/>
              </w:rPr>
            </w:pPr>
            <w:r w:rsidRPr="00341457">
              <w:rPr>
                <w:rFonts w:cstheme="minorHAnsi"/>
                <w:color w:val="000000"/>
                <w:spacing w:val="50"/>
                <w:szCs w:val="20"/>
                <w:shd w:val="solid" w:color="000000" w:fill="000000"/>
                <w:fitText w:val="325" w:id="-1436313086"/>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86"/>
                <w14:textFill>
                  <w14:solidFill>
                    <w14:srgbClr w14:val="000000">
                      <w14:alpha w14:val="100000"/>
                    </w14:srgbClr>
                  </w14:solidFill>
                </w14:textFill>
              </w:rPr>
              <w:t>|</w:t>
            </w:r>
            <w:r w:rsidR="007E1123">
              <w:rPr>
                <w:rFonts w:cstheme="minorHAnsi"/>
                <w:color w:val="000000"/>
                <w:szCs w:val="20"/>
                <w:vertAlign w:val="superscript"/>
              </w:rPr>
              <w:t>6</w:t>
            </w:r>
            <w:r w:rsidR="00AA58D7" w:rsidRPr="00B22BCB">
              <w:rPr>
                <w:rFonts w:cstheme="minorHAnsi"/>
                <w:szCs w:val="20"/>
              </w:rPr>
              <w:t xml:space="preserve"> </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7B7644A0" w14:textId="4A4EF70A" w:rsidR="00AA58D7" w:rsidRPr="00B22BCB" w:rsidRDefault="00341457" w:rsidP="005548BB">
            <w:pPr>
              <w:pStyle w:val="TableText0"/>
              <w:rPr>
                <w:color w:val="000000"/>
                <w:szCs w:val="20"/>
              </w:rPr>
            </w:pPr>
            <w:r w:rsidRPr="00341457">
              <w:rPr>
                <w:rFonts w:cstheme="minorHAnsi"/>
                <w:color w:val="000000"/>
                <w:spacing w:val="51"/>
                <w:szCs w:val="20"/>
                <w:shd w:val="solid" w:color="000000" w:fill="000000"/>
                <w:fitText w:val="326" w:id="-1436313085"/>
                <w14:textFill>
                  <w14:solidFill>
                    <w14:srgbClr w14:val="000000">
                      <w14:alpha w14:val="100000"/>
                    </w14:srgbClr>
                  </w14:solidFill>
                </w14:textFill>
              </w:rPr>
              <w:t>|||</w:t>
            </w:r>
            <w:r w:rsidRPr="00341457">
              <w:rPr>
                <w:rFonts w:cstheme="minorHAnsi"/>
                <w:color w:val="000000"/>
                <w:spacing w:val="1"/>
                <w:szCs w:val="20"/>
                <w:shd w:val="solid" w:color="000000" w:fill="000000"/>
                <w:fitText w:val="326" w:id="-1436313085"/>
                <w14:textFill>
                  <w14:solidFill>
                    <w14:srgbClr w14:val="000000">
                      <w14:alpha w14:val="100000"/>
                    </w14:srgbClr>
                  </w14:solidFill>
                </w14:textFill>
              </w:rPr>
              <w:t>|</w:t>
            </w:r>
            <w:r w:rsidR="007E1123">
              <w:rPr>
                <w:rFonts w:cstheme="minorHAnsi"/>
                <w:color w:val="000000"/>
                <w:szCs w:val="20"/>
                <w:vertAlign w:val="superscript"/>
              </w:rPr>
              <w:t>6</w:t>
            </w:r>
            <w:r w:rsidR="007E1123" w:rsidRPr="00B22BCB">
              <w:rPr>
                <w:rFonts w:cstheme="minorHAnsi"/>
                <w:szCs w:val="20"/>
              </w:rPr>
              <w:t xml:space="preserve"> </w:t>
            </w:r>
            <w:r w:rsidR="00AA58D7" w:rsidRPr="00B22BCB">
              <w:rPr>
                <w:rFonts w:cstheme="minorHAnsi"/>
                <w:szCs w:val="20"/>
              </w:rPr>
              <w:t xml:space="preserve"> </w:t>
            </w:r>
          </w:p>
        </w:tc>
        <w:tc>
          <w:tcPr>
            <w:tcW w:w="650" w:type="pct"/>
            <w:tcBorders>
              <w:top w:val="single" w:sz="4" w:space="0" w:color="auto"/>
              <w:left w:val="single" w:sz="4" w:space="0" w:color="auto"/>
              <w:bottom w:val="single" w:sz="4" w:space="0" w:color="auto"/>
              <w:right w:val="single" w:sz="4" w:space="0" w:color="auto"/>
            </w:tcBorders>
          </w:tcPr>
          <w:p w14:paraId="0333B753" w14:textId="5B22B063" w:rsidR="00AA58D7" w:rsidRPr="00921505" w:rsidRDefault="00341457" w:rsidP="005548BB">
            <w:pPr>
              <w:pStyle w:val="TableText0"/>
              <w:rPr>
                <w:color w:val="000000"/>
                <w:szCs w:val="20"/>
                <w:highlight w:val="darkGray"/>
              </w:rPr>
            </w:pPr>
            <w:r w:rsidRPr="00341457">
              <w:rPr>
                <w:rFonts w:cstheme="minorHAnsi"/>
                <w:color w:val="000000"/>
                <w:spacing w:val="50"/>
                <w:szCs w:val="20"/>
                <w:shd w:val="solid" w:color="000000" w:fill="000000"/>
                <w:fitText w:val="325" w:id="-1436313084"/>
                <w14:textFill>
                  <w14:solidFill>
                    <w14:srgbClr w14:val="000000">
                      <w14:alpha w14:val="100000"/>
                    </w14:srgbClr>
                  </w14:solidFill>
                </w14:textFill>
              </w:rPr>
              <w:t>|||</w:t>
            </w:r>
            <w:r w:rsidRPr="00341457">
              <w:rPr>
                <w:rFonts w:cstheme="minorHAnsi"/>
                <w:color w:val="000000"/>
                <w:spacing w:val="13"/>
                <w:szCs w:val="20"/>
                <w:shd w:val="solid" w:color="000000" w:fill="000000"/>
                <w:fitText w:val="325" w:id="-1436313084"/>
                <w14:textFill>
                  <w14:solidFill>
                    <w14:srgbClr w14:val="000000">
                      <w14:alpha w14:val="100000"/>
                    </w14:srgbClr>
                  </w14:solidFill>
                </w14:textFill>
              </w:rPr>
              <w:t>|</w:t>
            </w:r>
            <w:r w:rsidR="007E1123">
              <w:rPr>
                <w:rFonts w:cstheme="minorHAnsi"/>
                <w:color w:val="000000"/>
                <w:szCs w:val="20"/>
                <w:vertAlign w:val="superscript"/>
              </w:rPr>
              <w:t>6</w:t>
            </w:r>
            <w:r w:rsidR="007E1123" w:rsidRPr="00B22BCB">
              <w:rPr>
                <w:rFonts w:cstheme="minorHAnsi"/>
                <w:szCs w:val="20"/>
              </w:rPr>
              <w:t xml:space="preserve"> </w:t>
            </w:r>
            <w:r w:rsidRPr="00341457">
              <w:rPr>
                <w:rFonts w:cstheme="minorHAnsi"/>
                <w:szCs w:val="20"/>
              </w:rPr>
              <w:t xml:space="preserve"> </w:t>
            </w:r>
          </w:p>
        </w:tc>
      </w:tr>
      <w:tr w:rsidR="00AA58D7" w:rsidRPr="00B22BCB" w14:paraId="5FA95C8A" w14:textId="77777777" w:rsidTr="005548BB">
        <w:tc>
          <w:tcPr>
            <w:tcW w:w="5000" w:type="pct"/>
            <w:gridSpan w:val="7"/>
            <w:shd w:val="clear" w:color="auto" w:fill="auto"/>
            <w:vAlign w:val="center"/>
          </w:tcPr>
          <w:p w14:paraId="66CCF394" w14:textId="77777777" w:rsidR="00AA58D7" w:rsidRPr="00B22BCB" w:rsidRDefault="00AA58D7" w:rsidP="005548BB">
            <w:pPr>
              <w:pStyle w:val="In-tableHeading"/>
              <w:rPr>
                <w:szCs w:val="20"/>
                <w:lang w:val="en-AU"/>
              </w:rPr>
            </w:pPr>
            <w:r w:rsidRPr="00B22BCB">
              <w:rPr>
                <w:szCs w:val="20"/>
                <w:lang w:val="en-AU"/>
              </w:rPr>
              <w:t>Estimated financial implications of asciminib (effective price)</w:t>
            </w:r>
          </w:p>
        </w:tc>
      </w:tr>
      <w:tr w:rsidR="00B072A7" w:rsidRPr="00B22BCB" w14:paraId="04A71C9B" w14:textId="77777777" w:rsidTr="00B072A7">
        <w:tc>
          <w:tcPr>
            <w:tcW w:w="1115" w:type="pct"/>
            <w:shd w:val="clear" w:color="auto" w:fill="auto"/>
          </w:tcPr>
          <w:p w14:paraId="166DF189" w14:textId="06B63F77" w:rsidR="00B072A7" w:rsidRPr="002E7D71" w:rsidRDefault="00B072A7" w:rsidP="00B072A7">
            <w:pPr>
              <w:pStyle w:val="TableText0"/>
              <w:rPr>
                <w:rFonts w:cstheme="minorHAnsi"/>
                <w:szCs w:val="20"/>
              </w:rPr>
            </w:pPr>
            <w:r>
              <w:rPr>
                <w:rFonts w:cstheme="minorHAnsi"/>
                <w:szCs w:val="20"/>
              </w:rPr>
              <w:t>Revised</w:t>
            </w:r>
            <w:r w:rsidRPr="00B072A7">
              <w:rPr>
                <w:rFonts w:cstheme="minorHAnsi"/>
                <w:szCs w:val="20"/>
                <w:vertAlign w:val="superscript"/>
              </w:rPr>
              <w:t>a,b</w:t>
            </w:r>
            <w:r>
              <w:rPr>
                <w:rFonts w:cstheme="minorHAnsi"/>
                <w:szCs w:val="20"/>
              </w:rPr>
              <w:t xml:space="preserve"> t</w:t>
            </w:r>
            <w:r w:rsidRPr="00B22BCB">
              <w:rPr>
                <w:rFonts w:cstheme="minorHAnsi"/>
                <w:szCs w:val="20"/>
              </w:rPr>
              <w:t>otal R/PBS DPMQ</w:t>
            </w:r>
          </w:p>
        </w:tc>
        <w:tc>
          <w:tcPr>
            <w:tcW w:w="647" w:type="pct"/>
            <w:shd w:val="clear" w:color="auto" w:fill="auto"/>
            <w:vAlign w:val="center"/>
          </w:tcPr>
          <w:p w14:paraId="12D7D5E3" w14:textId="3E737C13"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3" w:id="-1436313083"/>
                <w14:textFill>
                  <w14:solidFill>
                    <w14:srgbClr w14:val="000000">
                      <w14:alpha w14:val="100000"/>
                    </w14:srgbClr>
                  </w14:solidFill>
                </w14:textFill>
              </w:rPr>
              <w:t xml:space="preserve">　</w:t>
            </w:r>
            <w:r w:rsidR="00341457" w:rsidRPr="00341457">
              <w:rPr>
                <w:color w:val="000000"/>
                <w:w w:val="15"/>
                <w:shd w:val="solid" w:color="000000" w:fill="000000"/>
                <w:fitText w:val="63" w:id="-1436313083"/>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3083"/>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7D351305" w14:textId="2947ED6F"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2" w:id="-1436313082"/>
                <w14:textFill>
                  <w14:solidFill>
                    <w14:srgbClr w14:val="000000">
                      <w14:alpha w14:val="100000"/>
                    </w14:srgbClr>
                  </w14:solidFill>
                </w14:textFill>
              </w:rPr>
              <w:t xml:space="preserve">　</w:t>
            </w:r>
            <w:r w:rsidR="00341457" w:rsidRPr="00341457">
              <w:rPr>
                <w:color w:val="000000"/>
                <w:w w:val="15"/>
                <w:shd w:val="solid" w:color="000000" w:fill="000000"/>
                <w:fitText w:val="62" w:id="-1436313082"/>
                <w14:textFill>
                  <w14:solidFill>
                    <w14:srgbClr w14:val="000000">
                      <w14:alpha w14:val="100000"/>
                    </w14:srgbClr>
                  </w14:solidFill>
                </w14:textFill>
              </w:rPr>
              <w:t>|</w:t>
            </w:r>
            <w:r w:rsidR="00341457" w:rsidRPr="00341457">
              <w:rPr>
                <w:rFonts w:hint="eastAsia"/>
                <w:color w:val="000000"/>
                <w:spacing w:val="-12"/>
                <w:w w:val="15"/>
                <w:shd w:val="solid" w:color="000000" w:fill="000000"/>
                <w:fitText w:val="62" w:id="-1436313082"/>
                <w14:textFill>
                  <w14:solidFill>
                    <w14:srgbClr w14:val="000000">
                      <w14:alpha w14:val="100000"/>
                    </w14:srgbClr>
                  </w14:solidFill>
                </w14:textFill>
              </w:rPr>
              <w:t xml:space="preserve">　</w:t>
            </w:r>
            <w:r w:rsidR="00921505">
              <w:rPr>
                <w:rFonts w:cstheme="minorHAnsi"/>
                <w:color w:val="000000"/>
                <w:szCs w:val="20"/>
                <w:vertAlign w:val="superscript"/>
              </w:rPr>
              <w:t>5</w:t>
            </w:r>
          </w:p>
        </w:tc>
        <w:tc>
          <w:tcPr>
            <w:tcW w:w="647" w:type="pct"/>
            <w:shd w:val="clear" w:color="auto" w:fill="auto"/>
            <w:vAlign w:val="center"/>
          </w:tcPr>
          <w:p w14:paraId="78279170" w14:textId="5C6C9112"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3" w:id="-1436313081"/>
                <w14:textFill>
                  <w14:solidFill>
                    <w14:srgbClr w14:val="000000">
                      <w14:alpha w14:val="100000"/>
                    </w14:srgbClr>
                  </w14:solidFill>
                </w14:textFill>
              </w:rPr>
              <w:t xml:space="preserve">　</w:t>
            </w:r>
            <w:r w:rsidR="00341457" w:rsidRPr="00341457">
              <w:rPr>
                <w:color w:val="000000"/>
                <w:w w:val="15"/>
                <w:shd w:val="solid" w:color="000000" w:fill="000000"/>
                <w:fitText w:val="63" w:id="-1436313081"/>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3081"/>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210361D0" w14:textId="45200784"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3" w:id="-1436313080"/>
                <w14:textFill>
                  <w14:solidFill>
                    <w14:srgbClr w14:val="000000">
                      <w14:alpha w14:val="100000"/>
                    </w14:srgbClr>
                  </w14:solidFill>
                </w14:textFill>
              </w:rPr>
              <w:t xml:space="preserve">　</w:t>
            </w:r>
            <w:r w:rsidR="00341457" w:rsidRPr="00341457">
              <w:rPr>
                <w:color w:val="000000"/>
                <w:w w:val="15"/>
                <w:shd w:val="solid" w:color="000000" w:fill="000000"/>
                <w:fitText w:val="63" w:id="-1436313080"/>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3080"/>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19CC203D" w14:textId="413F0AE3"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3" w:id="-1436313079"/>
                <w14:textFill>
                  <w14:solidFill>
                    <w14:srgbClr w14:val="000000">
                      <w14:alpha w14:val="100000"/>
                    </w14:srgbClr>
                  </w14:solidFill>
                </w14:textFill>
              </w:rPr>
              <w:t xml:space="preserve">　</w:t>
            </w:r>
            <w:r w:rsidR="00341457" w:rsidRPr="00341457">
              <w:rPr>
                <w:color w:val="000000"/>
                <w:w w:val="15"/>
                <w:shd w:val="solid" w:color="000000" w:fill="000000"/>
                <w:fitText w:val="63" w:id="-1436313079"/>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3079"/>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50" w:type="pct"/>
            <w:vAlign w:val="center"/>
          </w:tcPr>
          <w:p w14:paraId="46FD7610" w14:textId="0C9C1E7F" w:rsidR="00B072A7" w:rsidRPr="00740A9B" w:rsidRDefault="00B072A7" w:rsidP="00B072A7">
            <w:pPr>
              <w:pStyle w:val="TableText0"/>
              <w:jc w:val="center"/>
            </w:pPr>
            <w:r w:rsidRPr="006C0965">
              <w:t>$</w:t>
            </w:r>
            <w:r w:rsidR="00341457" w:rsidRPr="00341457">
              <w:rPr>
                <w:rFonts w:hint="eastAsia"/>
                <w:color w:val="000000"/>
                <w:w w:val="15"/>
                <w:shd w:val="solid" w:color="000000" w:fill="000000"/>
                <w:fitText w:val="63" w:id="-1436313078"/>
                <w14:textFill>
                  <w14:solidFill>
                    <w14:srgbClr w14:val="000000">
                      <w14:alpha w14:val="100000"/>
                    </w14:srgbClr>
                  </w14:solidFill>
                </w14:textFill>
              </w:rPr>
              <w:t xml:space="preserve">　</w:t>
            </w:r>
            <w:r w:rsidR="00341457" w:rsidRPr="00341457">
              <w:rPr>
                <w:color w:val="000000"/>
                <w:w w:val="15"/>
                <w:shd w:val="solid" w:color="000000" w:fill="000000"/>
                <w:fitText w:val="63" w:id="-1436313078"/>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3078"/>
                <w14:textFill>
                  <w14:solidFill>
                    <w14:srgbClr w14:val="000000">
                      <w14:alpha w14:val="100000"/>
                    </w14:srgbClr>
                  </w14:solidFill>
                </w14:textFill>
              </w:rPr>
              <w:t xml:space="preserve">　</w:t>
            </w:r>
            <w:r w:rsidR="007E1123">
              <w:rPr>
                <w:rFonts w:cstheme="minorHAnsi"/>
                <w:color w:val="000000"/>
                <w:szCs w:val="20"/>
                <w:vertAlign w:val="superscript"/>
              </w:rPr>
              <w:t>7</w:t>
            </w:r>
          </w:p>
        </w:tc>
      </w:tr>
      <w:tr w:rsidR="00B072A7" w:rsidRPr="00B22BCB" w14:paraId="203FEC22" w14:textId="77777777" w:rsidTr="00B072A7">
        <w:tc>
          <w:tcPr>
            <w:tcW w:w="1115" w:type="pct"/>
            <w:shd w:val="clear" w:color="auto" w:fill="auto"/>
            <w:vAlign w:val="center"/>
          </w:tcPr>
          <w:p w14:paraId="5638E298" w14:textId="5ABA8494" w:rsidR="00B072A7" w:rsidRPr="002E7D71" w:rsidRDefault="00B072A7" w:rsidP="00B072A7">
            <w:pPr>
              <w:pStyle w:val="TableText0"/>
              <w:rPr>
                <w:rFonts w:cstheme="minorHAnsi"/>
                <w:szCs w:val="20"/>
              </w:rPr>
            </w:pPr>
            <w:r>
              <w:rPr>
                <w:rFonts w:cstheme="minorHAnsi"/>
                <w:szCs w:val="20"/>
              </w:rPr>
              <w:t>Revised</w:t>
            </w:r>
            <w:r w:rsidRPr="00B072A7">
              <w:rPr>
                <w:rFonts w:cstheme="minorHAnsi"/>
                <w:szCs w:val="20"/>
                <w:vertAlign w:val="superscript"/>
              </w:rPr>
              <w:t>a,b</w:t>
            </w:r>
            <w:r w:rsidRPr="00B22BCB">
              <w:rPr>
                <w:rFonts w:cstheme="minorHAnsi"/>
                <w:szCs w:val="20"/>
              </w:rPr>
              <w:t xml:space="preserve"> </w:t>
            </w:r>
            <w:r>
              <w:rPr>
                <w:rFonts w:cstheme="minorHAnsi"/>
                <w:szCs w:val="20"/>
              </w:rPr>
              <w:t>t</w:t>
            </w:r>
            <w:r w:rsidRPr="00B22BCB">
              <w:rPr>
                <w:rFonts w:cstheme="minorHAnsi"/>
                <w:szCs w:val="20"/>
              </w:rPr>
              <w:t>otal R/PBS copayments</w:t>
            </w:r>
          </w:p>
        </w:tc>
        <w:tc>
          <w:tcPr>
            <w:tcW w:w="647" w:type="pct"/>
            <w:shd w:val="clear" w:color="auto" w:fill="auto"/>
            <w:vAlign w:val="center"/>
          </w:tcPr>
          <w:p w14:paraId="5F59D20F" w14:textId="69D7390D"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3" w:id="-1436312832"/>
                <w14:textFill>
                  <w14:solidFill>
                    <w14:srgbClr w14:val="000000">
                      <w14:alpha w14:val="100000"/>
                    </w14:srgbClr>
                  </w14:solidFill>
                </w14:textFill>
              </w:rPr>
              <w:t xml:space="preserve">　</w:t>
            </w:r>
            <w:r w:rsidR="00341457" w:rsidRPr="00341457">
              <w:rPr>
                <w:color w:val="000000"/>
                <w:w w:val="15"/>
                <w:shd w:val="solid" w:color="000000" w:fill="000000"/>
                <w:fitText w:val="63" w:id="-1436312832"/>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32"/>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13DC786C" w14:textId="386E9663"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2" w:id="-1436312831"/>
                <w14:textFill>
                  <w14:solidFill>
                    <w14:srgbClr w14:val="000000">
                      <w14:alpha w14:val="100000"/>
                    </w14:srgbClr>
                  </w14:solidFill>
                </w14:textFill>
              </w:rPr>
              <w:t xml:space="preserve">　</w:t>
            </w:r>
            <w:r w:rsidR="00341457" w:rsidRPr="00341457">
              <w:rPr>
                <w:color w:val="000000"/>
                <w:w w:val="15"/>
                <w:shd w:val="solid" w:color="000000" w:fill="000000"/>
                <w:fitText w:val="62" w:id="-1436312831"/>
                <w14:textFill>
                  <w14:solidFill>
                    <w14:srgbClr w14:val="000000">
                      <w14:alpha w14:val="100000"/>
                    </w14:srgbClr>
                  </w14:solidFill>
                </w14:textFill>
              </w:rPr>
              <w:t>|</w:t>
            </w:r>
            <w:r w:rsidR="00341457" w:rsidRPr="00341457">
              <w:rPr>
                <w:rFonts w:hint="eastAsia"/>
                <w:color w:val="000000"/>
                <w:spacing w:val="-12"/>
                <w:w w:val="15"/>
                <w:shd w:val="solid" w:color="000000" w:fill="000000"/>
                <w:fitText w:val="62" w:id="-1436312831"/>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0C047B17" w14:textId="2E37BA82"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3" w:id="-1436312830"/>
                <w14:textFill>
                  <w14:solidFill>
                    <w14:srgbClr w14:val="000000">
                      <w14:alpha w14:val="100000"/>
                    </w14:srgbClr>
                  </w14:solidFill>
                </w14:textFill>
              </w:rPr>
              <w:t xml:space="preserve">　</w:t>
            </w:r>
            <w:r w:rsidR="00341457" w:rsidRPr="00341457">
              <w:rPr>
                <w:color w:val="000000"/>
                <w:w w:val="15"/>
                <w:shd w:val="solid" w:color="000000" w:fill="000000"/>
                <w:fitText w:val="63" w:id="-1436312830"/>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30"/>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22F2C925" w14:textId="56C5182B"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3" w:id="-1436312829"/>
                <w14:textFill>
                  <w14:solidFill>
                    <w14:srgbClr w14:val="000000">
                      <w14:alpha w14:val="100000"/>
                    </w14:srgbClr>
                  </w14:solidFill>
                </w14:textFill>
              </w:rPr>
              <w:t xml:space="preserve">　</w:t>
            </w:r>
            <w:r w:rsidR="00341457" w:rsidRPr="00341457">
              <w:rPr>
                <w:color w:val="000000"/>
                <w:w w:val="15"/>
                <w:shd w:val="solid" w:color="000000" w:fill="000000"/>
                <w:fitText w:val="63" w:id="-1436312829"/>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9"/>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571B5539" w14:textId="0570E652"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3" w:id="-1436312828"/>
                <w14:textFill>
                  <w14:solidFill>
                    <w14:srgbClr w14:val="000000">
                      <w14:alpha w14:val="100000"/>
                    </w14:srgbClr>
                  </w14:solidFill>
                </w14:textFill>
              </w:rPr>
              <w:t xml:space="preserve">　</w:t>
            </w:r>
            <w:r w:rsidR="00341457" w:rsidRPr="00341457">
              <w:rPr>
                <w:color w:val="000000"/>
                <w:w w:val="15"/>
                <w:shd w:val="solid" w:color="000000" w:fill="000000"/>
                <w:fitText w:val="63" w:id="-1436312828"/>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8"/>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50" w:type="pct"/>
            <w:vAlign w:val="center"/>
          </w:tcPr>
          <w:p w14:paraId="4EA1622B" w14:textId="37D2D560" w:rsidR="00B072A7" w:rsidRPr="00740A9B" w:rsidRDefault="00B072A7" w:rsidP="00B072A7">
            <w:pPr>
              <w:pStyle w:val="TableText0"/>
              <w:jc w:val="center"/>
            </w:pPr>
            <w:r w:rsidRPr="00647B8B">
              <w:t>$</w:t>
            </w:r>
            <w:r w:rsidR="00341457" w:rsidRPr="00341457">
              <w:rPr>
                <w:rFonts w:hint="eastAsia"/>
                <w:color w:val="000000"/>
                <w:w w:val="15"/>
                <w:shd w:val="solid" w:color="000000" w:fill="000000"/>
                <w:fitText w:val="63" w:id="-1436312827"/>
                <w14:textFill>
                  <w14:solidFill>
                    <w14:srgbClr w14:val="000000">
                      <w14:alpha w14:val="100000"/>
                    </w14:srgbClr>
                  </w14:solidFill>
                </w14:textFill>
              </w:rPr>
              <w:t xml:space="preserve">　</w:t>
            </w:r>
            <w:r w:rsidR="00341457" w:rsidRPr="00341457">
              <w:rPr>
                <w:color w:val="000000"/>
                <w:w w:val="15"/>
                <w:shd w:val="solid" w:color="000000" w:fill="000000"/>
                <w:fitText w:val="63" w:id="-1436312827"/>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7"/>
                <w14:textFill>
                  <w14:solidFill>
                    <w14:srgbClr w14:val="000000">
                      <w14:alpha w14:val="100000"/>
                    </w14:srgbClr>
                  </w14:solidFill>
                </w14:textFill>
              </w:rPr>
              <w:t xml:space="preserve">　</w:t>
            </w:r>
            <w:r w:rsidR="00921505">
              <w:rPr>
                <w:rFonts w:cstheme="minorHAnsi"/>
                <w:color w:val="000000"/>
                <w:szCs w:val="20"/>
                <w:vertAlign w:val="superscript"/>
              </w:rPr>
              <w:t>4</w:t>
            </w:r>
          </w:p>
        </w:tc>
      </w:tr>
      <w:tr w:rsidR="00B072A7" w:rsidRPr="00B22BCB" w14:paraId="7A95BCA2" w14:textId="77777777" w:rsidTr="00B072A7">
        <w:tc>
          <w:tcPr>
            <w:tcW w:w="1115" w:type="pct"/>
            <w:shd w:val="clear" w:color="auto" w:fill="auto"/>
          </w:tcPr>
          <w:p w14:paraId="0B25481E" w14:textId="4A73424E" w:rsidR="00B072A7" w:rsidRPr="002E7D71" w:rsidRDefault="00B072A7" w:rsidP="00B072A7">
            <w:pPr>
              <w:pStyle w:val="TableText0"/>
              <w:rPr>
                <w:rFonts w:cstheme="minorHAnsi"/>
                <w:szCs w:val="20"/>
              </w:rPr>
            </w:pPr>
            <w:r w:rsidRPr="002E7D71">
              <w:rPr>
                <w:rFonts w:cstheme="minorHAnsi"/>
                <w:szCs w:val="20"/>
              </w:rPr>
              <w:t>Revised</w:t>
            </w:r>
            <w:r w:rsidRPr="00C50391">
              <w:rPr>
                <w:rFonts w:cstheme="minorHAnsi"/>
                <w:szCs w:val="20"/>
                <w:vertAlign w:val="superscript"/>
              </w:rPr>
              <w:t>a</w:t>
            </w:r>
            <w:r>
              <w:rPr>
                <w:rFonts w:cstheme="minorHAnsi"/>
                <w:szCs w:val="20"/>
                <w:vertAlign w:val="superscript"/>
              </w:rPr>
              <w:t>,b</w:t>
            </w:r>
            <w:r w:rsidRPr="002E7D71">
              <w:rPr>
                <w:rFonts w:cstheme="minorHAnsi"/>
                <w:szCs w:val="20"/>
              </w:rPr>
              <w:t xml:space="preserve"> cost to R/PBS</w:t>
            </w:r>
            <w:r>
              <w:rPr>
                <w:rFonts w:cstheme="minorHAnsi"/>
                <w:szCs w:val="20"/>
              </w:rPr>
              <w:t xml:space="preserve"> less copayments</w:t>
            </w:r>
          </w:p>
        </w:tc>
        <w:tc>
          <w:tcPr>
            <w:tcW w:w="647" w:type="pct"/>
            <w:shd w:val="clear" w:color="auto" w:fill="auto"/>
            <w:vAlign w:val="center"/>
          </w:tcPr>
          <w:p w14:paraId="304C6D42" w14:textId="211BEE6C"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38" w:id="-1436312826"/>
                <w14:textFill>
                  <w14:solidFill>
                    <w14:srgbClr w14:val="000000">
                      <w14:alpha w14:val="100000"/>
                    </w14:srgbClr>
                  </w14:solidFill>
                </w14:textFill>
              </w:rPr>
              <w:t xml:space="preserve">　</w:t>
            </w:r>
            <w:r w:rsidR="00341457" w:rsidRPr="00341457">
              <w:rPr>
                <w:color w:val="000000"/>
                <w:w w:val="15"/>
                <w:shd w:val="solid" w:color="000000" w:fill="000000"/>
                <w:fitText w:val="38" w:id="-1436312826"/>
                <w14:textFill>
                  <w14:solidFill>
                    <w14:srgbClr w14:val="000000">
                      <w14:alpha w14:val="100000"/>
                    </w14:srgbClr>
                  </w14:solidFill>
                </w14:textFill>
              </w:rPr>
              <w:t>|</w:t>
            </w:r>
            <w:r w:rsidR="00341457" w:rsidRPr="00341457">
              <w:rPr>
                <w:rFonts w:hint="eastAsia"/>
                <w:color w:val="000000"/>
                <w:spacing w:val="-27"/>
                <w:w w:val="15"/>
                <w:shd w:val="solid" w:color="000000" w:fill="000000"/>
                <w:fitText w:val="38" w:id="-1436312826"/>
                <w14:textFill>
                  <w14:solidFill>
                    <w14:srgbClr w14:val="000000">
                      <w14:alpha w14:val="100000"/>
                    </w14:srgbClr>
                  </w14:solidFill>
                </w14:textFill>
              </w:rPr>
              <w:t xml:space="preserve">　</w:t>
            </w:r>
          </w:p>
        </w:tc>
        <w:tc>
          <w:tcPr>
            <w:tcW w:w="647" w:type="pct"/>
            <w:shd w:val="clear" w:color="auto" w:fill="auto"/>
            <w:vAlign w:val="center"/>
          </w:tcPr>
          <w:p w14:paraId="7F0845F4" w14:textId="497BFB43"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62" w:id="-1436312825"/>
                <w14:textFill>
                  <w14:solidFill>
                    <w14:srgbClr w14:val="000000">
                      <w14:alpha w14:val="100000"/>
                    </w14:srgbClr>
                  </w14:solidFill>
                </w14:textFill>
              </w:rPr>
              <w:t xml:space="preserve">　</w:t>
            </w:r>
            <w:r w:rsidR="00341457" w:rsidRPr="00341457">
              <w:rPr>
                <w:color w:val="000000"/>
                <w:w w:val="15"/>
                <w:shd w:val="solid" w:color="000000" w:fill="000000"/>
                <w:fitText w:val="62" w:id="-1436312825"/>
                <w14:textFill>
                  <w14:solidFill>
                    <w14:srgbClr w14:val="000000">
                      <w14:alpha w14:val="100000"/>
                    </w14:srgbClr>
                  </w14:solidFill>
                </w14:textFill>
              </w:rPr>
              <w:t>|</w:t>
            </w:r>
            <w:r w:rsidR="00341457" w:rsidRPr="00341457">
              <w:rPr>
                <w:rFonts w:hint="eastAsia"/>
                <w:color w:val="000000"/>
                <w:spacing w:val="-12"/>
                <w:w w:val="15"/>
                <w:shd w:val="solid" w:color="000000" w:fill="000000"/>
                <w:fitText w:val="62" w:id="-1436312825"/>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7B709EB1" w14:textId="3BEE7E87"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63" w:id="-1436312824"/>
                <w14:textFill>
                  <w14:solidFill>
                    <w14:srgbClr w14:val="000000">
                      <w14:alpha w14:val="100000"/>
                    </w14:srgbClr>
                  </w14:solidFill>
                </w14:textFill>
              </w:rPr>
              <w:t xml:space="preserve">　</w:t>
            </w:r>
            <w:r w:rsidR="00341457" w:rsidRPr="00341457">
              <w:rPr>
                <w:color w:val="000000"/>
                <w:w w:val="15"/>
                <w:shd w:val="solid" w:color="000000" w:fill="000000"/>
                <w:fitText w:val="63" w:id="-1436312824"/>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4"/>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2A84F2A6" w14:textId="5523A9F6"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63" w:id="-1436312823"/>
                <w14:textFill>
                  <w14:solidFill>
                    <w14:srgbClr w14:val="000000">
                      <w14:alpha w14:val="100000"/>
                    </w14:srgbClr>
                  </w14:solidFill>
                </w14:textFill>
              </w:rPr>
              <w:t xml:space="preserve">　</w:t>
            </w:r>
            <w:r w:rsidR="00341457" w:rsidRPr="00341457">
              <w:rPr>
                <w:color w:val="000000"/>
                <w:w w:val="15"/>
                <w:shd w:val="solid" w:color="000000" w:fill="000000"/>
                <w:fitText w:val="63" w:id="-1436312823"/>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3"/>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495D9801" w14:textId="28840A7B"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63" w:id="-1436312822"/>
                <w14:textFill>
                  <w14:solidFill>
                    <w14:srgbClr w14:val="000000">
                      <w14:alpha w14:val="100000"/>
                    </w14:srgbClr>
                  </w14:solidFill>
                </w14:textFill>
              </w:rPr>
              <w:t xml:space="preserve">　</w:t>
            </w:r>
            <w:r w:rsidR="00341457" w:rsidRPr="00341457">
              <w:rPr>
                <w:color w:val="000000"/>
                <w:w w:val="15"/>
                <w:shd w:val="solid" w:color="000000" w:fill="000000"/>
                <w:fitText w:val="63" w:id="-1436312822"/>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2"/>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50" w:type="pct"/>
            <w:vAlign w:val="center"/>
          </w:tcPr>
          <w:p w14:paraId="269D4611" w14:textId="499AF7B3" w:rsidR="00B072A7" w:rsidRPr="00D21106" w:rsidRDefault="00B072A7" w:rsidP="00B072A7">
            <w:pPr>
              <w:pStyle w:val="TableText0"/>
              <w:jc w:val="center"/>
              <w:rPr>
                <w:rFonts w:cs="Calibri"/>
                <w:color w:val="000000"/>
                <w:szCs w:val="20"/>
                <w:highlight w:val="green"/>
              </w:rPr>
            </w:pPr>
            <w:r w:rsidRPr="00740A9B">
              <w:t>$</w:t>
            </w:r>
            <w:r w:rsidR="00341457" w:rsidRPr="00341457">
              <w:rPr>
                <w:rFonts w:hint="eastAsia"/>
                <w:color w:val="000000"/>
                <w:w w:val="15"/>
                <w:shd w:val="solid" w:color="000000" w:fill="000000"/>
                <w:fitText w:val="63" w:id="-1436312821"/>
                <w14:textFill>
                  <w14:solidFill>
                    <w14:srgbClr w14:val="000000">
                      <w14:alpha w14:val="100000"/>
                    </w14:srgbClr>
                  </w14:solidFill>
                </w14:textFill>
              </w:rPr>
              <w:t xml:space="preserve">　</w:t>
            </w:r>
            <w:r w:rsidR="00341457" w:rsidRPr="00341457">
              <w:rPr>
                <w:color w:val="000000"/>
                <w:w w:val="15"/>
                <w:shd w:val="solid" w:color="000000" w:fill="000000"/>
                <w:fitText w:val="63" w:id="-1436312821"/>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21"/>
                <w14:textFill>
                  <w14:solidFill>
                    <w14:srgbClr w14:val="000000">
                      <w14:alpha w14:val="100000"/>
                    </w14:srgbClr>
                  </w14:solidFill>
                </w14:textFill>
              </w:rPr>
              <w:t xml:space="preserve">　</w:t>
            </w:r>
            <w:r w:rsidR="007E1123">
              <w:rPr>
                <w:rFonts w:cstheme="minorHAnsi"/>
                <w:color w:val="000000"/>
                <w:szCs w:val="20"/>
                <w:vertAlign w:val="superscript"/>
              </w:rPr>
              <w:t>7</w:t>
            </w:r>
          </w:p>
        </w:tc>
      </w:tr>
      <w:tr w:rsidR="00AA58D7" w:rsidRPr="00B22BCB" w14:paraId="44380AFC" w14:textId="77777777" w:rsidTr="005548BB">
        <w:tc>
          <w:tcPr>
            <w:tcW w:w="5000" w:type="pct"/>
            <w:gridSpan w:val="7"/>
            <w:shd w:val="clear" w:color="auto" w:fill="auto"/>
            <w:vAlign w:val="center"/>
          </w:tcPr>
          <w:p w14:paraId="6B66076F" w14:textId="77777777" w:rsidR="00AA58D7" w:rsidRPr="00B22BCB" w:rsidRDefault="00AA58D7" w:rsidP="005548BB">
            <w:pPr>
              <w:pStyle w:val="TableText0"/>
              <w:ind w:left="7920" w:hanging="7920"/>
              <w:rPr>
                <w:b/>
                <w:bCs w:val="0"/>
                <w:szCs w:val="20"/>
              </w:rPr>
            </w:pPr>
            <w:r w:rsidRPr="00B22BCB">
              <w:rPr>
                <w:b/>
                <w:bCs w:val="0"/>
                <w:szCs w:val="20"/>
              </w:rPr>
              <w:t>Estimated financial implications for nilotinib, imatinib, dasatinib and ponatinib</w:t>
            </w:r>
          </w:p>
        </w:tc>
      </w:tr>
      <w:tr w:rsidR="00AA58D7" w:rsidRPr="00B22BCB" w14:paraId="1F8DD760" w14:textId="77777777" w:rsidTr="005548BB">
        <w:tc>
          <w:tcPr>
            <w:tcW w:w="1115" w:type="pct"/>
            <w:shd w:val="clear" w:color="auto" w:fill="auto"/>
            <w:vAlign w:val="center"/>
          </w:tcPr>
          <w:p w14:paraId="350A417C" w14:textId="77777777" w:rsidR="00AA58D7" w:rsidRPr="00B22BCB" w:rsidRDefault="00AA58D7" w:rsidP="005548BB">
            <w:pPr>
              <w:pStyle w:val="TableText0"/>
              <w:rPr>
                <w:szCs w:val="20"/>
              </w:rPr>
            </w:pPr>
            <w:r w:rsidRPr="00B22BCB">
              <w:rPr>
                <w:szCs w:val="20"/>
              </w:rPr>
              <w:t>Cost to PBS/RPBS</w:t>
            </w:r>
          </w:p>
        </w:tc>
        <w:tc>
          <w:tcPr>
            <w:tcW w:w="647" w:type="pct"/>
            <w:shd w:val="clear" w:color="auto" w:fill="auto"/>
            <w:vAlign w:val="center"/>
          </w:tcPr>
          <w:p w14:paraId="657F0703" w14:textId="3A369BAC"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3" w:id="-1436312820"/>
                <w14:textFill>
                  <w14:solidFill>
                    <w14:srgbClr w14:val="000000">
                      <w14:alpha w14:val="100000"/>
                    </w14:srgbClr>
                  </w14:solidFill>
                </w14:textFill>
              </w:rPr>
              <w:t xml:space="preserve">　</w:t>
            </w:r>
            <w:r w:rsidR="00341457" w:rsidRPr="00341457">
              <w:rPr>
                <w:color w:val="000000"/>
                <w:w w:val="15"/>
                <w:szCs w:val="20"/>
                <w:shd w:val="solid" w:color="000000" w:fill="000000"/>
                <w:fitText w:val="63" w:id="-1436312820"/>
                <w14:textFill>
                  <w14:solidFill>
                    <w14:srgbClr w14:val="000000">
                      <w14:alpha w14:val="100000"/>
                    </w14:srgbClr>
                  </w14:solidFill>
                </w14:textFill>
              </w:rPr>
              <w:t>|</w:t>
            </w:r>
            <w:r w:rsidR="00341457" w:rsidRPr="00341457">
              <w:rPr>
                <w:rFonts w:hint="eastAsia"/>
                <w:color w:val="000000"/>
                <w:spacing w:val="-2"/>
                <w:w w:val="15"/>
                <w:szCs w:val="20"/>
                <w:shd w:val="solid" w:color="000000" w:fill="000000"/>
                <w:fitText w:val="63" w:id="-1436312820"/>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553CFD8B" w14:textId="66780062"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2" w:id="-1436312819"/>
                <w14:textFill>
                  <w14:solidFill>
                    <w14:srgbClr w14:val="000000">
                      <w14:alpha w14:val="100000"/>
                    </w14:srgbClr>
                  </w14:solidFill>
                </w14:textFill>
              </w:rPr>
              <w:t xml:space="preserve">　</w:t>
            </w:r>
            <w:r w:rsidR="00341457" w:rsidRPr="00341457">
              <w:rPr>
                <w:color w:val="000000"/>
                <w:w w:val="15"/>
                <w:szCs w:val="20"/>
                <w:shd w:val="solid" w:color="000000" w:fill="000000"/>
                <w:fitText w:val="62" w:id="-1436312819"/>
                <w14:textFill>
                  <w14:solidFill>
                    <w14:srgbClr w14:val="000000">
                      <w14:alpha w14:val="100000"/>
                    </w14:srgbClr>
                  </w14:solidFill>
                </w14:textFill>
              </w:rPr>
              <w:t>|</w:t>
            </w:r>
            <w:r w:rsidR="00341457" w:rsidRPr="00341457">
              <w:rPr>
                <w:rFonts w:hint="eastAsia"/>
                <w:color w:val="000000"/>
                <w:spacing w:val="-12"/>
                <w:w w:val="15"/>
                <w:szCs w:val="20"/>
                <w:shd w:val="solid" w:color="000000" w:fill="000000"/>
                <w:fitText w:val="62" w:id="-1436312819"/>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1FD79637" w14:textId="687A75C1"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3" w:id="-1436312818"/>
                <w14:textFill>
                  <w14:solidFill>
                    <w14:srgbClr w14:val="000000">
                      <w14:alpha w14:val="100000"/>
                    </w14:srgbClr>
                  </w14:solidFill>
                </w14:textFill>
              </w:rPr>
              <w:t xml:space="preserve">　</w:t>
            </w:r>
            <w:r w:rsidR="00341457" w:rsidRPr="00341457">
              <w:rPr>
                <w:color w:val="000000"/>
                <w:w w:val="15"/>
                <w:szCs w:val="20"/>
                <w:shd w:val="solid" w:color="000000" w:fill="000000"/>
                <w:fitText w:val="63" w:id="-1436312818"/>
                <w14:textFill>
                  <w14:solidFill>
                    <w14:srgbClr w14:val="000000">
                      <w14:alpha w14:val="100000"/>
                    </w14:srgbClr>
                  </w14:solidFill>
                </w14:textFill>
              </w:rPr>
              <w:t>|</w:t>
            </w:r>
            <w:r w:rsidR="00341457" w:rsidRPr="00341457">
              <w:rPr>
                <w:rFonts w:hint="eastAsia"/>
                <w:color w:val="000000"/>
                <w:spacing w:val="-2"/>
                <w:w w:val="15"/>
                <w:szCs w:val="20"/>
                <w:shd w:val="solid" w:color="000000" w:fill="000000"/>
                <w:fitText w:val="63" w:id="-1436312818"/>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2CAA71DB" w14:textId="0FBFFEB6"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3" w:id="-1436312817"/>
                <w14:textFill>
                  <w14:solidFill>
                    <w14:srgbClr w14:val="000000">
                      <w14:alpha w14:val="100000"/>
                    </w14:srgbClr>
                  </w14:solidFill>
                </w14:textFill>
              </w:rPr>
              <w:t xml:space="preserve">　</w:t>
            </w:r>
            <w:r w:rsidR="00341457" w:rsidRPr="00341457">
              <w:rPr>
                <w:color w:val="000000"/>
                <w:w w:val="15"/>
                <w:szCs w:val="20"/>
                <w:shd w:val="solid" w:color="000000" w:fill="000000"/>
                <w:fitText w:val="63" w:id="-1436312817"/>
                <w14:textFill>
                  <w14:solidFill>
                    <w14:srgbClr w14:val="000000">
                      <w14:alpha w14:val="100000"/>
                    </w14:srgbClr>
                  </w14:solidFill>
                </w14:textFill>
              </w:rPr>
              <w:t>|</w:t>
            </w:r>
            <w:r w:rsidR="00341457" w:rsidRPr="00341457">
              <w:rPr>
                <w:rFonts w:hint="eastAsia"/>
                <w:color w:val="000000"/>
                <w:spacing w:val="-2"/>
                <w:w w:val="15"/>
                <w:szCs w:val="20"/>
                <w:shd w:val="solid" w:color="000000" w:fill="000000"/>
                <w:fitText w:val="63" w:id="-1436312817"/>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21DEA90A" w14:textId="3A614443"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3" w:id="-1436312816"/>
                <w14:textFill>
                  <w14:solidFill>
                    <w14:srgbClr w14:val="000000">
                      <w14:alpha w14:val="100000"/>
                    </w14:srgbClr>
                  </w14:solidFill>
                </w14:textFill>
              </w:rPr>
              <w:t xml:space="preserve">　</w:t>
            </w:r>
            <w:r w:rsidR="00341457" w:rsidRPr="00341457">
              <w:rPr>
                <w:color w:val="000000"/>
                <w:w w:val="15"/>
                <w:szCs w:val="20"/>
                <w:shd w:val="solid" w:color="000000" w:fill="000000"/>
                <w:fitText w:val="63" w:id="-1436312816"/>
                <w14:textFill>
                  <w14:solidFill>
                    <w14:srgbClr w14:val="000000">
                      <w14:alpha w14:val="100000"/>
                    </w14:srgbClr>
                  </w14:solidFill>
                </w14:textFill>
              </w:rPr>
              <w:t>|</w:t>
            </w:r>
            <w:r w:rsidR="00341457" w:rsidRPr="00341457">
              <w:rPr>
                <w:rFonts w:hint="eastAsia"/>
                <w:color w:val="000000"/>
                <w:spacing w:val="-2"/>
                <w:w w:val="15"/>
                <w:szCs w:val="20"/>
                <w:shd w:val="solid" w:color="000000" w:fill="000000"/>
                <w:fitText w:val="63" w:id="-1436312816"/>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50" w:type="pct"/>
            <w:vAlign w:val="center"/>
          </w:tcPr>
          <w:p w14:paraId="7607AD3C" w14:textId="02D2A13E" w:rsidR="00AA58D7" w:rsidRPr="00C56E33" w:rsidRDefault="00AA58D7" w:rsidP="005548BB">
            <w:pPr>
              <w:pStyle w:val="TableText0"/>
              <w:jc w:val="center"/>
              <w:rPr>
                <w:szCs w:val="20"/>
              </w:rPr>
            </w:pPr>
            <w:r w:rsidRPr="00C56E33">
              <w:rPr>
                <w:color w:val="000000"/>
                <w:szCs w:val="20"/>
              </w:rPr>
              <w:t>$</w:t>
            </w:r>
            <w:r w:rsidR="00341457" w:rsidRPr="00341457">
              <w:rPr>
                <w:rFonts w:hint="eastAsia"/>
                <w:color w:val="000000"/>
                <w:w w:val="15"/>
                <w:szCs w:val="20"/>
                <w:shd w:val="solid" w:color="000000" w:fill="000000"/>
                <w:fitText w:val="63" w:id="-1436312832"/>
                <w14:textFill>
                  <w14:solidFill>
                    <w14:srgbClr w14:val="000000">
                      <w14:alpha w14:val="100000"/>
                    </w14:srgbClr>
                  </w14:solidFill>
                </w14:textFill>
              </w:rPr>
              <w:t xml:space="preserve">　</w:t>
            </w:r>
            <w:r w:rsidR="00341457" w:rsidRPr="00341457">
              <w:rPr>
                <w:color w:val="000000"/>
                <w:w w:val="15"/>
                <w:szCs w:val="20"/>
                <w:shd w:val="solid" w:color="000000" w:fill="000000"/>
                <w:fitText w:val="63" w:id="-1436312832"/>
                <w14:textFill>
                  <w14:solidFill>
                    <w14:srgbClr w14:val="000000">
                      <w14:alpha w14:val="100000"/>
                    </w14:srgbClr>
                  </w14:solidFill>
                </w14:textFill>
              </w:rPr>
              <w:t>|</w:t>
            </w:r>
            <w:r w:rsidR="00341457" w:rsidRPr="00341457">
              <w:rPr>
                <w:rFonts w:hint="eastAsia"/>
                <w:color w:val="000000"/>
                <w:spacing w:val="-2"/>
                <w:w w:val="15"/>
                <w:szCs w:val="20"/>
                <w:shd w:val="solid" w:color="000000" w:fill="000000"/>
                <w:fitText w:val="63" w:id="-1436312832"/>
                <w14:textFill>
                  <w14:solidFill>
                    <w14:srgbClr w14:val="000000">
                      <w14:alpha w14:val="100000"/>
                    </w14:srgbClr>
                  </w14:solidFill>
                </w14:textFill>
              </w:rPr>
              <w:t xml:space="preserve">　</w:t>
            </w:r>
            <w:r w:rsidR="007E1123">
              <w:rPr>
                <w:rFonts w:cstheme="minorHAnsi"/>
                <w:color w:val="000000"/>
                <w:szCs w:val="20"/>
                <w:vertAlign w:val="superscript"/>
              </w:rPr>
              <w:t>5</w:t>
            </w:r>
          </w:p>
        </w:tc>
      </w:tr>
      <w:tr w:rsidR="00AA58D7" w:rsidRPr="00B22BCB" w14:paraId="1ABDE24F" w14:textId="77777777" w:rsidTr="005548BB">
        <w:tc>
          <w:tcPr>
            <w:tcW w:w="1115" w:type="pct"/>
            <w:shd w:val="clear" w:color="auto" w:fill="auto"/>
            <w:vAlign w:val="center"/>
          </w:tcPr>
          <w:p w14:paraId="1F8C4C07" w14:textId="77777777" w:rsidR="00AA58D7" w:rsidRPr="00B22BCB" w:rsidRDefault="00AA58D7" w:rsidP="005548BB">
            <w:pPr>
              <w:pStyle w:val="TableText0"/>
              <w:rPr>
                <w:szCs w:val="20"/>
              </w:rPr>
            </w:pPr>
            <w:r w:rsidRPr="00B22BCB">
              <w:rPr>
                <w:szCs w:val="20"/>
              </w:rPr>
              <w:t>Copayments</w:t>
            </w:r>
          </w:p>
        </w:tc>
        <w:tc>
          <w:tcPr>
            <w:tcW w:w="647" w:type="pct"/>
            <w:shd w:val="clear" w:color="auto" w:fill="auto"/>
            <w:vAlign w:val="center"/>
          </w:tcPr>
          <w:p w14:paraId="644D6D53" w14:textId="49ABF7BA"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3" w:id="-1436312831"/>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3" w:id="-1436312831"/>
                <w14:textFill>
                  <w14:solidFill>
                    <w14:srgbClr w14:val="000000">
                      <w14:alpha w14:val="100000"/>
                    </w14:srgbClr>
                  </w14:solidFill>
                </w14:textFill>
              </w:rPr>
              <w:t>|</w:t>
            </w:r>
            <w:r w:rsidR="00341457" w:rsidRPr="00341457">
              <w:rPr>
                <w:rFonts w:cs="Calibri" w:hint="eastAsia"/>
                <w:color w:val="000000"/>
                <w:spacing w:val="-2"/>
                <w:w w:val="15"/>
                <w:szCs w:val="20"/>
                <w:shd w:val="solid" w:color="000000" w:fill="000000"/>
                <w:fitText w:val="63" w:id="-1436312831"/>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0967FF9E" w14:textId="54DB35F0"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2" w:id="-1436312830"/>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2" w:id="-1436312830"/>
                <w14:textFill>
                  <w14:solidFill>
                    <w14:srgbClr w14:val="000000">
                      <w14:alpha w14:val="100000"/>
                    </w14:srgbClr>
                  </w14:solidFill>
                </w14:textFill>
              </w:rPr>
              <w:t>|</w:t>
            </w:r>
            <w:r w:rsidR="00341457" w:rsidRPr="00341457">
              <w:rPr>
                <w:rFonts w:cs="Calibri" w:hint="eastAsia"/>
                <w:color w:val="000000"/>
                <w:spacing w:val="-12"/>
                <w:w w:val="15"/>
                <w:szCs w:val="20"/>
                <w:shd w:val="solid" w:color="000000" w:fill="000000"/>
                <w:fitText w:val="62" w:id="-1436312830"/>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75C60A8A" w14:textId="539D99BF"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3" w:id="-1436312829"/>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3" w:id="-1436312829"/>
                <w14:textFill>
                  <w14:solidFill>
                    <w14:srgbClr w14:val="000000">
                      <w14:alpha w14:val="100000"/>
                    </w14:srgbClr>
                  </w14:solidFill>
                </w14:textFill>
              </w:rPr>
              <w:t>|</w:t>
            </w:r>
            <w:r w:rsidR="00341457" w:rsidRPr="00341457">
              <w:rPr>
                <w:rFonts w:cs="Calibri" w:hint="eastAsia"/>
                <w:color w:val="000000"/>
                <w:spacing w:val="-2"/>
                <w:w w:val="15"/>
                <w:szCs w:val="20"/>
                <w:shd w:val="solid" w:color="000000" w:fill="000000"/>
                <w:fitText w:val="63" w:id="-1436312829"/>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498F4E89" w14:textId="556D41DA"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3" w:id="-1436312828"/>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3" w:id="-1436312828"/>
                <w14:textFill>
                  <w14:solidFill>
                    <w14:srgbClr w14:val="000000">
                      <w14:alpha w14:val="100000"/>
                    </w14:srgbClr>
                  </w14:solidFill>
                </w14:textFill>
              </w:rPr>
              <w:t>|</w:t>
            </w:r>
            <w:r w:rsidR="00341457" w:rsidRPr="00341457">
              <w:rPr>
                <w:rFonts w:cs="Calibri" w:hint="eastAsia"/>
                <w:color w:val="000000"/>
                <w:spacing w:val="-2"/>
                <w:w w:val="15"/>
                <w:szCs w:val="20"/>
                <w:shd w:val="solid" w:color="000000" w:fill="000000"/>
                <w:fitText w:val="63" w:id="-1436312828"/>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19C4C818" w14:textId="386E37D8"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3" w:id="-1436312827"/>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3" w:id="-1436312827"/>
                <w14:textFill>
                  <w14:solidFill>
                    <w14:srgbClr w14:val="000000">
                      <w14:alpha w14:val="100000"/>
                    </w14:srgbClr>
                  </w14:solidFill>
                </w14:textFill>
              </w:rPr>
              <w:t>|</w:t>
            </w:r>
            <w:r w:rsidR="00341457" w:rsidRPr="00341457">
              <w:rPr>
                <w:rFonts w:cs="Calibri" w:hint="eastAsia"/>
                <w:color w:val="000000"/>
                <w:spacing w:val="-2"/>
                <w:w w:val="15"/>
                <w:szCs w:val="20"/>
                <w:shd w:val="solid" w:color="000000" w:fill="000000"/>
                <w:fitText w:val="63" w:id="-1436312827"/>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50" w:type="pct"/>
            <w:vAlign w:val="center"/>
          </w:tcPr>
          <w:p w14:paraId="2D3D10E5" w14:textId="74244285" w:rsidR="00AA58D7" w:rsidRPr="00C56E33" w:rsidRDefault="00AA58D7" w:rsidP="005548BB">
            <w:pPr>
              <w:pStyle w:val="TableText0"/>
              <w:jc w:val="center"/>
              <w:rPr>
                <w:szCs w:val="20"/>
              </w:rPr>
            </w:pPr>
            <w:r w:rsidRPr="00C56E33">
              <w:rPr>
                <w:rFonts w:cs="Calibri"/>
                <w:color w:val="000000"/>
                <w:szCs w:val="20"/>
              </w:rPr>
              <w:t>$</w:t>
            </w:r>
            <w:r w:rsidR="00341457" w:rsidRPr="00341457">
              <w:rPr>
                <w:rFonts w:cs="Calibri" w:hint="eastAsia"/>
                <w:color w:val="000000"/>
                <w:w w:val="15"/>
                <w:szCs w:val="20"/>
                <w:shd w:val="solid" w:color="000000" w:fill="000000"/>
                <w:fitText w:val="63" w:id="-1436312826"/>
                <w14:textFill>
                  <w14:solidFill>
                    <w14:srgbClr w14:val="000000">
                      <w14:alpha w14:val="100000"/>
                    </w14:srgbClr>
                  </w14:solidFill>
                </w14:textFill>
              </w:rPr>
              <w:t xml:space="preserve">　</w:t>
            </w:r>
            <w:r w:rsidR="00341457" w:rsidRPr="00341457">
              <w:rPr>
                <w:rFonts w:cs="Calibri"/>
                <w:color w:val="000000"/>
                <w:w w:val="15"/>
                <w:szCs w:val="20"/>
                <w:shd w:val="solid" w:color="000000" w:fill="000000"/>
                <w:fitText w:val="63" w:id="-1436312826"/>
                <w14:textFill>
                  <w14:solidFill>
                    <w14:srgbClr w14:val="000000">
                      <w14:alpha w14:val="100000"/>
                    </w14:srgbClr>
                  </w14:solidFill>
                </w14:textFill>
              </w:rPr>
              <w:t>|</w:t>
            </w:r>
            <w:r w:rsidR="00341457" w:rsidRPr="00341457">
              <w:rPr>
                <w:rFonts w:cs="Calibri" w:hint="eastAsia"/>
                <w:color w:val="000000"/>
                <w:spacing w:val="-2"/>
                <w:w w:val="15"/>
                <w:szCs w:val="20"/>
                <w:shd w:val="solid" w:color="000000" w:fill="000000"/>
                <w:fitText w:val="63" w:id="-1436312826"/>
                <w14:textFill>
                  <w14:solidFill>
                    <w14:srgbClr w14:val="000000">
                      <w14:alpha w14:val="100000"/>
                    </w14:srgbClr>
                  </w14:solidFill>
                </w14:textFill>
              </w:rPr>
              <w:t xml:space="preserve">　</w:t>
            </w:r>
            <w:r w:rsidR="00921505">
              <w:rPr>
                <w:rFonts w:cstheme="minorHAnsi"/>
                <w:color w:val="000000"/>
                <w:szCs w:val="20"/>
                <w:vertAlign w:val="superscript"/>
              </w:rPr>
              <w:t>4</w:t>
            </w:r>
          </w:p>
        </w:tc>
      </w:tr>
      <w:tr w:rsidR="00AA58D7" w:rsidRPr="00B22BCB" w14:paraId="45C62C64" w14:textId="77777777" w:rsidTr="005548BB">
        <w:tc>
          <w:tcPr>
            <w:tcW w:w="1115" w:type="pct"/>
            <w:shd w:val="clear" w:color="auto" w:fill="auto"/>
            <w:vAlign w:val="center"/>
          </w:tcPr>
          <w:p w14:paraId="019F9E42" w14:textId="77777777" w:rsidR="00AA58D7" w:rsidRPr="00B22BCB" w:rsidRDefault="00AA58D7" w:rsidP="005548BB">
            <w:pPr>
              <w:pStyle w:val="TableText0"/>
              <w:rPr>
                <w:szCs w:val="20"/>
              </w:rPr>
            </w:pPr>
            <w:r w:rsidRPr="00B22BCB">
              <w:rPr>
                <w:szCs w:val="20"/>
              </w:rPr>
              <w:t>Cost to PBS/RPBS less copayments</w:t>
            </w:r>
          </w:p>
        </w:tc>
        <w:tc>
          <w:tcPr>
            <w:tcW w:w="647" w:type="pct"/>
            <w:shd w:val="clear" w:color="auto" w:fill="auto"/>
            <w:vAlign w:val="center"/>
          </w:tcPr>
          <w:p w14:paraId="63870E3C" w14:textId="6848FB34"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3" w:id="-1436312825"/>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3" w:id="-1436312825"/>
                <w14:textFill>
                  <w14:solidFill>
                    <w14:srgbClr w14:val="000000">
                      <w14:alpha w14:val="100000"/>
                    </w14:srgbClr>
                  </w14:solidFill>
                </w14:textFill>
              </w:rPr>
              <w:t>|</w:t>
            </w:r>
            <w:r w:rsidR="00341457" w:rsidRPr="00341457">
              <w:rPr>
                <w:rFonts w:cstheme="minorHAnsi" w:hint="eastAsia"/>
                <w:color w:val="000000"/>
                <w:spacing w:val="-2"/>
                <w:w w:val="15"/>
                <w:szCs w:val="20"/>
                <w:shd w:val="solid" w:color="000000" w:fill="000000"/>
                <w:fitText w:val="63" w:id="-1436312825"/>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4F39FFD8" w14:textId="16E426E8"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2" w:id="-1436312824"/>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2" w:id="-1436312824"/>
                <w14:textFill>
                  <w14:solidFill>
                    <w14:srgbClr w14:val="000000">
                      <w14:alpha w14:val="100000"/>
                    </w14:srgbClr>
                  </w14:solidFill>
                </w14:textFill>
              </w:rPr>
              <w:t>|</w:t>
            </w:r>
            <w:r w:rsidR="00341457" w:rsidRPr="00341457">
              <w:rPr>
                <w:rFonts w:cstheme="minorHAnsi" w:hint="eastAsia"/>
                <w:color w:val="000000"/>
                <w:spacing w:val="-12"/>
                <w:w w:val="15"/>
                <w:szCs w:val="20"/>
                <w:shd w:val="solid" w:color="000000" w:fill="000000"/>
                <w:fitText w:val="62" w:id="-1436312824"/>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7F18E3EC" w14:textId="023B9BB5"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3" w:id="-1436312823"/>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3" w:id="-1436312823"/>
                <w14:textFill>
                  <w14:solidFill>
                    <w14:srgbClr w14:val="000000">
                      <w14:alpha w14:val="100000"/>
                    </w14:srgbClr>
                  </w14:solidFill>
                </w14:textFill>
              </w:rPr>
              <w:t>|</w:t>
            </w:r>
            <w:r w:rsidR="00341457" w:rsidRPr="00341457">
              <w:rPr>
                <w:rFonts w:cstheme="minorHAnsi" w:hint="eastAsia"/>
                <w:color w:val="000000"/>
                <w:spacing w:val="-2"/>
                <w:w w:val="15"/>
                <w:szCs w:val="20"/>
                <w:shd w:val="solid" w:color="000000" w:fill="000000"/>
                <w:fitText w:val="63" w:id="-1436312823"/>
                <w14:textFill>
                  <w14:solidFill>
                    <w14:srgbClr w14:val="000000">
                      <w14:alpha w14:val="100000"/>
                    </w14:srgbClr>
                  </w14:solidFill>
                </w14:textFill>
              </w:rPr>
              <w:t xml:space="preserve">　</w:t>
            </w:r>
            <w:r w:rsidR="00921505">
              <w:rPr>
                <w:rFonts w:cstheme="minorHAnsi"/>
                <w:color w:val="000000"/>
                <w:szCs w:val="20"/>
                <w:vertAlign w:val="superscript"/>
              </w:rPr>
              <w:t>3</w:t>
            </w:r>
          </w:p>
        </w:tc>
        <w:tc>
          <w:tcPr>
            <w:tcW w:w="647" w:type="pct"/>
            <w:shd w:val="clear" w:color="auto" w:fill="auto"/>
            <w:vAlign w:val="center"/>
          </w:tcPr>
          <w:p w14:paraId="78ECC87F" w14:textId="0F3E109B"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3" w:id="-1436312822"/>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3" w:id="-1436312822"/>
                <w14:textFill>
                  <w14:solidFill>
                    <w14:srgbClr w14:val="000000">
                      <w14:alpha w14:val="100000"/>
                    </w14:srgbClr>
                  </w14:solidFill>
                </w14:textFill>
              </w:rPr>
              <w:t>|</w:t>
            </w:r>
            <w:r w:rsidR="00341457" w:rsidRPr="00341457">
              <w:rPr>
                <w:rFonts w:cstheme="minorHAnsi" w:hint="eastAsia"/>
                <w:color w:val="000000"/>
                <w:spacing w:val="-2"/>
                <w:w w:val="15"/>
                <w:szCs w:val="20"/>
                <w:shd w:val="solid" w:color="000000" w:fill="000000"/>
                <w:fitText w:val="63" w:id="-1436312822"/>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47" w:type="pct"/>
            <w:shd w:val="clear" w:color="auto" w:fill="auto"/>
            <w:vAlign w:val="center"/>
          </w:tcPr>
          <w:p w14:paraId="2ED4A267" w14:textId="00272197"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3" w:id="-1436312821"/>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3" w:id="-1436312821"/>
                <w14:textFill>
                  <w14:solidFill>
                    <w14:srgbClr w14:val="000000">
                      <w14:alpha w14:val="100000"/>
                    </w14:srgbClr>
                  </w14:solidFill>
                </w14:textFill>
              </w:rPr>
              <w:t>|</w:t>
            </w:r>
            <w:r w:rsidR="00341457" w:rsidRPr="00341457">
              <w:rPr>
                <w:rFonts w:cstheme="minorHAnsi" w:hint="eastAsia"/>
                <w:color w:val="000000"/>
                <w:spacing w:val="-2"/>
                <w:w w:val="15"/>
                <w:szCs w:val="20"/>
                <w:shd w:val="solid" w:color="000000" w:fill="000000"/>
                <w:fitText w:val="63" w:id="-1436312821"/>
                <w14:textFill>
                  <w14:solidFill>
                    <w14:srgbClr w14:val="000000">
                      <w14:alpha w14:val="100000"/>
                    </w14:srgbClr>
                  </w14:solidFill>
                </w14:textFill>
              </w:rPr>
              <w:t xml:space="preserve">　</w:t>
            </w:r>
            <w:r w:rsidR="007E1123">
              <w:rPr>
                <w:rFonts w:cstheme="minorHAnsi"/>
                <w:color w:val="000000"/>
                <w:szCs w:val="20"/>
                <w:vertAlign w:val="superscript"/>
              </w:rPr>
              <w:t>5</w:t>
            </w:r>
          </w:p>
        </w:tc>
        <w:tc>
          <w:tcPr>
            <w:tcW w:w="650" w:type="pct"/>
            <w:vAlign w:val="center"/>
          </w:tcPr>
          <w:p w14:paraId="2E672369" w14:textId="204BAADC" w:rsidR="00AA58D7" w:rsidRPr="00C56E33" w:rsidRDefault="00AA58D7" w:rsidP="005548BB">
            <w:pPr>
              <w:pStyle w:val="TableText0"/>
              <w:jc w:val="center"/>
              <w:rPr>
                <w:szCs w:val="20"/>
              </w:rPr>
            </w:pPr>
            <w:r w:rsidRPr="00C56E33">
              <w:rPr>
                <w:rFonts w:cstheme="minorHAnsi"/>
                <w:color w:val="000000"/>
                <w:szCs w:val="20"/>
              </w:rPr>
              <w:t>$</w:t>
            </w:r>
            <w:r w:rsidR="00341457" w:rsidRPr="00341457">
              <w:rPr>
                <w:rFonts w:cstheme="minorHAnsi" w:hint="eastAsia"/>
                <w:color w:val="000000"/>
                <w:w w:val="15"/>
                <w:szCs w:val="20"/>
                <w:shd w:val="solid" w:color="000000" w:fill="000000"/>
                <w:fitText w:val="63" w:id="-1436312820"/>
                <w14:textFill>
                  <w14:solidFill>
                    <w14:srgbClr w14:val="000000">
                      <w14:alpha w14:val="100000"/>
                    </w14:srgbClr>
                  </w14:solidFill>
                </w14:textFill>
              </w:rPr>
              <w:t xml:space="preserve">　</w:t>
            </w:r>
            <w:r w:rsidR="00341457" w:rsidRPr="00341457">
              <w:rPr>
                <w:rFonts w:cstheme="minorHAnsi"/>
                <w:color w:val="000000"/>
                <w:w w:val="15"/>
                <w:szCs w:val="20"/>
                <w:shd w:val="solid" w:color="000000" w:fill="000000"/>
                <w:fitText w:val="63" w:id="-1436312820"/>
                <w14:textFill>
                  <w14:solidFill>
                    <w14:srgbClr w14:val="000000">
                      <w14:alpha w14:val="100000"/>
                    </w14:srgbClr>
                  </w14:solidFill>
                </w14:textFill>
              </w:rPr>
              <w:t>|</w:t>
            </w:r>
            <w:r w:rsidR="00341457" w:rsidRPr="00341457">
              <w:rPr>
                <w:rFonts w:cstheme="minorHAnsi" w:hint="eastAsia"/>
                <w:color w:val="000000"/>
                <w:spacing w:val="-2"/>
                <w:w w:val="15"/>
                <w:szCs w:val="20"/>
                <w:shd w:val="solid" w:color="000000" w:fill="000000"/>
                <w:fitText w:val="63" w:id="-1436312820"/>
                <w14:textFill>
                  <w14:solidFill>
                    <w14:srgbClr w14:val="000000">
                      <w14:alpha w14:val="100000"/>
                    </w14:srgbClr>
                  </w14:solidFill>
                </w14:textFill>
              </w:rPr>
              <w:t xml:space="preserve">　</w:t>
            </w:r>
            <w:r w:rsidR="007E1123">
              <w:rPr>
                <w:rFonts w:cstheme="minorHAnsi"/>
                <w:color w:val="000000"/>
                <w:szCs w:val="20"/>
                <w:vertAlign w:val="superscript"/>
              </w:rPr>
              <w:t>5</w:t>
            </w:r>
          </w:p>
        </w:tc>
      </w:tr>
      <w:tr w:rsidR="00AA58D7" w:rsidRPr="00B22BCB" w14:paraId="7FBB1C4B" w14:textId="77777777" w:rsidTr="005548BB">
        <w:tc>
          <w:tcPr>
            <w:tcW w:w="5000" w:type="pct"/>
            <w:gridSpan w:val="7"/>
            <w:shd w:val="clear" w:color="auto" w:fill="auto"/>
            <w:vAlign w:val="center"/>
          </w:tcPr>
          <w:p w14:paraId="5EA1C979" w14:textId="77777777" w:rsidR="00AA58D7" w:rsidRPr="00B22BCB" w:rsidRDefault="00AA58D7" w:rsidP="005548BB">
            <w:pPr>
              <w:pStyle w:val="In-tableHeading"/>
              <w:rPr>
                <w:szCs w:val="20"/>
                <w:lang w:val="en-AU"/>
              </w:rPr>
            </w:pPr>
            <w:r w:rsidRPr="00B22BCB">
              <w:rPr>
                <w:szCs w:val="20"/>
                <w:lang w:val="en-AU"/>
              </w:rPr>
              <w:t>Net financial implications (effective price)</w:t>
            </w:r>
          </w:p>
        </w:tc>
      </w:tr>
      <w:tr w:rsidR="00A201FA" w:rsidRPr="00B22BCB" w14:paraId="4815D4D5" w14:textId="77777777" w:rsidTr="00A201FA">
        <w:tc>
          <w:tcPr>
            <w:tcW w:w="1115" w:type="pct"/>
            <w:shd w:val="clear" w:color="auto" w:fill="auto"/>
            <w:vAlign w:val="center"/>
          </w:tcPr>
          <w:p w14:paraId="7EDCF223" w14:textId="763F0EFA" w:rsidR="00A201FA" w:rsidRPr="002E7D71" w:rsidRDefault="00A201FA" w:rsidP="00A201FA">
            <w:pPr>
              <w:pStyle w:val="TableText0"/>
              <w:rPr>
                <w:rFonts w:cs="Calibri"/>
                <w:color w:val="000000"/>
                <w:szCs w:val="20"/>
              </w:rPr>
            </w:pPr>
            <w:r w:rsidRPr="002E7D71">
              <w:rPr>
                <w:rFonts w:cs="Calibri"/>
                <w:color w:val="000000"/>
                <w:szCs w:val="20"/>
              </w:rPr>
              <w:t>Revised</w:t>
            </w:r>
            <w:r w:rsidRPr="00C50391">
              <w:rPr>
                <w:rFonts w:cs="Calibri"/>
                <w:color w:val="000000"/>
                <w:szCs w:val="20"/>
                <w:vertAlign w:val="superscript"/>
              </w:rPr>
              <w:t>a</w:t>
            </w:r>
            <w:r w:rsidR="00C56E33">
              <w:rPr>
                <w:rFonts w:cs="Calibri"/>
                <w:color w:val="000000"/>
                <w:szCs w:val="20"/>
                <w:vertAlign w:val="superscript"/>
              </w:rPr>
              <w:t>,b</w:t>
            </w:r>
            <w:r w:rsidRPr="002E7D71">
              <w:rPr>
                <w:rFonts w:cs="Calibri"/>
                <w:color w:val="000000"/>
                <w:szCs w:val="20"/>
              </w:rPr>
              <w:t xml:space="preserve"> net effective cost to R/PBS</w:t>
            </w:r>
            <w:r>
              <w:rPr>
                <w:rFonts w:cs="Calibri"/>
                <w:color w:val="000000"/>
                <w:szCs w:val="20"/>
              </w:rPr>
              <w:t xml:space="preserve"> no C5.7</w:t>
            </w:r>
            <w:r w:rsidRPr="00317851">
              <w:rPr>
                <w:rFonts w:cs="Calibri"/>
                <w:color w:val="000000"/>
                <w:szCs w:val="20"/>
                <w:vertAlign w:val="superscript"/>
              </w:rPr>
              <w:t>b</w:t>
            </w:r>
          </w:p>
        </w:tc>
        <w:tc>
          <w:tcPr>
            <w:tcW w:w="647" w:type="pct"/>
            <w:shd w:val="clear" w:color="auto" w:fill="auto"/>
            <w:vAlign w:val="center"/>
          </w:tcPr>
          <w:p w14:paraId="7D422D69" w14:textId="507B10C8" w:rsidR="00A201FA" w:rsidRPr="002E7D71" w:rsidRDefault="00A201FA" w:rsidP="00A201FA">
            <w:pPr>
              <w:pStyle w:val="TableText0"/>
              <w:jc w:val="center"/>
              <w:rPr>
                <w:rFonts w:cs="Calibri"/>
                <w:color w:val="000000"/>
                <w:szCs w:val="20"/>
              </w:rPr>
            </w:pPr>
            <w:r w:rsidRPr="00774579">
              <w:t>$</w:t>
            </w:r>
            <w:r w:rsidR="00341457" w:rsidRPr="00341457">
              <w:rPr>
                <w:rFonts w:hint="eastAsia"/>
                <w:color w:val="000000"/>
                <w:w w:val="15"/>
                <w:shd w:val="solid" w:color="000000" w:fill="000000"/>
                <w:fitText w:val="63" w:id="-1436312819"/>
                <w14:textFill>
                  <w14:solidFill>
                    <w14:srgbClr w14:val="000000">
                      <w14:alpha w14:val="100000"/>
                    </w14:srgbClr>
                  </w14:solidFill>
                </w14:textFill>
              </w:rPr>
              <w:t xml:space="preserve">　</w:t>
            </w:r>
            <w:r w:rsidR="00341457" w:rsidRPr="00341457">
              <w:rPr>
                <w:color w:val="000000"/>
                <w:w w:val="15"/>
                <w:shd w:val="solid" w:color="000000" w:fill="000000"/>
                <w:fitText w:val="63" w:id="-1436312819"/>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19"/>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6ED5095B" w14:textId="7D9C7DF3" w:rsidR="00A201FA" w:rsidRPr="002E7D71" w:rsidRDefault="00A201FA" w:rsidP="00A201FA">
            <w:pPr>
              <w:pStyle w:val="TableText0"/>
              <w:jc w:val="center"/>
              <w:rPr>
                <w:rFonts w:cs="Calibri"/>
                <w:color w:val="000000"/>
                <w:szCs w:val="20"/>
              </w:rPr>
            </w:pPr>
            <w:r w:rsidRPr="00774579">
              <w:t>$</w:t>
            </w:r>
            <w:r w:rsidR="00341457" w:rsidRPr="00341457">
              <w:rPr>
                <w:rFonts w:hint="eastAsia"/>
                <w:color w:val="000000"/>
                <w:w w:val="15"/>
                <w:shd w:val="solid" w:color="000000" w:fill="000000"/>
                <w:fitText w:val="62" w:id="-1436312818"/>
                <w14:textFill>
                  <w14:solidFill>
                    <w14:srgbClr w14:val="000000">
                      <w14:alpha w14:val="100000"/>
                    </w14:srgbClr>
                  </w14:solidFill>
                </w14:textFill>
              </w:rPr>
              <w:t xml:space="preserve">　</w:t>
            </w:r>
            <w:r w:rsidR="00341457" w:rsidRPr="00341457">
              <w:rPr>
                <w:color w:val="000000"/>
                <w:w w:val="15"/>
                <w:shd w:val="solid" w:color="000000" w:fill="000000"/>
                <w:fitText w:val="62" w:id="-1436312818"/>
                <w14:textFill>
                  <w14:solidFill>
                    <w14:srgbClr w14:val="000000">
                      <w14:alpha w14:val="100000"/>
                    </w14:srgbClr>
                  </w14:solidFill>
                </w14:textFill>
              </w:rPr>
              <w:t>|</w:t>
            </w:r>
            <w:r w:rsidR="00341457" w:rsidRPr="00341457">
              <w:rPr>
                <w:rFonts w:hint="eastAsia"/>
                <w:color w:val="000000"/>
                <w:spacing w:val="-12"/>
                <w:w w:val="15"/>
                <w:shd w:val="solid" w:color="000000" w:fill="000000"/>
                <w:fitText w:val="62" w:id="-1436312818"/>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7DD4DDC4" w14:textId="76085EB7" w:rsidR="00A201FA" w:rsidRPr="002E7D71" w:rsidRDefault="00A201FA" w:rsidP="00A201FA">
            <w:pPr>
              <w:pStyle w:val="TableText0"/>
              <w:jc w:val="center"/>
              <w:rPr>
                <w:rFonts w:cs="Calibri"/>
                <w:color w:val="000000"/>
                <w:szCs w:val="20"/>
              </w:rPr>
            </w:pPr>
            <w:r w:rsidRPr="00774579">
              <w:t>$</w:t>
            </w:r>
            <w:r w:rsidR="00341457" w:rsidRPr="00341457">
              <w:rPr>
                <w:color w:val="000000"/>
                <w:spacing w:val="200"/>
                <w:shd w:val="solid" w:color="000000" w:fill="000000"/>
                <w:fitText w:val="276" w:id="-1436312816"/>
                <w14:textFill>
                  <w14:solidFill>
                    <w14:srgbClr w14:val="000000">
                      <w14:alpha w14:val="100000"/>
                    </w14:srgbClr>
                  </w14:solidFill>
                </w14:textFill>
              </w:rPr>
              <w:t>|</w:t>
            </w:r>
            <w:r w:rsidR="00341457" w:rsidRPr="00341457">
              <w:rPr>
                <w:color w:val="000000"/>
                <w:shd w:val="solid" w:color="000000" w:fill="000000"/>
                <w:fitText w:val="276" w:id="-1436312816"/>
                <w14:textFill>
                  <w14:solidFill>
                    <w14:srgbClr w14:val="000000">
                      <w14:alpha w14:val="100000"/>
                    </w14:srgbClr>
                  </w14:solidFill>
                </w14:textFill>
              </w:rPr>
              <w:t>|</w:t>
            </w:r>
            <w:r w:rsidR="00921505">
              <w:rPr>
                <w:rFonts w:cstheme="minorHAnsi"/>
                <w:color w:val="000000"/>
                <w:szCs w:val="20"/>
                <w:vertAlign w:val="superscript"/>
              </w:rPr>
              <w:t>4</w:t>
            </w:r>
          </w:p>
        </w:tc>
        <w:tc>
          <w:tcPr>
            <w:tcW w:w="647" w:type="pct"/>
            <w:shd w:val="clear" w:color="auto" w:fill="auto"/>
            <w:vAlign w:val="center"/>
          </w:tcPr>
          <w:p w14:paraId="6A4CB631" w14:textId="67DDFF87" w:rsidR="00A201FA" w:rsidRPr="002E7D71" w:rsidRDefault="00A201FA" w:rsidP="00A201FA">
            <w:pPr>
              <w:pStyle w:val="TableText0"/>
              <w:jc w:val="center"/>
              <w:rPr>
                <w:rFonts w:cs="Calibri"/>
                <w:color w:val="000000"/>
                <w:szCs w:val="20"/>
              </w:rPr>
            </w:pPr>
            <w:r w:rsidRPr="00774579">
              <w:t>$</w:t>
            </w:r>
            <w:r w:rsidR="00341457" w:rsidRPr="00341457">
              <w:rPr>
                <w:rFonts w:hint="eastAsia"/>
                <w:color w:val="000000"/>
                <w:w w:val="15"/>
                <w:shd w:val="solid" w:color="000000" w:fill="000000"/>
                <w:fitText w:val="63" w:id="-1436312832"/>
                <w14:textFill>
                  <w14:solidFill>
                    <w14:srgbClr w14:val="000000">
                      <w14:alpha w14:val="100000"/>
                    </w14:srgbClr>
                  </w14:solidFill>
                </w14:textFill>
              </w:rPr>
              <w:t xml:space="preserve">　</w:t>
            </w:r>
            <w:r w:rsidR="00341457" w:rsidRPr="00341457">
              <w:rPr>
                <w:color w:val="000000"/>
                <w:w w:val="15"/>
                <w:shd w:val="solid" w:color="000000" w:fill="000000"/>
                <w:fitText w:val="63" w:id="-1436312832"/>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32"/>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47" w:type="pct"/>
            <w:shd w:val="clear" w:color="auto" w:fill="auto"/>
            <w:vAlign w:val="center"/>
          </w:tcPr>
          <w:p w14:paraId="1BF657BC" w14:textId="585F5301" w:rsidR="00A201FA" w:rsidRPr="002E7D71" w:rsidRDefault="00A201FA" w:rsidP="00A201FA">
            <w:pPr>
              <w:pStyle w:val="TableText0"/>
              <w:jc w:val="center"/>
              <w:rPr>
                <w:rFonts w:cs="Calibri"/>
                <w:color w:val="000000"/>
                <w:szCs w:val="20"/>
              </w:rPr>
            </w:pPr>
            <w:r w:rsidRPr="00774579">
              <w:t>$</w:t>
            </w:r>
            <w:r w:rsidR="00341457" w:rsidRPr="00341457">
              <w:rPr>
                <w:rFonts w:hint="eastAsia"/>
                <w:color w:val="000000"/>
                <w:w w:val="15"/>
                <w:shd w:val="solid" w:color="000000" w:fill="000000"/>
                <w:fitText w:val="63" w:id="-1436312831"/>
                <w14:textFill>
                  <w14:solidFill>
                    <w14:srgbClr w14:val="000000">
                      <w14:alpha w14:val="100000"/>
                    </w14:srgbClr>
                  </w14:solidFill>
                </w14:textFill>
              </w:rPr>
              <w:t xml:space="preserve">　</w:t>
            </w:r>
            <w:r w:rsidR="00341457" w:rsidRPr="00341457">
              <w:rPr>
                <w:color w:val="000000"/>
                <w:w w:val="15"/>
                <w:shd w:val="solid" w:color="000000" w:fill="000000"/>
                <w:fitText w:val="63" w:id="-1436312831"/>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31"/>
                <w14:textFill>
                  <w14:solidFill>
                    <w14:srgbClr w14:val="000000">
                      <w14:alpha w14:val="100000"/>
                    </w14:srgbClr>
                  </w14:solidFill>
                </w14:textFill>
              </w:rPr>
              <w:t xml:space="preserve">　</w:t>
            </w:r>
            <w:r w:rsidR="00921505">
              <w:rPr>
                <w:rFonts w:cstheme="minorHAnsi"/>
                <w:color w:val="000000"/>
                <w:szCs w:val="20"/>
                <w:vertAlign w:val="superscript"/>
              </w:rPr>
              <w:t>4</w:t>
            </w:r>
          </w:p>
        </w:tc>
        <w:tc>
          <w:tcPr>
            <w:tcW w:w="650" w:type="pct"/>
            <w:vAlign w:val="center"/>
          </w:tcPr>
          <w:p w14:paraId="54908A48" w14:textId="5B505598" w:rsidR="00A201FA" w:rsidRPr="002E7D71" w:rsidRDefault="00A201FA" w:rsidP="00A201FA">
            <w:pPr>
              <w:pStyle w:val="TableText0"/>
              <w:jc w:val="center"/>
              <w:rPr>
                <w:rFonts w:cs="Calibri"/>
                <w:color w:val="000000"/>
                <w:szCs w:val="20"/>
              </w:rPr>
            </w:pPr>
            <w:r w:rsidRPr="00774579">
              <w:t>$</w:t>
            </w:r>
            <w:r w:rsidR="00341457" w:rsidRPr="00341457">
              <w:rPr>
                <w:rFonts w:hint="eastAsia"/>
                <w:color w:val="000000"/>
                <w:w w:val="15"/>
                <w:shd w:val="solid" w:color="000000" w:fill="000000"/>
                <w:fitText w:val="63" w:id="-1436312830"/>
                <w14:textFill>
                  <w14:solidFill>
                    <w14:srgbClr w14:val="000000">
                      <w14:alpha w14:val="100000"/>
                    </w14:srgbClr>
                  </w14:solidFill>
                </w14:textFill>
              </w:rPr>
              <w:t xml:space="preserve">　</w:t>
            </w:r>
            <w:r w:rsidR="00341457" w:rsidRPr="00341457">
              <w:rPr>
                <w:color w:val="000000"/>
                <w:w w:val="15"/>
                <w:shd w:val="solid" w:color="000000" w:fill="000000"/>
                <w:fitText w:val="63" w:id="-1436312830"/>
                <w14:textFill>
                  <w14:solidFill>
                    <w14:srgbClr w14:val="000000">
                      <w14:alpha w14:val="100000"/>
                    </w14:srgbClr>
                  </w14:solidFill>
                </w14:textFill>
              </w:rPr>
              <w:t>|</w:t>
            </w:r>
            <w:r w:rsidR="00341457" w:rsidRPr="00341457">
              <w:rPr>
                <w:rFonts w:hint="eastAsia"/>
                <w:color w:val="000000"/>
                <w:spacing w:val="-2"/>
                <w:w w:val="15"/>
                <w:shd w:val="solid" w:color="000000" w:fill="000000"/>
                <w:fitText w:val="63" w:id="-1436312830"/>
                <w14:textFill>
                  <w14:solidFill>
                    <w14:srgbClr w14:val="000000">
                      <w14:alpha w14:val="100000"/>
                    </w14:srgbClr>
                  </w14:solidFill>
                </w14:textFill>
              </w:rPr>
              <w:t xml:space="preserve">　</w:t>
            </w:r>
            <w:r w:rsidR="00921505">
              <w:rPr>
                <w:rFonts w:cstheme="minorHAnsi"/>
                <w:color w:val="000000"/>
                <w:szCs w:val="20"/>
                <w:vertAlign w:val="superscript"/>
              </w:rPr>
              <w:t>4</w:t>
            </w:r>
          </w:p>
        </w:tc>
      </w:tr>
    </w:tbl>
    <w:p w14:paraId="6B0CDD7B" w14:textId="77777777" w:rsidR="00AA58D7" w:rsidRPr="00B22BCB" w:rsidRDefault="00AA58D7" w:rsidP="00AA58D7">
      <w:pPr>
        <w:pStyle w:val="TableFigureFooter"/>
        <w:rPr>
          <w:rStyle w:val="CommentReference"/>
        </w:rPr>
      </w:pPr>
      <w:r w:rsidRPr="00B22BCB">
        <w:t xml:space="preserve">Source: Table 4.2-3, p 205; Table 4.2-6, p 207; </w:t>
      </w:r>
      <w:r w:rsidRPr="00B22BCB">
        <w:rPr>
          <w:color w:val="000000" w:themeColor="text1"/>
        </w:rPr>
        <w:t xml:space="preserve">Table 4.3-4, p 209; </w:t>
      </w:r>
      <w:r w:rsidRPr="00B22BCB">
        <w:t>of the submission.</w:t>
      </w:r>
      <w:r w:rsidRPr="00B22BCB">
        <w:rPr>
          <w:color w:val="000000" w:themeColor="text1"/>
        </w:rPr>
        <w:t xml:space="preserve"> </w:t>
      </w:r>
    </w:p>
    <w:p w14:paraId="6799AB12" w14:textId="1D72EDDA" w:rsidR="00AA58D7" w:rsidRDefault="00AA58D7" w:rsidP="00AA58D7">
      <w:pPr>
        <w:pStyle w:val="TableFigureFooter"/>
      </w:pPr>
      <w:r w:rsidRPr="00B22BCB">
        <w:t>asciminib = asciminib; pop. = population; GF = grandfathered.</w:t>
      </w:r>
    </w:p>
    <w:p w14:paraId="5D1B7A71" w14:textId="167C24A0" w:rsidR="00C50391" w:rsidRDefault="00C50391" w:rsidP="00AA58D7">
      <w:pPr>
        <w:pStyle w:val="TableFigureFooter"/>
        <w:rPr>
          <w:rFonts w:cstheme="minorHAnsi"/>
          <w:szCs w:val="20"/>
        </w:rPr>
      </w:pPr>
      <w:r w:rsidRPr="00C50391">
        <w:rPr>
          <w:rFonts w:cstheme="minorHAnsi"/>
          <w:szCs w:val="20"/>
          <w:vertAlign w:val="superscript"/>
        </w:rPr>
        <w:t>a</w:t>
      </w:r>
      <w:r>
        <w:rPr>
          <w:rFonts w:cstheme="minorHAnsi"/>
          <w:szCs w:val="20"/>
        </w:rPr>
        <w:t xml:space="preserve"> </w:t>
      </w:r>
      <w:r w:rsidR="00317851">
        <w:rPr>
          <w:rFonts w:cstheme="minorHAnsi"/>
          <w:szCs w:val="20"/>
        </w:rPr>
        <w:t>Re-calculated using r</w:t>
      </w:r>
      <w:r w:rsidRPr="002E7D71">
        <w:rPr>
          <w:rFonts w:cstheme="minorHAnsi"/>
          <w:szCs w:val="20"/>
        </w:rPr>
        <w:t>evised EMP</w:t>
      </w:r>
      <w:r w:rsidR="00317851">
        <w:rPr>
          <w:rFonts w:cstheme="minorHAnsi"/>
          <w:szCs w:val="20"/>
        </w:rPr>
        <w:t xml:space="preserve"> for asciminib</w:t>
      </w:r>
      <w:r w:rsidRPr="002E7D71">
        <w:rPr>
          <w:rFonts w:cstheme="minorHAnsi"/>
          <w:szCs w:val="20"/>
        </w:rPr>
        <w:t xml:space="preserve"> based on revised equi-effective doses</w:t>
      </w:r>
      <w:r>
        <w:rPr>
          <w:rFonts w:cstheme="minorHAnsi"/>
          <w:szCs w:val="20"/>
        </w:rPr>
        <w:t xml:space="preserve"> in the economic analysis.</w:t>
      </w:r>
    </w:p>
    <w:p w14:paraId="3395C460" w14:textId="33E0E57A" w:rsidR="00317851" w:rsidRDefault="00317851" w:rsidP="007E1123">
      <w:pPr>
        <w:pStyle w:val="TableFigureFooter"/>
        <w:spacing w:after="0"/>
        <w:rPr>
          <w:rFonts w:cstheme="minorHAnsi"/>
          <w:szCs w:val="20"/>
        </w:rPr>
      </w:pPr>
      <w:r w:rsidRPr="00317851">
        <w:rPr>
          <w:rFonts w:cstheme="minorHAnsi"/>
          <w:szCs w:val="20"/>
          <w:vertAlign w:val="superscript"/>
        </w:rPr>
        <w:t>b</w:t>
      </w:r>
      <w:r>
        <w:rPr>
          <w:rFonts w:cstheme="minorHAnsi"/>
          <w:szCs w:val="20"/>
        </w:rPr>
        <w:t xml:space="preserve"> Re-calculated</w:t>
      </w:r>
      <w:r w:rsidR="00A201FA">
        <w:rPr>
          <w:rFonts w:cstheme="minorHAnsi"/>
          <w:szCs w:val="20"/>
        </w:rPr>
        <w:t xml:space="preserve"> using the revised equi-effective doses and</w:t>
      </w:r>
      <w:r>
        <w:rPr>
          <w:rFonts w:cstheme="minorHAnsi"/>
          <w:szCs w:val="20"/>
        </w:rPr>
        <w:t xml:space="preserve"> </w:t>
      </w:r>
      <w:r w:rsidR="00A201FA">
        <w:rPr>
          <w:rFonts w:cstheme="minorHAnsi"/>
          <w:szCs w:val="20"/>
        </w:rPr>
        <w:t>without the application of Clause 5.7.</w:t>
      </w:r>
    </w:p>
    <w:p w14:paraId="338923C6" w14:textId="77777777" w:rsidR="007E1123" w:rsidRPr="009A6D58" w:rsidRDefault="007E1123" w:rsidP="007E112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F2E4251" w14:textId="49E9A490" w:rsidR="007E1123" w:rsidRPr="009A6D58" w:rsidRDefault="007E1123" w:rsidP="007E112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E1123">
        <w:rPr>
          <w:rFonts w:ascii="Arial Narrow" w:hAnsi="Arial Narrow"/>
          <w:i/>
          <w:sz w:val="18"/>
          <w:szCs w:val="18"/>
        </w:rPr>
        <w:t>&lt; 500</w:t>
      </w:r>
    </w:p>
    <w:p w14:paraId="1CB2D9AC" w14:textId="22C708CF" w:rsidR="007E1123" w:rsidRPr="009A6D58" w:rsidRDefault="007E1123" w:rsidP="007E112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14555076" w14:textId="69B9CD90" w:rsidR="007E1123" w:rsidRDefault="007E1123" w:rsidP="007E112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E1123">
        <w:rPr>
          <w:rFonts w:ascii="Arial Narrow" w:hAnsi="Arial Narrow"/>
          <w:i/>
          <w:sz w:val="18"/>
          <w:szCs w:val="18"/>
        </w:rPr>
        <w:t>$10 million to &lt; $20 million</w:t>
      </w:r>
    </w:p>
    <w:p w14:paraId="27FC8274" w14:textId="6EEC5E24" w:rsidR="007E1123" w:rsidRDefault="007E1123" w:rsidP="007E112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$0 to &lt; $10 million</w:t>
      </w:r>
    </w:p>
    <w:p w14:paraId="1D256FD7" w14:textId="43C072F5" w:rsidR="007E1123" w:rsidRDefault="007E1123" w:rsidP="007E112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$2</w:t>
      </w:r>
      <w:r w:rsidRPr="007E1123">
        <w:rPr>
          <w:rFonts w:ascii="Arial Narrow" w:hAnsi="Arial Narrow"/>
          <w:i/>
          <w:sz w:val="18"/>
          <w:szCs w:val="18"/>
        </w:rPr>
        <w:t>0 million to &lt; $</w:t>
      </w:r>
      <w:r>
        <w:rPr>
          <w:rFonts w:ascii="Arial Narrow" w:hAnsi="Arial Narrow"/>
          <w:i/>
          <w:sz w:val="18"/>
          <w:szCs w:val="18"/>
        </w:rPr>
        <w:t>3</w:t>
      </w:r>
      <w:r w:rsidRPr="007E1123">
        <w:rPr>
          <w:rFonts w:ascii="Arial Narrow" w:hAnsi="Arial Narrow"/>
          <w:i/>
          <w:sz w:val="18"/>
          <w:szCs w:val="18"/>
        </w:rPr>
        <w:t>0 million</w:t>
      </w:r>
    </w:p>
    <w:p w14:paraId="40403A76" w14:textId="6D80F376" w:rsidR="007E1123" w:rsidRDefault="007E1123" w:rsidP="007E1123">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7E1123">
        <w:rPr>
          <w:rFonts w:ascii="Arial Narrow" w:hAnsi="Arial Narrow"/>
          <w:i/>
          <w:sz w:val="18"/>
          <w:szCs w:val="18"/>
        </w:rPr>
        <w:t>5,000 to &lt; 10,000</w:t>
      </w:r>
    </w:p>
    <w:p w14:paraId="55D04F90" w14:textId="1DA4C2A7" w:rsidR="007E1123" w:rsidRPr="007E1123" w:rsidRDefault="007E1123" w:rsidP="00AA58D7">
      <w:pPr>
        <w:pStyle w:val="TableFigureFooter"/>
      </w:pPr>
      <w:r>
        <w:rPr>
          <w:vertAlign w:val="superscript"/>
        </w:rPr>
        <w:t xml:space="preserve">7 </w:t>
      </w:r>
      <w:r>
        <w:rPr>
          <w:i/>
          <w:szCs w:val="18"/>
        </w:rPr>
        <w:t>$3</w:t>
      </w:r>
      <w:r w:rsidRPr="007E1123">
        <w:rPr>
          <w:i/>
          <w:szCs w:val="18"/>
        </w:rPr>
        <w:t>0 million to &lt; $</w:t>
      </w:r>
      <w:r>
        <w:rPr>
          <w:i/>
          <w:szCs w:val="18"/>
        </w:rPr>
        <w:t>4</w:t>
      </w:r>
      <w:r w:rsidRPr="007E1123">
        <w:rPr>
          <w:i/>
          <w:szCs w:val="18"/>
        </w:rPr>
        <w:t>0 million</w:t>
      </w:r>
    </w:p>
    <w:p w14:paraId="0D44C741" w14:textId="62DC77E5" w:rsidR="00AA58D7" w:rsidRDefault="00AA58D7" w:rsidP="00A45EDE">
      <w:pPr>
        <w:pStyle w:val="3-BodyText"/>
      </w:pPr>
      <w:r w:rsidRPr="00B22BCB">
        <w:t>The total cost to the PBS/RPBS of listing asciminib was estimated</w:t>
      </w:r>
      <w:r w:rsidR="00922197">
        <w:t xml:space="preserve"> by the submission</w:t>
      </w:r>
      <w:r w:rsidRPr="00B22BCB">
        <w:t xml:space="preserve"> to be $</w:t>
      </w:r>
      <w:r w:rsidR="007E1123" w:rsidRPr="007E1123">
        <w:t>10 million to &lt; $20 million</w:t>
      </w:r>
      <w:r w:rsidR="007E1123" w:rsidRPr="007E1123" w:rsidDel="007E1123">
        <w:t xml:space="preserve"> </w:t>
      </w:r>
      <w:r w:rsidRPr="00B22BCB">
        <w:t>in Year 6</w:t>
      </w:r>
      <w:r w:rsidRPr="002E7D71">
        <w:t xml:space="preserve">, and a total of </w:t>
      </w:r>
      <w:r w:rsidR="007E1123" w:rsidRPr="007E1123">
        <w:t>$60 million to &lt; $70 million</w:t>
      </w:r>
      <w:r w:rsidR="007E1123">
        <w:t xml:space="preserve"> </w:t>
      </w:r>
      <w:r w:rsidRPr="002E7D71">
        <w:t>in the first 6 years of listing, based on the effective price</w:t>
      </w:r>
      <w:r w:rsidR="00C56E33">
        <w:t xml:space="preserve"> (data not shown)</w:t>
      </w:r>
      <w:r w:rsidRPr="002E7D71">
        <w:t xml:space="preserve">. This additional cost was primarily due to asciminib replacing dasatinib and imatinib, which are cheaper than nilotinib and ponatinib (see </w:t>
      </w:r>
      <w:r w:rsidRPr="002E7D71">
        <w:fldChar w:fldCharType="begin"/>
      </w:r>
      <w:r w:rsidRPr="002E7D71">
        <w:instrText xml:space="preserve"> REF _Ref102929731 \h  \* MERGEFORMAT </w:instrText>
      </w:r>
      <w:r w:rsidRPr="002E7D71">
        <w:fldChar w:fldCharType="separate"/>
      </w:r>
      <w:r w:rsidR="00A914F4" w:rsidRPr="00B22BCB">
        <w:t xml:space="preserve">Table </w:t>
      </w:r>
      <w:r w:rsidR="00A914F4">
        <w:rPr>
          <w:noProof/>
        </w:rPr>
        <w:t>3</w:t>
      </w:r>
      <w:r w:rsidRPr="002E7D71">
        <w:fldChar w:fldCharType="end"/>
      </w:r>
      <w:r w:rsidRPr="002E7D71">
        <w:t>), and therefore only offset a portion of the proposed asciminib price</w:t>
      </w:r>
      <w:r w:rsidRPr="00E0045D">
        <w:rPr>
          <w:i/>
          <w:iCs/>
        </w:rPr>
        <w:t>.</w:t>
      </w:r>
      <w:r w:rsidR="00DF3FBD">
        <w:t xml:space="preserve"> Further, the submission used</w:t>
      </w:r>
      <w:r w:rsidR="00922197">
        <w:t xml:space="preserve"> an inflated asciminib price, which was revised by the evaluation to include modifications to the equi-effective doses and remove application of Clause 5.7 to the comparator prices. With these revisions, the </w:t>
      </w:r>
      <w:r w:rsidR="00922197" w:rsidRPr="00B22BCB">
        <w:t xml:space="preserve">total cost to the PBS/RPBS of listing asciminib was </w:t>
      </w:r>
      <w:r w:rsidR="00922197">
        <w:t>reduced</w:t>
      </w:r>
      <w:r w:rsidR="00922197" w:rsidRPr="00B22BCB">
        <w:t xml:space="preserve"> to </w:t>
      </w:r>
      <w:r w:rsidR="00E0045D" w:rsidRPr="00E0045D">
        <w:t>$0 to &lt; $10 million</w:t>
      </w:r>
      <w:r w:rsidR="00E0045D">
        <w:t xml:space="preserve"> </w:t>
      </w:r>
      <w:r w:rsidR="00922197" w:rsidRPr="00B22BCB">
        <w:t>in Year 6</w:t>
      </w:r>
      <w:r w:rsidR="00922197" w:rsidRPr="002E7D71">
        <w:t xml:space="preserve">, and a total of </w:t>
      </w:r>
      <w:r w:rsidR="00E0045D" w:rsidRPr="00E0045D">
        <w:t>$30 million to &lt; $40 million</w:t>
      </w:r>
      <w:r w:rsidR="00E0045D">
        <w:t xml:space="preserve"> </w:t>
      </w:r>
      <w:r w:rsidR="00922197" w:rsidRPr="002E7D71">
        <w:t>in the first 6 years of listing</w:t>
      </w:r>
      <w:r w:rsidR="00C56E33">
        <w:t xml:space="preserve"> (</w:t>
      </w:r>
      <w:r w:rsidR="00C56E33">
        <w:fldChar w:fldCharType="begin"/>
      </w:r>
      <w:r w:rsidR="00C56E33">
        <w:instrText xml:space="preserve"> REF _Ref110516718 \h </w:instrText>
      </w:r>
      <w:r w:rsidR="00C56E33">
        <w:fldChar w:fldCharType="separate"/>
      </w:r>
      <w:r w:rsidR="00A914F4" w:rsidRPr="00B22BCB">
        <w:t xml:space="preserve">Table </w:t>
      </w:r>
      <w:r w:rsidR="00A914F4">
        <w:rPr>
          <w:noProof/>
        </w:rPr>
        <w:t>18</w:t>
      </w:r>
      <w:r w:rsidR="00C56E33">
        <w:fldChar w:fldCharType="end"/>
      </w:r>
      <w:r w:rsidR="00C56E33">
        <w:t>)</w:t>
      </w:r>
      <w:r w:rsidR="00922197">
        <w:t>.</w:t>
      </w:r>
      <w:r w:rsidRPr="00E0045D">
        <w:rPr>
          <w:i/>
          <w:iCs/>
        </w:rPr>
        <w:t xml:space="preserve"> </w:t>
      </w:r>
      <w:r w:rsidRPr="000309BF">
        <w:t xml:space="preserve">The submission stated that asciminib represented savings on monitoring requirements and management of Grade </w:t>
      </w:r>
      <w:r w:rsidRPr="00E0045D">
        <w:rPr>
          <w:rFonts w:cstheme="minorHAnsi"/>
        </w:rPr>
        <w:t>≥</w:t>
      </w:r>
      <w:r w:rsidRPr="000309BF">
        <w:t>3 AEs, which it could not estimate in its prevalence-based approach, but proposed that listing asciminib may result in a reduction in the cost to State and Territory health budgets.</w:t>
      </w:r>
    </w:p>
    <w:p w14:paraId="25FB0CB3" w14:textId="3D2EAA42" w:rsidR="0001675D" w:rsidRDefault="0001675D" w:rsidP="0001675D">
      <w:pPr>
        <w:pStyle w:val="3-BodyText"/>
      </w:pPr>
      <w:r>
        <w:t>The DUSC consideration of asciminib found the estimates presented in the submission to be underestimated. The main issues are:</w:t>
      </w:r>
    </w:p>
    <w:p w14:paraId="6A56077E" w14:textId="03570AFE" w:rsidR="00ED1BFF" w:rsidRDefault="0001675D" w:rsidP="00821D54">
      <w:pPr>
        <w:pStyle w:val="3-BodyText"/>
        <w:numPr>
          <w:ilvl w:val="0"/>
          <w:numId w:val="28"/>
        </w:numPr>
      </w:pPr>
      <w:r>
        <w:t>The representativeness of the 10% PBS sample for the requested population is uncertain and modelled trends may not be accurate.</w:t>
      </w:r>
      <w:r w:rsidR="00ED1BFF">
        <w:t xml:space="preserve"> The 10% PBS sample was used to estimate the number of prevalent patients, the distribution of use of TKIs across the prevalent patients</w:t>
      </w:r>
      <w:r w:rsidR="00EE19D9">
        <w:t>,</w:t>
      </w:r>
      <w:r w:rsidR="00ED1BFF">
        <w:t xml:space="preserve"> and the distribution of substitution</w:t>
      </w:r>
      <w:r w:rsidR="007028FF">
        <w:t xml:space="preserve"> of </w:t>
      </w:r>
      <w:r w:rsidR="00236373">
        <w:t>PBS-</w:t>
      </w:r>
      <w:r w:rsidR="007028FF">
        <w:t>listed TKIs</w:t>
      </w:r>
      <w:r w:rsidR="00ED1BFF">
        <w:t xml:space="preserve"> with asciminib. </w:t>
      </w:r>
    </w:p>
    <w:p w14:paraId="2B22E880" w14:textId="3EF06834" w:rsidR="0001675D" w:rsidRDefault="00F940DD" w:rsidP="00D31E7F">
      <w:pPr>
        <w:pStyle w:val="ListParagraph"/>
        <w:numPr>
          <w:ilvl w:val="0"/>
          <w:numId w:val="28"/>
        </w:numPr>
      </w:pPr>
      <w:r w:rsidRPr="00F940DD">
        <w:rPr>
          <w:rFonts w:cs="Calibri"/>
        </w:rPr>
        <w:t xml:space="preserve">The submission estimated the eligible patient population for asciminib treatment in Year 1 to be 528 patients, increasing to 885 patients in Year 6. </w:t>
      </w:r>
      <w:r w:rsidR="0001675D">
        <w:t xml:space="preserve">Triangulation </w:t>
      </w:r>
      <w:r>
        <w:t>with the</w:t>
      </w:r>
      <w:r w:rsidR="0001675D">
        <w:t xml:space="preserve"> 2019 DUSC review </w:t>
      </w:r>
      <w:r>
        <w:t>which noted</w:t>
      </w:r>
      <w:r w:rsidR="0001675D">
        <w:t xml:space="preserve"> between 2 and 24% </w:t>
      </w:r>
      <w:r w:rsidR="00E209B9">
        <w:t xml:space="preserve">of CML </w:t>
      </w:r>
      <w:r w:rsidR="0001675D">
        <w:t xml:space="preserve">patients </w:t>
      </w:r>
      <w:r>
        <w:t>are</w:t>
      </w:r>
      <w:r w:rsidR="0001675D">
        <w:t xml:space="preserve"> intolerant </w:t>
      </w:r>
      <w:r>
        <w:t xml:space="preserve">and discontinue therapy </w:t>
      </w:r>
      <w:r w:rsidR="0001675D">
        <w:t xml:space="preserve">suggests </w:t>
      </w:r>
      <w:r>
        <w:t xml:space="preserve">the submission’s </w:t>
      </w:r>
      <w:r w:rsidR="0001675D">
        <w:t>first year estimate</w:t>
      </w:r>
      <w:r>
        <w:t xml:space="preserve"> (528 patients, equivalent to 12%) is</w:t>
      </w:r>
      <w:r w:rsidR="0001675D">
        <w:t xml:space="preserve"> within this range, but </w:t>
      </w:r>
      <w:r w:rsidR="00E209B9">
        <w:t xml:space="preserve">the eligible patient numbers </w:t>
      </w:r>
      <w:r w:rsidR="0001675D">
        <w:t>could go up to 24%</w:t>
      </w:r>
      <w:r w:rsidR="00E209B9">
        <w:t xml:space="preserve"> of the total CML patients</w:t>
      </w:r>
      <w:r w:rsidR="0001675D">
        <w:t>.</w:t>
      </w:r>
    </w:p>
    <w:p w14:paraId="6742D363" w14:textId="0294932F" w:rsidR="0001675D" w:rsidRDefault="0001675D" w:rsidP="00821D54">
      <w:pPr>
        <w:pStyle w:val="3-BodyText"/>
        <w:numPr>
          <w:ilvl w:val="0"/>
          <w:numId w:val="28"/>
        </w:numPr>
      </w:pPr>
      <w:r>
        <w:t>It is uncertain which PBS-listed third line TKIs asciminib will substitute for. Based on the current trends, increased substitution from imatinib and ponatinib may be likely, however, this would be best estimated from a full PBS sample, rather than the 10% PBS sample. This has implications for accuracy of the projected drug cost and cost offsets.</w:t>
      </w:r>
    </w:p>
    <w:p w14:paraId="18DF2E8B" w14:textId="50057AD6" w:rsidR="00ED422F" w:rsidRPr="003C2755" w:rsidRDefault="00ED422F" w:rsidP="00821D54">
      <w:pPr>
        <w:pStyle w:val="3-BodyText"/>
        <w:numPr>
          <w:ilvl w:val="0"/>
          <w:numId w:val="28"/>
        </w:numPr>
      </w:pPr>
      <w:r w:rsidRPr="0090532E">
        <w:t>The submission likely underestimated the uptake rate of asciminib</w:t>
      </w:r>
      <w:r>
        <w:t xml:space="preserve"> d</w:t>
      </w:r>
      <w:r w:rsidRPr="0090532E">
        <w:t>ue to the different mechanism of action of asciminib compared to the other available TKIs</w:t>
      </w:r>
      <w:r>
        <w:t>.</w:t>
      </w:r>
    </w:p>
    <w:p w14:paraId="593E3336" w14:textId="73E9201D" w:rsidR="0093267F" w:rsidRPr="00A7223B" w:rsidRDefault="00AA58D7" w:rsidP="0093267F">
      <w:pPr>
        <w:pStyle w:val="3-BodyText"/>
      </w:pPr>
      <w:r w:rsidRPr="00A7223B">
        <w:t xml:space="preserve">A sensitivity analysis was </w:t>
      </w:r>
      <w:r w:rsidR="005E3574" w:rsidRPr="00A7223B">
        <w:t xml:space="preserve">included in the </w:t>
      </w:r>
      <w:r w:rsidR="00A7223B">
        <w:t>Commentary</w:t>
      </w:r>
      <w:r w:rsidR="005E3574" w:rsidRPr="00A7223B">
        <w:t xml:space="preserve"> </w:t>
      </w:r>
      <w:r w:rsidR="00A7223B">
        <w:t>using</w:t>
      </w:r>
      <w:r w:rsidRPr="00A7223B">
        <w:t xml:space="preserve"> </w:t>
      </w:r>
      <w:r w:rsidR="004E613D" w:rsidRPr="00A7223B">
        <w:t>different substitution patterns (equal for nilotinib, das</w:t>
      </w:r>
      <w:r w:rsidR="00A7223B">
        <w:t>a</w:t>
      </w:r>
      <w:r w:rsidR="004E613D" w:rsidRPr="00A7223B">
        <w:t>t</w:t>
      </w:r>
      <w:r w:rsidR="00A33EB6">
        <w:t>i</w:t>
      </w:r>
      <w:r w:rsidR="004E613D" w:rsidRPr="00A7223B">
        <w:t xml:space="preserve">nib and imatinib, lower for ponatinib) and </w:t>
      </w:r>
      <w:r w:rsidRPr="00A7223B">
        <w:t>increased uptake rates</w:t>
      </w:r>
      <w:r w:rsidR="0031681F">
        <w:t xml:space="preserve"> in later years</w:t>
      </w:r>
      <w:r w:rsidR="004E613D" w:rsidRPr="00A7223B">
        <w:t xml:space="preserve"> (30%-70%)</w:t>
      </w:r>
      <w:r w:rsidR="0031681F">
        <w:t>; the overall impact was an increase in the financial estimates</w:t>
      </w:r>
      <w:r w:rsidRPr="00A7223B">
        <w:t xml:space="preserve">. </w:t>
      </w:r>
      <w:r w:rsidR="004E613D" w:rsidRPr="00A7223B">
        <w:t xml:space="preserve">During the evaluation it was noted that </w:t>
      </w:r>
      <w:r w:rsidRPr="00A7223B">
        <w:t xml:space="preserve">these uptake rates are high for a new drug, </w:t>
      </w:r>
      <w:r w:rsidR="004E613D" w:rsidRPr="00A7223B">
        <w:t xml:space="preserve">however </w:t>
      </w:r>
      <w:r w:rsidRPr="00A7223B">
        <w:t xml:space="preserve">the differing mechanism of action offered by asciminib means it has the potential to transform the later-line </w:t>
      </w:r>
      <w:r w:rsidRPr="00A7223B">
        <w:rPr>
          <w:rFonts w:cstheme="minorHAnsi"/>
        </w:rPr>
        <w:t xml:space="preserve">treatment landscape, and could become the preferred choice of therapy within its first 6 years of listing; </w:t>
      </w:r>
      <w:r w:rsidR="00821D54" w:rsidRPr="00A7223B">
        <w:rPr>
          <w:rFonts w:cstheme="minorHAnsi"/>
        </w:rPr>
        <w:t xml:space="preserve">the DUSC noted that </w:t>
      </w:r>
      <w:r w:rsidRPr="00A7223B">
        <w:rPr>
          <w:rFonts w:cstheme="minorHAnsi"/>
          <w:color w:val="000000" w:themeColor="text1"/>
        </w:rPr>
        <w:t>UpToDate already recommends asciminib in patients who have failed ≥ 2 prior TKIs</w:t>
      </w:r>
      <w:r w:rsidRPr="00A7223B">
        <w:rPr>
          <w:rStyle w:val="FootnoteReference"/>
          <w:rFonts w:cstheme="minorHAnsi"/>
          <w:bCs/>
          <w:color w:val="000000" w:themeColor="text1"/>
        </w:rPr>
        <w:footnoteReference w:id="14"/>
      </w:r>
      <w:r w:rsidRPr="00A7223B">
        <w:rPr>
          <w:rFonts w:cstheme="minorHAnsi"/>
          <w:color w:val="000000" w:themeColor="text1"/>
        </w:rPr>
        <w:t>.</w:t>
      </w:r>
      <w:r w:rsidR="004E613D" w:rsidRPr="00A7223B">
        <w:rPr>
          <w:rFonts w:cstheme="minorHAnsi"/>
          <w:color w:val="000000" w:themeColor="text1"/>
        </w:rPr>
        <w:t xml:space="preserve"> </w:t>
      </w:r>
      <w:bookmarkStart w:id="70" w:name="_Ref103005164"/>
    </w:p>
    <w:bookmarkEnd w:id="70"/>
    <w:p w14:paraId="71CD703D" w14:textId="7157C30D" w:rsidR="00AA58D7" w:rsidRDefault="00AA58D7" w:rsidP="00AA58D7">
      <w:pPr>
        <w:pStyle w:val="TableFigureFooter"/>
      </w:pPr>
    </w:p>
    <w:p w14:paraId="2238DEE9" w14:textId="3E6A228B" w:rsidR="00576972" w:rsidRPr="00B22BCB" w:rsidRDefault="00576972" w:rsidP="00606FBA">
      <w:pPr>
        <w:pStyle w:val="4-SubsectionHeading"/>
      </w:pPr>
      <w:bookmarkStart w:id="71" w:name="_Toc22897648"/>
      <w:bookmarkStart w:id="72" w:name="_Toc103772590"/>
      <w:r w:rsidRPr="00B22BCB">
        <w:t>Quality Use of Medicines</w:t>
      </w:r>
      <w:bookmarkEnd w:id="71"/>
      <w:bookmarkEnd w:id="72"/>
    </w:p>
    <w:p w14:paraId="37E34965" w14:textId="77777777" w:rsidR="004455D9" w:rsidRPr="004455D9" w:rsidRDefault="00C458A4" w:rsidP="007A766F">
      <w:pPr>
        <w:pStyle w:val="3-BodyText"/>
        <w:rPr>
          <w:color w:val="0066FF"/>
        </w:rPr>
      </w:pPr>
      <w:r w:rsidRPr="00B22BCB">
        <w:t xml:space="preserve">The </w:t>
      </w:r>
      <w:r w:rsidR="00337BFF" w:rsidRPr="00B22BCB">
        <w:t>asciminib</w:t>
      </w:r>
      <w:r w:rsidRPr="00B22BCB">
        <w:t xml:space="preserve"> draft PI proposed additional monitoring in Australia, to quickly identify new safety information.</w:t>
      </w:r>
    </w:p>
    <w:p w14:paraId="3CC96898" w14:textId="77777777" w:rsidR="00F25244" w:rsidRDefault="00F25244" w:rsidP="004455D9">
      <w:pPr>
        <w:pStyle w:val="3-BodyText"/>
        <w:numPr>
          <w:ilvl w:val="0"/>
          <w:numId w:val="0"/>
        </w:numPr>
        <w:ind w:left="720"/>
        <w:rPr>
          <w:i/>
          <w:iCs/>
        </w:rPr>
      </w:pPr>
      <w:r w:rsidRPr="00F25244">
        <w:rPr>
          <w:i/>
          <w:iCs/>
        </w:rPr>
        <w:t>For more detail on PBAC’s view, see section 7 PBAC outcome.</w:t>
      </w:r>
    </w:p>
    <w:p w14:paraId="6790A5DB" w14:textId="77777777" w:rsidR="00F25244" w:rsidRPr="00AA58D7" w:rsidRDefault="00F25244" w:rsidP="00E0045D">
      <w:pPr>
        <w:pStyle w:val="2-SectionHeading"/>
      </w:pPr>
      <w:r w:rsidRPr="00AA58D7">
        <w:t>PBAC Outcome</w:t>
      </w:r>
    </w:p>
    <w:p w14:paraId="1C20E34A" w14:textId="32157FC7" w:rsidR="00CE1668" w:rsidRPr="00C75950" w:rsidRDefault="001C7EAD" w:rsidP="00C75950">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did not recommend</w:t>
      </w:r>
      <w:r>
        <w:rPr>
          <w:rFonts w:asciiTheme="minorHAnsi" w:hAnsiTheme="minorHAnsi"/>
          <w:snapToGrid w:val="0"/>
          <w:lang w:val="en-GB"/>
        </w:rPr>
        <w:t xml:space="preserve"> </w:t>
      </w:r>
      <w:r w:rsidR="00A41C92">
        <w:rPr>
          <w:rFonts w:asciiTheme="minorHAnsi" w:hAnsiTheme="minorHAnsi"/>
          <w:snapToGrid w:val="0"/>
          <w:lang w:val="en-GB"/>
        </w:rPr>
        <w:t xml:space="preserve">the listing of asciminib for </w:t>
      </w:r>
      <w:r w:rsidR="00A41C92" w:rsidRPr="00B22BCB">
        <w:t>the treatment of patients with Philadelphia chromosome-positive chronic myeloid leukaemia</w:t>
      </w:r>
      <w:r w:rsidR="00A41C92">
        <w:t xml:space="preserve"> </w:t>
      </w:r>
      <w:r w:rsidR="00A41C92" w:rsidRPr="002E7D71">
        <w:t>(</w:t>
      </w:r>
      <w:r w:rsidR="00A41C92">
        <w:t xml:space="preserve">Ph+ </w:t>
      </w:r>
      <w:r w:rsidR="00A41C92" w:rsidRPr="002E7D71">
        <w:t>CML) in chronic phase (CP),</w:t>
      </w:r>
      <w:r w:rsidR="00A41C92" w:rsidRPr="00B22BCB">
        <w:t xml:space="preserve"> who had been previously treated with two or more tyrosine kinase inhibitors (TKIs).</w:t>
      </w:r>
    </w:p>
    <w:p w14:paraId="34BC488D" w14:textId="01DA8FFD" w:rsidR="00CE1668" w:rsidRPr="00CE42B4" w:rsidRDefault="005A10F5" w:rsidP="00CE1668">
      <w:pPr>
        <w:widowControl w:val="0"/>
        <w:numPr>
          <w:ilvl w:val="1"/>
          <w:numId w:val="1"/>
        </w:numPr>
        <w:spacing w:after="120"/>
        <w:rPr>
          <w:rFonts w:asciiTheme="minorHAnsi" w:hAnsiTheme="minorHAnsi"/>
          <w:snapToGrid w:val="0"/>
          <w:lang w:val="en-GB"/>
        </w:rPr>
      </w:pPr>
      <w:r w:rsidRPr="003B7973">
        <w:t xml:space="preserve">The PBAC considered that the claim of non-inferior effectiveness of </w:t>
      </w:r>
      <w:r w:rsidR="003B7973" w:rsidRPr="003B7973">
        <w:rPr>
          <w:rFonts w:asciiTheme="minorHAnsi" w:hAnsiTheme="minorHAnsi"/>
          <w:snapToGrid w:val="0"/>
          <w:lang w:val="en-GB"/>
        </w:rPr>
        <w:t xml:space="preserve">asciminib </w:t>
      </w:r>
      <w:r w:rsidRPr="003B7973">
        <w:t xml:space="preserve">compared with </w:t>
      </w:r>
      <w:r w:rsidR="003B7973" w:rsidRPr="003B7973">
        <w:t>nilotinib</w:t>
      </w:r>
      <w:r w:rsidR="00427044">
        <w:t xml:space="preserve"> (based on the </w:t>
      </w:r>
      <w:r w:rsidR="006D489A" w:rsidRPr="002B4570">
        <w:t>ASCEMBL</w:t>
      </w:r>
      <w:r w:rsidR="00427044">
        <w:t xml:space="preserve"> and ENACT trials)</w:t>
      </w:r>
      <w:r w:rsidR="00996050">
        <w:t xml:space="preserve"> is likely supported, despite the uncertainty associated with the </w:t>
      </w:r>
      <w:r w:rsidR="00996050" w:rsidRPr="002B4570">
        <w:t xml:space="preserve">unanchored, unadjusted </w:t>
      </w:r>
      <w:r w:rsidR="0068497A">
        <w:t>indirect treatment comparison (</w:t>
      </w:r>
      <w:r w:rsidR="00996050">
        <w:t>ITC</w:t>
      </w:r>
      <w:r w:rsidR="0068497A">
        <w:t>)</w:t>
      </w:r>
      <w:r w:rsidR="00996050">
        <w:t xml:space="preserve">. However, it considered that the claim of non-inferior effectiveness of asciminib compared with ponatinib was not supported based on the comparison between the </w:t>
      </w:r>
      <w:r w:rsidR="006D489A" w:rsidRPr="002B4570">
        <w:t>ASCEMBL</w:t>
      </w:r>
      <w:r w:rsidR="00996050">
        <w:t xml:space="preserve"> and PACE trials. Further, it considered that the available data do not </w:t>
      </w:r>
      <w:r w:rsidR="00996050">
        <w:rPr>
          <w:rFonts w:eastAsia="Calibri"/>
        </w:rPr>
        <w:t>support the claim of superior safety to either nilotinib or ponatinib.</w:t>
      </w:r>
    </w:p>
    <w:p w14:paraId="67F49D68" w14:textId="7FF6ED85" w:rsidR="00D655C6" w:rsidRDefault="00D655C6" w:rsidP="00CE166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clinical place</w:t>
      </w:r>
      <w:r w:rsidR="00FA3E29">
        <w:rPr>
          <w:rFonts w:asciiTheme="minorHAnsi" w:hAnsiTheme="minorHAnsi"/>
          <w:snapToGrid w:val="0"/>
          <w:lang w:val="en-GB"/>
        </w:rPr>
        <w:t xml:space="preserve"> of asciminib in patients with Ph+ CML in CP</w:t>
      </w:r>
      <w:r>
        <w:rPr>
          <w:rFonts w:asciiTheme="minorHAnsi" w:hAnsiTheme="minorHAnsi"/>
          <w:snapToGrid w:val="0"/>
          <w:lang w:val="en-GB"/>
        </w:rPr>
        <w:t xml:space="preserve"> and </w:t>
      </w:r>
      <w:r w:rsidR="00FA3E29">
        <w:rPr>
          <w:rFonts w:asciiTheme="minorHAnsi" w:hAnsiTheme="minorHAnsi"/>
          <w:snapToGrid w:val="0"/>
          <w:lang w:val="en-GB"/>
        </w:rPr>
        <w:t>its</w:t>
      </w:r>
      <w:r>
        <w:rPr>
          <w:rFonts w:asciiTheme="minorHAnsi" w:hAnsiTheme="minorHAnsi"/>
          <w:snapToGrid w:val="0"/>
          <w:lang w:val="en-GB"/>
        </w:rPr>
        <w:t xml:space="preserve"> clinical need. Asciminib is the first STAMP inhibitor in CML (</w:t>
      </w:r>
      <w:r w:rsidRPr="00D655C6">
        <w:rPr>
          <w:rFonts w:asciiTheme="minorHAnsi" w:hAnsiTheme="minorHAnsi"/>
          <w:snapToGrid w:val="0"/>
        </w:rPr>
        <w:t>Specifically Targeting the ABL Myristoyl Pocket</w:t>
      </w:r>
      <w:r>
        <w:rPr>
          <w:rFonts w:asciiTheme="minorHAnsi" w:hAnsiTheme="minorHAnsi"/>
          <w:snapToGrid w:val="0"/>
          <w:lang w:val="en-GB"/>
        </w:rPr>
        <w:t>) and is recommended in international guidelines for treatment of CML</w:t>
      </w:r>
      <w:r w:rsidR="003B7973">
        <w:rPr>
          <w:rFonts w:asciiTheme="minorHAnsi" w:hAnsiTheme="minorHAnsi"/>
          <w:snapToGrid w:val="0"/>
          <w:lang w:val="en-GB"/>
        </w:rPr>
        <w:t>-</w:t>
      </w:r>
      <w:r>
        <w:rPr>
          <w:rFonts w:asciiTheme="minorHAnsi" w:hAnsiTheme="minorHAnsi"/>
          <w:snapToGrid w:val="0"/>
          <w:lang w:val="en-GB"/>
        </w:rPr>
        <w:t xml:space="preserve">CP. </w:t>
      </w:r>
      <w:r w:rsidR="002E4156">
        <w:rPr>
          <w:rFonts w:asciiTheme="minorHAnsi" w:hAnsiTheme="minorHAnsi"/>
          <w:snapToGrid w:val="0"/>
          <w:lang w:val="en-GB"/>
        </w:rPr>
        <w:t xml:space="preserve">The PBAC noted that the </w:t>
      </w:r>
      <w:r w:rsidR="00C633A5">
        <w:rPr>
          <w:rFonts w:asciiTheme="minorHAnsi" w:hAnsiTheme="minorHAnsi"/>
          <w:snapToGrid w:val="0"/>
          <w:lang w:val="en-GB"/>
        </w:rPr>
        <w:t>c</w:t>
      </w:r>
      <w:r w:rsidR="002E4156">
        <w:rPr>
          <w:rFonts w:asciiTheme="minorHAnsi" w:hAnsiTheme="minorHAnsi"/>
          <w:snapToGrid w:val="0"/>
          <w:lang w:val="en-GB"/>
        </w:rPr>
        <w:t xml:space="preserve">onsumer </w:t>
      </w:r>
      <w:r w:rsidR="00C633A5">
        <w:rPr>
          <w:rFonts w:asciiTheme="minorHAnsi" w:hAnsiTheme="minorHAnsi"/>
          <w:snapToGrid w:val="0"/>
          <w:lang w:val="en-GB"/>
        </w:rPr>
        <w:t>c</w:t>
      </w:r>
      <w:r w:rsidR="002E4156">
        <w:rPr>
          <w:rFonts w:asciiTheme="minorHAnsi" w:hAnsiTheme="minorHAnsi"/>
          <w:snapToGrid w:val="0"/>
          <w:lang w:val="en-GB"/>
        </w:rPr>
        <w:t xml:space="preserve">omments consistently described asciminib as </w:t>
      </w:r>
      <w:r w:rsidR="002E4156" w:rsidRPr="00834CCA">
        <w:t>effective and well tolerated</w:t>
      </w:r>
      <w:r w:rsidR="002E4156">
        <w:t xml:space="preserve"> compared to the currently available TKIs</w:t>
      </w:r>
      <w:r w:rsidR="00F35310">
        <w:t>,</w:t>
      </w:r>
      <w:r w:rsidR="00E82C53">
        <w:t xml:space="preserve"> and that</w:t>
      </w:r>
      <w:r w:rsidR="00E82C53" w:rsidRPr="00E82C53">
        <w:rPr>
          <w:rFonts w:asciiTheme="minorHAnsi" w:hAnsiTheme="minorHAnsi"/>
          <w:bCs/>
          <w:snapToGrid w:val="0"/>
        </w:rPr>
        <w:t xml:space="preserve"> </w:t>
      </w:r>
      <w:r w:rsidR="00E82C53">
        <w:rPr>
          <w:rFonts w:asciiTheme="minorHAnsi" w:hAnsiTheme="minorHAnsi"/>
          <w:bCs/>
          <w:snapToGrid w:val="0"/>
        </w:rPr>
        <w:t xml:space="preserve">it is </w:t>
      </w:r>
      <w:r w:rsidR="00E82C53" w:rsidRPr="00C9382F">
        <w:rPr>
          <w:rFonts w:asciiTheme="minorHAnsi" w:hAnsiTheme="minorHAnsi"/>
          <w:bCs/>
          <w:snapToGrid w:val="0"/>
        </w:rPr>
        <w:t xml:space="preserve">an essential medication for a small number of patients with CML </w:t>
      </w:r>
      <w:r w:rsidR="00E82C53">
        <w:rPr>
          <w:rFonts w:asciiTheme="minorHAnsi" w:hAnsiTheme="minorHAnsi"/>
          <w:bCs/>
          <w:snapToGrid w:val="0"/>
        </w:rPr>
        <w:t xml:space="preserve">who have no remaining options with respect to TKI therapy and for whom the </w:t>
      </w:r>
      <w:r w:rsidR="00E82C53" w:rsidRPr="00834CCA">
        <w:rPr>
          <w:bCs/>
        </w:rPr>
        <w:t xml:space="preserve">only alternative </w:t>
      </w:r>
      <w:r w:rsidR="00E82C53">
        <w:rPr>
          <w:bCs/>
        </w:rPr>
        <w:t xml:space="preserve">treatment </w:t>
      </w:r>
      <w:r w:rsidR="00E82C53" w:rsidRPr="00834CCA">
        <w:rPr>
          <w:bCs/>
        </w:rPr>
        <w:t xml:space="preserve">would </w:t>
      </w:r>
      <w:r w:rsidR="00E82C53">
        <w:rPr>
          <w:bCs/>
        </w:rPr>
        <w:t>be</w:t>
      </w:r>
      <w:r w:rsidR="00E82C53" w:rsidRPr="00834CCA">
        <w:rPr>
          <w:bCs/>
        </w:rPr>
        <w:t xml:space="preserve"> </w:t>
      </w:r>
      <w:r w:rsidR="00DA55A4">
        <w:t>allogeneic transplantation</w:t>
      </w:r>
      <w:r w:rsidR="002E4156">
        <w:t>.</w:t>
      </w:r>
      <w:r w:rsidR="00F35310" w:rsidRPr="00F35310">
        <w:rPr>
          <w:rFonts w:asciiTheme="minorHAnsi" w:hAnsiTheme="minorHAnsi"/>
          <w:snapToGrid w:val="0"/>
          <w:lang w:val="en-GB"/>
        </w:rPr>
        <w:t xml:space="preserve"> </w:t>
      </w:r>
      <w:r w:rsidR="00F35310">
        <w:rPr>
          <w:rFonts w:asciiTheme="minorHAnsi" w:hAnsiTheme="minorHAnsi"/>
          <w:snapToGrid w:val="0"/>
          <w:lang w:val="en-GB"/>
        </w:rPr>
        <w:t xml:space="preserve">The PBAC noted that internationally there </w:t>
      </w:r>
      <w:r w:rsidR="00E82C53">
        <w:rPr>
          <w:rFonts w:asciiTheme="minorHAnsi" w:hAnsiTheme="minorHAnsi"/>
          <w:snapToGrid w:val="0"/>
          <w:lang w:val="en-GB"/>
        </w:rPr>
        <w:t>appears to be</w:t>
      </w:r>
      <w:r w:rsidR="00F35310">
        <w:rPr>
          <w:rFonts w:asciiTheme="minorHAnsi" w:hAnsiTheme="minorHAnsi"/>
          <w:snapToGrid w:val="0"/>
          <w:lang w:val="en-GB"/>
        </w:rPr>
        <w:t xml:space="preserve"> high uptake</w:t>
      </w:r>
      <w:r w:rsidR="00E82C53">
        <w:rPr>
          <w:rFonts w:asciiTheme="minorHAnsi" w:hAnsiTheme="minorHAnsi"/>
          <w:snapToGrid w:val="0"/>
          <w:lang w:val="en-GB"/>
        </w:rPr>
        <w:t xml:space="preserve"> of asciminib</w:t>
      </w:r>
      <w:r w:rsidR="00F35310">
        <w:rPr>
          <w:rFonts w:asciiTheme="minorHAnsi" w:hAnsiTheme="minorHAnsi"/>
          <w:snapToGrid w:val="0"/>
          <w:lang w:val="en-GB"/>
        </w:rPr>
        <w:t xml:space="preserve"> due to a relatively favourable toxicity profile and the increased use of second generation TKIs in the front line.</w:t>
      </w:r>
    </w:p>
    <w:p w14:paraId="381B32DB" w14:textId="586964DE" w:rsidR="00422C68" w:rsidRDefault="00760CEB" w:rsidP="006F402F">
      <w:pPr>
        <w:widowControl w:val="0"/>
        <w:numPr>
          <w:ilvl w:val="1"/>
          <w:numId w:val="1"/>
        </w:numPr>
        <w:spacing w:after="120"/>
        <w:rPr>
          <w:rFonts w:asciiTheme="minorHAnsi" w:hAnsiTheme="minorHAnsi"/>
          <w:snapToGrid w:val="0"/>
          <w:lang w:val="en-GB"/>
        </w:rPr>
      </w:pPr>
      <w:bookmarkStart w:id="73" w:name="_Ref110326977"/>
      <w:r>
        <w:t xml:space="preserve">The PBAC noted the complexity of the asciminib restrictions in terms of accurately reflecting its intended use among the currently listed TKIs, in terms of the order of prior TKI treatment received by patients before receiving asciminib, and whether the prior treatment was ceased due to failure or intolerance. The PBAC considered that further </w:t>
      </w:r>
      <w:r w:rsidR="003519F3">
        <w:t>review</w:t>
      </w:r>
      <w:r>
        <w:t xml:space="preserve"> may be required regarding </w:t>
      </w:r>
      <w:r w:rsidRPr="00760CEB">
        <w:t>how prior therapy with TKIs should be described in the restriction</w:t>
      </w:r>
      <w:r>
        <w:t>s</w:t>
      </w:r>
      <w:r w:rsidRPr="00760CEB">
        <w:t>, and if flow on changes to TKI listings for the third-line treatment of CML-CP would be required</w:t>
      </w:r>
      <w:r>
        <w:t>.</w:t>
      </w:r>
      <w:bookmarkEnd w:id="73"/>
    </w:p>
    <w:p w14:paraId="6A26CD8B" w14:textId="79A488A6" w:rsidR="0046022C" w:rsidRDefault="004A38DC" w:rsidP="006F402F">
      <w:pPr>
        <w:widowControl w:val="0"/>
        <w:numPr>
          <w:ilvl w:val="1"/>
          <w:numId w:val="1"/>
        </w:numPr>
        <w:spacing w:after="120"/>
        <w:rPr>
          <w:rFonts w:asciiTheme="minorHAnsi" w:hAnsiTheme="minorHAnsi"/>
          <w:snapToGrid w:val="0"/>
          <w:lang w:val="en-GB"/>
        </w:rPr>
      </w:pPr>
      <w:r w:rsidRPr="0046022C">
        <w:rPr>
          <w:rFonts w:asciiTheme="minorHAnsi" w:hAnsiTheme="minorHAnsi"/>
          <w:snapToGrid w:val="0"/>
          <w:lang w:val="en-GB"/>
        </w:rPr>
        <w:t xml:space="preserve">The PBAC noted that </w:t>
      </w:r>
      <w:r w:rsidR="0046022C" w:rsidRPr="0046022C">
        <w:t xml:space="preserve">the PBS restriction initially proposed did not specifically exclude patients with </w:t>
      </w:r>
      <w:r w:rsidR="00200F91">
        <w:t xml:space="preserve">Ph+ </w:t>
      </w:r>
      <w:r w:rsidR="0046022C" w:rsidRPr="0046022C">
        <w:t>CML</w:t>
      </w:r>
      <w:r w:rsidR="00200F91">
        <w:t xml:space="preserve"> in </w:t>
      </w:r>
      <w:r w:rsidR="0046022C" w:rsidRPr="0046022C">
        <w:t>CP who harbour the T315I mutation, even though these patients were excluded from the key trial (ASCEMBL).</w:t>
      </w:r>
      <w:r w:rsidR="0046022C" w:rsidRPr="0046022C">
        <w:rPr>
          <w:color w:val="0066FF"/>
        </w:rPr>
        <w:t xml:space="preserve"> </w:t>
      </w:r>
      <w:r w:rsidR="0046022C" w:rsidRPr="0046022C">
        <w:t>The rationale for excluding these patients from ASCEMBL (asciminib versus bosutinib) was that bosutinib is inactive against the T315I mutation.</w:t>
      </w:r>
      <w:r w:rsidR="00120403">
        <w:t xml:space="preserve"> </w:t>
      </w:r>
      <w:r w:rsidR="0046022C">
        <w:t>The PBAC acknowledged, as per the ACM advice to the TGA Delegate, that underdosing of patients with the T315I mutation may occur without specific dosage instructions in the PI. The PBAC noted that all</w:t>
      </w:r>
      <w:r w:rsidR="00120403">
        <w:t xml:space="preserve"> </w:t>
      </w:r>
      <w:r w:rsidR="00120403" w:rsidRPr="00120403">
        <w:t>Ph+ CML in CP</w:t>
      </w:r>
      <w:r w:rsidR="0046022C">
        <w:t xml:space="preserve"> patients may not be tested for the T315I mutation, but agreed with the ACM that dosage consideration of asciminib is important should the presence of this mutation become known.</w:t>
      </w:r>
      <w:r w:rsidR="0067478D">
        <w:t xml:space="preserve"> The PBAC</w:t>
      </w:r>
      <w:r w:rsidR="0075723F">
        <w:t xml:space="preserve"> </w:t>
      </w:r>
      <w:r w:rsidR="0067478D">
        <w:t xml:space="preserve">considered it would be necessary </w:t>
      </w:r>
      <w:r w:rsidR="0046022C" w:rsidRPr="006F402F">
        <w:t>for asciminib to have 2 PBS restrictions</w:t>
      </w:r>
      <w:r w:rsidR="006F402F" w:rsidRPr="006F402F">
        <w:t xml:space="preserve"> that reflect the updated indication provided with the pre-PBAC response</w:t>
      </w:r>
      <w:r w:rsidR="0046022C" w:rsidRPr="006F402F">
        <w:t xml:space="preserve">: one for the </w:t>
      </w:r>
      <w:r w:rsidR="00AD5EC5" w:rsidRPr="00AD5EC5">
        <w:t>Ph+ CML in CP</w:t>
      </w:r>
      <w:r w:rsidR="00AD5EC5">
        <w:t xml:space="preserve"> population</w:t>
      </w:r>
      <w:r w:rsidR="00AD5EC5" w:rsidRPr="00AD5EC5">
        <w:t xml:space="preserve"> </w:t>
      </w:r>
      <w:r w:rsidR="0046022C" w:rsidRPr="006F402F">
        <w:t xml:space="preserve">who have failed/are intolerant to </w:t>
      </w:r>
      <w:r w:rsidR="00A2510A">
        <w:t>2 or more</w:t>
      </w:r>
      <w:r w:rsidR="0046022C" w:rsidRPr="006F402F">
        <w:t xml:space="preserve"> TKIs, and another for</w:t>
      </w:r>
      <w:r w:rsidR="00AD5EC5">
        <w:t xml:space="preserve"> </w:t>
      </w:r>
      <w:r w:rsidR="00AD5EC5" w:rsidRPr="00AD5EC5">
        <w:t>Ph+ CML in CP</w:t>
      </w:r>
      <w:r w:rsidR="0046022C" w:rsidRPr="006F402F">
        <w:t xml:space="preserve"> patients with the T315I mutation.</w:t>
      </w:r>
    </w:p>
    <w:p w14:paraId="6F67ABDF" w14:textId="15EE28F1" w:rsidR="00CE1668" w:rsidRPr="00D655C6" w:rsidRDefault="00200F91" w:rsidP="00D655C6">
      <w:pPr>
        <w:widowControl w:val="0"/>
        <w:numPr>
          <w:ilvl w:val="1"/>
          <w:numId w:val="1"/>
        </w:numPr>
        <w:spacing w:after="120"/>
        <w:rPr>
          <w:lang w:val="en-GB"/>
        </w:rPr>
      </w:pPr>
      <w:bookmarkStart w:id="74" w:name="_Ref110459683"/>
      <w:r>
        <w:rPr>
          <w:rFonts w:asciiTheme="minorHAnsi" w:hAnsiTheme="minorHAnsi"/>
          <w:snapToGrid w:val="0"/>
          <w:lang w:val="en-GB"/>
        </w:rPr>
        <w:t xml:space="preserve">The PBAC advised that asciminib should have a separate restriction for </w:t>
      </w:r>
      <w:r w:rsidRPr="006F402F">
        <w:t>patients with the T315I mutation</w:t>
      </w:r>
      <w:r>
        <w:t xml:space="preserve"> in the context of it being</w:t>
      </w:r>
      <w:r>
        <w:rPr>
          <w:rFonts w:asciiTheme="minorHAnsi" w:hAnsiTheme="minorHAnsi"/>
          <w:snapToGrid w:val="0"/>
          <w:lang w:val="en-GB"/>
        </w:rPr>
        <w:t xml:space="preserve"> </w:t>
      </w:r>
      <w:r w:rsidR="00616E4C" w:rsidRPr="008F0001">
        <w:t xml:space="preserve">active against </w:t>
      </w:r>
      <w:r>
        <w:t>this</w:t>
      </w:r>
      <w:r w:rsidR="00616E4C" w:rsidRPr="008F0001">
        <w:t xml:space="preserve"> mutation</w:t>
      </w:r>
      <w:r>
        <w:t>:</w:t>
      </w:r>
      <w:r w:rsidR="00616E4C">
        <w:t xml:space="preserve"> it</w:t>
      </w:r>
      <w:r w:rsidR="00271009" w:rsidRPr="00271009">
        <w:rPr>
          <w:rFonts w:asciiTheme="minorHAnsi" w:hAnsiTheme="minorHAnsi"/>
          <w:snapToGrid w:val="0"/>
          <w:lang w:val="en-GB"/>
        </w:rPr>
        <w:t xml:space="preserve"> has s</w:t>
      </w:r>
      <w:r w:rsidR="00271009" w:rsidRPr="00271009">
        <w:t>imilar efficacy in</w:t>
      </w:r>
      <w:r w:rsidR="00616E4C">
        <w:t xml:space="preserve"> patients with the</w:t>
      </w:r>
      <w:r w:rsidR="00271009" w:rsidRPr="00271009">
        <w:t xml:space="preserve"> T315</w:t>
      </w:r>
      <w:r w:rsidR="00616E4C">
        <w:t>I</w:t>
      </w:r>
      <w:r w:rsidR="00271009" w:rsidRPr="00271009">
        <w:t xml:space="preserve"> </w:t>
      </w:r>
      <w:r w:rsidR="00616E4C">
        <w:t>mutation as it does in the</w:t>
      </w:r>
      <w:r w:rsidR="00271009" w:rsidRPr="00271009">
        <w:t xml:space="preserve"> non-T315</w:t>
      </w:r>
      <w:r w:rsidR="00616E4C">
        <w:t>I</w:t>
      </w:r>
      <w:r w:rsidR="00271009" w:rsidRPr="00271009">
        <w:t xml:space="preserve"> population</w:t>
      </w:r>
      <w:r w:rsidR="00616E4C">
        <w:t>, noting that a higher d</w:t>
      </w:r>
      <w:r w:rsidR="00271009" w:rsidRPr="00271009">
        <w:t xml:space="preserve">ose is </w:t>
      </w:r>
      <w:r w:rsidR="00616E4C">
        <w:t>required in the former group</w:t>
      </w:r>
      <w:r w:rsidR="00271009" w:rsidRPr="00271009">
        <w:t>.</w:t>
      </w:r>
      <w:r w:rsidR="00CB5094">
        <w:t xml:space="preserve"> </w:t>
      </w:r>
      <w:r>
        <w:t xml:space="preserve">The PBAC noted that the single arm trial </w:t>
      </w:r>
      <w:r w:rsidRPr="00120403">
        <w:t>CABL001X2101</w:t>
      </w:r>
      <w:r>
        <w:t xml:space="preserve"> evaluat</w:t>
      </w:r>
      <w:r w:rsidR="004318CE">
        <w:t>ed</w:t>
      </w:r>
      <w:r>
        <w:t xml:space="preserve"> </w:t>
      </w:r>
      <w:r w:rsidR="004318CE">
        <w:t>asciminib</w:t>
      </w:r>
      <w:r>
        <w:t xml:space="preserve"> in </w:t>
      </w:r>
      <w:r w:rsidRPr="00120403">
        <w:t>CML</w:t>
      </w:r>
      <w:r>
        <w:t xml:space="preserve"> patients</w:t>
      </w:r>
      <w:r w:rsidRPr="00120403">
        <w:t xml:space="preserve"> with the T315I mutation</w:t>
      </w:r>
      <w:r w:rsidR="00E25FF6">
        <w:t>, and that the</w:t>
      </w:r>
      <w:r w:rsidR="009D19CF">
        <w:t xml:space="preserve"> ACM supported the inclusion of patients with the T315I mutation in the</w:t>
      </w:r>
      <w:r w:rsidR="00E25FF6">
        <w:t xml:space="preserve"> asciminib</w:t>
      </w:r>
      <w:r w:rsidR="009D19CF">
        <w:t xml:space="preserve"> indication</w:t>
      </w:r>
      <w:r w:rsidR="00E25FF6">
        <w:t>.</w:t>
      </w:r>
      <w:r w:rsidR="009D19CF">
        <w:t xml:space="preserve"> </w:t>
      </w:r>
      <w:r w:rsidR="00E25FF6">
        <w:t>T</w:t>
      </w:r>
      <w:r w:rsidR="00616E4C">
        <w:t xml:space="preserve">he PBAC considered that asciminib </w:t>
      </w:r>
      <w:r w:rsidR="00427044">
        <w:t>c</w:t>
      </w:r>
      <w:r w:rsidR="00616E4C">
        <w:t xml:space="preserve">ould be accessible to </w:t>
      </w:r>
      <w:r w:rsidR="00C81CD5">
        <w:t>these</w:t>
      </w:r>
      <w:r w:rsidR="00616E4C">
        <w:t xml:space="preserve"> patient</w:t>
      </w:r>
      <w:r w:rsidR="00C81CD5">
        <w:t xml:space="preserve">s </w:t>
      </w:r>
      <w:r w:rsidR="00616E4C">
        <w:t>via</w:t>
      </w:r>
      <w:r w:rsidR="00427044">
        <w:t xml:space="preserve"> a separate restriction on</w:t>
      </w:r>
      <w:r w:rsidR="00616E4C">
        <w:t xml:space="preserve"> the PBS,</w:t>
      </w:r>
      <w:r w:rsidR="00427044">
        <w:t xml:space="preserve"> should it be recommended in the future,</w:t>
      </w:r>
      <w:r w:rsidR="00616E4C">
        <w:t xml:space="preserve"> noting</w:t>
      </w:r>
      <w:r>
        <w:t xml:space="preserve"> the clinical need in this poor prognosis subgroup.</w:t>
      </w:r>
      <w:bookmarkEnd w:id="74"/>
      <w:r w:rsidR="007C38BF">
        <w:t xml:space="preserve"> </w:t>
      </w:r>
      <w:r w:rsidR="007C38BF" w:rsidRPr="007C38BF">
        <w:t>The PBAC also considered that, before gaining access to asciminib, patients with the T315I mutation would be required to have failed an adequate trial of imatinib or dasatinib or nilotinib, in line with both the restriction for ponatinib and the inclusion criteria of the CABL001X2101 trial (patients with relapsed disease who have the T315I mutation must have received treatment with at least one prior TKI).</w:t>
      </w:r>
    </w:p>
    <w:p w14:paraId="1D911DB5" w14:textId="3AFFDF8C" w:rsidR="002D7900" w:rsidRPr="004B49C4" w:rsidRDefault="00366BC3" w:rsidP="008C786B">
      <w:pPr>
        <w:widowControl w:val="0"/>
        <w:numPr>
          <w:ilvl w:val="1"/>
          <w:numId w:val="1"/>
        </w:numPr>
        <w:spacing w:after="120"/>
        <w:rPr>
          <w:rFonts w:asciiTheme="minorHAnsi" w:hAnsiTheme="minorHAnsi"/>
          <w:snapToGrid w:val="0"/>
          <w:lang w:val="en-GB"/>
        </w:rPr>
      </w:pPr>
      <w:bookmarkStart w:id="75" w:name="_Ref110192493"/>
      <w:r w:rsidRPr="004B49C4">
        <w:rPr>
          <w:rFonts w:asciiTheme="minorHAnsi" w:hAnsiTheme="minorHAnsi"/>
          <w:snapToGrid w:val="0"/>
          <w:lang w:val="en-GB"/>
        </w:rPr>
        <w:t xml:space="preserve">The PBAC considered defining the comparator to be complex due to the change in the use of TKIs over the last 24-48 months, whereby the second generation TKIs are increasingly being used first and second line, and imatinib is increasingly the third TKI prescribed. The PBAC considered the analyses </w:t>
      </w:r>
      <w:r w:rsidR="00C633A5" w:rsidRPr="004B49C4">
        <w:rPr>
          <w:rFonts w:asciiTheme="minorHAnsi" w:hAnsiTheme="minorHAnsi"/>
          <w:snapToGrid w:val="0"/>
          <w:lang w:val="en-GB"/>
        </w:rPr>
        <w:t>based on the 10% PBS sample</w:t>
      </w:r>
      <w:r w:rsidRPr="004B49C4">
        <w:rPr>
          <w:rFonts w:asciiTheme="minorHAnsi" w:hAnsiTheme="minorHAnsi"/>
          <w:snapToGrid w:val="0"/>
          <w:lang w:val="en-GB"/>
        </w:rPr>
        <w:t xml:space="preserve"> </w:t>
      </w:r>
      <w:r w:rsidR="00C633A5" w:rsidRPr="004B49C4">
        <w:rPr>
          <w:rFonts w:asciiTheme="minorHAnsi" w:hAnsiTheme="minorHAnsi"/>
          <w:snapToGrid w:val="0"/>
          <w:lang w:val="en-GB"/>
        </w:rPr>
        <w:t>which looked</w:t>
      </w:r>
      <w:r w:rsidRPr="004B49C4">
        <w:rPr>
          <w:rFonts w:asciiTheme="minorHAnsi" w:hAnsiTheme="minorHAnsi"/>
          <w:snapToGrid w:val="0"/>
          <w:lang w:val="en-GB"/>
        </w:rPr>
        <w:t xml:space="preserve"> at the pattern of use of TKIs were difficult to interpret. The analysis </w:t>
      </w:r>
      <w:r w:rsidR="00893BA6">
        <w:rPr>
          <w:rFonts w:asciiTheme="minorHAnsi" w:hAnsiTheme="minorHAnsi"/>
          <w:snapToGrid w:val="0"/>
          <w:lang w:val="en-GB"/>
        </w:rPr>
        <w:t>of</w:t>
      </w:r>
      <w:r w:rsidRPr="004B49C4">
        <w:rPr>
          <w:rFonts w:asciiTheme="minorHAnsi" w:hAnsiTheme="minorHAnsi"/>
          <w:snapToGrid w:val="0"/>
          <w:lang w:val="en-GB"/>
        </w:rPr>
        <w:t xml:space="preserve"> the individual treatment sequences was limited by the small sample size and lack of applicability to current clinical practice given it relied on patients initiating treatment back to 2016. The analysis </w:t>
      </w:r>
      <w:r w:rsidR="00893BA6">
        <w:rPr>
          <w:rFonts w:asciiTheme="minorHAnsi" w:hAnsiTheme="minorHAnsi"/>
          <w:snapToGrid w:val="0"/>
          <w:lang w:val="en-GB"/>
        </w:rPr>
        <w:t>of</w:t>
      </w:r>
      <w:r w:rsidRPr="004B49C4">
        <w:rPr>
          <w:rFonts w:asciiTheme="minorHAnsi" w:hAnsiTheme="minorHAnsi"/>
          <w:snapToGrid w:val="0"/>
          <w:lang w:val="en-GB"/>
        </w:rPr>
        <w:t xml:space="preserve"> the proportion of patients on a </w:t>
      </w:r>
      <w:r w:rsidR="00B55F95" w:rsidRPr="004B49C4">
        <w:rPr>
          <w:rFonts w:asciiTheme="minorHAnsi" w:hAnsiTheme="minorHAnsi"/>
          <w:snapToGrid w:val="0"/>
          <w:lang w:val="en-GB"/>
        </w:rPr>
        <w:t>third</w:t>
      </w:r>
      <w:r w:rsidRPr="004B49C4">
        <w:rPr>
          <w:rFonts w:asciiTheme="minorHAnsi" w:hAnsiTheme="minorHAnsi"/>
          <w:snapToGrid w:val="0"/>
          <w:lang w:val="en-GB"/>
        </w:rPr>
        <w:t xml:space="preserve"> or later TKI was limited because it used a prevalence approach </w:t>
      </w:r>
      <w:r w:rsidR="008B2355" w:rsidRPr="004B49C4">
        <w:rPr>
          <w:rFonts w:asciiTheme="minorHAnsi" w:hAnsiTheme="minorHAnsi"/>
          <w:snapToGrid w:val="0"/>
          <w:lang w:val="en-GB"/>
        </w:rPr>
        <w:t xml:space="preserve">rather than considering initiating patients and patients are unlikely to switch TKI treatment unless </w:t>
      </w:r>
      <w:r w:rsidR="005E12D6" w:rsidRPr="004B49C4">
        <w:rPr>
          <w:rFonts w:asciiTheme="minorHAnsi" w:hAnsiTheme="minorHAnsi"/>
          <w:snapToGrid w:val="0"/>
          <w:lang w:val="en-GB"/>
        </w:rPr>
        <w:t>they</w:t>
      </w:r>
      <w:r w:rsidR="008B2355" w:rsidRPr="004B49C4">
        <w:rPr>
          <w:rFonts w:asciiTheme="minorHAnsi" w:hAnsiTheme="minorHAnsi"/>
          <w:snapToGrid w:val="0"/>
          <w:lang w:val="en-GB"/>
        </w:rPr>
        <w:t xml:space="preserve"> experience treatment failure or intolerance</w:t>
      </w:r>
      <w:r w:rsidRPr="004B49C4">
        <w:rPr>
          <w:rFonts w:asciiTheme="minorHAnsi" w:hAnsiTheme="minorHAnsi"/>
          <w:snapToGrid w:val="0"/>
          <w:lang w:val="en-GB"/>
        </w:rPr>
        <w:t>.</w:t>
      </w:r>
      <w:r w:rsidR="00ED3679" w:rsidRPr="004B49C4">
        <w:rPr>
          <w:rFonts w:asciiTheme="minorHAnsi" w:hAnsiTheme="minorHAnsi"/>
          <w:snapToGrid w:val="0"/>
          <w:lang w:val="en-GB"/>
        </w:rPr>
        <w:t xml:space="preserve"> Overall, the PBAC considered the treatment replaced or displaced by asciminib would depend on the clinical scenario and could include a second generation TKI (nilotinib or dasatinib), imatinib</w:t>
      </w:r>
      <w:r w:rsidR="007770F0" w:rsidRPr="004B49C4">
        <w:rPr>
          <w:rFonts w:asciiTheme="minorHAnsi" w:hAnsiTheme="minorHAnsi"/>
          <w:snapToGrid w:val="0"/>
          <w:lang w:val="en-GB"/>
        </w:rPr>
        <w:t>, ponatinib (</w:t>
      </w:r>
      <w:r w:rsidR="005E12D6" w:rsidRPr="004B49C4">
        <w:rPr>
          <w:rFonts w:asciiTheme="minorHAnsi" w:hAnsiTheme="minorHAnsi"/>
          <w:snapToGrid w:val="0"/>
          <w:lang w:val="en-GB"/>
        </w:rPr>
        <w:t xml:space="preserve">primarily </w:t>
      </w:r>
      <w:r w:rsidR="007770F0" w:rsidRPr="004B49C4">
        <w:rPr>
          <w:rFonts w:asciiTheme="minorHAnsi" w:hAnsiTheme="minorHAnsi"/>
          <w:snapToGrid w:val="0"/>
          <w:lang w:val="en-GB"/>
        </w:rPr>
        <w:t>for patients with T315I mutation)</w:t>
      </w:r>
      <w:r w:rsidR="00ED3679" w:rsidRPr="004B49C4">
        <w:rPr>
          <w:rFonts w:asciiTheme="minorHAnsi" w:hAnsiTheme="minorHAnsi"/>
          <w:snapToGrid w:val="0"/>
          <w:lang w:val="en-GB"/>
        </w:rPr>
        <w:t xml:space="preserve"> or a non-TKI </w:t>
      </w:r>
      <w:r w:rsidR="00D2231D" w:rsidRPr="004B49C4">
        <w:rPr>
          <w:rFonts w:asciiTheme="minorHAnsi" w:hAnsiTheme="minorHAnsi"/>
          <w:snapToGrid w:val="0"/>
          <w:lang w:val="en-GB"/>
        </w:rPr>
        <w:t xml:space="preserve">therapy including </w:t>
      </w:r>
      <w:r w:rsidR="00D2231D">
        <w:t xml:space="preserve">allogeneic transplantation. </w:t>
      </w:r>
      <w:r w:rsidR="004B49C4">
        <w:t>The PBAC considered that</w:t>
      </w:r>
      <w:r w:rsidR="00893BA6">
        <w:t>,</w:t>
      </w:r>
      <w:r w:rsidR="004B49C4">
        <w:t xml:space="preserve"> for some patients</w:t>
      </w:r>
      <w:r w:rsidR="00893BA6">
        <w:t>,</w:t>
      </w:r>
      <w:r w:rsidR="004B49C4" w:rsidRPr="00F35310">
        <w:t xml:space="preserve"> asciminib </w:t>
      </w:r>
      <w:r w:rsidR="004B49C4">
        <w:t xml:space="preserve">likely </w:t>
      </w:r>
      <w:r w:rsidR="004B49C4" w:rsidRPr="00F35310">
        <w:t>provides a significant improvement in efficacy over imatinib</w:t>
      </w:r>
      <w:r w:rsidR="004B49C4">
        <w:t xml:space="preserve">, and </w:t>
      </w:r>
      <w:r w:rsidR="004B49C4" w:rsidRPr="00F35310">
        <w:t xml:space="preserve">as an additional TKI with a different mechanism of action, </w:t>
      </w:r>
      <w:r w:rsidR="004B49C4">
        <w:t>asciminib</w:t>
      </w:r>
      <w:r w:rsidR="004B49C4" w:rsidRPr="00F35310">
        <w:t xml:space="preserve"> </w:t>
      </w:r>
      <w:r w:rsidR="004B49C4">
        <w:t xml:space="preserve">likely </w:t>
      </w:r>
      <w:r w:rsidR="004B49C4" w:rsidRPr="00F35310">
        <w:t>provide</w:t>
      </w:r>
      <w:r w:rsidR="004B49C4">
        <w:t>s</w:t>
      </w:r>
      <w:r w:rsidR="004B49C4" w:rsidRPr="00F35310">
        <w:t xml:space="preserve"> a significant improvement in efficacy and/or reduction in toxicity </w:t>
      </w:r>
      <w:r w:rsidR="00171014">
        <w:t xml:space="preserve">over standard of care (non-TKI therapy) </w:t>
      </w:r>
      <w:r w:rsidR="004B49C4" w:rsidRPr="00F35310">
        <w:t xml:space="preserve">for patients who have either failed, or unable to tolerate, both dasatinib and nilotinib. </w:t>
      </w:r>
      <w:r w:rsidR="004B49C4">
        <w:t>Therefore</w:t>
      </w:r>
      <w:r w:rsidR="00D2231D">
        <w:t>, the PBAC considered that benchmarking against second generation TKI</w:t>
      </w:r>
      <w:r w:rsidR="00D46493">
        <w:t>s</w:t>
      </w:r>
      <w:r w:rsidR="00D2231D">
        <w:t xml:space="preserve"> was a reasonable basis for establishing a cost-effective price for asciminib</w:t>
      </w:r>
      <w:r w:rsidR="004B49C4">
        <w:t>,</w:t>
      </w:r>
      <w:r w:rsidR="00D2231D">
        <w:t xml:space="preserve"> and noted that this approach was consistent with that used to determine the cost-effective price for ponatinib.</w:t>
      </w:r>
      <w:r w:rsidRPr="004B49C4">
        <w:rPr>
          <w:rFonts w:asciiTheme="minorHAnsi" w:hAnsiTheme="minorHAnsi"/>
          <w:snapToGrid w:val="0"/>
          <w:lang w:val="en-GB"/>
        </w:rPr>
        <w:t xml:space="preserve">  </w:t>
      </w:r>
      <w:r w:rsidR="00F35310" w:rsidRPr="004B49C4">
        <w:rPr>
          <w:rFonts w:asciiTheme="minorHAnsi" w:hAnsiTheme="minorHAnsi"/>
          <w:snapToGrid w:val="0"/>
          <w:lang w:val="en-GB"/>
        </w:rPr>
        <w:t>In this context, t</w:t>
      </w:r>
      <w:r w:rsidR="007770F0" w:rsidRPr="004B49C4">
        <w:rPr>
          <w:rFonts w:asciiTheme="minorHAnsi" w:hAnsiTheme="minorHAnsi"/>
          <w:snapToGrid w:val="0"/>
          <w:lang w:val="en-GB"/>
        </w:rPr>
        <w:t>he PBAC considered</w:t>
      </w:r>
      <w:r w:rsidR="008B2355" w:rsidRPr="004B49C4">
        <w:rPr>
          <w:rFonts w:asciiTheme="minorHAnsi" w:hAnsiTheme="minorHAnsi"/>
          <w:snapToGrid w:val="0"/>
          <w:lang w:val="en-GB"/>
        </w:rPr>
        <w:t xml:space="preserve"> that</w:t>
      </w:r>
      <w:r w:rsidR="007770F0" w:rsidRPr="004B49C4">
        <w:rPr>
          <w:rFonts w:asciiTheme="minorHAnsi" w:hAnsiTheme="minorHAnsi"/>
          <w:snapToGrid w:val="0"/>
          <w:lang w:val="en-GB"/>
        </w:rPr>
        <w:t xml:space="preserve"> the comparison </w:t>
      </w:r>
      <w:r w:rsidR="008B2355" w:rsidRPr="004B49C4">
        <w:rPr>
          <w:rFonts w:asciiTheme="minorHAnsi" w:hAnsiTheme="minorHAnsi"/>
          <w:snapToGrid w:val="0"/>
          <w:lang w:val="en-GB"/>
        </w:rPr>
        <w:t xml:space="preserve">presented </w:t>
      </w:r>
      <w:r w:rsidR="007770F0" w:rsidRPr="004B49C4">
        <w:rPr>
          <w:rFonts w:asciiTheme="minorHAnsi" w:hAnsiTheme="minorHAnsi"/>
          <w:snapToGrid w:val="0"/>
          <w:lang w:val="en-GB"/>
        </w:rPr>
        <w:t>of as</w:t>
      </w:r>
      <w:r w:rsidR="00893BA6">
        <w:rPr>
          <w:rFonts w:asciiTheme="minorHAnsi" w:hAnsiTheme="minorHAnsi"/>
          <w:snapToGrid w:val="0"/>
          <w:lang w:val="en-GB"/>
        </w:rPr>
        <w:t>c</w:t>
      </w:r>
      <w:r w:rsidR="007770F0" w:rsidRPr="004B49C4">
        <w:rPr>
          <w:rFonts w:asciiTheme="minorHAnsi" w:hAnsiTheme="minorHAnsi"/>
          <w:snapToGrid w:val="0"/>
          <w:lang w:val="en-GB"/>
        </w:rPr>
        <w:t xml:space="preserve">iminib versus nilotinib to be informative. </w:t>
      </w:r>
    </w:p>
    <w:bookmarkEnd w:id="75"/>
    <w:p w14:paraId="285DFD14" w14:textId="3A82AB23" w:rsidR="009D16F1" w:rsidRPr="00A5008A" w:rsidRDefault="00800DDB" w:rsidP="00A5008A">
      <w:pPr>
        <w:pStyle w:val="3-BodyText"/>
        <w:rPr>
          <w:lang w:val="en-GB"/>
        </w:rPr>
      </w:pPr>
      <w:r>
        <w:rPr>
          <w:lang w:val="en-GB"/>
        </w:rPr>
        <w:t>T</w:t>
      </w:r>
      <w:r w:rsidR="003813CE">
        <w:rPr>
          <w:lang w:val="en-GB"/>
        </w:rPr>
        <w:t xml:space="preserve">he PBAC </w:t>
      </w:r>
      <w:r w:rsidR="00427044">
        <w:rPr>
          <w:lang w:val="en-GB"/>
        </w:rPr>
        <w:t>considered</w:t>
      </w:r>
      <w:r w:rsidR="003813CE">
        <w:rPr>
          <w:lang w:val="en-GB"/>
        </w:rPr>
        <w:t xml:space="preserve"> that ponatinib is a relevant comparator for </w:t>
      </w:r>
      <w:r w:rsidR="00427044" w:rsidRPr="003813CE">
        <w:rPr>
          <w:lang w:val="en-GB"/>
        </w:rPr>
        <w:t>patients with the T315I mutation</w:t>
      </w:r>
      <w:r w:rsidR="003813CE">
        <w:rPr>
          <w:lang w:val="en-GB"/>
        </w:rPr>
        <w:t xml:space="preserve">, </w:t>
      </w:r>
      <w:r>
        <w:rPr>
          <w:lang w:val="en-GB"/>
        </w:rPr>
        <w:t>however</w:t>
      </w:r>
      <w:r w:rsidR="003813CE">
        <w:rPr>
          <w:lang w:val="en-GB"/>
        </w:rPr>
        <w:t xml:space="preserve"> noted that the submission did not present any comparative evidence </w:t>
      </w:r>
      <w:r w:rsidR="003813CE" w:rsidRPr="003813CE">
        <w:rPr>
          <w:lang w:val="en-GB"/>
        </w:rPr>
        <w:t xml:space="preserve">between asciminib and ponatinib in </w:t>
      </w:r>
      <w:r w:rsidR="00427044">
        <w:rPr>
          <w:lang w:val="en-GB"/>
        </w:rPr>
        <w:t>this patient group</w:t>
      </w:r>
      <w:r w:rsidR="003813CE">
        <w:rPr>
          <w:lang w:val="en-GB"/>
        </w:rPr>
        <w:t>.</w:t>
      </w:r>
    </w:p>
    <w:p w14:paraId="7DF0FE63" w14:textId="38D28FA3" w:rsidR="009F1470" w:rsidRDefault="009F1470" w:rsidP="00CE166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uncertainties associated with the clinical claim of non-inferior efficacy</w:t>
      </w:r>
      <w:r w:rsidR="00973420">
        <w:rPr>
          <w:rFonts w:asciiTheme="minorHAnsi" w:hAnsiTheme="minorHAnsi"/>
          <w:snapToGrid w:val="0"/>
          <w:lang w:val="en-GB"/>
        </w:rPr>
        <w:t xml:space="preserve"> of asciminib</w:t>
      </w:r>
      <w:r>
        <w:rPr>
          <w:rFonts w:asciiTheme="minorHAnsi" w:hAnsiTheme="minorHAnsi"/>
          <w:snapToGrid w:val="0"/>
          <w:lang w:val="en-GB"/>
        </w:rPr>
        <w:t xml:space="preserve"> compared to nilotinib</w:t>
      </w:r>
      <w:r w:rsidR="00973420">
        <w:rPr>
          <w:rFonts w:asciiTheme="minorHAnsi" w:hAnsiTheme="minorHAnsi"/>
          <w:snapToGrid w:val="0"/>
          <w:lang w:val="en-GB"/>
        </w:rPr>
        <w:t xml:space="preserve"> </w:t>
      </w:r>
      <w:r w:rsidR="00973420" w:rsidRPr="00656690">
        <w:rPr>
          <w:rFonts w:asciiTheme="minorHAnsi" w:hAnsiTheme="minorHAnsi"/>
          <w:snapToGrid w:val="0"/>
          <w:lang w:val="en-GB"/>
        </w:rPr>
        <w:t xml:space="preserve">based on the evidence from the </w:t>
      </w:r>
      <w:r w:rsidR="006D489A" w:rsidRPr="002B4570">
        <w:t>ASCEMBL</w:t>
      </w:r>
      <w:r w:rsidR="00973420" w:rsidRPr="00656690">
        <w:rPr>
          <w:rFonts w:asciiTheme="minorHAnsi" w:hAnsiTheme="minorHAnsi"/>
          <w:snapToGrid w:val="0"/>
          <w:lang w:val="en-GB"/>
        </w:rPr>
        <w:t xml:space="preserve"> and </w:t>
      </w:r>
      <w:r w:rsidR="00973420">
        <w:rPr>
          <w:rFonts w:asciiTheme="minorHAnsi" w:hAnsiTheme="minorHAnsi"/>
          <w:snapToGrid w:val="0"/>
          <w:lang w:val="en-GB"/>
        </w:rPr>
        <w:t>ENACT</w:t>
      </w:r>
      <w:r w:rsidR="00973420" w:rsidRPr="00656690">
        <w:rPr>
          <w:rFonts w:asciiTheme="minorHAnsi" w:hAnsiTheme="minorHAnsi"/>
          <w:snapToGrid w:val="0"/>
          <w:lang w:val="en-GB"/>
        </w:rPr>
        <w:t xml:space="preserve"> trials</w:t>
      </w:r>
      <w:r>
        <w:rPr>
          <w:rFonts w:asciiTheme="minorHAnsi" w:hAnsiTheme="minorHAnsi"/>
          <w:snapToGrid w:val="0"/>
          <w:lang w:val="en-GB"/>
        </w:rPr>
        <w:t xml:space="preserve">. </w:t>
      </w:r>
      <w:r w:rsidR="00492CCB">
        <w:rPr>
          <w:rFonts w:asciiTheme="minorHAnsi" w:hAnsiTheme="minorHAnsi"/>
          <w:snapToGrid w:val="0"/>
          <w:lang w:val="en-GB"/>
        </w:rPr>
        <w:t>T</w:t>
      </w:r>
      <w:r w:rsidR="008938F2">
        <w:rPr>
          <w:rFonts w:asciiTheme="minorHAnsi" w:hAnsiTheme="minorHAnsi"/>
          <w:snapToGrid w:val="0"/>
          <w:lang w:val="en-GB"/>
        </w:rPr>
        <w:t xml:space="preserve">he ITC involved a French subgroup of the ENACT trial that was not pre-specified </w:t>
      </w:r>
      <w:r w:rsidR="00DD172F">
        <w:rPr>
          <w:rFonts w:asciiTheme="minorHAnsi" w:hAnsiTheme="minorHAnsi"/>
          <w:snapToGrid w:val="0"/>
          <w:lang w:val="en-GB"/>
        </w:rPr>
        <w:t>and had</w:t>
      </w:r>
      <w:r w:rsidR="008938F2">
        <w:rPr>
          <w:rFonts w:asciiTheme="minorHAnsi" w:hAnsiTheme="minorHAnsi"/>
          <w:snapToGrid w:val="0"/>
          <w:lang w:val="en-GB"/>
        </w:rPr>
        <w:t xml:space="preserve"> unknown baseline characteristics, although </w:t>
      </w:r>
      <w:r w:rsidR="008D0E71">
        <w:rPr>
          <w:rFonts w:asciiTheme="minorHAnsi" w:hAnsiTheme="minorHAnsi"/>
          <w:snapToGrid w:val="0"/>
          <w:lang w:val="en-GB"/>
        </w:rPr>
        <w:t xml:space="preserve">partial </w:t>
      </w:r>
      <w:r w:rsidR="008938F2">
        <w:rPr>
          <w:rFonts w:asciiTheme="minorHAnsi" w:hAnsiTheme="minorHAnsi"/>
          <w:snapToGrid w:val="0"/>
          <w:lang w:val="en-GB"/>
        </w:rPr>
        <w:t xml:space="preserve">patient characteristics were subsequently provided. </w:t>
      </w:r>
      <w:r w:rsidR="00540E9E">
        <w:t>Despite the limitations of the evidence, t</w:t>
      </w:r>
      <w:r w:rsidR="00C221A3">
        <w:t>he PBAC considered that</w:t>
      </w:r>
      <w:r w:rsidR="00540E9E">
        <w:t xml:space="preserve"> </w:t>
      </w:r>
      <w:r w:rsidR="00C221A3">
        <w:t>non-inferior efficacy of asciminib against nilotinib is likely supported.</w:t>
      </w:r>
    </w:p>
    <w:p w14:paraId="2B37C3A6" w14:textId="41DDF5B3" w:rsidR="00C221A3" w:rsidRPr="00656690" w:rsidRDefault="00C221A3" w:rsidP="00CE1668">
      <w:pPr>
        <w:widowControl w:val="0"/>
        <w:numPr>
          <w:ilvl w:val="1"/>
          <w:numId w:val="1"/>
        </w:numPr>
        <w:spacing w:after="120"/>
        <w:rPr>
          <w:rFonts w:asciiTheme="minorHAnsi" w:hAnsiTheme="minorHAnsi"/>
          <w:snapToGrid w:val="0"/>
          <w:lang w:val="en-GB"/>
        </w:rPr>
      </w:pPr>
      <w:r w:rsidRPr="00656690">
        <w:rPr>
          <w:rFonts w:asciiTheme="minorHAnsi" w:hAnsiTheme="minorHAnsi"/>
          <w:snapToGrid w:val="0"/>
          <w:lang w:val="en-GB"/>
        </w:rPr>
        <w:t>The PBAC did not accept the</w:t>
      </w:r>
      <w:r w:rsidR="000F4F91" w:rsidRPr="00656690">
        <w:rPr>
          <w:rFonts w:asciiTheme="minorHAnsi" w:hAnsiTheme="minorHAnsi"/>
          <w:snapToGrid w:val="0"/>
          <w:lang w:val="en-GB"/>
        </w:rPr>
        <w:t xml:space="preserve"> claim of non-inferior efficacy of as</w:t>
      </w:r>
      <w:r w:rsidR="00893BA6">
        <w:rPr>
          <w:rFonts w:asciiTheme="minorHAnsi" w:hAnsiTheme="minorHAnsi"/>
          <w:snapToGrid w:val="0"/>
          <w:lang w:val="en-GB"/>
        </w:rPr>
        <w:t>c</w:t>
      </w:r>
      <w:r w:rsidR="000F4F91" w:rsidRPr="00656690">
        <w:rPr>
          <w:rFonts w:asciiTheme="minorHAnsi" w:hAnsiTheme="minorHAnsi"/>
          <w:snapToGrid w:val="0"/>
          <w:lang w:val="en-GB"/>
        </w:rPr>
        <w:t>iminib compared to ponatinib based on the</w:t>
      </w:r>
      <w:r w:rsidRPr="00656690">
        <w:rPr>
          <w:rFonts w:asciiTheme="minorHAnsi" w:hAnsiTheme="minorHAnsi"/>
          <w:snapToGrid w:val="0"/>
          <w:lang w:val="en-GB"/>
        </w:rPr>
        <w:t xml:space="preserve"> evidence </w:t>
      </w:r>
      <w:r w:rsidR="0017469E" w:rsidRPr="00656690">
        <w:rPr>
          <w:rFonts w:asciiTheme="minorHAnsi" w:hAnsiTheme="minorHAnsi"/>
          <w:snapToGrid w:val="0"/>
          <w:lang w:val="en-GB"/>
        </w:rPr>
        <w:t xml:space="preserve">from the </w:t>
      </w:r>
      <w:r w:rsidR="006D489A" w:rsidRPr="002B4570">
        <w:t>ASCEMBL</w:t>
      </w:r>
      <w:r w:rsidR="0017469E" w:rsidRPr="00656690">
        <w:rPr>
          <w:rFonts w:asciiTheme="minorHAnsi" w:hAnsiTheme="minorHAnsi"/>
          <w:snapToGrid w:val="0"/>
          <w:lang w:val="en-GB"/>
        </w:rPr>
        <w:t xml:space="preserve"> and PACE trials</w:t>
      </w:r>
      <w:r w:rsidR="000F4F91" w:rsidRPr="00656690">
        <w:rPr>
          <w:rFonts w:asciiTheme="minorHAnsi" w:hAnsiTheme="minorHAnsi"/>
          <w:snapToGrid w:val="0"/>
          <w:lang w:val="en-GB"/>
        </w:rPr>
        <w:t>.</w:t>
      </w:r>
      <w:r w:rsidR="00492CCB">
        <w:rPr>
          <w:rFonts w:asciiTheme="minorHAnsi" w:hAnsiTheme="minorHAnsi"/>
          <w:snapToGrid w:val="0"/>
          <w:lang w:val="en-GB"/>
        </w:rPr>
        <w:t xml:space="preserve"> The ITC was vulnerable to differences in baseline characteristics that prognostically favoured asciminib over ponatinib.</w:t>
      </w:r>
      <w:r w:rsidRPr="00656690">
        <w:rPr>
          <w:rFonts w:asciiTheme="minorHAnsi" w:hAnsiTheme="minorHAnsi"/>
          <w:snapToGrid w:val="0"/>
          <w:lang w:val="en-GB"/>
        </w:rPr>
        <w:t xml:space="preserve"> </w:t>
      </w:r>
      <w:r w:rsidR="00492CCB">
        <w:rPr>
          <w:rFonts w:asciiTheme="minorHAnsi" w:hAnsiTheme="minorHAnsi"/>
          <w:snapToGrid w:val="0"/>
          <w:lang w:val="en-GB"/>
        </w:rPr>
        <w:t>Further, t</w:t>
      </w:r>
      <w:r w:rsidR="000F4F91" w:rsidRPr="00656690">
        <w:rPr>
          <w:rFonts w:asciiTheme="minorHAnsi" w:hAnsiTheme="minorHAnsi"/>
          <w:snapToGrid w:val="0"/>
          <w:lang w:val="en-GB"/>
        </w:rPr>
        <w:t xml:space="preserve">he PBAC noted that </w:t>
      </w:r>
      <w:r w:rsidRPr="00656690">
        <w:t xml:space="preserve">asciminib evidence from the </w:t>
      </w:r>
      <w:r w:rsidR="006D489A" w:rsidRPr="002B4570">
        <w:t>ASCEMBL</w:t>
      </w:r>
      <w:r w:rsidRPr="00656690">
        <w:t xml:space="preserve"> trial was </w:t>
      </w:r>
      <w:r w:rsidRPr="0060043A">
        <w:t>obtained in patients without a T315I mutation</w:t>
      </w:r>
      <w:r w:rsidR="000F4F91" w:rsidRPr="0060043A">
        <w:t>,</w:t>
      </w:r>
      <w:r w:rsidR="0017469E" w:rsidRPr="0060043A">
        <w:t xml:space="preserve"> but it is likely that almost all current ponatinib use is in patients with this mutation</w:t>
      </w:r>
      <w:r w:rsidRPr="0060043A">
        <w:rPr>
          <w:bCs/>
        </w:rPr>
        <w:t>.</w:t>
      </w:r>
      <w:r w:rsidR="000F4F91" w:rsidRPr="0060043A">
        <w:rPr>
          <w:bCs/>
        </w:rPr>
        <w:t xml:space="preserve"> </w:t>
      </w:r>
      <w:r w:rsidR="00427044" w:rsidRPr="0060043A">
        <w:rPr>
          <w:bCs/>
        </w:rPr>
        <w:t>T</w:t>
      </w:r>
      <w:r w:rsidR="000F4F91" w:rsidRPr="0060043A">
        <w:rPr>
          <w:bCs/>
        </w:rPr>
        <w:t xml:space="preserve">he PBAC </w:t>
      </w:r>
      <w:r w:rsidR="0030340B" w:rsidRPr="0060043A">
        <w:rPr>
          <w:bCs/>
        </w:rPr>
        <w:t xml:space="preserve">considered </w:t>
      </w:r>
      <w:r w:rsidR="000F4F91" w:rsidRPr="0060043A">
        <w:rPr>
          <w:bCs/>
        </w:rPr>
        <w:t xml:space="preserve"> that</w:t>
      </w:r>
      <w:r w:rsidR="00427044" w:rsidRPr="0060043A">
        <w:rPr>
          <w:bCs/>
        </w:rPr>
        <w:t xml:space="preserve"> data </w:t>
      </w:r>
      <w:r w:rsidR="00D305E7" w:rsidRPr="0060043A">
        <w:rPr>
          <w:bCs/>
        </w:rPr>
        <w:t>from patients with the T315I mutation treated with asciminib in</w:t>
      </w:r>
      <w:r w:rsidRPr="0060043A">
        <w:rPr>
          <w:bCs/>
        </w:rPr>
        <w:t xml:space="preserve"> the </w:t>
      </w:r>
      <w:r w:rsidR="0030340B" w:rsidRPr="0060043A">
        <w:rPr>
          <w:bCs/>
        </w:rPr>
        <w:t>CABL001</w:t>
      </w:r>
      <w:r w:rsidRPr="0060043A">
        <w:rPr>
          <w:bCs/>
        </w:rPr>
        <w:t>X2101 trial</w:t>
      </w:r>
      <w:r w:rsidR="00492CCB" w:rsidRPr="0060043A">
        <w:rPr>
          <w:bCs/>
        </w:rPr>
        <w:t xml:space="preserve"> </w:t>
      </w:r>
      <w:r w:rsidRPr="0060043A">
        <w:rPr>
          <w:bCs/>
        </w:rPr>
        <w:t>(para</w:t>
      </w:r>
      <w:r w:rsidR="00656690" w:rsidRPr="0060043A">
        <w:rPr>
          <w:bCs/>
        </w:rPr>
        <w:t>graph</w:t>
      </w:r>
      <w:r w:rsidRPr="0060043A">
        <w:rPr>
          <w:bCs/>
        </w:rPr>
        <w:t xml:space="preserve"> </w:t>
      </w:r>
      <w:r w:rsidR="00656690" w:rsidRPr="0060043A">
        <w:rPr>
          <w:bCs/>
        </w:rPr>
        <w:fldChar w:fldCharType="begin"/>
      </w:r>
      <w:r w:rsidR="00656690" w:rsidRPr="0060043A">
        <w:rPr>
          <w:bCs/>
        </w:rPr>
        <w:instrText xml:space="preserve"> REF _Ref110459683 \r \h  \* MERGEFORMAT </w:instrText>
      </w:r>
      <w:r w:rsidR="00656690" w:rsidRPr="0060043A">
        <w:rPr>
          <w:bCs/>
        </w:rPr>
      </w:r>
      <w:r w:rsidR="00656690" w:rsidRPr="0060043A">
        <w:rPr>
          <w:bCs/>
        </w:rPr>
        <w:fldChar w:fldCharType="separate"/>
      </w:r>
      <w:r w:rsidR="00A914F4">
        <w:rPr>
          <w:bCs/>
        </w:rPr>
        <w:t>7.6</w:t>
      </w:r>
      <w:r w:rsidR="00656690" w:rsidRPr="0060043A">
        <w:rPr>
          <w:bCs/>
        </w:rPr>
        <w:fldChar w:fldCharType="end"/>
      </w:r>
      <w:r w:rsidRPr="0060043A">
        <w:rPr>
          <w:bCs/>
        </w:rPr>
        <w:t>)</w:t>
      </w:r>
      <w:r w:rsidR="00427044" w:rsidRPr="0060043A">
        <w:rPr>
          <w:bCs/>
        </w:rPr>
        <w:t xml:space="preserve"> is relevant</w:t>
      </w:r>
      <w:r w:rsidR="00C44188">
        <w:rPr>
          <w:bCs/>
        </w:rPr>
        <w:t xml:space="preserve"> to this clinical claim</w:t>
      </w:r>
      <w:r w:rsidRPr="00656690">
        <w:rPr>
          <w:bCs/>
        </w:rPr>
        <w:t>.</w:t>
      </w:r>
      <w:r w:rsidR="00C44188">
        <w:rPr>
          <w:bCs/>
        </w:rPr>
        <w:t xml:space="preserve">  </w:t>
      </w:r>
    </w:p>
    <w:p w14:paraId="33C041F4" w14:textId="7B27BBCD" w:rsidR="000E2418" w:rsidRPr="00DA7184" w:rsidRDefault="00F005D0" w:rsidP="00CE1668">
      <w:pPr>
        <w:widowControl w:val="0"/>
        <w:numPr>
          <w:ilvl w:val="1"/>
          <w:numId w:val="1"/>
        </w:numPr>
        <w:spacing w:after="120"/>
        <w:rPr>
          <w:rFonts w:asciiTheme="minorHAnsi" w:hAnsiTheme="minorHAnsi"/>
          <w:snapToGrid w:val="0"/>
          <w:lang w:val="en-GB"/>
        </w:rPr>
      </w:pPr>
      <w:r w:rsidRPr="00F005D0">
        <w:rPr>
          <w:rFonts w:asciiTheme="minorHAnsi" w:hAnsiTheme="minorHAnsi"/>
          <w:snapToGrid w:val="0"/>
          <w:lang w:val="en-GB"/>
        </w:rPr>
        <w:t xml:space="preserve">The PBAC did not accept the claim of </w:t>
      </w:r>
      <w:r>
        <w:rPr>
          <w:rFonts w:asciiTheme="minorHAnsi" w:hAnsiTheme="minorHAnsi"/>
          <w:snapToGrid w:val="0"/>
          <w:lang w:val="en-GB"/>
        </w:rPr>
        <w:t xml:space="preserve">superior safety of asciminib compared to nilotinib and ponatinib. The PBAC noted that the randomised </w:t>
      </w:r>
      <w:r w:rsidR="006D489A" w:rsidRPr="002B4570">
        <w:t>ASCEMBL</w:t>
      </w:r>
      <w:r>
        <w:rPr>
          <w:rFonts w:asciiTheme="minorHAnsi" w:hAnsiTheme="minorHAnsi"/>
          <w:snapToGrid w:val="0"/>
          <w:lang w:val="en-GB"/>
        </w:rPr>
        <w:t xml:space="preserve"> trial comparing asciminib to </w:t>
      </w:r>
      <w:r w:rsidRPr="002B4570">
        <w:t>a second-generation TKI</w:t>
      </w:r>
      <w:r>
        <w:t xml:space="preserve"> (bosutinib) failed to </w:t>
      </w:r>
      <w:r w:rsidR="00EB2A42">
        <w:t xml:space="preserve">show statistically significant differences between arms </w:t>
      </w:r>
      <w:r w:rsidR="00EB2A42" w:rsidRPr="002B4570">
        <w:t>in any-grade AEs, SAEs, fatal SAEs or Grade </w:t>
      </w:r>
      <w:r w:rsidR="00EB2A42" w:rsidRPr="002B4570">
        <w:rPr>
          <w:rFonts w:cstheme="minorHAnsi"/>
        </w:rPr>
        <w:t>≥</w:t>
      </w:r>
      <w:r w:rsidR="00EB2A42" w:rsidRPr="002B4570">
        <w:t>3 AEs.</w:t>
      </w:r>
      <w:r w:rsidR="00EB2A42">
        <w:t xml:space="preserve"> Further, the PBAC </w:t>
      </w:r>
      <w:r w:rsidR="004E1C4E">
        <w:t>noted</w:t>
      </w:r>
      <w:r w:rsidR="00EB2A42">
        <w:t xml:space="preserve"> that the</w:t>
      </w:r>
      <w:r w:rsidR="00EB2A42" w:rsidRPr="002B4570">
        <w:rPr>
          <w:rFonts w:eastAsia="Calibri"/>
        </w:rPr>
        <w:t xml:space="preserve"> transitivity assumption for the </w:t>
      </w:r>
      <w:r w:rsidR="00B27C07">
        <w:rPr>
          <w:rFonts w:eastAsia="Calibri"/>
        </w:rPr>
        <w:t xml:space="preserve">ITCs </w:t>
      </w:r>
      <w:r w:rsidR="00EB2A42" w:rsidRPr="002B4570">
        <w:rPr>
          <w:rFonts w:eastAsia="Calibri"/>
        </w:rPr>
        <w:t>may not hold, as patients in the asciminib arm of the ASCMEBL trial were younger, with a lower ECOG PS, compared to patients in the</w:t>
      </w:r>
      <w:r w:rsidR="00B27C07">
        <w:rPr>
          <w:rFonts w:eastAsia="Calibri"/>
        </w:rPr>
        <w:t xml:space="preserve"> ENACT</w:t>
      </w:r>
      <w:r w:rsidR="00EB2A42" w:rsidRPr="002B4570">
        <w:rPr>
          <w:rFonts w:eastAsia="Calibri"/>
        </w:rPr>
        <w:t xml:space="preserve"> </w:t>
      </w:r>
      <w:r w:rsidR="00B27C07">
        <w:rPr>
          <w:rFonts w:eastAsia="Calibri"/>
        </w:rPr>
        <w:t>(</w:t>
      </w:r>
      <w:r w:rsidR="00EB2A42" w:rsidRPr="002B4570">
        <w:rPr>
          <w:rFonts w:eastAsia="Calibri"/>
        </w:rPr>
        <w:t>nilotinib</w:t>
      </w:r>
      <w:r w:rsidR="00B27C07">
        <w:rPr>
          <w:rFonts w:eastAsia="Calibri"/>
        </w:rPr>
        <w:t>)</w:t>
      </w:r>
      <w:r w:rsidR="00EB2A42" w:rsidRPr="002B4570">
        <w:rPr>
          <w:rFonts w:eastAsia="Calibri"/>
        </w:rPr>
        <w:t xml:space="preserve"> and</w:t>
      </w:r>
      <w:r w:rsidR="00B27C07">
        <w:rPr>
          <w:rFonts w:eastAsia="Calibri"/>
        </w:rPr>
        <w:t xml:space="preserve"> PACE</w:t>
      </w:r>
      <w:r w:rsidR="00EB2A42" w:rsidRPr="002B4570">
        <w:rPr>
          <w:rFonts w:eastAsia="Calibri"/>
        </w:rPr>
        <w:t xml:space="preserve"> </w:t>
      </w:r>
      <w:r w:rsidR="00B27C07">
        <w:rPr>
          <w:rFonts w:eastAsia="Calibri"/>
        </w:rPr>
        <w:t>(</w:t>
      </w:r>
      <w:r w:rsidR="00EB2A42" w:rsidRPr="002B4570">
        <w:rPr>
          <w:rFonts w:eastAsia="Calibri"/>
        </w:rPr>
        <w:t>ponatinib</w:t>
      </w:r>
      <w:r w:rsidR="00B27C07">
        <w:rPr>
          <w:rFonts w:eastAsia="Calibri"/>
        </w:rPr>
        <w:t>)</w:t>
      </w:r>
      <w:r w:rsidR="00EB2A42" w:rsidRPr="002B4570">
        <w:rPr>
          <w:rFonts w:eastAsia="Calibri"/>
        </w:rPr>
        <w:t xml:space="preserve"> trials.</w:t>
      </w:r>
      <w:r w:rsidR="004E1C4E">
        <w:rPr>
          <w:rFonts w:eastAsia="Calibri"/>
        </w:rPr>
        <w:t xml:space="preserve"> The PBAC considered that superior safety of asciminib to nilotinib cannot be assessed in the context of an unanchored, unadjusted ITC. </w:t>
      </w:r>
      <w:r w:rsidR="002A152E">
        <w:rPr>
          <w:rFonts w:eastAsia="Calibri"/>
        </w:rPr>
        <w:t>The PBAC considered that the available data do not support the claim of superior safety to either nilotinib or ponatinib.</w:t>
      </w:r>
    </w:p>
    <w:p w14:paraId="2C9A00EA" w14:textId="2364AECA" w:rsidR="00EE6AE7" w:rsidRDefault="00DA7184" w:rsidP="00CE1668">
      <w:pPr>
        <w:widowControl w:val="0"/>
        <w:numPr>
          <w:ilvl w:val="1"/>
          <w:numId w:val="1"/>
        </w:numPr>
        <w:spacing w:after="120"/>
        <w:rPr>
          <w:rFonts w:asciiTheme="minorHAnsi" w:hAnsiTheme="minorHAnsi"/>
          <w:snapToGrid w:val="0"/>
          <w:lang w:val="en-GB"/>
        </w:rPr>
      </w:pPr>
      <w:bookmarkStart w:id="76" w:name="_Ref110950678"/>
      <w:r>
        <w:rPr>
          <w:rFonts w:asciiTheme="minorHAnsi" w:hAnsiTheme="minorHAnsi"/>
          <w:snapToGrid w:val="0"/>
          <w:lang w:val="en-GB"/>
        </w:rPr>
        <w:t xml:space="preserve">The PBAC considered </w:t>
      </w:r>
      <w:r w:rsidR="007242AE">
        <w:rPr>
          <w:rFonts w:asciiTheme="minorHAnsi" w:hAnsiTheme="minorHAnsi"/>
          <w:snapToGrid w:val="0"/>
          <w:lang w:val="en-GB"/>
        </w:rPr>
        <w:t xml:space="preserve">that the equi-effective doses for asciminib and nilotinib in patients without the T315I mutation should be based on median doses in the </w:t>
      </w:r>
      <w:r w:rsidR="006D489A" w:rsidRPr="002B4570">
        <w:t>ASCEMBL</w:t>
      </w:r>
      <w:r w:rsidR="00EE6AE7">
        <w:rPr>
          <w:rFonts w:asciiTheme="minorHAnsi" w:hAnsiTheme="minorHAnsi"/>
          <w:snapToGrid w:val="0"/>
          <w:lang w:val="en-GB"/>
        </w:rPr>
        <w:t xml:space="preserve"> (79.</w:t>
      </w:r>
      <w:r w:rsidR="00E0045D">
        <w:rPr>
          <w:rFonts w:asciiTheme="minorHAnsi" w:hAnsiTheme="minorHAnsi"/>
          <w:snapToGrid w:val="0"/>
          <w:lang w:val="en-GB"/>
        </w:rPr>
        <w:t>8 </w:t>
      </w:r>
      <w:r w:rsidR="00EE6AE7">
        <w:rPr>
          <w:rFonts w:asciiTheme="minorHAnsi" w:hAnsiTheme="minorHAnsi"/>
          <w:snapToGrid w:val="0"/>
          <w:lang w:val="en-GB"/>
        </w:rPr>
        <w:t>mg/day)</w:t>
      </w:r>
      <w:r w:rsidR="007242AE">
        <w:rPr>
          <w:rFonts w:asciiTheme="minorHAnsi" w:hAnsiTheme="minorHAnsi"/>
          <w:snapToGrid w:val="0"/>
          <w:lang w:val="en-GB"/>
        </w:rPr>
        <w:t xml:space="preserve"> and ENACT </w:t>
      </w:r>
      <w:r w:rsidR="00EE6AE7">
        <w:rPr>
          <w:rFonts w:asciiTheme="minorHAnsi" w:hAnsiTheme="minorHAnsi"/>
          <w:snapToGrid w:val="0"/>
          <w:lang w:val="en-GB"/>
        </w:rPr>
        <w:t>(782.5</w:t>
      </w:r>
      <w:r w:rsidR="00E0045D">
        <w:rPr>
          <w:rFonts w:asciiTheme="minorHAnsi" w:hAnsiTheme="minorHAnsi"/>
          <w:snapToGrid w:val="0"/>
          <w:lang w:val="en-GB"/>
        </w:rPr>
        <w:t> </w:t>
      </w:r>
      <w:r w:rsidR="00EE6AE7">
        <w:rPr>
          <w:rFonts w:asciiTheme="minorHAnsi" w:hAnsiTheme="minorHAnsi"/>
          <w:snapToGrid w:val="0"/>
          <w:lang w:val="en-GB"/>
        </w:rPr>
        <w:t xml:space="preserve">mg/day) </w:t>
      </w:r>
      <w:r w:rsidR="007242AE">
        <w:rPr>
          <w:rFonts w:asciiTheme="minorHAnsi" w:hAnsiTheme="minorHAnsi"/>
          <w:snapToGrid w:val="0"/>
          <w:lang w:val="en-GB"/>
        </w:rPr>
        <w:t xml:space="preserve">trials, respectively. </w:t>
      </w:r>
      <w:r w:rsidR="00EE6AE7">
        <w:rPr>
          <w:rFonts w:asciiTheme="minorHAnsi" w:hAnsiTheme="minorHAnsi"/>
          <w:snapToGrid w:val="0"/>
          <w:lang w:val="en-GB"/>
        </w:rPr>
        <w:t xml:space="preserve">The PBAC </w:t>
      </w:r>
      <w:r w:rsidR="00B177E7">
        <w:rPr>
          <w:rFonts w:asciiTheme="minorHAnsi" w:hAnsiTheme="minorHAnsi"/>
          <w:snapToGrid w:val="0"/>
          <w:lang w:val="en-GB"/>
        </w:rPr>
        <w:t xml:space="preserve">acknowledged </w:t>
      </w:r>
      <w:r w:rsidR="00EE6AE7">
        <w:rPr>
          <w:rFonts w:asciiTheme="minorHAnsi" w:hAnsiTheme="minorHAnsi"/>
          <w:snapToGrid w:val="0"/>
          <w:lang w:val="en-GB"/>
        </w:rPr>
        <w:t xml:space="preserve">that </w:t>
      </w:r>
      <w:r w:rsidR="00B177E7">
        <w:rPr>
          <w:rFonts w:asciiTheme="minorHAnsi" w:hAnsiTheme="minorHAnsi"/>
          <w:snapToGrid w:val="0"/>
          <w:lang w:val="en-GB"/>
        </w:rPr>
        <w:t>the appropriate statistic is the mean daily dose however</w:t>
      </w:r>
      <w:r w:rsidR="008B2355">
        <w:rPr>
          <w:rFonts w:asciiTheme="minorHAnsi" w:hAnsiTheme="minorHAnsi"/>
          <w:snapToGrid w:val="0"/>
          <w:lang w:val="en-GB"/>
        </w:rPr>
        <w:t>,</w:t>
      </w:r>
      <w:r w:rsidR="00B177E7">
        <w:rPr>
          <w:rFonts w:asciiTheme="minorHAnsi" w:hAnsiTheme="minorHAnsi"/>
          <w:snapToGrid w:val="0"/>
          <w:lang w:val="en-GB"/>
        </w:rPr>
        <w:t xml:space="preserve"> as this </w:t>
      </w:r>
      <w:r w:rsidR="008B2355">
        <w:rPr>
          <w:rFonts w:asciiTheme="minorHAnsi" w:hAnsiTheme="minorHAnsi"/>
          <w:snapToGrid w:val="0"/>
          <w:lang w:val="en-GB"/>
        </w:rPr>
        <w:t>wa</w:t>
      </w:r>
      <w:r w:rsidR="00B177E7">
        <w:rPr>
          <w:rFonts w:asciiTheme="minorHAnsi" w:hAnsiTheme="minorHAnsi"/>
          <w:snapToGrid w:val="0"/>
          <w:lang w:val="en-GB"/>
        </w:rPr>
        <w:t>s not available for nilotinib and as the proposed equi-effective dose in the submission for nilotinib was also a median dose (797</w:t>
      </w:r>
      <w:r w:rsidR="00E0045D">
        <w:rPr>
          <w:rFonts w:asciiTheme="minorHAnsi" w:hAnsiTheme="minorHAnsi"/>
          <w:snapToGrid w:val="0"/>
          <w:lang w:val="en-GB"/>
        </w:rPr>
        <w:t> </w:t>
      </w:r>
      <w:r w:rsidR="00B177E7">
        <w:rPr>
          <w:rFonts w:asciiTheme="minorHAnsi" w:hAnsiTheme="minorHAnsi"/>
          <w:snapToGrid w:val="0"/>
          <w:lang w:val="en-GB"/>
        </w:rPr>
        <w:t>mg/day</w:t>
      </w:r>
      <w:r w:rsidR="00786F52">
        <w:rPr>
          <w:rFonts w:asciiTheme="minorHAnsi" w:hAnsiTheme="minorHAnsi"/>
          <w:snapToGrid w:val="0"/>
          <w:lang w:val="en-GB"/>
        </w:rPr>
        <w:t xml:space="preserve">; </w:t>
      </w:r>
      <w:r w:rsidR="00786F52" w:rsidRPr="00B22BCB">
        <w:t>paragraph 6.32, ponatinib PSD</w:t>
      </w:r>
      <w:r w:rsidR="00786F52">
        <w:t>,</w:t>
      </w:r>
      <w:r w:rsidR="00786F52" w:rsidRPr="00B22BCB">
        <w:t xml:space="preserve"> November 2014</w:t>
      </w:r>
      <w:r w:rsidR="00786F52">
        <w:t xml:space="preserve"> PBAC meeting</w:t>
      </w:r>
      <w:r w:rsidR="00B177E7">
        <w:rPr>
          <w:rFonts w:asciiTheme="minorHAnsi" w:hAnsiTheme="minorHAnsi"/>
          <w:snapToGrid w:val="0"/>
          <w:lang w:val="en-GB"/>
        </w:rPr>
        <w:t xml:space="preserve">), the PBAC considered </w:t>
      </w:r>
      <w:r w:rsidR="004B49C4">
        <w:rPr>
          <w:rFonts w:asciiTheme="minorHAnsi" w:hAnsiTheme="minorHAnsi"/>
          <w:snapToGrid w:val="0"/>
          <w:lang w:val="en-GB"/>
        </w:rPr>
        <w:t xml:space="preserve">the </w:t>
      </w:r>
      <w:r w:rsidR="00B177E7">
        <w:rPr>
          <w:rFonts w:asciiTheme="minorHAnsi" w:hAnsiTheme="minorHAnsi"/>
          <w:snapToGrid w:val="0"/>
          <w:lang w:val="en-GB"/>
        </w:rPr>
        <w:t>median doses should be used for both asciminib and nilotinib. The PBAC considered it would be reasonable to determine the equi-effective doses for asciminib and dasatinib using the previously established equi-effective doses for dasatinib and nilotinib (</w:t>
      </w:r>
      <w:r w:rsidR="00C44649" w:rsidRPr="00C44649">
        <w:rPr>
          <w:rFonts w:asciiTheme="minorHAnsi" w:hAnsiTheme="minorHAnsi"/>
          <w:snapToGrid w:val="0"/>
          <w:lang w:val="en-GB"/>
        </w:rPr>
        <w:t>792.1</w:t>
      </w:r>
      <w:r w:rsidR="00786F52">
        <w:rPr>
          <w:rFonts w:asciiTheme="minorHAnsi" w:hAnsiTheme="minorHAnsi"/>
          <w:snapToGrid w:val="0"/>
          <w:lang w:val="en-GB"/>
        </w:rPr>
        <w:t> </w:t>
      </w:r>
      <w:r w:rsidR="00C44649" w:rsidRPr="00C44649">
        <w:rPr>
          <w:rFonts w:asciiTheme="minorHAnsi" w:hAnsiTheme="minorHAnsi"/>
          <w:snapToGrid w:val="0"/>
          <w:lang w:val="en-GB"/>
        </w:rPr>
        <w:t>mg/day nilotinib and</w:t>
      </w:r>
      <w:r w:rsidR="00C44649">
        <w:rPr>
          <w:rFonts w:asciiTheme="minorHAnsi" w:hAnsiTheme="minorHAnsi"/>
          <w:snapToGrid w:val="0"/>
          <w:lang w:val="en-GB"/>
        </w:rPr>
        <w:t xml:space="preserve"> 111</w:t>
      </w:r>
      <w:r w:rsidR="00E0045D">
        <w:rPr>
          <w:rFonts w:asciiTheme="minorHAnsi" w:hAnsiTheme="minorHAnsi"/>
          <w:snapToGrid w:val="0"/>
          <w:lang w:val="en-GB"/>
        </w:rPr>
        <w:t> </w:t>
      </w:r>
      <w:r w:rsidR="00C44649">
        <w:rPr>
          <w:rFonts w:asciiTheme="minorHAnsi" w:hAnsiTheme="minorHAnsi"/>
          <w:snapToGrid w:val="0"/>
          <w:lang w:val="en-GB"/>
        </w:rPr>
        <w:t>mg/day</w:t>
      </w:r>
      <w:r w:rsidR="00C44649" w:rsidRPr="00C44649">
        <w:rPr>
          <w:rFonts w:asciiTheme="minorHAnsi" w:hAnsiTheme="minorHAnsi"/>
          <w:snapToGrid w:val="0"/>
          <w:lang w:val="en-GB"/>
        </w:rPr>
        <w:t xml:space="preserve"> dasatinib</w:t>
      </w:r>
      <w:r w:rsidR="00C44649">
        <w:rPr>
          <w:rFonts w:asciiTheme="minorHAnsi" w:hAnsiTheme="minorHAnsi"/>
          <w:snapToGrid w:val="0"/>
          <w:lang w:val="en-GB"/>
        </w:rPr>
        <w:t xml:space="preserve">, which are also median </w:t>
      </w:r>
      <w:r w:rsidR="00C44649" w:rsidRPr="004F251C">
        <w:rPr>
          <w:rFonts w:asciiTheme="minorHAnsi" w:hAnsiTheme="minorHAnsi"/>
          <w:snapToGrid w:val="0"/>
          <w:lang w:val="en-GB"/>
        </w:rPr>
        <w:t xml:space="preserve">doses </w:t>
      </w:r>
      <w:r w:rsidR="00C36AF6" w:rsidRPr="004F251C">
        <w:rPr>
          <w:rFonts w:asciiTheme="minorHAnsi" w:hAnsiTheme="minorHAnsi"/>
          <w:snapToGrid w:val="0"/>
          <w:lang w:val="en-GB"/>
        </w:rPr>
        <w:t>(p</w:t>
      </w:r>
      <w:r w:rsidR="00786F52" w:rsidRPr="004F251C">
        <w:rPr>
          <w:rFonts w:asciiTheme="minorHAnsi" w:hAnsiTheme="minorHAnsi"/>
          <w:snapToGrid w:val="0"/>
          <w:lang w:val="en-GB"/>
        </w:rPr>
        <w:t>12</w:t>
      </w:r>
      <w:r w:rsidR="00C36AF6" w:rsidRPr="004F251C">
        <w:rPr>
          <w:rFonts w:asciiTheme="minorHAnsi" w:hAnsiTheme="minorHAnsi"/>
          <w:snapToGrid w:val="0"/>
          <w:lang w:val="en-GB"/>
        </w:rPr>
        <w:t xml:space="preserve">, </w:t>
      </w:r>
      <w:r w:rsidR="00C44649" w:rsidRPr="004F251C">
        <w:rPr>
          <w:rFonts w:asciiTheme="minorHAnsi" w:hAnsiTheme="minorHAnsi"/>
          <w:snapToGrid w:val="0"/>
          <w:lang w:val="en-GB"/>
        </w:rPr>
        <w:t>nilotinib</w:t>
      </w:r>
      <w:r w:rsidR="00C36AF6">
        <w:rPr>
          <w:rFonts w:asciiTheme="minorHAnsi" w:hAnsiTheme="minorHAnsi"/>
          <w:snapToGrid w:val="0"/>
          <w:lang w:val="en-GB"/>
        </w:rPr>
        <w:t xml:space="preserve"> PSD,</w:t>
      </w:r>
      <w:r w:rsidR="00C44649">
        <w:rPr>
          <w:rFonts w:asciiTheme="minorHAnsi" w:hAnsiTheme="minorHAnsi"/>
          <w:snapToGrid w:val="0"/>
          <w:lang w:val="en-GB"/>
        </w:rPr>
        <w:t xml:space="preserve"> Mar</w:t>
      </w:r>
      <w:r w:rsidR="00C36AF6">
        <w:rPr>
          <w:rFonts w:asciiTheme="minorHAnsi" w:hAnsiTheme="minorHAnsi"/>
          <w:snapToGrid w:val="0"/>
          <w:lang w:val="en-GB"/>
        </w:rPr>
        <w:t>ch</w:t>
      </w:r>
      <w:r w:rsidR="00C44649">
        <w:rPr>
          <w:rFonts w:asciiTheme="minorHAnsi" w:hAnsiTheme="minorHAnsi"/>
          <w:snapToGrid w:val="0"/>
          <w:lang w:val="en-GB"/>
        </w:rPr>
        <w:t xml:space="preserve"> </w:t>
      </w:r>
      <w:r w:rsidR="00C36AF6">
        <w:rPr>
          <w:rFonts w:asciiTheme="minorHAnsi" w:hAnsiTheme="minorHAnsi"/>
          <w:snapToGrid w:val="0"/>
          <w:lang w:val="en-GB"/>
        </w:rPr>
        <w:t>20</w:t>
      </w:r>
      <w:r w:rsidR="00C44649">
        <w:rPr>
          <w:rFonts w:asciiTheme="minorHAnsi" w:hAnsiTheme="minorHAnsi"/>
          <w:snapToGrid w:val="0"/>
          <w:lang w:val="en-GB"/>
        </w:rPr>
        <w:t xml:space="preserve">08 </w:t>
      </w:r>
      <w:r w:rsidR="00C36AF6">
        <w:rPr>
          <w:rFonts w:asciiTheme="minorHAnsi" w:hAnsiTheme="minorHAnsi"/>
          <w:snapToGrid w:val="0"/>
          <w:lang w:val="en-GB"/>
        </w:rPr>
        <w:t>PBAC meeting</w:t>
      </w:r>
      <w:r w:rsidR="00C44649">
        <w:rPr>
          <w:rFonts w:asciiTheme="minorHAnsi" w:hAnsiTheme="minorHAnsi"/>
          <w:snapToGrid w:val="0"/>
          <w:lang w:val="en-GB"/>
        </w:rPr>
        <w:t>)</w:t>
      </w:r>
      <w:r w:rsidR="00C44649" w:rsidRPr="00C44649">
        <w:rPr>
          <w:rFonts w:asciiTheme="minorHAnsi" w:hAnsiTheme="minorHAnsi"/>
          <w:snapToGrid w:val="0"/>
          <w:lang w:val="en-GB"/>
        </w:rPr>
        <w:t>.</w:t>
      </w:r>
      <w:bookmarkEnd w:id="76"/>
    </w:p>
    <w:p w14:paraId="42E667F5" w14:textId="051A8322" w:rsidR="002A4441" w:rsidRPr="00A33EB6" w:rsidRDefault="002A4441" w:rsidP="00CE166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included separate cost minimisation calculations of asciminib versus nilotinib and asciminib versus ponatinib, assuming </w:t>
      </w:r>
      <w:r w:rsidRPr="002B4570">
        <w:t>an identical cost of treatment over two years</w:t>
      </w:r>
      <w:r>
        <w:rPr>
          <w:rFonts w:asciiTheme="minorHAnsi" w:hAnsiTheme="minorHAnsi"/>
          <w:snapToGrid w:val="0"/>
          <w:lang w:val="en-GB"/>
        </w:rPr>
        <w:t>, and</w:t>
      </w:r>
      <w:r w:rsidR="001B7512">
        <w:rPr>
          <w:rFonts w:asciiTheme="minorHAnsi" w:hAnsiTheme="minorHAnsi"/>
          <w:snapToGrid w:val="0"/>
          <w:lang w:val="en-GB"/>
        </w:rPr>
        <w:t xml:space="preserve"> </w:t>
      </w:r>
      <w:r w:rsidR="001B7512" w:rsidRPr="0060043A">
        <w:t xml:space="preserve">including the costs of medicines, monitoring and </w:t>
      </w:r>
      <w:r w:rsidR="004B49C4" w:rsidRPr="0060043A">
        <w:t>treatment of adverse events</w:t>
      </w:r>
      <w:r w:rsidR="001B7512" w:rsidRPr="0060043A">
        <w:t>.</w:t>
      </w:r>
      <w:r w:rsidR="002E56E1" w:rsidRPr="0060043A">
        <w:rPr>
          <w:rFonts w:asciiTheme="minorHAnsi" w:hAnsiTheme="minorHAnsi"/>
          <w:snapToGrid w:val="0"/>
          <w:lang w:val="en-GB"/>
        </w:rPr>
        <w:t xml:space="preserve"> </w:t>
      </w:r>
      <w:r w:rsidR="005318C6" w:rsidRPr="0060043A">
        <w:t>The PBAC considered that a</w:t>
      </w:r>
      <w:r w:rsidR="00D23488" w:rsidRPr="0060043A">
        <w:t xml:space="preserve"> reasonable basis for establishing a cost effective price for asciminib</w:t>
      </w:r>
      <w:r w:rsidR="005318C6" w:rsidRPr="0060043A">
        <w:t xml:space="preserve">, for the reasons discussed in paragraph </w:t>
      </w:r>
      <w:r w:rsidR="005318C6" w:rsidRPr="0060043A">
        <w:fldChar w:fldCharType="begin"/>
      </w:r>
      <w:r w:rsidR="005318C6" w:rsidRPr="0060043A">
        <w:instrText xml:space="preserve"> REF _Ref110192493 \r \h  \* MERGEFORMAT </w:instrText>
      </w:r>
      <w:r w:rsidR="005318C6" w:rsidRPr="0060043A">
        <w:fldChar w:fldCharType="separate"/>
      </w:r>
      <w:r w:rsidR="00A914F4">
        <w:t>7.7</w:t>
      </w:r>
      <w:r w:rsidR="005318C6" w:rsidRPr="0060043A">
        <w:fldChar w:fldCharType="end"/>
      </w:r>
      <w:r w:rsidR="005318C6" w:rsidRPr="0060043A">
        <w:t>, would be to benchmark against the</w:t>
      </w:r>
      <w:r w:rsidR="00064C57">
        <w:t xml:space="preserve"> second generation TKIs</w:t>
      </w:r>
      <w:r w:rsidR="007B6FF0">
        <w:t xml:space="preserve">. </w:t>
      </w:r>
      <w:r w:rsidR="005A76DE">
        <w:rPr>
          <w:rFonts w:asciiTheme="minorHAnsi" w:hAnsiTheme="minorHAnsi"/>
          <w:snapToGrid w:val="0"/>
          <w:lang w:val="en-GB"/>
        </w:rPr>
        <w:t xml:space="preserve">In this context, the PBAC considered that the </w:t>
      </w:r>
      <w:r w:rsidR="005A76DE" w:rsidRPr="0060043A">
        <w:rPr>
          <w:rFonts w:asciiTheme="minorHAnsi" w:hAnsiTheme="minorHAnsi"/>
          <w:snapToGrid w:val="0"/>
          <w:lang w:val="en-GB"/>
        </w:rPr>
        <w:t>economic evaluation presented for as</w:t>
      </w:r>
      <w:r w:rsidR="00893BA6" w:rsidRPr="0060043A">
        <w:rPr>
          <w:rFonts w:asciiTheme="minorHAnsi" w:hAnsiTheme="minorHAnsi"/>
          <w:snapToGrid w:val="0"/>
          <w:lang w:val="en-GB"/>
        </w:rPr>
        <w:t>c</w:t>
      </w:r>
      <w:r w:rsidR="005A76DE" w:rsidRPr="0060043A">
        <w:rPr>
          <w:rFonts w:asciiTheme="minorHAnsi" w:hAnsiTheme="minorHAnsi"/>
          <w:snapToGrid w:val="0"/>
          <w:lang w:val="en-GB"/>
        </w:rPr>
        <w:t>iminib versus nilotinib to be informative.</w:t>
      </w:r>
      <w:r w:rsidR="007B6FF0" w:rsidRPr="0060043A">
        <w:t xml:space="preserve"> </w:t>
      </w:r>
      <w:r w:rsidR="005A76DE" w:rsidRPr="0060043A">
        <w:t>T</w:t>
      </w:r>
      <w:r w:rsidR="007B6FF0" w:rsidRPr="0060043A">
        <w:t xml:space="preserve">he PBAC considered </w:t>
      </w:r>
      <w:r w:rsidR="005A76DE" w:rsidRPr="0060043A">
        <w:t xml:space="preserve">the CMA of asciminib and nilotinib </w:t>
      </w:r>
      <w:r w:rsidR="007B6FF0" w:rsidRPr="0060043A">
        <w:t xml:space="preserve">should be based on the equi-effective doses outlined in paragraph </w:t>
      </w:r>
      <w:r w:rsidR="001F1609" w:rsidRPr="0060043A">
        <w:fldChar w:fldCharType="begin"/>
      </w:r>
      <w:r w:rsidR="001F1609" w:rsidRPr="0060043A">
        <w:instrText xml:space="preserve"> REF _Ref110950678 \r \h </w:instrText>
      </w:r>
      <w:r w:rsidR="0060043A">
        <w:instrText xml:space="preserve"> \* MERGEFORMAT </w:instrText>
      </w:r>
      <w:r w:rsidR="001F1609" w:rsidRPr="0060043A">
        <w:fldChar w:fldCharType="separate"/>
      </w:r>
      <w:r w:rsidR="00A914F4">
        <w:t>7.12</w:t>
      </w:r>
      <w:r w:rsidR="001F1609" w:rsidRPr="0060043A">
        <w:fldChar w:fldCharType="end"/>
      </w:r>
      <w:r w:rsidR="007B6FF0" w:rsidRPr="0060043A">
        <w:t>, a two year time horizon</w:t>
      </w:r>
      <w:r w:rsidR="0060043A" w:rsidRPr="0060043A">
        <w:t>,</w:t>
      </w:r>
      <w:r w:rsidR="007B6FF0" w:rsidRPr="0060043A">
        <w:t xml:space="preserve"> and the revised monitoring costs as calculated during the evaluation. Consistent with its view that the claim of superior safety has not been supported, the Committee considered there should be no cost offsets for the treatment of adverse events associated with nilotinib.</w:t>
      </w:r>
      <w:r w:rsidR="00A2121A" w:rsidRPr="0060043A">
        <w:t xml:space="preserve"> </w:t>
      </w:r>
      <w:r w:rsidR="004947E2" w:rsidRPr="0060043A">
        <w:t>The PBAC noted when benchmarking ponatinib with dasat</w:t>
      </w:r>
      <w:r w:rsidR="00D46493" w:rsidRPr="0060043A">
        <w:t>i</w:t>
      </w:r>
      <w:r w:rsidR="004947E2" w:rsidRPr="0060043A">
        <w:t>nib and nilotinib that the relative use</w:t>
      </w:r>
      <w:r w:rsidR="004947E2">
        <w:t xml:space="preserve"> of each informed the overall weighted price and considered that a similar approach may be reasonable in a future submission for asciminib.</w:t>
      </w:r>
    </w:p>
    <w:p w14:paraId="5404AD45" w14:textId="1D507C2A" w:rsidR="00801850" w:rsidRDefault="00A2121A" w:rsidP="00ED422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 financial estimates to be</w:t>
      </w:r>
      <w:r w:rsidR="00485E73">
        <w:rPr>
          <w:rFonts w:asciiTheme="minorHAnsi" w:hAnsiTheme="minorHAnsi"/>
          <w:snapToGrid w:val="0"/>
          <w:lang w:val="en-GB"/>
        </w:rPr>
        <w:t xml:space="preserve"> unreliable</w:t>
      </w:r>
      <w:r w:rsidR="00801850">
        <w:rPr>
          <w:rFonts w:asciiTheme="minorHAnsi" w:hAnsiTheme="minorHAnsi"/>
          <w:snapToGrid w:val="0"/>
          <w:lang w:val="en-GB"/>
        </w:rPr>
        <w:t xml:space="preserve">, mainly because </w:t>
      </w:r>
      <w:r w:rsidR="00801850">
        <w:t>changes in the relative use of the TKIs over the last 12-18 months were not appropriately accounted for. In terms of the inputs informing the financial estimates the PBAC noted:</w:t>
      </w:r>
    </w:p>
    <w:p w14:paraId="50401771" w14:textId="02A2A3F8" w:rsidR="001F1609" w:rsidRDefault="001F1609" w:rsidP="00801850">
      <w:pPr>
        <w:pStyle w:val="ListParagraph"/>
        <w:rPr>
          <w:lang w:val="en-GB"/>
        </w:rPr>
      </w:pPr>
      <w:r>
        <w:rPr>
          <w:lang w:val="en-GB"/>
        </w:rPr>
        <w:t xml:space="preserve">The number of prevalent patients receiving a third TKI was estimated from an analysis of the 10% PBS sample, and although the estimate in </w:t>
      </w:r>
      <w:r w:rsidR="00D46493">
        <w:rPr>
          <w:lang w:val="en-GB"/>
        </w:rPr>
        <w:t>Y</w:t>
      </w:r>
      <w:r>
        <w:rPr>
          <w:lang w:val="en-GB"/>
        </w:rPr>
        <w:t xml:space="preserve">ear 1 (528 patients) was consistent with </w:t>
      </w:r>
      <w:r w:rsidR="00FE5D2E">
        <w:rPr>
          <w:lang w:val="en-GB"/>
        </w:rPr>
        <w:t>the estimates from the</w:t>
      </w:r>
      <w:r>
        <w:rPr>
          <w:lang w:val="en-GB"/>
        </w:rPr>
        <w:t xml:space="preserve"> 2019 DUSC review, the assumption of linear growth resulted in a substantial increase in the number of patients by year 6 (885, 67% increase versus </w:t>
      </w:r>
      <w:r w:rsidR="00D46493">
        <w:rPr>
          <w:lang w:val="en-GB"/>
        </w:rPr>
        <w:t>Y</w:t>
      </w:r>
      <w:r>
        <w:rPr>
          <w:lang w:val="en-GB"/>
        </w:rPr>
        <w:t>ear 1). The PBAC considered the growth in the number of prevalent patients to have been overestimated.</w:t>
      </w:r>
    </w:p>
    <w:p w14:paraId="52781F42" w14:textId="6640DB9B" w:rsidR="00801850" w:rsidRDefault="001F1609" w:rsidP="00801850">
      <w:pPr>
        <w:pStyle w:val="ListParagraph"/>
        <w:rPr>
          <w:lang w:val="en-GB"/>
        </w:rPr>
      </w:pPr>
      <w:r>
        <w:rPr>
          <w:lang w:val="en-GB"/>
        </w:rPr>
        <w:t xml:space="preserve">The distribution of use of TKIs across the prevalent patients was extrapolated based on data from 2018-2021, and in 2027 the assumed distribution was 29% nilotinib, 37% dasatinib, 23% imatinib and 11% ponatinib. The PBAC considered the </w:t>
      </w:r>
      <w:r w:rsidR="00F631A6">
        <w:rPr>
          <w:lang w:val="en-GB"/>
        </w:rPr>
        <w:t xml:space="preserve">relative </w:t>
      </w:r>
      <w:r>
        <w:rPr>
          <w:lang w:val="en-GB"/>
        </w:rPr>
        <w:t xml:space="preserve">use of imatinib </w:t>
      </w:r>
      <w:r w:rsidR="00F631A6">
        <w:rPr>
          <w:lang w:val="en-GB"/>
        </w:rPr>
        <w:t xml:space="preserve">to have been underestimated, </w:t>
      </w:r>
      <w:r>
        <w:rPr>
          <w:lang w:val="en-GB"/>
        </w:rPr>
        <w:t xml:space="preserve">and </w:t>
      </w:r>
      <w:r w:rsidR="00F631A6">
        <w:rPr>
          <w:lang w:val="en-GB"/>
        </w:rPr>
        <w:t xml:space="preserve">that </w:t>
      </w:r>
      <w:r>
        <w:rPr>
          <w:lang w:val="en-GB"/>
        </w:rPr>
        <w:t xml:space="preserve">the use of ponatinib should reflect use </w:t>
      </w:r>
      <w:r w:rsidR="00FE5D2E">
        <w:rPr>
          <w:lang w:val="en-GB"/>
        </w:rPr>
        <w:t xml:space="preserve">primarily </w:t>
      </w:r>
      <w:r>
        <w:rPr>
          <w:lang w:val="en-GB"/>
        </w:rPr>
        <w:t>in patients with</w:t>
      </w:r>
      <w:r w:rsidR="00D46493">
        <w:rPr>
          <w:lang w:val="en-GB"/>
        </w:rPr>
        <w:t xml:space="preserve"> the</w:t>
      </w:r>
      <w:r>
        <w:rPr>
          <w:lang w:val="en-GB"/>
        </w:rPr>
        <w:t xml:space="preserve"> T315I mutation.</w:t>
      </w:r>
    </w:p>
    <w:p w14:paraId="73C935C3" w14:textId="65256034" w:rsidR="001F1609" w:rsidRPr="00AA45B9" w:rsidRDefault="001F1609" w:rsidP="00AA45B9">
      <w:pPr>
        <w:pStyle w:val="ListParagraph"/>
        <w:rPr>
          <w:lang w:val="en-GB"/>
        </w:rPr>
      </w:pPr>
      <w:r>
        <w:rPr>
          <w:lang w:val="en-GB"/>
        </w:rPr>
        <w:t xml:space="preserve">The uptake, including the relative substitution from each of the TKIs, was poorly supported and difficult to interpret. The submission assumed uptake </w:t>
      </w:r>
      <w:r w:rsidR="00552A91">
        <w:rPr>
          <w:lang w:val="en-GB"/>
        </w:rPr>
        <w:t>of</w:t>
      </w:r>
      <w:r>
        <w:rPr>
          <w:lang w:val="en-GB"/>
        </w:rPr>
        <w:t xml:space="preserve"> 35% of </w:t>
      </w:r>
      <w:r w:rsidR="00552A91">
        <w:rPr>
          <w:lang w:val="en-GB"/>
        </w:rPr>
        <w:t xml:space="preserve">the </w:t>
      </w:r>
      <w:r>
        <w:rPr>
          <w:lang w:val="en-GB"/>
        </w:rPr>
        <w:t xml:space="preserve">prevalent patients in </w:t>
      </w:r>
      <w:r w:rsidR="00552A91">
        <w:rPr>
          <w:lang w:val="en-GB"/>
        </w:rPr>
        <w:t>Y</w:t>
      </w:r>
      <w:r>
        <w:rPr>
          <w:lang w:val="en-GB"/>
        </w:rPr>
        <w:t xml:space="preserve">ear 1 increasing to 49.5% in </w:t>
      </w:r>
      <w:r w:rsidR="00552A91">
        <w:rPr>
          <w:lang w:val="en-GB"/>
        </w:rPr>
        <w:t>Y</w:t>
      </w:r>
      <w:r>
        <w:rPr>
          <w:lang w:val="en-GB"/>
        </w:rPr>
        <w:t xml:space="preserve">ear 6. The PBAC noted </w:t>
      </w:r>
      <w:r w:rsidR="00552A91">
        <w:rPr>
          <w:lang w:val="en-GB"/>
        </w:rPr>
        <w:t xml:space="preserve">that </w:t>
      </w:r>
      <w:r>
        <w:rPr>
          <w:lang w:val="en-GB"/>
        </w:rPr>
        <w:t xml:space="preserve">these percentages did not account for the grandfathered patients and the uptake including these patients was 57-59% across the 6 years. The PBAC considered the uptake in the initial years to be overestimated as </w:t>
      </w:r>
      <w:r w:rsidR="00AD6DBF">
        <w:rPr>
          <w:lang w:val="en-GB"/>
        </w:rPr>
        <w:t>patients are unlikely to switch TKI treatment unless the</w:t>
      </w:r>
      <w:r w:rsidR="00094625">
        <w:rPr>
          <w:lang w:val="en-GB"/>
        </w:rPr>
        <w:t>y</w:t>
      </w:r>
      <w:r w:rsidR="00AD6DBF">
        <w:rPr>
          <w:lang w:val="en-GB"/>
        </w:rPr>
        <w:t xml:space="preserve"> experience treatment failure or intolerance</w:t>
      </w:r>
      <w:r>
        <w:rPr>
          <w:lang w:val="en-GB"/>
        </w:rPr>
        <w:t xml:space="preserve">. The PBAC considered the uptake in the later years may be underestimated given asciminib is likely to be the preferred choice of therapy when switching treatments. The PBAC considered the assumed uptake rates in the sensitivity analysis undertaken by the evaluators (30% in </w:t>
      </w:r>
      <w:r w:rsidR="00552A91">
        <w:rPr>
          <w:lang w:val="en-GB"/>
        </w:rPr>
        <w:t>Y</w:t>
      </w:r>
      <w:r>
        <w:rPr>
          <w:lang w:val="en-GB"/>
        </w:rPr>
        <w:t xml:space="preserve">ear 1 increasing to 70% in </w:t>
      </w:r>
      <w:r w:rsidR="00552A91">
        <w:rPr>
          <w:lang w:val="en-GB"/>
        </w:rPr>
        <w:t>Y</w:t>
      </w:r>
      <w:r>
        <w:rPr>
          <w:lang w:val="en-GB"/>
        </w:rPr>
        <w:t>ears 5 and 6) to be reasonable</w:t>
      </w:r>
      <w:r w:rsidR="00094625">
        <w:rPr>
          <w:lang w:val="en-GB"/>
        </w:rPr>
        <w:t>,</w:t>
      </w:r>
      <w:r>
        <w:rPr>
          <w:lang w:val="en-GB"/>
        </w:rPr>
        <w:t xml:space="preserve"> although noted the grandfathered patients should be included in this uptake. In terms of the relative substitution from each of the TKIs, the PBAC considered the submission</w:t>
      </w:r>
      <w:r w:rsidR="00094625">
        <w:rPr>
          <w:lang w:val="en-GB"/>
        </w:rPr>
        <w:t>’</w:t>
      </w:r>
      <w:r>
        <w:rPr>
          <w:lang w:val="en-GB"/>
        </w:rPr>
        <w:t>s estimates (49.1% from nilotinib, 10.2% from ponatinib, 20.4% from dasatinib and 20.4% from imatinib)</w:t>
      </w:r>
      <w:r w:rsidR="00094625">
        <w:rPr>
          <w:lang w:val="en-GB"/>
        </w:rPr>
        <w:t>,</w:t>
      </w:r>
      <w:r>
        <w:rPr>
          <w:lang w:val="en-GB"/>
        </w:rPr>
        <w:t xml:space="preserve"> which were based on an analysis of the 10% PBS sample from 2016</w:t>
      </w:r>
      <w:r w:rsidR="00094625">
        <w:rPr>
          <w:lang w:val="en-GB"/>
        </w:rPr>
        <w:t>,</w:t>
      </w:r>
      <w:r>
        <w:rPr>
          <w:lang w:val="en-GB"/>
        </w:rPr>
        <w:t xml:space="preserve"> do not reflect </w:t>
      </w:r>
      <w:r w:rsidR="00094625">
        <w:rPr>
          <w:lang w:val="en-GB"/>
        </w:rPr>
        <w:t xml:space="preserve">current or </w:t>
      </w:r>
      <w:r>
        <w:rPr>
          <w:lang w:val="en-GB"/>
        </w:rPr>
        <w:t xml:space="preserve">expected future substitution. </w:t>
      </w:r>
      <w:r w:rsidR="00094625">
        <w:rPr>
          <w:lang w:val="en-GB"/>
        </w:rPr>
        <w:t>T</w:t>
      </w:r>
      <w:r>
        <w:rPr>
          <w:lang w:val="en-GB"/>
        </w:rPr>
        <w:t>he PBAC considered substantially higher substitution from nilotinib relative to dasatinib was unlikely</w:t>
      </w:r>
      <w:r w:rsidR="00552A91">
        <w:rPr>
          <w:lang w:val="en-GB"/>
        </w:rPr>
        <w:t>,</w:t>
      </w:r>
      <w:r>
        <w:rPr>
          <w:lang w:val="en-GB"/>
        </w:rPr>
        <w:t xml:space="preserve"> and substitution for imatinib would be expected to increase consistent with the increasing use of imatinib as the third TKI.</w:t>
      </w:r>
      <w:r w:rsidR="00171014">
        <w:rPr>
          <w:lang w:val="en-GB"/>
        </w:rPr>
        <w:t xml:space="preserve"> The PBAC noted the sensitivity analysis undertaken by the evaluators assumed equal substitution from </w:t>
      </w:r>
      <w:r w:rsidR="002235CF">
        <w:rPr>
          <w:lang w:val="en-GB"/>
        </w:rPr>
        <w:t>nilotinib and</w:t>
      </w:r>
      <w:r w:rsidR="00171014">
        <w:rPr>
          <w:lang w:val="en-GB"/>
        </w:rPr>
        <w:t xml:space="preserve"> dasatinib</w:t>
      </w:r>
      <w:r w:rsidR="002235CF">
        <w:rPr>
          <w:lang w:val="en-GB"/>
        </w:rPr>
        <w:t xml:space="preserve"> which seemed more plausible</w:t>
      </w:r>
      <w:r w:rsidR="00171014">
        <w:rPr>
          <w:lang w:val="en-GB"/>
        </w:rPr>
        <w:t>.</w:t>
      </w:r>
    </w:p>
    <w:p w14:paraId="25448DBF" w14:textId="0C0BE178" w:rsidR="00CE1668" w:rsidRPr="00C75950" w:rsidRDefault="00C0692F" w:rsidP="00C75950">
      <w:pPr>
        <w:widowControl w:val="0"/>
        <w:numPr>
          <w:ilvl w:val="1"/>
          <w:numId w:val="1"/>
        </w:numPr>
        <w:spacing w:after="120"/>
        <w:rPr>
          <w:rFonts w:asciiTheme="minorHAnsi" w:hAnsiTheme="minorHAnsi"/>
          <w:snapToGrid w:val="0"/>
          <w:u w:val="single"/>
          <w:lang w:val="en-GB"/>
        </w:rPr>
      </w:pPr>
      <w:r w:rsidRPr="00C75950">
        <w:rPr>
          <w:rFonts w:asciiTheme="minorHAnsi" w:hAnsiTheme="minorHAnsi"/>
          <w:snapToGrid w:val="0"/>
          <w:lang w:val="en-GB"/>
        </w:rPr>
        <w:t xml:space="preserve">The PBAC considered the outstanding issues could be easily resolved in a simple resubmission for </w:t>
      </w:r>
      <w:r>
        <w:rPr>
          <w:rFonts w:asciiTheme="minorHAnsi" w:hAnsiTheme="minorHAnsi"/>
          <w:snapToGrid w:val="0"/>
          <w:lang w:val="en-GB"/>
        </w:rPr>
        <w:t>asciminib</w:t>
      </w:r>
      <w:r w:rsidRPr="00C75950">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w:t>
      </w:r>
    </w:p>
    <w:p w14:paraId="61D4D992" w14:textId="5BFA6FCC" w:rsidR="00F631A6" w:rsidRPr="00A914F4" w:rsidRDefault="00F631A6" w:rsidP="009458A3">
      <w:pPr>
        <w:pStyle w:val="ListParagraph"/>
        <w:widowControl w:val="0"/>
        <w:numPr>
          <w:ilvl w:val="0"/>
          <w:numId w:val="21"/>
        </w:numPr>
        <w:ind w:left="1134"/>
      </w:pPr>
      <w:r>
        <w:rPr>
          <w:lang w:val="en-GB"/>
        </w:rPr>
        <w:t xml:space="preserve">A separate restriction for </w:t>
      </w:r>
      <w:r w:rsidRPr="006F402F">
        <w:t xml:space="preserve">patients with </w:t>
      </w:r>
      <w:r w:rsidRPr="00A914F4">
        <w:t>the T315I mutation (paragraph</w:t>
      </w:r>
      <w:r w:rsidR="0085040A" w:rsidRPr="00A914F4">
        <w:t>s</w:t>
      </w:r>
      <w:r w:rsidRPr="00A914F4">
        <w:t xml:space="preserve"> 7.</w:t>
      </w:r>
      <w:r w:rsidR="0085040A" w:rsidRPr="00A914F4">
        <w:t>5 and 7.6</w:t>
      </w:r>
      <w:r w:rsidRPr="00A914F4">
        <w:t>).</w:t>
      </w:r>
    </w:p>
    <w:p w14:paraId="3AE7C7EE" w14:textId="4A4E3426" w:rsidR="00F631A6" w:rsidRPr="00A914F4" w:rsidRDefault="00F631A6" w:rsidP="00F631A6">
      <w:pPr>
        <w:pStyle w:val="ListParagraph"/>
        <w:widowControl w:val="0"/>
        <w:numPr>
          <w:ilvl w:val="0"/>
          <w:numId w:val="21"/>
        </w:numPr>
        <w:ind w:left="1134"/>
      </w:pPr>
      <w:r w:rsidRPr="00A914F4">
        <w:t>Presentation of clinical data to support asciminib is non-inferior to ponatinib in patients with the T315I mutation (paragraph 7.</w:t>
      </w:r>
      <w:r w:rsidR="0085040A" w:rsidRPr="00A914F4">
        <w:t>10</w:t>
      </w:r>
      <w:r w:rsidRPr="00A914F4">
        <w:t>).</w:t>
      </w:r>
    </w:p>
    <w:p w14:paraId="51FE9CA5" w14:textId="145C69F7" w:rsidR="00CE1668" w:rsidRPr="00A914F4" w:rsidRDefault="00C0692F" w:rsidP="009458A3">
      <w:pPr>
        <w:pStyle w:val="ListParagraph"/>
        <w:widowControl w:val="0"/>
        <w:numPr>
          <w:ilvl w:val="0"/>
          <w:numId w:val="21"/>
        </w:numPr>
        <w:ind w:left="1134"/>
        <w:rPr>
          <w:lang w:val="en-GB"/>
        </w:rPr>
      </w:pPr>
      <w:r w:rsidRPr="00F631A6">
        <w:rPr>
          <w:lang w:val="en-GB"/>
        </w:rPr>
        <w:t>A</w:t>
      </w:r>
      <w:r w:rsidR="008B1CE0" w:rsidRPr="00F631A6">
        <w:rPr>
          <w:lang w:val="en-GB"/>
        </w:rPr>
        <w:t xml:space="preserve">n economic </w:t>
      </w:r>
      <w:r w:rsidR="008B1CE0" w:rsidRPr="00A914F4">
        <w:rPr>
          <w:lang w:val="en-GB"/>
        </w:rPr>
        <w:t xml:space="preserve">evaluation that reflects </w:t>
      </w:r>
      <w:r w:rsidR="008B1CE0" w:rsidRPr="00A914F4">
        <w:t>benchmarking against the second generation TKIs</w:t>
      </w:r>
      <w:r w:rsidR="00A21E4D" w:rsidRPr="00A914F4">
        <w:t>, nilotinib and dasatinib</w:t>
      </w:r>
      <w:r w:rsidR="00F631A6" w:rsidRPr="00A914F4">
        <w:t xml:space="preserve"> (paragraph 7.</w:t>
      </w:r>
      <w:r w:rsidR="0085040A" w:rsidRPr="00A914F4">
        <w:t>13</w:t>
      </w:r>
      <w:r w:rsidR="00F631A6" w:rsidRPr="00A914F4">
        <w:t>)</w:t>
      </w:r>
      <w:r w:rsidR="008B1CE0" w:rsidRPr="00A914F4">
        <w:t>.</w:t>
      </w:r>
    </w:p>
    <w:p w14:paraId="2499A6B1" w14:textId="2F6967E4" w:rsidR="00C0692F" w:rsidRPr="00A914F4" w:rsidRDefault="00C0692F" w:rsidP="00C0692F">
      <w:pPr>
        <w:pStyle w:val="ListBullet"/>
        <w:tabs>
          <w:tab w:val="clear" w:pos="360"/>
        </w:tabs>
        <w:spacing w:after="120"/>
        <w:ind w:left="1134" w:hanging="357"/>
        <w:contextualSpacing w:val="0"/>
        <w:rPr>
          <w:lang w:val="en-GB"/>
        </w:rPr>
      </w:pPr>
      <w:r w:rsidRPr="00A914F4">
        <w:t xml:space="preserve">Recalculation of the financial implications </w:t>
      </w:r>
      <w:r w:rsidR="00F631A6" w:rsidRPr="00A914F4">
        <w:t>incorporating the advice in paragraph 7.</w:t>
      </w:r>
      <w:r w:rsidR="0085040A" w:rsidRPr="00A914F4">
        <w:t>14</w:t>
      </w:r>
      <w:r w:rsidRPr="00A914F4">
        <w:t>.</w:t>
      </w:r>
    </w:p>
    <w:p w14:paraId="2FCC51FD" w14:textId="7991476C" w:rsidR="00CE1668" w:rsidRDefault="00C0692F" w:rsidP="00C75950">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5A26DD29" w14:textId="6E05D929" w:rsidR="00F25244" w:rsidRPr="00AA58D7" w:rsidRDefault="00C0692F" w:rsidP="008B4117">
      <w:pPr>
        <w:widowControl w:val="0"/>
        <w:numPr>
          <w:ilvl w:val="1"/>
          <w:numId w:val="1"/>
        </w:numPr>
        <w:spacing w:after="120"/>
      </w:pPr>
      <w:r w:rsidRPr="00525B39">
        <w:rPr>
          <w:rFonts w:asciiTheme="minorHAnsi" w:hAnsiTheme="minorHAnsi"/>
          <w:bCs/>
          <w:snapToGrid w:val="0"/>
          <w:lang w:val="en-GB"/>
        </w:rPr>
        <w:t>The PBAC noted that this submission is eligible for an Independent Review.</w:t>
      </w:r>
    </w:p>
    <w:p w14:paraId="6D771492" w14:textId="6B7C6CD7" w:rsidR="00F25244" w:rsidRPr="00AA58D7" w:rsidRDefault="00C0692F" w:rsidP="00F25244">
      <w:pPr>
        <w:spacing w:before="240"/>
        <w:rPr>
          <w:rFonts w:asciiTheme="minorHAnsi" w:hAnsiTheme="minorHAnsi"/>
          <w:b/>
          <w:bCs/>
          <w:snapToGrid w:val="0"/>
          <w:lang w:val="en-GB"/>
        </w:rPr>
      </w:pPr>
      <w:r w:rsidRPr="00AA58D7">
        <w:rPr>
          <w:rFonts w:asciiTheme="minorHAnsi" w:hAnsiTheme="minorHAnsi"/>
          <w:b/>
          <w:bCs/>
          <w:snapToGrid w:val="0"/>
          <w:lang w:val="en-GB"/>
        </w:rPr>
        <w:t>Outcome:</w:t>
      </w:r>
    </w:p>
    <w:p w14:paraId="683D3D61" w14:textId="3EFCD743" w:rsidR="00F25244" w:rsidRDefault="00C0692F" w:rsidP="00031A16">
      <w:pPr>
        <w:rPr>
          <w:rFonts w:asciiTheme="minorHAnsi" w:hAnsiTheme="minorHAnsi"/>
          <w:bCs/>
          <w:snapToGrid w:val="0"/>
          <w:lang w:val="en-GB"/>
        </w:rPr>
      </w:pPr>
      <w:r w:rsidRPr="00AA58D7">
        <w:rPr>
          <w:rFonts w:asciiTheme="minorHAnsi" w:hAnsiTheme="minorHAnsi"/>
          <w:bCs/>
          <w:snapToGrid w:val="0"/>
          <w:lang w:val="en-GB"/>
        </w:rPr>
        <w:t>Not recommended</w:t>
      </w:r>
    </w:p>
    <w:p w14:paraId="04DAE81B" w14:textId="77777777" w:rsidR="00E0045D" w:rsidRDefault="00E0045D" w:rsidP="00031A16">
      <w:pPr>
        <w:rPr>
          <w:rFonts w:asciiTheme="minorHAnsi" w:hAnsiTheme="minorHAnsi"/>
          <w:bCs/>
          <w:snapToGrid w:val="0"/>
          <w:lang w:val="en-GB"/>
        </w:rPr>
      </w:pPr>
    </w:p>
    <w:p w14:paraId="0E094E57" w14:textId="7CC57A96" w:rsidR="00E0045D" w:rsidRDefault="00E0045D" w:rsidP="00E0045D">
      <w:pPr>
        <w:pStyle w:val="2-SectionHeading"/>
        <w:rPr>
          <w:bCs/>
          <w:lang w:val="en-GB"/>
        </w:rPr>
      </w:pPr>
      <w:r w:rsidRPr="00C07617">
        <w:t>Context for Decision</w:t>
      </w:r>
    </w:p>
    <w:p w14:paraId="160F1029" w14:textId="77777777" w:rsidR="00E0045D" w:rsidRPr="007129F2" w:rsidRDefault="00E0045D" w:rsidP="00E0045D">
      <w:pPr>
        <w:spacing w:after="120"/>
        <w:ind w:left="426"/>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EBC358" w14:textId="482CE121" w:rsidR="00E0045D" w:rsidRPr="00C07617" w:rsidRDefault="00E0045D" w:rsidP="00E0045D">
      <w:pPr>
        <w:pStyle w:val="2-SectionHeading"/>
      </w:pPr>
      <w:r>
        <w:t>Sponsor’s Comment</w:t>
      </w:r>
    </w:p>
    <w:p w14:paraId="2A4401E4" w14:textId="0308EF55" w:rsidR="00E0045D" w:rsidRPr="00031A16" w:rsidRDefault="00900543" w:rsidP="00031A16">
      <w:pPr>
        <w:rPr>
          <w:rFonts w:asciiTheme="minorHAnsi" w:hAnsiTheme="minorHAnsi"/>
          <w:bCs/>
          <w:snapToGrid w:val="0"/>
          <w:lang w:val="en-GB"/>
        </w:rPr>
      </w:pPr>
      <w:r w:rsidRPr="00900543">
        <w:rPr>
          <w:rFonts w:asciiTheme="minorHAnsi" w:hAnsiTheme="minorHAnsi"/>
          <w:bCs/>
          <w:snapToGrid w:val="0"/>
          <w:lang w:val="en-GB"/>
        </w:rPr>
        <w:t>Novartis are committed to working with the PBAC to achieve sustainable PBS listing conditions and timely Scemblix® (asciminib) access for chronic myeloid leukaemia patients.</w:t>
      </w:r>
    </w:p>
    <w:sectPr w:rsidR="00E0045D" w:rsidRPr="00031A16" w:rsidSect="00F60D82">
      <w:headerReference w:type="default" r:id="rId8"/>
      <w:footerReference w:type="default" r:id="rId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D241" w14:textId="77777777" w:rsidR="007C6EF7" w:rsidRDefault="007C6EF7" w:rsidP="00124A51">
      <w:r>
        <w:separator/>
      </w:r>
    </w:p>
    <w:p w14:paraId="0E76BBEB" w14:textId="77777777" w:rsidR="007C6EF7" w:rsidRDefault="007C6EF7"/>
  </w:endnote>
  <w:endnote w:type="continuationSeparator" w:id="0">
    <w:p w14:paraId="1F5CF9BB" w14:textId="77777777" w:rsidR="007C6EF7" w:rsidRDefault="007C6EF7" w:rsidP="00124A51">
      <w:r>
        <w:continuationSeparator/>
      </w:r>
    </w:p>
    <w:p w14:paraId="4CE54D48" w14:textId="77777777" w:rsidR="007C6EF7" w:rsidRDefault="007C6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4868" w14:textId="77777777" w:rsidR="007C6EF7" w:rsidRPr="00CB5731" w:rsidRDefault="007C6EF7" w:rsidP="00015886">
    <w:pPr>
      <w:ind w:right="360"/>
      <w:jc w:val="center"/>
      <w:rPr>
        <w:b/>
      </w:rPr>
    </w:pPr>
  </w:p>
  <w:p w14:paraId="37484CD3" w14:textId="21D105FB" w:rsidR="007C6EF7" w:rsidRPr="00F25244" w:rsidRDefault="007C6EF7" w:rsidP="00015886">
    <w:pPr>
      <w:ind w:right="360"/>
      <w:jc w:val="center"/>
      <w:rPr>
        <w:b/>
        <w:bCs/>
      </w:rPr>
    </w:pPr>
    <w:r w:rsidRPr="00F25244">
      <w:rPr>
        <w:b/>
        <w:bCs/>
      </w:rPr>
      <w:fldChar w:fldCharType="begin"/>
    </w:r>
    <w:r w:rsidRPr="00F25244">
      <w:rPr>
        <w:b/>
        <w:bCs/>
      </w:rPr>
      <w:instrText xml:space="preserve"> PAGE   \* MERGEFORMAT </w:instrText>
    </w:r>
    <w:r w:rsidRPr="00F25244">
      <w:rPr>
        <w:b/>
        <w:bCs/>
      </w:rPr>
      <w:fldChar w:fldCharType="separate"/>
    </w:r>
    <w:r>
      <w:rPr>
        <w:b/>
        <w:bCs/>
        <w:noProof/>
      </w:rPr>
      <w:t>48</w:t>
    </w:r>
    <w:r w:rsidRPr="00F25244">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00892" w14:textId="77777777" w:rsidR="007C6EF7" w:rsidRDefault="007C6EF7" w:rsidP="00124A51">
      <w:r>
        <w:separator/>
      </w:r>
    </w:p>
    <w:p w14:paraId="1CA5A487" w14:textId="77777777" w:rsidR="007C6EF7" w:rsidRDefault="007C6EF7"/>
  </w:footnote>
  <w:footnote w:type="continuationSeparator" w:id="0">
    <w:p w14:paraId="020DA622" w14:textId="77777777" w:rsidR="007C6EF7" w:rsidRDefault="007C6EF7" w:rsidP="00124A51">
      <w:r>
        <w:continuationSeparator/>
      </w:r>
    </w:p>
    <w:p w14:paraId="60AB1674" w14:textId="77777777" w:rsidR="007C6EF7" w:rsidRDefault="007C6EF7"/>
  </w:footnote>
  <w:footnote w:id="1">
    <w:p w14:paraId="4D005B95" w14:textId="454136DB" w:rsidR="007C6EF7" w:rsidRPr="00791372" w:rsidRDefault="007C6EF7">
      <w:pPr>
        <w:pStyle w:val="FootnoteText"/>
        <w:rPr>
          <w:lang w:val="en-US"/>
        </w:rPr>
      </w:pPr>
      <w:r>
        <w:rPr>
          <w:rStyle w:val="FootnoteReference"/>
        </w:rPr>
        <w:footnoteRef/>
      </w:r>
      <w:r>
        <w:t xml:space="preserve"> Australian Institute of Health and Welfare. </w:t>
      </w:r>
      <w:r w:rsidRPr="00791372">
        <w:t>Cancer data in Australia. Australian Government. 2021.</w:t>
      </w:r>
    </w:p>
  </w:footnote>
  <w:footnote w:id="2">
    <w:p w14:paraId="44217408" w14:textId="6407239F" w:rsidR="007C6EF7" w:rsidRPr="00791372" w:rsidRDefault="007C6EF7">
      <w:pPr>
        <w:pStyle w:val="FootnoteText"/>
        <w:rPr>
          <w:lang w:val="en-US"/>
        </w:rPr>
      </w:pPr>
      <w:r>
        <w:rPr>
          <w:rStyle w:val="FootnoteReference"/>
        </w:rPr>
        <w:footnoteRef/>
      </w:r>
      <w:r>
        <w:t xml:space="preserve"> </w:t>
      </w:r>
      <w:r w:rsidRPr="00791372">
        <w:t xml:space="preserve">Radivoyevitch T, Weaver D, Hobbs B, Maciejewski JP, Hehlmann R, Jiang Q, </w:t>
      </w:r>
      <w:r w:rsidRPr="0038675B">
        <w:rPr>
          <w:i/>
        </w:rPr>
        <w:t>et al.</w:t>
      </w:r>
      <w:r w:rsidRPr="00791372">
        <w:t xml:space="preserve"> Do persons with chronic myeloid leukaemia have normal or near normal survival? </w:t>
      </w:r>
      <w:r w:rsidRPr="00791372">
        <w:rPr>
          <w:i/>
          <w:iCs/>
        </w:rPr>
        <w:t>Leukemia</w:t>
      </w:r>
      <w:r w:rsidRPr="00791372">
        <w:t>. 2020</w:t>
      </w:r>
      <w:r>
        <w:t xml:space="preserve"> </w:t>
      </w:r>
      <w:r w:rsidRPr="00791372">
        <w:t>02/01;34(2):333-5.</w:t>
      </w:r>
    </w:p>
  </w:footnote>
  <w:footnote w:id="3">
    <w:p w14:paraId="68B1D280" w14:textId="77777777" w:rsidR="007C6EF7" w:rsidRPr="004C548D" w:rsidRDefault="007C6EF7" w:rsidP="00797E8B">
      <w:pPr>
        <w:pStyle w:val="FootnoteText"/>
        <w:rPr>
          <w:lang w:val="en-US"/>
        </w:rPr>
      </w:pPr>
      <w:r>
        <w:rPr>
          <w:rStyle w:val="FootnoteReference"/>
        </w:rPr>
        <w:footnoteRef/>
      </w:r>
      <w:r>
        <w:t xml:space="preserve"> Negrin, R, Schiffer, C, Atallah, E. UpToDate: </w:t>
      </w:r>
      <w:r w:rsidRPr="00317C24">
        <w:t xml:space="preserve">Treatment of chronic myeloid </w:t>
      </w:r>
      <w:r>
        <w:t>leukaemia</w:t>
      </w:r>
      <w:r w:rsidRPr="00317C24">
        <w:t xml:space="preserve"> in chronic phase after failure of initial therap</w:t>
      </w:r>
      <w:r>
        <w:t>y</w:t>
      </w:r>
      <w:r w:rsidRPr="00317C24">
        <w:t>. Wolters Kluwer</w:t>
      </w:r>
      <w:r>
        <w:t>,</w:t>
      </w:r>
      <w:r w:rsidRPr="00317C24">
        <w:t xml:space="preserve"> 2022.</w:t>
      </w:r>
    </w:p>
  </w:footnote>
  <w:footnote w:id="4">
    <w:p w14:paraId="7C91CB0B" w14:textId="77777777" w:rsidR="007C6EF7" w:rsidRPr="004C548D" w:rsidRDefault="007C6EF7" w:rsidP="00797E8B">
      <w:pPr>
        <w:pStyle w:val="FootnoteText"/>
        <w:rPr>
          <w:lang w:val="en-US"/>
        </w:rPr>
      </w:pPr>
      <w:r>
        <w:rPr>
          <w:rStyle w:val="FootnoteReference"/>
        </w:rPr>
        <w:footnoteRef/>
      </w:r>
      <w:r>
        <w:t xml:space="preserve"> </w:t>
      </w:r>
      <w:r w:rsidRPr="004C548D">
        <w:t xml:space="preserve">Ibrahim AR, Paliompeis C, Bua M, Milojkovic D, Szydlo R, Khorashad JS, </w:t>
      </w:r>
      <w:r w:rsidRPr="0038675B">
        <w:rPr>
          <w:i/>
        </w:rPr>
        <w:t>et al.</w:t>
      </w:r>
      <w:r w:rsidRPr="004C548D">
        <w:t xml:space="preserve"> Efficacy of tyrosine kinase inhibitors (TKIs) as third-line therapy in patients with chronic myeloid leukemia in chronic phase who have failed 2 prior lines of TKI therapy. </w:t>
      </w:r>
      <w:r w:rsidRPr="004C548D">
        <w:rPr>
          <w:i/>
          <w:iCs/>
        </w:rPr>
        <w:t>Blood</w:t>
      </w:r>
      <w:r w:rsidRPr="004C548D">
        <w:t>. 2010 Dec 16;116(25):5497-500.</w:t>
      </w:r>
    </w:p>
  </w:footnote>
  <w:footnote w:id="5">
    <w:p w14:paraId="00275BE9" w14:textId="77777777" w:rsidR="007C6EF7" w:rsidRPr="004C548D" w:rsidRDefault="007C6EF7" w:rsidP="00797E8B">
      <w:pPr>
        <w:pStyle w:val="FootnoteText"/>
        <w:rPr>
          <w:lang w:val="en-US"/>
        </w:rPr>
      </w:pPr>
      <w:r>
        <w:rPr>
          <w:rStyle w:val="FootnoteReference"/>
        </w:rPr>
        <w:footnoteRef/>
      </w:r>
      <w:r>
        <w:t xml:space="preserve"> </w:t>
      </w:r>
      <w:r w:rsidRPr="004C548D">
        <w:t xml:space="preserve">Ongoren S, Eskazan AE, Suzan V, Savci S, Erdogan Ozunal I, Berk S, </w:t>
      </w:r>
      <w:r w:rsidRPr="0038675B">
        <w:rPr>
          <w:i/>
        </w:rPr>
        <w:t>et al.</w:t>
      </w:r>
      <w:r w:rsidRPr="004C548D">
        <w:t xml:space="preserve"> Third-line treatment with second-generation tyrosine kinase inhibitors (dasatinib or nilotinib) in patients with chronic myeloid leukemia after two prior TKIs: real-life data on a single center experience along with the review of the literature. </w:t>
      </w:r>
      <w:r w:rsidRPr="004C548D">
        <w:rPr>
          <w:i/>
          <w:iCs/>
        </w:rPr>
        <w:t>Hematology</w:t>
      </w:r>
      <w:r w:rsidRPr="004C548D">
        <w:t>. 2018 May;23(4):212-20.</w:t>
      </w:r>
    </w:p>
  </w:footnote>
  <w:footnote w:id="6">
    <w:p w14:paraId="172BC13F" w14:textId="77777777" w:rsidR="007C6EF7" w:rsidRPr="004C548D" w:rsidRDefault="007C6EF7" w:rsidP="00797E8B">
      <w:pPr>
        <w:pStyle w:val="FootnoteText"/>
        <w:rPr>
          <w:lang w:val="en-US"/>
        </w:rPr>
      </w:pPr>
      <w:r>
        <w:rPr>
          <w:rStyle w:val="FootnoteReference"/>
        </w:rPr>
        <w:footnoteRef/>
      </w:r>
      <w:r>
        <w:t xml:space="preserve"> </w:t>
      </w:r>
      <w:r w:rsidRPr="004C548D">
        <w:t xml:space="preserve">Jabbour E, Kantarjian H. Chronic myeloid leukemia: 2020 update on diagnosis, therapy and monitoring. </w:t>
      </w:r>
      <w:r w:rsidRPr="004C548D">
        <w:rPr>
          <w:i/>
          <w:iCs/>
        </w:rPr>
        <w:t>American Journal of Hematology</w:t>
      </w:r>
      <w:r w:rsidRPr="004C548D">
        <w:t>. 2020</w:t>
      </w:r>
      <w:r>
        <w:t xml:space="preserve"> </w:t>
      </w:r>
      <w:r w:rsidRPr="004C548D">
        <w:t>06/01;95(6):691-709.</w:t>
      </w:r>
    </w:p>
  </w:footnote>
  <w:footnote w:id="7">
    <w:p w14:paraId="0EF1131E" w14:textId="77777777" w:rsidR="007C6EF7" w:rsidRPr="0016420E" w:rsidRDefault="007C6EF7" w:rsidP="00797E8B">
      <w:pPr>
        <w:pStyle w:val="FootnoteText"/>
        <w:rPr>
          <w:lang w:val="en-US"/>
        </w:rPr>
      </w:pPr>
      <w:r>
        <w:rPr>
          <w:rStyle w:val="FootnoteReference"/>
        </w:rPr>
        <w:footnoteRef/>
      </w:r>
      <w:r>
        <w:t xml:space="preserve"> </w:t>
      </w:r>
      <w:r w:rsidRPr="0016420E">
        <w:t xml:space="preserve">Akard L, Albitar M, Hill CE, Pinilla-Ibarz J. The "hit hard and hit early" approach to the treatment of chronic myeloid leukemia: Implications of the updated national comprehensive cancer network clinical practice guidelines for routine practice. </w:t>
      </w:r>
      <w:r w:rsidRPr="0016420E">
        <w:rPr>
          <w:i/>
          <w:iCs/>
        </w:rPr>
        <w:t>Clinical Advances in Hematology and Oncology</w:t>
      </w:r>
      <w:r w:rsidRPr="0016420E">
        <w:t>. 2013 07/01;11:421-32.</w:t>
      </w:r>
    </w:p>
  </w:footnote>
  <w:footnote w:id="8">
    <w:p w14:paraId="5562B4B6" w14:textId="77777777" w:rsidR="007C6EF7" w:rsidRPr="00F12F87" w:rsidRDefault="007C6EF7" w:rsidP="00797E8B">
      <w:pPr>
        <w:pStyle w:val="FootnoteText"/>
        <w:rPr>
          <w:lang w:val="en-US"/>
        </w:rPr>
      </w:pPr>
      <w:r>
        <w:rPr>
          <w:rStyle w:val="FootnoteReference"/>
        </w:rPr>
        <w:footnoteRef/>
      </w:r>
      <w:r>
        <w:t xml:space="preserve"> </w:t>
      </w:r>
      <w:r>
        <w:rPr>
          <w:lang w:val="en-US"/>
        </w:rPr>
        <w:t xml:space="preserve">Australian Institute of Health and Welfare. </w:t>
      </w:r>
      <w:r w:rsidRPr="00F12F87">
        <w:rPr>
          <w:lang w:val="en-US"/>
        </w:rPr>
        <w:t xml:space="preserve">Cancer incidence by age </w:t>
      </w:r>
      <w:r>
        <w:rPr>
          <w:lang w:val="en-US"/>
        </w:rPr>
        <w:t xml:space="preserve">visualization. Link: </w:t>
      </w:r>
      <w:hyperlink r:id="rId1" w:history="1">
        <w:r w:rsidRPr="00065233">
          <w:rPr>
            <w:rStyle w:val="Hyperlink"/>
            <w:lang w:val="en-US"/>
          </w:rPr>
          <w:t>https://www.aihw.gov.au/reports/cancer/cancer-data-in-australia/contents/cancer-incidence-by-age-visualisation</w:t>
        </w:r>
      </w:hyperlink>
      <w:r>
        <w:rPr>
          <w:lang w:val="en-US"/>
        </w:rPr>
        <w:t xml:space="preserve"> </w:t>
      </w:r>
    </w:p>
  </w:footnote>
  <w:footnote w:id="9">
    <w:p w14:paraId="40668C63" w14:textId="1010E435" w:rsidR="007C6EF7" w:rsidRDefault="007C6EF7">
      <w:pPr>
        <w:pStyle w:val="FootnoteText"/>
      </w:pPr>
      <w:r>
        <w:rPr>
          <w:rStyle w:val="FootnoteReference"/>
        </w:rPr>
        <w:footnoteRef/>
      </w:r>
      <w:hyperlink r:id="rId2" w:history="1">
        <w:r w:rsidRPr="00BC11D9">
          <w:rPr>
            <w:rStyle w:val="Hyperlink"/>
          </w:rPr>
          <w:t>https://www.fda.gov/drugs/resources-information-approved-drugs/fda-approves-asciminib-philadelphia-chromosome-positive-chronic-myeloid-leukemia</w:t>
        </w:r>
      </w:hyperlink>
    </w:p>
  </w:footnote>
  <w:footnote w:id="10">
    <w:p w14:paraId="306445CB" w14:textId="3775AD0C" w:rsidR="007C6EF7" w:rsidRPr="00BB78E3" w:rsidRDefault="007C6EF7">
      <w:pPr>
        <w:pStyle w:val="FootnoteText"/>
        <w:rPr>
          <w:lang w:val="en-US"/>
        </w:rPr>
      </w:pPr>
      <w:r>
        <w:rPr>
          <w:rStyle w:val="FootnoteReference"/>
        </w:rPr>
        <w:footnoteRef/>
      </w:r>
      <w:r>
        <w:t xml:space="preserve"> </w:t>
      </w:r>
      <w:r w:rsidRPr="00BB78E3">
        <w:t xml:space="preserve">Cortes JE, Hughes TP, Mauro MJ, Hochhaus A, Rea D, Goh YT, </w:t>
      </w:r>
      <w:r w:rsidRPr="0038675B">
        <w:rPr>
          <w:i/>
        </w:rPr>
        <w:t>et al.</w:t>
      </w:r>
      <w:r w:rsidRPr="00BB78E3">
        <w:t xml:space="preserve"> Asciminib, a First-in-Class STAMP Inhibitor, Provides Durable Molecular Response in Patients (pts) with Chronic Myeloid </w:t>
      </w:r>
      <w:r>
        <w:t>Leukaemia</w:t>
      </w:r>
      <w:r w:rsidRPr="00BB78E3">
        <w:t xml:space="preserve"> (CML) Harboring the T315I Mutation: Primary Efficacy and Safety Results from a Phase 1 Trial. </w:t>
      </w:r>
      <w:r w:rsidRPr="00BB78E3">
        <w:rPr>
          <w:i/>
          <w:iCs/>
        </w:rPr>
        <w:t>Blood</w:t>
      </w:r>
      <w:r w:rsidRPr="00BB78E3">
        <w:t>. 2020;136(Supplement 1):47-50.</w:t>
      </w:r>
    </w:p>
  </w:footnote>
  <w:footnote w:id="11">
    <w:p w14:paraId="417E3D8F" w14:textId="77777777" w:rsidR="007C6EF7" w:rsidRPr="00922E2D" w:rsidRDefault="007C6EF7" w:rsidP="00EB73D8">
      <w:pPr>
        <w:pStyle w:val="FootnoteText"/>
        <w:jc w:val="left"/>
        <w:rPr>
          <w:lang w:val="en-US"/>
        </w:rPr>
      </w:pPr>
      <w:r>
        <w:rPr>
          <w:rStyle w:val="FootnoteReference"/>
        </w:rPr>
        <w:footnoteRef/>
      </w:r>
      <w:r>
        <w:t xml:space="preserve"> </w:t>
      </w:r>
      <w:r w:rsidRPr="00922E2D">
        <w:t>National Institute of Diabetes and Digestive and Kidney Diseases. LiverTox: Clinical and Research Information on Drug-Induced Liver Injury</w:t>
      </w:r>
      <w:r>
        <w:t>.</w:t>
      </w:r>
      <w:r w:rsidRPr="00922E2D">
        <w:t xml:space="preserve"> Bethesda (MD); Updated 2020 May 10. Available from: https://www.ncbi.nlm.nih.gov/books/NBK548443/.</w:t>
      </w:r>
    </w:p>
  </w:footnote>
  <w:footnote w:id="12">
    <w:p w14:paraId="43B1755B" w14:textId="77777777" w:rsidR="007C6EF7" w:rsidRPr="00317C24" w:rsidRDefault="007C6EF7" w:rsidP="00AA58D7">
      <w:pPr>
        <w:pStyle w:val="FootnoteText"/>
        <w:rPr>
          <w:lang w:val="en-US"/>
        </w:rPr>
      </w:pPr>
      <w:r>
        <w:rPr>
          <w:rStyle w:val="FootnoteReference"/>
        </w:rPr>
        <w:footnoteRef/>
      </w:r>
      <w:r>
        <w:t xml:space="preserve"> </w:t>
      </w:r>
      <w:r w:rsidRPr="00317C24">
        <w:t xml:space="preserve">Akard L, Albitar M, Hill CE, Pinilla-Ibarz J. The "hit hard and hit early" approach to the treatment of chronic myeloid </w:t>
      </w:r>
      <w:r>
        <w:t>leukaemia</w:t>
      </w:r>
      <w:r w:rsidRPr="00317C24">
        <w:t xml:space="preserve">: Implications of the updated national comprehensive cancer network clinical practice guidelines for routine practice. </w:t>
      </w:r>
      <w:r w:rsidRPr="002C6009">
        <w:rPr>
          <w:i/>
          <w:iCs/>
        </w:rPr>
        <w:t>Clinical Advances in Hematology and Oncology</w:t>
      </w:r>
      <w:r w:rsidRPr="002C6009">
        <w:t>. 2013</w:t>
      </w:r>
      <w:r>
        <w:t xml:space="preserve"> </w:t>
      </w:r>
      <w:r w:rsidRPr="002C6009">
        <w:t>07/01;11:421-32.</w:t>
      </w:r>
    </w:p>
  </w:footnote>
  <w:footnote w:id="13">
    <w:p w14:paraId="09F003E5" w14:textId="77777777" w:rsidR="007C6EF7" w:rsidRPr="00317C24" w:rsidRDefault="007C6EF7" w:rsidP="00AA58D7">
      <w:pPr>
        <w:pStyle w:val="FootnoteText"/>
        <w:rPr>
          <w:lang w:val="en-US"/>
        </w:rPr>
      </w:pPr>
      <w:r>
        <w:rPr>
          <w:rStyle w:val="FootnoteReference"/>
        </w:rPr>
        <w:footnoteRef/>
      </w:r>
      <w:r>
        <w:t xml:space="preserve"> Negrin, R, Schiffer, C, Atallah, E. UpToDate: </w:t>
      </w:r>
      <w:r w:rsidRPr="00317C24">
        <w:t xml:space="preserve">Treatment of chronic myeloid </w:t>
      </w:r>
      <w:r>
        <w:t>leukaemia</w:t>
      </w:r>
      <w:r w:rsidRPr="00317C24">
        <w:t xml:space="preserve"> in chronic phase after failure of initial therap</w:t>
      </w:r>
      <w:r>
        <w:t>y</w:t>
      </w:r>
      <w:r w:rsidRPr="00317C24">
        <w:t>. Wolters Kluwer</w:t>
      </w:r>
      <w:r>
        <w:t>,</w:t>
      </w:r>
      <w:r w:rsidRPr="00317C24">
        <w:t xml:space="preserve"> 2022.</w:t>
      </w:r>
    </w:p>
  </w:footnote>
  <w:footnote w:id="14">
    <w:p w14:paraId="57D227E1" w14:textId="77777777" w:rsidR="007C6EF7" w:rsidRPr="00317C24" w:rsidRDefault="007C6EF7" w:rsidP="00AA58D7">
      <w:pPr>
        <w:pStyle w:val="FootnoteText"/>
        <w:rPr>
          <w:lang w:val="en-US"/>
        </w:rPr>
      </w:pPr>
      <w:r>
        <w:rPr>
          <w:rStyle w:val="FootnoteReference"/>
        </w:rPr>
        <w:footnoteRef/>
      </w:r>
      <w:r>
        <w:t xml:space="preserve"> Negrin, R, Schiffer, C, Atallah, E. UpToDate: </w:t>
      </w:r>
      <w:r w:rsidRPr="00317C24">
        <w:t xml:space="preserve">Treatment of chronic myeloid </w:t>
      </w:r>
      <w:r>
        <w:t>leukaemia</w:t>
      </w:r>
      <w:r w:rsidRPr="00317C24">
        <w:t xml:space="preserve"> in chronic phase after failure of initial therap</w:t>
      </w:r>
      <w:r>
        <w:t>y</w:t>
      </w:r>
      <w:r w:rsidRPr="00317C24">
        <w:t>. Wolters Kluwer</w:t>
      </w:r>
      <w:r>
        <w:t>,</w:t>
      </w:r>
      <w:r w:rsidRPr="00317C24">
        <w:t xml:space="preserv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56B2" w14:textId="67E2C3C1" w:rsidR="007C6EF7" w:rsidRPr="00056684" w:rsidRDefault="00F71EF0" w:rsidP="00F25244">
    <w:pPr>
      <w:pStyle w:val="Header"/>
      <w:ind w:left="360"/>
      <w:rPr>
        <w:rFonts w:asciiTheme="minorHAnsi" w:hAnsiTheme="minorHAnsi"/>
        <w:i/>
        <w:color w:val="808080"/>
      </w:rPr>
    </w:pPr>
    <w:bookmarkStart w:id="77" w:name="_Hlk76375146"/>
    <w:r>
      <w:rPr>
        <w:rFonts w:asciiTheme="minorHAnsi" w:hAnsiTheme="minorHAnsi"/>
        <w:i/>
        <w:color w:val="808080"/>
      </w:rPr>
      <w:t>Public Summary Document</w:t>
    </w:r>
    <w:r w:rsidR="007C6EF7" w:rsidRPr="00056684">
      <w:rPr>
        <w:rFonts w:asciiTheme="minorHAnsi" w:hAnsiTheme="minorHAnsi"/>
        <w:i/>
        <w:color w:val="808080"/>
      </w:rPr>
      <w:t xml:space="preserve"> –</w:t>
    </w:r>
    <w:r w:rsidR="007C6EF7">
      <w:rPr>
        <w:rFonts w:asciiTheme="minorHAnsi" w:hAnsiTheme="minorHAnsi"/>
        <w:i/>
        <w:color w:val="808080"/>
      </w:rPr>
      <w:t xml:space="preserve"> July 2022</w:t>
    </w:r>
    <w:r w:rsidR="007C6EF7" w:rsidRPr="00056684">
      <w:rPr>
        <w:rFonts w:asciiTheme="minorHAnsi" w:hAnsiTheme="minorHAnsi"/>
        <w:i/>
        <w:color w:val="808080"/>
      </w:rPr>
      <w:t xml:space="preserve"> PBAC Meeting</w:t>
    </w:r>
  </w:p>
  <w:bookmarkEnd w:id="77"/>
  <w:p w14:paraId="03AF943B" w14:textId="77777777" w:rsidR="007C6EF7" w:rsidRPr="00F25244" w:rsidRDefault="007C6EF7" w:rsidP="00F25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B6807"/>
    <w:multiLevelType w:val="hybridMultilevel"/>
    <w:tmpl w:val="C91A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F581E"/>
    <w:multiLevelType w:val="hybridMultilevel"/>
    <w:tmpl w:val="5CE4224A"/>
    <w:lvl w:ilvl="0" w:tplc="BE8462B0">
      <w:start w:val="1"/>
      <w:numFmt w:val="bullet"/>
      <w:lvlText w:val="•"/>
      <w:lvlJc w:val="left"/>
      <w:pPr>
        <w:tabs>
          <w:tab w:val="num" w:pos="720"/>
        </w:tabs>
        <w:ind w:left="720" w:hanging="360"/>
      </w:pPr>
      <w:rPr>
        <w:rFonts w:ascii="Arial" w:hAnsi="Arial" w:hint="default"/>
      </w:rPr>
    </w:lvl>
    <w:lvl w:ilvl="1" w:tplc="92B262B0">
      <w:numFmt w:val="bullet"/>
      <w:lvlText w:val="•"/>
      <w:lvlJc w:val="left"/>
      <w:pPr>
        <w:tabs>
          <w:tab w:val="num" w:pos="1440"/>
        </w:tabs>
        <w:ind w:left="1440" w:hanging="360"/>
      </w:pPr>
      <w:rPr>
        <w:rFonts w:ascii="Arial" w:hAnsi="Arial" w:hint="default"/>
      </w:rPr>
    </w:lvl>
    <w:lvl w:ilvl="2" w:tplc="96EEAB44" w:tentative="1">
      <w:start w:val="1"/>
      <w:numFmt w:val="bullet"/>
      <w:lvlText w:val="•"/>
      <w:lvlJc w:val="left"/>
      <w:pPr>
        <w:tabs>
          <w:tab w:val="num" w:pos="2160"/>
        </w:tabs>
        <w:ind w:left="2160" w:hanging="360"/>
      </w:pPr>
      <w:rPr>
        <w:rFonts w:ascii="Arial" w:hAnsi="Arial" w:hint="default"/>
      </w:rPr>
    </w:lvl>
    <w:lvl w:ilvl="3" w:tplc="FB18862A" w:tentative="1">
      <w:start w:val="1"/>
      <w:numFmt w:val="bullet"/>
      <w:lvlText w:val="•"/>
      <w:lvlJc w:val="left"/>
      <w:pPr>
        <w:tabs>
          <w:tab w:val="num" w:pos="2880"/>
        </w:tabs>
        <w:ind w:left="2880" w:hanging="360"/>
      </w:pPr>
      <w:rPr>
        <w:rFonts w:ascii="Arial" w:hAnsi="Arial" w:hint="default"/>
      </w:rPr>
    </w:lvl>
    <w:lvl w:ilvl="4" w:tplc="768C73EE" w:tentative="1">
      <w:start w:val="1"/>
      <w:numFmt w:val="bullet"/>
      <w:lvlText w:val="•"/>
      <w:lvlJc w:val="left"/>
      <w:pPr>
        <w:tabs>
          <w:tab w:val="num" w:pos="3600"/>
        </w:tabs>
        <w:ind w:left="3600" w:hanging="360"/>
      </w:pPr>
      <w:rPr>
        <w:rFonts w:ascii="Arial" w:hAnsi="Arial" w:hint="default"/>
      </w:rPr>
    </w:lvl>
    <w:lvl w:ilvl="5" w:tplc="D3748AF4" w:tentative="1">
      <w:start w:val="1"/>
      <w:numFmt w:val="bullet"/>
      <w:lvlText w:val="•"/>
      <w:lvlJc w:val="left"/>
      <w:pPr>
        <w:tabs>
          <w:tab w:val="num" w:pos="4320"/>
        </w:tabs>
        <w:ind w:left="4320" w:hanging="360"/>
      </w:pPr>
      <w:rPr>
        <w:rFonts w:ascii="Arial" w:hAnsi="Arial" w:hint="default"/>
      </w:rPr>
    </w:lvl>
    <w:lvl w:ilvl="6" w:tplc="5D309040" w:tentative="1">
      <w:start w:val="1"/>
      <w:numFmt w:val="bullet"/>
      <w:lvlText w:val="•"/>
      <w:lvlJc w:val="left"/>
      <w:pPr>
        <w:tabs>
          <w:tab w:val="num" w:pos="5040"/>
        </w:tabs>
        <w:ind w:left="5040" w:hanging="360"/>
      </w:pPr>
      <w:rPr>
        <w:rFonts w:ascii="Arial" w:hAnsi="Arial" w:hint="default"/>
      </w:rPr>
    </w:lvl>
    <w:lvl w:ilvl="7" w:tplc="9062A75A" w:tentative="1">
      <w:start w:val="1"/>
      <w:numFmt w:val="bullet"/>
      <w:lvlText w:val="•"/>
      <w:lvlJc w:val="left"/>
      <w:pPr>
        <w:tabs>
          <w:tab w:val="num" w:pos="5760"/>
        </w:tabs>
        <w:ind w:left="5760" w:hanging="360"/>
      </w:pPr>
      <w:rPr>
        <w:rFonts w:ascii="Arial" w:hAnsi="Arial" w:hint="default"/>
      </w:rPr>
    </w:lvl>
    <w:lvl w:ilvl="8" w:tplc="BDC813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302576"/>
    <w:multiLevelType w:val="hybridMultilevel"/>
    <w:tmpl w:val="CDAC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B6E87"/>
    <w:multiLevelType w:val="hybridMultilevel"/>
    <w:tmpl w:val="1BA864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F2B6B49"/>
    <w:multiLevelType w:val="hybridMultilevel"/>
    <w:tmpl w:val="33CCA5C2"/>
    <w:lvl w:ilvl="0" w:tplc="750A6C5E">
      <w:start w:val="1"/>
      <w:numFmt w:val="bullet"/>
      <w:pStyle w:val="Bull1Normal"/>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34010F"/>
    <w:multiLevelType w:val="hybridMultilevel"/>
    <w:tmpl w:val="A8BE21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2660779"/>
    <w:multiLevelType w:val="hybridMultilevel"/>
    <w:tmpl w:val="C11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41A01BD2"/>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F56A8"/>
    <w:multiLevelType w:val="hybridMultilevel"/>
    <w:tmpl w:val="49CC8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A7D5DA0"/>
    <w:multiLevelType w:val="hybridMultilevel"/>
    <w:tmpl w:val="06E60760"/>
    <w:lvl w:ilvl="0" w:tplc="0DAE167E">
      <w:start w:val="1"/>
      <w:numFmt w:val="bullet"/>
      <w:pStyle w:val="Bull1table"/>
      <w:lvlText w:val=""/>
      <w:lvlJc w:val="left"/>
      <w:pPr>
        <w:ind w:left="360" w:hanging="360"/>
      </w:pPr>
      <w:rPr>
        <w:rFonts w:ascii="Wingdings" w:hAnsi="Wingdings" w:hint="default"/>
      </w:rPr>
    </w:lvl>
    <w:lvl w:ilvl="1" w:tplc="46C2FC6E">
      <w:start w:val="1"/>
      <w:numFmt w:val="bullet"/>
      <w:pStyle w:val="Bull2table"/>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A73445"/>
    <w:multiLevelType w:val="hybridMultilevel"/>
    <w:tmpl w:val="CCBCF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DD77663"/>
    <w:multiLevelType w:val="hybridMultilevel"/>
    <w:tmpl w:val="D0BA1B46"/>
    <w:lvl w:ilvl="0" w:tplc="978EC0D0">
      <w:start w:val="1"/>
      <w:numFmt w:val="decimal"/>
      <w:pStyle w:val="Ntabletext"/>
      <w:lvlText w:val="%1"/>
      <w:lvlJc w:val="left"/>
      <w:pPr>
        <w:ind w:left="360" w:hanging="360"/>
      </w:pPr>
      <w:rPr>
        <w:rFonts w:ascii="Calibri" w:hAnsi="Calibri" w:hint="default"/>
        <w:b w:val="0"/>
        <w:i w:val="0"/>
        <w:color w:val="auto"/>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9F1C61"/>
    <w:multiLevelType w:val="multilevel"/>
    <w:tmpl w:val="5F5E20E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5A704C"/>
    <w:multiLevelType w:val="hybridMultilevel"/>
    <w:tmpl w:val="A6B2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CC5359"/>
    <w:multiLevelType w:val="hybridMultilevel"/>
    <w:tmpl w:val="EC06558C"/>
    <w:lvl w:ilvl="0" w:tplc="52A02E00">
      <w:start w:val="1"/>
      <w:numFmt w:val="upperLetter"/>
      <w:pStyle w:val="N2PRISMA"/>
      <w:lvlText w:val="(%1)"/>
      <w:lvlJc w:val="left"/>
      <w:pPr>
        <w:ind w:left="852" w:hanging="360"/>
      </w:pPr>
      <w:rPr>
        <w:rFonts w:hint="default"/>
      </w:r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17" w15:restartNumberingAfterBreak="0">
    <w:nsid w:val="5F104424"/>
    <w:multiLevelType w:val="hybridMultilevel"/>
    <w:tmpl w:val="6884F3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4EB61B5"/>
    <w:multiLevelType w:val="hybridMultilevel"/>
    <w:tmpl w:val="5FC207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66615A1"/>
    <w:multiLevelType w:val="hybridMultilevel"/>
    <w:tmpl w:val="DD3A8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F22442"/>
    <w:multiLevelType w:val="hybridMultilevel"/>
    <w:tmpl w:val="877E97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75347F"/>
    <w:multiLevelType w:val="hybridMultilevel"/>
    <w:tmpl w:val="605C4734"/>
    <w:lvl w:ilvl="0" w:tplc="E15AB88E">
      <w:start w:val="1"/>
      <w:numFmt w:val="upperLetter"/>
      <w:pStyle w:val="NPRISM"/>
      <w:lvlText w:val="(%1)"/>
      <w:lvlJc w:val="left"/>
      <w:pPr>
        <w:tabs>
          <w:tab w:val="num" w:pos="492"/>
        </w:tabs>
        <w:ind w:left="492" w:hanging="360"/>
      </w:pPr>
      <w:rPr>
        <w:rFonts w:hint="default"/>
      </w:rPr>
    </w:lvl>
    <w:lvl w:ilvl="1" w:tplc="67906524" w:tentative="1">
      <w:start w:val="1"/>
      <w:numFmt w:val="upperLetter"/>
      <w:lvlText w:val="(%2)"/>
      <w:lvlJc w:val="left"/>
      <w:pPr>
        <w:tabs>
          <w:tab w:val="num" w:pos="1212"/>
        </w:tabs>
        <w:ind w:left="1212" w:hanging="360"/>
      </w:pPr>
    </w:lvl>
    <w:lvl w:ilvl="2" w:tplc="8AB82C32" w:tentative="1">
      <w:start w:val="1"/>
      <w:numFmt w:val="upperLetter"/>
      <w:lvlText w:val="(%3)"/>
      <w:lvlJc w:val="left"/>
      <w:pPr>
        <w:tabs>
          <w:tab w:val="num" w:pos="1932"/>
        </w:tabs>
        <w:ind w:left="1932" w:hanging="360"/>
      </w:pPr>
    </w:lvl>
    <w:lvl w:ilvl="3" w:tplc="F76A2048" w:tentative="1">
      <w:start w:val="1"/>
      <w:numFmt w:val="upperLetter"/>
      <w:lvlText w:val="(%4)"/>
      <w:lvlJc w:val="left"/>
      <w:pPr>
        <w:tabs>
          <w:tab w:val="num" w:pos="2652"/>
        </w:tabs>
        <w:ind w:left="2652" w:hanging="360"/>
      </w:pPr>
    </w:lvl>
    <w:lvl w:ilvl="4" w:tplc="BCEC4396" w:tentative="1">
      <w:start w:val="1"/>
      <w:numFmt w:val="upperLetter"/>
      <w:lvlText w:val="(%5)"/>
      <w:lvlJc w:val="left"/>
      <w:pPr>
        <w:tabs>
          <w:tab w:val="num" w:pos="3372"/>
        </w:tabs>
        <w:ind w:left="3372" w:hanging="360"/>
      </w:pPr>
    </w:lvl>
    <w:lvl w:ilvl="5" w:tplc="2982CD4E" w:tentative="1">
      <w:start w:val="1"/>
      <w:numFmt w:val="upperLetter"/>
      <w:lvlText w:val="(%6)"/>
      <w:lvlJc w:val="left"/>
      <w:pPr>
        <w:tabs>
          <w:tab w:val="num" w:pos="4092"/>
        </w:tabs>
        <w:ind w:left="4092" w:hanging="360"/>
      </w:pPr>
    </w:lvl>
    <w:lvl w:ilvl="6" w:tplc="C57E249E" w:tentative="1">
      <w:start w:val="1"/>
      <w:numFmt w:val="upperLetter"/>
      <w:lvlText w:val="(%7)"/>
      <w:lvlJc w:val="left"/>
      <w:pPr>
        <w:tabs>
          <w:tab w:val="num" w:pos="4812"/>
        </w:tabs>
        <w:ind w:left="4812" w:hanging="360"/>
      </w:pPr>
    </w:lvl>
    <w:lvl w:ilvl="7" w:tplc="165E8410" w:tentative="1">
      <w:start w:val="1"/>
      <w:numFmt w:val="upperLetter"/>
      <w:lvlText w:val="(%8)"/>
      <w:lvlJc w:val="left"/>
      <w:pPr>
        <w:tabs>
          <w:tab w:val="num" w:pos="5532"/>
        </w:tabs>
        <w:ind w:left="5532" w:hanging="360"/>
      </w:pPr>
    </w:lvl>
    <w:lvl w:ilvl="8" w:tplc="D552457A" w:tentative="1">
      <w:start w:val="1"/>
      <w:numFmt w:val="upperLetter"/>
      <w:lvlText w:val="(%9)"/>
      <w:lvlJc w:val="left"/>
      <w:pPr>
        <w:tabs>
          <w:tab w:val="num" w:pos="6252"/>
        </w:tabs>
        <w:ind w:left="6252" w:hanging="360"/>
      </w:pPr>
    </w:lvl>
  </w:abstractNum>
  <w:abstractNum w:abstractNumId="24" w15:restartNumberingAfterBreak="0">
    <w:nsid w:val="6D581889"/>
    <w:multiLevelType w:val="multilevel"/>
    <w:tmpl w:val="5F5E20EA"/>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8B76A528"/>
    <w:lvl w:ilvl="0" w:tplc="9CDC11B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957C99"/>
    <w:multiLevelType w:val="hybridMultilevel"/>
    <w:tmpl w:val="A7AE4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9"/>
  </w:num>
  <w:num w:numId="4">
    <w:abstractNumId w:val="0"/>
  </w:num>
  <w:num w:numId="5">
    <w:abstractNumId w:val="25"/>
  </w:num>
  <w:num w:numId="6">
    <w:abstractNumId w:val="26"/>
  </w:num>
  <w:num w:numId="7">
    <w:abstractNumId w:val="11"/>
  </w:num>
  <w:num w:numId="8">
    <w:abstractNumId w:val="13"/>
  </w:num>
  <w:num w:numId="9">
    <w:abstractNumId w:val="5"/>
  </w:num>
  <w:num w:numId="10">
    <w:abstractNumId w:val="23"/>
  </w:num>
  <w:num w:numId="11">
    <w:abstractNumId w:val="16"/>
  </w:num>
  <w:num w:numId="12">
    <w:abstractNumId w:val="14"/>
  </w:num>
  <w:num w:numId="13">
    <w:abstractNumId w:val="24"/>
  </w:num>
  <w:num w:numId="14">
    <w:abstractNumId w:val="19"/>
  </w:num>
  <w:num w:numId="15">
    <w:abstractNumId w:val="4"/>
  </w:num>
  <w:num w:numId="16">
    <w:abstractNumId w:val="17"/>
  </w:num>
  <w:num w:numId="17">
    <w:abstractNumId w:val="18"/>
  </w:num>
  <w:num w:numId="18">
    <w:abstractNumId w:val="21"/>
  </w:num>
  <w:num w:numId="19">
    <w:abstractNumId w:val="7"/>
  </w:num>
  <w:num w:numId="20">
    <w:abstractNumId w:val="22"/>
  </w:num>
  <w:num w:numId="21">
    <w:abstractNumId w:val="1"/>
  </w:num>
  <w:num w:numId="22">
    <w:abstractNumId w:val="12"/>
  </w:num>
  <w:num w:numId="23">
    <w:abstractNumId w:val="3"/>
  </w:num>
  <w:num w:numId="24">
    <w:abstractNumId w:val="15"/>
  </w:num>
  <w:num w:numId="25">
    <w:abstractNumId w:val="2"/>
  </w:num>
  <w:num w:numId="26">
    <w:abstractNumId w:val="10"/>
  </w:num>
  <w:num w:numId="27">
    <w:abstractNumId w:val="27"/>
  </w:num>
  <w:num w:numId="28">
    <w:abstractNumId w:val="6"/>
  </w:num>
  <w:num w:numId="29">
    <w:abstractNumId w:val="25"/>
  </w:num>
  <w:num w:numId="30">
    <w:abstractNumId w:val="9"/>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d055frxs52sfee5exxa007at9z590xdxe9&quot;&gt;Asciminib&lt;record-ids&gt;&lt;item&gt;1&lt;/item&gt;&lt;item&gt;3&lt;/item&gt;&lt;item&gt;4&lt;/item&gt;&lt;item&gt;5&lt;/item&gt;&lt;item&gt;6&lt;/item&gt;&lt;item&gt;7&lt;/item&gt;&lt;item&gt;8&lt;/item&gt;&lt;item&gt;9&lt;/item&gt;&lt;item&gt;10&lt;/item&gt;&lt;item&gt;15&lt;/item&gt;&lt;item&gt;16&lt;/item&gt;&lt;item&gt;17&lt;/item&gt;&lt;item&gt;18&lt;/item&gt;&lt;item&gt;19&lt;/item&gt;&lt;item&gt;20&lt;/item&gt;&lt;item&gt;21&lt;/item&gt;&lt;item&gt;22&lt;/item&gt;&lt;item&gt;25&lt;/item&gt;&lt;item&gt;26&lt;/item&gt;&lt;item&gt;27&lt;/item&gt;&lt;item&gt;28&lt;/item&gt;&lt;item&gt;29&lt;/item&gt;&lt;item&gt;30&lt;/item&gt;&lt;item&gt;31&lt;/item&gt;&lt;item&gt;32&lt;/item&gt;&lt;/record-ids&gt;&lt;/item&gt;&lt;/Libraries&gt;"/>
  </w:docVars>
  <w:rsids>
    <w:rsidRoot w:val="00E65E79"/>
    <w:rsid w:val="000004AF"/>
    <w:rsid w:val="0000055A"/>
    <w:rsid w:val="00000790"/>
    <w:rsid w:val="000008F4"/>
    <w:rsid w:val="00000E0B"/>
    <w:rsid w:val="0000110B"/>
    <w:rsid w:val="00002262"/>
    <w:rsid w:val="00002C04"/>
    <w:rsid w:val="00003059"/>
    <w:rsid w:val="00003499"/>
    <w:rsid w:val="000039B7"/>
    <w:rsid w:val="00003AD5"/>
    <w:rsid w:val="0000496B"/>
    <w:rsid w:val="0000508F"/>
    <w:rsid w:val="0000639A"/>
    <w:rsid w:val="00006462"/>
    <w:rsid w:val="00006CCD"/>
    <w:rsid w:val="00007042"/>
    <w:rsid w:val="00007075"/>
    <w:rsid w:val="00010871"/>
    <w:rsid w:val="00012A4C"/>
    <w:rsid w:val="00013159"/>
    <w:rsid w:val="00013247"/>
    <w:rsid w:val="00015886"/>
    <w:rsid w:val="000162EF"/>
    <w:rsid w:val="0001675D"/>
    <w:rsid w:val="0001684D"/>
    <w:rsid w:val="000175F8"/>
    <w:rsid w:val="000179E4"/>
    <w:rsid w:val="00020512"/>
    <w:rsid w:val="000207C9"/>
    <w:rsid w:val="000211B5"/>
    <w:rsid w:val="0002225F"/>
    <w:rsid w:val="0002259C"/>
    <w:rsid w:val="00022AF7"/>
    <w:rsid w:val="00022B34"/>
    <w:rsid w:val="00023763"/>
    <w:rsid w:val="00025887"/>
    <w:rsid w:val="000266EB"/>
    <w:rsid w:val="000274B8"/>
    <w:rsid w:val="00030031"/>
    <w:rsid w:val="000300F2"/>
    <w:rsid w:val="000309BF"/>
    <w:rsid w:val="00031902"/>
    <w:rsid w:val="000319D9"/>
    <w:rsid w:val="00031A16"/>
    <w:rsid w:val="000329A6"/>
    <w:rsid w:val="00033316"/>
    <w:rsid w:val="00033863"/>
    <w:rsid w:val="00035DC0"/>
    <w:rsid w:val="00035E8F"/>
    <w:rsid w:val="00036829"/>
    <w:rsid w:val="0004005C"/>
    <w:rsid w:val="00040287"/>
    <w:rsid w:val="00040895"/>
    <w:rsid w:val="00041005"/>
    <w:rsid w:val="00041783"/>
    <w:rsid w:val="000420E6"/>
    <w:rsid w:val="000435EE"/>
    <w:rsid w:val="00043734"/>
    <w:rsid w:val="000438E7"/>
    <w:rsid w:val="00043A88"/>
    <w:rsid w:val="00043C37"/>
    <w:rsid w:val="000444B7"/>
    <w:rsid w:val="00044C74"/>
    <w:rsid w:val="00045017"/>
    <w:rsid w:val="00045853"/>
    <w:rsid w:val="00045A2B"/>
    <w:rsid w:val="00046062"/>
    <w:rsid w:val="0004698F"/>
    <w:rsid w:val="0004754C"/>
    <w:rsid w:val="0004786C"/>
    <w:rsid w:val="00050703"/>
    <w:rsid w:val="00050B9E"/>
    <w:rsid w:val="00050D8D"/>
    <w:rsid w:val="00050DDB"/>
    <w:rsid w:val="00051D2C"/>
    <w:rsid w:val="0005230B"/>
    <w:rsid w:val="000536D4"/>
    <w:rsid w:val="000539CF"/>
    <w:rsid w:val="000539D0"/>
    <w:rsid w:val="00053C78"/>
    <w:rsid w:val="00054122"/>
    <w:rsid w:val="00054621"/>
    <w:rsid w:val="000546D7"/>
    <w:rsid w:val="0005483D"/>
    <w:rsid w:val="0005502B"/>
    <w:rsid w:val="00055BA9"/>
    <w:rsid w:val="000563C4"/>
    <w:rsid w:val="00056ECF"/>
    <w:rsid w:val="000604DF"/>
    <w:rsid w:val="00060B99"/>
    <w:rsid w:val="00060EA0"/>
    <w:rsid w:val="000622BA"/>
    <w:rsid w:val="0006370C"/>
    <w:rsid w:val="00064083"/>
    <w:rsid w:val="00064647"/>
    <w:rsid w:val="00064BE3"/>
    <w:rsid w:val="00064C57"/>
    <w:rsid w:val="0006520A"/>
    <w:rsid w:val="000653B5"/>
    <w:rsid w:val="00066360"/>
    <w:rsid w:val="00066AF8"/>
    <w:rsid w:val="00066BEF"/>
    <w:rsid w:val="00067225"/>
    <w:rsid w:val="000675B5"/>
    <w:rsid w:val="000678C8"/>
    <w:rsid w:val="00071248"/>
    <w:rsid w:val="000713B3"/>
    <w:rsid w:val="000716E7"/>
    <w:rsid w:val="000718DF"/>
    <w:rsid w:val="00071C3E"/>
    <w:rsid w:val="000720B9"/>
    <w:rsid w:val="000737F7"/>
    <w:rsid w:val="000743E0"/>
    <w:rsid w:val="000756DF"/>
    <w:rsid w:val="0007659D"/>
    <w:rsid w:val="0007672F"/>
    <w:rsid w:val="00076753"/>
    <w:rsid w:val="00076B54"/>
    <w:rsid w:val="000774F0"/>
    <w:rsid w:val="00080909"/>
    <w:rsid w:val="000812CA"/>
    <w:rsid w:val="000814DA"/>
    <w:rsid w:val="00081E63"/>
    <w:rsid w:val="0008258D"/>
    <w:rsid w:val="00082B14"/>
    <w:rsid w:val="000834CF"/>
    <w:rsid w:val="00083E99"/>
    <w:rsid w:val="00084FA8"/>
    <w:rsid w:val="000856C5"/>
    <w:rsid w:val="00085C31"/>
    <w:rsid w:val="00086727"/>
    <w:rsid w:val="000879B9"/>
    <w:rsid w:val="00087A29"/>
    <w:rsid w:val="000901D2"/>
    <w:rsid w:val="000902AA"/>
    <w:rsid w:val="000902D9"/>
    <w:rsid w:val="00090C5B"/>
    <w:rsid w:val="00090C7E"/>
    <w:rsid w:val="00090FC1"/>
    <w:rsid w:val="00092600"/>
    <w:rsid w:val="0009262B"/>
    <w:rsid w:val="00092CD3"/>
    <w:rsid w:val="00092F6B"/>
    <w:rsid w:val="00093310"/>
    <w:rsid w:val="00093844"/>
    <w:rsid w:val="0009445C"/>
    <w:rsid w:val="00094625"/>
    <w:rsid w:val="00094897"/>
    <w:rsid w:val="00094E58"/>
    <w:rsid w:val="00095200"/>
    <w:rsid w:val="00095FE5"/>
    <w:rsid w:val="00096284"/>
    <w:rsid w:val="00096D87"/>
    <w:rsid w:val="00096ED0"/>
    <w:rsid w:val="00097661"/>
    <w:rsid w:val="000A0D1D"/>
    <w:rsid w:val="000A0EE0"/>
    <w:rsid w:val="000A1BC0"/>
    <w:rsid w:val="000A1DFE"/>
    <w:rsid w:val="000A45E1"/>
    <w:rsid w:val="000A6039"/>
    <w:rsid w:val="000A7007"/>
    <w:rsid w:val="000A7453"/>
    <w:rsid w:val="000A7D08"/>
    <w:rsid w:val="000B0121"/>
    <w:rsid w:val="000B0670"/>
    <w:rsid w:val="000B08FD"/>
    <w:rsid w:val="000B09E2"/>
    <w:rsid w:val="000B0E75"/>
    <w:rsid w:val="000B10AB"/>
    <w:rsid w:val="000B1171"/>
    <w:rsid w:val="000B14C5"/>
    <w:rsid w:val="000B2D3F"/>
    <w:rsid w:val="000B2DCB"/>
    <w:rsid w:val="000B2E46"/>
    <w:rsid w:val="000B2E7A"/>
    <w:rsid w:val="000B314E"/>
    <w:rsid w:val="000B39B7"/>
    <w:rsid w:val="000B3B00"/>
    <w:rsid w:val="000B3EA7"/>
    <w:rsid w:val="000B3EF2"/>
    <w:rsid w:val="000B41F1"/>
    <w:rsid w:val="000B4D89"/>
    <w:rsid w:val="000B5CE0"/>
    <w:rsid w:val="000B6CAC"/>
    <w:rsid w:val="000B7612"/>
    <w:rsid w:val="000B78AE"/>
    <w:rsid w:val="000B7EB2"/>
    <w:rsid w:val="000C0136"/>
    <w:rsid w:val="000C0727"/>
    <w:rsid w:val="000C0ACF"/>
    <w:rsid w:val="000C1755"/>
    <w:rsid w:val="000C17A2"/>
    <w:rsid w:val="000C26C8"/>
    <w:rsid w:val="000C357C"/>
    <w:rsid w:val="000C3DF9"/>
    <w:rsid w:val="000C4292"/>
    <w:rsid w:val="000C49E3"/>
    <w:rsid w:val="000C5A72"/>
    <w:rsid w:val="000C6713"/>
    <w:rsid w:val="000C6CC0"/>
    <w:rsid w:val="000C7DD8"/>
    <w:rsid w:val="000C7EA7"/>
    <w:rsid w:val="000D1391"/>
    <w:rsid w:val="000D18DA"/>
    <w:rsid w:val="000D19D7"/>
    <w:rsid w:val="000D1BFC"/>
    <w:rsid w:val="000D1D5D"/>
    <w:rsid w:val="000D281A"/>
    <w:rsid w:val="000D283A"/>
    <w:rsid w:val="000D2848"/>
    <w:rsid w:val="000D326A"/>
    <w:rsid w:val="000D449E"/>
    <w:rsid w:val="000D46F2"/>
    <w:rsid w:val="000D51FB"/>
    <w:rsid w:val="000D5A14"/>
    <w:rsid w:val="000D6DFD"/>
    <w:rsid w:val="000D7156"/>
    <w:rsid w:val="000D7B8A"/>
    <w:rsid w:val="000E01FD"/>
    <w:rsid w:val="000E0605"/>
    <w:rsid w:val="000E062A"/>
    <w:rsid w:val="000E0640"/>
    <w:rsid w:val="000E135D"/>
    <w:rsid w:val="000E146F"/>
    <w:rsid w:val="000E1C3E"/>
    <w:rsid w:val="000E1DE8"/>
    <w:rsid w:val="000E2418"/>
    <w:rsid w:val="000E25D2"/>
    <w:rsid w:val="000E3D3F"/>
    <w:rsid w:val="000E45B4"/>
    <w:rsid w:val="000E4F63"/>
    <w:rsid w:val="000E4FE4"/>
    <w:rsid w:val="000E51A0"/>
    <w:rsid w:val="000E549F"/>
    <w:rsid w:val="000E5A21"/>
    <w:rsid w:val="000E5D3E"/>
    <w:rsid w:val="000F00BA"/>
    <w:rsid w:val="000F0C00"/>
    <w:rsid w:val="000F139A"/>
    <w:rsid w:val="000F1504"/>
    <w:rsid w:val="000F1E78"/>
    <w:rsid w:val="000F2A5B"/>
    <w:rsid w:val="000F316A"/>
    <w:rsid w:val="000F3C74"/>
    <w:rsid w:val="000F48C4"/>
    <w:rsid w:val="000F4BB8"/>
    <w:rsid w:val="000F4F91"/>
    <w:rsid w:val="000F4FA9"/>
    <w:rsid w:val="000F5289"/>
    <w:rsid w:val="000F53FB"/>
    <w:rsid w:val="000F57E5"/>
    <w:rsid w:val="000F6BA8"/>
    <w:rsid w:val="000F7127"/>
    <w:rsid w:val="000F7B54"/>
    <w:rsid w:val="000F7CEC"/>
    <w:rsid w:val="00100F1B"/>
    <w:rsid w:val="00100F8A"/>
    <w:rsid w:val="001018CC"/>
    <w:rsid w:val="0010245E"/>
    <w:rsid w:val="00102512"/>
    <w:rsid w:val="001028F0"/>
    <w:rsid w:val="0010452E"/>
    <w:rsid w:val="00104782"/>
    <w:rsid w:val="00105AE2"/>
    <w:rsid w:val="00105F0A"/>
    <w:rsid w:val="001060C6"/>
    <w:rsid w:val="00106B80"/>
    <w:rsid w:val="00106F08"/>
    <w:rsid w:val="00107A7B"/>
    <w:rsid w:val="00107ECC"/>
    <w:rsid w:val="0011032E"/>
    <w:rsid w:val="001107B9"/>
    <w:rsid w:val="0011333A"/>
    <w:rsid w:val="0011348B"/>
    <w:rsid w:val="00114511"/>
    <w:rsid w:val="00114D86"/>
    <w:rsid w:val="00114E42"/>
    <w:rsid w:val="00115982"/>
    <w:rsid w:val="00115E1E"/>
    <w:rsid w:val="00116C53"/>
    <w:rsid w:val="00117378"/>
    <w:rsid w:val="001179B3"/>
    <w:rsid w:val="00117F3D"/>
    <w:rsid w:val="00120403"/>
    <w:rsid w:val="00120A80"/>
    <w:rsid w:val="0012104C"/>
    <w:rsid w:val="00121799"/>
    <w:rsid w:val="001219FE"/>
    <w:rsid w:val="00121C1B"/>
    <w:rsid w:val="001222FC"/>
    <w:rsid w:val="00123902"/>
    <w:rsid w:val="00123918"/>
    <w:rsid w:val="00124A51"/>
    <w:rsid w:val="0012537B"/>
    <w:rsid w:val="00125A74"/>
    <w:rsid w:val="00125C2C"/>
    <w:rsid w:val="00126621"/>
    <w:rsid w:val="00126B1D"/>
    <w:rsid w:val="00126CB4"/>
    <w:rsid w:val="0012708E"/>
    <w:rsid w:val="001274EE"/>
    <w:rsid w:val="00127F39"/>
    <w:rsid w:val="00127FF0"/>
    <w:rsid w:val="001301E9"/>
    <w:rsid w:val="00131D82"/>
    <w:rsid w:val="00131EC9"/>
    <w:rsid w:val="00132B22"/>
    <w:rsid w:val="00133055"/>
    <w:rsid w:val="00133D36"/>
    <w:rsid w:val="00134C3E"/>
    <w:rsid w:val="001352D9"/>
    <w:rsid w:val="001354EB"/>
    <w:rsid w:val="001357A3"/>
    <w:rsid w:val="00135AC8"/>
    <w:rsid w:val="00135FC9"/>
    <w:rsid w:val="001363CF"/>
    <w:rsid w:val="00137645"/>
    <w:rsid w:val="0014015A"/>
    <w:rsid w:val="00140E99"/>
    <w:rsid w:val="001420A9"/>
    <w:rsid w:val="00143B16"/>
    <w:rsid w:val="00143F67"/>
    <w:rsid w:val="001440EE"/>
    <w:rsid w:val="00144CAC"/>
    <w:rsid w:val="00145540"/>
    <w:rsid w:val="001456B0"/>
    <w:rsid w:val="0014629C"/>
    <w:rsid w:val="00150858"/>
    <w:rsid w:val="00150ABF"/>
    <w:rsid w:val="00150F0F"/>
    <w:rsid w:val="001512CC"/>
    <w:rsid w:val="001513C0"/>
    <w:rsid w:val="00151922"/>
    <w:rsid w:val="00151C2A"/>
    <w:rsid w:val="00152A68"/>
    <w:rsid w:val="00152E25"/>
    <w:rsid w:val="00153D87"/>
    <w:rsid w:val="0015425B"/>
    <w:rsid w:val="00154354"/>
    <w:rsid w:val="00155526"/>
    <w:rsid w:val="00155613"/>
    <w:rsid w:val="00155709"/>
    <w:rsid w:val="001564A4"/>
    <w:rsid w:val="00156F8F"/>
    <w:rsid w:val="00157130"/>
    <w:rsid w:val="001576B1"/>
    <w:rsid w:val="001601DC"/>
    <w:rsid w:val="0016047B"/>
    <w:rsid w:val="00160A4C"/>
    <w:rsid w:val="001615AD"/>
    <w:rsid w:val="001616B2"/>
    <w:rsid w:val="001618FA"/>
    <w:rsid w:val="00162913"/>
    <w:rsid w:val="00163318"/>
    <w:rsid w:val="00163BE8"/>
    <w:rsid w:val="00163EFF"/>
    <w:rsid w:val="00163F66"/>
    <w:rsid w:val="0016420E"/>
    <w:rsid w:val="00165558"/>
    <w:rsid w:val="001661FB"/>
    <w:rsid w:val="00166D50"/>
    <w:rsid w:val="00166E9D"/>
    <w:rsid w:val="001671A0"/>
    <w:rsid w:val="0016767F"/>
    <w:rsid w:val="00167FE8"/>
    <w:rsid w:val="00171014"/>
    <w:rsid w:val="001713B9"/>
    <w:rsid w:val="00171BAB"/>
    <w:rsid w:val="0017205F"/>
    <w:rsid w:val="00173170"/>
    <w:rsid w:val="001734D4"/>
    <w:rsid w:val="00173565"/>
    <w:rsid w:val="00173B07"/>
    <w:rsid w:val="0017469E"/>
    <w:rsid w:val="00174E06"/>
    <w:rsid w:val="001751FA"/>
    <w:rsid w:val="001757F1"/>
    <w:rsid w:val="00176663"/>
    <w:rsid w:val="00176C02"/>
    <w:rsid w:val="00176D57"/>
    <w:rsid w:val="00177058"/>
    <w:rsid w:val="001776D6"/>
    <w:rsid w:val="00177C7B"/>
    <w:rsid w:val="00181D9C"/>
    <w:rsid w:val="00181F68"/>
    <w:rsid w:val="001821B4"/>
    <w:rsid w:val="001828E2"/>
    <w:rsid w:val="0018305B"/>
    <w:rsid w:val="00183180"/>
    <w:rsid w:val="00184B0E"/>
    <w:rsid w:val="00184BEC"/>
    <w:rsid w:val="00184FFF"/>
    <w:rsid w:val="00185569"/>
    <w:rsid w:val="0018599D"/>
    <w:rsid w:val="00187474"/>
    <w:rsid w:val="0018752F"/>
    <w:rsid w:val="0018774C"/>
    <w:rsid w:val="00187841"/>
    <w:rsid w:val="00187C27"/>
    <w:rsid w:val="00187E81"/>
    <w:rsid w:val="00190CCA"/>
    <w:rsid w:val="00191E0B"/>
    <w:rsid w:val="0019302A"/>
    <w:rsid w:val="0019314A"/>
    <w:rsid w:val="00193838"/>
    <w:rsid w:val="001944B1"/>
    <w:rsid w:val="00194AD8"/>
    <w:rsid w:val="00195175"/>
    <w:rsid w:val="00195177"/>
    <w:rsid w:val="00195222"/>
    <w:rsid w:val="0019552E"/>
    <w:rsid w:val="0019568B"/>
    <w:rsid w:val="00195DC6"/>
    <w:rsid w:val="00196C1F"/>
    <w:rsid w:val="0019737C"/>
    <w:rsid w:val="001975D8"/>
    <w:rsid w:val="00197F00"/>
    <w:rsid w:val="001A0433"/>
    <w:rsid w:val="001A178E"/>
    <w:rsid w:val="001A18FD"/>
    <w:rsid w:val="001A1A32"/>
    <w:rsid w:val="001A2019"/>
    <w:rsid w:val="001A3D5B"/>
    <w:rsid w:val="001A43FA"/>
    <w:rsid w:val="001A47C5"/>
    <w:rsid w:val="001A59FB"/>
    <w:rsid w:val="001A5E9E"/>
    <w:rsid w:val="001A6354"/>
    <w:rsid w:val="001A6366"/>
    <w:rsid w:val="001A67E9"/>
    <w:rsid w:val="001A7A10"/>
    <w:rsid w:val="001A7AE8"/>
    <w:rsid w:val="001B03F9"/>
    <w:rsid w:val="001B04CA"/>
    <w:rsid w:val="001B13C4"/>
    <w:rsid w:val="001B1B38"/>
    <w:rsid w:val="001B1E0B"/>
    <w:rsid w:val="001B1EAB"/>
    <w:rsid w:val="001B204E"/>
    <w:rsid w:val="001B2284"/>
    <w:rsid w:val="001B2372"/>
    <w:rsid w:val="001B2452"/>
    <w:rsid w:val="001B25EB"/>
    <w:rsid w:val="001B2D47"/>
    <w:rsid w:val="001B3443"/>
    <w:rsid w:val="001B397F"/>
    <w:rsid w:val="001B3A25"/>
    <w:rsid w:val="001B466E"/>
    <w:rsid w:val="001B4D20"/>
    <w:rsid w:val="001B52A6"/>
    <w:rsid w:val="001B5A3C"/>
    <w:rsid w:val="001B5AF6"/>
    <w:rsid w:val="001B74B3"/>
    <w:rsid w:val="001B7512"/>
    <w:rsid w:val="001C1448"/>
    <w:rsid w:val="001C1AB1"/>
    <w:rsid w:val="001C2A9B"/>
    <w:rsid w:val="001C391A"/>
    <w:rsid w:val="001C4299"/>
    <w:rsid w:val="001C4874"/>
    <w:rsid w:val="001C4F3B"/>
    <w:rsid w:val="001C5472"/>
    <w:rsid w:val="001C54A3"/>
    <w:rsid w:val="001C5F94"/>
    <w:rsid w:val="001C6A37"/>
    <w:rsid w:val="001C6C21"/>
    <w:rsid w:val="001C6E66"/>
    <w:rsid w:val="001C787D"/>
    <w:rsid w:val="001C7EAD"/>
    <w:rsid w:val="001D015D"/>
    <w:rsid w:val="001D1100"/>
    <w:rsid w:val="001D1391"/>
    <w:rsid w:val="001D1EA2"/>
    <w:rsid w:val="001D25D7"/>
    <w:rsid w:val="001D50B2"/>
    <w:rsid w:val="001D5BDF"/>
    <w:rsid w:val="001D6BBD"/>
    <w:rsid w:val="001D7645"/>
    <w:rsid w:val="001D780C"/>
    <w:rsid w:val="001D793D"/>
    <w:rsid w:val="001E17FE"/>
    <w:rsid w:val="001E1E86"/>
    <w:rsid w:val="001E238E"/>
    <w:rsid w:val="001E2483"/>
    <w:rsid w:val="001E27CD"/>
    <w:rsid w:val="001E2B1E"/>
    <w:rsid w:val="001E2CFF"/>
    <w:rsid w:val="001E2F24"/>
    <w:rsid w:val="001E30D4"/>
    <w:rsid w:val="001E34DF"/>
    <w:rsid w:val="001E4050"/>
    <w:rsid w:val="001E434C"/>
    <w:rsid w:val="001E4F7B"/>
    <w:rsid w:val="001E5145"/>
    <w:rsid w:val="001E52EB"/>
    <w:rsid w:val="001E61D2"/>
    <w:rsid w:val="001E6881"/>
    <w:rsid w:val="001E6E72"/>
    <w:rsid w:val="001E740C"/>
    <w:rsid w:val="001F0233"/>
    <w:rsid w:val="001F1235"/>
    <w:rsid w:val="001F155F"/>
    <w:rsid w:val="001F158C"/>
    <w:rsid w:val="001F1609"/>
    <w:rsid w:val="001F17E9"/>
    <w:rsid w:val="001F1CB3"/>
    <w:rsid w:val="001F1DC8"/>
    <w:rsid w:val="001F2FBE"/>
    <w:rsid w:val="001F38B5"/>
    <w:rsid w:val="001F4081"/>
    <w:rsid w:val="001F55C4"/>
    <w:rsid w:val="001F61D0"/>
    <w:rsid w:val="001F6454"/>
    <w:rsid w:val="001F6EAA"/>
    <w:rsid w:val="001F7361"/>
    <w:rsid w:val="001F7472"/>
    <w:rsid w:val="0020043D"/>
    <w:rsid w:val="0020053C"/>
    <w:rsid w:val="00200F91"/>
    <w:rsid w:val="002011B0"/>
    <w:rsid w:val="00201DA2"/>
    <w:rsid w:val="0020294C"/>
    <w:rsid w:val="002030CB"/>
    <w:rsid w:val="00203181"/>
    <w:rsid w:val="00203783"/>
    <w:rsid w:val="0020385F"/>
    <w:rsid w:val="0020539B"/>
    <w:rsid w:val="0020556A"/>
    <w:rsid w:val="00205CC1"/>
    <w:rsid w:val="00205DDD"/>
    <w:rsid w:val="002066AB"/>
    <w:rsid w:val="002068A0"/>
    <w:rsid w:val="00206D10"/>
    <w:rsid w:val="00207021"/>
    <w:rsid w:val="0020732F"/>
    <w:rsid w:val="00207393"/>
    <w:rsid w:val="00207D00"/>
    <w:rsid w:val="002105C1"/>
    <w:rsid w:val="002107B6"/>
    <w:rsid w:val="002107F2"/>
    <w:rsid w:val="00211603"/>
    <w:rsid w:val="00212AA1"/>
    <w:rsid w:val="00212CDA"/>
    <w:rsid w:val="00213532"/>
    <w:rsid w:val="00213BA6"/>
    <w:rsid w:val="00213EF5"/>
    <w:rsid w:val="002146A4"/>
    <w:rsid w:val="002151B5"/>
    <w:rsid w:val="002162B8"/>
    <w:rsid w:val="002166D1"/>
    <w:rsid w:val="00216BF5"/>
    <w:rsid w:val="0021714D"/>
    <w:rsid w:val="00217486"/>
    <w:rsid w:val="00217D47"/>
    <w:rsid w:val="0022003C"/>
    <w:rsid w:val="00220CAA"/>
    <w:rsid w:val="002215D2"/>
    <w:rsid w:val="00221729"/>
    <w:rsid w:val="002219CC"/>
    <w:rsid w:val="00221DA2"/>
    <w:rsid w:val="00222293"/>
    <w:rsid w:val="002222A2"/>
    <w:rsid w:val="00223082"/>
    <w:rsid w:val="002232CA"/>
    <w:rsid w:val="002235CF"/>
    <w:rsid w:val="00223B49"/>
    <w:rsid w:val="00223D5A"/>
    <w:rsid w:val="00224DD4"/>
    <w:rsid w:val="00225324"/>
    <w:rsid w:val="00226D21"/>
    <w:rsid w:val="00227616"/>
    <w:rsid w:val="002278A0"/>
    <w:rsid w:val="002309CC"/>
    <w:rsid w:val="00230AD6"/>
    <w:rsid w:val="002317D8"/>
    <w:rsid w:val="0023187B"/>
    <w:rsid w:val="0023209F"/>
    <w:rsid w:val="00232F54"/>
    <w:rsid w:val="00233C01"/>
    <w:rsid w:val="0023413C"/>
    <w:rsid w:val="002346F0"/>
    <w:rsid w:val="00235D8A"/>
    <w:rsid w:val="0023629D"/>
    <w:rsid w:val="00236373"/>
    <w:rsid w:val="00236D42"/>
    <w:rsid w:val="00237255"/>
    <w:rsid w:val="0023735B"/>
    <w:rsid w:val="0023777A"/>
    <w:rsid w:val="00237D8C"/>
    <w:rsid w:val="00240422"/>
    <w:rsid w:val="0024091E"/>
    <w:rsid w:val="00240C5C"/>
    <w:rsid w:val="002424AF"/>
    <w:rsid w:val="00242699"/>
    <w:rsid w:val="00243613"/>
    <w:rsid w:val="0024368D"/>
    <w:rsid w:val="002439DC"/>
    <w:rsid w:val="002441D2"/>
    <w:rsid w:val="00244494"/>
    <w:rsid w:val="00244DC8"/>
    <w:rsid w:val="002453C3"/>
    <w:rsid w:val="002458BA"/>
    <w:rsid w:val="00245CE9"/>
    <w:rsid w:val="0024636C"/>
    <w:rsid w:val="002470AA"/>
    <w:rsid w:val="00247274"/>
    <w:rsid w:val="00247925"/>
    <w:rsid w:val="00250100"/>
    <w:rsid w:val="00251006"/>
    <w:rsid w:val="002515FE"/>
    <w:rsid w:val="00251B76"/>
    <w:rsid w:val="002524D5"/>
    <w:rsid w:val="00253B1D"/>
    <w:rsid w:val="00253C9C"/>
    <w:rsid w:val="002549B3"/>
    <w:rsid w:val="00254DCF"/>
    <w:rsid w:val="0025511F"/>
    <w:rsid w:val="0025534B"/>
    <w:rsid w:val="0025592B"/>
    <w:rsid w:val="00255961"/>
    <w:rsid w:val="00255BB7"/>
    <w:rsid w:val="00256014"/>
    <w:rsid w:val="00256513"/>
    <w:rsid w:val="00256CFA"/>
    <w:rsid w:val="00256E2F"/>
    <w:rsid w:val="00257541"/>
    <w:rsid w:val="0025763F"/>
    <w:rsid w:val="002577A9"/>
    <w:rsid w:val="002577C0"/>
    <w:rsid w:val="00257A39"/>
    <w:rsid w:val="00257AC4"/>
    <w:rsid w:val="00260ACE"/>
    <w:rsid w:val="002613B5"/>
    <w:rsid w:val="00261EEF"/>
    <w:rsid w:val="00262A1A"/>
    <w:rsid w:val="00262A87"/>
    <w:rsid w:val="002640FA"/>
    <w:rsid w:val="002648B8"/>
    <w:rsid w:val="00264AED"/>
    <w:rsid w:val="00264D26"/>
    <w:rsid w:val="0026529A"/>
    <w:rsid w:val="002656DC"/>
    <w:rsid w:val="00265D8C"/>
    <w:rsid w:val="00267642"/>
    <w:rsid w:val="00267AEA"/>
    <w:rsid w:val="002700E6"/>
    <w:rsid w:val="002708FE"/>
    <w:rsid w:val="00271009"/>
    <w:rsid w:val="002717E6"/>
    <w:rsid w:val="0027294B"/>
    <w:rsid w:val="00273EB4"/>
    <w:rsid w:val="00273EE2"/>
    <w:rsid w:val="00274682"/>
    <w:rsid w:val="00274DB1"/>
    <w:rsid w:val="00275113"/>
    <w:rsid w:val="002751AA"/>
    <w:rsid w:val="00275C5A"/>
    <w:rsid w:val="00276233"/>
    <w:rsid w:val="00277389"/>
    <w:rsid w:val="00277668"/>
    <w:rsid w:val="00280B68"/>
    <w:rsid w:val="00281014"/>
    <w:rsid w:val="00282D4F"/>
    <w:rsid w:val="00283430"/>
    <w:rsid w:val="0028444B"/>
    <w:rsid w:val="002846C7"/>
    <w:rsid w:val="0028485A"/>
    <w:rsid w:val="00286179"/>
    <w:rsid w:val="0028665D"/>
    <w:rsid w:val="002867C0"/>
    <w:rsid w:val="00290ED7"/>
    <w:rsid w:val="00290F3C"/>
    <w:rsid w:val="00291647"/>
    <w:rsid w:val="00292174"/>
    <w:rsid w:val="002934F8"/>
    <w:rsid w:val="00293896"/>
    <w:rsid w:val="00293F9C"/>
    <w:rsid w:val="00294428"/>
    <w:rsid w:val="00294AC6"/>
    <w:rsid w:val="00294E8A"/>
    <w:rsid w:val="00296599"/>
    <w:rsid w:val="00297955"/>
    <w:rsid w:val="002A12E0"/>
    <w:rsid w:val="002A14AB"/>
    <w:rsid w:val="002A152E"/>
    <w:rsid w:val="002A1636"/>
    <w:rsid w:val="002A199B"/>
    <w:rsid w:val="002A20DC"/>
    <w:rsid w:val="002A2310"/>
    <w:rsid w:val="002A26BF"/>
    <w:rsid w:val="002A2830"/>
    <w:rsid w:val="002A2ADE"/>
    <w:rsid w:val="002A2CFE"/>
    <w:rsid w:val="002A2F50"/>
    <w:rsid w:val="002A3292"/>
    <w:rsid w:val="002A3CDE"/>
    <w:rsid w:val="002A4325"/>
    <w:rsid w:val="002A4441"/>
    <w:rsid w:val="002A5633"/>
    <w:rsid w:val="002A5E09"/>
    <w:rsid w:val="002A75ED"/>
    <w:rsid w:val="002A7FC4"/>
    <w:rsid w:val="002B047F"/>
    <w:rsid w:val="002B05A1"/>
    <w:rsid w:val="002B09A4"/>
    <w:rsid w:val="002B16CD"/>
    <w:rsid w:val="002B1C1F"/>
    <w:rsid w:val="002B422E"/>
    <w:rsid w:val="002B432F"/>
    <w:rsid w:val="002B4570"/>
    <w:rsid w:val="002B45B7"/>
    <w:rsid w:val="002B4793"/>
    <w:rsid w:val="002B4ABE"/>
    <w:rsid w:val="002B5043"/>
    <w:rsid w:val="002B55D8"/>
    <w:rsid w:val="002B5BCC"/>
    <w:rsid w:val="002B60C6"/>
    <w:rsid w:val="002B62B3"/>
    <w:rsid w:val="002B6754"/>
    <w:rsid w:val="002B6CCE"/>
    <w:rsid w:val="002C18D5"/>
    <w:rsid w:val="002C2510"/>
    <w:rsid w:val="002C2775"/>
    <w:rsid w:val="002C27C1"/>
    <w:rsid w:val="002C2BB5"/>
    <w:rsid w:val="002C34D5"/>
    <w:rsid w:val="002C3C70"/>
    <w:rsid w:val="002C49AE"/>
    <w:rsid w:val="002C4D5A"/>
    <w:rsid w:val="002C5099"/>
    <w:rsid w:val="002C5889"/>
    <w:rsid w:val="002C6009"/>
    <w:rsid w:val="002C640A"/>
    <w:rsid w:val="002C71CE"/>
    <w:rsid w:val="002C7336"/>
    <w:rsid w:val="002C7895"/>
    <w:rsid w:val="002C7C51"/>
    <w:rsid w:val="002C7D77"/>
    <w:rsid w:val="002D08F8"/>
    <w:rsid w:val="002D0F73"/>
    <w:rsid w:val="002D294E"/>
    <w:rsid w:val="002D399D"/>
    <w:rsid w:val="002D3B6F"/>
    <w:rsid w:val="002D577C"/>
    <w:rsid w:val="002D6207"/>
    <w:rsid w:val="002D7900"/>
    <w:rsid w:val="002E1035"/>
    <w:rsid w:val="002E1071"/>
    <w:rsid w:val="002E15B9"/>
    <w:rsid w:val="002E2158"/>
    <w:rsid w:val="002E3660"/>
    <w:rsid w:val="002E3EA7"/>
    <w:rsid w:val="002E4156"/>
    <w:rsid w:val="002E4F02"/>
    <w:rsid w:val="002E56E1"/>
    <w:rsid w:val="002E6E30"/>
    <w:rsid w:val="002E7722"/>
    <w:rsid w:val="002E78F5"/>
    <w:rsid w:val="002E7D71"/>
    <w:rsid w:val="002F07BA"/>
    <w:rsid w:val="002F0B45"/>
    <w:rsid w:val="002F0DA9"/>
    <w:rsid w:val="002F0F56"/>
    <w:rsid w:val="002F1014"/>
    <w:rsid w:val="002F1E64"/>
    <w:rsid w:val="002F204A"/>
    <w:rsid w:val="002F2984"/>
    <w:rsid w:val="002F320E"/>
    <w:rsid w:val="002F4C80"/>
    <w:rsid w:val="002F4DA7"/>
    <w:rsid w:val="002F5848"/>
    <w:rsid w:val="002F5D4E"/>
    <w:rsid w:val="002F625B"/>
    <w:rsid w:val="002F643C"/>
    <w:rsid w:val="002F69F0"/>
    <w:rsid w:val="002F6ADE"/>
    <w:rsid w:val="002F6D63"/>
    <w:rsid w:val="002F71C0"/>
    <w:rsid w:val="002F74F1"/>
    <w:rsid w:val="00300ED2"/>
    <w:rsid w:val="00301017"/>
    <w:rsid w:val="00301091"/>
    <w:rsid w:val="0030155F"/>
    <w:rsid w:val="00302433"/>
    <w:rsid w:val="003025DB"/>
    <w:rsid w:val="0030340B"/>
    <w:rsid w:val="0030498A"/>
    <w:rsid w:val="00304E08"/>
    <w:rsid w:val="0030587B"/>
    <w:rsid w:val="00306D98"/>
    <w:rsid w:val="0030786C"/>
    <w:rsid w:val="0031031A"/>
    <w:rsid w:val="00310490"/>
    <w:rsid w:val="00310981"/>
    <w:rsid w:val="00310A24"/>
    <w:rsid w:val="003118E2"/>
    <w:rsid w:val="00312397"/>
    <w:rsid w:val="003124D9"/>
    <w:rsid w:val="00312594"/>
    <w:rsid w:val="00312714"/>
    <w:rsid w:val="00314118"/>
    <w:rsid w:val="00314925"/>
    <w:rsid w:val="003151C5"/>
    <w:rsid w:val="00315403"/>
    <w:rsid w:val="00315498"/>
    <w:rsid w:val="00315721"/>
    <w:rsid w:val="00316474"/>
    <w:rsid w:val="0031681F"/>
    <w:rsid w:val="00316B89"/>
    <w:rsid w:val="0031739D"/>
    <w:rsid w:val="00317851"/>
    <w:rsid w:val="0031789D"/>
    <w:rsid w:val="00317C24"/>
    <w:rsid w:val="003215C7"/>
    <w:rsid w:val="00322107"/>
    <w:rsid w:val="00322355"/>
    <w:rsid w:val="00322846"/>
    <w:rsid w:val="00322F11"/>
    <w:rsid w:val="00323006"/>
    <w:rsid w:val="00324465"/>
    <w:rsid w:val="003251FA"/>
    <w:rsid w:val="00325A47"/>
    <w:rsid w:val="00326DA7"/>
    <w:rsid w:val="003270E4"/>
    <w:rsid w:val="00330DAA"/>
    <w:rsid w:val="00330F5C"/>
    <w:rsid w:val="00331C02"/>
    <w:rsid w:val="00333BD0"/>
    <w:rsid w:val="003354D2"/>
    <w:rsid w:val="003366C9"/>
    <w:rsid w:val="00336955"/>
    <w:rsid w:val="003371B0"/>
    <w:rsid w:val="00337BFF"/>
    <w:rsid w:val="00337C21"/>
    <w:rsid w:val="00337CC6"/>
    <w:rsid w:val="00340DF1"/>
    <w:rsid w:val="00341457"/>
    <w:rsid w:val="00342505"/>
    <w:rsid w:val="00344045"/>
    <w:rsid w:val="00345CE1"/>
    <w:rsid w:val="003463DC"/>
    <w:rsid w:val="00346DB3"/>
    <w:rsid w:val="00347982"/>
    <w:rsid w:val="0034799B"/>
    <w:rsid w:val="00347E80"/>
    <w:rsid w:val="003501CC"/>
    <w:rsid w:val="00351218"/>
    <w:rsid w:val="003517F9"/>
    <w:rsid w:val="003519F3"/>
    <w:rsid w:val="00351BA9"/>
    <w:rsid w:val="00351F93"/>
    <w:rsid w:val="0035240A"/>
    <w:rsid w:val="00352FCA"/>
    <w:rsid w:val="00354016"/>
    <w:rsid w:val="00354247"/>
    <w:rsid w:val="00354BA0"/>
    <w:rsid w:val="00354E9C"/>
    <w:rsid w:val="00354EC5"/>
    <w:rsid w:val="00354F64"/>
    <w:rsid w:val="00355761"/>
    <w:rsid w:val="0035620E"/>
    <w:rsid w:val="00357970"/>
    <w:rsid w:val="00360345"/>
    <w:rsid w:val="00360E5E"/>
    <w:rsid w:val="003614A8"/>
    <w:rsid w:val="00361A05"/>
    <w:rsid w:val="003624C4"/>
    <w:rsid w:val="00362C54"/>
    <w:rsid w:val="00363204"/>
    <w:rsid w:val="003639E1"/>
    <w:rsid w:val="00363B00"/>
    <w:rsid w:val="0036454B"/>
    <w:rsid w:val="0036464E"/>
    <w:rsid w:val="00364C3C"/>
    <w:rsid w:val="003654AC"/>
    <w:rsid w:val="00366BC3"/>
    <w:rsid w:val="00370806"/>
    <w:rsid w:val="00370DCD"/>
    <w:rsid w:val="0037106E"/>
    <w:rsid w:val="003710CF"/>
    <w:rsid w:val="003726BB"/>
    <w:rsid w:val="00372A6D"/>
    <w:rsid w:val="00372AEE"/>
    <w:rsid w:val="003731BD"/>
    <w:rsid w:val="0037358A"/>
    <w:rsid w:val="00374142"/>
    <w:rsid w:val="003750F6"/>
    <w:rsid w:val="00375135"/>
    <w:rsid w:val="0037520A"/>
    <w:rsid w:val="003752C3"/>
    <w:rsid w:val="003760FC"/>
    <w:rsid w:val="0037755C"/>
    <w:rsid w:val="00377C81"/>
    <w:rsid w:val="003802E9"/>
    <w:rsid w:val="003802FB"/>
    <w:rsid w:val="0038066F"/>
    <w:rsid w:val="00380741"/>
    <w:rsid w:val="00381068"/>
    <w:rsid w:val="003813CE"/>
    <w:rsid w:val="00381FD2"/>
    <w:rsid w:val="003820E1"/>
    <w:rsid w:val="0038365C"/>
    <w:rsid w:val="0038369B"/>
    <w:rsid w:val="00383B78"/>
    <w:rsid w:val="00383D86"/>
    <w:rsid w:val="00385815"/>
    <w:rsid w:val="00385A7C"/>
    <w:rsid w:val="00385A9D"/>
    <w:rsid w:val="003862D3"/>
    <w:rsid w:val="0038675B"/>
    <w:rsid w:val="00387F25"/>
    <w:rsid w:val="003901C8"/>
    <w:rsid w:val="003902B1"/>
    <w:rsid w:val="00390BEB"/>
    <w:rsid w:val="00390D9F"/>
    <w:rsid w:val="0039141E"/>
    <w:rsid w:val="0039179C"/>
    <w:rsid w:val="0039254C"/>
    <w:rsid w:val="0039345F"/>
    <w:rsid w:val="003938D3"/>
    <w:rsid w:val="00393ED5"/>
    <w:rsid w:val="0039402E"/>
    <w:rsid w:val="00394B6E"/>
    <w:rsid w:val="00396896"/>
    <w:rsid w:val="00396FD0"/>
    <w:rsid w:val="00397376"/>
    <w:rsid w:val="00397D60"/>
    <w:rsid w:val="00397E05"/>
    <w:rsid w:val="003A04E1"/>
    <w:rsid w:val="003A0CC2"/>
    <w:rsid w:val="003A1751"/>
    <w:rsid w:val="003A1A7A"/>
    <w:rsid w:val="003A2287"/>
    <w:rsid w:val="003A2392"/>
    <w:rsid w:val="003A2831"/>
    <w:rsid w:val="003A3CB6"/>
    <w:rsid w:val="003A3ED1"/>
    <w:rsid w:val="003A3FAA"/>
    <w:rsid w:val="003A44DB"/>
    <w:rsid w:val="003A48E1"/>
    <w:rsid w:val="003A4A99"/>
    <w:rsid w:val="003A5402"/>
    <w:rsid w:val="003A55A8"/>
    <w:rsid w:val="003A623B"/>
    <w:rsid w:val="003A6A0C"/>
    <w:rsid w:val="003A703D"/>
    <w:rsid w:val="003A738A"/>
    <w:rsid w:val="003A7875"/>
    <w:rsid w:val="003A7EFD"/>
    <w:rsid w:val="003B05E8"/>
    <w:rsid w:val="003B1C49"/>
    <w:rsid w:val="003B2B48"/>
    <w:rsid w:val="003B2DBE"/>
    <w:rsid w:val="003B3779"/>
    <w:rsid w:val="003B3971"/>
    <w:rsid w:val="003B55D1"/>
    <w:rsid w:val="003B5B61"/>
    <w:rsid w:val="003B6E87"/>
    <w:rsid w:val="003B6FC1"/>
    <w:rsid w:val="003B7973"/>
    <w:rsid w:val="003C059F"/>
    <w:rsid w:val="003C0C10"/>
    <w:rsid w:val="003C1654"/>
    <w:rsid w:val="003C2399"/>
    <w:rsid w:val="003C23DC"/>
    <w:rsid w:val="003C24C7"/>
    <w:rsid w:val="003C2755"/>
    <w:rsid w:val="003C3192"/>
    <w:rsid w:val="003C5517"/>
    <w:rsid w:val="003C5542"/>
    <w:rsid w:val="003C69E4"/>
    <w:rsid w:val="003C6E50"/>
    <w:rsid w:val="003C7D19"/>
    <w:rsid w:val="003C7D2F"/>
    <w:rsid w:val="003D03BD"/>
    <w:rsid w:val="003D08CE"/>
    <w:rsid w:val="003D1024"/>
    <w:rsid w:val="003D1828"/>
    <w:rsid w:val="003D1DE4"/>
    <w:rsid w:val="003D1E9A"/>
    <w:rsid w:val="003D1ED1"/>
    <w:rsid w:val="003D1F8D"/>
    <w:rsid w:val="003D2422"/>
    <w:rsid w:val="003D2C62"/>
    <w:rsid w:val="003D2DDE"/>
    <w:rsid w:val="003D39A1"/>
    <w:rsid w:val="003D3FBF"/>
    <w:rsid w:val="003D3FDD"/>
    <w:rsid w:val="003D4745"/>
    <w:rsid w:val="003D4A30"/>
    <w:rsid w:val="003D5977"/>
    <w:rsid w:val="003D5C06"/>
    <w:rsid w:val="003D5C8E"/>
    <w:rsid w:val="003D7452"/>
    <w:rsid w:val="003D79BB"/>
    <w:rsid w:val="003D7C98"/>
    <w:rsid w:val="003D7D9D"/>
    <w:rsid w:val="003E0543"/>
    <w:rsid w:val="003E417A"/>
    <w:rsid w:val="003E4876"/>
    <w:rsid w:val="003E6510"/>
    <w:rsid w:val="003E6988"/>
    <w:rsid w:val="003E724E"/>
    <w:rsid w:val="003E749E"/>
    <w:rsid w:val="003F0466"/>
    <w:rsid w:val="003F0984"/>
    <w:rsid w:val="003F0C06"/>
    <w:rsid w:val="003F1533"/>
    <w:rsid w:val="003F1E90"/>
    <w:rsid w:val="003F38DD"/>
    <w:rsid w:val="003F4120"/>
    <w:rsid w:val="003F4156"/>
    <w:rsid w:val="003F4320"/>
    <w:rsid w:val="003F44D8"/>
    <w:rsid w:val="003F5126"/>
    <w:rsid w:val="003F5ADF"/>
    <w:rsid w:val="003F6150"/>
    <w:rsid w:val="003F73A0"/>
    <w:rsid w:val="003F773D"/>
    <w:rsid w:val="003F786F"/>
    <w:rsid w:val="00400769"/>
    <w:rsid w:val="00400B29"/>
    <w:rsid w:val="00400ED8"/>
    <w:rsid w:val="00400FE6"/>
    <w:rsid w:val="004017E4"/>
    <w:rsid w:val="00402519"/>
    <w:rsid w:val="00402881"/>
    <w:rsid w:val="004035F4"/>
    <w:rsid w:val="00403941"/>
    <w:rsid w:val="00403F79"/>
    <w:rsid w:val="0040504B"/>
    <w:rsid w:val="004059F4"/>
    <w:rsid w:val="0040631A"/>
    <w:rsid w:val="00407FE5"/>
    <w:rsid w:val="004101B0"/>
    <w:rsid w:val="00410326"/>
    <w:rsid w:val="00410708"/>
    <w:rsid w:val="00410EC7"/>
    <w:rsid w:val="00410F97"/>
    <w:rsid w:val="00411B39"/>
    <w:rsid w:val="00412048"/>
    <w:rsid w:val="004123C1"/>
    <w:rsid w:val="004127A7"/>
    <w:rsid w:val="00412BFF"/>
    <w:rsid w:val="00412CEC"/>
    <w:rsid w:val="00413A1E"/>
    <w:rsid w:val="00414476"/>
    <w:rsid w:val="00414674"/>
    <w:rsid w:val="00414A17"/>
    <w:rsid w:val="00414AD3"/>
    <w:rsid w:val="00414C2E"/>
    <w:rsid w:val="004151CF"/>
    <w:rsid w:val="00416364"/>
    <w:rsid w:val="00417DCE"/>
    <w:rsid w:val="0042047F"/>
    <w:rsid w:val="004207EF"/>
    <w:rsid w:val="00420AA6"/>
    <w:rsid w:val="00420B9F"/>
    <w:rsid w:val="004215BA"/>
    <w:rsid w:val="00421753"/>
    <w:rsid w:val="00421915"/>
    <w:rsid w:val="0042192C"/>
    <w:rsid w:val="00422260"/>
    <w:rsid w:val="00422550"/>
    <w:rsid w:val="00422C68"/>
    <w:rsid w:val="00423159"/>
    <w:rsid w:val="0042318A"/>
    <w:rsid w:val="00423C5A"/>
    <w:rsid w:val="0042413F"/>
    <w:rsid w:val="004251EC"/>
    <w:rsid w:val="00425317"/>
    <w:rsid w:val="00425870"/>
    <w:rsid w:val="0042617B"/>
    <w:rsid w:val="00426B09"/>
    <w:rsid w:val="00426C53"/>
    <w:rsid w:val="00427044"/>
    <w:rsid w:val="00427FA4"/>
    <w:rsid w:val="00430CEE"/>
    <w:rsid w:val="00431329"/>
    <w:rsid w:val="004318CE"/>
    <w:rsid w:val="004319F8"/>
    <w:rsid w:val="00431E55"/>
    <w:rsid w:val="004321F6"/>
    <w:rsid w:val="004323D7"/>
    <w:rsid w:val="00433044"/>
    <w:rsid w:val="004337C6"/>
    <w:rsid w:val="00434074"/>
    <w:rsid w:val="00434088"/>
    <w:rsid w:val="00434EC9"/>
    <w:rsid w:val="004362A6"/>
    <w:rsid w:val="004375B9"/>
    <w:rsid w:val="004404BA"/>
    <w:rsid w:val="004428D0"/>
    <w:rsid w:val="00443994"/>
    <w:rsid w:val="00443EC1"/>
    <w:rsid w:val="00443FFC"/>
    <w:rsid w:val="00444185"/>
    <w:rsid w:val="004443A7"/>
    <w:rsid w:val="0044442C"/>
    <w:rsid w:val="00445099"/>
    <w:rsid w:val="004455D9"/>
    <w:rsid w:val="00445941"/>
    <w:rsid w:val="004464EB"/>
    <w:rsid w:val="00447D26"/>
    <w:rsid w:val="00447DFC"/>
    <w:rsid w:val="00447E96"/>
    <w:rsid w:val="00451068"/>
    <w:rsid w:val="0045120C"/>
    <w:rsid w:val="00451AAA"/>
    <w:rsid w:val="00452402"/>
    <w:rsid w:val="00452502"/>
    <w:rsid w:val="00453E5F"/>
    <w:rsid w:val="00453E7C"/>
    <w:rsid w:val="00454E1C"/>
    <w:rsid w:val="00455139"/>
    <w:rsid w:val="00455D45"/>
    <w:rsid w:val="00456081"/>
    <w:rsid w:val="00456317"/>
    <w:rsid w:val="00456F2D"/>
    <w:rsid w:val="00457B0D"/>
    <w:rsid w:val="0046022C"/>
    <w:rsid w:val="00460A26"/>
    <w:rsid w:val="00462CD9"/>
    <w:rsid w:val="00463266"/>
    <w:rsid w:val="00463671"/>
    <w:rsid w:val="00463FA0"/>
    <w:rsid w:val="00464044"/>
    <w:rsid w:val="00464105"/>
    <w:rsid w:val="00464595"/>
    <w:rsid w:val="00464F82"/>
    <w:rsid w:val="00465074"/>
    <w:rsid w:val="00465729"/>
    <w:rsid w:val="004658B5"/>
    <w:rsid w:val="00465D66"/>
    <w:rsid w:val="00466440"/>
    <w:rsid w:val="00467919"/>
    <w:rsid w:val="00470900"/>
    <w:rsid w:val="00471036"/>
    <w:rsid w:val="0047164F"/>
    <w:rsid w:val="00471A7C"/>
    <w:rsid w:val="00471EA5"/>
    <w:rsid w:val="004720D4"/>
    <w:rsid w:val="00472A79"/>
    <w:rsid w:val="00472E7B"/>
    <w:rsid w:val="00473686"/>
    <w:rsid w:val="00473F08"/>
    <w:rsid w:val="00473F19"/>
    <w:rsid w:val="00474511"/>
    <w:rsid w:val="00474B5D"/>
    <w:rsid w:val="00474D44"/>
    <w:rsid w:val="00474EA3"/>
    <w:rsid w:val="00475207"/>
    <w:rsid w:val="00475245"/>
    <w:rsid w:val="00475925"/>
    <w:rsid w:val="00475E22"/>
    <w:rsid w:val="004772DA"/>
    <w:rsid w:val="00480561"/>
    <w:rsid w:val="004807C3"/>
    <w:rsid w:val="0048088E"/>
    <w:rsid w:val="00480F2B"/>
    <w:rsid w:val="0048114D"/>
    <w:rsid w:val="00482720"/>
    <w:rsid w:val="004835E7"/>
    <w:rsid w:val="00483AC6"/>
    <w:rsid w:val="004842C4"/>
    <w:rsid w:val="004852B9"/>
    <w:rsid w:val="00485E73"/>
    <w:rsid w:val="004867E2"/>
    <w:rsid w:val="00486960"/>
    <w:rsid w:val="00486ABA"/>
    <w:rsid w:val="00486E18"/>
    <w:rsid w:val="00487F9A"/>
    <w:rsid w:val="00490B17"/>
    <w:rsid w:val="00491B3A"/>
    <w:rsid w:val="0049213D"/>
    <w:rsid w:val="00492769"/>
    <w:rsid w:val="00492C66"/>
    <w:rsid w:val="00492CCB"/>
    <w:rsid w:val="00492CFD"/>
    <w:rsid w:val="00494207"/>
    <w:rsid w:val="004947E2"/>
    <w:rsid w:val="004949DE"/>
    <w:rsid w:val="00494BD7"/>
    <w:rsid w:val="00494D6C"/>
    <w:rsid w:val="00494DD5"/>
    <w:rsid w:val="004962D2"/>
    <w:rsid w:val="00496342"/>
    <w:rsid w:val="00497133"/>
    <w:rsid w:val="004A0DA1"/>
    <w:rsid w:val="004A11D9"/>
    <w:rsid w:val="004A13D6"/>
    <w:rsid w:val="004A1D46"/>
    <w:rsid w:val="004A264B"/>
    <w:rsid w:val="004A2AFB"/>
    <w:rsid w:val="004A2E7E"/>
    <w:rsid w:val="004A3842"/>
    <w:rsid w:val="004A38DC"/>
    <w:rsid w:val="004A3E8A"/>
    <w:rsid w:val="004A4D64"/>
    <w:rsid w:val="004A52E9"/>
    <w:rsid w:val="004A5DFC"/>
    <w:rsid w:val="004A6040"/>
    <w:rsid w:val="004A635E"/>
    <w:rsid w:val="004A6597"/>
    <w:rsid w:val="004A65F1"/>
    <w:rsid w:val="004A67B0"/>
    <w:rsid w:val="004A7848"/>
    <w:rsid w:val="004B0166"/>
    <w:rsid w:val="004B07CC"/>
    <w:rsid w:val="004B0918"/>
    <w:rsid w:val="004B1441"/>
    <w:rsid w:val="004B16C8"/>
    <w:rsid w:val="004B1CB4"/>
    <w:rsid w:val="004B2E05"/>
    <w:rsid w:val="004B2F18"/>
    <w:rsid w:val="004B3047"/>
    <w:rsid w:val="004B3A9B"/>
    <w:rsid w:val="004B3DDB"/>
    <w:rsid w:val="004B44FD"/>
    <w:rsid w:val="004B49C4"/>
    <w:rsid w:val="004B5CFC"/>
    <w:rsid w:val="004B6177"/>
    <w:rsid w:val="004B6BB3"/>
    <w:rsid w:val="004B6F79"/>
    <w:rsid w:val="004B6FAB"/>
    <w:rsid w:val="004B774D"/>
    <w:rsid w:val="004C123D"/>
    <w:rsid w:val="004C1CE1"/>
    <w:rsid w:val="004C1DB0"/>
    <w:rsid w:val="004C24F8"/>
    <w:rsid w:val="004C26CC"/>
    <w:rsid w:val="004C271E"/>
    <w:rsid w:val="004C31E5"/>
    <w:rsid w:val="004C3777"/>
    <w:rsid w:val="004C3A0D"/>
    <w:rsid w:val="004C4329"/>
    <w:rsid w:val="004C4AED"/>
    <w:rsid w:val="004C548D"/>
    <w:rsid w:val="004C5F9B"/>
    <w:rsid w:val="004C667E"/>
    <w:rsid w:val="004C78BC"/>
    <w:rsid w:val="004D20F2"/>
    <w:rsid w:val="004D2C2D"/>
    <w:rsid w:val="004D367E"/>
    <w:rsid w:val="004D3D5C"/>
    <w:rsid w:val="004D3E95"/>
    <w:rsid w:val="004D5763"/>
    <w:rsid w:val="004D5F40"/>
    <w:rsid w:val="004D69B5"/>
    <w:rsid w:val="004D6CB7"/>
    <w:rsid w:val="004D6F26"/>
    <w:rsid w:val="004D7227"/>
    <w:rsid w:val="004D7D0E"/>
    <w:rsid w:val="004E000C"/>
    <w:rsid w:val="004E0E7F"/>
    <w:rsid w:val="004E0EB8"/>
    <w:rsid w:val="004E18E9"/>
    <w:rsid w:val="004E1C4E"/>
    <w:rsid w:val="004E2578"/>
    <w:rsid w:val="004E29D2"/>
    <w:rsid w:val="004E2ADC"/>
    <w:rsid w:val="004E2C30"/>
    <w:rsid w:val="004E3AD7"/>
    <w:rsid w:val="004E435F"/>
    <w:rsid w:val="004E43B2"/>
    <w:rsid w:val="004E57EF"/>
    <w:rsid w:val="004E613D"/>
    <w:rsid w:val="004E67DC"/>
    <w:rsid w:val="004E6A15"/>
    <w:rsid w:val="004F0121"/>
    <w:rsid w:val="004F016D"/>
    <w:rsid w:val="004F04CB"/>
    <w:rsid w:val="004F1D02"/>
    <w:rsid w:val="004F2406"/>
    <w:rsid w:val="004F251C"/>
    <w:rsid w:val="004F2679"/>
    <w:rsid w:val="004F2777"/>
    <w:rsid w:val="004F2F21"/>
    <w:rsid w:val="004F3123"/>
    <w:rsid w:val="004F3DE5"/>
    <w:rsid w:val="004F6913"/>
    <w:rsid w:val="004F7865"/>
    <w:rsid w:val="00500F1F"/>
    <w:rsid w:val="0050174E"/>
    <w:rsid w:val="005017B1"/>
    <w:rsid w:val="00501854"/>
    <w:rsid w:val="0050219B"/>
    <w:rsid w:val="0050236B"/>
    <w:rsid w:val="00502374"/>
    <w:rsid w:val="00502500"/>
    <w:rsid w:val="005025AC"/>
    <w:rsid w:val="00502D88"/>
    <w:rsid w:val="00503563"/>
    <w:rsid w:val="00503E92"/>
    <w:rsid w:val="00503F17"/>
    <w:rsid w:val="005044AE"/>
    <w:rsid w:val="0050467F"/>
    <w:rsid w:val="005046A7"/>
    <w:rsid w:val="00506385"/>
    <w:rsid w:val="00506928"/>
    <w:rsid w:val="00507417"/>
    <w:rsid w:val="005076B0"/>
    <w:rsid w:val="005077EF"/>
    <w:rsid w:val="0051145F"/>
    <w:rsid w:val="00511AD5"/>
    <w:rsid w:val="00511B20"/>
    <w:rsid w:val="00511CC8"/>
    <w:rsid w:val="00511DC7"/>
    <w:rsid w:val="005142C5"/>
    <w:rsid w:val="0051432E"/>
    <w:rsid w:val="00514476"/>
    <w:rsid w:val="00514C26"/>
    <w:rsid w:val="00514E64"/>
    <w:rsid w:val="0051501B"/>
    <w:rsid w:val="005152B5"/>
    <w:rsid w:val="00515C7E"/>
    <w:rsid w:val="005165DE"/>
    <w:rsid w:val="00516BBC"/>
    <w:rsid w:val="00517964"/>
    <w:rsid w:val="0052123C"/>
    <w:rsid w:val="00521287"/>
    <w:rsid w:val="00521319"/>
    <w:rsid w:val="005220AD"/>
    <w:rsid w:val="005224C3"/>
    <w:rsid w:val="00522BB0"/>
    <w:rsid w:val="00522BC8"/>
    <w:rsid w:val="00523097"/>
    <w:rsid w:val="00523A3D"/>
    <w:rsid w:val="00523C28"/>
    <w:rsid w:val="005242B5"/>
    <w:rsid w:val="00524C72"/>
    <w:rsid w:val="0052664D"/>
    <w:rsid w:val="005266CB"/>
    <w:rsid w:val="00527AD4"/>
    <w:rsid w:val="00531403"/>
    <w:rsid w:val="0053176B"/>
    <w:rsid w:val="0053180F"/>
    <w:rsid w:val="005318C6"/>
    <w:rsid w:val="0053269A"/>
    <w:rsid w:val="00532ED3"/>
    <w:rsid w:val="00532F81"/>
    <w:rsid w:val="0053357C"/>
    <w:rsid w:val="00534B5C"/>
    <w:rsid w:val="00535FC9"/>
    <w:rsid w:val="00536904"/>
    <w:rsid w:val="00536F42"/>
    <w:rsid w:val="00537009"/>
    <w:rsid w:val="00537182"/>
    <w:rsid w:val="00537259"/>
    <w:rsid w:val="00540E9E"/>
    <w:rsid w:val="00541EDD"/>
    <w:rsid w:val="00542743"/>
    <w:rsid w:val="005429B8"/>
    <w:rsid w:val="00542C2D"/>
    <w:rsid w:val="00543EA7"/>
    <w:rsid w:val="005444D6"/>
    <w:rsid w:val="005461CA"/>
    <w:rsid w:val="00546B0D"/>
    <w:rsid w:val="005478BD"/>
    <w:rsid w:val="005479E3"/>
    <w:rsid w:val="00547D9F"/>
    <w:rsid w:val="00551501"/>
    <w:rsid w:val="00551985"/>
    <w:rsid w:val="00551E0F"/>
    <w:rsid w:val="00552711"/>
    <w:rsid w:val="005529E3"/>
    <w:rsid w:val="00552A91"/>
    <w:rsid w:val="00552BD3"/>
    <w:rsid w:val="005532A0"/>
    <w:rsid w:val="005543E3"/>
    <w:rsid w:val="00554623"/>
    <w:rsid w:val="005548BB"/>
    <w:rsid w:val="005549A1"/>
    <w:rsid w:val="00554A55"/>
    <w:rsid w:val="00555109"/>
    <w:rsid w:val="0055551B"/>
    <w:rsid w:val="00555F9E"/>
    <w:rsid w:val="00556941"/>
    <w:rsid w:val="00556B35"/>
    <w:rsid w:val="0055741A"/>
    <w:rsid w:val="005611B7"/>
    <w:rsid w:val="005618D4"/>
    <w:rsid w:val="00562826"/>
    <w:rsid w:val="005633FD"/>
    <w:rsid w:val="005647B6"/>
    <w:rsid w:val="00565DF0"/>
    <w:rsid w:val="00566191"/>
    <w:rsid w:val="0056696F"/>
    <w:rsid w:val="0056698B"/>
    <w:rsid w:val="00567063"/>
    <w:rsid w:val="005674B5"/>
    <w:rsid w:val="00570199"/>
    <w:rsid w:val="00570CA8"/>
    <w:rsid w:val="00572269"/>
    <w:rsid w:val="0057244A"/>
    <w:rsid w:val="00572CC4"/>
    <w:rsid w:val="00572CE2"/>
    <w:rsid w:val="00572F26"/>
    <w:rsid w:val="00572FCB"/>
    <w:rsid w:val="005736C5"/>
    <w:rsid w:val="00573C25"/>
    <w:rsid w:val="00573F83"/>
    <w:rsid w:val="005750C5"/>
    <w:rsid w:val="005752DE"/>
    <w:rsid w:val="00575B59"/>
    <w:rsid w:val="00575D8D"/>
    <w:rsid w:val="00575E53"/>
    <w:rsid w:val="00575FF4"/>
    <w:rsid w:val="005765CE"/>
    <w:rsid w:val="00576972"/>
    <w:rsid w:val="00576C70"/>
    <w:rsid w:val="00576C90"/>
    <w:rsid w:val="00580E24"/>
    <w:rsid w:val="00581EC1"/>
    <w:rsid w:val="005823DD"/>
    <w:rsid w:val="00583699"/>
    <w:rsid w:val="0058460F"/>
    <w:rsid w:val="00585CDD"/>
    <w:rsid w:val="0058660F"/>
    <w:rsid w:val="00587058"/>
    <w:rsid w:val="005872C4"/>
    <w:rsid w:val="00590487"/>
    <w:rsid w:val="00590D24"/>
    <w:rsid w:val="00590E11"/>
    <w:rsid w:val="00591957"/>
    <w:rsid w:val="00593F4A"/>
    <w:rsid w:val="005974F2"/>
    <w:rsid w:val="00597BF9"/>
    <w:rsid w:val="005A00E1"/>
    <w:rsid w:val="005A032F"/>
    <w:rsid w:val="005A10F5"/>
    <w:rsid w:val="005A138C"/>
    <w:rsid w:val="005A1761"/>
    <w:rsid w:val="005A17CD"/>
    <w:rsid w:val="005A2DCD"/>
    <w:rsid w:val="005A309A"/>
    <w:rsid w:val="005A373D"/>
    <w:rsid w:val="005A5A54"/>
    <w:rsid w:val="005A76DE"/>
    <w:rsid w:val="005B02B4"/>
    <w:rsid w:val="005B0B58"/>
    <w:rsid w:val="005B0C41"/>
    <w:rsid w:val="005B133A"/>
    <w:rsid w:val="005B30E0"/>
    <w:rsid w:val="005B327C"/>
    <w:rsid w:val="005B3357"/>
    <w:rsid w:val="005B3C90"/>
    <w:rsid w:val="005B41BE"/>
    <w:rsid w:val="005B4E53"/>
    <w:rsid w:val="005B57B5"/>
    <w:rsid w:val="005B5837"/>
    <w:rsid w:val="005B5857"/>
    <w:rsid w:val="005B62C3"/>
    <w:rsid w:val="005B7657"/>
    <w:rsid w:val="005B7A7E"/>
    <w:rsid w:val="005C01D0"/>
    <w:rsid w:val="005C0395"/>
    <w:rsid w:val="005C0650"/>
    <w:rsid w:val="005C0DA1"/>
    <w:rsid w:val="005C1B83"/>
    <w:rsid w:val="005C2457"/>
    <w:rsid w:val="005C25FF"/>
    <w:rsid w:val="005C2CB8"/>
    <w:rsid w:val="005C2D55"/>
    <w:rsid w:val="005C346B"/>
    <w:rsid w:val="005C3674"/>
    <w:rsid w:val="005C4826"/>
    <w:rsid w:val="005C4DE9"/>
    <w:rsid w:val="005C543B"/>
    <w:rsid w:val="005C61AC"/>
    <w:rsid w:val="005C732C"/>
    <w:rsid w:val="005C7C96"/>
    <w:rsid w:val="005D0181"/>
    <w:rsid w:val="005D02DA"/>
    <w:rsid w:val="005D044D"/>
    <w:rsid w:val="005D0ABD"/>
    <w:rsid w:val="005D0C04"/>
    <w:rsid w:val="005D0C8A"/>
    <w:rsid w:val="005D0CA2"/>
    <w:rsid w:val="005D0EDC"/>
    <w:rsid w:val="005D18AD"/>
    <w:rsid w:val="005D24B0"/>
    <w:rsid w:val="005D26B4"/>
    <w:rsid w:val="005D2DC9"/>
    <w:rsid w:val="005D3152"/>
    <w:rsid w:val="005D33EC"/>
    <w:rsid w:val="005D4B84"/>
    <w:rsid w:val="005D4C9D"/>
    <w:rsid w:val="005D5665"/>
    <w:rsid w:val="005D56BF"/>
    <w:rsid w:val="005D5F43"/>
    <w:rsid w:val="005D689F"/>
    <w:rsid w:val="005D68B6"/>
    <w:rsid w:val="005E00DF"/>
    <w:rsid w:val="005E04FE"/>
    <w:rsid w:val="005E0C53"/>
    <w:rsid w:val="005E12D6"/>
    <w:rsid w:val="005E2CCE"/>
    <w:rsid w:val="005E3308"/>
    <w:rsid w:val="005E3574"/>
    <w:rsid w:val="005E5000"/>
    <w:rsid w:val="005E5C9B"/>
    <w:rsid w:val="005E6CBC"/>
    <w:rsid w:val="005E72FF"/>
    <w:rsid w:val="005E7391"/>
    <w:rsid w:val="005E73C0"/>
    <w:rsid w:val="005F0145"/>
    <w:rsid w:val="005F1225"/>
    <w:rsid w:val="005F1BFE"/>
    <w:rsid w:val="005F2706"/>
    <w:rsid w:val="005F27B9"/>
    <w:rsid w:val="005F300A"/>
    <w:rsid w:val="005F360A"/>
    <w:rsid w:val="005F37FF"/>
    <w:rsid w:val="005F48EC"/>
    <w:rsid w:val="005F4BFF"/>
    <w:rsid w:val="005F6A8F"/>
    <w:rsid w:val="005F6BB7"/>
    <w:rsid w:val="005F7588"/>
    <w:rsid w:val="006003CA"/>
    <w:rsid w:val="0060043A"/>
    <w:rsid w:val="0060092A"/>
    <w:rsid w:val="00601C77"/>
    <w:rsid w:val="00601D38"/>
    <w:rsid w:val="0060274D"/>
    <w:rsid w:val="00602DB3"/>
    <w:rsid w:val="00603851"/>
    <w:rsid w:val="0060392A"/>
    <w:rsid w:val="006039EC"/>
    <w:rsid w:val="00603DB9"/>
    <w:rsid w:val="00603FBC"/>
    <w:rsid w:val="00604225"/>
    <w:rsid w:val="0060587C"/>
    <w:rsid w:val="00606FBA"/>
    <w:rsid w:val="00607669"/>
    <w:rsid w:val="006076F4"/>
    <w:rsid w:val="00607AFD"/>
    <w:rsid w:val="006114D3"/>
    <w:rsid w:val="00611C5D"/>
    <w:rsid w:val="00611D3B"/>
    <w:rsid w:val="00611E8E"/>
    <w:rsid w:val="00611F22"/>
    <w:rsid w:val="00612141"/>
    <w:rsid w:val="006123CB"/>
    <w:rsid w:val="00612D7D"/>
    <w:rsid w:val="00612EC2"/>
    <w:rsid w:val="00612F97"/>
    <w:rsid w:val="00613075"/>
    <w:rsid w:val="0061345D"/>
    <w:rsid w:val="006142C5"/>
    <w:rsid w:val="00614545"/>
    <w:rsid w:val="0061549B"/>
    <w:rsid w:val="00615E7B"/>
    <w:rsid w:val="00616126"/>
    <w:rsid w:val="00616802"/>
    <w:rsid w:val="00616E4C"/>
    <w:rsid w:val="0061705F"/>
    <w:rsid w:val="00617E12"/>
    <w:rsid w:val="006205B7"/>
    <w:rsid w:val="0062088A"/>
    <w:rsid w:val="00620C25"/>
    <w:rsid w:val="00620D71"/>
    <w:rsid w:val="00621477"/>
    <w:rsid w:val="006214E9"/>
    <w:rsid w:val="00621A3F"/>
    <w:rsid w:val="00621ADA"/>
    <w:rsid w:val="00622E3D"/>
    <w:rsid w:val="00622EE6"/>
    <w:rsid w:val="00623F7B"/>
    <w:rsid w:val="006240F0"/>
    <w:rsid w:val="00624447"/>
    <w:rsid w:val="0062446C"/>
    <w:rsid w:val="00624476"/>
    <w:rsid w:val="0062462E"/>
    <w:rsid w:val="006246F5"/>
    <w:rsid w:val="006264C7"/>
    <w:rsid w:val="00626E98"/>
    <w:rsid w:val="006271FE"/>
    <w:rsid w:val="00630B6F"/>
    <w:rsid w:val="00630FFC"/>
    <w:rsid w:val="00631000"/>
    <w:rsid w:val="0063158F"/>
    <w:rsid w:val="00631625"/>
    <w:rsid w:val="00631D6B"/>
    <w:rsid w:val="00632183"/>
    <w:rsid w:val="006325FE"/>
    <w:rsid w:val="006330A1"/>
    <w:rsid w:val="00633554"/>
    <w:rsid w:val="00633E7D"/>
    <w:rsid w:val="00634175"/>
    <w:rsid w:val="006341CA"/>
    <w:rsid w:val="0063458F"/>
    <w:rsid w:val="0063479F"/>
    <w:rsid w:val="00634D5C"/>
    <w:rsid w:val="0063523B"/>
    <w:rsid w:val="006353F0"/>
    <w:rsid w:val="006357B5"/>
    <w:rsid w:val="006357F7"/>
    <w:rsid w:val="00635CC9"/>
    <w:rsid w:val="006364A1"/>
    <w:rsid w:val="0063678E"/>
    <w:rsid w:val="006374A6"/>
    <w:rsid w:val="00637BFD"/>
    <w:rsid w:val="006402AC"/>
    <w:rsid w:val="00640E96"/>
    <w:rsid w:val="006413C3"/>
    <w:rsid w:val="00641C4E"/>
    <w:rsid w:val="00641FB3"/>
    <w:rsid w:val="0064220C"/>
    <w:rsid w:val="006423F2"/>
    <w:rsid w:val="0064282E"/>
    <w:rsid w:val="006430E6"/>
    <w:rsid w:val="0064434C"/>
    <w:rsid w:val="006471CC"/>
    <w:rsid w:val="0064757D"/>
    <w:rsid w:val="00647A29"/>
    <w:rsid w:val="0065079F"/>
    <w:rsid w:val="00651F0B"/>
    <w:rsid w:val="00652A28"/>
    <w:rsid w:val="0065379F"/>
    <w:rsid w:val="00653FEB"/>
    <w:rsid w:val="006545FE"/>
    <w:rsid w:val="00654971"/>
    <w:rsid w:val="006557BD"/>
    <w:rsid w:val="0065597E"/>
    <w:rsid w:val="00656188"/>
    <w:rsid w:val="00656299"/>
    <w:rsid w:val="00656690"/>
    <w:rsid w:val="0065715A"/>
    <w:rsid w:val="0065771E"/>
    <w:rsid w:val="00660B03"/>
    <w:rsid w:val="006610F1"/>
    <w:rsid w:val="00661C6B"/>
    <w:rsid w:val="00663AE6"/>
    <w:rsid w:val="00665C24"/>
    <w:rsid w:val="00665D16"/>
    <w:rsid w:val="00667434"/>
    <w:rsid w:val="006677A6"/>
    <w:rsid w:val="006706F3"/>
    <w:rsid w:val="00670EA8"/>
    <w:rsid w:val="00671004"/>
    <w:rsid w:val="006716EA"/>
    <w:rsid w:val="00671C20"/>
    <w:rsid w:val="00672646"/>
    <w:rsid w:val="00673023"/>
    <w:rsid w:val="00673264"/>
    <w:rsid w:val="00673A44"/>
    <w:rsid w:val="00673DAD"/>
    <w:rsid w:val="0067478D"/>
    <w:rsid w:val="00674E42"/>
    <w:rsid w:val="006757B9"/>
    <w:rsid w:val="0067670D"/>
    <w:rsid w:val="006769F9"/>
    <w:rsid w:val="00680984"/>
    <w:rsid w:val="006813F8"/>
    <w:rsid w:val="00681A45"/>
    <w:rsid w:val="00682112"/>
    <w:rsid w:val="006826FD"/>
    <w:rsid w:val="00682BA6"/>
    <w:rsid w:val="006842EB"/>
    <w:rsid w:val="0068497A"/>
    <w:rsid w:val="006867D8"/>
    <w:rsid w:val="006867EB"/>
    <w:rsid w:val="00686957"/>
    <w:rsid w:val="00686AE1"/>
    <w:rsid w:val="00686F7D"/>
    <w:rsid w:val="006872BA"/>
    <w:rsid w:val="006876E2"/>
    <w:rsid w:val="00687B69"/>
    <w:rsid w:val="00690795"/>
    <w:rsid w:val="00690EE1"/>
    <w:rsid w:val="00691648"/>
    <w:rsid w:val="006917D7"/>
    <w:rsid w:val="00691A72"/>
    <w:rsid w:val="00691DAB"/>
    <w:rsid w:val="00692B96"/>
    <w:rsid w:val="0069434C"/>
    <w:rsid w:val="00694F44"/>
    <w:rsid w:val="0069520C"/>
    <w:rsid w:val="006952EE"/>
    <w:rsid w:val="0069584B"/>
    <w:rsid w:val="006965F4"/>
    <w:rsid w:val="00696F51"/>
    <w:rsid w:val="006979A5"/>
    <w:rsid w:val="006A0A63"/>
    <w:rsid w:val="006A0A98"/>
    <w:rsid w:val="006A0EAC"/>
    <w:rsid w:val="006A12A0"/>
    <w:rsid w:val="006A205F"/>
    <w:rsid w:val="006A333F"/>
    <w:rsid w:val="006A4FC1"/>
    <w:rsid w:val="006A5D72"/>
    <w:rsid w:val="006A60F7"/>
    <w:rsid w:val="006A6B99"/>
    <w:rsid w:val="006A6FA4"/>
    <w:rsid w:val="006A7E5F"/>
    <w:rsid w:val="006B1FD5"/>
    <w:rsid w:val="006B2380"/>
    <w:rsid w:val="006B261B"/>
    <w:rsid w:val="006B2C90"/>
    <w:rsid w:val="006B2D34"/>
    <w:rsid w:val="006B333C"/>
    <w:rsid w:val="006B35E6"/>
    <w:rsid w:val="006B3D6C"/>
    <w:rsid w:val="006B3D96"/>
    <w:rsid w:val="006B465A"/>
    <w:rsid w:val="006B4FF0"/>
    <w:rsid w:val="006B57A0"/>
    <w:rsid w:val="006B599F"/>
    <w:rsid w:val="006B5B4C"/>
    <w:rsid w:val="006B5D92"/>
    <w:rsid w:val="006B6906"/>
    <w:rsid w:val="006B6DD0"/>
    <w:rsid w:val="006B7B0F"/>
    <w:rsid w:val="006C0399"/>
    <w:rsid w:val="006C05C5"/>
    <w:rsid w:val="006C1300"/>
    <w:rsid w:val="006C2A8E"/>
    <w:rsid w:val="006C2F68"/>
    <w:rsid w:val="006C3255"/>
    <w:rsid w:val="006C36B3"/>
    <w:rsid w:val="006C3738"/>
    <w:rsid w:val="006C37FD"/>
    <w:rsid w:val="006C3EA6"/>
    <w:rsid w:val="006C3F26"/>
    <w:rsid w:val="006C405D"/>
    <w:rsid w:val="006C4160"/>
    <w:rsid w:val="006C4209"/>
    <w:rsid w:val="006C4643"/>
    <w:rsid w:val="006C4904"/>
    <w:rsid w:val="006C4EAB"/>
    <w:rsid w:val="006C63E4"/>
    <w:rsid w:val="006D025C"/>
    <w:rsid w:val="006D078A"/>
    <w:rsid w:val="006D0A11"/>
    <w:rsid w:val="006D0B0B"/>
    <w:rsid w:val="006D0D17"/>
    <w:rsid w:val="006D11B4"/>
    <w:rsid w:val="006D14B1"/>
    <w:rsid w:val="006D1DB7"/>
    <w:rsid w:val="006D21DD"/>
    <w:rsid w:val="006D32D6"/>
    <w:rsid w:val="006D3C7D"/>
    <w:rsid w:val="006D4659"/>
    <w:rsid w:val="006D489A"/>
    <w:rsid w:val="006D589D"/>
    <w:rsid w:val="006D5D5F"/>
    <w:rsid w:val="006D6071"/>
    <w:rsid w:val="006D61E6"/>
    <w:rsid w:val="006D62F0"/>
    <w:rsid w:val="006D65D2"/>
    <w:rsid w:val="006D677B"/>
    <w:rsid w:val="006D68FB"/>
    <w:rsid w:val="006D69C1"/>
    <w:rsid w:val="006D727C"/>
    <w:rsid w:val="006D7C8C"/>
    <w:rsid w:val="006E005C"/>
    <w:rsid w:val="006E1AB3"/>
    <w:rsid w:val="006E2868"/>
    <w:rsid w:val="006E286E"/>
    <w:rsid w:val="006E31D7"/>
    <w:rsid w:val="006E3515"/>
    <w:rsid w:val="006E3928"/>
    <w:rsid w:val="006E6D2D"/>
    <w:rsid w:val="006F0B9D"/>
    <w:rsid w:val="006F0FF0"/>
    <w:rsid w:val="006F1490"/>
    <w:rsid w:val="006F306C"/>
    <w:rsid w:val="006F402F"/>
    <w:rsid w:val="006F4324"/>
    <w:rsid w:val="006F4590"/>
    <w:rsid w:val="006F50ED"/>
    <w:rsid w:val="006F5B5D"/>
    <w:rsid w:val="006F61A3"/>
    <w:rsid w:val="006F63A5"/>
    <w:rsid w:val="006F6819"/>
    <w:rsid w:val="006F6F86"/>
    <w:rsid w:val="006F7819"/>
    <w:rsid w:val="0070109D"/>
    <w:rsid w:val="0070142B"/>
    <w:rsid w:val="0070162F"/>
    <w:rsid w:val="007019CF"/>
    <w:rsid w:val="00701D71"/>
    <w:rsid w:val="0070276E"/>
    <w:rsid w:val="007028FF"/>
    <w:rsid w:val="00702DB7"/>
    <w:rsid w:val="00702F8F"/>
    <w:rsid w:val="0070348E"/>
    <w:rsid w:val="00703EB2"/>
    <w:rsid w:val="00705088"/>
    <w:rsid w:val="00705DC7"/>
    <w:rsid w:val="0070600A"/>
    <w:rsid w:val="0070611A"/>
    <w:rsid w:val="007061E6"/>
    <w:rsid w:val="007079FC"/>
    <w:rsid w:val="0071129C"/>
    <w:rsid w:val="00711A36"/>
    <w:rsid w:val="007121C6"/>
    <w:rsid w:val="00712614"/>
    <w:rsid w:val="00712F33"/>
    <w:rsid w:val="00714894"/>
    <w:rsid w:val="00714C26"/>
    <w:rsid w:val="007150AD"/>
    <w:rsid w:val="007151C8"/>
    <w:rsid w:val="0071529C"/>
    <w:rsid w:val="00715424"/>
    <w:rsid w:val="00715567"/>
    <w:rsid w:val="007169CF"/>
    <w:rsid w:val="00716AE9"/>
    <w:rsid w:val="00716BC3"/>
    <w:rsid w:val="007170DA"/>
    <w:rsid w:val="007172AD"/>
    <w:rsid w:val="0072079C"/>
    <w:rsid w:val="00720801"/>
    <w:rsid w:val="0072107E"/>
    <w:rsid w:val="00721D54"/>
    <w:rsid w:val="00721F32"/>
    <w:rsid w:val="00722504"/>
    <w:rsid w:val="00722B1B"/>
    <w:rsid w:val="00722D9D"/>
    <w:rsid w:val="0072319F"/>
    <w:rsid w:val="0072416F"/>
    <w:rsid w:val="007242AE"/>
    <w:rsid w:val="007253C3"/>
    <w:rsid w:val="00725BF5"/>
    <w:rsid w:val="00725E2C"/>
    <w:rsid w:val="0072630B"/>
    <w:rsid w:val="00727C94"/>
    <w:rsid w:val="00731B0A"/>
    <w:rsid w:val="00731C74"/>
    <w:rsid w:val="00731EAE"/>
    <w:rsid w:val="00732167"/>
    <w:rsid w:val="00732FDC"/>
    <w:rsid w:val="00733073"/>
    <w:rsid w:val="00733970"/>
    <w:rsid w:val="00734785"/>
    <w:rsid w:val="00735033"/>
    <w:rsid w:val="00735328"/>
    <w:rsid w:val="0073599D"/>
    <w:rsid w:val="00735EBA"/>
    <w:rsid w:val="00736083"/>
    <w:rsid w:val="0073685B"/>
    <w:rsid w:val="007369F4"/>
    <w:rsid w:val="007370B8"/>
    <w:rsid w:val="007371C6"/>
    <w:rsid w:val="007373DC"/>
    <w:rsid w:val="007377AA"/>
    <w:rsid w:val="00737E5B"/>
    <w:rsid w:val="00740872"/>
    <w:rsid w:val="00740B4C"/>
    <w:rsid w:val="00741456"/>
    <w:rsid w:val="007415B6"/>
    <w:rsid w:val="00743A62"/>
    <w:rsid w:val="00744250"/>
    <w:rsid w:val="00744710"/>
    <w:rsid w:val="007449BF"/>
    <w:rsid w:val="00746466"/>
    <w:rsid w:val="007464C9"/>
    <w:rsid w:val="00746BC0"/>
    <w:rsid w:val="0074718B"/>
    <w:rsid w:val="00747312"/>
    <w:rsid w:val="0074746E"/>
    <w:rsid w:val="007510B4"/>
    <w:rsid w:val="007519C5"/>
    <w:rsid w:val="00751C8A"/>
    <w:rsid w:val="00752142"/>
    <w:rsid w:val="007523F9"/>
    <w:rsid w:val="00752A15"/>
    <w:rsid w:val="00752EA2"/>
    <w:rsid w:val="0075357E"/>
    <w:rsid w:val="00753C94"/>
    <w:rsid w:val="00754EA2"/>
    <w:rsid w:val="00755773"/>
    <w:rsid w:val="00755DAD"/>
    <w:rsid w:val="0075704F"/>
    <w:rsid w:val="0075723F"/>
    <w:rsid w:val="007573E8"/>
    <w:rsid w:val="00757435"/>
    <w:rsid w:val="007574E8"/>
    <w:rsid w:val="007578E5"/>
    <w:rsid w:val="00760553"/>
    <w:rsid w:val="00760C4E"/>
    <w:rsid w:val="00760CEB"/>
    <w:rsid w:val="00760F9E"/>
    <w:rsid w:val="007627BE"/>
    <w:rsid w:val="007629C5"/>
    <w:rsid w:val="00764949"/>
    <w:rsid w:val="00764D0A"/>
    <w:rsid w:val="00764F03"/>
    <w:rsid w:val="0076548B"/>
    <w:rsid w:val="00765B1A"/>
    <w:rsid w:val="0076682F"/>
    <w:rsid w:val="00766908"/>
    <w:rsid w:val="00766CE6"/>
    <w:rsid w:val="00766D90"/>
    <w:rsid w:val="007670CE"/>
    <w:rsid w:val="00767C86"/>
    <w:rsid w:val="007702C1"/>
    <w:rsid w:val="00770A49"/>
    <w:rsid w:val="0077102B"/>
    <w:rsid w:val="007712E7"/>
    <w:rsid w:val="007715A9"/>
    <w:rsid w:val="00772979"/>
    <w:rsid w:val="00773162"/>
    <w:rsid w:val="007733E5"/>
    <w:rsid w:val="00774D59"/>
    <w:rsid w:val="00775E86"/>
    <w:rsid w:val="007770F0"/>
    <w:rsid w:val="00777282"/>
    <w:rsid w:val="00777335"/>
    <w:rsid w:val="00780317"/>
    <w:rsid w:val="00781652"/>
    <w:rsid w:val="00781AC5"/>
    <w:rsid w:val="00782A9E"/>
    <w:rsid w:val="007843F2"/>
    <w:rsid w:val="00785A9F"/>
    <w:rsid w:val="007861FA"/>
    <w:rsid w:val="00786249"/>
    <w:rsid w:val="00786F52"/>
    <w:rsid w:val="00787131"/>
    <w:rsid w:val="00787166"/>
    <w:rsid w:val="007874EA"/>
    <w:rsid w:val="00787A81"/>
    <w:rsid w:val="00787E5F"/>
    <w:rsid w:val="00791372"/>
    <w:rsid w:val="007925DF"/>
    <w:rsid w:val="00792F25"/>
    <w:rsid w:val="00793A6A"/>
    <w:rsid w:val="00793D60"/>
    <w:rsid w:val="007946DF"/>
    <w:rsid w:val="00796064"/>
    <w:rsid w:val="00796DB1"/>
    <w:rsid w:val="00797E8B"/>
    <w:rsid w:val="007A08AA"/>
    <w:rsid w:val="007A0A12"/>
    <w:rsid w:val="007A132D"/>
    <w:rsid w:val="007A1345"/>
    <w:rsid w:val="007A16E0"/>
    <w:rsid w:val="007A1D7B"/>
    <w:rsid w:val="007A2D0F"/>
    <w:rsid w:val="007A2DDB"/>
    <w:rsid w:val="007A3153"/>
    <w:rsid w:val="007A318F"/>
    <w:rsid w:val="007A3B16"/>
    <w:rsid w:val="007A5DC4"/>
    <w:rsid w:val="007A6A63"/>
    <w:rsid w:val="007A6E9A"/>
    <w:rsid w:val="007A70BA"/>
    <w:rsid w:val="007A766F"/>
    <w:rsid w:val="007A79A2"/>
    <w:rsid w:val="007B0D68"/>
    <w:rsid w:val="007B251D"/>
    <w:rsid w:val="007B2641"/>
    <w:rsid w:val="007B3092"/>
    <w:rsid w:val="007B30B7"/>
    <w:rsid w:val="007B4F58"/>
    <w:rsid w:val="007B528D"/>
    <w:rsid w:val="007B5921"/>
    <w:rsid w:val="007B5FE7"/>
    <w:rsid w:val="007B63CA"/>
    <w:rsid w:val="007B6FF0"/>
    <w:rsid w:val="007B77D1"/>
    <w:rsid w:val="007C03D2"/>
    <w:rsid w:val="007C07C7"/>
    <w:rsid w:val="007C1725"/>
    <w:rsid w:val="007C1CD9"/>
    <w:rsid w:val="007C238C"/>
    <w:rsid w:val="007C2801"/>
    <w:rsid w:val="007C2E08"/>
    <w:rsid w:val="007C32EF"/>
    <w:rsid w:val="007C361D"/>
    <w:rsid w:val="007C38BF"/>
    <w:rsid w:val="007C4B84"/>
    <w:rsid w:val="007C5E72"/>
    <w:rsid w:val="007C61F2"/>
    <w:rsid w:val="007C62C1"/>
    <w:rsid w:val="007C6D5F"/>
    <w:rsid w:val="007C6EF7"/>
    <w:rsid w:val="007C70FF"/>
    <w:rsid w:val="007C7C25"/>
    <w:rsid w:val="007D004F"/>
    <w:rsid w:val="007D0951"/>
    <w:rsid w:val="007D0B38"/>
    <w:rsid w:val="007D37D7"/>
    <w:rsid w:val="007D3FCA"/>
    <w:rsid w:val="007D3FD1"/>
    <w:rsid w:val="007D5440"/>
    <w:rsid w:val="007D63DE"/>
    <w:rsid w:val="007D66FE"/>
    <w:rsid w:val="007D69EB"/>
    <w:rsid w:val="007D7D64"/>
    <w:rsid w:val="007E07A5"/>
    <w:rsid w:val="007E1123"/>
    <w:rsid w:val="007E128F"/>
    <w:rsid w:val="007E2829"/>
    <w:rsid w:val="007E2EEA"/>
    <w:rsid w:val="007E328E"/>
    <w:rsid w:val="007E3538"/>
    <w:rsid w:val="007E5CFD"/>
    <w:rsid w:val="007E6BF3"/>
    <w:rsid w:val="007E7E23"/>
    <w:rsid w:val="007F00D2"/>
    <w:rsid w:val="007F03B2"/>
    <w:rsid w:val="007F065B"/>
    <w:rsid w:val="007F0885"/>
    <w:rsid w:val="007F0B16"/>
    <w:rsid w:val="007F1017"/>
    <w:rsid w:val="007F1C78"/>
    <w:rsid w:val="007F1E26"/>
    <w:rsid w:val="007F37B9"/>
    <w:rsid w:val="007F3E4F"/>
    <w:rsid w:val="007F3EC1"/>
    <w:rsid w:val="007F474D"/>
    <w:rsid w:val="007F4A3F"/>
    <w:rsid w:val="007F4A61"/>
    <w:rsid w:val="007F4F28"/>
    <w:rsid w:val="007F51BD"/>
    <w:rsid w:val="007F5255"/>
    <w:rsid w:val="007F56CC"/>
    <w:rsid w:val="007F61C2"/>
    <w:rsid w:val="007F7B6E"/>
    <w:rsid w:val="00800650"/>
    <w:rsid w:val="00800DDB"/>
    <w:rsid w:val="00800F42"/>
    <w:rsid w:val="008016B6"/>
    <w:rsid w:val="00801850"/>
    <w:rsid w:val="00803DFF"/>
    <w:rsid w:val="00804BAA"/>
    <w:rsid w:val="00805142"/>
    <w:rsid w:val="00805FCE"/>
    <w:rsid w:val="0080714C"/>
    <w:rsid w:val="00807A5A"/>
    <w:rsid w:val="00807A8B"/>
    <w:rsid w:val="00811383"/>
    <w:rsid w:val="00812149"/>
    <w:rsid w:val="00812CAC"/>
    <w:rsid w:val="00814E23"/>
    <w:rsid w:val="00815139"/>
    <w:rsid w:val="00815AFC"/>
    <w:rsid w:val="00815C04"/>
    <w:rsid w:val="00816361"/>
    <w:rsid w:val="008166EF"/>
    <w:rsid w:val="00816FEF"/>
    <w:rsid w:val="00817300"/>
    <w:rsid w:val="008179B2"/>
    <w:rsid w:val="00817D15"/>
    <w:rsid w:val="00820A8C"/>
    <w:rsid w:val="008215FB"/>
    <w:rsid w:val="00821BB9"/>
    <w:rsid w:val="00821D54"/>
    <w:rsid w:val="00822B55"/>
    <w:rsid w:val="00822DE3"/>
    <w:rsid w:val="00823174"/>
    <w:rsid w:val="00823748"/>
    <w:rsid w:val="00825334"/>
    <w:rsid w:val="0082536E"/>
    <w:rsid w:val="00825751"/>
    <w:rsid w:val="008263CE"/>
    <w:rsid w:val="008264EB"/>
    <w:rsid w:val="008265A3"/>
    <w:rsid w:val="00826834"/>
    <w:rsid w:val="008305A3"/>
    <w:rsid w:val="008318BC"/>
    <w:rsid w:val="00832A08"/>
    <w:rsid w:val="00833B05"/>
    <w:rsid w:val="00834C0D"/>
    <w:rsid w:val="00834CCA"/>
    <w:rsid w:val="008362B4"/>
    <w:rsid w:val="00836522"/>
    <w:rsid w:val="008368DD"/>
    <w:rsid w:val="008371FF"/>
    <w:rsid w:val="0083727C"/>
    <w:rsid w:val="00840884"/>
    <w:rsid w:val="00840CA2"/>
    <w:rsid w:val="008410D1"/>
    <w:rsid w:val="00841A5F"/>
    <w:rsid w:val="00841BFC"/>
    <w:rsid w:val="00841C06"/>
    <w:rsid w:val="00841DD0"/>
    <w:rsid w:val="00842024"/>
    <w:rsid w:val="00842F73"/>
    <w:rsid w:val="0084374F"/>
    <w:rsid w:val="00844771"/>
    <w:rsid w:val="008448BE"/>
    <w:rsid w:val="00844A22"/>
    <w:rsid w:val="00845815"/>
    <w:rsid w:val="00845BA6"/>
    <w:rsid w:val="0084619C"/>
    <w:rsid w:val="00846631"/>
    <w:rsid w:val="00847703"/>
    <w:rsid w:val="00847DF5"/>
    <w:rsid w:val="0085040A"/>
    <w:rsid w:val="0085287C"/>
    <w:rsid w:val="0085309D"/>
    <w:rsid w:val="0085683F"/>
    <w:rsid w:val="00856897"/>
    <w:rsid w:val="00856E9A"/>
    <w:rsid w:val="00857922"/>
    <w:rsid w:val="00857DC0"/>
    <w:rsid w:val="0086075D"/>
    <w:rsid w:val="00860C75"/>
    <w:rsid w:val="0086150C"/>
    <w:rsid w:val="0086184C"/>
    <w:rsid w:val="00861CF7"/>
    <w:rsid w:val="00862502"/>
    <w:rsid w:val="00862CC1"/>
    <w:rsid w:val="00862EA3"/>
    <w:rsid w:val="008644B4"/>
    <w:rsid w:val="008649EE"/>
    <w:rsid w:val="00864A33"/>
    <w:rsid w:val="008651CC"/>
    <w:rsid w:val="008653CA"/>
    <w:rsid w:val="008660D4"/>
    <w:rsid w:val="008669DB"/>
    <w:rsid w:val="00870D55"/>
    <w:rsid w:val="00871FA9"/>
    <w:rsid w:val="008728E9"/>
    <w:rsid w:val="0087299C"/>
    <w:rsid w:val="0087412C"/>
    <w:rsid w:val="00876207"/>
    <w:rsid w:val="00876357"/>
    <w:rsid w:val="0087749E"/>
    <w:rsid w:val="00880195"/>
    <w:rsid w:val="00880970"/>
    <w:rsid w:val="00880F92"/>
    <w:rsid w:val="00881B95"/>
    <w:rsid w:val="00881FD3"/>
    <w:rsid w:val="00882874"/>
    <w:rsid w:val="00882E3C"/>
    <w:rsid w:val="00883787"/>
    <w:rsid w:val="008855E4"/>
    <w:rsid w:val="00886CD2"/>
    <w:rsid w:val="008871AC"/>
    <w:rsid w:val="008878D5"/>
    <w:rsid w:val="0089126A"/>
    <w:rsid w:val="00891E6F"/>
    <w:rsid w:val="0089275D"/>
    <w:rsid w:val="00892A36"/>
    <w:rsid w:val="00893239"/>
    <w:rsid w:val="008938F2"/>
    <w:rsid w:val="00893BA6"/>
    <w:rsid w:val="00894489"/>
    <w:rsid w:val="008963A5"/>
    <w:rsid w:val="00896635"/>
    <w:rsid w:val="00896650"/>
    <w:rsid w:val="00896B23"/>
    <w:rsid w:val="00896D5D"/>
    <w:rsid w:val="00896E58"/>
    <w:rsid w:val="00897361"/>
    <w:rsid w:val="008976FA"/>
    <w:rsid w:val="008A03C9"/>
    <w:rsid w:val="008A04AF"/>
    <w:rsid w:val="008A0809"/>
    <w:rsid w:val="008A090D"/>
    <w:rsid w:val="008A0E04"/>
    <w:rsid w:val="008A2EC7"/>
    <w:rsid w:val="008A3363"/>
    <w:rsid w:val="008A3371"/>
    <w:rsid w:val="008A3C3E"/>
    <w:rsid w:val="008A4101"/>
    <w:rsid w:val="008A5B0F"/>
    <w:rsid w:val="008A725D"/>
    <w:rsid w:val="008A79DE"/>
    <w:rsid w:val="008B0A54"/>
    <w:rsid w:val="008B0D2B"/>
    <w:rsid w:val="008B0E1C"/>
    <w:rsid w:val="008B10EA"/>
    <w:rsid w:val="008B1757"/>
    <w:rsid w:val="008B1CE0"/>
    <w:rsid w:val="008B2355"/>
    <w:rsid w:val="008B279D"/>
    <w:rsid w:val="008B2D4E"/>
    <w:rsid w:val="008B40B6"/>
    <w:rsid w:val="008B4117"/>
    <w:rsid w:val="008B561E"/>
    <w:rsid w:val="008B5D60"/>
    <w:rsid w:val="008B7992"/>
    <w:rsid w:val="008B7D7E"/>
    <w:rsid w:val="008B7ECA"/>
    <w:rsid w:val="008C0048"/>
    <w:rsid w:val="008C0185"/>
    <w:rsid w:val="008C06B1"/>
    <w:rsid w:val="008C0D3B"/>
    <w:rsid w:val="008C0E8A"/>
    <w:rsid w:val="008C14C4"/>
    <w:rsid w:val="008C1572"/>
    <w:rsid w:val="008C244E"/>
    <w:rsid w:val="008C25C0"/>
    <w:rsid w:val="008C345B"/>
    <w:rsid w:val="008C3C75"/>
    <w:rsid w:val="008C4851"/>
    <w:rsid w:val="008C4F78"/>
    <w:rsid w:val="008C52C8"/>
    <w:rsid w:val="008C5610"/>
    <w:rsid w:val="008C5739"/>
    <w:rsid w:val="008C786B"/>
    <w:rsid w:val="008C7ECB"/>
    <w:rsid w:val="008D04BD"/>
    <w:rsid w:val="008D094B"/>
    <w:rsid w:val="008D0E71"/>
    <w:rsid w:val="008D23B4"/>
    <w:rsid w:val="008D2674"/>
    <w:rsid w:val="008D2FB9"/>
    <w:rsid w:val="008D38F2"/>
    <w:rsid w:val="008D3B86"/>
    <w:rsid w:val="008D4501"/>
    <w:rsid w:val="008D4755"/>
    <w:rsid w:val="008D4C3D"/>
    <w:rsid w:val="008D589E"/>
    <w:rsid w:val="008D6486"/>
    <w:rsid w:val="008D743C"/>
    <w:rsid w:val="008E04D8"/>
    <w:rsid w:val="008E058F"/>
    <w:rsid w:val="008E06E3"/>
    <w:rsid w:val="008E0D3C"/>
    <w:rsid w:val="008E14B4"/>
    <w:rsid w:val="008E1690"/>
    <w:rsid w:val="008E180F"/>
    <w:rsid w:val="008E1B9E"/>
    <w:rsid w:val="008E213E"/>
    <w:rsid w:val="008E350E"/>
    <w:rsid w:val="008E3889"/>
    <w:rsid w:val="008E55AB"/>
    <w:rsid w:val="008E78BE"/>
    <w:rsid w:val="008E7D9B"/>
    <w:rsid w:val="008F0001"/>
    <w:rsid w:val="008F0616"/>
    <w:rsid w:val="008F0CE6"/>
    <w:rsid w:val="008F120A"/>
    <w:rsid w:val="008F16FA"/>
    <w:rsid w:val="008F1B38"/>
    <w:rsid w:val="008F2499"/>
    <w:rsid w:val="008F27E0"/>
    <w:rsid w:val="008F2ACE"/>
    <w:rsid w:val="008F3AD8"/>
    <w:rsid w:val="008F48EB"/>
    <w:rsid w:val="008F4F0B"/>
    <w:rsid w:val="008F6024"/>
    <w:rsid w:val="00900543"/>
    <w:rsid w:val="00900B83"/>
    <w:rsid w:val="00901D9C"/>
    <w:rsid w:val="009030B6"/>
    <w:rsid w:val="0090320B"/>
    <w:rsid w:val="009046C4"/>
    <w:rsid w:val="009062A5"/>
    <w:rsid w:val="009078CB"/>
    <w:rsid w:val="00907B8C"/>
    <w:rsid w:val="00910FA7"/>
    <w:rsid w:val="00911272"/>
    <w:rsid w:val="00911B5C"/>
    <w:rsid w:val="009135D6"/>
    <w:rsid w:val="00913D96"/>
    <w:rsid w:val="00914C77"/>
    <w:rsid w:val="00915A50"/>
    <w:rsid w:val="00915D75"/>
    <w:rsid w:val="00916694"/>
    <w:rsid w:val="00916922"/>
    <w:rsid w:val="00916A40"/>
    <w:rsid w:val="0092002C"/>
    <w:rsid w:val="009200FE"/>
    <w:rsid w:val="009206F2"/>
    <w:rsid w:val="00921505"/>
    <w:rsid w:val="00921ACB"/>
    <w:rsid w:val="00921E18"/>
    <w:rsid w:val="00922197"/>
    <w:rsid w:val="00922C48"/>
    <w:rsid w:val="00922E2D"/>
    <w:rsid w:val="0092369B"/>
    <w:rsid w:val="00924811"/>
    <w:rsid w:val="00924A66"/>
    <w:rsid w:val="00925809"/>
    <w:rsid w:val="009263DA"/>
    <w:rsid w:val="00926749"/>
    <w:rsid w:val="00926E58"/>
    <w:rsid w:val="00927587"/>
    <w:rsid w:val="00927825"/>
    <w:rsid w:val="00930B84"/>
    <w:rsid w:val="00931632"/>
    <w:rsid w:val="009321D6"/>
    <w:rsid w:val="009322A7"/>
    <w:rsid w:val="0093267F"/>
    <w:rsid w:val="00933847"/>
    <w:rsid w:val="009345E9"/>
    <w:rsid w:val="00934988"/>
    <w:rsid w:val="00934A27"/>
    <w:rsid w:val="0093523F"/>
    <w:rsid w:val="00936F3C"/>
    <w:rsid w:val="00937089"/>
    <w:rsid w:val="009373DE"/>
    <w:rsid w:val="0093769D"/>
    <w:rsid w:val="00940D3C"/>
    <w:rsid w:val="00941E01"/>
    <w:rsid w:val="00942839"/>
    <w:rsid w:val="0094335B"/>
    <w:rsid w:val="009435A7"/>
    <w:rsid w:val="009442A6"/>
    <w:rsid w:val="0094438C"/>
    <w:rsid w:val="00944F8A"/>
    <w:rsid w:val="009458A3"/>
    <w:rsid w:val="00945C76"/>
    <w:rsid w:val="009472B6"/>
    <w:rsid w:val="00947F58"/>
    <w:rsid w:val="009504C1"/>
    <w:rsid w:val="009508F4"/>
    <w:rsid w:val="0095091B"/>
    <w:rsid w:val="009510A2"/>
    <w:rsid w:val="00952EF1"/>
    <w:rsid w:val="00953018"/>
    <w:rsid w:val="00953257"/>
    <w:rsid w:val="00954116"/>
    <w:rsid w:val="0095474C"/>
    <w:rsid w:val="00956AC9"/>
    <w:rsid w:val="00956DAD"/>
    <w:rsid w:val="00961FCC"/>
    <w:rsid w:val="00962CB9"/>
    <w:rsid w:val="00963658"/>
    <w:rsid w:val="00963CD3"/>
    <w:rsid w:val="00964312"/>
    <w:rsid w:val="009645FA"/>
    <w:rsid w:val="00965B8A"/>
    <w:rsid w:val="0096671B"/>
    <w:rsid w:val="0096746E"/>
    <w:rsid w:val="0097071F"/>
    <w:rsid w:val="009717AC"/>
    <w:rsid w:val="00971BDA"/>
    <w:rsid w:val="0097327D"/>
    <w:rsid w:val="00973420"/>
    <w:rsid w:val="00974C82"/>
    <w:rsid w:val="009751C1"/>
    <w:rsid w:val="00975D44"/>
    <w:rsid w:val="00975FDC"/>
    <w:rsid w:val="00976A51"/>
    <w:rsid w:val="0097740E"/>
    <w:rsid w:val="0097776B"/>
    <w:rsid w:val="00977A11"/>
    <w:rsid w:val="00977D1E"/>
    <w:rsid w:val="00980439"/>
    <w:rsid w:val="009811F1"/>
    <w:rsid w:val="0098165E"/>
    <w:rsid w:val="00982674"/>
    <w:rsid w:val="00983404"/>
    <w:rsid w:val="00983481"/>
    <w:rsid w:val="00983E57"/>
    <w:rsid w:val="009840DA"/>
    <w:rsid w:val="00985998"/>
    <w:rsid w:val="00985DE2"/>
    <w:rsid w:val="0098675D"/>
    <w:rsid w:val="00987207"/>
    <w:rsid w:val="00987D86"/>
    <w:rsid w:val="0099016D"/>
    <w:rsid w:val="00990600"/>
    <w:rsid w:val="00990DF0"/>
    <w:rsid w:val="00991540"/>
    <w:rsid w:val="009926E0"/>
    <w:rsid w:val="0099451E"/>
    <w:rsid w:val="00995F53"/>
    <w:rsid w:val="00996050"/>
    <w:rsid w:val="009967B2"/>
    <w:rsid w:val="00996B1A"/>
    <w:rsid w:val="009970B5"/>
    <w:rsid w:val="009973E2"/>
    <w:rsid w:val="00997585"/>
    <w:rsid w:val="009A034C"/>
    <w:rsid w:val="009A049E"/>
    <w:rsid w:val="009A052E"/>
    <w:rsid w:val="009A0A26"/>
    <w:rsid w:val="009A0A8D"/>
    <w:rsid w:val="009A0BFD"/>
    <w:rsid w:val="009A1356"/>
    <w:rsid w:val="009A21DC"/>
    <w:rsid w:val="009A26CF"/>
    <w:rsid w:val="009A2DCC"/>
    <w:rsid w:val="009A348F"/>
    <w:rsid w:val="009A3B2F"/>
    <w:rsid w:val="009A42F8"/>
    <w:rsid w:val="009A4AAC"/>
    <w:rsid w:val="009A54EC"/>
    <w:rsid w:val="009A5ABC"/>
    <w:rsid w:val="009A64C3"/>
    <w:rsid w:val="009A7AC5"/>
    <w:rsid w:val="009A7F10"/>
    <w:rsid w:val="009A7F26"/>
    <w:rsid w:val="009B024F"/>
    <w:rsid w:val="009B1926"/>
    <w:rsid w:val="009B1C1A"/>
    <w:rsid w:val="009B1F25"/>
    <w:rsid w:val="009B3423"/>
    <w:rsid w:val="009B3E26"/>
    <w:rsid w:val="009B59C6"/>
    <w:rsid w:val="009B59D2"/>
    <w:rsid w:val="009B6D5E"/>
    <w:rsid w:val="009B6FE6"/>
    <w:rsid w:val="009B70A6"/>
    <w:rsid w:val="009B7DCA"/>
    <w:rsid w:val="009C0FDA"/>
    <w:rsid w:val="009C180C"/>
    <w:rsid w:val="009C1B44"/>
    <w:rsid w:val="009C2EB5"/>
    <w:rsid w:val="009C317B"/>
    <w:rsid w:val="009C3706"/>
    <w:rsid w:val="009C3A3A"/>
    <w:rsid w:val="009C5263"/>
    <w:rsid w:val="009C5C74"/>
    <w:rsid w:val="009C6903"/>
    <w:rsid w:val="009C6CEA"/>
    <w:rsid w:val="009C6D8E"/>
    <w:rsid w:val="009C7B85"/>
    <w:rsid w:val="009D0253"/>
    <w:rsid w:val="009D0254"/>
    <w:rsid w:val="009D08DD"/>
    <w:rsid w:val="009D0925"/>
    <w:rsid w:val="009D1196"/>
    <w:rsid w:val="009D1658"/>
    <w:rsid w:val="009D16F1"/>
    <w:rsid w:val="009D19CF"/>
    <w:rsid w:val="009D1A64"/>
    <w:rsid w:val="009D1B87"/>
    <w:rsid w:val="009D2282"/>
    <w:rsid w:val="009D3EA7"/>
    <w:rsid w:val="009D4431"/>
    <w:rsid w:val="009D523F"/>
    <w:rsid w:val="009D5AC6"/>
    <w:rsid w:val="009D5B91"/>
    <w:rsid w:val="009D6E65"/>
    <w:rsid w:val="009D792E"/>
    <w:rsid w:val="009D7B32"/>
    <w:rsid w:val="009E01A0"/>
    <w:rsid w:val="009E0DFE"/>
    <w:rsid w:val="009E14F9"/>
    <w:rsid w:val="009E2B79"/>
    <w:rsid w:val="009E31F6"/>
    <w:rsid w:val="009E3D5E"/>
    <w:rsid w:val="009E4312"/>
    <w:rsid w:val="009E4C07"/>
    <w:rsid w:val="009E6878"/>
    <w:rsid w:val="009E765E"/>
    <w:rsid w:val="009F0752"/>
    <w:rsid w:val="009F0CC7"/>
    <w:rsid w:val="009F0DCD"/>
    <w:rsid w:val="009F1470"/>
    <w:rsid w:val="009F167F"/>
    <w:rsid w:val="009F207C"/>
    <w:rsid w:val="009F29A1"/>
    <w:rsid w:val="009F30A7"/>
    <w:rsid w:val="009F3F98"/>
    <w:rsid w:val="009F41D6"/>
    <w:rsid w:val="009F44B0"/>
    <w:rsid w:val="009F4A13"/>
    <w:rsid w:val="009F4B2E"/>
    <w:rsid w:val="009F6BDB"/>
    <w:rsid w:val="009F6E9D"/>
    <w:rsid w:val="009F72E9"/>
    <w:rsid w:val="009F748C"/>
    <w:rsid w:val="009F7646"/>
    <w:rsid w:val="009F7F22"/>
    <w:rsid w:val="00A00CB6"/>
    <w:rsid w:val="00A01044"/>
    <w:rsid w:val="00A01184"/>
    <w:rsid w:val="00A0237F"/>
    <w:rsid w:val="00A0246C"/>
    <w:rsid w:val="00A02A13"/>
    <w:rsid w:val="00A02DAB"/>
    <w:rsid w:val="00A037C2"/>
    <w:rsid w:val="00A03D43"/>
    <w:rsid w:val="00A03F19"/>
    <w:rsid w:val="00A0423F"/>
    <w:rsid w:val="00A04380"/>
    <w:rsid w:val="00A05472"/>
    <w:rsid w:val="00A05B28"/>
    <w:rsid w:val="00A05C32"/>
    <w:rsid w:val="00A062B8"/>
    <w:rsid w:val="00A0653F"/>
    <w:rsid w:val="00A06585"/>
    <w:rsid w:val="00A11CD0"/>
    <w:rsid w:val="00A124AF"/>
    <w:rsid w:val="00A13948"/>
    <w:rsid w:val="00A14220"/>
    <w:rsid w:val="00A14E8F"/>
    <w:rsid w:val="00A15084"/>
    <w:rsid w:val="00A1555B"/>
    <w:rsid w:val="00A155C5"/>
    <w:rsid w:val="00A15E9F"/>
    <w:rsid w:val="00A16AD8"/>
    <w:rsid w:val="00A17634"/>
    <w:rsid w:val="00A17D41"/>
    <w:rsid w:val="00A201FA"/>
    <w:rsid w:val="00A20DEB"/>
    <w:rsid w:val="00A211E2"/>
    <w:rsid w:val="00A2121A"/>
    <w:rsid w:val="00A2146C"/>
    <w:rsid w:val="00A21C95"/>
    <w:rsid w:val="00A21CF3"/>
    <w:rsid w:val="00A21E4D"/>
    <w:rsid w:val="00A2436A"/>
    <w:rsid w:val="00A24813"/>
    <w:rsid w:val="00A2486E"/>
    <w:rsid w:val="00A24F9A"/>
    <w:rsid w:val="00A2510A"/>
    <w:rsid w:val="00A260EB"/>
    <w:rsid w:val="00A27AEC"/>
    <w:rsid w:val="00A304D3"/>
    <w:rsid w:val="00A30570"/>
    <w:rsid w:val="00A30FC2"/>
    <w:rsid w:val="00A320DB"/>
    <w:rsid w:val="00A32C46"/>
    <w:rsid w:val="00A334AB"/>
    <w:rsid w:val="00A33EB6"/>
    <w:rsid w:val="00A343E1"/>
    <w:rsid w:val="00A344FE"/>
    <w:rsid w:val="00A347F4"/>
    <w:rsid w:val="00A34D43"/>
    <w:rsid w:val="00A35D16"/>
    <w:rsid w:val="00A3619A"/>
    <w:rsid w:val="00A37076"/>
    <w:rsid w:val="00A373E8"/>
    <w:rsid w:val="00A37BCD"/>
    <w:rsid w:val="00A401E1"/>
    <w:rsid w:val="00A41689"/>
    <w:rsid w:val="00A41C92"/>
    <w:rsid w:val="00A42233"/>
    <w:rsid w:val="00A42592"/>
    <w:rsid w:val="00A42753"/>
    <w:rsid w:val="00A43B5A"/>
    <w:rsid w:val="00A43C59"/>
    <w:rsid w:val="00A43C8D"/>
    <w:rsid w:val="00A43EA5"/>
    <w:rsid w:val="00A446F6"/>
    <w:rsid w:val="00A47396"/>
    <w:rsid w:val="00A473FC"/>
    <w:rsid w:val="00A47CFD"/>
    <w:rsid w:val="00A5008A"/>
    <w:rsid w:val="00A50BEA"/>
    <w:rsid w:val="00A50ECD"/>
    <w:rsid w:val="00A515AB"/>
    <w:rsid w:val="00A515E9"/>
    <w:rsid w:val="00A516B1"/>
    <w:rsid w:val="00A518F3"/>
    <w:rsid w:val="00A52729"/>
    <w:rsid w:val="00A52B6D"/>
    <w:rsid w:val="00A531DA"/>
    <w:rsid w:val="00A53675"/>
    <w:rsid w:val="00A537B6"/>
    <w:rsid w:val="00A543F8"/>
    <w:rsid w:val="00A54461"/>
    <w:rsid w:val="00A54F0F"/>
    <w:rsid w:val="00A564D7"/>
    <w:rsid w:val="00A5676C"/>
    <w:rsid w:val="00A56B6A"/>
    <w:rsid w:val="00A572B5"/>
    <w:rsid w:val="00A578DC"/>
    <w:rsid w:val="00A601F5"/>
    <w:rsid w:val="00A608AF"/>
    <w:rsid w:val="00A62D1A"/>
    <w:rsid w:val="00A63A58"/>
    <w:rsid w:val="00A63CB2"/>
    <w:rsid w:val="00A640E2"/>
    <w:rsid w:val="00A64D65"/>
    <w:rsid w:val="00A6532E"/>
    <w:rsid w:val="00A65D9C"/>
    <w:rsid w:val="00A6725B"/>
    <w:rsid w:val="00A70605"/>
    <w:rsid w:val="00A709A4"/>
    <w:rsid w:val="00A70C80"/>
    <w:rsid w:val="00A70F81"/>
    <w:rsid w:val="00A71096"/>
    <w:rsid w:val="00A717E0"/>
    <w:rsid w:val="00A71A80"/>
    <w:rsid w:val="00A7223B"/>
    <w:rsid w:val="00A72351"/>
    <w:rsid w:val="00A72A3F"/>
    <w:rsid w:val="00A73134"/>
    <w:rsid w:val="00A73DA5"/>
    <w:rsid w:val="00A74EEA"/>
    <w:rsid w:val="00A758F9"/>
    <w:rsid w:val="00A76001"/>
    <w:rsid w:val="00A76AE8"/>
    <w:rsid w:val="00A76FBD"/>
    <w:rsid w:val="00A775B8"/>
    <w:rsid w:val="00A777B2"/>
    <w:rsid w:val="00A779FF"/>
    <w:rsid w:val="00A80B63"/>
    <w:rsid w:val="00A81D14"/>
    <w:rsid w:val="00A825D4"/>
    <w:rsid w:val="00A828F6"/>
    <w:rsid w:val="00A82B73"/>
    <w:rsid w:val="00A82D79"/>
    <w:rsid w:val="00A82E25"/>
    <w:rsid w:val="00A83219"/>
    <w:rsid w:val="00A83360"/>
    <w:rsid w:val="00A8415F"/>
    <w:rsid w:val="00A84252"/>
    <w:rsid w:val="00A863B8"/>
    <w:rsid w:val="00A86E8B"/>
    <w:rsid w:val="00A86FB3"/>
    <w:rsid w:val="00A87164"/>
    <w:rsid w:val="00A871A3"/>
    <w:rsid w:val="00A87AD3"/>
    <w:rsid w:val="00A87C30"/>
    <w:rsid w:val="00A900A7"/>
    <w:rsid w:val="00A901F0"/>
    <w:rsid w:val="00A9077D"/>
    <w:rsid w:val="00A9086E"/>
    <w:rsid w:val="00A90E56"/>
    <w:rsid w:val="00A90F52"/>
    <w:rsid w:val="00A914F4"/>
    <w:rsid w:val="00A928E0"/>
    <w:rsid w:val="00A92990"/>
    <w:rsid w:val="00A93072"/>
    <w:rsid w:val="00A938BD"/>
    <w:rsid w:val="00A93953"/>
    <w:rsid w:val="00A93B9B"/>
    <w:rsid w:val="00A93D13"/>
    <w:rsid w:val="00A951D7"/>
    <w:rsid w:val="00A957F0"/>
    <w:rsid w:val="00A959D8"/>
    <w:rsid w:val="00A95FAD"/>
    <w:rsid w:val="00AA113D"/>
    <w:rsid w:val="00AA1C6E"/>
    <w:rsid w:val="00AA2193"/>
    <w:rsid w:val="00AA22E6"/>
    <w:rsid w:val="00AA29C5"/>
    <w:rsid w:val="00AA37D4"/>
    <w:rsid w:val="00AA4110"/>
    <w:rsid w:val="00AA41BF"/>
    <w:rsid w:val="00AA45B9"/>
    <w:rsid w:val="00AA4721"/>
    <w:rsid w:val="00AA4C69"/>
    <w:rsid w:val="00AA4D4D"/>
    <w:rsid w:val="00AA5223"/>
    <w:rsid w:val="00AA58D7"/>
    <w:rsid w:val="00AA598A"/>
    <w:rsid w:val="00AA65E0"/>
    <w:rsid w:val="00AA66A9"/>
    <w:rsid w:val="00AA6BD5"/>
    <w:rsid w:val="00AA6BD8"/>
    <w:rsid w:val="00AA6C7D"/>
    <w:rsid w:val="00AA6CB6"/>
    <w:rsid w:val="00AA74EE"/>
    <w:rsid w:val="00AA766F"/>
    <w:rsid w:val="00AA7CB4"/>
    <w:rsid w:val="00AA7FD6"/>
    <w:rsid w:val="00AB0389"/>
    <w:rsid w:val="00AB042A"/>
    <w:rsid w:val="00AB19EF"/>
    <w:rsid w:val="00AB20FB"/>
    <w:rsid w:val="00AB20FE"/>
    <w:rsid w:val="00AB29C0"/>
    <w:rsid w:val="00AB2D34"/>
    <w:rsid w:val="00AB3430"/>
    <w:rsid w:val="00AB349A"/>
    <w:rsid w:val="00AB37B9"/>
    <w:rsid w:val="00AB48CF"/>
    <w:rsid w:val="00AB4AD1"/>
    <w:rsid w:val="00AB4F8F"/>
    <w:rsid w:val="00AB51AB"/>
    <w:rsid w:val="00AB58D1"/>
    <w:rsid w:val="00AB5D36"/>
    <w:rsid w:val="00AB5E07"/>
    <w:rsid w:val="00AB7CFA"/>
    <w:rsid w:val="00AB7FD0"/>
    <w:rsid w:val="00AC0867"/>
    <w:rsid w:val="00AC0CE9"/>
    <w:rsid w:val="00AC2450"/>
    <w:rsid w:val="00AC26AD"/>
    <w:rsid w:val="00AC2C88"/>
    <w:rsid w:val="00AC41CA"/>
    <w:rsid w:val="00AC5B48"/>
    <w:rsid w:val="00AC6608"/>
    <w:rsid w:val="00AD01B8"/>
    <w:rsid w:val="00AD04EF"/>
    <w:rsid w:val="00AD05CC"/>
    <w:rsid w:val="00AD0617"/>
    <w:rsid w:val="00AD1450"/>
    <w:rsid w:val="00AD31A3"/>
    <w:rsid w:val="00AD3903"/>
    <w:rsid w:val="00AD5E64"/>
    <w:rsid w:val="00AD5EC5"/>
    <w:rsid w:val="00AD5F94"/>
    <w:rsid w:val="00AD64DB"/>
    <w:rsid w:val="00AD6502"/>
    <w:rsid w:val="00AD6725"/>
    <w:rsid w:val="00AD6DBF"/>
    <w:rsid w:val="00AD7308"/>
    <w:rsid w:val="00AD73E5"/>
    <w:rsid w:val="00AE0695"/>
    <w:rsid w:val="00AE1E1A"/>
    <w:rsid w:val="00AE1F74"/>
    <w:rsid w:val="00AE22A8"/>
    <w:rsid w:val="00AE332E"/>
    <w:rsid w:val="00AE3C2B"/>
    <w:rsid w:val="00AE3E7E"/>
    <w:rsid w:val="00AE7A16"/>
    <w:rsid w:val="00AF052A"/>
    <w:rsid w:val="00AF1315"/>
    <w:rsid w:val="00AF199D"/>
    <w:rsid w:val="00AF19BF"/>
    <w:rsid w:val="00AF2560"/>
    <w:rsid w:val="00AF2DC3"/>
    <w:rsid w:val="00AF46FB"/>
    <w:rsid w:val="00AF5C1B"/>
    <w:rsid w:val="00AF5F5B"/>
    <w:rsid w:val="00AF79E8"/>
    <w:rsid w:val="00B0128A"/>
    <w:rsid w:val="00B01312"/>
    <w:rsid w:val="00B02A68"/>
    <w:rsid w:val="00B02E23"/>
    <w:rsid w:val="00B0326D"/>
    <w:rsid w:val="00B03330"/>
    <w:rsid w:val="00B033E5"/>
    <w:rsid w:val="00B036B1"/>
    <w:rsid w:val="00B0389F"/>
    <w:rsid w:val="00B03A63"/>
    <w:rsid w:val="00B03DDE"/>
    <w:rsid w:val="00B03FE5"/>
    <w:rsid w:val="00B04920"/>
    <w:rsid w:val="00B05626"/>
    <w:rsid w:val="00B05896"/>
    <w:rsid w:val="00B058BB"/>
    <w:rsid w:val="00B05ACA"/>
    <w:rsid w:val="00B072A7"/>
    <w:rsid w:val="00B07384"/>
    <w:rsid w:val="00B11831"/>
    <w:rsid w:val="00B12F33"/>
    <w:rsid w:val="00B13544"/>
    <w:rsid w:val="00B144AE"/>
    <w:rsid w:val="00B14C41"/>
    <w:rsid w:val="00B15B9F"/>
    <w:rsid w:val="00B1627F"/>
    <w:rsid w:val="00B16F34"/>
    <w:rsid w:val="00B17738"/>
    <w:rsid w:val="00B177E7"/>
    <w:rsid w:val="00B17986"/>
    <w:rsid w:val="00B17C9B"/>
    <w:rsid w:val="00B17E5A"/>
    <w:rsid w:val="00B20067"/>
    <w:rsid w:val="00B201A4"/>
    <w:rsid w:val="00B201B7"/>
    <w:rsid w:val="00B201D1"/>
    <w:rsid w:val="00B20818"/>
    <w:rsid w:val="00B213A6"/>
    <w:rsid w:val="00B215CE"/>
    <w:rsid w:val="00B21D53"/>
    <w:rsid w:val="00B222C2"/>
    <w:rsid w:val="00B22BCB"/>
    <w:rsid w:val="00B235B0"/>
    <w:rsid w:val="00B23862"/>
    <w:rsid w:val="00B24C4F"/>
    <w:rsid w:val="00B24DF6"/>
    <w:rsid w:val="00B25BB6"/>
    <w:rsid w:val="00B25DC3"/>
    <w:rsid w:val="00B25EB7"/>
    <w:rsid w:val="00B262F8"/>
    <w:rsid w:val="00B264D4"/>
    <w:rsid w:val="00B26D5D"/>
    <w:rsid w:val="00B27086"/>
    <w:rsid w:val="00B27C07"/>
    <w:rsid w:val="00B320F1"/>
    <w:rsid w:val="00B331DD"/>
    <w:rsid w:val="00B33456"/>
    <w:rsid w:val="00B3436B"/>
    <w:rsid w:val="00B34FE2"/>
    <w:rsid w:val="00B35166"/>
    <w:rsid w:val="00B357D8"/>
    <w:rsid w:val="00B35FCC"/>
    <w:rsid w:val="00B360F4"/>
    <w:rsid w:val="00B36171"/>
    <w:rsid w:val="00B36744"/>
    <w:rsid w:val="00B36A00"/>
    <w:rsid w:val="00B378D4"/>
    <w:rsid w:val="00B37BFC"/>
    <w:rsid w:val="00B37DEE"/>
    <w:rsid w:val="00B40358"/>
    <w:rsid w:val="00B404A0"/>
    <w:rsid w:val="00B4076F"/>
    <w:rsid w:val="00B40AFF"/>
    <w:rsid w:val="00B4139F"/>
    <w:rsid w:val="00B41614"/>
    <w:rsid w:val="00B416B7"/>
    <w:rsid w:val="00B41A27"/>
    <w:rsid w:val="00B42851"/>
    <w:rsid w:val="00B42CC3"/>
    <w:rsid w:val="00B42F4D"/>
    <w:rsid w:val="00B42F80"/>
    <w:rsid w:val="00B431B8"/>
    <w:rsid w:val="00B433DC"/>
    <w:rsid w:val="00B435CB"/>
    <w:rsid w:val="00B43E7F"/>
    <w:rsid w:val="00B4485A"/>
    <w:rsid w:val="00B45447"/>
    <w:rsid w:val="00B46E6D"/>
    <w:rsid w:val="00B505C8"/>
    <w:rsid w:val="00B50836"/>
    <w:rsid w:val="00B509CA"/>
    <w:rsid w:val="00B50AF2"/>
    <w:rsid w:val="00B50DB8"/>
    <w:rsid w:val="00B51EC5"/>
    <w:rsid w:val="00B522E1"/>
    <w:rsid w:val="00B52D3B"/>
    <w:rsid w:val="00B530D6"/>
    <w:rsid w:val="00B53654"/>
    <w:rsid w:val="00B53905"/>
    <w:rsid w:val="00B54B5B"/>
    <w:rsid w:val="00B5562E"/>
    <w:rsid w:val="00B5590C"/>
    <w:rsid w:val="00B55D65"/>
    <w:rsid w:val="00B55F95"/>
    <w:rsid w:val="00B56096"/>
    <w:rsid w:val="00B56CB4"/>
    <w:rsid w:val="00B57000"/>
    <w:rsid w:val="00B60939"/>
    <w:rsid w:val="00B60AFD"/>
    <w:rsid w:val="00B6216F"/>
    <w:rsid w:val="00B62641"/>
    <w:rsid w:val="00B62715"/>
    <w:rsid w:val="00B62EC9"/>
    <w:rsid w:val="00B635D3"/>
    <w:rsid w:val="00B63ACB"/>
    <w:rsid w:val="00B65440"/>
    <w:rsid w:val="00B65441"/>
    <w:rsid w:val="00B65611"/>
    <w:rsid w:val="00B6675E"/>
    <w:rsid w:val="00B66866"/>
    <w:rsid w:val="00B6749C"/>
    <w:rsid w:val="00B67C76"/>
    <w:rsid w:val="00B67FF2"/>
    <w:rsid w:val="00B70D64"/>
    <w:rsid w:val="00B70E8E"/>
    <w:rsid w:val="00B7145A"/>
    <w:rsid w:val="00B717A0"/>
    <w:rsid w:val="00B7307A"/>
    <w:rsid w:val="00B736A1"/>
    <w:rsid w:val="00B7424F"/>
    <w:rsid w:val="00B744A3"/>
    <w:rsid w:val="00B745DC"/>
    <w:rsid w:val="00B7466B"/>
    <w:rsid w:val="00B74AE7"/>
    <w:rsid w:val="00B75F2F"/>
    <w:rsid w:val="00B76003"/>
    <w:rsid w:val="00B76BAF"/>
    <w:rsid w:val="00B76C92"/>
    <w:rsid w:val="00B77F0F"/>
    <w:rsid w:val="00B80DD4"/>
    <w:rsid w:val="00B818A4"/>
    <w:rsid w:val="00B82C75"/>
    <w:rsid w:val="00B82C9F"/>
    <w:rsid w:val="00B82F7D"/>
    <w:rsid w:val="00B830B1"/>
    <w:rsid w:val="00B83458"/>
    <w:rsid w:val="00B84117"/>
    <w:rsid w:val="00B846BC"/>
    <w:rsid w:val="00B84727"/>
    <w:rsid w:val="00B84DE0"/>
    <w:rsid w:val="00B858F0"/>
    <w:rsid w:val="00B85AA2"/>
    <w:rsid w:val="00B8649C"/>
    <w:rsid w:val="00B8695D"/>
    <w:rsid w:val="00B872EE"/>
    <w:rsid w:val="00B875A9"/>
    <w:rsid w:val="00B87F0A"/>
    <w:rsid w:val="00B9064B"/>
    <w:rsid w:val="00B913C3"/>
    <w:rsid w:val="00B91430"/>
    <w:rsid w:val="00B9155E"/>
    <w:rsid w:val="00B91699"/>
    <w:rsid w:val="00B91BE0"/>
    <w:rsid w:val="00B92AE7"/>
    <w:rsid w:val="00B92CEF"/>
    <w:rsid w:val="00B92D0B"/>
    <w:rsid w:val="00B930A3"/>
    <w:rsid w:val="00B94317"/>
    <w:rsid w:val="00B94945"/>
    <w:rsid w:val="00B94DD6"/>
    <w:rsid w:val="00B95D4D"/>
    <w:rsid w:val="00B968E9"/>
    <w:rsid w:val="00B9721E"/>
    <w:rsid w:val="00B97E83"/>
    <w:rsid w:val="00BA1652"/>
    <w:rsid w:val="00BA2273"/>
    <w:rsid w:val="00BA322D"/>
    <w:rsid w:val="00BA3CF9"/>
    <w:rsid w:val="00BA5C4A"/>
    <w:rsid w:val="00BA63FA"/>
    <w:rsid w:val="00BA7132"/>
    <w:rsid w:val="00BA77A0"/>
    <w:rsid w:val="00BA77D2"/>
    <w:rsid w:val="00BA7F1C"/>
    <w:rsid w:val="00BB00B3"/>
    <w:rsid w:val="00BB056A"/>
    <w:rsid w:val="00BB0AA7"/>
    <w:rsid w:val="00BB0BDD"/>
    <w:rsid w:val="00BB1002"/>
    <w:rsid w:val="00BB176C"/>
    <w:rsid w:val="00BB195B"/>
    <w:rsid w:val="00BB24BA"/>
    <w:rsid w:val="00BB2872"/>
    <w:rsid w:val="00BB2887"/>
    <w:rsid w:val="00BB2A73"/>
    <w:rsid w:val="00BB2CEF"/>
    <w:rsid w:val="00BB33A9"/>
    <w:rsid w:val="00BB3A45"/>
    <w:rsid w:val="00BB3CD8"/>
    <w:rsid w:val="00BB4ACC"/>
    <w:rsid w:val="00BB4BDD"/>
    <w:rsid w:val="00BB5260"/>
    <w:rsid w:val="00BB5C2D"/>
    <w:rsid w:val="00BB61A4"/>
    <w:rsid w:val="00BB66BC"/>
    <w:rsid w:val="00BB703E"/>
    <w:rsid w:val="00BB70F2"/>
    <w:rsid w:val="00BB7116"/>
    <w:rsid w:val="00BB732D"/>
    <w:rsid w:val="00BB7405"/>
    <w:rsid w:val="00BB766A"/>
    <w:rsid w:val="00BB7731"/>
    <w:rsid w:val="00BB78E3"/>
    <w:rsid w:val="00BC126B"/>
    <w:rsid w:val="00BC1683"/>
    <w:rsid w:val="00BC1A64"/>
    <w:rsid w:val="00BC3631"/>
    <w:rsid w:val="00BC3F43"/>
    <w:rsid w:val="00BC506F"/>
    <w:rsid w:val="00BC55FE"/>
    <w:rsid w:val="00BC5905"/>
    <w:rsid w:val="00BC591F"/>
    <w:rsid w:val="00BC64E1"/>
    <w:rsid w:val="00BC65C1"/>
    <w:rsid w:val="00BC7441"/>
    <w:rsid w:val="00BC75C9"/>
    <w:rsid w:val="00BC7D23"/>
    <w:rsid w:val="00BC7D6D"/>
    <w:rsid w:val="00BD028C"/>
    <w:rsid w:val="00BD1241"/>
    <w:rsid w:val="00BD1910"/>
    <w:rsid w:val="00BD2108"/>
    <w:rsid w:val="00BD243B"/>
    <w:rsid w:val="00BD25EF"/>
    <w:rsid w:val="00BD25FF"/>
    <w:rsid w:val="00BD409B"/>
    <w:rsid w:val="00BD4C97"/>
    <w:rsid w:val="00BD4F20"/>
    <w:rsid w:val="00BD565C"/>
    <w:rsid w:val="00BD68A3"/>
    <w:rsid w:val="00BD6938"/>
    <w:rsid w:val="00BD6993"/>
    <w:rsid w:val="00BD6CF3"/>
    <w:rsid w:val="00BD7320"/>
    <w:rsid w:val="00BD7683"/>
    <w:rsid w:val="00BD7C0C"/>
    <w:rsid w:val="00BE0ECA"/>
    <w:rsid w:val="00BE125F"/>
    <w:rsid w:val="00BE1C70"/>
    <w:rsid w:val="00BE2180"/>
    <w:rsid w:val="00BE21F2"/>
    <w:rsid w:val="00BE2318"/>
    <w:rsid w:val="00BE296B"/>
    <w:rsid w:val="00BE3999"/>
    <w:rsid w:val="00BE4275"/>
    <w:rsid w:val="00BE44B1"/>
    <w:rsid w:val="00BE4996"/>
    <w:rsid w:val="00BF06AE"/>
    <w:rsid w:val="00BF09AB"/>
    <w:rsid w:val="00BF0EB5"/>
    <w:rsid w:val="00BF0F95"/>
    <w:rsid w:val="00BF1C33"/>
    <w:rsid w:val="00BF1E33"/>
    <w:rsid w:val="00BF2433"/>
    <w:rsid w:val="00BF2C81"/>
    <w:rsid w:val="00BF445E"/>
    <w:rsid w:val="00BF478F"/>
    <w:rsid w:val="00BF4B52"/>
    <w:rsid w:val="00BF5BBC"/>
    <w:rsid w:val="00BF5C9A"/>
    <w:rsid w:val="00BF5DD6"/>
    <w:rsid w:val="00BF610A"/>
    <w:rsid w:val="00BF61C9"/>
    <w:rsid w:val="00BF6C94"/>
    <w:rsid w:val="00BF7AD7"/>
    <w:rsid w:val="00C00424"/>
    <w:rsid w:val="00C00689"/>
    <w:rsid w:val="00C01139"/>
    <w:rsid w:val="00C01A21"/>
    <w:rsid w:val="00C020A1"/>
    <w:rsid w:val="00C04CD4"/>
    <w:rsid w:val="00C05710"/>
    <w:rsid w:val="00C05FD4"/>
    <w:rsid w:val="00C0657C"/>
    <w:rsid w:val="00C0692F"/>
    <w:rsid w:val="00C07859"/>
    <w:rsid w:val="00C07B74"/>
    <w:rsid w:val="00C108C0"/>
    <w:rsid w:val="00C1179F"/>
    <w:rsid w:val="00C12671"/>
    <w:rsid w:val="00C127E0"/>
    <w:rsid w:val="00C12B04"/>
    <w:rsid w:val="00C12B06"/>
    <w:rsid w:val="00C12C09"/>
    <w:rsid w:val="00C12C14"/>
    <w:rsid w:val="00C14C25"/>
    <w:rsid w:val="00C14C36"/>
    <w:rsid w:val="00C150A0"/>
    <w:rsid w:val="00C15F04"/>
    <w:rsid w:val="00C16FBB"/>
    <w:rsid w:val="00C17411"/>
    <w:rsid w:val="00C1787B"/>
    <w:rsid w:val="00C179B3"/>
    <w:rsid w:val="00C17E3F"/>
    <w:rsid w:val="00C17F08"/>
    <w:rsid w:val="00C2008A"/>
    <w:rsid w:val="00C200AA"/>
    <w:rsid w:val="00C20CF8"/>
    <w:rsid w:val="00C21869"/>
    <w:rsid w:val="00C221A3"/>
    <w:rsid w:val="00C226C1"/>
    <w:rsid w:val="00C2279E"/>
    <w:rsid w:val="00C227A2"/>
    <w:rsid w:val="00C237ED"/>
    <w:rsid w:val="00C23E2E"/>
    <w:rsid w:val="00C24604"/>
    <w:rsid w:val="00C24632"/>
    <w:rsid w:val="00C246DA"/>
    <w:rsid w:val="00C25009"/>
    <w:rsid w:val="00C25418"/>
    <w:rsid w:val="00C2590D"/>
    <w:rsid w:val="00C25BC1"/>
    <w:rsid w:val="00C25D9C"/>
    <w:rsid w:val="00C26DC8"/>
    <w:rsid w:val="00C26E2A"/>
    <w:rsid w:val="00C275C7"/>
    <w:rsid w:val="00C2778B"/>
    <w:rsid w:val="00C309F2"/>
    <w:rsid w:val="00C30AD8"/>
    <w:rsid w:val="00C30F71"/>
    <w:rsid w:val="00C3100B"/>
    <w:rsid w:val="00C31473"/>
    <w:rsid w:val="00C31649"/>
    <w:rsid w:val="00C31F78"/>
    <w:rsid w:val="00C33E5C"/>
    <w:rsid w:val="00C3434C"/>
    <w:rsid w:val="00C34E70"/>
    <w:rsid w:val="00C34E85"/>
    <w:rsid w:val="00C355F1"/>
    <w:rsid w:val="00C35B41"/>
    <w:rsid w:val="00C36157"/>
    <w:rsid w:val="00C36574"/>
    <w:rsid w:val="00C36AF6"/>
    <w:rsid w:val="00C37253"/>
    <w:rsid w:val="00C40385"/>
    <w:rsid w:val="00C41186"/>
    <w:rsid w:val="00C41538"/>
    <w:rsid w:val="00C41768"/>
    <w:rsid w:val="00C41777"/>
    <w:rsid w:val="00C41AFC"/>
    <w:rsid w:val="00C42697"/>
    <w:rsid w:val="00C42902"/>
    <w:rsid w:val="00C42D2C"/>
    <w:rsid w:val="00C42E76"/>
    <w:rsid w:val="00C43400"/>
    <w:rsid w:val="00C43F75"/>
    <w:rsid w:val="00C44188"/>
    <w:rsid w:val="00C4431B"/>
    <w:rsid w:val="00C44649"/>
    <w:rsid w:val="00C458A4"/>
    <w:rsid w:val="00C4615F"/>
    <w:rsid w:val="00C4653D"/>
    <w:rsid w:val="00C475AA"/>
    <w:rsid w:val="00C4762F"/>
    <w:rsid w:val="00C478BE"/>
    <w:rsid w:val="00C47D93"/>
    <w:rsid w:val="00C50391"/>
    <w:rsid w:val="00C509B7"/>
    <w:rsid w:val="00C509DA"/>
    <w:rsid w:val="00C51729"/>
    <w:rsid w:val="00C51BB6"/>
    <w:rsid w:val="00C52F8F"/>
    <w:rsid w:val="00C5305C"/>
    <w:rsid w:val="00C53C98"/>
    <w:rsid w:val="00C55F13"/>
    <w:rsid w:val="00C56E33"/>
    <w:rsid w:val="00C56FCF"/>
    <w:rsid w:val="00C576E4"/>
    <w:rsid w:val="00C57AAC"/>
    <w:rsid w:val="00C57B6C"/>
    <w:rsid w:val="00C60D74"/>
    <w:rsid w:val="00C6153F"/>
    <w:rsid w:val="00C628A6"/>
    <w:rsid w:val="00C633A5"/>
    <w:rsid w:val="00C63998"/>
    <w:rsid w:val="00C639AA"/>
    <w:rsid w:val="00C64344"/>
    <w:rsid w:val="00C64AF3"/>
    <w:rsid w:val="00C65108"/>
    <w:rsid w:val="00C65576"/>
    <w:rsid w:val="00C66165"/>
    <w:rsid w:val="00C67091"/>
    <w:rsid w:val="00C6775F"/>
    <w:rsid w:val="00C67A61"/>
    <w:rsid w:val="00C7060A"/>
    <w:rsid w:val="00C70BF2"/>
    <w:rsid w:val="00C7124D"/>
    <w:rsid w:val="00C7151A"/>
    <w:rsid w:val="00C716F2"/>
    <w:rsid w:val="00C717E3"/>
    <w:rsid w:val="00C71F60"/>
    <w:rsid w:val="00C72241"/>
    <w:rsid w:val="00C726AF"/>
    <w:rsid w:val="00C7284E"/>
    <w:rsid w:val="00C72A70"/>
    <w:rsid w:val="00C72A9B"/>
    <w:rsid w:val="00C72E54"/>
    <w:rsid w:val="00C7369F"/>
    <w:rsid w:val="00C74AE5"/>
    <w:rsid w:val="00C74B6F"/>
    <w:rsid w:val="00C74F05"/>
    <w:rsid w:val="00C750C8"/>
    <w:rsid w:val="00C7560F"/>
    <w:rsid w:val="00C75950"/>
    <w:rsid w:val="00C76056"/>
    <w:rsid w:val="00C76522"/>
    <w:rsid w:val="00C76B85"/>
    <w:rsid w:val="00C76CB8"/>
    <w:rsid w:val="00C773C2"/>
    <w:rsid w:val="00C80A0E"/>
    <w:rsid w:val="00C80BC5"/>
    <w:rsid w:val="00C81860"/>
    <w:rsid w:val="00C81CD5"/>
    <w:rsid w:val="00C81F65"/>
    <w:rsid w:val="00C8213F"/>
    <w:rsid w:val="00C8214D"/>
    <w:rsid w:val="00C82560"/>
    <w:rsid w:val="00C825E3"/>
    <w:rsid w:val="00C82A0F"/>
    <w:rsid w:val="00C831C2"/>
    <w:rsid w:val="00C838AC"/>
    <w:rsid w:val="00C83C49"/>
    <w:rsid w:val="00C84310"/>
    <w:rsid w:val="00C84C8C"/>
    <w:rsid w:val="00C84ED7"/>
    <w:rsid w:val="00C85154"/>
    <w:rsid w:val="00C870FE"/>
    <w:rsid w:val="00C8797A"/>
    <w:rsid w:val="00C900B8"/>
    <w:rsid w:val="00C903C4"/>
    <w:rsid w:val="00C90C71"/>
    <w:rsid w:val="00C91FD1"/>
    <w:rsid w:val="00C92024"/>
    <w:rsid w:val="00C92ACB"/>
    <w:rsid w:val="00C931CF"/>
    <w:rsid w:val="00C93634"/>
    <w:rsid w:val="00C9382F"/>
    <w:rsid w:val="00C938CF"/>
    <w:rsid w:val="00C94053"/>
    <w:rsid w:val="00C9478E"/>
    <w:rsid w:val="00C95334"/>
    <w:rsid w:val="00C95B79"/>
    <w:rsid w:val="00C9624D"/>
    <w:rsid w:val="00C963B6"/>
    <w:rsid w:val="00C969DA"/>
    <w:rsid w:val="00C96D16"/>
    <w:rsid w:val="00C978C4"/>
    <w:rsid w:val="00C97B2C"/>
    <w:rsid w:val="00CA0079"/>
    <w:rsid w:val="00CA0D5B"/>
    <w:rsid w:val="00CA0DD2"/>
    <w:rsid w:val="00CA10CD"/>
    <w:rsid w:val="00CA1D9E"/>
    <w:rsid w:val="00CA2C77"/>
    <w:rsid w:val="00CA444F"/>
    <w:rsid w:val="00CA5245"/>
    <w:rsid w:val="00CA52C1"/>
    <w:rsid w:val="00CA5369"/>
    <w:rsid w:val="00CA61BE"/>
    <w:rsid w:val="00CA64CC"/>
    <w:rsid w:val="00CA71F4"/>
    <w:rsid w:val="00CA72C0"/>
    <w:rsid w:val="00CA7B09"/>
    <w:rsid w:val="00CB12A5"/>
    <w:rsid w:val="00CB153C"/>
    <w:rsid w:val="00CB1CAC"/>
    <w:rsid w:val="00CB2C39"/>
    <w:rsid w:val="00CB2F2A"/>
    <w:rsid w:val="00CB318C"/>
    <w:rsid w:val="00CB4209"/>
    <w:rsid w:val="00CB4537"/>
    <w:rsid w:val="00CB5094"/>
    <w:rsid w:val="00CB5731"/>
    <w:rsid w:val="00CB5B1A"/>
    <w:rsid w:val="00CB6B22"/>
    <w:rsid w:val="00CB7F5F"/>
    <w:rsid w:val="00CC0AA7"/>
    <w:rsid w:val="00CC0AF8"/>
    <w:rsid w:val="00CC1B39"/>
    <w:rsid w:val="00CC2C25"/>
    <w:rsid w:val="00CC350B"/>
    <w:rsid w:val="00CC35EA"/>
    <w:rsid w:val="00CC3848"/>
    <w:rsid w:val="00CC50E3"/>
    <w:rsid w:val="00CC6808"/>
    <w:rsid w:val="00CC6E4D"/>
    <w:rsid w:val="00CC7D39"/>
    <w:rsid w:val="00CD039A"/>
    <w:rsid w:val="00CD065A"/>
    <w:rsid w:val="00CD1B1A"/>
    <w:rsid w:val="00CD3680"/>
    <w:rsid w:val="00CD3F01"/>
    <w:rsid w:val="00CD3F77"/>
    <w:rsid w:val="00CD433E"/>
    <w:rsid w:val="00CD4356"/>
    <w:rsid w:val="00CD48FF"/>
    <w:rsid w:val="00CD4DB5"/>
    <w:rsid w:val="00CD4FBF"/>
    <w:rsid w:val="00CD52B6"/>
    <w:rsid w:val="00CD57E1"/>
    <w:rsid w:val="00CD6ADC"/>
    <w:rsid w:val="00CD7193"/>
    <w:rsid w:val="00CD7CA4"/>
    <w:rsid w:val="00CE032F"/>
    <w:rsid w:val="00CE04FD"/>
    <w:rsid w:val="00CE0961"/>
    <w:rsid w:val="00CE0E21"/>
    <w:rsid w:val="00CE14C5"/>
    <w:rsid w:val="00CE1668"/>
    <w:rsid w:val="00CE228B"/>
    <w:rsid w:val="00CE2C41"/>
    <w:rsid w:val="00CE33AE"/>
    <w:rsid w:val="00CE38C8"/>
    <w:rsid w:val="00CE3ACF"/>
    <w:rsid w:val="00CE53B5"/>
    <w:rsid w:val="00CE5889"/>
    <w:rsid w:val="00CE5939"/>
    <w:rsid w:val="00CE6274"/>
    <w:rsid w:val="00CE756C"/>
    <w:rsid w:val="00CE77B6"/>
    <w:rsid w:val="00CE79F8"/>
    <w:rsid w:val="00CF057A"/>
    <w:rsid w:val="00CF0DE9"/>
    <w:rsid w:val="00CF161A"/>
    <w:rsid w:val="00CF2B8D"/>
    <w:rsid w:val="00CF35AC"/>
    <w:rsid w:val="00CF456B"/>
    <w:rsid w:val="00CF45F1"/>
    <w:rsid w:val="00CF489B"/>
    <w:rsid w:val="00CF4DD6"/>
    <w:rsid w:val="00CF5A22"/>
    <w:rsid w:val="00CF67BA"/>
    <w:rsid w:val="00CF7840"/>
    <w:rsid w:val="00CF7ED9"/>
    <w:rsid w:val="00D011DA"/>
    <w:rsid w:val="00D014C8"/>
    <w:rsid w:val="00D0262E"/>
    <w:rsid w:val="00D03280"/>
    <w:rsid w:val="00D03EE7"/>
    <w:rsid w:val="00D040E4"/>
    <w:rsid w:val="00D0490A"/>
    <w:rsid w:val="00D0586E"/>
    <w:rsid w:val="00D05E3D"/>
    <w:rsid w:val="00D06139"/>
    <w:rsid w:val="00D07025"/>
    <w:rsid w:val="00D0768B"/>
    <w:rsid w:val="00D07C66"/>
    <w:rsid w:val="00D07E9A"/>
    <w:rsid w:val="00D10C25"/>
    <w:rsid w:val="00D110BD"/>
    <w:rsid w:val="00D112FD"/>
    <w:rsid w:val="00D1198F"/>
    <w:rsid w:val="00D11C52"/>
    <w:rsid w:val="00D127A4"/>
    <w:rsid w:val="00D127ED"/>
    <w:rsid w:val="00D12B0A"/>
    <w:rsid w:val="00D13675"/>
    <w:rsid w:val="00D13890"/>
    <w:rsid w:val="00D13924"/>
    <w:rsid w:val="00D13C3B"/>
    <w:rsid w:val="00D141E1"/>
    <w:rsid w:val="00D14B79"/>
    <w:rsid w:val="00D15314"/>
    <w:rsid w:val="00D15C06"/>
    <w:rsid w:val="00D16EDF"/>
    <w:rsid w:val="00D17573"/>
    <w:rsid w:val="00D17578"/>
    <w:rsid w:val="00D17B5D"/>
    <w:rsid w:val="00D17B78"/>
    <w:rsid w:val="00D17BF8"/>
    <w:rsid w:val="00D17D6C"/>
    <w:rsid w:val="00D20122"/>
    <w:rsid w:val="00D20938"/>
    <w:rsid w:val="00D20AF0"/>
    <w:rsid w:val="00D21106"/>
    <w:rsid w:val="00D2155B"/>
    <w:rsid w:val="00D21C2F"/>
    <w:rsid w:val="00D21E63"/>
    <w:rsid w:val="00D2231D"/>
    <w:rsid w:val="00D2254D"/>
    <w:rsid w:val="00D22812"/>
    <w:rsid w:val="00D23488"/>
    <w:rsid w:val="00D23D11"/>
    <w:rsid w:val="00D244B6"/>
    <w:rsid w:val="00D2494F"/>
    <w:rsid w:val="00D25A3A"/>
    <w:rsid w:val="00D26522"/>
    <w:rsid w:val="00D2754D"/>
    <w:rsid w:val="00D27B0F"/>
    <w:rsid w:val="00D27B27"/>
    <w:rsid w:val="00D27B9C"/>
    <w:rsid w:val="00D30106"/>
    <w:rsid w:val="00D305E7"/>
    <w:rsid w:val="00D31E7F"/>
    <w:rsid w:val="00D32D12"/>
    <w:rsid w:val="00D32F21"/>
    <w:rsid w:val="00D334C6"/>
    <w:rsid w:val="00D33BE9"/>
    <w:rsid w:val="00D33C9D"/>
    <w:rsid w:val="00D33F93"/>
    <w:rsid w:val="00D34806"/>
    <w:rsid w:val="00D34DDA"/>
    <w:rsid w:val="00D35512"/>
    <w:rsid w:val="00D357FF"/>
    <w:rsid w:val="00D400FD"/>
    <w:rsid w:val="00D40382"/>
    <w:rsid w:val="00D41C24"/>
    <w:rsid w:val="00D4203C"/>
    <w:rsid w:val="00D422D1"/>
    <w:rsid w:val="00D424C7"/>
    <w:rsid w:val="00D428E6"/>
    <w:rsid w:val="00D42A53"/>
    <w:rsid w:val="00D42FA6"/>
    <w:rsid w:val="00D439B6"/>
    <w:rsid w:val="00D43B2A"/>
    <w:rsid w:val="00D43B64"/>
    <w:rsid w:val="00D43D83"/>
    <w:rsid w:val="00D43DB9"/>
    <w:rsid w:val="00D43FF1"/>
    <w:rsid w:val="00D46493"/>
    <w:rsid w:val="00D47575"/>
    <w:rsid w:val="00D5129B"/>
    <w:rsid w:val="00D5243B"/>
    <w:rsid w:val="00D52F74"/>
    <w:rsid w:val="00D533EC"/>
    <w:rsid w:val="00D537A2"/>
    <w:rsid w:val="00D53FA2"/>
    <w:rsid w:val="00D55D03"/>
    <w:rsid w:val="00D55FDC"/>
    <w:rsid w:val="00D56A95"/>
    <w:rsid w:val="00D56DD0"/>
    <w:rsid w:val="00D56E18"/>
    <w:rsid w:val="00D57163"/>
    <w:rsid w:val="00D6086D"/>
    <w:rsid w:val="00D608F2"/>
    <w:rsid w:val="00D60B58"/>
    <w:rsid w:val="00D60CE0"/>
    <w:rsid w:val="00D614D8"/>
    <w:rsid w:val="00D61F63"/>
    <w:rsid w:val="00D63208"/>
    <w:rsid w:val="00D63B05"/>
    <w:rsid w:val="00D64286"/>
    <w:rsid w:val="00D64AF2"/>
    <w:rsid w:val="00D64CB9"/>
    <w:rsid w:val="00D655C6"/>
    <w:rsid w:val="00D65CED"/>
    <w:rsid w:val="00D709A2"/>
    <w:rsid w:val="00D70F16"/>
    <w:rsid w:val="00D7118E"/>
    <w:rsid w:val="00D71397"/>
    <w:rsid w:val="00D71BD5"/>
    <w:rsid w:val="00D71BEE"/>
    <w:rsid w:val="00D72264"/>
    <w:rsid w:val="00D72F57"/>
    <w:rsid w:val="00D73683"/>
    <w:rsid w:val="00D73BAB"/>
    <w:rsid w:val="00D744E8"/>
    <w:rsid w:val="00D74907"/>
    <w:rsid w:val="00D75A71"/>
    <w:rsid w:val="00D76A44"/>
    <w:rsid w:val="00D76EB8"/>
    <w:rsid w:val="00D773F7"/>
    <w:rsid w:val="00D77B8F"/>
    <w:rsid w:val="00D77C4C"/>
    <w:rsid w:val="00D80AB9"/>
    <w:rsid w:val="00D815EF"/>
    <w:rsid w:val="00D81F26"/>
    <w:rsid w:val="00D821DE"/>
    <w:rsid w:val="00D829D5"/>
    <w:rsid w:val="00D82D0D"/>
    <w:rsid w:val="00D8301C"/>
    <w:rsid w:val="00D84193"/>
    <w:rsid w:val="00D84294"/>
    <w:rsid w:val="00D859B1"/>
    <w:rsid w:val="00D85A32"/>
    <w:rsid w:val="00D85D6A"/>
    <w:rsid w:val="00D86231"/>
    <w:rsid w:val="00D86277"/>
    <w:rsid w:val="00D8796D"/>
    <w:rsid w:val="00D90448"/>
    <w:rsid w:val="00D90C9A"/>
    <w:rsid w:val="00D90CA4"/>
    <w:rsid w:val="00D91423"/>
    <w:rsid w:val="00D916BB"/>
    <w:rsid w:val="00D91923"/>
    <w:rsid w:val="00D91D33"/>
    <w:rsid w:val="00D9332E"/>
    <w:rsid w:val="00D93753"/>
    <w:rsid w:val="00D949C8"/>
    <w:rsid w:val="00D95ACB"/>
    <w:rsid w:val="00D97C70"/>
    <w:rsid w:val="00DA07CE"/>
    <w:rsid w:val="00DA16B1"/>
    <w:rsid w:val="00DA269C"/>
    <w:rsid w:val="00DA3167"/>
    <w:rsid w:val="00DA32E4"/>
    <w:rsid w:val="00DA4609"/>
    <w:rsid w:val="00DA4DC3"/>
    <w:rsid w:val="00DA55A4"/>
    <w:rsid w:val="00DA5A2E"/>
    <w:rsid w:val="00DA651C"/>
    <w:rsid w:val="00DA6CEA"/>
    <w:rsid w:val="00DA7184"/>
    <w:rsid w:val="00DA76F8"/>
    <w:rsid w:val="00DA77A5"/>
    <w:rsid w:val="00DB016D"/>
    <w:rsid w:val="00DB16C6"/>
    <w:rsid w:val="00DB2230"/>
    <w:rsid w:val="00DB27E1"/>
    <w:rsid w:val="00DB3B31"/>
    <w:rsid w:val="00DB3DBF"/>
    <w:rsid w:val="00DB4796"/>
    <w:rsid w:val="00DB47FA"/>
    <w:rsid w:val="00DB484F"/>
    <w:rsid w:val="00DB5593"/>
    <w:rsid w:val="00DB6A57"/>
    <w:rsid w:val="00DB7032"/>
    <w:rsid w:val="00DB76DA"/>
    <w:rsid w:val="00DC00EC"/>
    <w:rsid w:val="00DC04F6"/>
    <w:rsid w:val="00DC0690"/>
    <w:rsid w:val="00DC0984"/>
    <w:rsid w:val="00DC1D65"/>
    <w:rsid w:val="00DC2B2F"/>
    <w:rsid w:val="00DC3C57"/>
    <w:rsid w:val="00DC3E1A"/>
    <w:rsid w:val="00DC43FF"/>
    <w:rsid w:val="00DC4432"/>
    <w:rsid w:val="00DC5501"/>
    <w:rsid w:val="00DC5A49"/>
    <w:rsid w:val="00DC5F11"/>
    <w:rsid w:val="00DC6710"/>
    <w:rsid w:val="00DC6A33"/>
    <w:rsid w:val="00DC7154"/>
    <w:rsid w:val="00DC7E8A"/>
    <w:rsid w:val="00DD0110"/>
    <w:rsid w:val="00DD0F78"/>
    <w:rsid w:val="00DD172F"/>
    <w:rsid w:val="00DD273C"/>
    <w:rsid w:val="00DD279C"/>
    <w:rsid w:val="00DD30FA"/>
    <w:rsid w:val="00DD3370"/>
    <w:rsid w:val="00DD3AFE"/>
    <w:rsid w:val="00DD3EE9"/>
    <w:rsid w:val="00DD3F28"/>
    <w:rsid w:val="00DD4537"/>
    <w:rsid w:val="00DD456E"/>
    <w:rsid w:val="00DD4C02"/>
    <w:rsid w:val="00DD4CD4"/>
    <w:rsid w:val="00DD4E15"/>
    <w:rsid w:val="00DD56AB"/>
    <w:rsid w:val="00DD6050"/>
    <w:rsid w:val="00DD69C0"/>
    <w:rsid w:val="00DD6FE6"/>
    <w:rsid w:val="00DE1760"/>
    <w:rsid w:val="00DE1BA3"/>
    <w:rsid w:val="00DE2304"/>
    <w:rsid w:val="00DE3138"/>
    <w:rsid w:val="00DE37F8"/>
    <w:rsid w:val="00DE3E38"/>
    <w:rsid w:val="00DE4FCB"/>
    <w:rsid w:val="00DE5D07"/>
    <w:rsid w:val="00DE6983"/>
    <w:rsid w:val="00DE6CE0"/>
    <w:rsid w:val="00DE72A7"/>
    <w:rsid w:val="00DE7832"/>
    <w:rsid w:val="00DE79EE"/>
    <w:rsid w:val="00DF00CA"/>
    <w:rsid w:val="00DF17E8"/>
    <w:rsid w:val="00DF18FC"/>
    <w:rsid w:val="00DF1ADA"/>
    <w:rsid w:val="00DF1E71"/>
    <w:rsid w:val="00DF3A73"/>
    <w:rsid w:val="00DF3FBD"/>
    <w:rsid w:val="00DF5D2B"/>
    <w:rsid w:val="00DF5E8F"/>
    <w:rsid w:val="00DF6978"/>
    <w:rsid w:val="00DF6BDF"/>
    <w:rsid w:val="00E003C6"/>
    <w:rsid w:val="00E0045D"/>
    <w:rsid w:val="00E00E8E"/>
    <w:rsid w:val="00E0236D"/>
    <w:rsid w:val="00E0244E"/>
    <w:rsid w:val="00E0336A"/>
    <w:rsid w:val="00E03C99"/>
    <w:rsid w:val="00E0474A"/>
    <w:rsid w:val="00E05132"/>
    <w:rsid w:val="00E05630"/>
    <w:rsid w:val="00E065EF"/>
    <w:rsid w:val="00E06DB5"/>
    <w:rsid w:val="00E06DBB"/>
    <w:rsid w:val="00E07DC5"/>
    <w:rsid w:val="00E07FCE"/>
    <w:rsid w:val="00E10149"/>
    <w:rsid w:val="00E10839"/>
    <w:rsid w:val="00E108B0"/>
    <w:rsid w:val="00E11266"/>
    <w:rsid w:val="00E11340"/>
    <w:rsid w:val="00E11A1D"/>
    <w:rsid w:val="00E12203"/>
    <w:rsid w:val="00E122A1"/>
    <w:rsid w:val="00E131AF"/>
    <w:rsid w:val="00E135C1"/>
    <w:rsid w:val="00E13701"/>
    <w:rsid w:val="00E15872"/>
    <w:rsid w:val="00E16372"/>
    <w:rsid w:val="00E209B9"/>
    <w:rsid w:val="00E20AAF"/>
    <w:rsid w:val="00E20E4D"/>
    <w:rsid w:val="00E20ED6"/>
    <w:rsid w:val="00E21358"/>
    <w:rsid w:val="00E21BD8"/>
    <w:rsid w:val="00E21CC5"/>
    <w:rsid w:val="00E22107"/>
    <w:rsid w:val="00E2249B"/>
    <w:rsid w:val="00E22A0D"/>
    <w:rsid w:val="00E22AC7"/>
    <w:rsid w:val="00E23AD0"/>
    <w:rsid w:val="00E23CAB"/>
    <w:rsid w:val="00E244F6"/>
    <w:rsid w:val="00E2505B"/>
    <w:rsid w:val="00E25FF6"/>
    <w:rsid w:val="00E26C83"/>
    <w:rsid w:val="00E26F92"/>
    <w:rsid w:val="00E2771E"/>
    <w:rsid w:val="00E27F7D"/>
    <w:rsid w:val="00E311EF"/>
    <w:rsid w:val="00E32180"/>
    <w:rsid w:val="00E323B8"/>
    <w:rsid w:val="00E334E3"/>
    <w:rsid w:val="00E33CE9"/>
    <w:rsid w:val="00E34948"/>
    <w:rsid w:val="00E34C07"/>
    <w:rsid w:val="00E34E97"/>
    <w:rsid w:val="00E37569"/>
    <w:rsid w:val="00E37806"/>
    <w:rsid w:val="00E37B9E"/>
    <w:rsid w:val="00E401B2"/>
    <w:rsid w:val="00E4103E"/>
    <w:rsid w:val="00E41E30"/>
    <w:rsid w:val="00E4295B"/>
    <w:rsid w:val="00E42F73"/>
    <w:rsid w:val="00E4383E"/>
    <w:rsid w:val="00E43A4E"/>
    <w:rsid w:val="00E43D70"/>
    <w:rsid w:val="00E455AE"/>
    <w:rsid w:val="00E458BD"/>
    <w:rsid w:val="00E46297"/>
    <w:rsid w:val="00E466F3"/>
    <w:rsid w:val="00E4690B"/>
    <w:rsid w:val="00E46AFB"/>
    <w:rsid w:val="00E47B2C"/>
    <w:rsid w:val="00E47F54"/>
    <w:rsid w:val="00E51362"/>
    <w:rsid w:val="00E5141E"/>
    <w:rsid w:val="00E51560"/>
    <w:rsid w:val="00E52062"/>
    <w:rsid w:val="00E52F72"/>
    <w:rsid w:val="00E5352F"/>
    <w:rsid w:val="00E53781"/>
    <w:rsid w:val="00E53FC8"/>
    <w:rsid w:val="00E54153"/>
    <w:rsid w:val="00E54347"/>
    <w:rsid w:val="00E54669"/>
    <w:rsid w:val="00E5494A"/>
    <w:rsid w:val="00E5530C"/>
    <w:rsid w:val="00E55424"/>
    <w:rsid w:val="00E55587"/>
    <w:rsid w:val="00E55915"/>
    <w:rsid w:val="00E55BB5"/>
    <w:rsid w:val="00E55FCF"/>
    <w:rsid w:val="00E57FE5"/>
    <w:rsid w:val="00E601F6"/>
    <w:rsid w:val="00E60619"/>
    <w:rsid w:val="00E61290"/>
    <w:rsid w:val="00E628FF"/>
    <w:rsid w:val="00E6345E"/>
    <w:rsid w:val="00E64D65"/>
    <w:rsid w:val="00E650A6"/>
    <w:rsid w:val="00E65194"/>
    <w:rsid w:val="00E65E79"/>
    <w:rsid w:val="00E667BC"/>
    <w:rsid w:val="00E66BA2"/>
    <w:rsid w:val="00E67416"/>
    <w:rsid w:val="00E67B03"/>
    <w:rsid w:val="00E718B6"/>
    <w:rsid w:val="00E719DF"/>
    <w:rsid w:val="00E723BA"/>
    <w:rsid w:val="00E726CD"/>
    <w:rsid w:val="00E73324"/>
    <w:rsid w:val="00E73581"/>
    <w:rsid w:val="00E74D9D"/>
    <w:rsid w:val="00E74FB2"/>
    <w:rsid w:val="00E755FF"/>
    <w:rsid w:val="00E75787"/>
    <w:rsid w:val="00E7613A"/>
    <w:rsid w:val="00E7665F"/>
    <w:rsid w:val="00E76D2C"/>
    <w:rsid w:val="00E772A9"/>
    <w:rsid w:val="00E80B6D"/>
    <w:rsid w:val="00E8228A"/>
    <w:rsid w:val="00E82399"/>
    <w:rsid w:val="00E82C53"/>
    <w:rsid w:val="00E83249"/>
    <w:rsid w:val="00E833F7"/>
    <w:rsid w:val="00E83BDF"/>
    <w:rsid w:val="00E86AA1"/>
    <w:rsid w:val="00E86AEC"/>
    <w:rsid w:val="00E87A1D"/>
    <w:rsid w:val="00E9094A"/>
    <w:rsid w:val="00E90A23"/>
    <w:rsid w:val="00E91018"/>
    <w:rsid w:val="00E9159A"/>
    <w:rsid w:val="00E915D8"/>
    <w:rsid w:val="00E91D35"/>
    <w:rsid w:val="00E924DD"/>
    <w:rsid w:val="00E926A5"/>
    <w:rsid w:val="00E9298A"/>
    <w:rsid w:val="00E933D4"/>
    <w:rsid w:val="00E96D53"/>
    <w:rsid w:val="00EA17C3"/>
    <w:rsid w:val="00EA2289"/>
    <w:rsid w:val="00EA27D8"/>
    <w:rsid w:val="00EA28FF"/>
    <w:rsid w:val="00EA2956"/>
    <w:rsid w:val="00EA2CAA"/>
    <w:rsid w:val="00EA2E4D"/>
    <w:rsid w:val="00EA2FE5"/>
    <w:rsid w:val="00EA3092"/>
    <w:rsid w:val="00EA3827"/>
    <w:rsid w:val="00EA3864"/>
    <w:rsid w:val="00EA3D5E"/>
    <w:rsid w:val="00EA49FB"/>
    <w:rsid w:val="00EA5829"/>
    <w:rsid w:val="00EA6689"/>
    <w:rsid w:val="00EA6741"/>
    <w:rsid w:val="00EA695D"/>
    <w:rsid w:val="00EA69B7"/>
    <w:rsid w:val="00EA7F1C"/>
    <w:rsid w:val="00EB01C1"/>
    <w:rsid w:val="00EB15B6"/>
    <w:rsid w:val="00EB15D7"/>
    <w:rsid w:val="00EB2218"/>
    <w:rsid w:val="00EB244C"/>
    <w:rsid w:val="00EB2A42"/>
    <w:rsid w:val="00EB3D06"/>
    <w:rsid w:val="00EB4916"/>
    <w:rsid w:val="00EB58D8"/>
    <w:rsid w:val="00EB62F6"/>
    <w:rsid w:val="00EB6A39"/>
    <w:rsid w:val="00EB73D8"/>
    <w:rsid w:val="00EB73DD"/>
    <w:rsid w:val="00EC00C9"/>
    <w:rsid w:val="00EC0879"/>
    <w:rsid w:val="00EC0ADE"/>
    <w:rsid w:val="00EC0DD9"/>
    <w:rsid w:val="00EC2649"/>
    <w:rsid w:val="00EC31ED"/>
    <w:rsid w:val="00EC55E9"/>
    <w:rsid w:val="00EC5836"/>
    <w:rsid w:val="00EC6519"/>
    <w:rsid w:val="00EC65DB"/>
    <w:rsid w:val="00EC688C"/>
    <w:rsid w:val="00EC6F32"/>
    <w:rsid w:val="00EC765F"/>
    <w:rsid w:val="00ED092E"/>
    <w:rsid w:val="00ED19B4"/>
    <w:rsid w:val="00ED1A72"/>
    <w:rsid w:val="00ED1BFF"/>
    <w:rsid w:val="00ED2343"/>
    <w:rsid w:val="00ED24CA"/>
    <w:rsid w:val="00ED2694"/>
    <w:rsid w:val="00ED3679"/>
    <w:rsid w:val="00ED3E16"/>
    <w:rsid w:val="00ED422F"/>
    <w:rsid w:val="00ED524E"/>
    <w:rsid w:val="00ED57EA"/>
    <w:rsid w:val="00ED5BD4"/>
    <w:rsid w:val="00ED77BD"/>
    <w:rsid w:val="00EE07D3"/>
    <w:rsid w:val="00EE1996"/>
    <w:rsid w:val="00EE19D9"/>
    <w:rsid w:val="00EE1C01"/>
    <w:rsid w:val="00EE22AF"/>
    <w:rsid w:val="00EE3700"/>
    <w:rsid w:val="00EE385E"/>
    <w:rsid w:val="00EE3A88"/>
    <w:rsid w:val="00EE5AC4"/>
    <w:rsid w:val="00EE63D1"/>
    <w:rsid w:val="00EE6AE7"/>
    <w:rsid w:val="00EE6FF8"/>
    <w:rsid w:val="00EE7208"/>
    <w:rsid w:val="00EF0171"/>
    <w:rsid w:val="00EF1B25"/>
    <w:rsid w:val="00EF1DA0"/>
    <w:rsid w:val="00EF27B2"/>
    <w:rsid w:val="00EF2DA8"/>
    <w:rsid w:val="00EF2E56"/>
    <w:rsid w:val="00EF34FB"/>
    <w:rsid w:val="00EF3649"/>
    <w:rsid w:val="00EF44A2"/>
    <w:rsid w:val="00EF4747"/>
    <w:rsid w:val="00EF4916"/>
    <w:rsid w:val="00EF4BF8"/>
    <w:rsid w:val="00EF4D83"/>
    <w:rsid w:val="00EF5040"/>
    <w:rsid w:val="00EF6008"/>
    <w:rsid w:val="00EF6341"/>
    <w:rsid w:val="00EF7D90"/>
    <w:rsid w:val="00F005D0"/>
    <w:rsid w:val="00F00C0C"/>
    <w:rsid w:val="00F00EB9"/>
    <w:rsid w:val="00F0120B"/>
    <w:rsid w:val="00F01B63"/>
    <w:rsid w:val="00F01C94"/>
    <w:rsid w:val="00F02253"/>
    <w:rsid w:val="00F02279"/>
    <w:rsid w:val="00F027F7"/>
    <w:rsid w:val="00F02AE3"/>
    <w:rsid w:val="00F03C2E"/>
    <w:rsid w:val="00F03FFB"/>
    <w:rsid w:val="00F043AE"/>
    <w:rsid w:val="00F048E9"/>
    <w:rsid w:val="00F04A66"/>
    <w:rsid w:val="00F04A6A"/>
    <w:rsid w:val="00F04B4B"/>
    <w:rsid w:val="00F04DF2"/>
    <w:rsid w:val="00F0516C"/>
    <w:rsid w:val="00F05665"/>
    <w:rsid w:val="00F06691"/>
    <w:rsid w:val="00F06711"/>
    <w:rsid w:val="00F067A2"/>
    <w:rsid w:val="00F075C5"/>
    <w:rsid w:val="00F07B9E"/>
    <w:rsid w:val="00F10DAE"/>
    <w:rsid w:val="00F1116F"/>
    <w:rsid w:val="00F116CC"/>
    <w:rsid w:val="00F11767"/>
    <w:rsid w:val="00F1263A"/>
    <w:rsid w:val="00F12F87"/>
    <w:rsid w:val="00F1344D"/>
    <w:rsid w:val="00F13BAF"/>
    <w:rsid w:val="00F1419C"/>
    <w:rsid w:val="00F14B9B"/>
    <w:rsid w:val="00F15119"/>
    <w:rsid w:val="00F152CB"/>
    <w:rsid w:val="00F158DD"/>
    <w:rsid w:val="00F15B77"/>
    <w:rsid w:val="00F16918"/>
    <w:rsid w:val="00F16A7A"/>
    <w:rsid w:val="00F17D1F"/>
    <w:rsid w:val="00F20C2F"/>
    <w:rsid w:val="00F211ED"/>
    <w:rsid w:val="00F21624"/>
    <w:rsid w:val="00F21C75"/>
    <w:rsid w:val="00F21C8B"/>
    <w:rsid w:val="00F2255E"/>
    <w:rsid w:val="00F227D2"/>
    <w:rsid w:val="00F22CA0"/>
    <w:rsid w:val="00F24837"/>
    <w:rsid w:val="00F25064"/>
    <w:rsid w:val="00F25244"/>
    <w:rsid w:val="00F2575F"/>
    <w:rsid w:val="00F25B18"/>
    <w:rsid w:val="00F26F77"/>
    <w:rsid w:val="00F272BF"/>
    <w:rsid w:val="00F273E4"/>
    <w:rsid w:val="00F27565"/>
    <w:rsid w:val="00F3026A"/>
    <w:rsid w:val="00F3065A"/>
    <w:rsid w:val="00F30F72"/>
    <w:rsid w:val="00F310D4"/>
    <w:rsid w:val="00F31D5A"/>
    <w:rsid w:val="00F323EE"/>
    <w:rsid w:val="00F33108"/>
    <w:rsid w:val="00F33975"/>
    <w:rsid w:val="00F33C78"/>
    <w:rsid w:val="00F33DE9"/>
    <w:rsid w:val="00F341FC"/>
    <w:rsid w:val="00F34370"/>
    <w:rsid w:val="00F35310"/>
    <w:rsid w:val="00F3531B"/>
    <w:rsid w:val="00F35E6D"/>
    <w:rsid w:val="00F3619A"/>
    <w:rsid w:val="00F367F2"/>
    <w:rsid w:val="00F36A46"/>
    <w:rsid w:val="00F371A2"/>
    <w:rsid w:val="00F37833"/>
    <w:rsid w:val="00F37890"/>
    <w:rsid w:val="00F37C83"/>
    <w:rsid w:val="00F40AAA"/>
    <w:rsid w:val="00F40BA7"/>
    <w:rsid w:val="00F40F9D"/>
    <w:rsid w:val="00F41ACD"/>
    <w:rsid w:val="00F423B9"/>
    <w:rsid w:val="00F4482B"/>
    <w:rsid w:val="00F44952"/>
    <w:rsid w:val="00F44DE7"/>
    <w:rsid w:val="00F45F43"/>
    <w:rsid w:val="00F46CB6"/>
    <w:rsid w:val="00F4709A"/>
    <w:rsid w:val="00F470AF"/>
    <w:rsid w:val="00F4756D"/>
    <w:rsid w:val="00F47DE8"/>
    <w:rsid w:val="00F47F7A"/>
    <w:rsid w:val="00F50BD0"/>
    <w:rsid w:val="00F51623"/>
    <w:rsid w:val="00F53485"/>
    <w:rsid w:val="00F53565"/>
    <w:rsid w:val="00F542C1"/>
    <w:rsid w:val="00F54AFC"/>
    <w:rsid w:val="00F557E3"/>
    <w:rsid w:val="00F55E73"/>
    <w:rsid w:val="00F55EDA"/>
    <w:rsid w:val="00F56C80"/>
    <w:rsid w:val="00F60092"/>
    <w:rsid w:val="00F608FB"/>
    <w:rsid w:val="00F60D82"/>
    <w:rsid w:val="00F61C18"/>
    <w:rsid w:val="00F62A75"/>
    <w:rsid w:val="00F631A6"/>
    <w:rsid w:val="00F64A08"/>
    <w:rsid w:val="00F64E66"/>
    <w:rsid w:val="00F658F2"/>
    <w:rsid w:val="00F65F4B"/>
    <w:rsid w:val="00F660B7"/>
    <w:rsid w:val="00F66517"/>
    <w:rsid w:val="00F66CF4"/>
    <w:rsid w:val="00F67A69"/>
    <w:rsid w:val="00F70020"/>
    <w:rsid w:val="00F70BFF"/>
    <w:rsid w:val="00F70C9D"/>
    <w:rsid w:val="00F71EF0"/>
    <w:rsid w:val="00F7262D"/>
    <w:rsid w:val="00F727E9"/>
    <w:rsid w:val="00F72C33"/>
    <w:rsid w:val="00F72CC5"/>
    <w:rsid w:val="00F7335E"/>
    <w:rsid w:val="00F73969"/>
    <w:rsid w:val="00F73BE4"/>
    <w:rsid w:val="00F7409A"/>
    <w:rsid w:val="00F74CD9"/>
    <w:rsid w:val="00F75607"/>
    <w:rsid w:val="00F777CD"/>
    <w:rsid w:val="00F80448"/>
    <w:rsid w:val="00F80A7B"/>
    <w:rsid w:val="00F80E5D"/>
    <w:rsid w:val="00F80F10"/>
    <w:rsid w:val="00F810B3"/>
    <w:rsid w:val="00F8164A"/>
    <w:rsid w:val="00F81E78"/>
    <w:rsid w:val="00F820DF"/>
    <w:rsid w:val="00F82187"/>
    <w:rsid w:val="00F82228"/>
    <w:rsid w:val="00F82ED9"/>
    <w:rsid w:val="00F833C7"/>
    <w:rsid w:val="00F83568"/>
    <w:rsid w:val="00F83BA9"/>
    <w:rsid w:val="00F84472"/>
    <w:rsid w:val="00F850FF"/>
    <w:rsid w:val="00F851CE"/>
    <w:rsid w:val="00F8581A"/>
    <w:rsid w:val="00F85E7B"/>
    <w:rsid w:val="00F86330"/>
    <w:rsid w:val="00F87989"/>
    <w:rsid w:val="00F904D2"/>
    <w:rsid w:val="00F91219"/>
    <w:rsid w:val="00F91584"/>
    <w:rsid w:val="00F91F3B"/>
    <w:rsid w:val="00F92444"/>
    <w:rsid w:val="00F92479"/>
    <w:rsid w:val="00F93745"/>
    <w:rsid w:val="00F937A2"/>
    <w:rsid w:val="00F9393E"/>
    <w:rsid w:val="00F93E8B"/>
    <w:rsid w:val="00F940DD"/>
    <w:rsid w:val="00F94C7D"/>
    <w:rsid w:val="00F95363"/>
    <w:rsid w:val="00F9540F"/>
    <w:rsid w:val="00F96D69"/>
    <w:rsid w:val="00F96FD0"/>
    <w:rsid w:val="00F97091"/>
    <w:rsid w:val="00F97954"/>
    <w:rsid w:val="00F97A78"/>
    <w:rsid w:val="00FA0722"/>
    <w:rsid w:val="00FA0B20"/>
    <w:rsid w:val="00FA174D"/>
    <w:rsid w:val="00FA1B4C"/>
    <w:rsid w:val="00FA1F09"/>
    <w:rsid w:val="00FA24E7"/>
    <w:rsid w:val="00FA2545"/>
    <w:rsid w:val="00FA29E4"/>
    <w:rsid w:val="00FA3070"/>
    <w:rsid w:val="00FA3136"/>
    <w:rsid w:val="00FA3300"/>
    <w:rsid w:val="00FA3E29"/>
    <w:rsid w:val="00FA5EE6"/>
    <w:rsid w:val="00FA6E6C"/>
    <w:rsid w:val="00FA70E3"/>
    <w:rsid w:val="00FA7956"/>
    <w:rsid w:val="00FA79D5"/>
    <w:rsid w:val="00FB0369"/>
    <w:rsid w:val="00FB07C2"/>
    <w:rsid w:val="00FB0E54"/>
    <w:rsid w:val="00FB1566"/>
    <w:rsid w:val="00FB1920"/>
    <w:rsid w:val="00FB225C"/>
    <w:rsid w:val="00FB2FCB"/>
    <w:rsid w:val="00FB50FE"/>
    <w:rsid w:val="00FB523B"/>
    <w:rsid w:val="00FB5BB7"/>
    <w:rsid w:val="00FB7582"/>
    <w:rsid w:val="00FB7591"/>
    <w:rsid w:val="00FB7C55"/>
    <w:rsid w:val="00FC0474"/>
    <w:rsid w:val="00FC1074"/>
    <w:rsid w:val="00FC1884"/>
    <w:rsid w:val="00FC3233"/>
    <w:rsid w:val="00FC371D"/>
    <w:rsid w:val="00FC4BC8"/>
    <w:rsid w:val="00FC595B"/>
    <w:rsid w:val="00FC5F0B"/>
    <w:rsid w:val="00FC6BD0"/>
    <w:rsid w:val="00FC7A3E"/>
    <w:rsid w:val="00FC7FB6"/>
    <w:rsid w:val="00FD0817"/>
    <w:rsid w:val="00FD1109"/>
    <w:rsid w:val="00FD164E"/>
    <w:rsid w:val="00FD2100"/>
    <w:rsid w:val="00FD436C"/>
    <w:rsid w:val="00FD446D"/>
    <w:rsid w:val="00FD4F2C"/>
    <w:rsid w:val="00FD53B9"/>
    <w:rsid w:val="00FD5533"/>
    <w:rsid w:val="00FD5882"/>
    <w:rsid w:val="00FD6394"/>
    <w:rsid w:val="00FE018B"/>
    <w:rsid w:val="00FE07D4"/>
    <w:rsid w:val="00FE0D71"/>
    <w:rsid w:val="00FE0E6C"/>
    <w:rsid w:val="00FE10C2"/>
    <w:rsid w:val="00FE1420"/>
    <w:rsid w:val="00FE1CDC"/>
    <w:rsid w:val="00FE2DE0"/>
    <w:rsid w:val="00FE5D2E"/>
    <w:rsid w:val="00FE60EC"/>
    <w:rsid w:val="00FE675C"/>
    <w:rsid w:val="00FE6BD8"/>
    <w:rsid w:val="00FE70C3"/>
    <w:rsid w:val="00FE787E"/>
    <w:rsid w:val="00FE7EFD"/>
    <w:rsid w:val="00FE7FBD"/>
    <w:rsid w:val="00FF01ED"/>
    <w:rsid w:val="00FF08FA"/>
    <w:rsid w:val="00FF1B7C"/>
    <w:rsid w:val="00FF24C0"/>
    <w:rsid w:val="00FF2AD9"/>
    <w:rsid w:val="00FF2BA8"/>
    <w:rsid w:val="00FF32F4"/>
    <w:rsid w:val="00FF359F"/>
    <w:rsid w:val="00FF3DCF"/>
    <w:rsid w:val="00FF447C"/>
    <w:rsid w:val="00FF492C"/>
    <w:rsid w:val="00FF4A21"/>
    <w:rsid w:val="00FF5296"/>
    <w:rsid w:val="00FF5AA3"/>
    <w:rsid w:val="00FF5AD8"/>
    <w:rsid w:val="00FF5C38"/>
    <w:rsid w:val="00FF64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84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Bayer,Bayer Caption1,IB Caption1,Medical Caption1,Bayer Caption2,IB Caption2,Medical Caption2,Bayer Caption3,IB Caption3,Medical Caption3,Bayer Caption4,IB Caption4,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Bayer Char,Bayer Caption1 Char,IB Caption1 Char,Medical Caption1 Char,Bayer Caption2 Char,IB Caption2 Char,Medical Caption2 Char,IB Caption3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Table Legend,Styl moj,Akapit z listą11,L,Bullet Poin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ndNoteBibliographyTitle">
    <w:name w:val="EndNote Bibliography Title"/>
    <w:basedOn w:val="Normal"/>
    <w:link w:val="EndNoteBibliographyTitleChar"/>
    <w:rsid w:val="00FE60EC"/>
    <w:pPr>
      <w:jc w:val="center"/>
    </w:pPr>
    <w:rPr>
      <w:rFonts w:cs="Calibri"/>
      <w:noProof/>
    </w:rPr>
  </w:style>
  <w:style w:type="character" w:customStyle="1" w:styleId="EndNoteBibliographyTitleChar">
    <w:name w:val="EndNote Bibliography Title Char"/>
    <w:basedOn w:val="ListParagraphChar"/>
    <w:link w:val="EndNoteBibliographyTitle"/>
    <w:rsid w:val="00FE60EC"/>
    <w:rPr>
      <w:rFonts w:ascii="Calibri" w:hAnsi="Calibri" w:cs="Calibri"/>
      <w:noProof/>
      <w:snapToGrid/>
      <w:sz w:val="24"/>
      <w:szCs w:val="24"/>
    </w:rPr>
  </w:style>
  <w:style w:type="paragraph" w:customStyle="1" w:styleId="EndNoteBibliography">
    <w:name w:val="EndNote Bibliography"/>
    <w:basedOn w:val="Normal"/>
    <w:link w:val="EndNoteBibliographyChar"/>
    <w:rsid w:val="00FE60EC"/>
    <w:rPr>
      <w:rFonts w:cs="Calibri"/>
      <w:noProof/>
    </w:rPr>
  </w:style>
  <w:style w:type="character" w:customStyle="1" w:styleId="EndNoteBibliographyChar">
    <w:name w:val="EndNote Bibliography Char"/>
    <w:basedOn w:val="ListParagraphChar"/>
    <w:link w:val="EndNoteBibliography"/>
    <w:rsid w:val="00FE60EC"/>
    <w:rPr>
      <w:rFonts w:ascii="Calibri" w:hAnsi="Calibri" w:cs="Calibri"/>
      <w:noProof/>
      <w:snapToGrid/>
      <w:sz w:val="24"/>
      <w:szCs w:val="24"/>
    </w:rPr>
  </w:style>
  <w:style w:type="paragraph" w:customStyle="1" w:styleId="Tableheading0">
    <w:name w:val="Table heading"/>
    <w:basedOn w:val="Normal"/>
    <w:qFormat/>
    <w:rsid w:val="004E2578"/>
    <w:pPr>
      <w:keepNext/>
      <w:spacing w:line="276" w:lineRule="auto"/>
      <w:jc w:val="center"/>
    </w:pPr>
    <w:rPr>
      <w:rFonts w:asciiTheme="minorHAnsi" w:eastAsiaTheme="minorHAnsi" w:hAnsiTheme="minorHAnsi" w:cstheme="minorBidi"/>
      <w:b/>
      <w:sz w:val="20"/>
      <w:szCs w:val="20"/>
      <w:lang w:eastAsia="en-US"/>
    </w:rPr>
  </w:style>
  <w:style w:type="paragraph" w:customStyle="1" w:styleId="Tablefooter0">
    <w:name w:val="Table footer"/>
    <w:basedOn w:val="Normal"/>
    <w:qFormat/>
    <w:rsid w:val="004E2578"/>
    <w:rPr>
      <w:rFonts w:eastAsiaTheme="minorHAnsi" w:cstheme="minorBidi"/>
      <w:sz w:val="18"/>
      <w:szCs w:val="18"/>
      <w:lang w:eastAsia="en-US"/>
    </w:rPr>
  </w:style>
  <w:style w:type="paragraph" w:customStyle="1" w:styleId="Bull1table">
    <w:name w:val="Bull1 table"/>
    <w:basedOn w:val="ListParagraph"/>
    <w:qFormat/>
    <w:rsid w:val="004E2578"/>
    <w:pPr>
      <w:keepNext/>
      <w:numPr>
        <w:numId w:val="7"/>
      </w:numPr>
      <w:spacing w:after="0" w:line="276" w:lineRule="auto"/>
      <w:contextualSpacing/>
      <w:jc w:val="left"/>
    </w:pPr>
    <w:rPr>
      <w:rFonts w:ascii="Calibri" w:eastAsiaTheme="minorHAnsi" w:hAnsi="Calibri" w:cstheme="minorBidi"/>
      <w:snapToGrid/>
      <w:sz w:val="20"/>
      <w:szCs w:val="20"/>
      <w:lang w:eastAsia="en-US"/>
    </w:rPr>
  </w:style>
  <w:style w:type="paragraph" w:customStyle="1" w:styleId="Bull2table">
    <w:name w:val="Bull2 table"/>
    <w:basedOn w:val="Bull1table"/>
    <w:qFormat/>
    <w:rsid w:val="004E2578"/>
    <w:pPr>
      <w:numPr>
        <w:ilvl w:val="1"/>
      </w:numPr>
      <w:ind w:left="700"/>
    </w:pPr>
  </w:style>
  <w:style w:type="paragraph" w:customStyle="1" w:styleId="Ntabletext">
    <w:name w:val="N table text"/>
    <w:basedOn w:val="Tabletext"/>
    <w:qFormat/>
    <w:rsid w:val="004E2578"/>
    <w:pPr>
      <w:numPr>
        <w:numId w:val="8"/>
      </w:numPr>
      <w:tabs>
        <w:tab w:val="left" w:pos="416"/>
        <w:tab w:val="left" w:pos="582"/>
      </w:tabs>
      <w:spacing w:line="276" w:lineRule="auto"/>
      <w:contextualSpacing/>
      <w:jc w:val="both"/>
    </w:pPr>
    <w:rPr>
      <w:rFonts w:asciiTheme="minorHAnsi" w:hAnsiTheme="minorHAnsi"/>
      <w:snapToGrid/>
      <w:szCs w:val="20"/>
    </w:rPr>
  </w:style>
  <w:style w:type="paragraph" w:customStyle="1" w:styleId="Tablecentre">
    <w:name w:val="Table centre"/>
    <w:basedOn w:val="Tabletext"/>
    <w:qFormat/>
    <w:rsid w:val="00A15084"/>
    <w:pPr>
      <w:keepNext/>
      <w:spacing w:line="276" w:lineRule="auto"/>
      <w:jc w:val="center"/>
    </w:pPr>
    <w:rPr>
      <w:rFonts w:asciiTheme="minorHAnsi" w:eastAsiaTheme="minorHAnsi" w:hAnsiTheme="minorHAnsi" w:cstheme="minorBidi"/>
      <w:snapToGrid/>
      <w:szCs w:val="20"/>
      <w:lang w:eastAsia="en-US"/>
    </w:rPr>
  </w:style>
  <w:style w:type="paragraph" w:customStyle="1" w:styleId="Bull1Normal">
    <w:name w:val="Bull1 Normal"/>
    <w:basedOn w:val="ListParagraph"/>
    <w:qFormat/>
    <w:rsid w:val="00B05ACA"/>
    <w:pPr>
      <w:numPr>
        <w:numId w:val="9"/>
      </w:numPr>
      <w:tabs>
        <w:tab w:val="num" w:pos="360"/>
      </w:tabs>
      <w:spacing w:after="0" w:line="360" w:lineRule="auto"/>
      <w:ind w:left="720" w:firstLine="0"/>
      <w:contextualSpacing/>
    </w:pPr>
    <w:rPr>
      <w:rFonts w:ascii="Calibri" w:eastAsiaTheme="minorHAnsi" w:hAnsi="Calibri" w:cstheme="minorBidi"/>
      <w:snapToGrid/>
      <w:sz w:val="22"/>
      <w:szCs w:val="22"/>
      <w:lang w:eastAsia="en-US"/>
    </w:rPr>
  </w:style>
  <w:style w:type="table" w:customStyle="1" w:styleId="Summarybox3">
    <w:name w:val="Summary box3"/>
    <w:basedOn w:val="TableNormal"/>
    <w:next w:val="TableGrid"/>
    <w:uiPriority w:val="59"/>
    <w:rsid w:val="00B530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ISMA">
    <w:name w:val="H PRISMA"/>
    <w:basedOn w:val="Normal"/>
    <w:qFormat/>
    <w:rsid w:val="0045120C"/>
    <w:pPr>
      <w:jc w:val="center"/>
    </w:pPr>
    <w:rPr>
      <w:rFonts w:asciiTheme="minorHAnsi" w:eastAsiaTheme="minorEastAsia" w:cstheme="minorBidi"/>
      <w:b/>
      <w:bCs/>
      <w:color w:val="000000" w:themeColor="text1"/>
      <w:kern w:val="24"/>
      <w:sz w:val="20"/>
      <w:szCs w:val="20"/>
    </w:rPr>
  </w:style>
  <w:style w:type="paragraph" w:customStyle="1" w:styleId="TPRISMA">
    <w:name w:val="T PRISMA"/>
    <w:basedOn w:val="Normal"/>
    <w:qFormat/>
    <w:rsid w:val="0045120C"/>
    <w:pPr>
      <w:jc w:val="left"/>
    </w:pPr>
    <w:rPr>
      <w:rFonts w:asciiTheme="minorHAnsi" w:eastAsiaTheme="minorEastAsia" w:cstheme="minorBidi"/>
      <w:color w:val="000000" w:themeColor="text1"/>
      <w:kern w:val="24"/>
      <w:sz w:val="20"/>
      <w:szCs w:val="20"/>
    </w:rPr>
  </w:style>
  <w:style w:type="paragraph" w:customStyle="1" w:styleId="BPRISMA">
    <w:name w:val="B PRISMA"/>
    <w:basedOn w:val="Normal"/>
    <w:qFormat/>
    <w:rsid w:val="0045120C"/>
    <w:pPr>
      <w:jc w:val="left"/>
    </w:pPr>
    <w:rPr>
      <w:rFonts w:asciiTheme="minorHAnsi" w:eastAsiaTheme="minorEastAsia" w:cstheme="minorBidi"/>
      <w:b/>
      <w:bCs/>
      <w:color w:val="000000" w:themeColor="text1"/>
      <w:kern w:val="24"/>
      <w:sz w:val="20"/>
      <w:szCs w:val="20"/>
    </w:rPr>
  </w:style>
  <w:style w:type="paragraph" w:customStyle="1" w:styleId="NPRISM">
    <w:name w:val="N PRISM"/>
    <w:basedOn w:val="Normal"/>
    <w:qFormat/>
    <w:rsid w:val="0045120C"/>
    <w:pPr>
      <w:numPr>
        <w:numId w:val="10"/>
      </w:numPr>
      <w:ind w:left="360"/>
      <w:contextualSpacing/>
      <w:jc w:val="left"/>
    </w:pPr>
    <w:rPr>
      <w:rFonts w:asciiTheme="minorHAnsi" w:eastAsiaTheme="minorHAnsi" w:cstheme="minorBidi"/>
      <w:color w:val="000000" w:themeColor="text1"/>
      <w:kern w:val="24"/>
      <w:sz w:val="18"/>
      <w:szCs w:val="18"/>
      <w:lang w:eastAsia="en-US"/>
    </w:rPr>
  </w:style>
  <w:style w:type="paragraph" w:customStyle="1" w:styleId="N2PRISMA">
    <w:name w:val="N2 PRISMA"/>
    <w:basedOn w:val="NPRISM"/>
    <w:qFormat/>
    <w:rsid w:val="0045120C"/>
    <w:pPr>
      <w:numPr>
        <w:numId w:val="11"/>
      </w:numPr>
      <w:ind w:left="360"/>
    </w:pPr>
  </w:style>
  <w:style w:type="paragraph" w:customStyle="1" w:styleId="BUPRISMA">
    <w:name w:val="BU PRISMA"/>
    <w:basedOn w:val="Normal"/>
    <w:qFormat/>
    <w:rsid w:val="0045120C"/>
    <w:pPr>
      <w:jc w:val="left"/>
    </w:pPr>
    <w:rPr>
      <w:rFonts w:asciiTheme="minorHAnsi" w:eastAsiaTheme="minorEastAsia" w:cstheme="minorBidi"/>
      <w:b/>
      <w:bCs/>
      <w:color w:val="000000" w:themeColor="text1"/>
      <w:kern w:val="24"/>
      <w:sz w:val="20"/>
      <w:szCs w:val="20"/>
      <w:u w:val="single"/>
    </w:rPr>
  </w:style>
  <w:style w:type="table" w:customStyle="1" w:styleId="TableGrid6">
    <w:name w:val="Table Grid6"/>
    <w:basedOn w:val="TableNormal"/>
    <w:rsid w:val="006A6FA4"/>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able">
    <w:name w:val="B table"/>
    <w:basedOn w:val="Tabletext"/>
    <w:qFormat/>
    <w:rsid w:val="006A6FA4"/>
    <w:pPr>
      <w:keepNext/>
      <w:spacing w:line="276" w:lineRule="auto"/>
      <w:jc w:val="both"/>
    </w:pPr>
    <w:rPr>
      <w:rFonts w:asciiTheme="minorHAnsi" w:eastAsiaTheme="minorHAnsi" w:hAnsiTheme="minorHAnsi" w:cstheme="minorBidi"/>
      <w:b/>
      <w:bCs/>
      <w:snapToGrid/>
      <w:szCs w:val="20"/>
      <w:lang w:eastAsia="en-US"/>
    </w:rPr>
  </w:style>
  <w:style w:type="paragraph" w:customStyle="1" w:styleId="Tab1table">
    <w:name w:val="Tab1 table"/>
    <w:basedOn w:val="Tabletext"/>
    <w:qFormat/>
    <w:rsid w:val="003F73A0"/>
    <w:pPr>
      <w:spacing w:line="276" w:lineRule="auto"/>
      <w:ind w:left="283"/>
      <w:jc w:val="both"/>
    </w:pPr>
    <w:rPr>
      <w:rFonts w:asciiTheme="minorHAnsi" w:eastAsiaTheme="minorHAnsi" w:hAnsiTheme="minorHAnsi" w:cstheme="minorBidi"/>
      <w:snapToGrid/>
      <w:szCs w:val="20"/>
      <w:lang w:eastAsia="en-US"/>
    </w:rPr>
  </w:style>
  <w:style w:type="paragraph" w:customStyle="1" w:styleId="Bull3table">
    <w:name w:val="Bull3 table"/>
    <w:basedOn w:val="Bull2table"/>
    <w:qFormat/>
    <w:rsid w:val="00486ABA"/>
    <w:pPr>
      <w:keepNext w:val="0"/>
      <w:numPr>
        <w:ilvl w:val="0"/>
        <w:numId w:val="0"/>
      </w:numPr>
      <w:ind w:left="1210" w:hanging="360"/>
      <w:jc w:val="both"/>
    </w:pPr>
    <w:rPr>
      <w:rFonts w:asciiTheme="minorHAnsi" w:hAnsiTheme="minorHAnsi"/>
    </w:rPr>
  </w:style>
  <w:style w:type="paragraph" w:customStyle="1" w:styleId="Bull4table">
    <w:name w:val="Bull4 table"/>
    <w:basedOn w:val="Bull3table"/>
    <w:qFormat/>
    <w:rsid w:val="00486ABA"/>
    <w:pPr>
      <w:ind w:left="1494"/>
    </w:pPr>
  </w:style>
  <w:style w:type="paragraph" w:customStyle="1" w:styleId="PBACtext">
    <w:name w:val="PBAC text"/>
    <w:basedOn w:val="Normal"/>
    <w:qFormat/>
    <w:rsid w:val="000C49E3"/>
    <w:pPr>
      <w:keepNext/>
      <w:spacing w:line="276" w:lineRule="auto"/>
    </w:pPr>
    <w:rPr>
      <w:rFonts w:ascii="Arial Narrow" w:eastAsiaTheme="minorHAnsi" w:hAnsi="Arial Narrow" w:cstheme="minorBidi"/>
      <w:sz w:val="18"/>
      <w:szCs w:val="18"/>
      <w:lang w:eastAsia="en-US"/>
    </w:rPr>
  </w:style>
  <w:style w:type="paragraph" w:styleId="FootnoteText">
    <w:name w:val="footnote text"/>
    <w:basedOn w:val="Normal"/>
    <w:link w:val="FootnoteTextChar"/>
    <w:semiHidden/>
    <w:unhideWhenUsed/>
    <w:rsid w:val="00BB78E3"/>
    <w:rPr>
      <w:sz w:val="20"/>
      <w:szCs w:val="20"/>
    </w:rPr>
  </w:style>
  <w:style w:type="character" w:customStyle="1" w:styleId="FootnoteTextChar">
    <w:name w:val="Footnote Text Char"/>
    <w:basedOn w:val="DefaultParagraphFont"/>
    <w:link w:val="FootnoteText"/>
    <w:semiHidden/>
    <w:rsid w:val="00BB78E3"/>
    <w:rPr>
      <w:rFonts w:ascii="Calibri" w:hAnsi="Calibri" w:cs="Arial"/>
    </w:rPr>
  </w:style>
  <w:style w:type="character" w:styleId="FootnoteReference">
    <w:name w:val="footnote reference"/>
    <w:basedOn w:val="DefaultParagraphFont"/>
    <w:semiHidden/>
    <w:unhideWhenUsed/>
    <w:rsid w:val="00BB78E3"/>
    <w:rPr>
      <w:vertAlign w:val="superscript"/>
    </w:rPr>
  </w:style>
  <w:style w:type="paragraph" w:customStyle="1" w:styleId="SyneviNormal">
    <w:name w:val="Synevi Normal"/>
    <w:basedOn w:val="Normal"/>
    <w:link w:val="SyneviNormalChar"/>
    <w:qFormat/>
    <w:rsid w:val="00C25BC1"/>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C25BC1"/>
    <w:rPr>
      <w:rFonts w:asciiTheme="minorHAnsi" w:hAnsiTheme="minorHAnsi"/>
      <w:sz w:val="22"/>
      <w:lang w:val="en-US" w:eastAsia="en-US"/>
    </w:rPr>
  </w:style>
  <w:style w:type="paragraph" w:customStyle="1" w:styleId="SYNEViNormal0">
    <w:name w:val="SYNEVi Normal"/>
    <w:basedOn w:val="Normal"/>
    <w:qFormat/>
    <w:rsid w:val="00217D47"/>
    <w:pPr>
      <w:spacing w:line="360" w:lineRule="auto"/>
    </w:pPr>
    <w:rPr>
      <w:rFonts w:asciiTheme="minorHAnsi" w:eastAsiaTheme="minorHAnsi" w:hAnsiTheme="minorHAnsi" w:cstheme="minorHAnsi"/>
      <w:sz w:val="22"/>
      <w:szCs w:val="22"/>
      <w:lang w:eastAsia="en-US"/>
    </w:rPr>
  </w:style>
  <w:style w:type="table" w:customStyle="1" w:styleId="Summarybox1">
    <w:name w:val="Summary box1"/>
    <w:basedOn w:val="TableNormal"/>
    <w:next w:val="TableGrid"/>
    <w:uiPriority w:val="59"/>
    <w:rsid w:val="00217D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qFormat/>
    <w:rsid w:val="008F1B38"/>
    <w:rPr>
      <w:rFonts w:eastAsiaTheme="minorHAnsi" w:cstheme="minorBidi"/>
      <w:sz w:val="18"/>
      <w:szCs w:val="22"/>
      <w:lang w:eastAsia="en-US"/>
    </w:rPr>
  </w:style>
  <w:style w:type="table" w:customStyle="1" w:styleId="TableGridbeth1">
    <w:name w:val="Table Gridbeth1"/>
    <w:basedOn w:val="TableNormal"/>
    <w:next w:val="TableGrid"/>
    <w:uiPriority w:val="59"/>
    <w:rsid w:val="00926E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2F87"/>
    <w:rPr>
      <w:color w:val="605E5C"/>
      <w:shd w:val="clear" w:color="auto" w:fill="E1DFDD"/>
    </w:rPr>
  </w:style>
  <w:style w:type="character" w:customStyle="1" w:styleId="UnresolvedMention2">
    <w:name w:val="Unresolved Mention2"/>
    <w:basedOn w:val="DefaultParagraphFont"/>
    <w:uiPriority w:val="99"/>
    <w:semiHidden/>
    <w:unhideWhenUsed/>
    <w:rsid w:val="009C6903"/>
    <w:rPr>
      <w:color w:val="605E5C"/>
      <w:shd w:val="clear" w:color="auto" w:fill="E1DFDD"/>
    </w:rPr>
  </w:style>
  <w:style w:type="paragraph" w:customStyle="1" w:styleId="bullet">
    <w:name w:val="bullet"/>
    <w:basedOn w:val="ListParagraph"/>
    <w:qFormat/>
    <w:rsid w:val="00613075"/>
    <w:pPr>
      <w:numPr>
        <w:numId w:val="17"/>
      </w:numPr>
    </w:pPr>
    <w:rPr>
      <w:rFonts w:ascii="Calibri" w:hAnsi="Calibri" w:cstheme="minorBidi"/>
      <w:i/>
      <w:snapToGrid/>
      <w:sz w:val="22"/>
      <w:szCs w:val="22"/>
      <w:lang w:eastAsia="en-US"/>
    </w:rPr>
  </w:style>
  <w:style w:type="paragraph" w:customStyle="1" w:styleId="PBACcentre">
    <w:name w:val="PBAC centre"/>
    <w:basedOn w:val="PBACtext"/>
    <w:qFormat/>
    <w:rsid w:val="00613075"/>
    <w:pPr>
      <w:jc w:val="center"/>
    </w:pPr>
  </w:style>
  <w:style w:type="paragraph" w:customStyle="1" w:styleId="PBACbold">
    <w:name w:val="PBAC bold"/>
    <w:basedOn w:val="Normal"/>
    <w:qFormat/>
    <w:rsid w:val="00613075"/>
    <w:pPr>
      <w:jc w:val="left"/>
    </w:pPr>
    <w:rPr>
      <w:rFonts w:ascii="Arial Narrow" w:eastAsiaTheme="minorHAnsi" w:hAnsi="Arial Narrow"/>
      <w:b/>
      <w:sz w:val="18"/>
      <w:szCs w:val="18"/>
      <w:lang w:eastAsia="en-US"/>
    </w:rPr>
  </w:style>
  <w:style w:type="paragraph" w:customStyle="1" w:styleId="3-SubsectionHeading">
    <w:name w:val="3-Subsection Heading"/>
    <w:basedOn w:val="Heading2"/>
    <w:next w:val="Normal"/>
    <w:link w:val="3-SubsectionHeadingChar"/>
    <w:qFormat/>
    <w:rsid w:val="00F2524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25244"/>
    <w:rPr>
      <w:rFonts w:asciiTheme="minorHAnsi" w:eastAsiaTheme="majorEastAsia" w:hAnsiTheme="minorHAnsi" w:cstheme="majorBidi"/>
      <w:b/>
      <w:i/>
      <w:snapToGrid/>
      <w:spacing w:val="5"/>
      <w:kern w:val="28"/>
      <w:sz w:val="28"/>
      <w:szCs w:val="36"/>
      <w:lang w:eastAsia="en-US"/>
    </w:rPr>
  </w:style>
  <w:style w:type="paragraph" w:customStyle="1" w:styleId="Default">
    <w:name w:val="Default"/>
    <w:rsid w:val="00BE3999"/>
    <w:pPr>
      <w:autoSpaceDE w:val="0"/>
      <w:autoSpaceDN w:val="0"/>
      <w:adjustRightInd w:val="0"/>
    </w:pPr>
    <w:rPr>
      <w:rFonts w:ascii="Cambria" w:eastAsiaTheme="minorHAnsi" w:hAnsi="Cambria" w:cs="Cambria"/>
      <w:color w:val="000000"/>
      <w:sz w:val="24"/>
      <w:szCs w:val="24"/>
      <w:lang w:eastAsia="en-US"/>
    </w:rPr>
  </w:style>
  <w:style w:type="character" w:customStyle="1" w:styleId="UnresolvedMention3">
    <w:name w:val="Unresolved Mention3"/>
    <w:basedOn w:val="DefaultParagraphFont"/>
    <w:uiPriority w:val="99"/>
    <w:semiHidden/>
    <w:unhideWhenUsed/>
    <w:rsid w:val="00B331DD"/>
    <w:rPr>
      <w:color w:val="605E5C"/>
      <w:shd w:val="clear" w:color="auto" w:fill="E1DFDD"/>
    </w:rPr>
  </w:style>
  <w:style w:type="character" w:styleId="UnresolvedMention">
    <w:name w:val="Unresolved Mention"/>
    <w:basedOn w:val="DefaultParagraphFont"/>
    <w:uiPriority w:val="99"/>
    <w:semiHidden/>
    <w:unhideWhenUsed/>
    <w:rsid w:val="00AF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987">
      <w:bodyDiv w:val="1"/>
      <w:marLeft w:val="0"/>
      <w:marRight w:val="0"/>
      <w:marTop w:val="0"/>
      <w:marBottom w:val="0"/>
      <w:divBdr>
        <w:top w:val="none" w:sz="0" w:space="0" w:color="auto"/>
        <w:left w:val="none" w:sz="0" w:space="0" w:color="auto"/>
        <w:bottom w:val="none" w:sz="0" w:space="0" w:color="auto"/>
        <w:right w:val="none" w:sz="0" w:space="0" w:color="auto"/>
      </w:divBdr>
    </w:div>
    <w:div w:id="73094101">
      <w:bodyDiv w:val="1"/>
      <w:marLeft w:val="0"/>
      <w:marRight w:val="0"/>
      <w:marTop w:val="0"/>
      <w:marBottom w:val="0"/>
      <w:divBdr>
        <w:top w:val="none" w:sz="0" w:space="0" w:color="auto"/>
        <w:left w:val="none" w:sz="0" w:space="0" w:color="auto"/>
        <w:bottom w:val="none" w:sz="0" w:space="0" w:color="auto"/>
        <w:right w:val="none" w:sz="0" w:space="0" w:color="auto"/>
      </w:divBdr>
      <w:divsChild>
        <w:div w:id="114568398">
          <w:marLeft w:val="360"/>
          <w:marRight w:val="0"/>
          <w:marTop w:val="200"/>
          <w:marBottom w:val="0"/>
          <w:divBdr>
            <w:top w:val="none" w:sz="0" w:space="0" w:color="auto"/>
            <w:left w:val="none" w:sz="0" w:space="0" w:color="auto"/>
            <w:bottom w:val="none" w:sz="0" w:space="0" w:color="auto"/>
            <w:right w:val="none" w:sz="0" w:space="0" w:color="auto"/>
          </w:divBdr>
        </w:div>
        <w:div w:id="300699155">
          <w:marLeft w:val="1080"/>
          <w:marRight w:val="0"/>
          <w:marTop w:val="100"/>
          <w:marBottom w:val="0"/>
          <w:divBdr>
            <w:top w:val="none" w:sz="0" w:space="0" w:color="auto"/>
            <w:left w:val="none" w:sz="0" w:space="0" w:color="auto"/>
            <w:bottom w:val="none" w:sz="0" w:space="0" w:color="auto"/>
            <w:right w:val="none" w:sz="0" w:space="0" w:color="auto"/>
          </w:divBdr>
        </w:div>
        <w:div w:id="1575701469">
          <w:marLeft w:val="108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1659305">
      <w:bodyDiv w:val="1"/>
      <w:marLeft w:val="0"/>
      <w:marRight w:val="0"/>
      <w:marTop w:val="0"/>
      <w:marBottom w:val="0"/>
      <w:divBdr>
        <w:top w:val="none" w:sz="0" w:space="0" w:color="auto"/>
        <w:left w:val="none" w:sz="0" w:space="0" w:color="auto"/>
        <w:bottom w:val="none" w:sz="0" w:space="0" w:color="auto"/>
        <w:right w:val="none" w:sz="0" w:space="0" w:color="auto"/>
      </w:divBdr>
    </w:div>
    <w:div w:id="2407179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1785593">
      <w:bodyDiv w:val="1"/>
      <w:marLeft w:val="0"/>
      <w:marRight w:val="0"/>
      <w:marTop w:val="0"/>
      <w:marBottom w:val="0"/>
      <w:divBdr>
        <w:top w:val="none" w:sz="0" w:space="0" w:color="auto"/>
        <w:left w:val="none" w:sz="0" w:space="0" w:color="auto"/>
        <w:bottom w:val="none" w:sz="0" w:space="0" w:color="auto"/>
        <w:right w:val="none" w:sz="0" w:space="0" w:color="auto"/>
      </w:divBdr>
    </w:div>
    <w:div w:id="399256482">
      <w:bodyDiv w:val="1"/>
      <w:marLeft w:val="0"/>
      <w:marRight w:val="0"/>
      <w:marTop w:val="0"/>
      <w:marBottom w:val="0"/>
      <w:divBdr>
        <w:top w:val="none" w:sz="0" w:space="0" w:color="auto"/>
        <w:left w:val="none" w:sz="0" w:space="0" w:color="auto"/>
        <w:bottom w:val="none" w:sz="0" w:space="0" w:color="auto"/>
        <w:right w:val="none" w:sz="0" w:space="0" w:color="auto"/>
      </w:divBdr>
    </w:div>
    <w:div w:id="416094951">
      <w:bodyDiv w:val="1"/>
      <w:marLeft w:val="0"/>
      <w:marRight w:val="0"/>
      <w:marTop w:val="0"/>
      <w:marBottom w:val="0"/>
      <w:divBdr>
        <w:top w:val="none" w:sz="0" w:space="0" w:color="auto"/>
        <w:left w:val="none" w:sz="0" w:space="0" w:color="auto"/>
        <w:bottom w:val="none" w:sz="0" w:space="0" w:color="auto"/>
        <w:right w:val="none" w:sz="0" w:space="0" w:color="auto"/>
      </w:divBdr>
    </w:div>
    <w:div w:id="586499167">
      <w:bodyDiv w:val="1"/>
      <w:marLeft w:val="0"/>
      <w:marRight w:val="0"/>
      <w:marTop w:val="0"/>
      <w:marBottom w:val="0"/>
      <w:divBdr>
        <w:top w:val="none" w:sz="0" w:space="0" w:color="auto"/>
        <w:left w:val="none" w:sz="0" w:space="0" w:color="auto"/>
        <w:bottom w:val="none" w:sz="0" w:space="0" w:color="auto"/>
        <w:right w:val="none" w:sz="0" w:space="0" w:color="auto"/>
      </w:divBdr>
    </w:div>
    <w:div w:id="641037971">
      <w:bodyDiv w:val="1"/>
      <w:marLeft w:val="0"/>
      <w:marRight w:val="0"/>
      <w:marTop w:val="0"/>
      <w:marBottom w:val="0"/>
      <w:divBdr>
        <w:top w:val="none" w:sz="0" w:space="0" w:color="auto"/>
        <w:left w:val="none" w:sz="0" w:space="0" w:color="auto"/>
        <w:bottom w:val="none" w:sz="0" w:space="0" w:color="auto"/>
        <w:right w:val="none" w:sz="0" w:space="0" w:color="auto"/>
      </w:divBdr>
    </w:div>
    <w:div w:id="657537613">
      <w:bodyDiv w:val="1"/>
      <w:marLeft w:val="0"/>
      <w:marRight w:val="0"/>
      <w:marTop w:val="0"/>
      <w:marBottom w:val="0"/>
      <w:divBdr>
        <w:top w:val="none" w:sz="0" w:space="0" w:color="auto"/>
        <w:left w:val="none" w:sz="0" w:space="0" w:color="auto"/>
        <w:bottom w:val="none" w:sz="0" w:space="0" w:color="auto"/>
        <w:right w:val="none" w:sz="0" w:space="0" w:color="auto"/>
      </w:divBdr>
    </w:div>
    <w:div w:id="696472263">
      <w:bodyDiv w:val="1"/>
      <w:marLeft w:val="0"/>
      <w:marRight w:val="0"/>
      <w:marTop w:val="0"/>
      <w:marBottom w:val="0"/>
      <w:divBdr>
        <w:top w:val="none" w:sz="0" w:space="0" w:color="auto"/>
        <w:left w:val="none" w:sz="0" w:space="0" w:color="auto"/>
        <w:bottom w:val="none" w:sz="0" w:space="0" w:color="auto"/>
        <w:right w:val="none" w:sz="0" w:space="0" w:color="auto"/>
      </w:divBdr>
    </w:div>
    <w:div w:id="763888895">
      <w:bodyDiv w:val="1"/>
      <w:marLeft w:val="0"/>
      <w:marRight w:val="0"/>
      <w:marTop w:val="0"/>
      <w:marBottom w:val="0"/>
      <w:divBdr>
        <w:top w:val="none" w:sz="0" w:space="0" w:color="auto"/>
        <w:left w:val="none" w:sz="0" w:space="0" w:color="auto"/>
        <w:bottom w:val="none" w:sz="0" w:space="0" w:color="auto"/>
        <w:right w:val="none" w:sz="0" w:space="0" w:color="auto"/>
      </w:divBdr>
      <w:divsChild>
        <w:div w:id="185871711">
          <w:marLeft w:val="360"/>
          <w:marRight w:val="0"/>
          <w:marTop w:val="200"/>
          <w:marBottom w:val="0"/>
          <w:divBdr>
            <w:top w:val="none" w:sz="0" w:space="0" w:color="auto"/>
            <w:left w:val="none" w:sz="0" w:space="0" w:color="auto"/>
            <w:bottom w:val="none" w:sz="0" w:space="0" w:color="auto"/>
            <w:right w:val="none" w:sz="0" w:space="0" w:color="auto"/>
          </w:divBdr>
        </w:div>
      </w:divsChild>
    </w:div>
    <w:div w:id="792404057">
      <w:bodyDiv w:val="1"/>
      <w:marLeft w:val="0"/>
      <w:marRight w:val="0"/>
      <w:marTop w:val="0"/>
      <w:marBottom w:val="0"/>
      <w:divBdr>
        <w:top w:val="none" w:sz="0" w:space="0" w:color="auto"/>
        <w:left w:val="none" w:sz="0" w:space="0" w:color="auto"/>
        <w:bottom w:val="none" w:sz="0" w:space="0" w:color="auto"/>
        <w:right w:val="none" w:sz="0" w:space="0" w:color="auto"/>
      </w:divBdr>
    </w:div>
    <w:div w:id="879515791">
      <w:bodyDiv w:val="1"/>
      <w:marLeft w:val="0"/>
      <w:marRight w:val="0"/>
      <w:marTop w:val="0"/>
      <w:marBottom w:val="0"/>
      <w:divBdr>
        <w:top w:val="none" w:sz="0" w:space="0" w:color="auto"/>
        <w:left w:val="none" w:sz="0" w:space="0" w:color="auto"/>
        <w:bottom w:val="none" w:sz="0" w:space="0" w:color="auto"/>
        <w:right w:val="none" w:sz="0" w:space="0" w:color="auto"/>
      </w:divBdr>
    </w:div>
    <w:div w:id="917641200">
      <w:bodyDiv w:val="1"/>
      <w:marLeft w:val="0"/>
      <w:marRight w:val="0"/>
      <w:marTop w:val="0"/>
      <w:marBottom w:val="0"/>
      <w:divBdr>
        <w:top w:val="none" w:sz="0" w:space="0" w:color="auto"/>
        <w:left w:val="none" w:sz="0" w:space="0" w:color="auto"/>
        <w:bottom w:val="none" w:sz="0" w:space="0" w:color="auto"/>
        <w:right w:val="none" w:sz="0" w:space="0" w:color="auto"/>
      </w:divBdr>
    </w:div>
    <w:div w:id="985477464">
      <w:bodyDiv w:val="1"/>
      <w:marLeft w:val="0"/>
      <w:marRight w:val="0"/>
      <w:marTop w:val="0"/>
      <w:marBottom w:val="0"/>
      <w:divBdr>
        <w:top w:val="none" w:sz="0" w:space="0" w:color="auto"/>
        <w:left w:val="none" w:sz="0" w:space="0" w:color="auto"/>
        <w:bottom w:val="none" w:sz="0" w:space="0" w:color="auto"/>
        <w:right w:val="none" w:sz="0" w:space="0" w:color="auto"/>
      </w:divBdr>
    </w:div>
    <w:div w:id="1015300592">
      <w:bodyDiv w:val="1"/>
      <w:marLeft w:val="0"/>
      <w:marRight w:val="0"/>
      <w:marTop w:val="0"/>
      <w:marBottom w:val="0"/>
      <w:divBdr>
        <w:top w:val="none" w:sz="0" w:space="0" w:color="auto"/>
        <w:left w:val="none" w:sz="0" w:space="0" w:color="auto"/>
        <w:bottom w:val="none" w:sz="0" w:space="0" w:color="auto"/>
        <w:right w:val="none" w:sz="0" w:space="0" w:color="auto"/>
      </w:divBdr>
      <w:divsChild>
        <w:div w:id="1038318605">
          <w:marLeft w:val="360"/>
          <w:marRight w:val="0"/>
          <w:marTop w:val="200"/>
          <w:marBottom w:val="0"/>
          <w:divBdr>
            <w:top w:val="none" w:sz="0" w:space="0" w:color="auto"/>
            <w:left w:val="none" w:sz="0" w:space="0" w:color="auto"/>
            <w:bottom w:val="none" w:sz="0" w:space="0" w:color="auto"/>
            <w:right w:val="none" w:sz="0" w:space="0" w:color="auto"/>
          </w:divBdr>
        </w:div>
      </w:divsChild>
    </w:div>
    <w:div w:id="111340386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01451">
      <w:bodyDiv w:val="1"/>
      <w:marLeft w:val="0"/>
      <w:marRight w:val="0"/>
      <w:marTop w:val="0"/>
      <w:marBottom w:val="0"/>
      <w:divBdr>
        <w:top w:val="none" w:sz="0" w:space="0" w:color="auto"/>
        <w:left w:val="none" w:sz="0" w:space="0" w:color="auto"/>
        <w:bottom w:val="none" w:sz="0" w:space="0" w:color="auto"/>
        <w:right w:val="none" w:sz="0" w:space="0" w:color="auto"/>
      </w:divBdr>
    </w:div>
    <w:div w:id="1281717724">
      <w:bodyDiv w:val="1"/>
      <w:marLeft w:val="0"/>
      <w:marRight w:val="0"/>
      <w:marTop w:val="0"/>
      <w:marBottom w:val="0"/>
      <w:divBdr>
        <w:top w:val="none" w:sz="0" w:space="0" w:color="auto"/>
        <w:left w:val="none" w:sz="0" w:space="0" w:color="auto"/>
        <w:bottom w:val="none" w:sz="0" w:space="0" w:color="auto"/>
        <w:right w:val="none" w:sz="0" w:space="0" w:color="auto"/>
      </w:divBdr>
    </w:div>
    <w:div w:id="1353992027">
      <w:bodyDiv w:val="1"/>
      <w:marLeft w:val="0"/>
      <w:marRight w:val="0"/>
      <w:marTop w:val="0"/>
      <w:marBottom w:val="0"/>
      <w:divBdr>
        <w:top w:val="none" w:sz="0" w:space="0" w:color="auto"/>
        <w:left w:val="none" w:sz="0" w:space="0" w:color="auto"/>
        <w:bottom w:val="none" w:sz="0" w:space="0" w:color="auto"/>
        <w:right w:val="none" w:sz="0" w:space="0" w:color="auto"/>
      </w:divBdr>
      <w:divsChild>
        <w:div w:id="456263129">
          <w:marLeft w:val="360"/>
          <w:marRight w:val="0"/>
          <w:marTop w:val="200"/>
          <w:marBottom w:val="0"/>
          <w:divBdr>
            <w:top w:val="none" w:sz="0" w:space="0" w:color="auto"/>
            <w:left w:val="none" w:sz="0" w:space="0" w:color="auto"/>
            <w:bottom w:val="none" w:sz="0" w:space="0" w:color="auto"/>
            <w:right w:val="none" w:sz="0" w:space="0" w:color="auto"/>
          </w:divBdr>
        </w:div>
      </w:divsChild>
    </w:div>
    <w:div w:id="1366171555">
      <w:bodyDiv w:val="1"/>
      <w:marLeft w:val="0"/>
      <w:marRight w:val="0"/>
      <w:marTop w:val="0"/>
      <w:marBottom w:val="0"/>
      <w:divBdr>
        <w:top w:val="none" w:sz="0" w:space="0" w:color="auto"/>
        <w:left w:val="none" w:sz="0" w:space="0" w:color="auto"/>
        <w:bottom w:val="none" w:sz="0" w:space="0" w:color="auto"/>
        <w:right w:val="none" w:sz="0" w:space="0" w:color="auto"/>
      </w:divBdr>
    </w:div>
    <w:div w:id="1366717417">
      <w:bodyDiv w:val="1"/>
      <w:marLeft w:val="0"/>
      <w:marRight w:val="0"/>
      <w:marTop w:val="0"/>
      <w:marBottom w:val="0"/>
      <w:divBdr>
        <w:top w:val="none" w:sz="0" w:space="0" w:color="auto"/>
        <w:left w:val="none" w:sz="0" w:space="0" w:color="auto"/>
        <w:bottom w:val="none" w:sz="0" w:space="0" w:color="auto"/>
        <w:right w:val="none" w:sz="0" w:space="0" w:color="auto"/>
      </w:divBdr>
    </w:div>
    <w:div w:id="1414013671">
      <w:bodyDiv w:val="1"/>
      <w:marLeft w:val="0"/>
      <w:marRight w:val="0"/>
      <w:marTop w:val="0"/>
      <w:marBottom w:val="0"/>
      <w:divBdr>
        <w:top w:val="none" w:sz="0" w:space="0" w:color="auto"/>
        <w:left w:val="none" w:sz="0" w:space="0" w:color="auto"/>
        <w:bottom w:val="none" w:sz="0" w:space="0" w:color="auto"/>
        <w:right w:val="none" w:sz="0" w:space="0" w:color="auto"/>
      </w:divBdr>
    </w:div>
    <w:div w:id="1445076298">
      <w:bodyDiv w:val="1"/>
      <w:marLeft w:val="0"/>
      <w:marRight w:val="0"/>
      <w:marTop w:val="0"/>
      <w:marBottom w:val="0"/>
      <w:divBdr>
        <w:top w:val="none" w:sz="0" w:space="0" w:color="auto"/>
        <w:left w:val="none" w:sz="0" w:space="0" w:color="auto"/>
        <w:bottom w:val="none" w:sz="0" w:space="0" w:color="auto"/>
        <w:right w:val="none" w:sz="0" w:space="0" w:color="auto"/>
      </w:divBdr>
    </w:div>
    <w:div w:id="1474178761">
      <w:bodyDiv w:val="1"/>
      <w:marLeft w:val="0"/>
      <w:marRight w:val="0"/>
      <w:marTop w:val="0"/>
      <w:marBottom w:val="0"/>
      <w:divBdr>
        <w:top w:val="none" w:sz="0" w:space="0" w:color="auto"/>
        <w:left w:val="none" w:sz="0" w:space="0" w:color="auto"/>
        <w:bottom w:val="none" w:sz="0" w:space="0" w:color="auto"/>
        <w:right w:val="none" w:sz="0" w:space="0" w:color="auto"/>
      </w:divBdr>
    </w:div>
    <w:div w:id="1507133358">
      <w:bodyDiv w:val="1"/>
      <w:marLeft w:val="0"/>
      <w:marRight w:val="0"/>
      <w:marTop w:val="0"/>
      <w:marBottom w:val="0"/>
      <w:divBdr>
        <w:top w:val="none" w:sz="0" w:space="0" w:color="auto"/>
        <w:left w:val="none" w:sz="0" w:space="0" w:color="auto"/>
        <w:bottom w:val="none" w:sz="0" w:space="0" w:color="auto"/>
        <w:right w:val="none" w:sz="0" w:space="0" w:color="auto"/>
      </w:divBdr>
    </w:div>
    <w:div w:id="1530751521">
      <w:bodyDiv w:val="1"/>
      <w:marLeft w:val="0"/>
      <w:marRight w:val="0"/>
      <w:marTop w:val="0"/>
      <w:marBottom w:val="0"/>
      <w:divBdr>
        <w:top w:val="none" w:sz="0" w:space="0" w:color="auto"/>
        <w:left w:val="none" w:sz="0" w:space="0" w:color="auto"/>
        <w:bottom w:val="none" w:sz="0" w:space="0" w:color="auto"/>
        <w:right w:val="none" w:sz="0" w:space="0" w:color="auto"/>
      </w:divBdr>
      <w:divsChild>
        <w:div w:id="247278604">
          <w:marLeft w:val="360"/>
          <w:marRight w:val="0"/>
          <w:marTop w:val="200"/>
          <w:marBottom w:val="0"/>
          <w:divBdr>
            <w:top w:val="none" w:sz="0" w:space="0" w:color="auto"/>
            <w:left w:val="none" w:sz="0" w:space="0" w:color="auto"/>
            <w:bottom w:val="none" w:sz="0" w:space="0" w:color="auto"/>
            <w:right w:val="none" w:sz="0" w:space="0" w:color="auto"/>
          </w:divBdr>
        </w:div>
      </w:divsChild>
    </w:div>
    <w:div w:id="1552426877">
      <w:bodyDiv w:val="1"/>
      <w:marLeft w:val="0"/>
      <w:marRight w:val="0"/>
      <w:marTop w:val="0"/>
      <w:marBottom w:val="0"/>
      <w:divBdr>
        <w:top w:val="none" w:sz="0" w:space="0" w:color="auto"/>
        <w:left w:val="none" w:sz="0" w:space="0" w:color="auto"/>
        <w:bottom w:val="none" w:sz="0" w:space="0" w:color="auto"/>
        <w:right w:val="none" w:sz="0" w:space="0" w:color="auto"/>
      </w:divBdr>
    </w:div>
    <w:div w:id="1568998147">
      <w:bodyDiv w:val="1"/>
      <w:marLeft w:val="0"/>
      <w:marRight w:val="0"/>
      <w:marTop w:val="0"/>
      <w:marBottom w:val="0"/>
      <w:divBdr>
        <w:top w:val="none" w:sz="0" w:space="0" w:color="auto"/>
        <w:left w:val="none" w:sz="0" w:space="0" w:color="auto"/>
        <w:bottom w:val="none" w:sz="0" w:space="0" w:color="auto"/>
        <w:right w:val="none" w:sz="0" w:space="0" w:color="auto"/>
      </w:divBdr>
    </w:div>
    <w:div w:id="1577469803">
      <w:bodyDiv w:val="1"/>
      <w:marLeft w:val="0"/>
      <w:marRight w:val="0"/>
      <w:marTop w:val="0"/>
      <w:marBottom w:val="0"/>
      <w:divBdr>
        <w:top w:val="none" w:sz="0" w:space="0" w:color="auto"/>
        <w:left w:val="none" w:sz="0" w:space="0" w:color="auto"/>
        <w:bottom w:val="none" w:sz="0" w:space="0" w:color="auto"/>
        <w:right w:val="none" w:sz="0" w:space="0" w:color="auto"/>
      </w:divBdr>
    </w:div>
    <w:div w:id="1625846723">
      <w:bodyDiv w:val="1"/>
      <w:marLeft w:val="0"/>
      <w:marRight w:val="0"/>
      <w:marTop w:val="0"/>
      <w:marBottom w:val="0"/>
      <w:divBdr>
        <w:top w:val="none" w:sz="0" w:space="0" w:color="auto"/>
        <w:left w:val="none" w:sz="0" w:space="0" w:color="auto"/>
        <w:bottom w:val="none" w:sz="0" w:space="0" w:color="auto"/>
        <w:right w:val="none" w:sz="0" w:space="0" w:color="auto"/>
      </w:divBdr>
    </w:div>
    <w:div w:id="1680889733">
      <w:bodyDiv w:val="1"/>
      <w:marLeft w:val="0"/>
      <w:marRight w:val="0"/>
      <w:marTop w:val="0"/>
      <w:marBottom w:val="0"/>
      <w:divBdr>
        <w:top w:val="none" w:sz="0" w:space="0" w:color="auto"/>
        <w:left w:val="none" w:sz="0" w:space="0" w:color="auto"/>
        <w:bottom w:val="none" w:sz="0" w:space="0" w:color="auto"/>
        <w:right w:val="none" w:sz="0" w:space="0" w:color="auto"/>
      </w:divBdr>
    </w:div>
    <w:div w:id="1720084545">
      <w:bodyDiv w:val="1"/>
      <w:marLeft w:val="0"/>
      <w:marRight w:val="0"/>
      <w:marTop w:val="0"/>
      <w:marBottom w:val="0"/>
      <w:divBdr>
        <w:top w:val="none" w:sz="0" w:space="0" w:color="auto"/>
        <w:left w:val="none" w:sz="0" w:space="0" w:color="auto"/>
        <w:bottom w:val="none" w:sz="0" w:space="0" w:color="auto"/>
        <w:right w:val="none" w:sz="0" w:space="0" w:color="auto"/>
      </w:divBdr>
    </w:div>
    <w:div w:id="1765029511">
      <w:bodyDiv w:val="1"/>
      <w:marLeft w:val="0"/>
      <w:marRight w:val="0"/>
      <w:marTop w:val="0"/>
      <w:marBottom w:val="0"/>
      <w:divBdr>
        <w:top w:val="none" w:sz="0" w:space="0" w:color="auto"/>
        <w:left w:val="none" w:sz="0" w:space="0" w:color="auto"/>
        <w:bottom w:val="none" w:sz="0" w:space="0" w:color="auto"/>
        <w:right w:val="none" w:sz="0" w:space="0" w:color="auto"/>
      </w:divBdr>
    </w:div>
    <w:div w:id="1812794164">
      <w:bodyDiv w:val="1"/>
      <w:marLeft w:val="0"/>
      <w:marRight w:val="0"/>
      <w:marTop w:val="0"/>
      <w:marBottom w:val="0"/>
      <w:divBdr>
        <w:top w:val="none" w:sz="0" w:space="0" w:color="auto"/>
        <w:left w:val="none" w:sz="0" w:space="0" w:color="auto"/>
        <w:bottom w:val="none" w:sz="0" w:space="0" w:color="auto"/>
        <w:right w:val="none" w:sz="0" w:space="0" w:color="auto"/>
      </w:divBdr>
    </w:div>
    <w:div w:id="1885749100">
      <w:bodyDiv w:val="1"/>
      <w:marLeft w:val="0"/>
      <w:marRight w:val="0"/>
      <w:marTop w:val="0"/>
      <w:marBottom w:val="0"/>
      <w:divBdr>
        <w:top w:val="none" w:sz="0" w:space="0" w:color="auto"/>
        <w:left w:val="none" w:sz="0" w:space="0" w:color="auto"/>
        <w:bottom w:val="none" w:sz="0" w:space="0" w:color="auto"/>
        <w:right w:val="none" w:sz="0" w:space="0" w:color="auto"/>
      </w:divBdr>
    </w:div>
    <w:div w:id="193351377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3311337">
      <w:bodyDiv w:val="1"/>
      <w:marLeft w:val="0"/>
      <w:marRight w:val="0"/>
      <w:marTop w:val="0"/>
      <w:marBottom w:val="0"/>
      <w:divBdr>
        <w:top w:val="none" w:sz="0" w:space="0" w:color="auto"/>
        <w:left w:val="none" w:sz="0" w:space="0" w:color="auto"/>
        <w:bottom w:val="none" w:sz="0" w:space="0" w:color="auto"/>
        <w:right w:val="none" w:sz="0" w:space="0" w:color="auto"/>
      </w:divBdr>
    </w:div>
    <w:div w:id="2032876133">
      <w:bodyDiv w:val="1"/>
      <w:marLeft w:val="0"/>
      <w:marRight w:val="0"/>
      <w:marTop w:val="0"/>
      <w:marBottom w:val="0"/>
      <w:divBdr>
        <w:top w:val="none" w:sz="0" w:space="0" w:color="auto"/>
        <w:left w:val="none" w:sz="0" w:space="0" w:color="auto"/>
        <w:bottom w:val="none" w:sz="0" w:space="0" w:color="auto"/>
        <w:right w:val="none" w:sz="0" w:space="0" w:color="auto"/>
      </w:divBdr>
    </w:div>
    <w:div w:id="20351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drugs/resources-information-approved-drugs/fda-approves-asciminib-philadelphia-chromosome-positive-chronic-myeloid-leukemia" TargetMode="External"/><Relationship Id="rId1" Type="http://schemas.openxmlformats.org/officeDocument/2006/relationships/hyperlink" Target="https://www.aihw.gov.au/reports/cancer/cancer-data-in-australia/contents/cancer-incidence-by-age-visu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3990-5B57-4C1A-B909-0465D8F9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18634</Words>
  <Characters>106216</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2022-10-24T00:55:00Z</dcterms:created>
  <dcterms:modified xsi:type="dcterms:W3CDTF">2022-10-24T00:55:00Z</dcterms:modified>
</cp:coreProperties>
</file>