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D83D6" w14:textId="1CB35F8F" w:rsidR="005008A6" w:rsidRDefault="005E3C48" w:rsidP="007A5C88">
      <w:pPr>
        <w:pStyle w:val="1MainTitle"/>
        <w:jc w:val="left"/>
      </w:pPr>
      <w:r>
        <w:t>5.17</w:t>
      </w:r>
      <w:r w:rsidR="00872E8F">
        <w:tab/>
      </w:r>
      <w:r>
        <w:t>Adalimumab</w:t>
      </w:r>
      <w:r w:rsidR="00724A91">
        <w:t>,</w:t>
      </w:r>
      <w:r w:rsidR="00737424">
        <w:t xml:space="preserve"> </w:t>
      </w:r>
      <w:r w:rsidR="00872E8F">
        <w:br/>
      </w:r>
      <w:r w:rsidR="005008A6">
        <w:t>Injection 40 mg in 0.4 mL pre-filled pen</w:t>
      </w:r>
      <w:r w:rsidR="00724A91">
        <w:t>,</w:t>
      </w:r>
    </w:p>
    <w:p w14:paraId="181DB627" w14:textId="1A34B77E" w:rsidR="00872E8F" w:rsidRPr="007A5C88" w:rsidRDefault="005008A6" w:rsidP="00127D83">
      <w:pPr>
        <w:pStyle w:val="1MainTitle"/>
        <w:ind w:firstLine="0"/>
        <w:jc w:val="left"/>
        <w:outlineLvl w:val="9"/>
      </w:pPr>
      <w:r>
        <w:t>Injection 40 mg in 0.4 mL pre-filled syringe</w:t>
      </w:r>
      <w:r w:rsidR="00724A91">
        <w:t>,</w:t>
      </w:r>
      <w:r>
        <w:t xml:space="preserve"> </w:t>
      </w:r>
      <w:r w:rsidR="00872E8F">
        <w:br/>
      </w:r>
      <w:r w:rsidR="005E3C48">
        <w:t>Yuflyma</w:t>
      </w:r>
      <w:r w:rsidR="70971A32">
        <w:t>®,</w:t>
      </w:r>
      <w:r w:rsidR="00872E8F">
        <w:br/>
      </w:r>
      <w:r w:rsidR="005E3C48" w:rsidRPr="005E3C48">
        <w:t>Celltrion Healthcare Australia Pty Ltd</w:t>
      </w:r>
    </w:p>
    <w:p w14:paraId="5F4D54C1" w14:textId="13B310E9" w:rsidR="00E11F44" w:rsidRPr="00E11F44" w:rsidRDefault="007E490F" w:rsidP="00CD6257">
      <w:pPr>
        <w:pStyle w:val="2-SectionHeading"/>
        <w:rPr>
          <w:rFonts w:cstheme="minorHAnsi"/>
          <w:color w:val="FF0000"/>
        </w:rPr>
      </w:pPr>
      <w:r w:rsidRPr="0033263D">
        <w:t xml:space="preserve">Purpose of </w:t>
      </w:r>
      <w:r w:rsidR="00FA0B04">
        <w:t>Submission</w:t>
      </w:r>
      <w:r>
        <w:t xml:space="preserve"> </w:t>
      </w:r>
    </w:p>
    <w:p w14:paraId="50FAB4A3" w14:textId="46AEB742" w:rsidR="007E490F" w:rsidRPr="00A91B2F" w:rsidRDefault="006C6C10" w:rsidP="006C6480">
      <w:pPr>
        <w:pStyle w:val="3Bodytext"/>
        <w:spacing w:after="0"/>
        <w:jc w:val="both"/>
      </w:pPr>
      <w:r w:rsidRPr="00570C89">
        <w:t xml:space="preserve">The </w:t>
      </w:r>
      <w:r w:rsidRPr="00CC6AA7">
        <w:t xml:space="preserve">Category </w:t>
      </w:r>
      <w:r w:rsidR="00737424" w:rsidRPr="00CC6AA7">
        <w:t xml:space="preserve">3 </w:t>
      </w:r>
      <w:r w:rsidRPr="00570C89">
        <w:t xml:space="preserve">submission </w:t>
      </w:r>
      <w:r w:rsidR="0023466E" w:rsidRPr="00570C89">
        <w:t>sought</w:t>
      </w:r>
      <w:r w:rsidRPr="00570C89">
        <w:t xml:space="preserve"> </w:t>
      </w:r>
      <w:r w:rsidR="00724A91" w:rsidRPr="007E13FF">
        <w:t xml:space="preserve">Section 85 and Section 100 Highly Specialised Program </w:t>
      </w:r>
      <w:r w:rsidR="00724A91">
        <w:t>(</w:t>
      </w:r>
      <w:r w:rsidR="00724A91" w:rsidRPr="007E13FF">
        <w:t xml:space="preserve">HSD) listings of </w:t>
      </w:r>
      <w:r w:rsidR="00E11F44" w:rsidRPr="00570C89">
        <w:t xml:space="preserve">a new biosimilar </w:t>
      </w:r>
      <w:r w:rsidR="00724A91">
        <w:t>brand of</w:t>
      </w:r>
      <w:r w:rsidR="00724A91" w:rsidRPr="00570C89">
        <w:t xml:space="preserve"> </w:t>
      </w:r>
      <w:r w:rsidR="00737424" w:rsidRPr="00570C89">
        <w:t>adalimumab</w:t>
      </w:r>
      <w:r w:rsidR="009757E3">
        <w:t xml:space="preserve"> (Yuflyma</w:t>
      </w:r>
      <w:r w:rsidR="009757E3" w:rsidRPr="009757E3">
        <w:t>®</w:t>
      </w:r>
      <w:r w:rsidR="009757E3">
        <w:t>)</w:t>
      </w:r>
      <w:r w:rsidR="00737424" w:rsidRPr="00570C89">
        <w:t xml:space="preserve"> </w:t>
      </w:r>
      <w:r w:rsidR="00450B97">
        <w:t>40 </w:t>
      </w:r>
      <w:r w:rsidR="00932C17">
        <w:t xml:space="preserve">mg </w:t>
      </w:r>
      <w:r w:rsidR="00932C17" w:rsidRPr="007E13FF">
        <w:t xml:space="preserve">in </w:t>
      </w:r>
      <w:r w:rsidR="005156C1">
        <w:t xml:space="preserve">the forms of </w:t>
      </w:r>
      <w:r w:rsidR="00932C17" w:rsidRPr="007E13FF">
        <w:t>0.</w:t>
      </w:r>
      <w:r w:rsidR="00932C17">
        <w:t>4</w:t>
      </w:r>
      <w:r w:rsidR="00450B97">
        <w:t> </w:t>
      </w:r>
      <w:r w:rsidR="00932C17" w:rsidRPr="007E13FF">
        <w:t>mL</w:t>
      </w:r>
      <w:r w:rsidR="00932C17">
        <w:t xml:space="preserve"> </w:t>
      </w:r>
      <w:r w:rsidR="00737424" w:rsidRPr="00570C89">
        <w:t>solution for injection in pre-filled pen (</w:t>
      </w:r>
      <w:r w:rsidR="005008A6">
        <w:t>PFP</w:t>
      </w:r>
      <w:r w:rsidR="00737424" w:rsidRPr="00570C89">
        <w:t xml:space="preserve">) and pre-filled syringe (PFS) presentations </w:t>
      </w:r>
      <w:r w:rsidR="00C92F79" w:rsidRPr="00570C89">
        <w:t xml:space="preserve">under </w:t>
      </w:r>
      <w:r w:rsidR="00E11F44" w:rsidRPr="00570C89">
        <w:t xml:space="preserve">the same </w:t>
      </w:r>
      <w:r w:rsidR="00C92F79" w:rsidRPr="00570C89">
        <w:t xml:space="preserve">circumstances </w:t>
      </w:r>
      <w:r w:rsidR="00E11F44" w:rsidRPr="00570C89">
        <w:t xml:space="preserve">as </w:t>
      </w:r>
      <w:r w:rsidR="00C92F79" w:rsidRPr="00570C89">
        <w:t>the</w:t>
      </w:r>
      <w:r w:rsidR="00E11F44" w:rsidRPr="00570C89">
        <w:t xml:space="preserve"> PBS-listed reference biologic </w:t>
      </w:r>
      <w:r w:rsidR="00737424" w:rsidRPr="00932C17">
        <w:t>Humira</w:t>
      </w:r>
      <w:r w:rsidR="005156C1" w:rsidRPr="005156C1">
        <w:t>®</w:t>
      </w:r>
      <w:r w:rsidR="00724A91">
        <w:t>.</w:t>
      </w:r>
      <w:r w:rsidR="00E11F44" w:rsidRPr="00570C89">
        <w:t xml:space="preserve"> </w:t>
      </w:r>
    </w:p>
    <w:p w14:paraId="3D1D4320" w14:textId="77777777" w:rsidR="007E490F" w:rsidRPr="00FD6D8E" w:rsidRDefault="007E490F" w:rsidP="001F2311">
      <w:pPr>
        <w:pStyle w:val="2-SectionHeading"/>
        <w:numPr>
          <w:ilvl w:val="0"/>
          <w:numId w:val="2"/>
        </w:numPr>
      </w:pPr>
      <w:r w:rsidRPr="009E2E8E">
        <w:t>Background</w:t>
      </w:r>
      <w:r>
        <w:t xml:space="preserve"> </w:t>
      </w:r>
    </w:p>
    <w:p w14:paraId="6E21D6F2" w14:textId="69D8610C" w:rsidR="005276D6" w:rsidRDefault="005276D6" w:rsidP="00932C17">
      <w:pPr>
        <w:pStyle w:val="4-SubsectionHeading"/>
      </w:pPr>
      <w:r>
        <w:t>Registration status</w:t>
      </w:r>
    </w:p>
    <w:p w14:paraId="196FAD9C" w14:textId="3026BBBB" w:rsidR="001F2311" w:rsidRPr="00932C17" w:rsidRDefault="00E6783C" w:rsidP="006C6480">
      <w:pPr>
        <w:pStyle w:val="3Bodytext"/>
        <w:spacing w:after="240"/>
        <w:jc w:val="both"/>
      </w:pPr>
      <w:r w:rsidRPr="00932C17">
        <w:t>Yuflyma was registered</w:t>
      </w:r>
      <w:r w:rsidR="005A5D17">
        <w:t xml:space="preserve"> with the Therapeutic Goods Administration (TGA)</w:t>
      </w:r>
      <w:r w:rsidRPr="00932C17">
        <w:t xml:space="preserve"> on </w:t>
      </w:r>
      <w:r w:rsidR="005276D6" w:rsidRPr="00932C17">
        <w:t>25</w:t>
      </w:r>
      <w:r w:rsidR="002C3572">
        <w:t> </w:t>
      </w:r>
      <w:r w:rsidR="005276D6" w:rsidRPr="00932C17">
        <w:t xml:space="preserve">March </w:t>
      </w:r>
      <w:r w:rsidRPr="00932C17">
        <w:t>202</w:t>
      </w:r>
      <w:r w:rsidR="005276D6" w:rsidRPr="00932C17">
        <w:t>2</w:t>
      </w:r>
      <w:r w:rsidRPr="00932C17">
        <w:t xml:space="preserve"> and was determined to be a biosimilar to</w:t>
      </w:r>
      <w:r w:rsidR="005276D6" w:rsidRPr="00932C17">
        <w:t xml:space="preserve"> </w:t>
      </w:r>
      <w:r w:rsidRPr="00932C17">
        <w:t xml:space="preserve">the reference brand Humira. </w:t>
      </w:r>
      <w:r w:rsidR="005276D6" w:rsidRPr="00932C17">
        <w:t>Yuflyma</w:t>
      </w:r>
      <w:r w:rsidRPr="00932C17">
        <w:t xml:space="preserve"> 40</w:t>
      </w:r>
      <w:r w:rsidR="00450B97">
        <w:t> </w:t>
      </w:r>
      <w:r w:rsidRPr="00932C17">
        <w:t>mg has the same indications as Humira 40</w:t>
      </w:r>
      <w:r w:rsidR="00AC3825">
        <w:t> </w:t>
      </w:r>
      <w:r w:rsidRPr="00932C17">
        <w:t xml:space="preserve">mg. </w:t>
      </w:r>
    </w:p>
    <w:p w14:paraId="0094486E" w14:textId="77777777" w:rsidR="007E490F" w:rsidRDefault="007E490F" w:rsidP="007E490F">
      <w:pPr>
        <w:pStyle w:val="4-SubsectionHeading"/>
      </w:pPr>
      <w:r w:rsidRPr="0012749D">
        <w:t xml:space="preserve">Previous PBAC consideration </w:t>
      </w:r>
    </w:p>
    <w:p w14:paraId="56C938A2" w14:textId="509DC94D" w:rsidR="007E490F" w:rsidRDefault="005276D6" w:rsidP="006C6480">
      <w:pPr>
        <w:pStyle w:val="3Bodytext"/>
        <w:spacing w:after="240"/>
      </w:pPr>
      <w:r w:rsidRPr="00570C89">
        <w:rPr>
          <w:iCs/>
        </w:rPr>
        <w:t>Yuflyma</w:t>
      </w:r>
      <w:r w:rsidRPr="00530510">
        <w:t xml:space="preserve"> </w:t>
      </w:r>
      <w:r w:rsidR="007E490F" w:rsidRPr="00657C63">
        <w:t xml:space="preserve">has not </w:t>
      </w:r>
      <w:r w:rsidRPr="00657C63">
        <w:t xml:space="preserve">previously </w:t>
      </w:r>
      <w:r w:rsidR="007E490F" w:rsidRPr="00657C63">
        <w:t>been considered by the PBAC.</w:t>
      </w:r>
    </w:p>
    <w:p w14:paraId="61D8A651" w14:textId="77777777" w:rsidR="005276D6" w:rsidRDefault="005276D6" w:rsidP="00932C17">
      <w:pPr>
        <w:pStyle w:val="4-SubsectionHeading"/>
      </w:pPr>
      <w:r>
        <w:t>Current status</w:t>
      </w:r>
    </w:p>
    <w:p w14:paraId="3D3B51D9" w14:textId="58FCD058" w:rsidR="005276D6" w:rsidRDefault="005276D6" w:rsidP="000F4301">
      <w:pPr>
        <w:pStyle w:val="3Bodytext"/>
        <w:jc w:val="both"/>
      </w:pPr>
      <w:r w:rsidRPr="00570C89">
        <w:t xml:space="preserve">Humira </w:t>
      </w:r>
      <w:r w:rsidR="00AC3825">
        <w:t xml:space="preserve">the reference biologic </w:t>
      </w:r>
      <w:r w:rsidRPr="00570C89">
        <w:t>and the Amgevita</w:t>
      </w:r>
      <w:r w:rsidR="001758B6">
        <w:t>®</w:t>
      </w:r>
      <w:r w:rsidRPr="00570C89">
        <w:t>, Hadlima</w:t>
      </w:r>
      <w:r w:rsidR="001758B6">
        <w:t>®</w:t>
      </w:r>
      <w:r w:rsidRPr="00570C89">
        <w:t>, Hyrimoz</w:t>
      </w:r>
      <w:r w:rsidR="001758B6">
        <w:t>®</w:t>
      </w:r>
      <w:r w:rsidRPr="00570C89">
        <w:t xml:space="preserve"> and Idacio</w:t>
      </w:r>
      <w:r w:rsidR="001758B6">
        <w:t>®</w:t>
      </w:r>
      <w:r w:rsidR="0036344A">
        <w:t xml:space="preserve"> biosimilar brands of adalimuab</w:t>
      </w:r>
      <w:r w:rsidRPr="00570C89">
        <w:t xml:space="preserve"> are listed on the PBS.</w:t>
      </w:r>
    </w:p>
    <w:p w14:paraId="2D420FFE" w14:textId="087BC40B" w:rsidR="00932C17" w:rsidRDefault="00A91B2F" w:rsidP="000F4301">
      <w:pPr>
        <w:pStyle w:val="3Bodytext"/>
        <w:jc w:val="both"/>
      </w:pPr>
      <w:r>
        <w:t xml:space="preserve">If listed, Yuflyma will be the first </w:t>
      </w:r>
      <w:r w:rsidR="00306444">
        <w:t xml:space="preserve">PBS-listed </w:t>
      </w:r>
      <w:r w:rsidR="00932C17">
        <w:t xml:space="preserve">biosimilar brand </w:t>
      </w:r>
      <w:r>
        <w:t>of adalimumab in the</w:t>
      </w:r>
      <w:r w:rsidR="00932C17">
        <w:t xml:space="preserve"> </w:t>
      </w:r>
      <w:r w:rsidR="00347E24">
        <w:t>40</w:t>
      </w:r>
      <w:r w:rsidR="00306444">
        <w:t> </w:t>
      </w:r>
      <w:r w:rsidR="00347E24">
        <w:t xml:space="preserve">mg </w:t>
      </w:r>
      <w:r w:rsidR="00347E24" w:rsidRPr="007E13FF">
        <w:t>in 0.</w:t>
      </w:r>
      <w:r w:rsidR="00347E24">
        <w:t>4</w:t>
      </w:r>
      <w:r w:rsidR="00450B97">
        <w:t> </w:t>
      </w:r>
      <w:r w:rsidR="00347E24" w:rsidRPr="007E13FF">
        <w:t>mL</w:t>
      </w:r>
      <w:r w:rsidR="00347E24">
        <w:t xml:space="preserve"> </w:t>
      </w:r>
      <w:r w:rsidR="00AC3825">
        <w:t>presentation</w:t>
      </w:r>
      <w:r w:rsidR="00932C17">
        <w:t>.</w:t>
      </w:r>
      <w:r w:rsidR="00AB1A22">
        <w:t xml:space="preserve"> </w:t>
      </w:r>
      <w:r w:rsidR="00AB1A22" w:rsidRPr="00570C89">
        <w:t xml:space="preserve">Amgevita, Hadlima, Hyrimoz and Idacio are </w:t>
      </w:r>
      <w:r w:rsidR="00AB1A22">
        <w:t>PBS-</w:t>
      </w:r>
      <w:r w:rsidR="00AB1A22" w:rsidRPr="00570C89">
        <w:t xml:space="preserve">listed </w:t>
      </w:r>
      <w:r w:rsidR="00AB1A22">
        <w:t>in the 40 mg in 0.8</w:t>
      </w:r>
      <w:r w:rsidR="00450B97">
        <w:t> </w:t>
      </w:r>
      <w:r w:rsidR="00AB1A22">
        <w:t>mL presentation.</w:t>
      </w:r>
    </w:p>
    <w:p w14:paraId="552972E7" w14:textId="0F1C89E1" w:rsidR="00351FA4" w:rsidRPr="000F4301" w:rsidRDefault="00351FA4" w:rsidP="000F4301">
      <w:pPr>
        <w:pStyle w:val="3Bodytext"/>
        <w:numPr>
          <w:ilvl w:val="0"/>
          <w:numId w:val="0"/>
        </w:numPr>
        <w:ind w:left="720"/>
        <w:rPr>
          <w:i/>
          <w:iCs/>
        </w:rPr>
      </w:pPr>
      <w:bookmarkStart w:id="0" w:name="_Hlk108682951"/>
      <w:r w:rsidRPr="000F4301">
        <w:rPr>
          <w:i/>
          <w:iCs/>
        </w:rPr>
        <w:t xml:space="preserve">For more detail on PBAC’s view, see section </w:t>
      </w:r>
      <w:r w:rsidR="001758B6" w:rsidRPr="000F4301">
        <w:rPr>
          <w:i/>
          <w:iCs/>
        </w:rPr>
        <w:t xml:space="preserve">6 </w:t>
      </w:r>
      <w:r w:rsidRPr="000F4301">
        <w:rPr>
          <w:i/>
          <w:iCs/>
        </w:rPr>
        <w:t>PBAC outcome.</w:t>
      </w:r>
    </w:p>
    <w:bookmarkEnd w:id="0"/>
    <w:p w14:paraId="1B8790B6" w14:textId="77777777" w:rsidR="00964A9F" w:rsidRDefault="00964A9F" w:rsidP="00964A9F">
      <w:pPr>
        <w:pStyle w:val="2-SectionHeading"/>
      </w:pPr>
      <w:r w:rsidRPr="009D507A">
        <w:t xml:space="preserve">Requested listing </w:t>
      </w:r>
    </w:p>
    <w:p w14:paraId="36BED319" w14:textId="2D12804F" w:rsidR="00661054" w:rsidRDefault="00661054" w:rsidP="000F4301">
      <w:pPr>
        <w:pStyle w:val="3Bodytext"/>
        <w:jc w:val="both"/>
      </w:pPr>
      <w:r>
        <w:t xml:space="preserve">The submission requested </w:t>
      </w:r>
      <w:r w:rsidR="00D838EF">
        <w:t>listing</w:t>
      </w:r>
      <w:r>
        <w:t xml:space="preserve"> Yuflyma under the same circumstances as the PBS</w:t>
      </w:r>
      <w:r w:rsidR="00CE294C">
        <w:noBreakHyphen/>
      </w:r>
      <w:r>
        <w:t>listed reference biologic Humira 40</w:t>
      </w:r>
      <w:r w:rsidR="00450B97">
        <w:t> </w:t>
      </w:r>
      <w:r>
        <w:t>mg in 0.4</w:t>
      </w:r>
      <w:r w:rsidR="00450B97">
        <w:t> </w:t>
      </w:r>
      <w:r>
        <w:t>mL PFS and PFP</w:t>
      </w:r>
      <w:r w:rsidR="0028270A">
        <w:t>.</w:t>
      </w:r>
      <w:r w:rsidR="00886E85">
        <w:t xml:space="preserve"> </w:t>
      </w:r>
    </w:p>
    <w:p w14:paraId="7A3EEFD7" w14:textId="155BFFA8" w:rsidR="003948C8" w:rsidRPr="00C6356A" w:rsidRDefault="003948C8" w:rsidP="000F4301">
      <w:pPr>
        <w:pStyle w:val="3Bodytext"/>
        <w:jc w:val="both"/>
      </w:pPr>
      <w:r w:rsidRPr="00C6356A">
        <w:t xml:space="preserve">The PBAC </w:t>
      </w:r>
      <w:r w:rsidR="0028632E">
        <w:t>wa</w:t>
      </w:r>
      <w:r w:rsidRPr="00C6356A">
        <w:t xml:space="preserve">s asked to advise whether biosimilar uptake drivers which currently apply to Amgevita, Hadlima, Hyrimoz and Idacio, including the differential authority requirements for subsequent continuing treatment with the reference and biosimilar </w:t>
      </w:r>
      <w:r w:rsidRPr="00C6356A">
        <w:lastRenderedPageBreak/>
        <w:t>brands and inclusion of an administrative note encouraging the use of biosimilar brands for treatment naïve patients, should apply to Yuflyma if it is recommended for listing.</w:t>
      </w:r>
    </w:p>
    <w:p w14:paraId="3A509444" w14:textId="774FBD8F" w:rsidR="00E11837" w:rsidRPr="00C6356A" w:rsidRDefault="00E11837" w:rsidP="000F4301">
      <w:pPr>
        <w:pStyle w:val="3Bodytext"/>
        <w:jc w:val="both"/>
      </w:pPr>
      <w:r w:rsidRPr="00C6356A">
        <w:t xml:space="preserve">The PBAC </w:t>
      </w:r>
      <w:r w:rsidR="0028632E">
        <w:t>wa</w:t>
      </w:r>
      <w:r w:rsidRPr="00C6356A">
        <w:t xml:space="preserve">s asked to advise, under Section 101(4AACD) of the </w:t>
      </w:r>
      <w:r w:rsidR="00CE294C" w:rsidRPr="00F6555A">
        <w:t>Act</w:t>
      </w:r>
      <w:r w:rsidRPr="00C6356A">
        <w:t xml:space="preserve"> whether, in the Schedule of Pharmaceutical Benefits:</w:t>
      </w:r>
    </w:p>
    <w:p w14:paraId="792DCDB4" w14:textId="77777777" w:rsidR="008E1B0E" w:rsidRPr="00C6356A" w:rsidRDefault="008E1B0E" w:rsidP="000F4301">
      <w:pPr>
        <w:pStyle w:val="3Bodytext"/>
        <w:numPr>
          <w:ilvl w:val="1"/>
          <w:numId w:val="23"/>
        </w:numPr>
        <w:jc w:val="both"/>
      </w:pPr>
      <w:r w:rsidRPr="00C6356A">
        <w:t xml:space="preserve">Humira and Yuflyma PFS should be treated as equivalent to each other; and Humira and Yuflyma PFP should be treated as equivalent to each other for the purposes of substitution (i.e. ‘a’ flagged in the schedule) </w:t>
      </w:r>
    </w:p>
    <w:p w14:paraId="6D3969D3" w14:textId="27909302" w:rsidR="008E1B0E" w:rsidRPr="00C6356A" w:rsidRDefault="008E1B0E" w:rsidP="000F4301">
      <w:pPr>
        <w:pStyle w:val="3Bodytext"/>
        <w:numPr>
          <w:ilvl w:val="1"/>
          <w:numId w:val="23"/>
        </w:numPr>
        <w:jc w:val="both"/>
      </w:pPr>
      <w:r w:rsidRPr="00C6356A">
        <w:t>40</w:t>
      </w:r>
      <w:r w:rsidR="00450B97">
        <w:t> </w:t>
      </w:r>
      <w:r w:rsidRPr="00C6356A">
        <w:t>mg in 0.4</w:t>
      </w:r>
      <w:r w:rsidR="00450B97">
        <w:t> </w:t>
      </w:r>
      <w:r w:rsidRPr="00C6356A">
        <w:t>mL Yuflyma PFS and 40</w:t>
      </w:r>
      <w:r w:rsidR="00450B97">
        <w:t> </w:t>
      </w:r>
      <w:r w:rsidRPr="00C6356A">
        <w:t>mg in 0.8</w:t>
      </w:r>
      <w:r w:rsidR="00450B97">
        <w:t> </w:t>
      </w:r>
      <w:r w:rsidRPr="00C6356A">
        <w:t xml:space="preserve">mL </w:t>
      </w:r>
      <w:r w:rsidRPr="00C6356A">
        <w:rPr>
          <w:rFonts w:cstheme="minorHAnsi"/>
          <w:snapToGrid w:val="0"/>
          <w:szCs w:val="24"/>
        </w:rPr>
        <w:t>Amgevita, Hadlima, Hyrimoz and Idacio PFS should be treated as equivalent to each other for the purpose of substitution</w:t>
      </w:r>
    </w:p>
    <w:p w14:paraId="4E9DB22C" w14:textId="06BB1EEB" w:rsidR="008E1B0E" w:rsidRPr="00C6356A" w:rsidRDefault="008E1B0E" w:rsidP="000F4301">
      <w:pPr>
        <w:pStyle w:val="3Bodytext"/>
        <w:numPr>
          <w:ilvl w:val="1"/>
          <w:numId w:val="23"/>
        </w:numPr>
        <w:jc w:val="both"/>
      </w:pPr>
      <w:r w:rsidRPr="00C6356A">
        <w:t>40</w:t>
      </w:r>
      <w:r w:rsidR="00450B97">
        <w:t> </w:t>
      </w:r>
      <w:r w:rsidRPr="00C6356A">
        <w:t>mg in 0.4</w:t>
      </w:r>
      <w:r w:rsidR="00450B97">
        <w:t> </w:t>
      </w:r>
      <w:r w:rsidRPr="00C6356A">
        <w:t>mL Yuflyma PFP and 40</w:t>
      </w:r>
      <w:r w:rsidR="00450B97">
        <w:t> </w:t>
      </w:r>
      <w:r w:rsidRPr="00C6356A">
        <w:t>mg in 0.8</w:t>
      </w:r>
      <w:r w:rsidR="00450B97">
        <w:t> </w:t>
      </w:r>
      <w:r w:rsidRPr="00C6356A">
        <w:t xml:space="preserve">mL </w:t>
      </w:r>
      <w:r w:rsidRPr="00C6356A">
        <w:rPr>
          <w:rFonts w:cstheme="minorHAnsi"/>
          <w:snapToGrid w:val="0"/>
          <w:szCs w:val="24"/>
        </w:rPr>
        <w:t>Amgevita, Hadlima, Hyrimoz and Idacio PFP should be treated as equivalent to each other for the purpose of substitution</w:t>
      </w:r>
    </w:p>
    <w:p w14:paraId="6F79FED6" w14:textId="5EEAA442" w:rsidR="00411434" w:rsidRPr="00C6356A" w:rsidRDefault="00411434" w:rsidP="000F4301">
      <w:pPr>
        <w:pStyle w:val="3Bodytext"/>
        <w:jc w:val="both"/>
      </w:pPr>
      <w:r w:rsidRPr="00C6356A">
        <w:t xml:space="preserve">The requested restrictions are complex due to the number of items and indications required for the listing. If recommended by the PBAC, the implementation of these listings may occur across separate stages. As the submission requested the same restrictions as the reference brand, the </w:t>
      </w:r>
      <w:r w:rsidR="008E1B0E" w:rsidRPr="00C6356A">
        <w:t xml:space="preserve">full </w:t>
      </w:r>
      <w:r w:rsidRPr="00C6356A">
        <w:t>restrictions have not been reproduced</w:t>
      </w:r>
      <w:r w:rsidR="00E56AC0" w:rsidRPr="00C6356A">
        <w:t xml:space="preserve"> here</w:t>
      </w:r>
      <w:r w:rsidRPr="00C6356A">
        <w:t>.</w:t>
      </w:r>
    </w:p>
    <w:p w14:paraId="66402D2D" w14:textId="7C7FB494" w:rsidR="00583270" w:rsidRPr="00C6356A" w:rsidRDefault="00583270" w:rsidP="003948C8">
      <w:pPr>
        <w:pStyle w:val="3Bodytext"/>
      </w:pPr>
      <w:r w:rsidRPr="00C6356A">
        <w:t>The summary of the listing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1006"/>
        <w:gridCol w:w="950"/>
        <w:gridCol w:w="801"/>
        <w:gridCol w:w="1228"/>
        <w:gridCol w:w="1917"/>
      </w:tblGrid>
      <w:tr w:rsidR="00583270" w:rsidRPr="00C94A6F" w14:paraId="7F6C2E98" w14:textId="77777777" w:rsidTr="003339AA">
        <w:trPr>
          <w:cantSplit/>
          <w:trHeight w:val="499"/>
        </w:trPr>
        <w:tc>
          <w:tcPr>
            <w:tcW w:w="1727" w:type="pct"/>
          </w:tcPr>
          <w:p w14:paraId="04B59E80" w14:textId="77777777" w:rsidR="00583270" w:rsidRPr="000F79EA" w:rsidRDefault="00583270" w:rsidP="003B6AE4">
            <w:pPr>
              <w:keepNext/>
              <w:spacing w:before="40" w:after="40"/>
              <w:rPr>
                <w:rFonts w:ascii="Arial Narrow" w:eastAsia="Calibri" w:hAnsi="Arial Narrow"/>
                <w:b/>
                <w:bCs/>
                <w:sz w:val="20"/>
                <w:szCs w:val="20"/>
              </w:rPr>
            </w:pPr>
            <w:bookmarkStart w:id="1" w:name="_Hlk81294680"/>
            <w:r w:rsidRPr="000F79EA">
              <w:rPr>
                <w:rFonts w:ascii="Arial Narrow" w:eastAsia="Calibri" w:hAnsi="Arial Narrow"/>
                <w:b/>
                <w:bCs/>
                <w:sz w:val="20"/>
                <w:szCs w:val="20"/>
              </w:rPr>
              <w:t>Name, restriction, manner of administration, form</w:t>
            </w:r>
          </w:p>
        </w:tc>
        <w:tc>
          <w:tcPr>
            <w:tcW w:w="558" w:type="pct"/>
          </w:tcPr>
          <w:p w14:paraId="468E37B7" w14:textId="77777777" w:rsidR="00583270" w:rsidRPr="000F79EA" w:rsidRDefault="00583270" w:rsidP="003B6AE4">
            <w:pPr>
              <w:keepNext/>
              <w:spacing w:before="40" w:after="40"/>
              <w:jc w:val="center"/>
              <w:rPr>
                <w:rFonts w:ascii="Arial Narrow" w:eastAsia="Calibri" w:hAnsi="Arial Narrow"/>
                <w:b/>
                <w:bCs/>
                <w:sz w:val="20"/>
                <w:szCs w:val="20"/>
              </w:rPr>
            </w:pPr>
            <w:r w:rsidRPr="000F79EA">
              <w:rPr>
                <w:rFonts w:ascii="Arial Narrow" w:eastAsia="Calibri" w:hAnsi="Arial Narrow"/>
                <w:b/>
                <w:bCs/>
                <w:sz w:val="20"/>
                <w:szCs w:val="20"/>
              </w:rPr>
              <w:t xml:space="preserve">Max. Qty </w:t>
            </w:r>
          </w:p>
          <w:p w14:paraId="58FC4F8E" w14:textId="77777777" w:rsidR="00583270" w:rsidRPr="000F79EA" w:rsidRDefault="00583270" w:rsidP="003B6AE4">
            <w:pPr>
              <w:keepNext/>
              <w:spacing w:before="40" w:after="40"/>
              <w:jc w:val="center"/>
              <w:rPr>
                <w:rFonts w:ascii="Arial Narrow" w:eastAsia="Calibri" w:hAnsi="Arial Narrow"/>
                <w:b/>
                <w:bCs/>
                <w:sz w:val="20"/>
                <w:szCs w:val="20"/>
              </w:rPr>
            </w:pPr>
            <w:r w:rsidRPr="000F79EA">
              <w:rPr>
                <w:rFonts w:ascii="Arial Narrow" w:eastAsia="Calibri" w:hAnsi="Arial Narrow"/>
                <w:b/>
                <w:bCs/>
                <w:sz w:val="20"/>
                <w:szCs w:val="20"/>
              </w:rPr>
              <w:t>(packs)</w:t>
            </w:r>
          </w:p>
        </w:tc>
        <w:tc>
          <w:tcPr>
            <w:tcW w:w="527" w:type="pct"/>
          </w:tcPr>
          <w:p w14:paraId="6284DFE3" w14:textId="77777777" w:rsidR="00583270" w:rsidRPr="000F79EA" w:rsidRDefault="00583270" w:rsidP="003B6AE4">
            <w:pPr>
              <w:keepNext/>
              <w:spacing w:before="40" w:after="40"/>
              <w:jc w:val="center"/>
              <w:rPr>
                <w:rFonts w:ascii="Arial Narrow" w:eastAsia="Calibri" w:hAnsi="Arial Narrow"/>
                <w:b/>
                <w:bCs/>
                <w:sz w:val="20"/>
                <w:szCs w:val="20"/>
              </w:rPr>
            </w:pPr>
            <w:r w:rsidRPr="000F79EA">
              <w:rPr>
                <w:rFonts w:ascii="Arial Narrow" w:eastAsia="Calibri" w:hAnsi="Arial Narrow"/>
                <w:b/>
                <w:bCs/>
                <w:sz w:val="20"/>
                <w:szCs w:val="20"/>
              </w:rPr>
              <w:t>Max. Qty</w:t>
            </w:r>
          </w:p>
          <w:p w14:paraId="1E8DF77C" w14:textId="77777777" w:rsidR="00583270" w:rsidRPr="000F79EA" w:rsidRDefault="00583270" w:rsidP="003B6AE4">
            <w:pPr>
              <w:keepNext/>
              <w:spacing w:before="40" w:after="40"/>
              <w:jc w:val="center"/>
              <w:rPr>
                <w:rFonts w:ascii="Arial Narrow" w:eastAsia="Calibri" w:hAnsi="Arial Narrow"/>
                <w:b/>
                <w:bCs/>
                <w:sz w:val="20"/>
                <w:szCs w:val="20"/>
              </w:rPr>
            </w:pPr>
            <w:r w:rsidRPr="000F79EA">
              <w:rPr>
                <w:rFonts w:ascii="Arial Narrow" w:eastAsia="Calibri" w:hAnsi="Arial Narrow"/>
                <w:b/>
                <w:bCs/>
                <w:sz w:val="20"/>
                <w:szCs w:val="20"/>
              </w:rPr>
              <w:t>(units)</w:t>
            </w:r>
          </w:p>
        </w:tc>
        <w:tc>
          <w:tcPr>
            <w:tcW w:w="444" w:type="pct"/>
          </w:tcPr>
          <w:p w14:paraId="475C18BA" w14:textId="77777777" w:rsidR="00583270" w:rsidRPr="000F79EA" w:rsidRDefault="00583270" w:rsidP="003B6AE4">
            <w:pPr>
              <w:keepNext/>
              <w:spacing w:before="40" w:after="40"/>
              <w:jc w:val="center"/>
              <w:rPr>
                <w:rFonts w:ascii="Arial Narrow" w:eastAsia="Calibri" w:hAnsi="Arial Narrow"/>
                <w:b/>
                <w:bCs/>
                <w:sz w:val="20"/>
                <w:szCs w:val="20"/>
              </w:rPr>
            </w:pPr>
            <w:r w:rsidRPr="000F79EA">
              <w:rPr>
                <w:rFonts w:ascii="Arial Narrow" w:eastAsia="Calibri" w:hAnsi="Arial Narrow"/>
                <w:b/>
                <w:bCs/>
                <w:sz w:val="20"/>
                <w:szCs w:val="20"/>
              </w:rPr>
              <w:t>No. of repeats</w:t>
            </w:r>
          </w:p>
        </w:tc>
        <w:tc>
          <w:tcPr>
            <w:tcW w:w="681" w:type="pct"/>
          </w:tcPr>
          <w:p w14:paraId="332D78C1" w14:textId="77777777" w:rsidR="00583270" w:rsidRPr="000F79EA" w:rsidRDefault="00583270" w:rsidP="003B6AE4">
            <w:pPr>
              <w:keepNext/>
              <w:spacing w:before="40" w:after="40"/>
              <w:jc w:val="center"/>
              <w:rPr>
                <w:rFonts w:ascii="Arial Narrow" w:eastAsia="Calibri" w:hAnsi="Arial Narrow"/>
                <w:b/>
                <w:bCs/>
                <w:sz w:val="20"/>
                <w:szCs w:val="20"/>
              </w:rPr>
            </w:pPr>
            <w:r w:rsidRPr="000F79EA">
              <w:rPr>
                <w:rFonts w:ascii="Arial Narrow" w:eastAsia="Calibri" w:hAnsi="Arial Narrow"/>
                <w:b/>
                <w:bCs/>
                <w:sz w:val="20"/>
                <w:szCs w:val="20"/>
              </w:rPr>
              <w:t xml:space="preserve">PBS item </w:t>
            </w:r>
          </w:p>
          <w:p w14:paraId="727E4E24" w14:textId="77777777" w:rsidR="00583270" w:rsidRPr="000F79EA" w:rsidRDefault="00583270" w:rsidP="003B6AE4">
            <w:pPr>
              <w:keepNext/>
              <w:spacing w:before="40" w:after="40"/>
              <w:jc w:val="center"/>
              <w:rPr>
                <w:rFonts w:ascii="Arial Narrow" w:eastAsia="Calibri" w:hAnsi="Arial Narrow"/>
                <w:b/>
                <w:bCs/>
                <w:sz w:val="20"/>
                <w:szCs w:val="20"/>
              </w:rPr>
            </w:pPr>
            <w:r w:rsidRPr="000F79EA">
              <w:rPr>
                <w:rFonts w:ascii="Arial Narrow" w:eastAsia="Calibri" w:hAnsi="Arial Narrow"/>
                <w:b/>
                <w:bCs/>
                <w:sz w:val="20"/>
                <w:szCs w:val="20"/>
              </w:rPr>
              <w:t>code</w:t>
            </w:r>
          </w:p>
        </w:tc>
        <w:tc>
          <w:tcPr>
            <w:tcW w:w="1063" w:type="pct"/>
          </w:tcPr>
          <w:p w14:paraId="7288A699" w14:textId="77777777" w:rsidR="00583270" w:rsidRPr="000F79EA" w:rsidRDefault="00583270" w:rsidP="003B6AE4">
            <w:pPr>
              <w:keepNext/>
              <w:spacing w:before="40" w:after="40"/>
              <w:rPr>
                <w:rFonts w:ascii="Arial Narrow" w:eastAsia="Calibri" w:hAnsi="Arial Narrow"/>
                <w:sz w:val="20"/>
                <w:szCs w:val="20"/>
              </w:rPr>
            </w:pPr>
            <w:r w:rsidRPr="000F79EA">
              <w:rPr>
                <w:rFonts w:ascii="Arial Narrow" w:eastAsia="Calibri" w:hAnsi="Arial Narrow"/>
                <w:b/>
                <w:sz w:val="20"/>
                <w:szCs w:val="20"/>
              </w:rPr>
              <w:t>Proprietary name and manufacturer</w:t>
            </w:r>
          </w:p>
        </w:tc>
      </w:tr>
      <w:tr w:rsidR="00583270" w:rsidRPr="00C94A6F" w14:paraId="005F547C" w14:textId="77777777" w:rsidTr="003339AA">
        <w:trPr>
          <w:cantSplit/>
          <w:trHeight w:val="870"/>
        </w:trPr>
        <w:tc>
          <w:tcPr>
            <w:tcW w:w="1727" w:type="pct"/>
            <w:tcBorders>
              <w:bottom w:val="single" w:sz="4" w:space="0" w:color="auto"/>
            </w:tcBorders>
          </w:tcPr>
          <w:p w14:paraId="74447686" w14:textId="77777777" w:rsidR="00583270" w:rsidRPr="000F79EA" w:rsidRDefault="00583270" w:rsidP="003B6AE4">
            <w:pPr>
              <w:keepNext/>
              <w:spacing w:after="120"/>
              <w:rPr>
                <w:rFonts w:ascii="Arial Narrow" w:hAnsi="Arial Narrow" w:cs="Arial"/>
                <w:bCs/>
                <w:sz w:val="20"/>
                <w:szCs w:val="20"/>
              </w:rPr>
            </w:pPr>
            <w:r w:rsidRPr="000F79EA">
              <w:rPr>
                <w:rFonts w:ascii="Arial Narrow" w:hAnsi="Arial Narrow" w:cs="Arial"/>
                <w:bCs/>
                <w:sz w:val="20"/>
                <w:szCs w:val="20"/>
              </w:rPr>
              <w:t xml:space="preserve">ADALIMUMAB  </w:t>
            </w:r>
          </w:p>
          <w:p w14:paraId="0183F5E2" w14:textId="432E5273" w:rsidR="00583270" w:rsidRPr="000F79EA" w:rsidRDefault="00583270" w:rsidP="003B6AE4">
            <w:pPr>
              <w:keepNext/>
              <w:spacing w:before="40" w:after="40"/>
              <w:rPr>
                <w:rFonts w:ascii="Arial Narrow" w:hAnsi="Arial Narrow" w:cs="Arial"/>
                <w:bCs/>
                <w:sz w:val="20"/>
                <w:szCs w:val="20"/>
              </w:rPr>
            </w:pPr>
            <w:r w:rsidRPr="000F79EA">
              <w:rPr>
                <w:rFonts w:ascii="Arial Narrow" w:eastAsia="Calibri" w:hAnsi="Arial Narrow"/>
                <w:sz w:val="20"/>
                <w:szCs w:val="20"/>
              </w:rPr>
              <w:t xml:space="preserve">adalimumab </w:t>
            </w:r>
            <w:r>
              <w:rPr>
                <w:rFonts w:ascii="Arial Narrow" w:eastAsia="Calibri" w:hAnsi="Arial Narrow"/>
                <w:sz w:val="20"/>
                <w:szCs w:val="20"/>
              </w:rPr>
              <w:t>4</w:t>
            </w:r>
            <w:r w:rsidRPr="000F79EA">
              <w:rPr>
                <w:rFonts w:ascii="Arial Narrow" w:eastAsia="Calibri" w:hAnsi="Arial Narrow"/>
                <w:sz w:val="20"/>
                <w:szCs w:val="20"/>
              </w:rPr>
              <w:t>0 mg/0.</w:t>
            </w:r>
            <w:r>
              <w:rPr>
                <w:rFonts w:ascii="Arial Narrow" w:eastAsia="Calibri" w:hAnsi="Arial Narrow"/>
                <w:sz w:val="20"/>
                <w:szCs w:val="20"/>
              </w:rPr>
              <w:t>4</w:t>
            </w:r>
            <w:r w:rsidRPr="000F79EA">
              <w:rPr>
                <w:rFonts w:ascii="Arial Narrow" w:eastAsia="Calibri" w:hAnsi="Arial Narrow"/>
                <w:sz w:val="20"/>
                <w:szCs w:val="20"/>
              </w:rPr>
              <w:t xml:space="preserve"> mL injection</w:t>
            </w:r>
            <w:r w:rsidR="00392DC9">
              <w:rPr>
                <w:rFonts w:ascii="Arial Narrow" w:eastAsia="Calibri" w:hAnsi="Arial Narrow"/>
                <w:sz w:val="20"/>
                <w:szCs w:val="20"/>
              </w:rPr>
              <w:t>, pre-filled pen</w:t>
            </w:r>
          </w:p>
        </w:tc>
        <w:tc>
          <w:tcPr>
            <w:tcW w:w="558" w:type="pct"/>
            <w:tcBorders>
              <w:top w:val="nil"/>
              <w:bottom w:val="single" w:sz="4" w:space="0" w:color="auto"/>
            </w:tcBorders>
          </w:tcPr>
          <w:p w14:paraId="3E7C94AD" w14:textId="7EB42CAF" w:rsidR="00583270" w:rsidRPr="003339AA" w:rsidRDefault="007D4C05" w:rsidP="003B6AE4">
            <w:pPr>
              <w:keepNext/>
              <w:spacing w:after="120"/>
              <w:jc w:val="center"/>
              <w:rPr>
                <w:rFonts w:ascii="Arial Narrow" w:hAnsi="Arial Narrow" w:cs="Arial"/>
                <w:bCs/>
                <w:sz w:val="20"/>
                <w:szCs w:val="20"/>
                <w:vertAlign w:val="superscript"/>
              </w:rPr>
            </w:pPr>
            <w:r>
              <w:rPr>
                <w:rFonts w:ascii="Arial Narrow" w:hAnsi="Arial Narrow" w:cs="Arial"/>
                <w:bCs/>
                <w:sz w:val="20"/>
                <w:szCs w:val="20"/>
              </w:rPr>
              <w:t>1</w:t>
            </w:r>
          </w:p>
        </w:tc>
        <w:tc>
          <w:tcPr>
            <w:tcW w:w="527" w:type="pct"/>
            <w:tcBorders>
              <w:top w:val="nil"/>
              <w:bottom w:val="single" w:sz="4" w:space="0" w:color="auto"/>
            </w:tcBorders>
          </w:tcPr>
          <w:p w14:paraId="4C6085D1" w14:textId="61233746" w:rsidR="00583270" w:rsidRPr="000F79EA" w:rsidRDefault="00392DC9" w:rsidP="003B6AE4">
            <w:pPr>
              <w:keepNext/>
              <w:spacing w:after="120"/>
              <w:jc w:val="center"/>
              <w:rPr>
                <w:rFonts w:ascii="Arial Narrow" w:hAnsi="Arial Narrow" w:cs="Arial"/>
                <w:bCs/>
                <w:sz w:val="20"/>
                <w:szCs w:val="20"/>
              </w:rPr>
            </w:pPr>
            <w:r>
              <w:rPr>
                <w:rFonts w:ascii="Arial Narrow" w:hAnsi="Arial Narrow" w:cs="Arial"/>
                <w:bCs/>
                <w:sz w:val="20"/>
                <w:szCs w:val="20"/>
              </w:rPr>
              <w:t>2</w:t>
            </w:r>
          </w:p>
        </w:tc>
        <w:tc>
          <w:tcPr>
            <w:tcW w:w="444" w:type="pct"/>
            <w:tcBorders>
              <w:top w:val="nil"/>
              <w:bottom w:val="single" w:sz="4" w:space="0" w:color="auto"/>
            </w:tcBorders>
          </w:tcPr>
          <w:p w14:paraId="2DFA877B" w14:textId="1F0C6275" w:rsidR="00583270" w:rsidRPr="000F79EA" w:rsidRDefault="00331A8E" w:rsidP="003B6AE4">
            <w:pPr>
              <w:keepNext/>
              <w:spacing w:after="120"/>
              <w:jc w:val="center"/>
              <w:rPr>
                <w:rFonts w:ascii="Arial Narrow" w:hAnsi="Arial Narrow" w:cs="Arial"/>
                <w:bCs/>
                <w:sz w:val="20"/>
                <w:szCs w:val="20"/>
              </w:rPr>
            </w:pPr>
            <w:r>
              <w:rPr>
                <w:rFonts w:ascii="Arial Narrow" w:hAnsi="Arial Narrow" w:cs="Arial"/>
                <w:bCs/>
                <w:sz w:val="20"/>
                <w:szCs w:val="20"/>
              </w:rPr>
              <w:t>2</w:t>
            </w:r>
          </w:p>
        </w:tc>
        <w:tc>
          <w:tcPr>
            <w:tcW w:w="681" w:type="pct"/>
            <w:tcBorders>
              <w:top w:val="nil"/>
              <w:bottom w:val="single" w:sz="4" w:space="0" w:color="auto"/>
            </w:tcBorders>
          </w:tcPr>
          <w:p w14:paraId="7F2C4A61" w14:textId="3929D6CE" w:rsidR="00583270" w:rsidRPr="000F79EA" w:rsidRDefault="00331A8E" w:rsidP="003B6AE4">
            <w:pPr>
              <w:keepNext/>
              <w:spacing w:after="120"/>
              <w:jc w:val="center"/>
              <w:rPr>
                <w:rFonts w:ascii="Arial Narrow" w:hAnsi="Arial Narrow" w:cs="Arial"/>
                <w:bCs/>
                <w:sz w:val="20"/>
                <w:szCs w:val="20"/>
              </w:rPr>
            </w:pPr>
            <w:r w:rsidRPr="00331A8E">
              <w:rPr>
                <w:rFonts w:ascii="Arial Narrow" w:hAnsi="Arial Narrow" w:cs="Arial"/>
                <w:bCs/>
                <w:sz w:val="20"/>
                <w:szCs w:val="20"/>
              </w:rPr>
              <w:t>12345R</w:t>
            </w:r>
          </w:p>
        </w:tc>
        <w:tc>
          <w:tcPr>
            <w:tcW w:w="1063" w:type="pct"/>
            <w:tcBorders>
              <w:top w:val="nil"/>
              <w:bottom w:val="single" w:sz="4" w:space="0" w:color="auto"/>
            </w:tcBorders>
          </w:tcPr>
          <w:p w14:paraId="612E5D21" w14:textId="7CABBC01" w:rsidR="00583270" w:rsidRPr="000F79EA" w:rsidRDefault="00392DC9" w:rsidP="003B6AE4">
            <w:pPr>
              <w:keepNext/>
              <w:spacing w:after="120"/>
              <w:rPr>
                <w:rFonts w:ascii="Arial Narrow" w:hAnsi="Arial Narrow" w:cs="Arial"/>
                <w:bCs/>
                <w:sz w:val="20"/>
                <w:szCs w:val="20"/>
              </w:rPr>
            </w:pPr>
            <w:r>
              <w:rPr>
                <w:rFonts w:ascii="Arial Narrow" w:hAnsi="Arial Narrow" w:cs="Arial"/>
                <w:bCs/>
                <w:sz w:val="20"/>
                <w:szCs w:val="20"/>
              </w:rPr>
              <w:t>Yuflyma</w:t>
            </w:r>
            <w:r w:rsidR="00583270" w:rsidRPr="000F79EA">
              <w:rPr>
                <w:rFonts w:ascii="Arial Narrow" w:hAnsi="Arial Narrow" w:cs="Arial"/>
                <w:bCs/>
                <w:sz w:val="20"/>
                <w:szCs w:val="20"/>
              </w:rPr>
              <w:t xml:space="preserve">® </w:t>
            </w:r>
          </w:p>
          <w:p w14:paraId="4AB7986C" w14:textId="70FDAE73" w:rsidR="00583270" w:rsidRPr="000F79EA" w:rsidRDefault="00392DC9" w:rsidP="003B6AE4">
            <w:pPr>
              <w:keepNext/>
              <w:spacing w:after="120"/>
              <w:rPr>
                <w:rFonts w:ascii="Arial Narrow" w:hAnsi="Arial Narrow" w:cs="Arial"/>
                <w:bCs/>
                <w:sz w:val="20"/>
                <w:szCs w:val="20"/>
              </w:rPr>
            </w:pPr>
            <w:r w:rsidRPr="00392DC9">
              <w:rPr>
                <w:rFonts w:ascii="Arial Narrow" w:hAnsi="Arial Narrow" w:cs="Arial"/>
                <w:bCs/>
                <w:sz w:val="20"/>
                <w:szCs w:val="20"/>
              </w:rPr>
              <w:t>Celltrion Healthcare Australia Pty Ltd</w:t>
            </w:r>
          </w:p>
        </w:tc>
      </w:tr>
      <w:tr w:rsidR="00392DC9" w:rsidRPr="00C94A6F" w14:paraId="0555EFED" w14:textId="77777777" w:rsidTr="003339AA">
        <w:trPr>
          <w:cantSplit/>
          <w:trHeight w:val="870"/>
        </w:trPr>
        <w:tc>
          <w:tcPr>
            <w:tcW w:w="1727" w:type="pct"/>
            <w:tcBorders>
              <w:bottom w:val="single" w:sz="4" w:space="0" w:color="auto"/>
            </w:tcBorders>
          </w:tcPr>
          <w:p w14:paraId="56B7305B" w14:textId="77777777" w:rsidR="00392DC9" w:rsidRPr="000F79EA" w:rsidRDefault="00392DC9" w:rsidP="00392DC9">
            <w:pPr>
              <w:keepNext/>
              <w:spacing w:after="120"/>
              <w:rPr>
                <w:rFonts w:ascii="Arial Narrow" w:hAnsi="Arial Narrow" w:cs="Arial"/>
                <w:bCs/>
                <w:sz w:val="20"/>
                <w:szCs w:val="20"/>
              </w:rPr>
            </w:pPr>
            <w:r w:rsidRPr="000F79EA">
              <w:rPr>
                <w:rFonts w:ascii="Arial Narrow" w:hAnsi="Arial Narrow" w:cs="Arial"/>
                <w:bCs/>
                <w:sz w:val="20"/>
                <w:szCs w:val="20"/>
              </w:rPr>
              <w:t xml:space="preserve">ADALIMUMAB  </w:t>
            </w:r>
          </w:p>
          <w:p w14:paraId="6076F13C" w14:textId="7C60D202" w:rsidR="00392DC9" w:rsidRPr="000F79EA" w:rsidRDefault="00392DC9" w:rsidP="00392DC9">
            <w:pPr>
              <w:keepNext/>
              <w:spacing w:after="120"/>
              <w:rPr>
                <w:rFonts w:ascii="Arial Narrow" w:hAnsi="Arial Narrow" w:cs="Arial"/>
                <w:bCs/>
                <w:sz w:val="20"/>
                <w:szCs w:val="20"/>
              </w:rPr>
            </w:pPr>
            <w:r w:rsidRPr="000F79EA">
              <w:rPr>
                <w:rFonts w:ascii="Arial Narrow" w:eastAsia="Calibri" w:hAnsi="Arial Narrow"/>
                <w:sz w:val="20"/>
                <w:szCs w:val="20"/>
              </w:rPr>
              <w:t xml:space="preserve">adalimumab </w:t>
            </w:r>
            <w:r>
              <w:rPr>
                <w:rFonts w:ascii="Arial Narrow" w:eastAsia="Calibri" w:hAnsi="Arial Narrow"/>
                <w:sz w:val="20"/>
                <w:szCs w:val="20"/>
              </w:rPr>
              <w:t>4</w:t>
            </w:r>
            <w:r w:rsidRPr="000F79EA">
              <w:rPr>
                <w:rFonts w:ascii="Arial Narrow" w:eastAsia="Calibri" w:hAnsi="Arial Narrow"/>
                <w:sz w:val="20"/>
                <w:szCs w:val="20"/>
              </w:rPr>
              <w:t>0 mg/0.</w:t>
            </w:r>
            <w:r>
              <w:rPr>
                <w:rFonts w:ascii="Arial Narrow" w:eastAsia="Calibri" w:hAnsi="Arial Narrow"/>
                <w:sz w:val="20"/>
                <w:szCs w:val="20"/>
              </w:rPr>
              <w:t>4</w:t>
            </w:r>
            <w:r w:rsidRPr="000F79EA">
              <w:rPr>
                <w:rFonts w:ascii="Arial Narrow" w:eastAsia="Calibri" w:hAnsi="Arial Narrow"/>
                <w:sz w:val="20"/>
                <w:szCs w:val="20"/>
              </w:rPr>
              <w:t xml:space="preserve"> mL injection</w:t>
            </w:r>
            <w:r>
              <w:rPr>
                <w:rFonts w:ascii="Arial Narrow" w:eastAsia="Calibri" w:hAnsi="Arial Narrow"/>
                <w:sz w:val="20"/>
                <w:szCs w:val="20"/>
              </w:rPr>
              <w:t>, pre-filled syringe</w:t>
            </w:r>
          </w:p>
        </w:tc>
        <w:tc>
          <w:tcPr>
            <w:tcW w:w="558" w:type="pct"/>
            <w:tcBorders>
              <w:top w:val="single" w:sz="4" w:space="0" w:color="auto"/>
              <w:bottom w:val="single" w:sz="4" w:space="0" w:color="auto"/>
            </w:tcBorders>
          </w:tcPr>
          <w:p w14:paraId="4E11830E" w14:textId="15226E70" w:rsidR="00392DC9" w:rsidRDefault="007D4C05" w:rsidP="00392DC9">
            <w:pPr>
              <w:keepNext/>
              <w:spacing w:after="120"/>
              <w:jc w:val="center"/>
              <w:rPr>
                <w:rFonts w:ascii="Arial Narrow" w:hAnsi="Arial Narrow" w:cs="Arial"/>
                <w:bCs/>
                <w:sz w:val="20"/>
                <w:szCs w:val="20"/>
              </w:rPr>
            </w:pPr>
            <w:r>
              <w:rPr>
                <w:rFonts w:ascii="Arial Narrow" w:hAnsi="Arial Narrow" w:cs="Arial"/>
                <w:bCs/>
                <w:sz w:val="20"/>
                <w:szCs w:val="20"/>
              </w:rPr>
              <w:t>1</w:t>
            </w:r>
          </w:p>
        </w:tc>
        <w:tc>
          <w:tcPr>
            <w:tcW w:w="527" w:type="pct"/>
            <w:tcBorders>
              <w:top w:val="single" w:sz="4" w:space="0" w:color="auto"/>
              <w:bottom w:val="single" w:sz="4" w:space="0" w:color="auto"/>
            </w:tcBorders>
          </w:tcPr>
          <w:p w14:paraId="10DD9E62" w14:textId="64F36ABE" w:rsidR="00392DC9" w:rsidRDefault="00392DC9" w:rsidP="00392DC9">
            <w:pPr>
              <w:keepNext/>
              <w:spacing w:after="120"/>
              <w:jc w:val="center"/>
              <w:rPr>
                <w:rFonts w:ascii="Arial Narrow" w:hAnsi="Arial Narrow" w:cs="Arial"/>
                <w:bCs/>
                <w:sz w:val="20"/>
                <w:szCs w:val="20"/>
              </w:rPr>
            </w:pPr>
            <w:r>
              <w:rPr>
                <w:rFonts w:ascii="Arial Narrow" w:hAnsi="Arial Narrow" w:cs="Arial"/>
                <w:bCs/>
                <w:sz w:val="20"/>
                <w:szCs w:val="20"/>
              </w:rPr>
              <w:t>2</w:t>
            </w:r>
          </w:p>
        </w:tc>
        <w:tc>
          <w:tcPr>
            <w:tcW w:w="444" w:type="pct"/>
            <w:tcBorders>
              <w:top w:val="single" w:sz="4" w:space="0" w:color="auto"/>
              <w:bottom w:val="single" w:sz="4" w:space="0" w:color="auto"/>
            </w:tcBorders>
          </w:tcPr>
          <w:p w14:paraId="2111D777" w14:textId="6952F3BB" w:rsidR="00392DC9" w:rsidRPr="000F79EA" w:rsidRDefault="007D4C05" w:rsidP="00392DC9">
            <w:pPr>
              <w:keepNext/>
              <w:spacing w:after="120"/>
              <w:jc w:val="center"/>
              <w:rPr>
                <w:rFonts w:ascii="Arial Narrow" w:hAnsi="Arial Narrow" w:cs="Arial"/>
                <w:bCs/>
                <w:sz w:val="20"/>
                <w:szCs w:val="20"/>
              </w:rPr>
            </w:pPr>
            <w:r>
              <w:rPr>
                <w:rFonts w:ascii="Arial Narrow" w:hAnsi="Arial Narrow" w:cs="Arial"/>
                <w:bCs/>
                <w:sz w:val="20"/>
                <w:szCs w:val="20"/>
              </w:rPr>
              <w:t>2</w:t>
            </w:r>
          </w:p>
        </w:tc>
        <w:tc>
          <w:tcPr>
            <w:tcW w:w="681" w:type="pct"/>
            <w:tcBorders>
              <w:top w:val="single" w:sz="4" w:space="0" w:color="auto"/>
              <w:bottom w:val="single" w:sz="4" w:space="0" w:color="auto"/>
            </w:tcBorders>
          </w:tcPr>
          <w:p w14:paraId="4483BD1B" w14:textId="2E5D3EAD" w:rsidR="00392DC9" w:rsidRPr="000F79EA" w:rsidRDefault="007D4C05" w:rsidP="00392DC9">
            <w:pPr>
              <w:keepNext/>
              <w:spacing w:after="120"/>
              <w:jc w:val="center"/>
              <w:rPr>
                <w:rFonts w:ascii="Arial Narrow" w:hAnsi="Arial Narrow" w:cs="Arial"/>
                <w:bCs/>
                <w:sz w:val="20"/>
                <w:szCs w:val="20"/>
              </w:rPr>
            </w:pPr>
            <w:r w:rsidRPr="007D4C05">
              <w:rPr>
                <w:rFonts w:ascii="Arial Narrow" w:hAnsi="Arial Narrow" w:cs="Arial"/>
                <w:bCs/>
                <w:sz w:val="20"/>
                <w:szCs w:val="20"/>
              </w:rPr>
              <w:t>12338J</w:t>
            </w:r>
          </w:p>
        </w:tc>
        <w:tc>
          <w:tcPr>
            <w:tcW w:w="1063" w:type="pct"/>
            <w:tcBorders>
              <w:top w:val="single" w:sz="4" w:space="0" w:color="auto"/>
              <w:bottom w:val="single" w:sz="4" w:space="0" w:color="auto"/>
            </w:tcBorders>
          </w:tcPr>
          <w:p w14:paraId="66ADF409" w14:textId="77777777" w:rsidR="00392DC9" w:rsidRPr="000F79EA" w:rsidRDefault="00392DC9" w:rsidP="00392DC9">
            <w:pPr>
              <w:keepNext/>
              <w:spacing w:after="120"/>
              <w:rPr>
                <w:rFonts w:ascii="Arial Narrow" w:hAnsi="Arial Narrow" w:cs="Arial"/>
                <w:bCs/>
                <w:sz w:val="20"/>
                <w:szCs w:val="20"/>
              </w:rPr>
            </w:pPr>
            <w:r>
              <w:rPr>
                <w:rFonts w:ascii="Arial Narrow" w:hAnsi="Arial Narrow" w:cs="Arial"/>
                <w:bCs/>
                <w:sz w:val="20"/>
                <w:szCs w:val="20"/>
              </w:rPr>
              <w:t>Yuflyma</w:t>
            </w:r>
            <w:r w:rsidRPr="000F79EA">
              <w:rPr>
                <w:rFonts w:ascii="Arial Narrow" w:hAnsi="Arial Narrow" w:cs="Arial"/>
                <w:bCs/>
                <w:sz w:val="20"/>
                <w:szCs w:val="20"/>
              </w:rPr>
              <w:t xml:space="preserve">® </w:t>
            </w:r>
          </w:p>
          <w:p w14:paraId="0CFA9C96" w14:textId="3A77FA07" w:rsidR="00392DC9" w:rsidRDefault="00392DC9" w:rsidP="00392DC9">
            <w:pPr>
              <w:keepNext/>
              <w:spacing w:after="120"/>
              <w:rPr>
                <w:rFonts w:ascii="Arial Narrow" w:hAnsi="Arial Narrow" w:cs="Arial"/>
                <w:bCs/>
                <w:sz w:val="20"/>
                <w:szCs w:val="20"/>
              </w:rPr>
            </w:pPr>
            <w:r w:rsidRPr="00392DC9">
              <w:rPr>
                <w:rFonts w:ascii="Arial Narrow" w:hAnsi="Arial Narrow" w:cs="Arial"/>
                <w:bCs/>
                <w:sz w:val="20"/>
                <w:szCs w:val="20"/>
              </w:rPr>
              <w:t>Celltrion Healthcare Australia Pty Ltd</w:t>
            </w:r>
          </w:p>
        </w:tc>
      </w:tr>
    </w:tbl>
    <w:bookmarkEnd w:id="1"/>
    <w:p w14:paraId="4A3F97F6" w14:textId="1FCCF088" w:rsidR="00583270" w:rsidRDefault="007D4C05" w:rsidP="006C6480">
      <w:pPr>
        <w:pStyle w:val="TableFooter"/>
        <w:spacing w:after="120"/>
      </w:pPr>
      <w:r w:rsidRPr="003339AA">
        <w:t>The sponsor has requested the same number of items and indications as Humira 40 mg in 0.4 m</w:t>
      </w:r>
      <w:r w:rsidR="007965B9">
        <w:t>L</w:t>
      </w:r>
      <w:r w:rsidRPr="003339AA">
        <w:t>. Maximum quantity packs and units and number of repeats will change to match the item code and indication.</w:t>
      </w:r>
      <w:r w:rsidR="00085B61" w:rsidRPr="003339AA">
        <w:t xml:space="preserve"> The example indication used is “</w:t>
      </w:r>
      <w:r w:rsidR="00331A8E" w:rsidRPr="003339AA">
        <w:rPr>
          <w:rFonts w:eastAsiaTheme="minorHAnsi"/>
        </w:rPr>
        <w:t>Severe Crohn disease</w:t>
      </w:r>
      <w:r w:rsidR="00331A8E" w:rsidRPr="003339AA">
        <w:t xml:space="preserve"> </w:t>
      </w:r>
      <w:r w:rsidR="00331A8E" w:rsidRPr="003339AA">
        <w:rPr>
          <w:rFonts w:eastAsiaTheme="minorHAnsi"/>
        </w:rPr>
        <w:t>Treatment Phase: Initial treatment - Initial 1 (new patient)</w:t>
      </w:r>
      <w:r w:rsidR="00331A8E">
        <w:t>”.</w:t>
      </w:r>
    </w:p>
    <w:p w14:paraId="37ACCFD0" w14:textId="6B30862C" w:rsidR="00351FA4" w:rsidRPr="00661054" w:rsidRDefault="00351FA4" w:rsidP="000F4301">
      <w:pPr>
        <w:pStyle w:val="Bodytextitalics"/>
        <w:ind w:firstLine="720"/>
      </w:pPr>
      <w:r w:rsidRPr="00351FA4">
        <w:t xml:space="preserve">For more detail on PBAC’s view, see section </w:t>
      </w:r>
      <w:r w:rsidR="00886E85">
        <w:t>6</w:t>
      </w:r>
      <w:r w:rsidR="00886E85" w:rsidRPr="00351FA4">
        <w:t xml:space="preserve"> </w:t>
      </w:r>
      <w:r w:rsidRPr="00351FA4">
        <w:t>PBAC outcome.</w:t>
      </w:r>
    </w:p>
    <w:p w14:paraId="29A96004" w14:textId="77777777" w:rsidR="00C27C1C" w:rsidRPr="00980B0E" w:rsidRDefault="00C27C1C" w:rsidP="001F2311">
      <w:pPr>
        <w:pStyle w:val="2-SectionHeading"/>
        <w:numPr>
          <w:ilvl w:val="0"/>
          <w:numId w:val="2"/>
        </w:numPr>
        <w:rPr>
          <w:color w:val="FF0000"/>
        </w:rPr>
      </w:pPr>
      <w:r w:rsidRPr="003C2FB5">
        <w:t>Comparator</w:t>
      </w:r>
      <w:r>
        <w:t xml:space="preserve"> </w:t>
      </w:r>
    </w:p>
    <w:p w14:paraId="1BBB3914" w14:textId="3F9824EB" w:rsidR="00351FA4" w:rsidRDefault="00F431C2" w:rsidP="000F4301">
      <w:pPr>
        <w:pStyle w:val="3Bodytext"/>
        <w:jc w:val="both"/>
      </w:pPr>
      <w:r w:rsidRPr="00F431C2">
        <w:t>The submission nominated the reference brand of adalimumab, Humira, as the main comparator</w:t>
      </w:r>
      <w:r w:rsidRPr="00C6356A">
        <w:t>. Th</w:t>
      </w:r>
      <w:r w:rsidR="00886E85">
        <w:t>e PBAC considered that this</w:t>
      </w:r>
      <w:r w:rsidRPr="00C6356A">
        <w:t xml:space="preserve"> was appropriate.</w:t>
      </w:r>
    </w:p>
    <w:p w14:paraId="117E8A47" w14:textId="055D82D9" w:rsidR="00351FA4" w:rsidRDefault="00351FA4" w:rsidP="000F4301">
      <w:pPr>
        <w:pStyle w:val="Bodytextitalics"/>
        <w:ind w:firstLine="709"/>
      </w:pPr>
      <w:bookmarkStart w:id="2" w:name="_Hlk108682980"/>
      <w:r w:rsidRPr="00351FA4">
        <w:t xml:space="preserve">For more detail on PBAC’s view, see section </w:t>
      </w:r>
      <w:r w:rsidR="00886E85">
        <w:t>6</w:t>
      </w:r>
      <w:r w:rsidR="00886E85" w:rsidRPr="00351FA4">
        <w:t xml:space="preserve"> </w:t>
      </w:r>
      <w:r w:rsidRPr="00351FA4">
        <w:t>PBAC outcome.</w:t>
      </w:r>
    </w:p>
    <w:p w14:paraId="6F71712E" w14:textId="77777777" w:rsidR="00BD307D" w:rsidRPr="00C6356A" w:rsidRDefault="00BD307D" w:rsidP="000F4301">
      <w:pPr>
        <w:pStyle w:val="Bodytextitalics"/>
        <w:ind w:firstLine="709"/>
      </w:pPr>
    </w:p>
    <w:bookmarkEnd w:id="2"/>
    <w:p w14:paraId="0436B7D8" w14:textId="77777777" w:rsidR="00C27C1C" w:rsidRPr="00C6356A" w:rsidRDefault="00C27C1C" w:rsidP="001F2311">
      <w:pPr>
        <w:pStyle w:val="Heading1"/>
        <w:keepLines/>
        <w:numPr>
          <w:ilvl w:val="0"/>
          <w:numId w:val="2"/>
        </w:numPr>
        <w:spacing w:before="240"/>
        <w:ind w:left="709" w:hanging="709"/>
        <w:rPr>
          <w:sz w:val="32"/>
          <w:szCs w:val="32"/>
        </w:rPr>
      </w:pPr>
      <w:r w:rsidRPr="00C6356A">
        <w:rPr>
          <w:sz w:val="32"/>
          <w:szCs w:val="32"/>
        </w:rPr>
        <w:lastRenderedPageBreak/>
        <w:t>Consideration of the evidence</w:t>
      </w:r>
    </w:p>
    <w:p w14:paraId="3EC7DE68" w14:textId="77777777" w:rsidR="00351FA4" w:rsidRPr="006E1229" w:rsidRDefault="00351FA4" w:rsidP="000F4301">
      <w:pPr>
        <w:pStyle w:val="4-SubsectionHeading"/>
      </w:pPr>
      <w:r w:rsidRPr="006E1229">
        <w:t>Sponsor hearing</w:t>
      </w:r>
    </w:p>
    <w:p w14:paraId="16CDB0BA" w14:textId="414864E4" w:rsidR="00351FA4" w:rsidRDefault="00351FA4" w:rsidP="000F4301">
      <w:pPr>
        <w:widowControl w:val="0"/>
        <w:numPr>
          <w:ilvl w:val="1"/>
          <w:numId w:val="2"/>
        </w:numPr>
        <w:rPr>
          <w:rFonts w:cs="Calibri"/>
          <w:bCs/>
          <w:snapToGrid w:val="0"/>
        </w:rPr>
      </w:pPr>
      <w:r w:rsidRPr="00F91542">
        <w:rPr>
          <w:rFonts w:cs="Calibri"/>
          <w:bCs/>
          <w:snapToGrid w:val="0"/>
        </w:rPr>
        <w:t>There was no hearing for this item.</w:t>
      </w:r>
    </w:p>
    <w:p w14:paraId="0231279E" w14:textId="77777777" w:rsidR="00351FA4" w:rsidRPr="006E1229" w:rsidRDefault="00351FA4" w:rsidP="000F4301">
      <w:pPr>
        <w:pStyle w:val="4-SubsectionHeading"/>
      </w:pPr>
      <w:r w:rsidRPr="006E1229">
        <w:t>Consumer comments</w:t>
      </w:r>
    </w:p>
    <w:p w14:paraId="32C978FE" w14:textId="6083A4F2" w:rsidR="00351FA4" w:rsidRPr="00450B97" w:rsidRDefault="00351FA4">
      <w:pPr>
        <w:widowControl w:val="0"/>
        <w:numPr>
          <w:ilvl w:val="1"/>
          <w:numId w:val="2"/>
        </w:numPr>
        <w:spacing w:after="120"/>
        <w:rPr>
          <w:rFonts w:asciiTheme="minorHAnsi" w:hAnsiTheme="minorHAnsi" w:cs="Arial"/>
          <w:bCs/>
          <w:snapToGrid w:val="0"/>
        </w:rPr>
      </w:pPr>
      <w:r w:rsidRPr="00836F75">
        <w:rPr>
          <w:rFonts w:asciiTheme="minorHAnsi" w:hAnsiTheme="minorHAnsi" w:cs="Arial"/>
          <w:bCs/>
          <w:snapToGrid w:val="0"/>
        </w:rPr>
        <w:t>The PBAC noted and welcomed the input from</w:t>
      </w:r>
      <w:r w:rsidR="00450B97" w:rsidRPr="00450B97">
        <w:rPr>
          <w:rFonts w:asciiTheme="minorHAnsi" w:hAnsiTheme="minorHAnsi" w:cs="Arial"/>
          <w:snapToGrid w:val="0"/>
        </w:rPr>
        <w:t xml:space="preserve"> </w:t>
      </w:r>
      <w:r w:rsidR="00450B97" w:rsidRPr="00E04BC4">
        <w:rPr>
          <w:rFonts w:asciiTheme="minorHAnsi" w:hAnsiTheme="minorHAnsi" w:cs="Arial"/>
          <w:snapToGrid w:val="0"/>
        </w:rPr>
        <w:t>Crohn’s &amp; Colitis Australia</w:t>
      </w:r>
      <w:r w:rsidR="00450B97">
        <w:rPr>
          <w:rFonts w:asciiTheme="minorHAnsi" w:hAnsiTheme="minorHAnsi" w:cs="Arial"/>
          <w:bCs/>
          <w:snapToGrid w:val="0"/>
        </w:rPr>
        <w:t xml:space="preserve"> (CCA)</w:t>
      </w:r>
      <w:r w:rsidR="00450B97" w:rsidRPr="00836F75">
        <w:rPr>
          <w:rFonts w:asciiTheme="minorHAnsi" w:hAnsiTheme="minorHAnsi" w:cs="Arial"/>
          <w:bCs/>
          <w:snapToGrid w:val="0"/>
        </w:rPr>
        <w:t xml:space="preserve"> </w:t>
      </w:r>
      <w:r w:rsidRPr="00836F75">
        <w:rPr>
          <w:rFonts w:asciiTheme="minorHAnsi" w:hAnsiTheme="minorHAnsi" w:cs="Arial"/>
          <w:bCs/>
          <w:snapToGrid w:val="0"/>
        </w:rPr>
        <w:t xml:space="preserve">via the Consumer Comments facility on the PBS website. </w:t>
      </w:r>
      <w:r w:rsidR="00121850" w:rsidRPr="00450B97">
        <w:rPr>
          <w:rFonts w:asciiTheme="minorHAnsi" w:hAnsiTheme="minorHAnsi" w:cs="Arial"/>
          <w:bCs/>
          <w:snapToGrid w:val="0"/>
        </w:rPr>
        <w:t>CCA</w:t>
      </w:r>
      <w:r w:rsidR="00450B97" w:rsidRPr="00450B97">
        <w:rPr>
          <w:rFonts w:asciiTheme="minorHAnsi" w:hAnsiTheme="minorHAnsi" w:cs="Arial"/>
          <w:bCs/>
          <w:snapToGrid w:val="0"/>
        </w:rPr>
        <w:t>’s</w:t>
      </w:r>
      <w:r w:rsidRPr="00450B97">
        <w:rPr>
          <w:rFonts w:asciiTheme="minorHAnsi" w:hAnsiTheme="minorHAnsi" w:cs="Arial"/>
          <w:bCs/>
          <w:snapToGrid w:val="0"/>
        </w:rPr>
        <w:t xml:space="preserve"> comments described a range of benefits </w:t>
      </w:r>
      <w:r w:rsidR="00361F88" w:rsidRPr="00450B97">
        <w:rPr>
          <w:rFonts w:asciiTheme="minorHAnsi" w:hAnsiTheme="minorHAnsi" w:cs="Arial"/>
          <w:bCs/>
          <w:snapToGrid w:val="0"/>
        </w:rPr>
        <w:t>for patients with Crohn’s disease and ulcerative colitis</w:t>
      </w:r>
      <w:r w:rsidRPr="00450B97">
        <w:rPr>
          <w:rFonts w:asciiTheme="minorHAnsi" w:hAnsiTheme="minorHAnsi" w:cs="Arial"/>
          <w:bCs/>
          <w:snapToGrid w:val="0"/>
        </w:rPr>
        <w:t xml:space="preserve"> </w:t>
      </w:r>
      <w:r w:rsidR="00870077">
        <w:rPr>
          <w:rFonts w:asciiTheme="minorHAnsi" w:hAnsiTheme="minorHAnsi" w:cs="Arial"/>
          <w:bCs/>
          <w:snapToGrid w:val="0"/>
        </w:rPr>
        <w:t xml:space="preserve">associated with treatment </w:t>
      </w:r>
      <w:r w:rsidRPr="00450B97">
        <w:rPr>
          <w:rFonts w:asciiTheme="minorHAnsi" w:hAnsiTheme="minorHAnsi" w:cs="Arial"/>
          <w:bCs/>
          <w:snapToGrid w:val="0"/>
        </w:rPr>
        <w:t xml:space="preserve">with </w:t>
      </w:r>
      <w:r w:rsidR="00E04BC4" w:rsidRPr="00450B97">
        <w:rPr>
          <w:rFonts w:asciiTheme="minorHAnsi" w:hAnsiTheme="minorHAnsi" w:cs="Arial"/>
          <w:bCs/>
          <w:snapToGrid w:val="0"/>
        </w:rPr>
        <w:t>adalimumab</w:t>
      </w:r>
      <w:r w:rsidR="00361F88" w:rsidRPr="00450B97">
        <w:rPr>
          <w:rFonts w:asciiTheme="minorHAnsi" w:hAnsiTheme="minorHAnsi" w:cs="Arial"/>
          <w:bCs/>
          <w:snapToGrid w:val="0"/>
        </w:rPr>
        <w:t xml:space="preserve">. The organisation noted that </w:t>
      </w:r>
      <w:r w:rsidR="00121850" w:rsidRPr="00450B97">
        <w:rPr>
          <w:rFonts w:asciiTheme="minorHAnsi" w:hAnsiTheme="minorHAnsi" w:cs="Arial"/>
          <w:bCs/>
          <w:snapToGrid w:val="0"/>
        </w:rPr>
        <w:t>the</w:t>
      </w:r>
      <w:r w:rsidR="000C6BE8">
        <w:rPr>
          <w:rFonts w:asciiTheme="minorHAnsi" w:hAnsiTheme="minorHAnsi" w:cs="Arial"/>
          <w:bCs/>
          <w:snapToGrid w:val="0"/>
        </w:rPr>
        <w:t xml:space="preserve"> subcutaneous</w:t>
      </w:r>
      <w:r w:rsidR="00121850" w:rsidRPr="00450B97">
        <w:rPr>
          <w:rFonts w:asciiTheme="minorHAnsi" w:hAnsiTheme="minorHAnsi" w:cs="Arial"/>
          <w:bCs/>
          <w:snapToGrid w:val="0"/>
        </w:rPr>
        <w:t xml:space="preserve"> administration of Yuflyma improv</w:t>
      </w:r>
      <w:r w:rsidR="000C6BE8">
        <w:rPr>
          <w:rFonts w:asciiTheme="minorHAnsi" w:hAnsiTheme="minorHAnsi" w:cs="Arial"/>
          <w:bCs/>
          <w:snapToGrid w:val="0"/>
        </w:rPr>
        <w:t>es</w:t>
      </w:r>
      <w:r w:rsidR="00121850" w:rsidRPr="00450B97">
        <w:rPr>
          <w:rFonts w:asciiTheme="minorHAnsi" w:hAnsiTheme="minorHAnsi" w:cs="Arial"/>
          <w:bCs/>
          <w:snapToGrid w:val="0"/>
        </w:rPr>
        <w:t xml:space="preserve"> quality of li</w:t>
      </w:r>
      <w:r w:rsidR="00870077">
        <w:rPr>
          <w:rFonts w:asciiTheme="minorHAnsi" w:hAnsiTheme="minorHAnsi" w:cs="Arial"/>
          <w:bCs/>
          <w:snapToGrid w:val="0"/>
        </w:rPr>
        <w:t>f</w:t>
      </w:r>
      <w:r w:rsidR="00121850" w:rsidRPr="00450B97">
        <w:rPr>
          <w:rFonts w:asciiTheme="minorHAnsi" w:hAnsiTheme="minorHAnsi" w:cs="Arial"/>
          <w:bCs/>
          <w:snapToGrid w:val="0"/>
        </w:rPr>
        <w:t>e and access for patients</w:t>
      </w:r>
      <w:r w:rsidR="00892FB0">
        <w:rPr>
          <w:rFonts w:asciiTheme="minorHAnsi" w:hAnsiTheme="minorHAnsi" w:cs="Arial"/>
          <w:bCs/>
          <w:snapToGrid w:val="0"/>
        </w:rPr>
        <w:t>, and that not needing to attend a medical facility for treatment</w:t>
      </w:r>
      <w:r w:rsidR="00121850" w:rsidRPr="00450B97">
        <w:rPr>
          <w:rFonts w:asciiTheme="minorHAnsi" w:hAnsiTheme="minorHAnsi" w:cs="Arial"/>
          <w:bCs/>
          <w:snapToGrid w:val="0"/>
        </w:rPr>
        <w:t xml:space="preserve"> decreases absence from work and reduce</w:t>
      </w:r>
      <w:r w:rsidR="0002147F">
        <w:rPr>
          <w:rFonts w:asciiTheme="minorHAnsi" w:hAnsiTheme="minorHAnsi" w:cs="Arial"/>
          <w:bCs/>
          <w:snapToGrid w:val="0"/>
        </w:rPr>
        <w:t>s</w:t>
      </w:r>
      <w:r w:rsidR="00121850" w:rsidRPr="00450B97">
        <w:rPr>
          <w:rFonts w:asciiTheme="minorHAnsi" w:hAnsiTheme="minorHAnsi" w:cs="Arial"/>
          <w:bCs/>
          <w:snapToGrid w:val="0"/>
        </w:rPr>
        <w:t xml:space="preserve"> travel</w:t>
      </w:r>
      <w:r w:rsidR="000C6BE8">
        <w:rPr>
          <w:rFonts w:asciiTheme="minorHAnsi" w:hAnsiTheme="minorHAnsi" w:cs="Arial"/>
          <w:bCs/>
          <w:snapToGrid w:val="0"/>
        </w:rPr>
        <w:t>, particularly</w:t>
      </w:r>
      <w:r w:rsidR="00121850" w:rsidRPr="00450B97">
        <w:rPr>
          <w:rFonts w:asciiTheme="minorHAnsi" w:hAnsiTheme="minorHAnsi" w:cs="Arial"/>
          <w:bCs/>
          <w:snapToGrid w:val="0"/>
        </w:rPr>
        <w:t xml:space="preserve"> for those in remote or regional areas or </w:t>
      </w:r>
      <w:r w:rsidR="0002147F">
        <w:rPr>
          <w:rFonts w:asciiTheme="minorHAnsi" w:hAnsiTheme="minorHAnsi" w:cs="Arial"/>
          <w:bCs/>
          <w:snapToGrid w:val="0"/>
        </w:rPr>
        <w:t>with restricted mobility</w:t>
      </w:r>
      <w:r w:rsidR="00121850" w:rsidRPr="00450B97">
        <w:rPr>
          <w:rFonts w:asciiTheme="minorHAnsi" w:hAnsiTheme="minorHAnsi" w:cs="Arial"/>
          <w:bCs/>
          <w:snapToGrid w:val="0"/>
        </w:rPr>
        <w:t>.</w:t>
      </w:r>
    </w:p>
    <w:p w14:paraId="3F679FE9" w14:textId="342129D1" w:rsidR="00C27C1C" w:rsidRPr="00AA4778" w:rsidRDefault="00C27C1C" w:rsidP="00AA4778">
      <w:pPr>
        <w:pStyle w:val="4-SubsectionHeading"/>
      </w:pPr>
      <w:r w:rsidRPr="00AA4778">
        <w:t xml:space="preserve">Clinical </w:t>
      </w:r>
      <w:r w:rsidR="00450B97">
        <w:t>studie</w:t>
      </w:r>
      <w:r w:rsidR="00450B97" w:rsidRPr="00AA4778">
        <w:t xml:space="preserve">s </w:t>
      </w:r>
    </w:p>
    <w:p w14:paraId="43429B06" w14:textId="35608831" w:rsidR="00BB298A" w:rsidRPr="00C6356A" w:rsidRDefault="003948C8" w:rsidP="001F2311">
      <w:pPr>
        <w:pStyle w:val="3-BodyText"/>
        <w:numPr>
          <w:ilvl w:val="1"/>
          <w:numId w:val="2"/>
        </w:numPr>
      </w:pPr>
      <w:r w:rsidRPr="00C6356A">
        <w:t>The submission presented the following clinical studies. As a Category 3</w:t>
      </w:r>
      <w:r w:rsidR="00E56AC0" w:rsidRPr="00C6356A">
        <w:t xml:space="preserve"> submission, </w:t>
      </w:r>
      <w:r w:rsidR="00BB298A" w:rsidRPr="00C6356A">
        <w:rPr>
          <w:lang w:eastAsia="en-US"/>
        </w:rPr>
        <w:t>no evaluation of the clinical evidence was undertaken</w:t>
      </w:r>
      <w:r w:rsidR="00BB298A" w:rsidRPr="00C6356A">
        <w:t>.</w:t>
      </w:r>
    </w:p>
    <w:p w14:paraId="269E0BD3" w14:textId="77777777" w:rsidR="00D97382" w:rsidRPr="007E13FF" w:rsidRDefault="00D97382" w:rsidP="00932C17">
      <w:pPr>
        <w:pStyle w:val="TableFigureHeading"/>
      </w:pPr>
      <w:r w:rsidRPr="007E13FF">
        <w:lastRenderedPageBreak/>
        <w:t>Table 1: Studies presented in the submission</w:t>
      </w:r>
    </w:p>
    <w:tbl>
      <w:tblPr>
        <w:tblStyle w:val="TableGrid"/>
        <w:tblW w:w="0" w:type="auto"/>
        <w:tblLook w:val="04A0" w:firstRow="1" w:lastRow="0" w:firstColumn="1" w:lastColumn="0" w:noHBand="0" w:noVBand="1"/>
        <w:tblCaption w:val="Table 1: Studies presented in the submission"/>
      </w:tblPr>
      <w:tblGrid>
        <w:gridCol w:w="1271"/>
        <w:gridCol w:w="1985"/>
        <w:gridCol w:w="2268"/>
        <w:gridCol w:w="1984"/>
        <w:gridCol w:w="1508"/>
      </w:tblGrid>
      <w:tr w:rsidR="00D97382" w:rsidRPr="007E13FF" w14:paraId="7C67A63E" w14:textId="77777777" w:rsidTr="00570C89">
        <w:trPr>
          <w:trHeight w:val="590"/>
        </w:trPr>
        <w:tc>
          <w:tcPr>
            <w:tcW w:w="1271" w:type="dxa"/>
          </w:tcPr>
          <w:p w14:paraId="18385EFE" w14:textId="77777777" w:rsidR="00D97382" w:rsidRPr="007E13FF" w:rsidRDefault="00D97382" w:rsidP="00570C89">
            <w:pPr>
              <w:pStyle w:val="In-tableHeading"/>
            </w:pPr>
            <w:r>
              <w:t>Trial ID</w:t>
            </w:r>
          </w:p>
        </w:tc>
        <w:tc>
          <w:tcPr>
            <w:tcW w:w="1985" w:type="dxa"/>
          </w:tcPr>
          <w:p w14:paraId="45A0F8BC" w14:textId="77777777" w:rsidR="00D97382" w:rsidRPr="007E13FF" w:rsidRDefault="00D97382" w:rsidP="00570C89">
            <w:pPr>
              <w:pStyle w:val="In-tableHeading"/>
            </w:pPr>
            <w:r>
              <w:t>Protocol/Publication title</w:t>
            </w:r>
          </w:p>
        </w:tc>
        <w:tc>
          <w:tcPr>
            <w:tcW w:w="2268" w:type="dxa"/>
          </w:tcPr>
          <w:p w14:paraId="4B73228E" w14:textId="77777777" w:rsidR="00D97382" w:rsidRPr="007E13FF" w:rsidRDefault="00D97382" w:rsidP="00570C89">
            <w:pPr>
              <w:pStyle w:val="In-tableHeading"/>
            </w:pPr>
            <w:r w:rsidRPr="007E13FF">
              <w:t>Study Objectives (Related to Safety)</w:t>
            </w:r>
          </w:p>
        </w:tc>
        <w:tc>
          <w:tcPr>
            <w:tcW w:w="1984" w:type="dxa"/>
          </w:tcPr>
          <w:p w14:paraId="1B018EC2" w14:textId="77777777" w:rsidR="00D97382" w:rsidRPr="007E13FF" w:rsidRDefault="00D97382" w:rsidP="00570C89">
            <w:pPr>
              <w:pStyle w:val="In-tableHeading"/>
            </w:pPr>
            <w:r w:rsidRPr="007E13FF">
              <w:t>Study Drug and Dose</w:t>
            </w:r>
          </w:p>
        </w:tc>
        <w:tc>
          <w:tcPr>
            <w:tcW w:w="1508" w:type="dxa"/>
          </w:tcPr>
          <w:p w14:paraId="25CE74E8" w14:textId="77777777" w:rsidR="00D97382" w:rsidRPr="007E13FF" w:rsidRDefault="00D97382" w:rsidP="00570C89">
            <w:pPr>
              <w:pStyle w:val="In-tableHeading"/>
            </w:pPr>
            <w:r w:rsidRPr="007E13FF">
              <w:t xml:space="preserve">No. of Subjects/ Patients Assigned to Treatment </w:t>
            </w:r>
          </w:p>
        </w:tc>
      </w:tr>
      <w:tr w:rsidR="00D97382" w:rsidRPr="007E13FF" w14:paraId="0754E5A5" w14:textId="77777777" w:rsidTr="00570C89">
        <w:tc>
          <w:tcPr>
            <w:tcW w:w="1271" w:type="dxa"/>
          </w:tcPr>
          <w:tbl>
            <w:tblPr>
              <w:tblW w:w="0" w:type="auto"/>
              <w:tblBorders>
                <w:top w:val="nil"/>
                <w:left w:val="nil"/>
                <w:bottom w:val="nil"/>
                <w:right w:val="nil"/>
              </w:tblBorders>
              <w:tblLook w:val="0000" w:firstRow="0" w:lastRow="0" w:firstColumn="0" w:lastColumn="0" w:noHBand="0" w:noVBand="0"/>
            </w:tblPr>
            <w:tblGrid>
              <w:gridCol w:w="1055"/>
            </w:tblGrid>
            <w:tr w:rsidR="006B73D1" w:rsidRPr="006B73D1" w14:paraId="1567B75E" w14:textId="77777777">
              <w:trPr>
                <w:trHeight w:val="93"/>
              </w:trPr>
              <w:tc>
                <w:tcPr>
                  <w:tcW w:w="0" w:type="auto"/>
                </w:tcPr>
                <w:p w14:paraId="20C735CD" w14:textId="77777777" w:rsidR="006B73D1" w:rsidRPr="006B73D1" w:rsidRDefault="006B73D1" w:rsidP="00932C17">
                  <w:pPr>
                    <w:pStyle w:val="TableText0"/>
                    <w:ind w:hanging="83"/>
                  </w:pPr>
                  <w:r w:rsidRPr="006B73D1">
                    <w:rPr>
                      <w:b/>
                    </w:rPr>
                    <w:t xml:space="preserve">CT-P17 3.1 </w:t>
                  </w:r>
                </w:p>
              </w:tc>
            </w:tr>
          </w:tbl>
          <w:p w14:paraId="2F61A10B" w14:textId="23F69D4D" w:rsidR="00D97382" w:rsidRPr="007E13FF" w:rsidRDefault="00D97382" w:rsidP="00570C89">
            <w:pPr>
              <w:pStyle w:val="TableText0"/>
            </w:pPr>
          </w:p>
        </w:tc>
        <w:tc>
          <w:tcPr>
            <w:tcW w:w="1985" w:type="dxa"/>
          </w:tcPr>
          <w:p w14:paraId="4F6BFB09" w14:textId="42DA60CB" w:rsidR="00D97382" w:rsidRPr="007E13FF" w:rsidRDefault="006B73D1" w:rsidP="00570C89">
            <w:pPr>
              <w:pStyle w:val="TableText0"/>
            </w:pPr>
            <w:r w:rsidRPr="006B73D1">
              <w:t>A Randomized, Active-Controlled, Double-Blind, Phase 3 Study to Compare Efficacy and Safety of CT-P17 with EU-approved Humira when Co-administered with Methotrexate in Patients with Moderate to Severe Active Rheumatoid Arthritis. PROTOCOL NUMBER CT-P17 3.1. 24 August 2020 (Celltrion Inc 2020)</w:t>
            </w:r>
          </w:p>
        </w:tc>
        <w:tc>
          <w:tcPr>
            <w:tcW w:w="2268" w:type="dxa"/>
          </w:tcPr>
          <w:p w14:paraId="5E0AD6FD" w14:textId="4E240CD2" w:rsidR="00D97382" w:rsidRPr="007E13FF" w:rsidRDefault="006B73D1" w:rsidP="00570C89">
            <w:pPr>
              <w:pStyle w:val="TableText0"/>
            </w:pPr>
            <w:r w:rsidRPr="006B73D1">
              <w:t>Study to Compare Efficacy and Safety of CT-P17 With Humira in Patients With Active Rheumatoid Arthritis (Celltrion 2021)</w:t>
            </w:r>
          </w:p>
        </w:tc>
        <w:tc>
          <w:tcPr>
            <w:tcW w:w="1984" w:type="dxa"/>
          </w:tcPr>
          <w:p w14:paraId="60E6826C" w14:textId="75272A3B" w:rsidR="00D97382" w:rsidRPr="007E13FF" w:rsidRDefault="00E21CC8" w:rsidP="00570C89">
            <w:pPr>
              <w:pStyle w:val="TableText0"/>
            </w:pPr>
            <w:r>
              <w:t>Yuflyma (</w:t>
            </w:r>
            <w:r w:rsidR="006B73D1" w:rsidRPr="006B73D1">
              <w:t>biosimilar CT-P17</w:t>
            </w:r>
            <w:r>
              <w:t>)</w:t>
            </w:r>
            <w:r w:rsidR="006B73D1">
              <w:t xml:space="preserve"> 100 mg/m</w:t>
            </w:r>
            <w:r w:rsidR="00F469E3">
              <w:t>L</w:t>
            </w:r>
            <w:r w:rsidR="006B73D1">
              <w:t>, 40 mg dose</w:t>
            </w:r>
            <w:r>
              <w:t xml:space="preserve"> every other week</w:t>
            </w:r>
          </w:p>
        </w:tc>
        <w:tc>
          <w:tcPr>
            <w:tcW w:w="1508" w:type="dxa"/>
          </w:tcPr>
          <w:p w14:paraId="06265343" w14:textId="69E1DC32" w:rsidR="00D97382" w:rsidRPr="007E13FF" w:rsidRDefault="006B73D1" w:rsidP="00570C89">
            <w:pPr>
              <w:pStyle w:val="TableText0"/>
            </w:pPr>
            <w:r>
              <w:t xml:space="preserve">324 (50%) for Yuflyma only (303 continued in </w:t>
            </w:r>
            <w:r w:rsidR="00E21CC8">
              <w:t>treatment period I) 152 completed treatment period I on Humira and complete “maintenance” or period II of the study taking Yuflyma</w:t>
            </w:r>
          </w:p>
        </w:tc>
      </w:tr>
      <w:tr w:rsidR="006B73D1" w:rsidRPr="007E13FF" w14:paraId="16ECC965" w14:textId="77777777" w:rsidTr="00570C89">
        <w:tc>
          <w:tcPr>
            <w:tcW w:w="1271" w:type="dxa"/>
          </w:tcPr>
          <w:p w14:paraId="051C1E28" w14:textId="6874F258" w:rsidR="006B73D1" w:rsidRPr="006B73D1" w:rsidRDefault="006B73D1" w:rsidP="006B73D1">
            <w:pPr>
              <w:pStyle w:val="TableText0"/>
              <w:rPr>
                <w:b/>
              </w:rPr>
            </w:pPr>
            <w:r w:rsidRPr="006B73D1">
              <w:rPr>
                <w:b/>
              </w:rPr>
              <w:t>CT-P17 3.2</w:t>
            </w:r>
          </w:p>
        </w:tc>
        <w:tc>
          <w:tcPr>
            <w:tcW w:w="1985" w:type="dxa"/>
          </w:tcPr>
          <w:p w14:paraId="22BDA6D8" w14:textId="0A9E6FFF" w:rsidR="006B73D1" w:rsidRPr="007E13FF" w:rsidRDefault="006B73D1" w:rsidP="00570C89">
            <w:pPr>
              <w:pStyle w:val="TableText0"/>
            </w:pPr>
            <w:r w:rsidRPr="006B73D1">
              <w:t>Clinical Study Report: A Phase 3, Open-label, Single-arm, Multiple-dose Study to Evaluate Usability of Subcutaneous Auto-injector of CT-P17 in Patients with Moderate to Severe Active Rheumatoid Arthritis. PROTOCOL NUMBER CT-P17 3.2. 20 August 2020 (Celltrion Inc 2020)</w:t>
            </w:r>
          </w:p>
        </w:tc>
        <w:tc>
          <w:tcPr>
            <w:tcW w:w="2268" w:type="dxa"/>
          </w:tcPr>
          <w:p w14:paraId="60B67CCA" w14:textId="0F8EE4DB" w:rsidR="006B73D1" w:rsidRPr="007E13FF" w:rsidRDefault="006B73D1" w:rsidP="00570C89">
            <w:pPr>
              <w:pStyle w:val="TableText0"/>
            </w:pPr>
            <w:r w:rsidRPr="006B73D1">
              <w:t>Study to Evaluate Usability of Subcutaneous Auto-injector of CT-P17 in Patients With Active Rheumatoid Arthritis (Celltrion 2021)</w:t>
            </w:r>
          </w:p>
        </w:tc>
        <w:tc>
          <w:tcPr>
            <w:tcW w:w="1984" w:type="dxa"/>
          </w:tcPr>
          <w:p w14:paraId="53DE46CB" w14:textId="7A8C1AD5" w:rsidR="006B73D1" w:rsidRPr="007E13FF" w:rsidRDefault="00E21CC8" w:rsidP="00570C89">
            <w:pPr>
              <w:pStyle w:val="TableText0"/>
            </w:pPr>
            <w:r>
              <w:t>Yuflyma (</w:t>
            </w:r>
            <w:r w:rsidRPr="006B73D1">
              <w:t>biosimilar CT-P17</w:t>
            </w:r>
            <w:r>
              <w:t>) 100 mg/m</w:t>
            </w:r>
            <w:r w:rsidR="00F469E3">
              <w:t>L</w:t>
            </w:r>
            <w:r>
              <w:t>, 40 mg dose every other week</w:t>
            </w:r>
          </w:p>
        </w:tc>
        <w:tc>
          <w:tcPr>
            <w:tcW w:w="1508" w:type="dxa"/>
          </w:tcPr>
          <w:p w14:paraId="114ECBCA" w14:textId="704408DE" w:rsidR="006B73D1" w:rsidRPr="007E13FF" w:rsidRDefault="007447BE" w:rsidP="00570C89">
            <w:pPr>
              <w:pStyle w:val="TableText0"/>
            </w:pPr>
            <w:r>
              <w:t>62</w:t>
            </w:r>
          </w:p>
        </w:tc>
      </w:tr>
    </w:tbl>
    <w:p w14:paraId="743A920D" w14:textId="77777777" w:rsidR="006E7F37" w:rsidRDefault="006E7F37" w:rsidP="000F4301">
      <w:pPr>
        <w:pStyle w:val="3-BodyText"/>
        <w:numPr>
          <w:ilvl w:val="0"/>
          <w:numId w:val="0"/>
        </w:numPr>
        <w:spacing w:after="0"/>
        <w:ind w:left="720"/>
        <w:rPr>
          <w:lang w:eastAsia="en-US"/>
        </w:rPr>
      </w:pPr>
    </w:p>
    <w:p w14:paraId="1AE036AB" w14:textId="199F51F3" w:rsidR="00D97382" w:rsidRPr="006E7F37" w:rsidRDefault="006E7F37" w:rsidP="000F4301">
      <w:pPr>
        <w:pStyle w:val="3-BodyText"/>
        <w:numPr>
          <w:ilvl w:val="1"/>
          <w:numId w:val="2"/>
        </w:numPr>
        <w:rPr>
          <w:lang w:eastAsia="en-US"/>
        </w:rPr>
      </w:pPr>
      <w:r>
        <w:rPr>
          <w:lang w:eastAsia="en-US"/>
        </w:rPr>
        <w:t>The studies presented in the submission formed part of the TGA submission to register Yuflyma as a biosimilar to Humira.</w:t>
      </w:r>
    </w:p>
    <w:p w14:paraId="2CDF3682" w14:textId="77777777" w:rsidR="00C27C1C" w:rsidRPr="008306F3" w:rsidRDefault="00C27C1C" w:rsidP="000F4301">
      <w:pPr>
        <w:pStyle w:val="4-SubsectionHeading"/>
        <w:rPr>
          <w:lang w:eastAsia="en-US"/>
        </w:rPr>
      </w:pPr>
      <w:r w:rsidRPr="003C2FB5">
        <w:rPr>
          <w:lang w:eastAsia="en-US"/>
        </w:rPr>
        <w:t xml:space="preserve">Clinical </w:t>
      </w:r>
      <w:r w:rsidRPr="003C2FB5">
        <w:t>claim</w:t>
      </w:r>
    </w:p>
    <w:p w14:paraId="05467A29" w14:textId="474A66F8" w:rsidR="006028A0" w:rsidRDefault="00A91B2F" w:rsidP="000F4301">
      <w:pPr>
        <w:pStyle w:val="3Bodytext"/>
        <w:jc w:val="both"/>
      </w:pPr>
      <w:r>
        <w:t>T</w:t>
      </w:r>
      <w:r w:rsidR="006028A0" w:rsidRPr="006028A0">
        <w:t xml:space="preserve">he submission claimed the comparability of </w:t>
      </w:r>
      <w:r w:rsidR="006028A0">
        <w:t>Yuflyma</w:t>
      </w:r>
      <w:r w:rsidR="006028A0" w:rsidRPr="006028A0">
        <w:t xml:space="preserve"> with Humira ha</w:t>
      </w:r>
      <w:r w:rsidR="00E56AC0">
        <w:t>d</w:t>
      </w:r>
      <w:r w:rsidR="006028A0" w:rsidRPr="006028A0">
        <w:t xml:space="preserve"> been demonstrated with regard to physiochemical characteristics and efficacy and safety outcomes. </w:t>
      </w:r>
      <w:r w:rsidR="006028A0" w:rsidRPr="00C6356A">
        <w:t>While the sponsor did not provide a clinical evaluation report, the TGA has confirmed that Yuflyma is biosimilar to Humira and that there were no clinically meaningful differences between Yuflyma and Humira in the submitted comparative pharmacology, pharmacokinetic and toxicity studies.</w:t>
      </w:r>
      <w:r w:rsidR="006028A0" w:rsidRPr="006028A0">
        <w:t xml:space="preserve"> </w:t>
      </w:r>
    </w:p>
    <w:p w14:paraId="68DF16FF" w14:textId="019DE0BA" w:rsidR="005A5345" w:rsidRPr="00CE42B4" w:rsidRDefault="005A5345" w:rsidP="000F4301">
      <w:pPr>
        <w:widowControl w:val="0"/>
        <w:numPr>
          <w:ilvl w:val="1"/>
          <w:numId w:val="2"/>
        </w:numPr>
        <w:spacing w:after="120"/>
        <w:rPr>
          <w:rFonts w:asciiTheme="minorHAnsi" w:hAnsiTheme="minorHAnsi" w:cs="Arial"/>
          <w:snapToGrid w:val="0"/>
          <w:szCs w:val="20"/>
        </w:rPr>
      </w:pPr>
      <w:bookmarkStart w:id="3" w:name="_Hlk76376200"/>
      <w:r w:rsidRPr="00CE42B4">
        <w:rPr>
          <w:rFonts w:asciiTheme="minorHAnsi" w:hAnsiTheme="minorHAnsi" w:cs="Arial"/>
          <w:iCs/>
          <w:snapToGrid w:val="0"/>
        </w:rPr>
        <w:t>The</w:t>
      </w:r>
      <w:r w:rsidRPr="00CE42B4">
        <w:rPr>
          <w:rFonts w:asciiTheme="minorHAnsi" w:hAnsiTheme="minorHAnsi" w:cs="Arial"/>
          <w:snapToGrid w:val="0"/>
          <w:szCs w:val="20"/>
        </w:rPr>
        <w:t xml:space="preserve"> PBAC considered that the claim</w:t>
      </w:r>
      <w:r w:rsidR="000C6BE8">
        <w:rPr>
          <w:rFonts w:asciiTheme="minorHAnsi" w:hAnsiTheme="minorHAnsi" w:cs="Arial"/>
          <w:snapToGrid w:val="0"/>
          <w:szCs w:val="20"/>
        </w:rPr>
        <w:t>s</w:t>
      </w:r>
      <w:r w:rsidRPr="00CE42B4">
        <w:rPr>
          <w:rFonts w:asciiTheme="minorHAnsi" w:hAnsiTheme="minorHAnsi" w:cs="Arial"/>
          <w:snapToGrid w:val="0"/>
          <w:szCs w:val="20"/>
        </w:rPr>
        <w:t xml:space="preserve"> of non-inferior comparative effectiveness </w:t>
      </w:r>
      <w:r w:rsidR="00450B97">
        <w:rPr>
          <w:rFonts w:asciiTheme="minorHAnsi" w:hAnsiTheme="minorHAnsi" w:cs="Arial"/>
          <w:snapToGrid w:val="0"/>
          <w:szCs w:val="20"/>
        </w:rPr>
        <w:t xml:space="preserve">and safety </w:t>
      </w:r>
      <w:r w:rsidR="00CE294C">
        <w:rPr>
          <w:rFonts w:asciiTheme="minorHAnsi" w:hAnsiTheme="minorHAnsi" w:cs="Arial"/>
          <w:snapToGrid w:val="0"/>
          <w:szCs w:val="20"/>
        </w:rPr>
        <w:t xml:space="preserve">compared to Humira </w:t>
      </w:r>
      <w:r w:rsidRPr="00CE42B4">
        <w:rPr>
          <w:rFonts w:asciiTheme="minorHAnsi" w:hAnsiTheme="minorHAnsi" w:cs="Arial"/>
          <w:snapToGrid w:val="0"/>
          <w:szCs w:val="20"/>
        </w:rPr>
        <w:t>w</w:t>
      </w:r>
      <w:r w:rsidR="000C6BE8">
        <w:rPr>
          <w:rFonts w:asciiTheme="minorHAnsi" w:hAnsiTheme="minorHAnsi" w:cs="Arial"/>
          <w:snapToGrid w:val="0"/>
          <w:szCs w:val="20"/>
        </w:rPr>
        <w:t>ere</w:t>
      </w:r>
      <w:r w:rsidRPr="00CE42B4">
        <w:rPr>
          <w:rFonts w:asciiTheme="minorHAnsi" w:hAnsiTheme="minorHAnsi" w:cs="Arial"/>
          <w:snapToGrid w:val="0"/>
          <w:szCs w:val="20"/>
        </w:rPr>
        <w:t xml:space="preserve"> reasonable.</w:t>
      </w:r>
    </w:p>
    <w:bookmarkEnd w:id="3"/>
    <w:p w14:paraId="0C5D0D97" w14:textId="77777777" w:rsidR="005A5345" w:rsidRPr="006028A0" w:rsidRDefault="005A5345" w:rsidP="005A5345">
      <w:pPr>
        <w:pStyle w:val="3Bodytext"/>
        <w:numPr>
          <w:ilvl w:val="0"/>
          <w:numId w:val="0"/>
        </w:numPr>
      </w:pPr>
    </w:p>
    <w:p w14:paraId="45D181E4" w14:textId="77777777" w:rsidR="00C27C1C" w:rsidRDefault="00C27C1C" w:rsidP="00C27C1C">
      <w:pPr>
        <w:pStyle w:val="4-SubsectionHeading"/>
        <w:rPr>
          <w:lang w:eastAsia="en-US"/>
        </w:rPr>
      </w:pPr>
      <w:r w:rsidRPr="003C2FB5">
        <w:rPr>
          <w:lang w:eastAsia="en-US"/>
        </w:rPr>
        <w:lastRenderedPageBreak/>
        <w:t>Economic analysis</w:t>
      </w:r>
      <w:r>
        <w:rPr>
          <w:lang w:eastAsia="en-US"/>
        </w:rPr>
        <w:t xml:space="preserve"> </w:t>
      </w:r>
    </w:p>
    <w:p w14:paraId="7F1EBC92" w14:textId="3934DECF" w:rsidR="006028A0" w:rsidRPr="006E7F37" w:rsidRDefault="006028A0" w:rsidP="000F4301">
      <w:pPr>
        <w:pStyle w:val="3Bodytext"/>
        <w:jc w:val="both"/>
        <w:rPr>
          <w:iCs/>
        </w:rPr>
      </w:pPr>
      <w:r w:rsidRPr="006E7F37">
        <w:rPr>
          <w:iCs/>
        </w:rPr>
        <w:t xml:space="preserve">The submission did not present an economic analysis as it was a Category 3 submission. The submission proposed </w:t>
      </w:r>
      <w:r w:rsidR="006E7F37">
        <w:rPr>
          <w:iCs/>
        </w:rPr>
        <w:t xml:space="preserve">the same AEMP for </w:t>
      </w:r>
      <w:r w:rsidRPr="006E7F37">
        <w:rPr>
          <w:iCs/>
        </w:rPr>
        <w:t>Yuflyma as</w:t>
      </w:r>
      <w:r w:rsidR="006E7F37">
        <w:rPr>
          <w:iCs/>
        </w:rPr>
        <w:t xml:space="preserve"> </w:t>
      </w:r>
      <w:r w:rsidRPr="006E7F37">
        <w:rPr>
          <w:iCs/>
        </w:rPr>
        <w:t xml:space="preserve">Humira for the </w:t>
      </w:r>
      <w:r w:rsidR="00E56AC0" w:rsidRPr="006E7F37">
        <w:rPr>
          <w:iCs/>
        </w:rPr>
        <w:t>equivalent</w:t>
      </w:r>
      <w:r w:rsidRPr="006E7F37">
        <w:rPr>
          <w:iCs/>
        </w:rPr>
        <w:t xml:space="preserve"> form and strength.</w:t>
      </w:r>
    </w:p>
    <w:p w14:paraId="41B1EEEE" w14:textId="4E8190B2" w:rsidR="00D271D2" w:rsidRPr="00D271D2" w:rsidRDefault="00A91B2F" w:rsidP="000F4301">
      <w:pPr>
        <w:pStyle w:val="3Bodytext"/>
        <w:jc w:val="both"/>
        <w:rPr>
          <w:b/>
          <w:i/>
          <w:iCs/>
        </w:rPr>
      </w:pPr>
      <w:r>
        <w:rPr>
          <w:iCs/>
        </w:rPr>
        <w:t>The e</w:t>
      </w:r>
      <w:r w:rsidR="00E56AC0" w:rsidRPr="00D271D2">
        <w:rPr>
          <w:iCs/>
        </w:rPr>
        <w:t>qui-effective doses presented in the s</w:t>
      </w:r>
      <w:r w:rsidR="00E56AC0" w:rsidRPr="00A91B2F">
        <w:rPr>
          <w:iCs/>
        </w:rPr>
        <w:t>ubmission</w:t>
      </w:r>
      <w:r w:rsidRPr="00A91B2F">
        <w:rPr>
          <w:iCs/>
        </w:rPr>
        <w:t xml:space="preserve"> were</w:t>
      </w:r>
      <w:r w:rsidR="00FE7EF8" w:rsidRPr="00A91B2F">
        <w:rPr>
          <w:iCs/>
        </w:rPr>
        <w:t xml:space="preserve"> </w:t>
      </w:r>
      <w:r w:rsidR="00D271D2" w:rsidRPr="00D85FCC">
        <w:rPr>
          <w:iCs/>
        </w:rPr>
        <w:t>1 mg of Yuflyma = 1 mg of Humira</w:t>
      </w:r>
      <w:r w:rsidR="00FE7EF8">
        <w:rPr>
          <w:i/>
        </w:rPr>
        <w:t>.</w:t>
      </w:r>
      <w:r>
        <w:rPr>
          <w:i/>
        </w:rPr>
        <w:t xml:space="preserve"> </w:t>
      </w:r>
      <w:r w:rsidRPr="00AA4778">
        <w:rPr>
          <w:iCs/>
        </w:rPr>
        <w:t>Th</w:t>
      </w:r>
      <w:r w:rsidR="00450B97">
        <w:rPr>
          <w:iCs/>
        </w:rPr>
        <w:t>e PBAC considered that this</w:t>
      </w:r>
      <w:r w:rsidRPr="00AA4778">
        <w:rPr>
          <w:iCs/>
        </w:rPr>
        <w:t xml:space="preserve"> was appropriate.</w:t>
      </w:r>
    </w:p>
    <w:p w14:paraId="5EB16602" w14:textId="77777777" w:rsidR="00D70349" w:rsidRDefault="00D70349" w:rsidP="000F4301">
      <w:pPr>
        <w:pStyle w:val="4-SubsectionHeading"/>
        <w:rPr>
          <w:lang w:eastAsia="en-US"/>
        </w:rPr>
      </w:pPr>
      <w:r w:rsidRPr="009D507A">
        <w:rPr>
          <w:lang w:eastAsia="en-US"/>
        </w:rPr>
        <w:t>Estimated PBS utilisation and financial implications</w:t>
      </w:r>
    </w:p>
    <w:p w14:paraId="6DB038A1" w14:textId="5B98D24E" w:rsidR="00D70349" w:rsidRDefault="006028A0" w:rsidP="000F4301">
      <w:pPr>
        <w:pStyle w:val="3Bodytext"/>
        <w:jc w:val="both"/>
      </w:pPr>
      <w:r w:rsidRPr="006028A0">
        <w:t xml:space="preserve">The submission </w:t>
      </w:r>
      <w:r w:rsidR="00CC6AA7">
        <w:t>stated</w:t>
      </w:r>
      <w:r w:rsidRPr="006028A0">
        <w:t xml:space="preserve"> that the listing of </w:t>
      </w:r>
      <w:r>
        <w:t>Yuflyma</w:t>
      </w:r>
      <w:r w:rsidRPr="006028A0">
        <w:t xml:space="preserve"> </w:t>
      </w:r>
      <w:r w:rsidR="00CC6AA7">
        <w:t>would</w:t>
      </w:r>
      <w:r w:rsidRPr="006028A0">
        <w:t xml:space="preserve"> not increase the overall market </w:t>
      </w:r>
      <w:r w:rsidR="00CC6AA7">
        <w:t>for adalimumab, and therefore would be cost-neutral to Government</w:t>
      </w:r>
      <w:r w:rsidRPr="006028A0">
        <w:t xml:space="preserve">. </w:t>
      </w:r>
      <w:r w:rsidRPr="00C6356A">
        <w:t>Th</w:t>
      </w:r>
      <w:r w:rsidR="000C6BE8">
        <w:t>e PBAC considered that this</w:t>
      </w:r>
      <w:r w:rsidRPr="00C6356A">
        <w:t xml:space="preserve"> was appropriate as it is expected that Yuflyma would substitute for Humira</w:t>
      </w:r>
      <w:r w:rsidR="00CC6AA7" w:rsidRPr="00C6356A">
        <w:t xml:space="preserve"> </w:t>
      </w:r>
      <w:r w:rsidRPr="00C6356A">
        <w:t>or the other biosimilar brands of adalimumab.</w:t>
      </w:r>
      <w:r>
        <w:t xml:space="preserve"> </w:t>
      </w:r>
    </w:p>
    <w:p w14:paraId="758DC845" w14:textId="3C546DA9" w:rsidR="00201FB8" w:rsidRDefault="00351FA4" w:rsidP="006C6480">
      <w:pPr>
        <w:pStyle w:val="Bodytextitalics"/>
        <w:ind w:firstLine="720"/>
      </w:pPr>
      <w:r w:rsidRPr="00351FA4">
        <w:t xml:space="preserve">For more detail on PBAC’s view, see section </w:t>
      </w:r>
      <w:r w:rsidR="00450B97">
        <w:t>6</w:t>
      </w:r>
      <w:r w:rsidRPr="00351FA4">
        <w:t xml:space="preserve"> PBAC outcome.</w:t>
      </w:r>
    </w:p>
    <w:p w14:paraId="73B818D9" w14:textId="77777777" w:rsidR="005A5345" w:rsidRPr="00274670" w:rsidRDefault="005A5345" w:rsidP="000F4301">
      <w:pPr>
        <w:pStyle w:val="2-SectionHeading"/>
        <w:jc w:val="both"/>
      </w:pPr>
      <w:r w:rsidRPr="00274670">
        <w:t>PBAC Outcome</w:t>
      </w:r>
    </w:p>
    <w:p w14:paraId="3C72BA3F" w14:textId="0DFFCAA8" w:rsidR="00BF54CC" w:rsidRDefault="00BF54CC" w:rsidP="000F4301">
      <w:pPr>
        <w:widowControl w:val="0"/>
        <w:numPr>
          <w:ilvl w:val="1"/>
          <w:numId w:val="2"/>
        </w:numPr>
        <w:spacing w:after="120"/>
        <w:rPr>
          <w:rFonts w:asciiTheme="minorHAnsi" w:hAnsiTheme="minorHAnsi" w:cs="Arial"/>
          <w:snapToGrid w:val="0"/>
          <w:lang w:val="en-GB"/>
        </w:rPr>
      </w:pPr>
      <w:r w:rsidRPr="00CE42B4">
        <w:rPr>
          <w:rFonts w:asciiTheme="minorHAnsi" w:hAnsiTheme="minorHAnsi" w:cs="Arial"/>
          <w:snapToGrid w:val="0"/>
          <w:lang w:val="en-GB"/>
        </w:rPr>
        <w:t xml:space="preserve">The PBAC recommended the </w:t>
      </w:r>
      <w:r>
        <w:rPr>
          <w:rFonts w:asciiTheme="minorHAnsi" w:hAnsiTheme="minorHAnsi" w:cs="Arial"/>
          <w:snapToGrid w:val="0"/>
          <w:lang w:val="en-GB"/>
        </w:rPr>
        <w:t>Authority Required listing of adalimumab (Yuflyma) in the form of 40 mg in 0.4 mL PFS and PFP as a biosimilar brand of Humira on the General Schedule (Section 85) and Section 100 (Highly Specialised Drug Program). The PBAC’s recommendation for listing was based on, among other matters, its assessment that the cost-effectiveness of Yuflyma PFP and PFS would be acceptable if it were cost</w:t>
      </w:r>
      <w:r w:rsidR="00CE294C">
        <w:rPr>
          <w:rFonts w:asciiTheme="minorHAnsi" w:hAnsiTheme="minorHAnsi" w:cs="Arial"/>
          <w:snapToGrid w:val="0"/>
          <w:lang w:val="en-GB"/>
        </w:rPr>
        <w:noBreakHyphen/>
      </w:r>
      <w:r>
        <w:rPr>
          <w:rFonts w:asciiTheme="minorHAnsi" w:hAnsiTheme="minorHAnsi" w:cs="Arial"/>
          <w:snapToGrid w:val="0"/>
          <w:lang w:val="en-GB"/>
        </w:rPr>
        <w:t xml:space="preserve">minimised to Humira for the following indications: </w:t>
      </w:r>
    </w:p>
    <w:p w14:paraId="185FCAE5" w14:textId="77777777" w:rsidR="00BF54CC" w:rsidRPr="005037D9" w:rsidRDefault="00BF54CC" w:rsidP="000F4301">
      <w:pPr>
        <w:pStyle w:val="3Bodytext"/>
        <w:numPr>
          <w:ilvl w:val="0"/>
          <w:numId w:val="28"/>
        </w:numPr>
        <w:jc w:val="both"/>
      </w:pPr>
      <w:r w:rsidRPr="005037D9">
        <w:t>Severe Crohn disease</w:t>
      </w:r>
    </w:p>
    <w:p w14:paraId="2DF77C06" w14:textId="77777777" w:rsidR="00BF54CC" w:rsidRPr="005037D9" w:rsidRDefault="00BF54CC" w:rsidP="000F4301">
      <w:pPr>
        <w:pStyle w:val="3Bodytext"/>
        <w:numPr>
          <w:ilvl w:val="0"/>
          <w:numId w:val="28"/>
        </w:numPr>
        <w:jc w:val="both"/>
      </w:pPr>
      <w:r w:rsidRPr="005037D9">
        <w:t>Moderate to severe ulcerative colitis</w:t>
      </w:r>
    </w:p>
    <w:p w14:paraId="0A5DBAF0" w14:textId="77777777" w:rsidR="00BF54CC" w:rsidRPr="005037D9" w:rsidRDefault="00BF54CC" w:rsidP="000F4301">
      <w:pPr>
        <w:pStyle w:val="3Bodytext"/>
        <w:numPr>
          <w:ilvl w:val="0"/>
          <w:numId w:val="28"/>
        </w:numPr>
        <w:jc w:val="both"/>
      </w:pPr>
      <w:r w:rsidRPr="005037D9">
        <w:t xml:space="preserve">Severe active juvenile idiopathic arthritis </w:t>
      </w:r>
    </w:p>
    <w:p w14:paraId="48D94AF9" w14:textId="77777777" w:rsidR="00BF54CC" w:rsidRPr="005037D9" w:rsidRDefault="00BF54CC" w:rsidP="000F4301">
      <w:pPr>
        <w:pStyle w:val="3Bodytext"/>
        <w:numPr>
          <w:ilvl w:val="0"/>
          <w:numId w:val="28"/>
        </w:numPr>
        <w:jc w:val="both"/>
      </w:pPr>
      <w:r w:rsidRPr="005037D9">
        <w:t>Complex refractory fistulising Crohn disease</w:t>
      </w:r>
    </w:p>
    <w:p w14:paraId="531E1EBA" w14:textId="77777777" w:rsidR="00BF54CC" w:rsidRPr="005037D9" w:rsidRDefault="00BF54CC" w:rsidP="000F4301">
      <w:pPr>
        <w:pStyle w:val="3Bodytext"/>
        <w:numPr>
          <w:ilvl w:val="0"/>
          <w:numId w:val="28"/>
        </w:numPr>
        <w:jc w:val="both"/>
      </w:pPr>
      <w:r w:rsidRPr="005037D9">
        <w:t>Severe active rheumatoid arthritis</w:t>
      </w:r>
    </w:p>
    <w:p w14:paraId="458DB178" w14:textId="77777777" w:rsidR="00BF54CC" w:rsidRPr="005037D9" w:rsidRDefault="00BF54CC" w:rsidP="000F4301">
      <w:pPr>
        <w:pStyle w:val="3Bodytext"/>
        <w:numPr>
          <w:ilvl w:val="0"/>
          <w:numId w:val="28"/>
        </w:numPr>
        <w:jc w:val="both"/>
      </w:pPr>
      <w:r w:rsidRPr="005037D9">
        <w:t>Severe psoriatic arthritis</w:t>
      </w:r>
    </w:p>
    <w:p w14:paraId="67DE11A6" w14:textId="77777777" w:rsidR="00BF54CC" w:rsidRPr="005037D9" w:rsidRDefault="00BF54CC" w:rsidP="000F4301">
      <w:pPr>
        <w:pStyle w:val="3Bodytext"/>
        <w:numPr>
          <w:ilvl w:val="0"/>
          <w:numId w:val="28"/>
        </w:numPr>
        <w:jc w:val="both"/>
      </w:pPr>
      <w:r w:rsidRPr="005037D9">
        <w:t xml:space="preserve">Ankylosing spondylitis </w:t>
      </w:r>
    </w:p>
    <w:p w14:paraId="4D57EAF7" w14:textId="77777777" w:rsidR="00BF54CC" w:rsidRPr="005037D9" w:rsidRDefault="00BF54CC" w:rsidP="000F4301">
      <w:pPr>
        <w:pStyle w:val="3Bodytext"/>
        <w:numPr>
          <w:ilvl w:val="0"/>
          <w:numId w:val="28"/>
        </w:numPr>
        <w:jc w:val="both"/>
      </w:pPr>
      <w:r w:rsidRPr="005037D9">
        <w:t>Severe chronic plaque psoriasis</w:t>
      </w:r>
    </w:p>
    <w:p w14:paraId="40DDE185" w14:textId="1E609A97" w:rsidR="00BF54CC" w:rsidRDefault="00BF54CC" w:rsidP="000F4301">
      <w:pPr>
        <w:pStyle w:val="3Bodytext"/>
        <w:numPr>
          <w:ilvl w:val="0"/>
          <w:numId w:val="28"/>
        </w:numPr>
        <w:jc w:val="both"/>
      </w:pPr>
      <w:r w:rsidRPr="005037D9">
        <w:t xml:space="preserve">Moderate to severe hidradenitis </w:t>
      </w:r>
      <w:r w:rsidR="009F16A8">
        <w:t>suppurativa</w:t>
      </w:r>
    </w:p>
    <w:p w14:paraId="1B21725A" w14:textId="0378EC75" w:rsidR="00BF54CC" w:rsidRDefault="00BF54CC" w:rsidP="000F4301">
      <w:pPr>
        <w:pStyle w:val="3Bodytext"/>
        <w:jc w:val="both"/>
      </w:pPr>
      <w:r>
        <w:t xml:space="preserve">The PBAC advised the equi-effective doses to be </w:t>
      </w:r>
      <w:r w:rsidR="0028632E" w:rsidRPr="00D85FCC">
        <w:rPr>
          <w:iCs/>
        </w:rPr>
        <w:t>1 mg of Yuflyma = 1 mg of Humira</w:t>
      </w:r>
      <w:r>
        <w:t xml:space="preserve"> and all other biosimilar brands and formulations of adalimumab. </w:t>
      </w:r>
    </w:p>
    <w:p w14:paraId="6D2CA1A9" w14:textId="0F3963A7" w:rsidR="00BF54CC" w:rsidRDefault="00BF54CC" w:rsidP="000F4301">
      <w:pPr>
        <w:pStyle w:val="3Bodytext"/>
        <w:jc w:val="both"/>
      </w:pPr>
      <w:r>
        <w:t xml:space="preserve">The PBAC considered that the claim of biosimilarity for Yuflyma compared to Humira was reasonably supported by the data. The TGA Delegate noted that Yuflyma is biosimilar to Humira and that there were no </w:t>
      </w:r>
      <w:r w:rsidRPr="005D0C24">
        <w:rPr>
          <w:iCs/>
          <w:lang w:eastAsia="en-US"/>
        </w:rPr>
        <w:t>clinically meaningful differences</w:t>
      </w:r>
      <w:r>
        <w:rPr>
          <w:iCs/>
          <w:lang w:eastAsia="en-US"/>
        </w:rPr>
        <w:t xml:space="preserve"> in the comparative</w:t>
      </w:r>
      <w:r>
        <w:t xml:space="preserve"> pharmacology, pharmacokinetic and toxicity studies. </w:t>
      </w:r>
    </w:p>
    <w:p w14:paraId="720172A2" w14:textId="024C4068" w:rsidR="00BF54CC" w:rsidRDefault="00BF54CC" w:rsidP="000F4301">
      <w:pPr>
        <w:pStyle w:val="3Bodytext"/>
        <w:jc w:val="both"/>
      </w:pPr>
      <w:r>
        <w:lastRenderedPageBreak/>
        <w:t xml:space="preserve">The PBAC considered that biosimilar uptake drivers should be applied to Yuflyma, consistent with the current PBS listings for adalimumab biosimilar brands, including: </w:t>
      </w:r>
    </w:p>
    <w:p w14:paraId="64463469" w14:textId="77777777" w:rsidR="00BD307D" w:rsidRDefault="00BD307D" w:rsidP="00BD307D">
      <w:pPr>
        <w:pStyle w:val="3Bodytext"/>
        <w:numPr>
          <w:ilvl w:val="0"/>
          <w:numId w:val="28"/>
        </w:numPr>
        <w:jc w:val="both"/>
      </w:pPr>
      <w:r>
        <w:t xml:space="preserve">Authority Required listing of </w:t>
      </w:r>
      <w:proofErr w:type="spellStart"/>
      <w:r>
        <w:t>Yuflyma</w:t>
      </w:r>
      <w:proofErr w:type="spellEnd"/>
      <w:r>
        <w:t xml:space="preserve"> for the initial and first continuing treatment restrictions, with the Authority type for each indication to be consistent with current listings for the other biosimilar brands of adalimumab. </w:t>
      </w:r>
    </w:p>
    <w:p w14:paraId="74559BA0" w14:textId="77777777" w:rsidR="00BD307D" w:rsidRDefault="00BD307D" w:rsidP="00BD307D">
      <w:pPr>
        <w:pStyle w:val="3Bodytext"/>
        <w:numPr>
          <w:ilvl w:val="0"/>
          <w:numId w:val="28"/>
        </w:numPr>
        <w:jc w:val="both"/>
      </w:pPr>
      <w:r>
        <w:t xml:space="preserve">A separate Authority Required (Streamlined) listing of </w:t>
      </w:r>
      <w:proofErr w:type="spellStart"/>
      <w:r>
        <w:t>Yuflyma</w:t>
      </w:r>
      <w:proofErr w:type="spellEnd"/>
      <w:r>
        <w:t xml:space="preserve"> for the subsequent continuing treatment restrictions.</w:t>
      </w:r>
    </w:p>
    <w:p w14:paraId="75578287" w14:textId="233B1F70" w:rsidR="00BF54CC" w:rsidRPr="006027BA" w:rsidRDefault="00BF54CC" w:rsidP="000F4301">
      <w:pPr>
        <w:pStyle w:val="3Bodytext"/>
        <w:numPr>
          <w:ilvl w:val="0"/>
          <w:numId w:val="28"/>
        </w:numPr>
        <w:jc w:val="both"/>
      </w:pPr>
      <w:r w:rsidRPr="009639EE">
        <w:t xml:space="preserve">The application of the ‘Biosimilar prescribing policy’ administrative note encouraging the use of biosimilar brands for treatment naïve patients (this note will need to be updated for the other biosimilar brands of adalimumab </w:t>
      </w:r>
      <w:r>
        <w:t>to include Yuflyma</w:t>
      </w:r>
      <w:r w:rsidRPr="009639EE">
        <w:t xml:space="preserve"> in the list):</w:t>
      </w:r>
    </w:p>
    <w:p w14:paraId="39376882" w14:textId="4BF3DD88" w:rsidR="00BF54CC" w:rsidRPr="006027BA" w:rsidRDefault="00BF54CC" w:rsidP="000F4301">
      <w:pPr>
        <w:pStyle w:val="3Bodytext"/>
        <w:numPr>
          <w:ilvl w:val="0"/>
          <w:numId w:val="0"/>
        </w:numPr>
        <w:ind w:left="1440"/>
        <w:jc w:val="both"/>
        <w:rPr>
          <w:i/>
        </w:rPr>
      </w:pPr>
      <w:r w:rsidRPr="006027BA">
        <w:rPr>
          <w:i/>
        </w:rPr>
        <w:t>Prescribing of the biosimilar brand,</w:t>
      </w:r>
      <w:r w:rsidR="00A932F0">
        <w:rPr>
          <w:i/>
        </w:rPr>
        <w:t xml:space="preserve"> Amgevita, Hadlima, Hyrimoz, Idacio or</w:t>
      </w:r>
      <w:r w:rsidRPr="006027BA">
        <w:rPr>
          <w:i/>
        </w:rPr>
        <w:t xml:space="preserve"> </w:t>
      </w:r>
      <w:r>
        <w:rPr>
          <w:i/>
        </w:rPr>
        <w:t>YUFLYMA</w:t>
      </w:r>
      <w:r w:rsidRPr="006027BA">
        <w:rPr>
          <w:i/>
        </w:rPr>
        <w:t xml:space="preserve"> is encouraged for treatment naïve patients.</w:t>
      </w:r>
    </w:p>
    <w:p w14:paraId="1DB1199F" w14:textId="4FD542E5" w:rsidR="00BF54CC" w:rsidRPr="008154E2" w:rsidRDefault="00BF54CC" w:rsidP="000F4301">
      <w:pPr>
        <w:pStyle w:val="3Bodytext"/>
        <w:numPr>
          <w:ilvl w:val="0"/>
          <w:numId w:val="0"/>
        </w:numPr>
        <w:ind w:left="1440"/>
        <w:jc w:val="both"/>
      </w:pPr>
      <w:r w:rsidRPr="006027BA">
        <w:rPr>
          <w:i/>
          <w:snapToGrid w:val="0"/>
          <w:lang w:eastAsia="en-US"/>
        </w:rPr>
        <w:t xml:space="preserve">Encouraging biosimilar prescribing for treatment naïve patients is Government policy. A viable biosimilar market is expected to result in reduced costs for biological medicines, allowing the Government to reinvest in new treatments. Further information can be found on the </w:t>
      </w:r>
      <w:r w:rsidR="008E7AA8">
        <w:rPr>
          <w:i/>
          <w:snapToGrid w:val="0"/>
          <w:lang w:eastAsia="en-US"/>
        </w:rPr>
        <w:t>Medicines</w:t>
      </w:r>
      <w:r w:rsidRPr="006027BA">
        <w:rPr>
          <w:i/>
          <w:snapToGrid w:val="0"/>
          <w:lang w:eastAsia="en-US"/>
        </w:rPr>
        <w:t xml:space="preserve"> </w:t>
      </w:r>
      <w:r w:rsidRPr="008154E2">
        <w:t>webpage</w:t>
      </w:r>
      <w:r w:rsidR="008E7AA8">
        <w:t xml:space="preserve"> </w:t>
      </w:r>
      <w:r w:rsidR="008E7AA8">
        <w:rPr>
          <w:i/>
          <w:iCs/>
        </w:rPr>
        <w:t>(</w:t>
      </w:r>
      <w:hyperlink r:id="rId8" w:history="1">
        <w:r w:rsidR="008E7AA8">
          <w:rPr>
            <w:rStyle w:val="Hyperlink"/>
            <w:i/>
            <w:iCs/>
          </w:rPr>
          <w:t>www.health.gov.au/health-topics/medicines</w:t>
        </w:r>
      </w:hyperlink>
      <w:r w:rsidR="008E7AA8">
        <w:rPr>
          <w:i/>
          <w:iCs/>
        </w:rPr>
        <w:t>)</w:t>
      </w:r>
      <w:r w:rsidRPr="008154E2">
        <w:t xml:space="preserve"> </w:t>
      </w:r>
      <w:hyperlink w:history="1"/>
    </w:p>
    <w:p w14:paraId="47F141DD" w14:textId="424F8D3A" w:rsidR="00337273" w:rsidRDefault="00BF54CC" w:rsidP="000F4301">
      <w:pPr>
        <w:pStyle w:val="3Bodytext"/>
        <w:jc w:val="both"/>
      </w:pPr>
      <w:r>
        <w:t>The PBAC advised that, under Section 101(4AACD) of the</w:t>
      </w:r>
      <w:r w:rsidRPr="0062695A">
        <w:rPr>
          <w:iCs/>
        </w:rPr>
        <w:t xml:space="preserve"> </w:t>
      </w:r>
      <w:r w:rsidRPr="009C04F1">
        <w:rPr>
          <w:iCs/>
        </w:rPr>
        <w:t xml:space="preserve">Act, </w:t>
      </w:r>
      <w:r>
        <w:t>in the Schedule of Pharmaceutical Benefits</w:t>
      </w:r>
      <w:r w:rsidR="00337273">
        <w:t>:</w:t>
      </w:r>
    </w:p>
    <w:p w14:paraId="2E30ACCC" w14:textId="65D56E31" w:rsidR="00BF54CC" w:rsidRPr="008154E2" w:rsidRDefault="00BF54CC" w:rsidP="000F4301">
      <w:pPr>
        <w:pStyle w:val="3Bodytext"/>
        <w:numPr>
          <w:ilvl w:val="0"/>
          <w:numId w:val="28"/>
        </w:numPr>
        <w:jc w:val="both"/>
      </w:pPr>
      <w:r w:rsidRPr="00C6356A">
        <w:t xml:space="preserve">Humira and Yuflyma PFS should be treated as equivalent to each other; and Humira and Yuflyma PFP should be treated as equivalent to each other for the purposes of substitution (i.e. ‘a’ flagged in the </w:t>
      </w:r>
      <w:r>
        <w:t>S</w:t>
      </w:r>
      <w:r w:rsidRPr="00C6356A">
        <w:t>chedule)</w:t>
      </w:r>
      <w:r>
        <w:t>.</w:t>
      </w:r>
    </w:p>
    <w:p w14:paraId="1C61E541" w14:textId="33AB6DC9" w:rsidR="00BF54CC" w:rsidRPr="00BF54CC" w:rsidRDefault="00BF54CC" w:rsidP="000F4301">
      <w:pPr>
        <w:pStyle w:val="3Bodytext"/>
        <w:numPr>
          <w:ilvl w:val="0"/>
          <w:numId w:val="28"/>
        </w:numPr>
        <w:jc w:val="both"/>
      </w:pPr>
      <w:r w:rsidRPr="00C6356A">
        <w:t xml:space="preserve">40 mg in 0.4 mL Yuflyma PFS and 40 mg in 0.8 mL </w:t>
      </w:r>
      <w:r w:rsidRPr="00F6555A">
        <w:t>Amgevita, Hadlima, Hyrimoz and Idacio PFS should be treated as equivalent to each other for the purpose of substitution</w:t>
      </w:r>
      <w:r w:rsidR="00CE294C">
        <w:t xml:space="preserve"> </w:t>
      </w:r>
      <w:r w:rsidR="00CE294C" w:rsidRPr="00C6356A">
        <w:t xml:space="preserve">(i.e. ‘a’ flagged in the </w:t>
      </w:r>
      <w:r w:rsidR="00CE294C">
        <w:t>S</w:t>
      </w:r>
      <w:r w:rsidR="00CE294C" w:rsidRPr="00C6356A">
        <w:t>chedule)</w:t>
      </w:r>
      <w:r w:rsidRPr="00F6555A">
        <w:t>.</w:t>
      </w:r>
    </w:p>
    <w:p w14:paraId="253392CC" w14:textId="4C9D6E43" w:rsidR="00BF54CC" w:rsidRDefault="00BF54CC" w:rsidP="000F4301">
      <w:pPr>
        <w:pStyle w:val="3Bodytext"/>
        <w:numPr>
          <w:ilvl w:val="0"/>
          <w:numId w:val="28"/>
        </w:numPr>
        <w:jc w:val="both"/>
      </w:pPr>
      <w:r w:rsidRPr="00BF54CC">
        <w:t>40 mg in 0.4 mL Yuflyma PFP and 40 mg in 0.8 mL Amgevita, Hadlima, Hyrimoz and Idacio PFP should be treated as equivalent to each other for the purpose of substitution</w:t>
      </w:r>
      <w:r w:rsidR="00CE294C">
        <w:t xml:space="preserve"> </w:t>
      </w:r>
      <w:r w:rsidR="00CE294C" w:rsidRPr="00C6356A">
        <w:t xml:space="preserve">(i.e. ‘a’ flagged in the </w:t>
      </w:r>
      <w:r w:rsidR="00CE294C">
        <w:t>S</w:t>
      </w:r>
      <w:r w:rsidR="00CE294C" w:rsidRPr="00C6356A">
        <w:t>chedule)</w:t>
      </w:r>
      <w:r w:rsidR="00053957">
        <w:t>.</w:t>
      </w:r>
    </w:p>
    <w:p w14:paraId="72A4AB9A" w14:textId="14CC8945" w:rsidR="00BF54CC" w:rsidRPr="009C04F1" w:rsidRDefault="00BF54CC" w:rsidP="000F4301">
      <w:pPr>
        <w:widowControl w:val="0"/>
        <w:numPr>
          <w:ilvl w:val="1"/>
          <w:numId w:val="2"/>
        </w:numPr>
        <w:spacing w:after="120" w:line="259" w:lineRule="auto"/>
        <w:rPr>
          <w:rFonts w:eastAsia="Calibri" w:cs="Arial"/>
          <w:bCs/>
          <w:snapToGrid w:val="0"/>
          <w:lang w:eastAsia="en-US"/>
        </w:rPr>
      </w:pPr>
      <w:r>
        <w:rPr>
          <w:rFonts w:eastAsia="Calibri" w:cs="Arial"/>
          <w:bCs/>
          <w:snapToGrid w:val="0"/>
          <w:lang w:eastAsia="en-US"/>
        </w:rPr>
        <w:t xml:space="preserve">The PBAC </w:t>
      </w:r>
      <w:r>
        <w:t xml:space="preserve">advised that, under Section 101(4AACD) of the </w:t>
      </w:r>
      <w:r w:rsidRPr="009C04F1">
        <w:rPr>
          <w:iCs/>
        </w:rPr>
        <w:t>Act,</w:t>
      </w:r>
      <w:r>
        <w:t xml:space="preserve"> in the Schedule of Pharmaceutical Benefits, Yuflyma PFP should not be considered equivalent for the purposes of substitution with any adalimumab PFS, consistent with its previous considerations of adalimumab.</w:t>
      </w:r>
    </w:p>
    <w:p w14:paraId="32582D9B" w14:textId="061A7F87" w:rsidR="00BF54CC" w:rsidRPr="00427899" w:rsidRDefault="00BF54CC" w:rsidP="000F4301">
      <w:pPr>
        <w:widowControl w:val="0"/>
        <w:numPr>
          <w:ilvl w:val="1"/>
          <w:numId w:val="2"/>
        </w:numPr>
        <w:spacing w:after="120" w:line="259" w:lineRule="auto"/>
        <w:rPr>
          <w:rFonts w:eastAsia="Calibri" w:cs="Arial"/>
          <w:bCs/>
          <w:snapToGrid w:val="0"/>
          <w:lang w:eastAsia="en-US"/>
        </w:rPr>
      </w:pPr>
      <w:r>
        <w:rPr>
          <w:rFonts w:eastAsia="Calibri" w:cs="Arial"/>
          <w:bCs/>
          <w:snapToGrid w:val="0"/>
          <w:lang w:eastAsia="en-US"/>
        </w:rPr>
        <w:t xml:space="preserve">The PBAC noted that the listing of Yuflyma will not increase overall market utilisation as it is expected that Yuflyma would substitute for Humira or other biosimilar brands of adalimumab. </w:t>
      </w:r>
    </w:p>
    <w:p w14:paraId="7BDA541E" w14:textId="517F8A83" w:rsidR="00BF54CC" w:rsidRPr="009639EE" w:rsidRDefault="00BF54CC" w:rsidP="000F4301">
      <w:pPr>
        <w:widowControl w:val="0"/>
        <w:numPr>
          <w:ilvl w:val="1"/>
          <w:numId w:val="2"/>
        </w:numPr>
        <w:spacing w:after="120" w:line="259" w:lineRule="auto"/>
        <w:rPr>
          <w:rFonts w:eastAsia="Calibri" w:cs="Arial"/>
          <w:bCs/>
          <w:snapToGrid w:val="0"/>
          <w:lang w:eastAsia="en-US"/>
        </w:rPr>
      </w:pPr>
      <w:r w:rsidRPr="009639EE">
        <w:t>The PBAC noted that its recommendation was on a cost-minimisation basis an</w:t>
      </w:r>
      <w:r>
        <w:t xml:space="preserve">d </w:t>
      </w:r>
      <w:r>
        <w:lastRenderedPageBreak/>
        <w:t>advised that, because Yuflyma</w:t>
      </w:r>
      <w:r w:rsidRPr="009639EE">
        <w:t xml:space="preserve"> is not expected to provide a substantial and clinically relevant improvement in efficacy, or reduction of toxicity over Humira, or not expected to address a high and urgent unmet clinical need given the presence of an alternative therapy, the criteria prescribed by the </w:t>
      </w:r>
      <w:r w:rsidRPr="009639EE">
        <w:rPr>
          <w:i/>
        </w:rPr>
        <w:t>National Health (Pharmaceuticals and Vaccines – Cost Recovery) Regulations 20</w:t>
      </w:r>
      <w:r w:rsidR="00884D96">
        <w:rPr>
          <w:i/>
        </w:rPr>
        <w:t>22</w:t>
      </w:r>
      <w:r w:rsidRPr="009639EE">
        <w:t xml:space="preserve"> for Pricing Pathway A were not met.</w:t>
      </w:r>
    </w:p>
    <w:p w14:paraId="01DA07AD" w14:textId="731E3402" w:rsidR="00BF54CC" w:rsidRDefault="00BF54CC" w:rsidP="000F4301">
      <w:pPr>
        <w:widowControl w:val="0"/>
        <w:numPr>
          <w:ilvl w:val="1"/>
          <w:numId w:val="2"/>
        </w:numPr>
        <w:spacing w:after="120" w:line="259" w:lineRule="auto"/>
        <w:rPr>
          <w:rFonts w:eastAsia="Calibri" w:cs="Arial"/>
          <w:bCs/>
          <w:snapToGrid w:val="0"/>
          <w:lang w:eastAsia="en-US"/>
        </w:rPr>
      </w:pPr>
      <w:r w:rsidRPr="009639EE">
        <w:rPr>
          <w:rFonts w:eastAsia="Calibri" w:cs="Arial"/>
          <w:bCs/>
          <w:snapToGrid w:val="0"/>
          <w:lang w:eastAsia="en-US"/>
        </w:rPr>
        <w:t xml:space="preserve">The PBAC noted that this submission is not eligible for </w:t>
      </w:r>
      <w:r>
        <w:rPr>
          <w:rFonts w:eastAsia="Calibri" w:cs="Arial"/>
          <w:bCs/>
          <w:snapToGrid w:val="0"/>
          <w:lang w:eastAsia="en-US"/>
        </w:rPr>
        <w:t xml:space="preserve">an </w:t>
      </w:r>
      <w:r w:rsidRPr="009639EE">
        <w:rPr>
          <w:rFonts w:eastAsia="Calibri" w:cs="Arial"/>
          <w:bCs/>
          <w:snapToGrid w:val="0"/>
          <w:lang w:eastAsia="en-US"/>
        </w:rPr>
        <w:t>Independent Review as it rece</w:t>
      </w:r>
      <w:r>
        <w:rPr>
          <w:rFonts w:eastAsia="Calibri" w:cs="Arial"/>
          <w:bCs/>
          <w:snapToGrid w:val="0"/>
          <w:lang w:eastAsia="en-US"/>
        </w:rPr>
        <w:t xml:space="preserve">ived a positive recommendation. </w:t>
      </w:r>
    </w:p>
    <w:p w14:paraId="26B0B83F" w14:textId="74FD8906" w:rsidR="00053957" w:rsidRDefault="00BF54CC" w:rsidP="00BF54CC">
      <w:r w:rsidRPr="00171542">
        <w:rPr>
          <w:b/>
        </w:rPr>
        <w:t>Outcome:</w:t>
      </w:r>
      <w:r>
        <w:br/>
        <w:t>Recommended</w:t>
      </w:r>
    </w:p>
    <w:p w14:paraId="4178CE7B" w14:textId="77777777" w:rsidR="00BF54CC" w:rsidRDefault="00BF54CC" w:rsidP="00BF54CC">
      <w:pPr>
        <w:pStyle w:val="Heading1"/>
        <w:keepLines/>
        <w:numPr>
          <w:ilvl w:val="0"/>
          <w:numId w:val="2"/>
        </w:numPr>
        <w:spacing w:before="240"/>
        <w:ind w:left="709" w:hanging="709"/>
        <w:rPr>
          <w:sz w:val="32"/>
          <w:szCs w:val="32"/>
        </w:rPr>
      </w:pPr>
      <w:r>
        <w:rPr>
          <w:sz w:val="32"/>
          <w:szCs w:val="32"/>
        </w:rPr>
        <w:t xml:space="preserve">Recommended listing </w:t>
      </w:r>
    </w:p>
    <w:p w14:paraId="529616BB" w14:textId="4678CB36" w:rsidR="00BF54CC" w:rsidRDefault="00BF54CC" w:rsidP="000F4301">
      <w:pPr>
        <w:pStyle w:val="3Bodytext"/>
        <w:jc w:val="both"/>
      </w:pPr>
      <w:r>
        <w:t>Add new adalimumab brand (Yuflyma) with schedule equivalence (‘a’ flag) for the same indications as Humira as noted in Section 3.</w:t>
      </w:r>
    </w:p>
    <w:p w14:paraId="62F2D9CD" w14:textId="77777777" w:rsidR="00BF54CC" w:rsidRDefault="00BF54CC" w:rsidP="000F4301">
      <w:pPr>
        <w:pStyle w:val="3Bodytext"/>
        <w:jc w:val="both"/>
      </w:pPr>
      <w:r>
        <w:t>Amend existing/recommended listing as follows:</w:t>
      </w:r>
    </w:p>
    <w:p w14:paraId="7179D2F5" w14:textId="77777777" w:rsidR="00BD307D" w:rsidRDefault="00BD307D" w:rsidP="000F4301">
      <w:pPr>
        <w:pStyle w:val="3Bodytext"/>
        <w:numPr>
          <w:ilvl w:val="0"/>
          <w:numId w:val="28"/>
        </w:numPr>
        <w:jc w:val="both"/>
      </w:pPr>
      <w:r>
        <w:t xml:space="preserve">Authority Required  listing of </w:t>
      </w:r>
      <w:proofErr w:type="spellStart"/>
      <w:r>
        <w:t>Yuflyma</w:t>
      </w:r>
      <w:proofErr w:type="spellEnd"/>
      <w:r>
        <w:t xml:space="preserve"> for the initial and first continuing treatment restrictions, with the Authority type for each indication to be consistent with current listings for the other biosimilar brands of adalimumab</w:t>
      </w:r>
      <w:r>
        <w:t>.</w:t>
      </w:r>
    </w:p>
    <w:p w14:paraId="5465EF21" w14:textId="19551E58" w:rsidR="00BF54CC" w:rsidRPr="009639EE" w:rsidRDefault="00BF54CC" w:rsidP="000F4301">
      <w:pPr>
        <w:pStyle w:val="3Bodytext"/>
        <w:numPr>
          <w:ilvl w:val="0"/>
          <w:numId w:val="28"/>
        </w:numPr>
        <w:jc w:val="both"/>
      </w:pPr>
      <w:r w:rsidRPr="009639EE">
        <w:t xml:space="preserve">A separate Authority Required </w:t>
      </w:r>
      <w:r>
        <w:t>(Streamlined) listing of Yuflyma</w:t>
      </w:r>
      <w:r w:rsidRPr="009639EE">
        <w:t xml:space="preserve"> for </w:t>
      </w:r>
      <w:r>
        <w:t xml:space="preserve">the </w:t>
      </w:r>
      <w:r w:rsidRPr="009639EE">
        <w:t>subsequent continuing treatment restriction.</w:t>
      </w:r>
    </w:p>
    <w:p w14:paraId="6593A5B8" w14:textId="37AA22D2" w:rsidR="00BF54CC" w:rsidRPr="006027BA" w:rsidRDefault="00BF54CC" w:rsidP="000F4301">
      <w:pPr>
        <w:pStyle w:val="3Bodytext"/>
        <w:numPr>
          <w:ilvl w:val="0"/>
          <w:numId w:val="28"/>
        </w:numPr>
        <w:jc w:val="both"/>
      </w:pPr>
      <w:r w:rsidRPr="009639EE">
        <w:t xml:space="preserve">The application of the ‘Biosimilar prescribing policy’ administrative note encouraging the use of biosimilar brands for treatment naïve patients (this note will need to be updated for the other biosimilar brands of adalimumab </w:t>
      </w:r>
      <w:r>
        <w:t>to include Yuflyma</w:t>
      </w:r>
      <w:r w:rsidRPr="009639EE">
        <w:t xml:space="preserve"> in the list):</w:t>
      </w:r>
    </w:p>
    <w:p w14:paraId="6C4970C9" w14:textId="73EAD945" w:rsidR="00BF54CC" w:rsidRPr="006027BA" w:rsidRDefault="00BF54CC" w:rsidP="000F4301">
      <w:pPr>
        <w:pStyle w:val="3Bodytext"/>
        <w:numPr>
          <w:ilvl w:val="0"/>
          <w:numId w:val="0"/>
        </w:numPr>
        <w:ind w:left="1440"/>
        <w:jc w:val="both"/>
        <w:rPr>
          <w:i/>
        </w:rPr>
      </w:pPr>
      <w:r w:rsidRPr="006027BA">
        <w:rPr>
          <w:i/>
        </w:rPr>
        <w:t>Prescribing of the biosimilar brand</w:t>
      </w:r>
      <w:r w:rsidR="00A932F0" w:rsidRPr="00A932F0">
        <w:rPr>
          <w:i/>
        </w:rPr>
        <w:t xml:space="preserve"> </w:t>
      </w:r>
      <w:r w:rsidR="00A932F0">
        <w:rPr>
          <w:i/>
        </w:rPr>
        <w:t>Amgevita, Hadlima, Hyrimoz, Idacio or</w:t>
      </w:r>
      <w:r w:rsidRPr="006027BA">
        <w:rPr>
          <w:i/>
        </w:rPr>
        <w:t xml:space="preserve"> </w:t>
      </w:r>
      <w:r>
        <w:rPr>
          <w:i/>
        </w:rPr>
        <w:t>YUFLYMA</w:t>
      </w:r>
      <w:r w:rsidRPr="006027BA">
        <w:rPr>
          <w:i/>
        </w:rPr>
        <w:t xml:space="preserve"> is encouraged for treatment naïve patients. </w:t>
      </w:r>
    </w:p>
    <w:p w14:paraId="3E794D50" w14:textId="77777777" w:rsidR="005522AD" w:rsidRPr="008154E2" w:rsidRDefault="005522AD" w:rsidP="006C6480">
      <w:pPr>
        <w:pStyle w:val="3Bodytext"/>
        <w:numPr>
          <w:ilvl w:val="0"/>
          <w:numId w:val="0"/>
        </w:numPr>
        <w:spacing w:after="240"/>
        <w:ind w:left="1440"/>
        <w:jc w:val="both"/>
      </w:pPr>
      <w:r w:rsidRPr="006027BA">
        <w:rPr>
          <w:i/>
          <w:snapToGrid w:val="0"/>
          <w:lang w:eastAsia="en-US"/>
        </w:rPr>
        <w:t>Encouraging biosimilar prescribing for treatment naïve patients is Government policy. A viable biosimilar market is expected to result in reduced costs for biological medicines, allowing the Government to reinvest in new treatments. Further information can be found on the B</w:t>
      </w:r>
      <w:r>
        <w:rPr>
          <w:i/>
          <w:snapToGrid w:val="0"/>
          <w:lang w:eastAsia="en-US"/>
        </w:rPr>
        <w:t xml:space="preserve"> Medicines</w:t>
      </w:r>
      <w:r w:rsidRPr="006027BA">
        <w:rPr>
          <w:i/>
          <w:snapToGrid w:val="0"/>
          <w:lang w:eastAsia="en-US"/>
        </w:rPr>
        <w:t xml:space="preserve"> </w:t>
      </w:r>
      <w:r w:rsidRPr="008154E2">
        <w:t>webpage</w:t>
      </w:r>
      <w:r>
        <w:t xml:space="preserve"> </w:t>
      </w:r>
      <w:r>
        <w:rPr>
          <w:i/>
          <w:iCs/>
        </w:rPr>
        <w:t>(</w:t>
      </w:r>
      <w:hyperlink r:id="rId9" w:history="1">
        <w:r>
          <w:rPr>
            <w:rStyle w:val="Hyperlink"/>
            <w:i/>
            <w:iCs/>
          </w:rPr>
          <w:t>www.health.gov.au/health-topics/medicines</w:t>
        </w:r>
      </w:hyperlink>
      <w:r>
        <w:rPr>
          <w:i/>
          <w:iCs/>
        </w:rPr>
        <w:t>)</w:t>
      </w:r>
      <w:r w:rsidRPr="008154E2">
        <w:t xml:space="preserve"> </w:t>
      </w:r>
      <w:hyperlink w:history="1"/>
    </w:p>
    <w:p w14:paraId="4FC52D34" w14:textId="368606AE" w:rsidR="00BD307D" w:rsidRDefault="00BF54CC" w:rsidP="006C6480">
      <w:pPr>
        <w:spacing w:after="160" w:line="259" w:lineRule="auto"/>
        <w:jc w:val="left"/>
        <w:rPr>
          <w:b/>
          <w:i/>
        </w:rPr>
      </w:pPr>
      <w:r w:rsidRPr="009639EE">
        <w:rPr>
          <w:b/>
          <w:i/>
        </w:rPr>
        <w:t>This restriction may be subject to further review. Should there be any changes made to the restriction the Sponsor will be informed.</w:t>
      </w:r>
    </w:p>
    <w:p w14:paraId="4EBB0339" w14:textId="77777777" w:rsidR="00BD307D" w:rsidRDefault="00BD307D">
      <w:pPr>
        <w:jc w:val="left"/>
        <w:rPr>
          <w:b/>
          <w:i/>
        </w:rPr>
      </w:pPr>
      <w:r>
        <w:rPr>
          <w:b/>
          <w:i/>
        </w:rPr>
        <w:br w:type="page"/>
      </w:r>
    </w:p>
    <w:p w14:paraId="01C74C70" w14:textId="073B1817" w:rsidR="00157FCE" w:rsidRPr="00157FCE" w:rsidRDefault="00157FCE" w:rsidP="00157FCE">
      <w:pPr>
        <w:pStyle w:val="Heading1"/>
        <w:keepLines/>
        <w:numPr>
          <w:ilvl w:val="0"/>
          <w:numId w:val="2"/>
        </w:numPr>
        <w:spacing w:before="240"/>
        <w:ind w:left="709" w:hanging="709"/>
        <w:rPr>
          <w:sz w:val="32"/>
          <w:szCs w:val="32"/>
        </w:rPr>
      </w:pPr>
      <w:bookmarkStart w:id="4" w:name="_Hlk112834232"/>
      <w:r w:rsidRPr="00157FCE">
        <w:rPr>
          <w:sz w:val="32"/>
          <w:szCs w:val="32"/>
        </w:rPr>
        <w:lastRenderedPageBreak/>
        <w:t>Context for Decision</w:t>
      </w:r>
    </w:p>
    <w:p w14:paraId="55CC20EE" w14:textId="77777777" w:rsidR="00157FCE" w:rsidRPr="007129F2" w:rsidRDefault="00157FCE" w:rsidP="00157FCE">
      <w:pPr>
        <w:spacing w:after="120"/>
        <w:ind w:left="426"/>
        <w:rPr>
          <w:rFonts w:cs="Arial"/>
          <w:bCs/>
          <w:lang w:val="en-GB"/>
        </w:rPr>
      </w:pPr>
      <w:r w:rsidRPr="007129F2">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131825CE" w14:textId="2A89AEB2" w:rsidR="00157FCE" w:rsidRPr="00157FCE" w:rsidRDefault="00157FCE" w:rsidP="00157FCE">
      <w:pPr>
        <w:pStyle w:val="Heading1"/>
        <w:keepLines/>
        <w:numPr>
          <w:ilvl w:val="0"/>
          <w:numId w:val="2"/>
        </w:numPr>
        <w:spacing w:before="240"/>
        <w:ind w:left="709" w:hanging="709"/>
        <w:rPr>
          <w:sz w:val="32"/>
          <w:szCs w:val="32"/>
        </w:rPr>
      </w:pPr>
      <w:r w:rsidRPr="00157FCE">
        <w:rPr>
          <w:sz w:val="32"/>
          <w:szCs w:val="32"/>
        </w:rPr>
        <w:t>Sponsor’s Comment</w:t>
      </w:r>
    </w:p>
    <w:bookmarkEnd w:id="4"/>
    <w:p w14:paraId="5DFBA471" w14:textId="77777777" w:rsidR="00157FCE" w:rsidRPr="001179AC" w:rsidRDefault="00157FCE" w:rsidP="00157FCE">
      <w:pPr>
        <w:spacing w:after="120"/>
        <w:ind w:left="426"/>
        <w:rPr>
          <w:rFonts w:cs="Arial"/>
          <w:bCs/>
        </w:rPr>
      </w:pPr>
      <w:r w:rsidRPr="00C07617">
        <w:rPr>
          <w:rFonts w:cs="Arial"/>
          <w:bCs/>
        </w:rPr>
        <w:t>The sponsor had no comment.</w:t>
      </w:r>
    </w:p>
    <w:p w14:paraId="4FFB9671" w14:textId="77777777" w:rsidR="00157FCE" w:rsidRPr="006C6480" w:rsidRDefault="00157FCE" w:rsidP="006C6480">
      <w:pPr>
        <w:spacing w:after="160" w:line="259" w:lineRule="auto"/>
        <w:jc w:val="left"/>
        <w:rPr>
          <w:rFonts w:eastAsia="Calibri" w:cs="Calibri"/>
          <w:b/>
          <w:i/>
          <w:lang w:eastAsia="en-US"/>
        </w:rPr>
      </w:pPr>
    </w:p>
    <w:sectPr w:rsidR="00157FCE" w:rsidRPr="006C6480" w:rsidSect="00C27B58">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5808A" w14:textId="77777777" w:rsidR="00274F24" w:rsidRDefault="00274F24">
      <w:r>
        <w:separator/>
      </w:r>
    </w:p>
    <w:p w14:paraId="3A60F6AA" w14:textId="77777777" w:rsidR="00274F24" w:rsidRDefault="00274F24"/>
  </w:endnote>
  <w:endnote w:type="continuationSeparator" w:id="0">
    <w:p w14:paraId="1D2417A3" w14:textId="77777777" w:rsidR="00274F24" w:rsidRDefault="00274F24">
      <w:r>
        <w:continuationSeparator/>
      </w:r>
    </w:p>
    <w:p w14:paraId="0CAB8CA1" w14:textId="77777777" w:rsidR="00274F24" w:rsidRDefault="00274F24"/>
  </w:endnote>
  <w:endnote w:type="continuationNotice" w:id="1">
    <w:p w14:paraId="7B02D322" w14:textId="77777777" w:rsidR="00274F24" w:rsidRDefault="00274F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570C89" w14:paraId="4075D3FE" w14:textId="77777777" w:rsidTr="005A3173">
      <w:trPr>
        <w:trHeight w:val="151"/>
      </w:trPr>
      <w:tc>
        <w:tcPr>
          <w:tcW w:w="2250" w:type="pct"/>
          <w:tcBorders>
            <w:top w:val="nil"/>
            <w:left w:val="nil"/>
            <w:bottom w:val="single" w:sz="4" w:space="0" w:color="4F81BD"/>
            <w:right w:val="nil"/>
          </w:tcBorders>
        </w:tcPr>
        <w:p w14:paraId="096D0DDE" w14:textId="77777777" w:rsidR="00570C89" w:rsidRPr="005A3173" w:rsidRDefault="00570C89"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570C89" w:rsidRPr="005A3173" w:rsidRDefault="00570C8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570C89" w:rsidRPr="005A3173" w:rsidRDefault="00570C89" w:rsidP="005A3173">
          <w:pPr>
            <w:pStyle w:val="Header"/>
            <w:spacing w:line="276" w:lineRule="auto"/>
            <w:rPr>
              <w:rFonts w:eastAsia="MS Gothic"/>
              <w:b/>
              <w:bCs/>
              <w:color w:val="4F81BD"/>
            </w:rPr>
          </w:pPr>
        </w:p>
      </w:tc>
    </w:tr>
    <w:tr w:rsidR="00570C89" w14:paraId="32EF4DB8" w14:textId="77777777" w:rsidTr="005A3173">
      <w:trPr>
        <w:trHeight w:val="150"/>
      </w:trPr>
      <w:tc>
        <w:tcPr>
          <w:tcW w:w="2250" w:type="pct"/>
          <w:tcBorders>
            <w:top w:val="single" w:sz="4" w:space="0" w:color="4F81BD"/>
            <w:left w:val="nil"/>
            <w:bottom w:val="nil"/>
            <w:right w:val="nil"/>
          </w:tcBorders>
        </w:tcPr>
        <w:p w14:paraId="03528A4C" w14:textId="77777777" w:rsidR="00570C89" w:rsidRPr="005A3173" w:rsidRDefault="00570C89" w:rsidP="005A3173">
          <w:pPr>
            <w:pStyle w:val="Header"/>
            <w:spacing w:line="276" w:lineRule="auto"/>
            <w:rPr>
              <w:rFonts w:eastAsia="MS Gothic"/>
              <w:b/>
              <w:bCs/>
              <w:color w:val="4F81BD"/>
            </w:rPr>
          </w:pPr>
        </w:p>
      </w:tc>
      <w:tc>
        <w:tcPr>
          <w:tcW w:w="0" w:type="auto"/>
          <w:vMerge/>
          <w:vAlign w:val="center"/>
          <w:hideMark/>
        </w:tcPr>
        <w:p w14:paraId="109042FB" w14:textId="77777777" w:rsidR="00570C89" w:rsidRPr="005A3173" w:rsidRDefault="00570C89" w:rsidP="005A3173">
          <w:pPr>
            <w:rPr>
              <w:color w:val="365F91"/>
              <w:sz w:val="22"/>
              <w:szCs w:val="22"/>
            </w:rPr>
          </w:pPr>
        </w:p>
      </w:tc>
      <w:tc>
        <w:tcPr>
          <w:tcW w:w="2250" w:type="pct"/>
          <w:tcBorders>
            <w:top w:val="single" w:sz="4" w:space="0" w:color="4F81BD"/>
            <w:left w:val="nil"/>
            <w:bottom w:val="nil"/>
            <w:right w:val="nil"/>
          </w:tcBorders>
        </w:tcPr>
        <w:p w14:paraId="09664199" w14:textId="77777777" w:rsidR="00570C89" w:rsidRPr="005A3173" w:rsidRDefault="00570C89" w:rsidP="005A3173">
          <w:pPr>
            <w:pStyle w:val="Header"/>
            <w:spacing w:line="276" w:lineRule="auto"/>
            <w:rPr>
              <w:rFonts w:eastAsia="MS Gothic"/>
              <w:b/>
              <w:bCs/>
              <w:color w:val="4F81BD"/>
            </w:rPr>
          </w:pPr>
        </w:p>
      </w:tc>
    </w:tr>
  </w:tbl>
  <w:p w14:paraId="21855C18" w14:textId="77777777" w:rsidR="00570C89" w:rsidRDefault="00570C8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570C89" w:rsidRDefault="00570C89">
    <w:pPr>
      <w:pStyle w:val="Footer"/>
    </w:pPr>
  </w:p>
  <w:p w14:paraId="48FFA445" w14:textId="77777777" w:rsidR="00570C89" w:rsidRDefault="00570C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F17C2" w14:textId="77777777" w:rsidR="00C6356A" w:rsidRPr="00C6356A" w:rsidRDefault="00C6356A">
    <w:pPr>
      <w:pStyle w:val="Footer"/>
      <w:jc w:val="center"/>
      <w:rPr>
        <w:b/>
        <w:bCs/>
      </w:rPr>
    </w:pPr>
  </w:p>
  <w:sdt>
    <w:sdtPr>
      <w:id w:val="893164179"/>
      <w:docPartObj>
        <w:docPartGallery w:val="Page Numbers (Bottom of Page)"/>
        <w:docPartUnique/>
      </w:docPartObj>
    </w:sdtPr>
    <w:sdtEndPr>
      <w:rPr>
        <w:b/>
        <w:bCs/>
        <w:noProof/>
      </w:rPr>
    </w:sdtEndPr>
    <w:sdtContent>
      <w:p w14:paraId="00FAC9D5" w14:textId="1DA3DAD8" w:rsidR="00C6356A" w:rsidRPr="00C6356A" w:rsidRDefault="00C6356A" w:rsidP="00C6356A">
        <w:pPr>
          <w:pStyle w:val="Footer"/>
          <w:jc w:val="center"/>
          <w:rPr>
            <w:b/>
            <w:bCs/>
          </w:rPr>
        </w:pPr>
        <w:r w:rsidRPr="00C6356A">
          <w:rPr>
            <w:b/>
            <w:bCs/>
          </w:rPr>
          <w:fldChar w:fldCharType="begin"/>
        </w:r>
        <w:r w:rsidRPr="00C6356A">
          <w:rPr>
            <w:b/>
            <w:bCs/>
          </w:rPr>
          <w:instrText xml:space="preserve"> PAGE   \* MERGEFORMAT </w:instrText>
        </w:r>
        <w:r w:rsidRPr="00C6356A">
          <w:rPr>
            <w:b/>
            <w:bCs/>
          </w:rPr>
          <w:fldChar w:fldCharType="separate"/>
        </w:r>
        <w:r w:rsidRPr="00C6356A">
          <w:rPr>
            <w:b/>
            <w:bCs/>
            <w:noProof/>
          </w:rPr>
          <w:t>2</w:t>
        </w:r>
        <w:r w:rsidRPr="00C6356A">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570C89" w14:paraId="1B1A9BFB" w14:textId="77777777" w:rsidTr="005A3173">
      <w:trPr>
        <w:trHeight w:val="151"/>
      </w:trPr>
      <w:tc>
        <w:tcPr>
          <w:tcW w:w="2250" w:type="pct"/>
          <w:tcBorders>
            <w:top w:val="nil"/>
            <w:left w:val="nil"/>
            <w:bottom w:val="single" w:sz="4" w:space="0" w:color="4F81BD"/>
            <w:right w:val="nil"/>
          </w:tcBorders>
        </w:tcPr>
        <w:p w14:paraId="1AEC0F9B" w14:textId="77777777" w:rsidR="00570C89" w:rsidRPr="005A3173" w:rsidRDefault="00570C89"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570C89" w:rsidRPr="005A3173" w:rsidRDefault="00570C8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570C89" w:rsidRPr="005A3173" w:rsidRDefault="00570C89" w:rsidP="005A3173">
          <w:pPr>
            <w:pStyle w:val="Header"/>
            <w:spacing w:line="276" w:lineRule="auto"/>
            <w:rPr>
              <w:rFonts w:eastAsia="MS Gothic"/>
              <w:b/>
              <w:bCs/>
              <w:color w:val="4F81BD"/>
            </w:rPr>
          </w:pPr>
        </w:p>
      </w:tc>
    </w:tr>
    <w:tr w:rsidR="00570C89" w14:paraId="0A17FD7B" w14:textId="77777777" w:rsidTr="005A3173">
      <w:trPr>
        <w:trHeight w:val="150"/>
      </w:trPr>
      <w:tc>
        <w:tcPr>
          <w:tcW w:w="2250" w:type="pct"/>
          <w:tcBorders>
            <w:top w:val="single" w:sz="4" w:space="0" w:color="4F81BD"/>
            <w:left w:val="nil"/>
            <w:bottom w:val="nil"/>
            <w:right w:val="nil"/>
          </w:tcBorders>
        </w:tcPr>
        <w:p w14:paraId="66DEA9D9" w14:textId="77777777" w:rsidR="00570C89" w:rsidRPr="005A3173" w:rsidRDefault="00570C89" w:rsidP="005A3173">
          <w:pPr>
            <w:pStyle w:val="Header"/>
            <w:spacing w:line="276" w:lineRule="auto"/>
            <w:rPr>
              <w:rFonts w:eastAsia="MS Gothic"/>
              <w:b/>
              <w:bCs/>
              <w:color w:val="4F81BD"/>
            </w:rPr>
          </w:pPr>
        </w:p>
      </w:tc>
      <w:tc>
        <w:tcPr>
          <w:tcW w:w="0" w:type="auto"/>
          <w:vMerge/>
          <w:vAlign w:val="center"/>
          <w:hideMark/>
        </w:tcPr>
        <w:p w14:paraId="0726D67B" w14:textId="77777777" w:rsidR="00570C89" w:rsidRPr="005A3173" w:rsidRDefault="00570C89" w:rsidP="005A3173">
          <w:pPr>
            <w:rPr>
              <w:color w:val="365F91"/>
              <w:sz w:val="22"/>
              <w:szCs w:val="22"/>
            </w:rPr>
          </w:pPr>
        </w:p>
      </w:tc>
      <w:tc>
        <w:tcPr>
          <w:tcW w:w="2250" w:type="pct"/>
          <w:tcBorders>
            <w:top w:val="single" w:sz="4" w:space="0" w:color="4F81BD"/>
            <w:left w:val="nil"/>
            <w:bottom w:val="nil"/>
            <w:right w:val="nil"/>
          </w:tcBorders>
        </w:tcPr>
        <w:p w14:paraId="77FEEEB1" w14:textId="77777777" w:rsidR="00570C89" w:rsidRPr="005A3173" w:rsidRDefault="00570C89"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570C89" w14:paraId="434C4AE3" w14:textId="77777777" w:rsidTr="005A3173">
      <w:trPr>
        <w:trHeight w:val="151"/>
      </w:trPr>
      <w:tc>
        <w:tcPr>
          <w:tcW w:w="2250" w:type="pct"/>
          <w:tcBorders>
            <w:top w:val="nil"/>
            <w:left w:val="nil"/>
            <w:bottom w:val="single" w:sz="4" w:space="0" w:color="4F81BD"/>
            <w:right w:val="nil"/>
          </w:tcBorders>
        </w:tcPr>
        <w:p w14:paraId="556410DA" w14:textId="77777777" w:rsidR="00570C89" w:rsidRPr="005A3173" w:rsidRDefault="00570C89"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570C89" w:rsidRPr="005A3173" w:rsidRDefault="00570C8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570C89" w:rsidRPr="005A3173" w:rsidRDefault="00570C89" w:rsidP="005A3173">
          <w:pPr>
            <w:pStyle w:val="Header"/>
            <w:spacing w:line="276" w:lineRule="auto"/>
            <w:rPr>
              <w:rFonts w:eastAsia="MS Gothic"/>
              <w:b/>
              <w:bCs/>
              <w:color w:val="4F81BD"/>
            </w:rPr>
          </w:pPr>
        </w:p>
      </w:tc>
    </w:tr>
    <w:tr w:rsidR="00570C89" w14:paraId="2F5EEC4C" w14:textId="77777777" w:rsidTr="005A3173">
      <w:trPr>
        <w:trHeight w:val="150"/>
      </w:trPr>
      <w:tc>
        <w:tcPr>
          <w:tcW w:w="2250" w:type="pct"/>
          <w:tcBorders>
            <w:top w:val="single" w:sz="4" w:space="0" w:color="4F81BD"/>
            <w:left w:val="nil"/>
            <w:bottom w:val="nil"/>
            <w:right w:val="nil"/>
          </w:tcBorders>
        </w:tcPr>
        <w:p w14:paraId="60E1BA15" w14:textId="77777777" w:rsidR="00570C89" w:rsidRPr="005A3173" w:rsidRDefault="00570C89" w:rsidP="005A3173">
          <w:pPr>
            <w:pStyle w:val="Header"/>
            <w:spacing w:line="276" w:lineRule="auto"/>
            <w:rPr>
              <w:rFonts w:eastAsia="MS Gothic"/>
              <w:b/>
              <w:bCs/>
              <w:color w:val="4F81BD"/>
            </w:rPr>
          </w:pPr>
        </w:p>
      </w:tc>
      <w:tc>
        <w:tcPr>
          <w:tcW w:w="0" w:type="auto"/>
          <w:vMerge/>
          <w:vAlign w:val="center"/>
          <w:hideMark/>
        </w:tcPr>
        <w:p w14:paraId="4EACACBE" w14:textId="77777777" w:rsidR="00570C89" w:rsidRPr="005A3173" w:rsidRDefault="00570C89" w:rsidP="005A3173">
          <w:pPr>
            <w:rPr>
              <w:color w:val="365F91"/>
              <w:sz w:val="22"/>
              <w:szCs w:val="22"/>
            </w:rPr>
          </w:pPr>
        </w:p>
      </w:tc>
      <w:tc>
        <w:tcPr>
          <w:tcW w:w="2250" w:type="pct"/>
          <w:tcBorders>
            <w:top w:val="single" w:sz="4" w:space="0" w:color="4F81BD"/>
            <w:left w:val="nil"/>
            <w:bottom w:val="nil"/>
            <w:right w:val="nil"/>
          </w:tcBorders>
        </w:tcPr>
        <w:p w14:paraId="516BCB31" w14:textId="77777777" w:rsidR="00570C89" w:rsidRPr="005A3173" w:rsidRDefault="00570C89" w:rsidP="005A3173">
          <w:pPr>
            <w:pStyle w:val="Header"/>
            <w:spacing w:line="276" w:lineRule="auto"/>
            <w:rPr>
              <w:rFonts w:eastAsia="MS Gothic"/>
              <w:b/>
              <w:bCs/>
              <w:color w:val="4F81BD"/>
            </w:rPr>
          </w:pPr>
        </w:p>
      </w:tc>
    </w:tr>
  </w:tbl>
  <w:p w14:paraId="679BDCC0" w14:textId="77777777" w:rsidR="00570C89" w:rsidRPr="007C0F57" w:rsidRDefault="00570C89"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570C89" w:rsidRPr="007C0F57" w:rsidRDefault="00570C89" w:rsidP="007C0F57">
    <w:pPr>
      <w:pStyle w:val="Footer"/>
      <w:jc w:val="center"/>
      <w:rPr>
        <w:b/>
        <w:i/>
        <w:sz w:val="20"/>
        <w:szCs w:val="20"/>
      </w:rPr>
    </w:pPr>
    <w:r w:rsidRPr="007C0F57">
      <w:rPr>
        <w:b/>
        <w:i/>
        <w:sz w:val="20"/>
        <w:szCs w:val="20"/>
      </w:rPr>
      <w:t>Commercial-in-Confidence</w:t>
    </w:r>
  </w:p>
  <w:p w14:paraId="36E9E30B" w14:textId="77777777" w:rsidR="00570C89" w:rsidRDefault="00570C8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D33F3B" w14:textId="77777777" w:rsidR="00274F24" w:rsidRDefault="00274F24">
      <w:r>
        <w:separator/>
      </w:r>
    </w:p>
    <w:p w14:paraId="5C2DA189" w14:textId="77777777" w:rsidR="00274F24" w:rsidRDefault="00274F24"/>
  </w:footnote>
  <w:footnote w:type="continuationSeparator" w:id="0">
    <w:p w14:paraId="18FEDC7C" w14:textId="77777777" w:rsidR="00274F24" w:rsidRDefault="00274F24">
      <w:r>
        <w:continuationSeparator/>
      </w:r>
    </w:p>
    <w:p w14:paraId="045D44DC" w14:textId="77777777" w:rsidR="00274F24" w:rsidRDefault="00274F24"/>
  </w:footnote>
  <w:footnote w:type="continuationNotice" w:id="1">
    <w:p w14:paraId="48B9E440" w14:textId="77777777" w:rsidR="00274F24" w:rsidRDefault="00274F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570C89"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570C89" w:rsidRPr="00A06225" w:rsidRDefault="00570C89">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570C89" w:rsidRPr="00A06225" w:rsidRDefault="00570C89"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570C89" w:rsidRPr="00A06225" w:rsidRDefault="00570C89">
          <w:pPr>
            <w:pStyle w:val="Header"/>
            <w:spacing w:line="276" w:lineRule="auto"/>
            <w:rPr>
              <w:rFonts w:ascii="Cambria" w:eastAsia="MS Gothic" w:hAnsi="Cambria"/>
              <w:b/>
              <w:bCs/>
              <w:color w:val="4F81BD"/>
            </w:rPr>
          </w:pPr>
        </w:p>
      </w:tc>
    </w:tr>
    <w:tr w:rsidR="00570C89"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570C89" w:rsidRPr="00A06225" w:rsidRDefault="00570C89">
          <w:pPr>
            <w:pStyle w:val="Header"/>
            <w:spacing w:line="276" w:lineRule="auto"/>
            <w:rPr>
              <w:rFonts w:ascii="Cambria" w:eastAsia="MS Gothic" w:hAnsi="Cambria"/>
              <w:b/>
              <w:bCs/>
              <w:color w:val="4F81BD"/>
            </w:rPr>
          </w:pPr>
        </w:p>
      </w:tc>
      <w:tc>
        <w:tcPr>
          <w:tcW w:w="0" w:type="auto"/>
          <w:vMerge/>
          <w:vAlign w:val="center"/>
          <w:hideMark/>
        </w:tcPr>
        <w:p w14:paraId="00B70FF1" w14:textId="77777777" w:rsidR="00570C89" w:rsidRPr="00A06225" w:rsidRDefault="00570C89">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570C89" w:rsidRPr="00A06225" w:rsidRDefault="00570C89">
          <w:pPr>
            <w:pStyle w:val="Header"/>
            <w:spacing w:line="276" w:lineRule="auto"/>
            <w:rPr>
              <w:rFonts w:ascii="Cambria" w:eastAsia="MS Gothic" w:hAnsi="Cambria"/>
              <w:b/>
              <w:bCs/>
              <w:color w:val="4F81BD"/>
            </w:rPr>
          </w:pPr>
        </w:p>
      </w:tc>
    </w:tr>
  </w:tbl>
  <w:p w14:paraId="7DCC695F" w14:textId="77777777" w:rsidR="00570C89" w:rsidRDefault="00570C89">
    <w:pPr>
      <w:pStyle w:val="Header"/>
    </w:pPr>
  </w:p>
  <w:p w14:paraId="25F34A60" w14:textId="77777777" w:rsidR="00570C89" w:rsidRDefault="00570C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B5369" w14:textId="23009C1C" w:rsidR="00C6356A" w:rsidRPr="00056684" w:rsidRDefault="00157FCE" w:rsidP="00C6356A">
    <w:pPr>
      <w:pStyle w:val="Header"/>
      <w:ind w:left="360"/>
      <w:rPr>
        <w:rFonts w:asciiTheme="minorHAnsi" w:hAnsiTheme="minorHAnsi" w:cs="Arial"/>
        <w:i/>
        <w:color w:val="808080"/>
      </w:rPr>
    </w:pPr>
    <w:bookmarkStart w:id="5" w:name="_Hlk76375146"/>
    <w:r>
      <w:rPr>
        <w:rFonts w:asciiTheme="minorHAnsi" w:hAnsiTheme="minorHAnsi" w:cs="Arial"/>
        <w:i/>
        <w:color w:val="808080"/>
      </w:rPr>
      <w:t>Public Summary Document</w:t>
    </w:r>
    <w:r w:rsidR="00C6356A" w:rsidRPr="00056684">
      <w:rPr>
        <w:rFonts w:asciiTheme="minorHAnsi" w:hAnsiTheme="minorHAnsi" w:cs="Arial"/>
        <w:i/>
        <w:color w:val="808080"/>
      </w:rPr>
      <w:t xml:space="preserve"> – </w:t>
    </w:r>
    <w:r w:rsidR="00C6356A">
      <w:rPr>
        <w:rFonts w:asciiTheme="minorHAnsi" w:hAnsiTheme="minorHAnsi" w:cs="Arial"/>
        <w:i/>
        <w:color w:val="808080"/>
      </w:rPr>
      <w:t>July 2022</w:t>
    </w:r>
    <w:r w:rsidR="00C6356A" w:rsidRPr="00056684">
      <w:rPr>
        <w:rFonts w:asciiTheme="minorHAnsi" w:hAnsiTheme="minorHAnsi" w:cs="Arial"/>
        <w:i/>
        <w:color w:val="808080"/>
      </w:rPr>
      <w:t xml:space="preserve"> PBAC Meeting</w:t>
    </w:r>
  </w:p>
  <w:bookmarkEnd w:id="5"/>
  <w:p w14:paraId="49E1B9F5" w14:textId="77777777" w:rsidR="00570C89" w:rsidRDefault="00570C89"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0D9DA" w14:textId="77777777" w:rsidR="00BD307D" w:rsidRDefault="00BD30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3" w15:restartNumberingAfterBreak="0">
    <w:nsid w:val="0A477D83"/>
    <w:multiLevelType w:val="hybridMultilevel"/>
    <w:tmpl w:val="A08E0F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6244933"/>
    <w:multiLevelType w:val="hybridMultilevel"/>
    <w:tmpl w:val="BEC87E2E"/>
    <w:lvl w:ilvl="0" w:tplc="3F1ECEA6">
      <w:start w:val="1"/>
      <w:numFmt w:val="upperLetter"/>
      <w:lvlText w:val="%1."/>
      <w:lvlJc w:val="left"/>
      <w:pPr>
        <w:ind w:left="720" w:hanging="360"/>
      </w:p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9"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0" w15:restartNumberingAfterBreak="0">
    <w:nsid w:val="4013644B"/>
    <w:multiLevelType w:val="multilevel"/>
    <w:tmpl w:val="D0280650"/>
    <w:lvl w:ilvl="0">
      <w:start w:val="1"/>
      <w:numFmt w:val="decimal"/>
      <w:lvlText w:val="%1"/>
      <w:lvlJc w:val="left"/>
      <w:pPr>
        <w:ind w:left="720" w:hanging="720"/>
      </w:pPr>
      <w:rPr>
        <w:b/>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1"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2"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0"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1"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7E537B19"/>
    <w:multiLevelType w:val="hybridMultilevel"/>
    <w:tmpl w:val="71460710"/>
    <w:lvl w:ilvl="0" w:tplc="4B2ADFF8">
      <w:start w:val="1"/>
      <w:numFmt w:val="upperLetter"/>
      <w:lvlText w:val="%1."/>
      <w:lvlJc w:val="left"/>
      <w:pPr>
        <w:ind w:left="360" w:hanging="360"/>
      </w:pPr>
      <w:rPr>
        <w:rFonts w:eastAsiaTheme="minorHAnsi" w:hint="default"/>
        <w:i w:val="0"/>
        <w:iCs w: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20"/>
  </w:num>
  <w:num w:numId="3">
    <w:abstractNumId w:val="0"/>
  </w:num>
  <w:num w:numId="4">
    <w:abstractNumId w:val="14"/>
  </w:num>
  <w:num w:numId="5">
    <w:abstractNumId w:val="22"/>
  </w:num>
  <w:num w:numId="6">
    <w:abstractNumId w:val="18"/>
  </w:num>
  <w:num w:numId="7">
    <w:abstractNumId w:val="12"/>
  </w:num>
  <w:num w:numId="8">
    <w:abstractNumId w:val="9"/>
  </w:num>
  <w:num w:numId="9">
    <w:abstractNumId w:val="1"/>
  </w:num>
  <w:num w:numId="10">
    <w:abstractNumId w:val="20"/>
  </w:num>
  <w:num w:numId="11">
    <w:abstractNumId w:val="17"/>
  </w:num>
  <w:num w:numId="12">
    <w:abstractNumId w:val="19"/>
  </w:num>
  <w:num w:numId="13">
    <w:abstractNumId w:val="7"/>
  </w:num>
  <w:num w:numId="14">
    <w:abstractNumId w:val="6"/>
  </w:num>
  <w:num w:numId="15">
    <w:abstractNumId w:val="15"/>
  </w:num>
  <w:num w:numId="16">
    <w:abstractNumId w:val="2"/>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3"/>
  </w:num>
  <w:num w:numId="20">
    <w:abstractNumId w:val="5"/>
  </w:num>
  <w:num w:numId="21">
    <w:abstractNumId w:val="4"/>
  </w:num>
  <w:num w:numId="22">
    <w:abstractNumId w:val="11"/>
  </w:num>
  <w:num w:numId="23">
    <w:abstractNumId w:val="23"/>
  </w:num>
  <w:num w:numId="24">
    <w:abstractNumId w:val="20"/>
  </w:num>
  <w:num w:numId="25">
    <w:abstractNumId w:val="20"/>
  </w:num>
  <w:num w:numId="26">
    <w:abstractNumId w:val="20"/>
  </w:num>
  <w:num w:numId="27">
    <w:abstractNumId w:val="20"/>
  </w:num>
  <w:num w:numId="28">
    <w:abstractNumId w:val="3"/>
  </w:num>
  <w:num w:numId="29">
    <w:abstractNumId w:val="10"/>
  </w:num>
  <w:num w:numId="30">
    <w:abstractNumId w:val="20"/>
  </w:num>
  <w:num w:numId="31">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6782"/>
    <w:rsid w:val="0001179A"/>
    <w:rsid w:val="00011A59"/>
    <w:rsid w:val="00014D69"/>
    <w:rsid w:val="00016A41"/>
    <w:rsid w:val="0002147F"/>
    <w:rsid w:val="000214D1"/>
    <w:rsid w:val="0002464A"/>
    <w:rsid w:val="00025A04"/>
    <w:rsid w:val="0002693D"/>
    <w:rsid w:val="0003050E"/>
    <w:rsid w:val="0003106B"/>
    <w:rsid w:val="00034905"/>
    <w:rsid w:val="0003581D"/>
    <w:rsid w:val="00040A30"/>
    <w:rsid w:val="000421A1"/>
    <w:rsid w:val="0004240E"/>
    <w:rsid w:val="00044EC4"/>
    <w:rsid w:val="00045E26"/>
    <w:rsid w:val="00046903"/>
    <w:rsid w:val="000514B5"/>
    <w:rsid w:val="0005322E"/>
    <w:rsid w:val="00053957"/>
    <w:rsid w:val="00054E2B"/>
    <w:rsid w:val="00060E64"/>
    <w:rsid w:val="000621AB"/>
    <w:rsid w:val="00062E88"/>
    <w:rsid w:val="00066193"/>
    <w:rsid w:val="00066755"/>
    <w:rsid w:val="00071A5B"/>
    <w:rsid w:val="00072730"/>
    <w:rsid w:val="0007337F"/>
    <w:rsid w:val="00074320"/>
    <w:rsid w:val="000763D5"/>
    <w:rsid w:val="00076C38"/>
    <w:rsid w:val="00077143"/>
    <w:rsid w:val="00077DF7"/>
    <w:rsid w:val="0008050C"/>
    <w:rsid w:val="00082169"/>
    <w:rsid w:val="000834BE"/>
    <w:rsid w:val="00083F01"/>
    <w:rsid w:val="00083F4D"/>
    <w:rsid w:val="00085B61"/>
    <w:rsid w:val="00087C4C"/>
    <w:rsid w:val="000918CB"/>
    <w:rsid w:val="00091B06"/>
    <w:rsid w:val="000951C4"/>
    <w:rsid w:val="00095ADA"/>
    <w:rsid w:val="000969AD"/>
    <w:rsid w:val="000975FB"/>
    <w:rsid w:val="00097CA5"/>
    <w:rsid w:val="000A02F8"/>
    <w:rsid w:val="000A3AA2"/>
    <w:rsid w:val="000A44B2"/>
    <w:rsid w:val="000A52F6"/>
    <w:rsid w:val="000A58B8"/>
    <w:rsid w:val="000B44C3"/>
    <w:rsid w:val="000B558D"/>
    <w:rsid w:val="000B5A89"/>
    <w:rsid w:val="000B65F6"/>
    <w:rsid w:val="000B7767"/>
    <w:rsid w:val="000C5F95"/>
    <w:rsid w:val="000C6996"/>
    <w:rsid w:val="000C6BE8"/>
    <w:rsid w:val="000C77A7"/>
    <w:rsid w:val="000C7C46"/>
    <w:rsid w:val="000D09E9"/>
    <w:rsid w:val="000D113F"/>
    <w:rsid w:val="000D23BA"/>
    <w:rsid w:val="000E19B7"/>
    <w:rsid w:val="000E20FC"/>
    <w:rsid w:val="000E3DFB"/>
    <w:rsid w:val="000E5EA1"/>
    <w:rsid w:val="000E681E"/>
    <w:rsid w:val="000E696B"/>
    <w:rsid w:val="000E7E52"/>
    <w:rsid w:val="000E7E90"/>
    <w:rsid w:val="000EE1C7"/>
    <w:rsid w:val="000F0003"/>
    <w:rsid w:val="000F3384"/>
    <w:rsid w:val="000F4301"/>
    <w:rsid w:val="000F4E6A"/>
    <w:rsid w:val="000F7354"/>
    <w:rsid w:val="00101ABE"/>
    <w:rsid w:val="00102202"/>
    <w:rsid w:val="00102700"/>
    <w:rsid w:val="00102A78"/>
    <w:rsid w:val="00103118"/>
    <w:rsid w:val="00103F1B"/>
    <w:rsid w:val="00104227"/>
    <w:rsid w:val="001053D5"/>
    <w:rsid w:val="001107BF"/>
    <w:rsid w:val="00113649"/>
    <w:rsid w:val="00113D5C"/>
    <w:rsid w:val="00116B03"/>
    <w:rsid w:val="00120AA6"/>
    <w:rsid w:val="00121850"/>
    <w:rsid w:val="001239DB"/>
    <w:rsid w:val="0012417C"/>
    <w:rsid w:val="00124BF2"/>
    <w:rsid w:val="00125837"/>
    <w:rsid w:val="0012597F"/>
    <w:rsid w:val="00126B19"/>
    <w:rsid w:val="00126D3A"/>
    <w:rsid w:val="0012749D"/>
    <w:rsid w:val="00127D83"/>
    <w:rsid w:val="001306A5"/>
    <w:rsid w:val="00130918"/>
    <w:rsid w:val="001311AE"/>
    <w:rsid w:val="001366C2"/>
    <w:rsid w:val="00136C17"/>
    <w:rsid w:val="00140B74"/>
    <w:rsid w:val="00140D94"/>
    <w:rsid w:val="00142395"/>
    <w:rsid w:val="00142714"/>
    <w:rsid w:val="00144D09"/>
    <w:rsid w:val="001452ED"/>
    <w:rsid w:val="00147D84"/>
    <w:rsid w:val="00151CBD"/>
    <w:rsid w:val="001533C3"/>
    <w:rsid w:val="00153A1D"/>
    <w:rsid w:val="001549C1"/>
    <w:rsid w:val="00156C8D"/>
    <w:rsid w:val="00157FCE"/>
    <w:rsid w:val="00160F4D"/>
    <w:rsid w:val="00161F91"/>
    <w:rsid w:val="00162BDD"/>
    <w:rsid w:val="00162D4E"/>
    <w:rsid w:val="00163329"/>
    <w:rsid w:val="00164623"/>
    <w:rsid w:val="001652DE"/>
    <w:rsid w:val="001653EC"/>
    <w:rsid w:val="00165B64"/>
    <w:rsid w:val="00167C39"/>
    <w:rsid w:val="001758B6"/>
    <w:rsid w:val="00176B9D"/>
    <w:rsid w:val="00180277"/>
    <w:rsid w:val="00180713"/>
    <w:rsid w:val="00180720"/>
    <w:rsid w:val="001830CE"/>
    <w:rsid w:val="001836E3"/>
    <w:rsid w:val="00184659"/>
    <w:rsid w:val="001860E5"/>
    <w:rsid w:val="0018643B"/>
    <w:rsid w:val="00196307"/>
    <w:rsid w:val="00197C70"/>
    <w:rsid w:val="00197F03"/>
    <w:rsid w:val="001A0D10"/>
    <w:rsid w:val="001A33EA"/>
    <w:rsid w:val="001A4413"/>
    <w:rsid w:val="001A4C4F"/>
    <w:rsid w:val="001A5A2B"/>
    <w:rsid w:val="001A76FB"/>
    <w:rsid w:val="001B017F"/>
    <w:rsid w:val="001B0B79"/>
    <w:rsid w:val="001B2BBC"/>
    <w:rsid w:val="001B2BCD"/>
    <w:rsid w:val="001B3A40"/>
    <w:rsid w:val="001B3FFE"/>
    <w:rsid w:val="001B5129"/>
    <w:rsid w:val="001C0B4C"/>
    <w:rsid w:val="001C0EC4"/>
    <w:rsid w:val="001C1195"/>
    <w:rsid w:val="001C12AE"/>
    <w:rsid w:val="001C1E84"/>
    <w:rsid w:val="001C2A0F"/>
    <w:rsid w:val="001C2E42"/>
    <w:rsid w:val="001D1F5F"/>
    <w:rsid w:val="001E06D2"/>
    <w:rsid w:val="001E17C4"/>
    <w:rsid w:val="001E2D65"/>
    <w:rsid w:val="001F005B"/>
    <w:rsid w:val="001F1850"/>
    <w:rsid w:val="001F1FBF"/>
    <w:rsid w:val="001F2311"/>
    <w:rsid w:val="001F2B80"/>
    <w:rsid w:val="001F2F1C"/>
    <w:rsid w:val="001F3189"/>
    <w:rsid w:val="00200BEA"/>
    <w:rsid w:val="00201FB8"/>
    <w:rsid w:val="00203FAC"/>
    <w:rsid w:val="002133FB"/>
    <w:rsid w:val="00213CFB"/>
    <w:rsid w:val="0021553C"/>
    <w:rsid w:val="0021557B"/>
    <w:rsid w:val="00216B87"/>
    <w:rsid w:val="002174FD"/>
    <w:rsid w:val="00217BE1"/>
    <w:rsid w:val="002214B9"/>
    <w:rsid w:val="00222680"/>
    <w:rsid w:val="00223370"/>
    <w:rsid w:val="00227BC5"/>
    <w:rsid w:val="00230F63"/>
    <w:rsid w:val="0023422A"/>
    <w:rsid w:val="00234252"/>
    <w:rsid w:val="0023466E"/>
    <w:rsid w:val="00237AC6"/>
    <w:rsid w:val="00242BFD"/>
    <w:rsid w:val="002430EE"/>
    <w:rsid w:val="00244139"/>
    <w:rsid w:val="00244490"/>
    <w:rsid w:val="00244BEC"/>
    <w:rsid w:val="00245B9C"/>
    <w:rsid w:val="00252587"/>
    <w:rsid w:val="00253499"/>
    <w:rsid w:val="002551A4"/>
    <w:rsid w:val="00257664"/>
    <w:rsid w:val="00260165"/>
    <w:rsid w:val="00265151"/>
    <w:rsid w:val="00265C2C"/>
    <w:rsid w:val="00266509"/>
    <w:rsid w:val="00271BA1"/>
    <w:rsid w:val="00273AC5"/>
    <w:rsid w:val="00274670"/>
    <w:rsid w:val="00274F24"/>
    <w:rsid w:val="002762FA"/>
    <w:rsid w:val="00277505"/>
    <w:rsid w:val="00277873"/>
    <w:rsid w:val="0028158C"/>
    <w:rsid w:val="002823B6"/>
    <w:rsid w:val="0028270A"/>
    <w:rsid w:val="0028632E"/>
    <w:rsid w:val="00290C03"/>
    <w:rsid w:val="00292E3B"/>
    <w:rsid w:val="002933A8"/>
    <w:rsid w:val="00294274"/>
    <w:rsid w:val="0029458F"/>
    <w:rsid w:val="00297A63"/>
    <w:rsid w:val="002A018F"/>
    <w:rsid w:val="002A0E04"/>
    <w:rsid w:val="002A104C"/>
    <w:rsid w:val="002A1EF7"/>
    <w:rsid w:val="002A2B7B"/>
    <w:rsid w:val="002A494D"/>
    <w:rsid w:val="002A4960"/>
    <w:rsid w:val="002A636A"/>
    <w:rsid w:val="002A755F"/>
    <w:rsid w:val="002A7CDA"/>
    <w:rsid w:val="002B0AE0"/>
    <w:rsid w:val="002B1AE6"/>
    <w:rsid w:val="002B1D51"/>
    <w:rsid w:val="002B2DE8"/>
    <w:rsid w:val="002B30F8"/>
    <w:rsid w:val="002B388A"/>
    <w:rsid w:val="002B3BFE"/>
    <w:rsid w:val="002B3C1A"/>
    <w:rsid w:val="002B5596"/>
    <w:rsid w:val="002B77D7"/>
    <w:rsid w:val="002C212F"/>
    <w:rsid w:val="002C2F35"/>
    <w:rsid w:val="002C3572"/>
    <w:rsid w:val="002C6AA9"/>
    <w:rsid w:val="002C7485"/>
    <w:rsid w:val="002D2641"/>
    <w:rsid w:val="002D283A"/>
    <w:rsid w:val="002D4543"/>
    <w:rsid w:val="002E022A"/>
    <w:rsid w:val="002E3153"/>
    <w:rsid w:val="002E4A02"/>
    <w:rsid w:val="002E5292"/>
    <w:rsid w:val="002E72CA"/>
    <w:rsid w:val="002E75DD"/>
    <w:rsid w:val="002F1D07"/>
    <w:rsid w:val="002F1FAC"/>
    <w:rsid w:val="002F5C5B"/>
    <w:rsid w:val="002F600D"/>
    <w:rsid w:val="002F6F0F"/>
    <w:rsid w:val="002F7E47"/>
    <w:rsid w:val="003008A2"/>
    <w:rsid w:val="00300AD6"/>
    <w:rsid w:val="00300B1B"/>
    <w:rsid w:val="003019D0"/>
    <w:rsid w:val="003019DE"/>
    <w:rsid w:val="00306444"/>
    <w:rsid w:val="003064AF"/>
    <w:rsid w:val="00307DC6"/>
    <w:rsid w:val="00310A8B"/>
    <w:rsid w:val="00310B68"/>
    <w:rsid w:val="003160D2"/>
    <w:rsid w:val="003173FC"/>
    <w:rsid w:val="00317C6C"/>
    <w:rsid w:val="00320B80"/>
    <w:rsid w:val="00320CD3"/>
    <w:rsid w:val="003215FF"/>
    <w:rsid w:val="00322667"/>
    <w:rsid w:val="0032607C"/>
    <w:rsid w:val="00326E79"/>
    <w:rsid w:val="0032748A"/>
    <w:rsid w:val="003301B1"/>
    <w:rsid w:val="00331189"/>
    <w:rsid w:val="00331A8E"/>
    <w:rsid w:val="0033263D"/>
    <w:rsid w:val="003339AA"/>
    <w:rsid w:val="00334E69"/>
    <w:rsid w:val="0033518A"/>
    <w:rsid w:val="00335535"/>
    <w:rsid w:val="003367EF"/>
    <w:rsid w:val="00337273"/>
    <w:rsid w:val="00341AE4"/>
    <w:rsid w:val="00343FB7"/>
    <w:rsid w:val="003441CE"/>
    <w:rsid w:val="003476EE"/>
    <w:rsid w:val="00347E24"/>
    <w:rsid w:val="00351FA4"/>
    <w:rsid w:val="003541DD"/>
    <w:rsid w:val="00356E5B"/>
    <w:rsid w:val="00360887"/>
    <w:rsid w:val="00361F88"/>
    <w:rsid w:val="0036249F"/>
    <w:rsid w:val="0036344A"/>
    <w:rsid w:val="00371246"/>
    <w:rsid w:val="003736C9"/>
    <w:rsid w:val="00383B77"/>
    <w:rsid w:val="00384988"/>
    <w:rsid w:val="003872CF"/>
    <w:rsid w:val="003874CB"/>
    <w:rsid w:val="00392DC9"/>
    <w:rsid w:val="003948C8"/>
    <w:rsid w:val="00395E8D"/>
    <w:rsid w:val="0039782C"/>
    <w:rsid w:val="003A13A6"/>
    <w:rsid w:val="003A2165"/>
    <w:rsid w:val="003A3AF3"/>
    <w:rsid w:val="003A5B4A"/>
    <w:rsid w:val="003A5D95"/>
    <w:rsid w:val="003A6510"/>
    <w:rsid w:val="003A74E2"/>
    <w:rsid w:val="003B0D3A"/>
    <w:rsid w:val="003B2302"/>
    <w:rsid w:val="003B23C5"/>
    <w:rsid w:val="003B2A75"/>
    <w:rsid w:val="003B49B2"/>
    <w:rsid w:val="003B6124"/>
    <w:rsid w:val="003B7960"/>
    <w:rsid w:val="003C0908"/>
    <w:rsid w:val="003C093A"/>
    <w:rsid w:val="003C1ECF"/>
    <w:rsid w:val="003C2FB5"/>
    <w:rsid w:val="003D24C5"/>
    <w:rsid w:val="003D4594"/>
    <w:rsid w:val="003D4AC4"/>
    <w:rsid w:val="003D5433"/>
    <w:rsid w:val="003D63B7"/>
    <w:rsid w:val="003D74C5"/>
    <w:rsid w:val="003E4374"/>
    <w:rsid w:val="003E468B"/>
    <w:rsid w:val="003E62BD"/>
    <w:rsid w:val="003E658D"/>
    <w:rsid w:val="003F044F"/>
    <w:rsid w:val="003F0C3A"/>
    <w:rsid w:val="003F15F0"/>
    <w:rsid w:val="003F2AD9"/>
    <w:rsid w:val="003F3228"/>
    <w:rsid w:val="003F5C8C"/>
    <w:rsid w:val="003F63CE"/>
    <w:rsid w:val="003F775A"/>
    <w:rsid w:val="00400E55"/>
    <w:rsid w:val="0040128E"/>
    <w:rsid w:val="0040216B"/>
    <w:rsid w:val="0040590E"/>
    <w:rsid w:val="00407CC8"/>
    <w:rsid w:val="00411434"/>
    <w:rsid w:val="00414F0C"/>
    <w:rsid w:val="00420400"/>
    <w:rsid w:val="00423E78"/>
    <w:rsid w:val="004252EC"/>
    <w:rsid w:val="00430D39"/>
    <w:rsid w:val="00442C91"/>
    <w:rsid w:val="004465BD"/>
    <w:rsid w:val="00446938"/>
    <w:rsid w:val="00450B97"/>
    <w:rsid w:val="004528FA"/>
    <w:rsid w:val="00461A44"/>
    <w:rsid w:val="00462D26"/>
    <w:rsid w:val="0046368B"/>
    <w:rsid w:val="0046385A"/>
    <w:rsid w:val="00464039"/>
    <w:rsid w:val="00466ADA"/>
    <w:rsid w:val="004702BB"/>
    <w:rsid w:val="0047494B"/>
    <w:rsid w:val="00476245"/>
    <w:rsid w:val="00477A9B"/>
    <w:rsid w:val="00482AE4"/>
    <w:rsid w:val="00483035"/>
    <w:rsid w:val="00485940"/>
    <w:rsid w:val="00486C95"/>
    <w:rsid w:val="004877C2"/>
    <w:rsid w:val="004904B9"/>
    <w:rsid w:val="004928E1"/>
    <w:rsid w:val="00492D8D"/>
    <w:rsid w:val="00496662"/>
    <w:rsid w:val="004A1431"/>
    <w:rsid w:val="004A2484"/>
    <w:rsid w:val="004A5A85"/>
    <w:rsid w:val="004A71D1"/>
    <w:rsid w:val="004A7C5B"/>
    <w:rsid w:val="004B1845"/>
    <w:rsid w:val="004B2348"/>
    <w:rsid w:val="004B2E01"/>
    <w:rsid w:val="004B2E98"/>
    <w:rsid w:val="004B5640"/>
    <w:rsid w:val="004B6084"/>
    <w:rsid w:val="004BCF29"/>
    <w:rsid w:val="004C0206"/>
    <w:rsid w:val="004C03D0"/>
    <w:rsid w:val="004C1BD7"/>
    <w:rsid w:val="004C239C"/>
    <w:rsid w:val="004C31FE"/>
    <w:rsid w:val="004C524C"/>
    <w:rsid w:val="004C5EDD"/>
    <w:rsid w:val="004C5FFA"/>
    <w:rsid w:val="004C691D"/>
    <w:rsid w:val="004C6C07"/>
    <w:rsid w:val="004C7E15"/>
    <w:rsid w:val="004D2CD1"/>
    <w:rsid w:val="004D4FF6"/>
    <w:rsid w:val="004D5ADD"/>
    <w:rsid w:val="004E692D"/>
    <w:rsid w:val="004E7230"/>
    <w:rsid w:val="004E7D87"/>
    <w:rsid w:val="004F2553"/>
    <w:rsid w:val="004F306A"/>
    <w:rsid w:val="005008A6"/>
    <w:rsid w:val="00501554"/>
    <w:rsid w:val="00502AFE"/>
    <w:rsid w:val="00502E64"/>
    <w:rsid w:val="00503AD7"/>
    <w:rsid w:val="00503E89"/>
    <w:rsid w:val="00504E0C"/>
    <w:rsid w:val="00504E13"/>
    <w:rsid w:val="005109D4"/>
    <w:rsid w:val="0051230A"/>
    <w:rsid w:val="00514CD7"/>
    <w:rsid w:val="005156C1"/>
    <w:rsid w:val="005167EC"/>
    <w:rsid w:val="005170DA"/>
    <w:rsid w:val="00520D6A"/>
    <w:rsid w:val="005216B2"/>
    <w:rsid w:val="00522DB6"/>
    <w:rsid w:val="005264A7"/>
    <w:rsid w:val="005276D6"/>
    <w:rsid w:val="0052792D"/>
    <w:rsid w:val="005319B2"/>
    <w:rsid w:val="00532402"/>
    <w:rsid w:val="00532C74"/>
    <w:rsid w:val="00533239"/>
    <w:rsid w:val="00534A68"/>
    <w:rsid w:val="00534E2E"/>
    <w:rsid w:val="00535133"/>
    <w:rsid w:val="0054064C"/>
    <w:rsid w:val="00544552"/>
    <w:rsid w:val="00545130"/>
    <w:rsid w:val="00546B36"/>
    <w:rsid w:val="005522AD"/>
    <w:rsid w:val="0055286A"/>
    <w:rsid w:val="00555745"/>
    <w:rsid w:val="00557D4F"/>
    <w:rsid w:val="0056122E"/>
    <w:rsid w:val="0056484E"/>
    <w:rsid w:val="00565999"/>
    <w:rsid w:val="00567D8A"/>
    <w:rsid w:val="00570231"/>
    <w:rsid w:val="00570C89"/>
    <w:rsid w:val="005764CD"/>
    <w:rsid w:val="00577C4D"/>
    <w:rsid w:val="00580532"/>
    <w:rsid w:val="00581932"/>
    <w:rsid w:val="00583270"/>
    <w:rsid w:val="005903BB"/>
    <w:rsid w:val="00593893"/>
    <w:rsid w:val="00593E22"/>
    <w:rsid w:val="005963BB"/>
    <w:rsid w:val="005A15D2"/>
    <w:rsid w:val="005A3173"/>
    <w:rsid w:val="005A3223"/>
    <w:rsid w:val="005A3DA3"/>
    <w:rsid w:val="005A52C4"/>
    <w:rsid w:val="005A5345"/>
    <w:rsid w:val="005A5D17"/>
    <w:rsid w:val="005A63A1"/>
    <w:rsid w:val="005B0486"/>
    <w:rsid w:val="005B1473"/>
    <w:rsid w:val="005B36FA"/>
    <w:rsid w:val="005C4F73"/>
    <w:rsid w:val="005D03AB"/>
    <w:rsid w:val="005D35CB"/>
    <w:rsid w:val="005D401D"/>
    <w:rsid w:val="005D5017"/>
    <w:rsid w:val="005D5708"/>
    <w:rsid w:val="005D63FA"/>
    <w:rsid w:val="005D73C7"/>
    <w:rsid w:val="005E0C2D"/>
    <w:rsid w:val="005E0D82"/>
    <w:rsid w:val="005E0F59"/>
    <w:rsid w:val="005E1333"/>
    <w:rsid w:val="005E3136"/>
    <w:rsid w:val="005E3C48"/>
    <w:rsid w:val="005E507D"/>
    <w:rsid w:val="005F0AD0"/>
    <w:rsid w:val="00601A91"/>
    <w:rsid w:val="006028A0"/>
    <w:rsid w:val="00602BA3"/>
    <w:rsid w:val="00605B63"/>
    <w:rsid w:val="00605F9A"/>
    <w:rsid w:val="00606442"/>
    <w:rsid w:val="00606EED"/>
    <w:rsid w:val="00612A95"/>
    <w:rsid w:val="00612E34"/>
    <w:rsid w:val="00614159"/>
    <w:rsid w:val="006158A3"/>
    <w:rsid w:val="00616C5F"/>
    <w:rsid w:val="00616DAC"/>
    <w:rsid w:val="00617725"/>
    <w:rsid w:val="00617C00"/>
    <w:rsid w:val="006263BF"/>
    <w:rsid w:val="0062748A"/>
    <w:rsid w:val="00630546"/>
    <w:rsid w:val="00630A2C"/>
    <w:rsid w:val="00634A75"/>
    <w:rsid w:val="0063682E"/>
    <w:rsid w:val="00640088"/>
    <w:rsid w:val="00641E48"/>
    <w:rsid w:val="00642672"/>
    <w:rsid w:val="00642DA8"/>
    <w:rsid w:val="006436CD"/>
    <w:rsid w:val="00651169"/>
    <w:rsid w:val="00653D69"/>
    <w:rsid w:val="00653EC8"/>
    <w:rsid w:val="006552E6"/>
    <w:rsid w:val="00655794"/>
    <w:rsid w:val="00656F2F"/>
    <w:rsid w:val="00657C63"/>
    <w:rsid w:val="00661054"/>
    <w:rsid w:val="00661CBC"/>
    <w:rsid w:val="00662B85"/>
    <w:rsid w:val="006652AB"/>
    <w:rsid w:val="006670BE"/>
    <w:rsid w:val="00670A76"/>
    <w:rsid w:val="006711AA"/>
    <w:rsid w:val="00671D09"/>
    <w:rsid w:val="00672B57"/>
    <w:rsid w:val="00673F1F"/>
    <w:rsid w:val="00675622"/>
    <w:rsid w:val="0067747D"/>
    <w:rsid w:val="006818D5"/>
    <w:rsid w:val="00681CA4"/>
    <w:rsid w:val="0069039D"/>
    <w:rsid w:val="006906DB"/>
    <w:rsid w:val="00691900"/>
    <w:rsid w:val="00691E6C"/>
    <w:rsid w:val="0069342D"/>
    <w:rsid w:val="00693DFB"/>
    <w:rsid w:val="00694FD5"/>
    <w:rsid w:val="0069501D"/>
    <w:rsid w:val="00696129"/>
    <w:rsid w:val="00697CF2"/>
    <w:rsid w:val="006A12A5"/>
    <w:rsid w:val="006A2515"/>
    <w:rsid w:val="006A5E20"/>
    <w:rsid w:val="006B0CF4"/>
    <w:rsid w:val="006B0D94"/>
    <w:rsid w:val="006B16B6"/>
    <w:rsid w:val="006B2925"/>
    <w:rsid w:val="006B485D"/>
    <w:rsid w:val="006B73D1"/>
    <w:rsid w:val="006C0C45"/>
    <w:rsid w:val="006C334C"/>
    <w:rsid w:val="006C6480"/>
    <w:rsid w:val="006C6C10"/>
    <w:rsid w:val="006C708E"/>
    <w:rsid w:val="006D14E7"/>
    <w:rsid w:val="006D1AC9"/>
    <w:rsid w:val="006D4444"/>
    <w:rsid w:val="006D6493"/>
    <w:rsid w:val="006D6EC7"/>
    <w:rsid w:val="006D7D50"/>
    <w:rsid w:val="006D7E45"/>
    <w:rsid w:val="006E1143"/>
    <w:rsid w:val="006E148B"/>
    <w:rsid w:val="006E1BCD"/>
    <w:rsid w:val="006E2732"/>
    <w:rsid w:val="006E53D5"/>
    <w:rsid w:val="006E59CD"/>
    <w:rsid w:val="006E7F37"/>
    <w:rsid w:val="006F0A71"/>
    <w:rsid w:val="006F1C6B"/>
    <w:rsid w:val="006F40C2"/>
    <w:rsid w:val="006F5125"/>
    <w:rsid w:val="006F733D"/>
    <w:rsid w:val="00700765"/>
    <w:rsid w:val="00702959"/>
    <w:rsid w:val="00702B6F"/>
    <w:rsid w:val="007030B4"/>
    <w:rsid w:val="00703B86"/>
    <w:rsid w:val="00704069"/>
    <w:rsid w:val="00706A2F"/>
    <w:rsid w:val="0070718E"/>
    <w:rsid w:val="00707E52"/>
    <w:rsid w:val="00710259"/>
    <w:rsid w:val="0071031F"/>
    <w:rsid w:val="00710737"/>
    <w:rsid w:val="007110C5"/>
    <w:rsid w:val="0071340B"/>
    <w:rsid w:val="00713C50"/>
    <w:rsid w:val="0071436D"/>
    <w:rsid w:val="00715BBB"/>
    <w:rsid w:val="007174BB"/>
    <w:rsid w:val="0072025D"/>
    <w:rsid w:val="00720DE5"/>
    <w:rsid w:val="00723328"/>
    <w:rsid w:val="007237DE"/>
    <w:rsid w:val="00724A91"/>
    <w:rsid w:val="0072502E"/>
    <w:rsid w:val="0073137C"/>
    <w:rsid w:val="007340B9"/>
    <w:rsid w:val="007353D3"/>
    <w:rsid w:val="00737424"/>
    <w:rsid w:val="00740EBE"/>
    <w:rsid w:val="0074156B"/>
    <w:rsid w:val="00741619"/>
    <w:rsid w:val="00741E68"/>
    <w:rsid w:val="007447BE"/>
    <w:rsid w:val="00747092"/>
    <w:rsid w:val="007526E6"/>
    <w:rsid w:val="00754DF9"/>
    <w:rsid w:val="007550AC"/>
    <w:rsid w:val="007555E8"/>
    <w:rsid w:val="00755CC5"/>
    <w:rsid w:val="00757EB8"/>
    <w:rsid w:val="00762862"/>
    <w:rsid w:val="0076420C"/>
    <w:rsid w:val="00771D07"/>
    <w:rsid w:val="00772649"/>
    <w:rsid w:val="00773BE3"/>
    <w:rsid w:val="007743DD"/>
    <w:rsid w:val="00774E2C"/>
    <w:rsid w:val="0077503C"/>
    <w:rsid w:val="0077518D"/>
    <w:rsid w:val="007753C2"/>
    <w:rsid w:val="00776068"/>
    <w:rsid w:val="007838B8"/>
    <w:rsid w:val="00785779"/>
    <w:rsid w:val="00787FD8"/>
    <w:rsid w:val="007915BA"/>
    <w:rsid w:val="00791844"/>
    <w:rsid w:val="00793CE9"/>
    <w:rsid w:val="007965B9"/>
    <w:rsid w:val="00796667"/>
    <w:rsid w:val="00797068"/>
    <w:rsid w:val="007979BD"/>
    <w:rsid w:val="007A4493"/>
    <w:rsid w:val="007A5C88"/>
    <w:rsid w:val="007A6A2F"/>
    <w:rsid w:val="007B024E"/>
    <w:rsid w:val="007B3BAF"/>
    <w:rsid w:val="007B3DDC"/>
    <w:rsid w:val="007B72A6"/>
    <w:rsid w:val="007C06D2"/>
    <w:rsid w:val="007C08E0"/>
    <w:rsid w:val="007C0F57"/>
    <w:rsid w:val="007C19A2"/>
    <w:rsid w:val="007C40B6"/>
    <w:rsid w:val="007C5975"/>
    <w:rsid w:val="007C729F"/>
    <w:rsid w:val="007D4C05"/>
    <w:rsid w:val="007D503D"/>
    <w:rsid w:val="007D59E7"/>
    <w:rsid w:val="007D5F2A"/>
    <w:rsid w:val="007E07AC"/>
    <w:rsid w:val="007E1014"/>
    <w:rsid w:val="007E12F8"/>
    <w:rsid w:val="007E1D28"/>
    <w:rsid w:val="007E490F"/>
    <w:rsid w:val="007E64F7"/>
    <w:rsid w:val="007F0021"/>
    <w:rsid w:val="007F2641"/>
    <w:rsid w:val="007F7C36"/>
    <w:rsid w:val="007F7F45"/>
    <w:rsid w:val="0080001F"/>
    <w:rsid w:val="00801958"/>
    <w:rsid w:val="008055AF"/>
    <w:rsid w:val="008057CD"/>
    <w:rsid w:val="008066B8"/>
    <w:rsid w:val="00806796"/>
    <w:rsid w:val="00810167"/>
    <w:rsid w:val="008104D0"/>
    <w:rsid w:val="00811CC0"/>
    <w:rsid w:val="008151D6"/>
    <w:rsid w:val="00820803"/>
    <w:rsid w:val="00821527"/>
    <w:rsid w:val="00822696"/>
    <w:rsid w:val="00825A6C"/>
    <w:rsid w:val="0082617E"/>
    <w:rsid w:val="008268BB"/>
    <w:rsid w:val="00826F6D"/>
    <w:rsid w:val="008306F3"/>
    <w:rsid w:val="00830E40"/>
    <w:rsid w:val="00832D9A"/>
    <w:rsid w:val="00835C62"/>
    <w:rsid w:val="008368A1"/>
    <w:rsid w:val="00840EF7"/>
    <w:rsid w:val="00844C0A"/>
    <w:rsid w:val="00846056"/>
    <w:rsid w:val="0084681F"/>
    <w:rsid w:val="00847EC0"/>
    <w:rsid w:val="00855FD6"/>
    <w:rsid w:val="00856DDD"/>
    <w:rsid w:val="00860233"/>
    <w:rsid w:val="00863E68"/>
    <w:rsid w:val="008647B5"/>
    <w:rsid w:val="00867D64"/>
    <w:rsid w:val="00870077"/>
    <w:rsid w:val="00872E8F"/>
    <w:rsid w:val="00875DCB"/>
    <w:rsid w:val="00876FBF"/>
    <w:rsid w:val="0087755A"/>
    <w:rsid w:val="00882085"/>
    <w:rsid w:val="00883188"/>
    <w:rsid w:val="00884A0C"/>
    <w:rsid w:val="00884D96"/>
    <w:rsid w:val="00886ACA"/>
    <w:rsid w:val="00886B01"/>
    <w:rsid w:val="00886E85"/>
    <w:rsid w:val="0089031E"/>
    <w:rsid w:val="0089109A"/>
    <w:rsid w:val="00892FB0"/>
    <w:rsid w:val="00893D5C"/>
    <w:rsid w:val="0089460B"/>
    <w:rsid w:val="00897D58"/>
    <w:rsid w:val="00897F22"/>
    <w:rsid w:val="008A0B39"/>
    <w:rsid w:val="008A17A3"/>
    <w:rsid w:val="008A1956"/>
    <w:rsid w:val="008A1E85"/>
    <w:rsid w:val="008A2419"/>
    <w:rsid w:val="008A4937"/>
    <w:rsid w:val="008A50F1"/>
    <w:rsid w:val="008A59D9"/>
    <w:rsid w:val="008A643E"/>
    <w:rsid w:val="008A6819"/>
    <w:rsid w:val="008B007A"/>
    <w:rsid w:val="008B2AD8"/>
    <w:rsid w:val="008B2EC0"/>
    <w:rsid w:val="008B6DCF"/>
    <w:rsid w:val="008D0945"/>
    <w:rsid w:val="008D1409"/>
    <w:rsid w:val="008D15CC"/>
    <w:rsid w:val="008D1729"/>
    <w:rsid w:val="008D1B5C"/>
    <w:rsid w:val="008D3C82"/>
    <w:rsid w:val="008D447E"/>
    <w:rsid w:val="008D6ACF"/>
    <w:rsid w:val="008D7A41"/>
    <w:rsid w:val="008E1B0E"/>
    <w:rsid w:val="008E2C72"/>
    <w:rsid w:val="008E3680"/>
    <w:rsid w:val="008E4F87"/>
    <w:rsid w:val="008E5870"/>
    <w:rsid w:val="008E77E4"/>
    <w:rsid w:val="008E7AA8"/>
    <w:rsid w:val="008F0213"/>
    <w:rsid w:val="008F07ED"/>
    <w:rsid w:val="008F11F8"/>
    <w:rsid w:val="008F1434"/>
    <w:rsid w:val="008F2BB9"/>
    <w:rsid w:val="008F3D6A"/>
    <w:rsid w:val="008F54C3"/>
    <w:rsid w:val="008F7355"/>
    <w:rsid w:val="009023DC"/>
    <w:rsid w:val="009027C5"/>
    <w:rsid w:val="00904413"/>
    <w:rsid w:val="009067B7"/>
    <w:rsid w:val="0090775A"/>
    <w:rsid w:val="00907DFD"/>
    <w:rsid w:val="00913C99"/>
    <w:rsid w:val="00917D69"/>
    <w:rsid w:val="00920B6D"/>
    <w:rsid w:val="00926560"/>
    <w:rsid w:val="00926B15"/>
    <w:rsid w:val="00930291"/>
    <w:rsid w:val="00930937"/>
    <w:rsid w:val="009324A6"/>
    <w:rsid w:val="00932C17"/>
    <w:rsid w:val="00933B7D"/>
    <w:rsid w:val="00933E6C"/>
    <w:rsid w:val="009346BE"/>
    <w:rsid w:val="00935A6E"/>
    <w:rsid w:val="00937958"/>
    <w:rsid w:val="009406E5"/>
    <w:rsid w:val="00941602"/>
    <w:rsid w:val="00942160"/>
    <w:rsid w:val="00946921"/>
    <w:rsid w:val="00947343"/>
    <w:rsid w:val="0095146F"/>
    <w:rsid w:val="009534C7"/>
    <w:rsid w:val="00957944"/>
    <w:rsid w:val="009602C5"/>
    <w:rsid w:val="00962223"/>
    <w:rsid w:val="0096252B"/>
    <w:rsid w:val="009644D9"/>
    <w:rsid w:val="00964A9F"/>
    <w:rsid w:val="00966D0D"/>
    <w:rsid w:val="00967732"/>
    <w:rsid w:val="0096783C"/>
    <w:rsid w:val="00970023"/>
    <w:rsid w:val="009722B3"/>
    <w:rsid w:val="00973E24"/>
    <w:rsid w:val="00974C21"/>
    <w:rsid w:val="009757E3"/>
    <w:rsid w:val="00975948"/>
    <w:rsid w:val="009772FD"/>
    <w:rsid w:val="00977BF3"/>
    <w:rsid w:val="009803E4"/>
    <w:rsid w:val="00980B0E"/>
    <w:rsid w:val="00982B39"/>
    <w:rsid w:val="009836A3"/>
    <w:rsid w:val="00984C58"/>
    <w:rsid w:val="009855A8"/>
    <w:rsid w:val="00985CBE"/>
    <w:rsid w:val="00985D1A"/>
    <w:rsid w:val="00990CF8"/>
    <w:rsid w:val="009913F4"/>
    <w:rsid w:val="00991782"/>
    <w:rsid w:val="009937F7"/>
    <w:rsid w:val="0099465B"/>
    <w:rsid w:val="009951A1"/>
    <w:rsid w:val="00997004"/>
    <w:rsid w:val="00997A44"/>
    <w:rsid w:val="009A0CDD"/>
    <w:rsid w:val="009A3168"/>
    <w:rsid w:val="009A33C7"/>
    <w:rsid w:val="009A4BDF"/>
    <w:rsid w:val="009A5D04"/>
    <w:rsid w:val="009A61CA"/>
    <w:rsid w:val="009B0C64"/>
    <w:rsid w:val="009B0F67"/>
    <w:rsid w:val="009B208A"/>
    <w:rsid w:val="009B2756"/>
    <w:rsid w:val="009B3D56"/>
    <w:rsid w:val="009B3F8C"/>
    <w:rsid w:val="009B533B"/>
    <w:rsid w:val="009C59F9"/>
    <w:rsid w:val="009C703C"/>
    <w:rsid w:val="009D0C29"/>
    <w:rsid w:val="009D206E"/>
    <w:rsid w:val="009D3CAA"/>
    <w:rsid w:val="009D45EA"/>
    <w:rsid w:val="009D507A"/>
    <w:rsid w:val="009D6532"/>
    <w:rsid w:val="009D71FD"/>
    <w:rsid w:val="009E06F0"/>
    <w:rsid w:val="009E0755"/>
    <w:rsid w:val="009E10AD"/>
    <w:rsid w:val="009E2588"/>
    <w:rsid w:val="009E2E8E"/>
    <w:rsid w:val="009E40E1"/>
    <w:rsid w:val="009E70B1"/>
    <w:rsid w:val="009F0EFA"/>
    <w:rsid w:val="009F16A8"/>
    <w:rsid w:val="009F4E46"/>
    <w:rsid w:val="009F5B65"/>
    <w:rsid w:val="009F5F2E"/>
    <w:rsid w:val="00A01432"/>
    <w:rsid w:val="00A03F67"/>
    <w:rsid w:val="00A06225"/>
    <w:rsid w:val="00A110D1"/>
    <w:rsid w:val="00A12587"/>
    <w:rsid w:val="00A128E6"/>
    <w:rsid w:val="00A144D3"/>
    <w:rsid w:val="00A21D7D"/>
    <w:rsid w:val="00A22AC3"/>
    <w:rsid w:val="00A23F3F"/>
    <w:rsid w:val="00A24067"/>
    <w:rsid w:val="00A24A4B"/>
    <w:rsid w:val="00A2744D"/>
    <w:rsid w:val="00A30D16"/>
    <w:rsid w:val="00A33EB7"/>
    <w:rsid w:val="00A34E6C"/>
    <w:rsid w:val="00A34FD0"/>
    <w:rsid w:val="00A36398"/>
    <w:rsid w:val="00A37C8D"/>
    <w:rsid w:val="00A4020E"/>
    <w:rsid w:val="00A408E8"/>
    <w:rsid w:val="00A40FB5"/>
    <w:rsid w:val="00A42826"/>
    <w:rsid w:val="00A429B3"/>
    <w:rsid w:val="00A44EC1"/>
    <w:rsid w:val="00A510E4"/>
    <w:rsid w:val="00A526F7"/>
    <w:rsid w:val="00A5273B"/>
    <w:rsid w:val="00A53A9D"/>
    <w:rsid w:val="00A55FEE"/>
    <w:rsid w:val="00A57422"/>
    <w:rsid w:val="00A62C1A"/>
    <w:rsid w:val="00A63CA2"/>
    <w:rsid w:val="00A6426D"/>
    <w:rsid w:val="00A665C1"/>
    <w:rsid w:val="00A673A4"/>
    <w:rsid w:val="00A7001A"/>
    <w:rsid w:val="00A70622"/>
    <w:rsid w:val="00A70977"/>
    <w:rsid w:val="00A70D58"/>
    <w:rsid w:val="00A744F9"/>
    <w:rsid w:val="00A77613"/>
    <w:rsid w:val="00A77B87"/>
    <w:rsid w:val="00A81732"/>
    <w:rsid w:val="00A81851"/>
    <w:rsid w:val="00A8390C"/>
    <w:rsid w:val="00A86AE0"/>
    <w:rsid w:val="00A91362"/>
    <w:rsid w:val="00A9140E"/>
    <w:rsid w:val="00A9151C"/>
    <w:rsid w:val="00A919C6"/>
    <w:rsid w:val="00A91B2F"/>
    <w:rsid w:val="00A928BD"/>
    <w:rsid w:val="00A932F0"/>
    <w:rsid w:val="00A97DE9"/>
    <w:rsid w:val="00AA12CD"/>
    <w:rsid w:val="00AA4778"/>
    <w:rsid w:val="00AA4D1C"/>
    <w:rsid w:val="00AA52FD"/>
    <w:rsid w:val="00AA7006"/>
    <w:rsid w:val="00AB1A22"/>
    <w:rsid w:val="00AB4684"/>
    <w:rsid w:val="00AB5856"/>
    <w:rsid w:val="00AB6A3B"/>
    <w:rsid w:val="00AC081D"/>
    <w:rsid w:val="00AC0C6F"/>
    <w:rsid w:val="00AC1266"/>
    <w:rsid w:val="00AC193C"/>
    <w:rsid w:val="00AC30C1"/>
    <w:rsid w:val="00AC3825"/>
    <w:rsid w:val="00AC4DE5"/>
    <w:rsid w:val="00AC5206"/>
    <w:rsid w:val="00AD3106"/>
    <w:rsid w:val="00AD4322"/>
    <w:rsid w:val="00AE11A5"/>
    <w:rsid w:val="00AE13E2"/>
    <w:rsid w:val="00AE22D3"/>
    <w:rsid w:val="00AE5A49"/>
    <w:rsid w:val="00AF11D8"/>
    <w:rsid w:val="00AF5867"/>
    <w:rsid w:val="00AF62DF"/>
    <w:rsid w:val="00AF68CC"/>
    <w:rsid w:val="00AF70D7"/>
    <w:rsid w:val="00B00CD0"/>
    <w:rsid w:val="00B00E7F"/>
    <w:rsid w:val="00B01FF4"/>
    <w:rsid w:val="00B0326D"/>
    <w:rsid w:val="00B06037"/>
    <w:rsid w:val="00B06478"/>
    <w:rsid w:val="00B07533"/>
    <w:rsid w:val="00B07CFB"/>
    <w:rsid w:val="00B1059E"/>
    <w:rsid w:val="00B14A36"/>
    <w:rsid w:val="00B16273"/>
    <w:rsid w:val="00B170A5"/>
    <w:rsid w:val="00B1725F"/>
    <w:rsid w:val="00B176C8"/>
    <w:rsid w:val="00B17EE5"/>
    <w:rsid w:val="00B205AA"/>
    <w:rsid w:val="00B22E84"/>
    <w:rsid w:val="00B233AD"/>
    <w:rsid w:val="00B23E25"/>
    <w:rsid w:val="00B25F75"/>
    <w:rsid w:val="00B26B3F"/>
    <w:rsid w:val="00B2778F"/>
    <w:rsid w:val="00B327E2"/>
    <w:rsid w:val="00B33635"/>
    <w:rsid w:val="00B33E52"/>
    <w:rsid w:val="00B37A23"/>
    <w:rsid w:val="00B37CF8"/>
    <w:rsid w:val="00B42AF4"/>
    <w:rsid w:val="00B43E90"/>
    <w:rsid w:val="00B44308"/>
    <w:rsid w:val="00B45722"/>
    <w:rsid w:val="00B467DC"/>
    <w:rsid w:val="00B52303"/>
    <w:rsid w:val="00B5392A"/>
    <w:rsid w:val="00B539EF"/>
    <w:rsid w:val="00B56118"/>
    <w:rsid w:val="00B566E1"/>
    <w:rsid w:val="00B56AFB"/>
    <w:rsid w:val="00B602F6"/>
    <w:rsid w:val="00B64A96"/>
    <w:rsid w:val="00B6773F"/>
    <w:rsid w:val="00B70EB3"/>
    <w:rsid w:val="00B72906"/>
    <w:rsid w:val="00B74F48"/>
    <w:rsid w:val="00B7525E"/>
    <w:rsid w:val="00B75433"/>
    <w:rsid w:val="00B760FB"/>
    <w:rsid w:val="00B76765"/>
    <w:rsid w:val="00B767AB"/>
    <w:rsid w:val="00B801BA"/>
    <w:rsid w:val="00B812D6"/>
    <w:rsid w:val="00B84D5C"/>
    <w:rsid w:val="00B85AF6"/>
    <w:rsid w:val="00B906D8"/>
    <w:rsid w:val="00B956ED"/>
    <w:rsid w:val="00BA2DA8"/>
    <w:rsid w:val="00BA347C"/>
    <w:rsid w:val="00BA4C79"/>
    <w:rsid w:val="00BB298A"/>
    <w:rsid w:val="00BB3469"/>
    <w:rsid w:val="00BB5C49"/>
    <w:rsid w:val="00BB6240"/>
    <w:rsid w:val="00BB6285"/>
    <w:rsid w:val="00BB69F5"/>
    <w:rsid w:val="00BB7EC3"/>
    <w:rsid w:val="00BC04B1"/>
    <w:rsid w:val="00BC470E"/>
    <w:rsid w:val="00BC4B9A"/>
    <w:rsid w:val="00BD02C3"/>
    <w:rsid w:val="00BD307D"/>
    <w:rsid w:val="00BD7483"/>
    <w:rsid w:val="00BD784C"/>
    <w:rsid w:val="00BE020A"/>
    <w:rsid w:val="00BE13DF"/>
    <w:rsid w:val="00BE1EF0"/>
    <w:rsid w:val="00BE25D7"/>
    <w:rsid w:val="00BF092C"/>
    <w:rsid w:val="00BF27A0"/>
    <w:rsid w:val="00BF4CB6"/>
    <w:rsid w:val="00BF54CC"/>
    <w:rsid w:val="00BF6CBD"/>
    <w:rsid w:val="00C00DA7"/>
    <w:rsid w:val="00C034FB"/>
    <w:rsid w:val="00C04CDE"/>
    <w:rsid w:val="00C068A6"/>
    <w:rsid w:val="00C12768"/>
    <w:rsid w:val="00C12D70"/>
    <w:rsid w:val="00C16724"/>
    <w:rsid w:val="00C21B09"/>
    <w:rsid w:val="00C25EFF"/>
    <w:rsid w:val="00C2673A"/>
    <w:rsid w:val="00C278CD"/>
    <w:rsid w:val="00C27B58"/>
    <w:rsid w:val="00C27C1C"/>
    <w:rsid w:val="00C33186"/>
    <w:rsid w:val="00C35996"/>
    <w:rsid w:val="00C42BCD"/>
    <w:rsid w:val="00C46C13"/>
    <w:rsid w:val="00C4747E"/>
    <w:rsid w:val="00C47809"/>
    <w:rsid w:val="00C5151E"/>
    <w:rsid w:val="00C52A22"/>
    <w:rsid w:val="00C5342C"/>
    <w:rsid w:val="00C53B2B"/>
    <w:rsid w:val="00C57465"/>
    <w:rsid w:val="00C60272"/>
    <w:rsid w:val="00C603D4"/>
    <w:rsid w:val="00C6256A"/>
    <w:rsid w:val="00C6356A"/>
    <w:rsid w:val="00C63FDA"/>
    <w:rsid w:val="00C64EBC"/>
    <w:rsid w:val="00C664D2"/>
    <w:rsid w:val="00C677E1"/>
    <w:rsid w:val="00C710E2"/>
    <w:rsid w:val="00C71C3F"/>
    <w:rsid w:val="00C7409E"/>
    <w:rsid w:val="00C74D6D"/>
    <w:rsid w:val="00C76E76"/>
    <w:rsid w:val="00C77891"/>
    <w:rsid w:val="00C77B74"/>
    <w:rsid w:val="00C82062"/>
    <w:rsid w:val="00C829A9"/>
    <w:rsid w:val="00C87B80"/>
    <w:rsid w:val="00C90330"/>
    <w:rsid w:val="00C91449"/>
    <w:rsid w:val="00C92711"/>
    <w:rsid w:val="00C92D10"/>
    <w:rsid w:val="00C92F79"/>
    <w:rsid w:val="00C95200"/>
    <w:rsid w:val="00C96EC0"/>
    <w:rsid w:val="00CA48D9"/>
    <w:rsid w:val="00CB1193"/>
    <w:rsid w:val="00CB4767"/>
    <w:rsid w:val="00CB493D"/>
    <w:rsid w:val="00CB5005"/>
    <w:rsid w:val="00CC3B97"/>
    <w:rsid w:val="00CC6AA7"/>
    <w:rsid w:val="00CD6257"/>
    <w:rsid w:val="00CD7C0B"/>
    <w:rsid w:val="00CE10C4"/>
    <w:rsid w:val="00CE2343"/>
    <w:rsid w:val="00CE27B5"/>
    <w:rsid w:val="00CE294C"/>
    <w:rsid w:val="00CE2BDF"/>
    <w:rsid w:val="00CE6D24"/>
    <w:rsid w:val="00CE6DAF"/>
    <w:rsid w:val="00CF410A"/>
    <w:rsid w:val="00CF41BE"/>
    <w:rsid w:val="00CF7528"/>
    <w:rsid w:val="00CF7FDE"/>
    <w:rsid w:val="00D012AF"/>
    <w:rsid w:val="00D0321E"/>
    <w:rsid w:val="00D05457"/>
    <w:rsid w:val="00D069EB"/>
    <w:rsid w:val="00D07A8A"/>
    <w:rsid w:val="00D10E31"/>
    <w:rsid w:val="00D11199"/>
    <w:rsid w:val="00D1455A"/>
    <w:rsid w:val="00D14A70"/>
    <w:rsid w:val="00D207EA"/>
    <w:rsid w:val="00D22093"/>
    <w:rsid w:val="00D271D2"/>
    <w:rsid w:val="00D31150"/>
    <w:rsid w:val="00D3138B"/>
    <w:rsid w:val="00D31FCE"/>
    <w:rsid w:val="00D3280C"/>
    <w:rsid w:val="00D3406A"/>
    <w:rsid w:val="00D34D24"/>
    <w:rsid w:val="00D40B11"/>
    <w:rsid w:val="00D42864"/>
    <w:rsid w:val="00D429EC"/>
    <w:rsid w:val="00D441F1"/>
    <w:rsid w:val="00D44CA4"/>
    <w:rsid w:val="00D4572C"/>
    <w:rsid w:val="00D469B2"/>
    <w:rsid w:val="00D52B24"/>
    <w:rsid w:val="00D54B09"/>
    <w:rsid w:val="00D55FED"/>
    <w:rsid w:val="00D6243E"/>
    <w:rsid w:val="00D65658"/>
    <w:rsid w:val="00D67EB2"/>
    <w:rsid w:val="00D70349"/>
    <w:rsid w:val="00D72B6F"/>
    <w:rsid w:val="00D741EB"/>
    <w:rsid w:val="00D7679C"/>
    <w:rsid w:val="00D77FE9"/>
    <w:rsid w:val="00D820F3"/>
    <w:rsid w:val="00D83605"/>
    <w:rsid w:val="00D838EF"/>
    <w:rsid w:val="00D84934"/>
    <w:rsid w:val="00D85FCC"/>
    <w:rsid w:val="00D866EB"/>
    <w:rsid w:val="00D87D1A"/>
    <w:rsid w:val="00D906DA"/>
    <w:rsid w:val="00D91271"/>
    <w:rsid w:val="00D919F5"/>
    <w:rsid w:val="00D945F6"/>
    <w:rsid w:val="00D94F03"/>
    <w:rsid w:val="00D95161"/>
    <w:rsid w:val="00D95C23"/>
    <w:rsid w:val="00D97382"/>
    <w:rsid w:val="00DA0A82"/>
    <w:rsid w:val="00DA0D14"/>
    <w:rsid w:val="00DA1FC9"/>
    <w:rsid w:val="00DA2CB5"/>
    <w:rsid w:val="00DA2E48"/>
    <w:rsid w:val="00DA383E"/>
    <w:rsid w:val="00DA4BAC"/>
    <w:rsid w:val="00DA722E"/>
    <w:rsid w:val="00DA792A"/>
    <w:rsid w:val="00DB0151"/>
    <w:rsid w:val="00DB04D7"/>
    <w:rsid w:val="00DB3D80"/>
    <w:rsid w:val="00DB50E1"/>
    <w:rsid w:val="00DC0566"/>
    <w:rsid w:val="00DC05E1"/>
    <w:rsid w:val="00DC1499"/>
    <w:rsid w:val="00DC16CF"/>
    <w:rsid w:val="00DC2C3E"/>
    <w:rsid w:val="00DC3137"/>
    <w:rsid w:val="00DC4880"/>
    <w:rsid w:val="00DC5E90"/>
    <w:rsid w:val="00DD0BE9"/>
    <w:rsid w:val="00DD26F9"/>
    <w:rsid w:val="00DD42AB"/>
    <w:rsid w:val="00DD48DB"/>
    <w:rsid w:val="00DE06AF"/>
    <w:rsid w:val="00DE6D27"/>
    <w:rsid w:val="00DE76EA"/>
    <w:rsid w:val="00DF01F8"/>
    <w:rsid w:val="00DF021D"/>
    <w:rsid w:val="00DF14EE"/>
    <w:rsid w:val="00DF217D"/>
    <w:rsid w:val="00DF26A7"/>
    <w:rsid w:val="00DF3277"/>
    <w:rsid w:val="00DF6A31"/>
    <w:rsid w:val="00DF77A1"/>
    <w:rsid w:val="00DF7919"/>
    <w:rsid w:val="00E0207E"/>
    <w:rsid w:val="00E02AE6"/>
    <w:rsid w:val="00E03912"/>
    <w:rsid w:val="00E04748"/>
    <w:rsid w:val="00E04BC4"/>
    <w:rsid w:val="00E078D9"/>
    <w:rsid w:val="00E10293"/>
    <w:rsid w:val="00E103A0"/>
    <w:rsid w:val="00E1043F"/>
    <w:rsid w:val="00E10E66"/>
    <w:rsid w:val="00E11837"/>
    <w:rsid w:val="00E11F44"/>
    <w:rsid w:val="00E13E60"/>
    <w:rsid w:val="00E15627"/>
    <w:rsid w:val="00E164B3"/>
    <w:rsid w:val="00E16910"/>
    <w:rsid w:val="00E21CC8"/>
    <w:rsid w:val="00E239E2"/>
    <w:rsid w:val="00E24E09"/>
    <w:rsid w:val="00E27234"/>
    <w:rsid w:val="00E3495C"/>
    <w:rsid w:val="00E42BDB"/>
    <w:rsid w:val="00E56AC0"/>
    <w:rsid w:val="00E5726D"/>
    <w:rsid w:val="00E57EEB"/>
    <w:rsid w:val="00E62D94"/>
    <w:rsid w:val="00E62ECC"/>
    <w:rsid w:val="00E64F37"/>
    <w:rsid w:val="00E65091"/>
    <w:rsid w:val="00E65393"/>
    <w:rsid w:val="00E65E54"/>
    <w:rsid w:val="00E661C7"/>
    <w:rsid w:val="00E6783C"/>
    <w:rsid w:val="00E732C4"/>
    <w:rsid w:val="00E74E41"/>
    <w:rsid w:val="00E77020"/>
    <w:rsid w:val="00E80155"/>
    <w:rsid w:val="00E8134B"/>
    <w:rsid w:val="00E81E0D"/>
    <w:rsid w:val="00E81F28"/>
    <w:rsid w:val="00E848C0"/>
    <w:rsid w:val="00E84BB8"/>
    <w:rsid w:val="00E86F92"/>
    <w:rsid w:val="00E91B96"/>
    <w:rsid w:val="00E92F2E"/>
    <w:rsid w:val="00E935DA"/>
    <w:rsid w:val="00E93D1E"/>
    <w:rsid w:val="00E941A1"/>
    <w:rsid w:val="00E95CE3"/>
    <w:rsid w:val="00E95F9A"/>
    <w:rsid w:val="00EA0856"/>
    <w:rsid w:val="00EA1DC4"/>
    <w:rsid w:val="00EA252F"/>
    <w:rsid w:val="00EA2825"/>
    <w:rsid w:val="00EA5027"/>
    <w:rsid w:val="00EA64C2"/>
    <w:rsid w:val="00EA6518"/>
    <w:rsid w:val="00EA71A2"/>
    <w:rsid w:val="00EA7466"/>
    <w:rsid w:val="00EA7EDE"/>
    <w:rsid w:val="00EB0B63"/>
    <w:rsid w:val="00EB1936"/>
    <w:rsid w:val="00EB3545"/>
    <w:rsid w:val="00EB37BE"/>
    <w:rsid w:val="00EB3FFA"/>
    <w:rsid w:val="00EB4BAE"/>
    <w:rsid w:val="00EB5088"/>
    <w:rsid w:val="00EB7210"/>
    <w:rsid w:val="00EC2726"/>
    <w:rsid w:val="00EC681C"/>
    <w:rsid w:val="00EC7B87"/>
    <w:rsid w:val="00ED1644"/>
    <w:rsid w:val="00ED2593"/>
    <w:rsid w:val="00ED3709"/>
    <w:rsid w:val="00ED7D55"/>
    <w:rsid w:val="00ED7D9C"/>
    <w:rsid w:val="00EE00A7"/>
    <w:rsid w:val="00EE31A2"/>
    <w:rsid w:val="00EE4329"/>
    <w:rsid w:val="00EE6203"/>
    <w:rsid w:val="00EF0069"/>
    <w:rsid w:val="00EF26A5"/>
    <w:rsid w:val="00EF44A0"/>
    <w:rsid w:val="00EF4580"/>
    <w:rsid w:val="00EF4FED"/>
    <w:rsid w:val="00EF5F45"/>
    <w:rsid w:val="00EF6843"/>
    <w:rsid w:val="00EF6941"/>
    <w:rsid w:val="00EF6FB3"/>
    <w:rsid w:val="00F0068B"/>
    <w:rsid w:val="00F007C6"/>
    <w:rsid w:val="00F00A6B"/>
    <w:rsid w:val="00F0172E"/>
    <w:rsid w:val="00F050BD"/>
    <w:rsid w:val="00F05657"/>
    <w:rsid w:val="00F05AB0"/>
    <w:rsid w:val="00F12C74"/>
    <w:rsid w:val="00F1559A"/>
    <w:rsid w:val="00F17ED6"/>
    <w:rsid w:val="00F20676"/>
    <w:rsid w:val="00F209E2"/>
    <w:rsid w:val="00F2398F"/>
    <w:rsid w:val="00F25578"/>
    <w:rsid w:val="00F258E5"/>
    <w:rsid w:val="00F25B9C"/>
    <w:rsid w:val="00F2675A"/>
    <w:rsid w:val="00F26CC6"/>
    <w:rsid w:val="00F300BC"/>
    <w:rsid w:val="00F305FA"/>
    <w:rsid w:val="00F3263C"/>
    <w:rsid w:val="00F3334E"/>
    <w:rsid w:val="00F3573A"/>
    <w:rsid w:val="00F36CCB"/>
    <w:rsid w:val="00F374E5"/>
    <w:rsid w:val="00F37B93"/>
    <w:rsid w:val="00F37BAD"/>
    <w:rsid w:val="00F37ECA"/>
    <w:rsid w:val="00F40A1C"/>
    <w:rsid w:val="00F431C2"/>
    <w:rsid w:val="00F43AF2"/>
    <w:rsid w:val="00F45216"/>
    <w:rsid w:val="00F469E3"/>
    <w:rsid w:val="00F5007E"/>
    <w:rsid w:val="00F508F6"/>
    <w:rsid w:val="00F50EC4"/>
    <w:rsid w:val="00F52232"/>
    <w:rsid w:val="00F527B1"/>
    <w:rsid w:val="00F52DC2"/>
    <w:rsid w:val="00F550CF"/>
    <w:rsid w:val="00F553D2"/>
    <w:rsid w:val="00F56A2D"/>
    <w:rsid w:val="00F57A6D"/>
    <w:rsid w:val="00F6044B"/>
    <w:rsid w:val="00F62F19"/>
    <w:rsid w:val="00F638CC"/>
    <w:rsid w:val="00F64C9E"/>
    <w:rsid w:val="00F64CC1"/>
    <w:rsid w:val="00F6555A"/>
    <w:rsid w:val="00F708B1"/>
    <w:rsid w:val="00F72317"/>
    <w:rsid w:val="00F73DC1"/>
    <w:rsid w:val="00F75BB8"/>
    <w:rsid w:val="00F77714"/>
    <w:rsid w:val="00F80475"/>
    <w:rsid w:val="00F80E6E"/>
    <w:rsid w:val="00F81390"/>
    <w:rsid w:val="00F81F7A"/>
    <w:rsid w:val="00F8247A"/>
    <w:rsid w:val="00F82E5C"/>
    <w:rsid w:val="00F83F58"/>
    <w:rsid w:val="00F85206"/>
    <w:rsid w:val="00F87CEA"/>
    <w:rsid w:val="00F9629A"/>
    <w:rsid w:val="00F97EFC"/>
    <w:rsid w:val="00FA0B04"/>
    <w:rsid w:val="00FA0C7C"/>
    <w:rsid w:val="00FA1BDD"/>
    <w:rsid w:val="00FA305C"/>
    <w:rsid w:val="00FA462E"/>
    <w:rsid w:val="00FA4DD5"/>
    <w:rsid w:val="00FA5883"/>
    <w:rsid w:val="00FA6055"/>
    <w:rsid w:val="00FB0B39"/>
    <w:rsid w:val="00FB322F"/>
    <w:rsid w:val="00FB442F"/>
    <w:rsid w:val="00FC118C"/>
    <w:rsid w:val="00FC1929"/>
    <w:rsid w:val="00FC4C09"/>
    <w:rsid w:val="00FC5B46"/>
    <w:rsid w:val="00FD1D4F"/>
    <w:rsid w:val="00FD24BF"/>
    <w:rsid w:val="00FD3B6E"/>
    <w:rsid w:val="00FD4140"/>
    <w:rsid w:val="00FD57EB"/>
    <w:rsid w:val="00FD6D8E"/>
    <w:rsid w:val="00FE0663"/>
    <w:rsid w:val="00FE0E94"/>
    <w:rsid w:val="00FE369C"/>
    <w:rsid w:val="00FE3CD9"/>
    <w:rsid w:val="00FE7EF8"/>
    <w:rsid w:val="00FF00BD"/>
    <w:rsid w:val="00FF0B13"/>
    <w:rsid w:val="00FF1ED4"/>
    <w:rsid w:val="00FF2801"/>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7714"/>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uiPriority w:val="2"/>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uiPriority w:val="99"/>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Styl moj,Akapit z listą11,Bullets,列出段落1"/>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列出段落1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uiPriority w:val="2"/>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NormalWeb">
    <w:name w:val="Normal (Web)"/>
    <w:basedOn w:val="Normal"/>
    <w:semiHidden/>
    <w:unhideWhenUsed/>
    <w:rsid w:val="00331A8E"/>
    <w:rPr>
      <w:rFonts w:ascii="Times New Roman" w:hAnsi="Times New Roman"/>
    </w:rPr>
  </w:style>
  <w:style w:type="paragraph" w:customStyle="1" w:styleId="3-SubsectionHeading">
    <w:name w:val="3-Subsection Heading"/>
    <w:basedOn w:val="Heading2"/>
    <w:next w:val="Normal"/>
    <w:link w:val="3-SubsectionHeadingChar"/>
    <w:qFormat/>
    <w:rsid w:val="00351FA4"/>
    <w:pPr>
      <w:spacing w:before="120" w:after="120"/>
      <w:outlineLvl w:val="9"/>
    </w:pPr>
    <w:rPr>
      <w:rFonts w:asciiTheme="minorHAnsi" w:eastAsiaTheme="majorEastAsia" w:hAnsiTheme="minorHAnsi" w:cstheme="majorBidi"/>
      <w:spacing w:val="5"/>
      <w:kern w:val="28"/>
      <w:sz w:val="28"/>
      <w:szCs w:val="36"/>
      <w:lang w:eastAsia="en-US"/>
    </w:rPr>
  </w:style>
  <w:style w:type="character" w:customStyle="1" w:styleId="3-SubsectionHeadingChar">
    <w:name w:val="3-Subsection Heading Char"/>
    <w:basedOn w:val="Heading2Char"/>
    <w:link w:val="3-SubsectionHeading"/>
    <w:rsid w:val="00351FA4"/>
    <w:rPr>
      <w:rFonts w:asciiTheme="minorHAnsi" w:eastAsiaTheme="majorEastAsia" w:hAnsiTheme="minorHAnsi" w:cstheme="majorBidi"/>
      <w:b/>
      <w:i/>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193618172">
      <w:bodyDiv w:val="1"/>
      <w:marLeft w:val="0"/>
      <w:marRight w:val="0"/>
      <w:marTop w:val="0"/>
      <w:marBottom w:val="0"/>
      <w:divBdr>
        <w:top w:val="none" w:sz="0" w:space="0" w:color="auto"/>
        <w:left w:val="none" w:sz="0" w:space="0" w:color="auto"/>
        <w:bottom w:val="none" w:sz="0" w:space="0" w:color="auto"/>
        <w:right w:val="none" w:sz="0" w:space="0" w:color="auto"/>
      </w:divBdr>
    </w:div>
    <w:div w:id="125038216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64261450">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420252318">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health-topics/medicin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alth.gov.au/health-topics/medicine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2142</Words>
  <Characters>11926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2022-10-26T00:36:00Z</dcterms:created>
  <dcterms:modified xsi:type="dcterms:W3CDTF">2022-10-26T00:36:00Z</dcterms:modified>
</cp:coreProperties>
</file>