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377A79" w14:textId="584BC96B" w:rsidR="00767027" w:rsidRPr="00D2458B" w:rsidRDefault="00BB5F42" w:rsidP="00754F62">
      <w:pPr>
        <w:pStyle w:val="1-MainHeading"/>
      </w:pPr>
      <w:r>
        <w:t>6.</w:t>
      </w:r>
      <w:r w:rsidRPr="00754F62">
        <w:t>01</w:t>
      </w:r>
      <w:r w:rsidR="00754F62">
        <w:tab/>
      </w:r>
      <w:r w:rsidR="00767027" w:rsidRPr="00754F62">
        <w:t>Review</w:t>
      </w:r>
      <w:r w:rsidR="00767027" w:rsidRPr="00D2458B">
        <w:t xml:space="preserve"> of PBS restrict</w:t>
      </w:r>
      <w:r w:rsidR="00767027">
        <w:t>ions for th</w:t>
      </w:r>
      <w:r w:rsidR="00587C53">
        <w:t>r</w:t>
      </w:r>
      <w:r w:rsidR="00767027">
        <w:t xml:space="preserve">ombopoietin receptor </w:t>
      </w:r>
      <w:r w:rsidR="00767027" w:rsidRPr="00D2458B">
        <w:t>agonists (TPO-RA</w:t>
      </w:r>
      <w:r w:rsidR="00767027">
        <w:t xml:space="preserve">) </w:t>
      </w:r>
      <w:r w:rsidR="00587C53">
        <w:t xml:space="preserve">romiplostim </w:t>
      </w:r>
      <w:r w:rsidR="00767027">
        <w:t xml:space="preserve">and eltrombopag </w:t>
      </w:r>
      <w:r w:rsidR="00767027" w:rsidRPr="00D2458B">
        <w:t>for immune thrombocytopenia (ITP)</w:t>
      </w:r>
    </w:p>
    <w:p w14:paraId="7662276E" w14:textId="77777777" w:rsidR="00767027" w:rsidRDefault="00767027" w:rsidP="00767027">
      <w:pPr>
        <w:pStyle w:val="2-SectionHeading"/>
        <w:numPr>
          <w:ilvl w:val="0"/>
          <w:numId w:val="1"/>
        </w:numPr>
      </w:pPr>
      <w:r>
        <w:t>Purpose of item</w:t>
      </w:r>
    </w:p>
    <w:p w14:paraId="2E8F9EFF" w14:textId="6B4B9C10" w:rsidR="00767027" w:rsidRPr="00707061" w:rsidRDefault="00767027" w:rsidP="00767027">
      <w:pPr>
        <w:pStyle w:val="3-BodyText"/>
        <w:numPr>
          <w:ilvl w:val="1"/>
          <w:numId w:val="1"/>
        </w:numPr>
      </w:pPr>
      <w:r w:rsidRPr="00707061">
        <w:t xml:space="preserve">To </w:t>
      </w:r>
      <w:r w:rsidR="003B722F">
        <w:t>request</w:t>
      </w:r>
      <w:r w:rsidR="003B722F" w:rsidRPr="00707061">
        <w:t xml:space="preserve"> </w:t>
      </w:r>
      <w:r w:rsidRPr="00707061">
        <w:t xml:space="preserve">the </w:t>
      </w:r>
      <w:r w:rsidR="00587C53">
        <w:t>Pharmaceutical Benefits Advisory Committee (</w:t>
      </w:r>
      <w:r w:rsidRPr="00707061">
        <w:t>PBAC</w:t>
      </w:r>
      <w:r w:rsidR="00587C53">
        <w:t>)</w:t>
      </w:r>
      <w:r w:rsidRPr="00707061">
        <w:t xml:space="preserve"> </w:t>
      </w:r>
      <w:r w:rsidR="003B722F">
        <w:t>consider extensions to the current Pharmaceutical Benefits Scheme (PBS) listings</w:t>
      </w:r>
      <w:r w:rsidRPr="00707061">
        <w:t xml:space="preserve"> for </w:t>
      </w:r>
      <w:r>
        <w:t>the thrombopoietin receptor agonists (TPO-RA): r</w:t>
      </w:r>
      <w:r w:rsidRPr="00707061">
        <w:t xml:space="preserve">omiplostim and </w:t>
      </w:r>
      <w:r>
        <w:t>e</w:t>
      </w:r>
      <w:r w:rsidRPr="00707061">
        <w:t>ltrombopag.</w:t>
      </w:r>
    </w:p>
    <w:p w14:paraId="09697883" w14:textId="77777777" w:rsidR="00767027" w:rsidRDefault="00767027" w:rsidP="00767027">
      <w:pPr>
        <w:pStyle w:val="2-SectionHeading"/>
        <w:numPr>
          <w:ilvl w:val="0"/>
          <w:numId w:val="1"/>
        </w:numPr>
      </w:pPr>
      <w:r>
        <w:t>Background</w:t>
      </w:r>
    </w:p>
    <w:p w14:paraId="2E40FD1A" w14:textId="0DA1FEFC" w:rsidR="00767027" w:rsidRDefault="00767027" w:rsidP="00C40268">
      <w:pPr>
        <w:pStyle w:val="3-BodyText"/>
      </w:pPr>
      <w:r>
        <w:t>Romiplostim and eltrombopag were listed on the PBS via a series of applications between 2009 and 2014. Since then, confidence in the efficacy and safety of these medicines has progressively increased</w:t>
      </w:r>
      <w:r w:rsidR="00C40268">
        <w:t xml:space="preserve">, </w:t>
      </w:r>
      <w:r w:rsidR="005F268C">
        <w:t xml:space="preserve">including </w:t>
      </w:r>
      <w:r w:rsidR="00C40268" w:rsidRPr="00C40268">
        <w:t>reduced concern about bone marrow fibrosis (reticulin formation).</w:t>
      </w:r>
    </w:p>
    <w:p w14:paraId="0E3A9B2D" w14:textId="48A3C246" w:rsidR="00767027" w:rsidRDefault="00587C53" w:rsidP="00767027">
      <w:pPr>
        <w:pStyle w:val="3-BodyText"/>
        <w:numPr>
          <w:ilvl w:val="1"/>
          <w:numId w:val="1"/>
        </w:numPr>
      </w:pPr>
      <w:r>
        <w:t xml:space="preserve">The </w:t>
      </w:r>
      <w:r w:rsidR="00767027">
        <w:t xml:space="preserve">PBAC </w:t>
      </w:r>
      <w:r w:rsidR="005F268C">
        <w:t>wa</w:t>
      </w:r>
      <w:r w:rsidR="00767027">
        <w:t xml:space="preserve">s requested </w:t>
      </w:r>
      <w:r w:rsidR="003B722F">
        <w:t>to consider</w:t>
      </w:r>
      <w:r w:rsidR="00767027">
        <w:t xml:space="preserve"> the following parts of the restriction:</w:t>
      </w:r>
    </w:p>
    <w:p w14:paraId="795FC0D2" w14:textId="4D60D7C9" w:rsidR="00767027" w:rsidRDefault="00767027" w:rsidP="00767027">
      <w:pPr>
        <w:pStyle w:val="3-BodyText"/>
        <w:numPr>
          <w:ilvl w:val="0"/>
          <w:numId w:val="18"/>
        </w:numPr>
      </w:pPr>
      <w:r>
        <w:t>sequential use</w:t>
      </w:r>
    </w:p>
    <w:p w14:paraId="69753052" w14:textId="77777777" w:rsidR="00767027" w:rsidRDefault="00767027" w:rsidP="00767027">
      <w:pPr>
        <w:pStyle w:val="3-BodyText"/>
        <w:numPr>
          <w:ilvl w:val="0"/>
          <w:numId w:val="18"/>
        </w:numPr>
      </w:pPr>
      <w:r>
        <w:t>use as an alternative to splenectomy</w:t>
      </w:r>
    </w:p>
    <w:p w14:paraId="4FCBB9B1" w14:textId="77777777" w:rsidR="00767027" w:rsidRDefault="00767027" w:rsidP="00767027">
      <w:pPr>
        <w:pStyle w:val="3-BodyText"/>
        <w:numPr>
          <w:ilvl w:val="0"/>
          <w:numId w:val="18"/>
        </w:numPr>
      </w:pPr>
      <w:r>
        <w:t>use in children</w:t>
      </w:r>
    </w:p>
    <w:p w14:paraId="559F9776" w14:textId="77777777" w:rsidR="00767027" w:rsidRDefault="00767027" w:rsidP="00767027">
      <w:pPr>
        <w:pStyle w:val="3-BodyText"/>
        <w:numPr>
          <w:ilvl w:val="0"/>
          <w:numId w:val="18"/>
        </w:numPr>
      </w:pPr>
      <w:r>
        <w:t>use of platelet counts as a criterion for commencing and continuing treatment</w:t>
      </w:r>
    </w:p>
    <w:p w14:paraId="668273BD" w14:textId="17432A7D" w:rsidR="00767027" w:rsidRDefault="00767027" w:rsidP="00767027">
      <w:pPr>
        <w:pStyle w:val="3-BodyText"/>
        <w:numPr>
          <w:ilvl w:val="0"/>
          <w:numId w:val="18"/>
        </w:numPr>
      </w:pPr>
      <w:r>
        <w:t>any other aspects of the restriction that may need refreshing to align with current standards of care</w:t>
      </w:r>
    </w:p>
    <w:p w14:paraId="31B8FB97" w14:textId="06C1C98B" w:rsidR="00767027" w:rsidRDefault="00767027" w:rsidP="00F025F6">
      <w:pPr>
        <w:pStyle w:val="3-BodyText"/>
        <w:numPr>
          <w:ilvl w:val="0"/>
          <w:numId w:val="18"/>
        </w:numPr>
      </w:pPr>
      <w:r>
        <w:t xml:space="preserve">the requirement for written authority approval for initial </w:t>
      </w:r>
      <w:r w:rsidR="0054039C">
        <w:t>treatment</w:t>
      </w:r>
    </w:p>
    <w:p w14:paraId="00FE71B2" w14:textId="475B7553" w:rsidR="00B76B95" w:rsidRDefault="00B76B95" w:rsidP="003832FA">
      <w:pPr>
        <w:pStyle w:val="3-BodyText"/>
        <w:numPr>
          <w:ilvl w:val="0"/>
          <w:numId w:val="0"/>
        </w:numPr>
        <w:ind w:firstLine="720"/>
      </w:pPr>
      <w:r w:rsidRPr="003832FA">
        <w:rPr>
          <w:i/>
          <w:iCs/>
        </w:rPr>
        <w:t>For more detail on PBAC’s view, see section 5 PBAC outcome.</w:t>
      </w:r>
    </w:p>
    <w:p w14:paraId="3775BF2D" w14:textId="0EAA29C2" w:rsidR="00754F62" w:rsidRDefault="00754F62" w:rsidP="00767027">
      <w:pPr>
        <w:pStyle w:val="2-SectionHeading"/>
        <w:numPr>
          <w:ilvl w:val="0"/>
          <w:numId w:val="1"/>
        </w:numPr>
      </w:pPr>
      <w:r>
        <w:t>Current situation</w:t>
      </w:r>
    </w:p>
    <w:p w14:paraId="1A79916F" w14:textId="7FDF6013" w:rsidR="00767027" w:rsidRPr="00EC6FCA" w:rsidRDefault="00767027" w:rsidP="00EC6FCA">
      <w:pPr>
        <w:pStyle w:val="4-SubsectionHeading"/>
      </w:pPr>
      <w:r w:rsidRPr="00EC6FCA">
        <w:t>Sequential use</w:t>
      </w:r>
    </w:p>
    <w:p w14:paraId="44CD1D8D" w14:textId="44B574FD" w:rsidR="00767027" w:rsidRPr="003521A2" w:rsidRDefault="00767027" w:rsidP="00767027">
      <w:pPr>
        <w:pStyle w:val="3-BodyText"/>
        <w:numPr>
          <w:ilvl w:val="1"/>
          <w:numId w:val="1"/>
        </w:numPr>
      </w:pPr>
      <w:r>
        <w:t>Switching between e</w:t>
      </w:r>
      <w:r w:rsidRPr="00707061">
        <w:t xml:space="preserve">ltrombopag and romiplostim within the initial 24 weeks of treatment is explicitly mentioned in the </w:t>
      </w:r>
      <w:r>
        <w:t xml:space="preserve">current </w:t>
      </w:r>
      <w:r w:rsidRPr="00707061">
        <w:t xml:space="preserve">restrictions. As per the PBAC </w:t>
      </w:r>
      <w:r w:rsidR="009A24E4">
        <w:t>P</w:t>
      </w:r>
      <w:r w:rsidR="009A24E4" w:rsidRPr="00707061">
        <w:t xml:space="preserve">ublic </w:t>
      </w:r>
      <w:r w:rsidR="009A24E4">
        <w:t>S</w:t>
      </w:r>
      <w:r w:rsidR="009A24E4" w:rsidRPr="00707061">
        <w:t xml:space="preserve">ummary </w:t>
      </w:r>
      <w:r w:rsidR="009A24E4">
        <w:t>D</w:t>
      </w:r>
      <w:r w:rsidR="009A24E4" w:rsidRPr="00707061">
        <w:t xml:space="preserve">ocuments </w:t>
      </w:r>
      <w:r w:rsidRPr="00707061">
        <w:t>(PSD</w:t>
      </w:r>
      <w:r w:rsidR="004D4AE7">
        <w:t>s</w:t>
      </w:r>
      <w:r w:rsidRPr="00707061">
        <w:t xml:space="preserve">) from 2009-2011 this was </w:t>
      </w:r>
      <w:r w:rsidRPr="00707061">
        <w:rPr>
          <w:i/>
        </w:rPr>
        <w:t>“to allow flexibility for prescribers and patients to establish the most suitable treatment for each individual within this period”.</w:t>
      </w:r>
      <w:r>
        <w:rPr>
          <w:i/>
        </w:rPr>
        <w:t xml:space="preserve"> </w:t>
      </w:r>
      <w:r w:rsidRPr="00707061">
        <w:t xml:space="preserve">The restrictions for continuing treatment say that: </w:t>
      </w:r>
      <w:r w:rsidRPr="00707061">
        <w:rPr>
          <w:i/>
        </w:rPr>
        <w:t>“Patient must not have previously received PBS-subsidised continuing treatment with romiplostim/eltrombopag for this condition.”</w:t>
      </w:r>
    </w:p>
    <w:p w14:paraId="0BF375FB" w14:textId="264FE0D1" w:rsidR="00767027" w:rsidRPr="00707061" w:rsidRDefault="00767027" w:rsidP="00767027">
      <w:pPr>
        <w:pStyle w:val="3-BodyText"/>
        <w:numPr>
          <w:ilvl w:val="1"/>
          <w:numId w:val="1"/>
        </w:numPr>
      </w:pPr>
      <w:r w:rsidRPr="00707061">
        <w:t>Recent Australian consensus guidelines for adult immune thrombocytopenia state that, “Switching from one TPO-RA to another has been shown to be effective for some patients and is permissible for PBS reimbursement with written application”</w:t>
      </w:r>
      <w:r w:rsidR="00620F4B">
        <w:t xml:space="preserve"> </w:t>
      </w:r>
      <w:r w:rsidRPr="00707061">
        <w:rPr>
          <w:noProof/>
        </w:rPr>
        <w:t xml:space="preserve">(Choi, </w:t>
      </w:r>
      <w:r w:rsidRPr="00707061">
        <w:rPr>
          <w:noProof/>
        </w:rPr>
        <w:lastRenderedPageBreak/>
        <w:t>Merriman et al. 2022)</w:t>
      </w:r>
      <w:r w:rsidR="00DB34BB">
        <w:rPr>
          <w:rStyle w:val="FootnoteReference"/>
          <w:noProof/>
        </w:rPr>
        <w:footnoteReference w:id="1"/>
      </w:r>
      <w:r>
        <w:t>.</w:t>
      </w:r>
      <w:r w:rsidRPr="00707061">
        <w:t xml:space="preserve"> It is unclear whether this refers to</w:t>
      </w:r>
      <w:r w:rsidR="00620F4B">
        <w:t xml:space="preserve"> </w:t>
      </w:r>
      <w:r w:rsidR="00B72B92">
        <w:t xml:space="preserve">switching in </w:t>
      </w:r>
      <w:r w:rsidR="00620F4B">
        <w:t>the</w:t>
      </w:r>
      <w:r w:rsidRPr="00707061">
        <w:t xml:space="preserve"> </w:t>
      </w:r>
      <w:r w:rsidR="00620F4B">
        <w:t>initial</w:t>
      </w:r>
      <w:r w:rsidR="00620F4B" w:rsidRPr="00707061">
        <w:t xml:space="preserve"> </w:t>
      </w:r>
      <w:r w:rsidRPr="00707061">
        <w:t xml:space="preserve">24 weeks or </w:t>
      </w:r>
      <w:r w:rsidR="00B72B92">
        <w:t xml:space="preserve">to switching </w:t>
      </w:r>
      <w:r w:rsidRPr="00707061">
        <w:t>any time since the start of treatment.</w:t>
      </w:r>
    </w:p>
    <w:p w14:paraId="5CC149FD" w14:textId="77777777" w:rsidR="00767027" w:rsidRPr="00707061" w:rsidRDefault="00767027" w:rsidP="00767027">
      <w:pPr>
        <w:pStyle w:val="3-BodyText"/>
        <w:numPr>
          <w:ilvl w:val="1"/>
          <w:numId w:val="1"/>
        </w:numPr>
      </w:pPr>
      <w:r w:rsidRPr="00707061">
        <w:t>Eltrombopag and romiplostim have distinct pharmacodynamics and pharmacokinetic properties and may have different tolerability and efficacy in individual patients.</w:t>
      </w:r>
    </w:p>
    <w:p w14:paraId="08276665" w14:textId="3981E3A2" w:rsidR="00767027" w:rsidRPr="00707061" w:rsidRDefault="00767027" w:rsidP="00767027">
      <w:pPr>
        <w:pStyle w:val="3-BodyText"/>
        <w:numPr>
          <w:ilvl w:val="1"/>
          <w:numId w:val="1"/>
        </w:numPr>
      </w:pPr>
      <w:r>
        <w:t>There are</w:t>
      </w:r>
      <w:r w:rsidRPr="00707061">
        <w:t xml:space="preserve"> no randomised data to establish a role for switching between TPO-RAs. Gonzalez-Porras and co-authors summarised and pooled data from the 18 published non-randomised studies of switching as at 2018 </w:t>
      </w:r>
      <w:r w:rsidRPr="00707061">
        <w:rPr>
          <w:noProof/>
        </w:rPr>
        <w:t>(González-Porras, Godeau et al. 2019)</w:t>
      </w:r>
      <w:r w:rsidR="00DB34BB">
        <w:rPr>
          <w:rStyle w:val="FootnoteReference"/>
          <w:noProof/>
        </w:rPr>
        <w:footnoteReference w:id="2"/>
      </w:r>
      <w:r w:rsidRPr="00707061">
        <w:t>. Lack of efficacy was identified as the primary reason for switching in 58% of patients (172/295). Non</w:t>
      </w:r>
      <w:r w:rsidR="00867B86">
        <w:t>-</w:t>
      </w:r>
      <w:r w:rsidRPr="00707061">
        <w:t>efficacy-related reasons for switching included adverse events (AEs), patient preference, and</w:t>
      </w:r>
      <w:r>
        <w:t xml:space="preserve"> </w:t>
      </w:r>
      <w:r w:rsidRPr="00707061">
        <w:t>platelet count fluctuations (variously defined: 30 x10</w:t>
      </w:r>
      <w:r w:rsidRPr="00707061">
        <w:rPr>
          <w:vertAlign w:val="superscript"/>
        </w:rPr>
        <w:t>9</w:t>
      </w:r>
      <w:r w:rsidRPr="00707061">
        <w:t>/L to 400 x 10</w:t>
      </w:r>
      <w:r w:rsidRPr="00707061">
        <w:rPr>
          <w:vertAlign w:val="superscript"/>
        </w:rPr>
        <w:t>9</w:t>
      </w:r>
      <w:r w:rsidRPr="00707061">
        <w:t>/L within a month or change of &gt; 200 x 10</w:t>
      </w:r>
      <w:r w:rsidRPr="00707061">
        <w:rPr>
          <w:vertAlign w:val="superscript"/>
        </w:rPr>
        <w:t>9</w:t>
      </w:r>
      <w:r w:rsidRPr="00707061">
        <w:t>/L in weekly counts without rescue treatment). Response rates (roughly defined as per the PBS continuation criteria, above) after switching were available in 209 patients, and 162 of those (78%) achieved or maintained a platelet response. Nearly all patients (93% [87/94]) who switched TPO-RAs due to reasons other than lack of efficacy maintained their response after switching. A high response rate (65% [72/111]) and improved platelet counts were observed even if switching was due to lack of efficacy with the first TPO-RA.</w:t>
      </w:r>
    </w:p>
    <w:p w14:paraId="2AFDB0A4" w14:textId="41A41B23" w:rsidR="00767027" w:rsidRPr="00707061" w:rsidRDefault="00767027" w:rsidP="00767027">
      <w:pPr>
        <w:pStyle w:val="3-BodyText"/>
        <w:numPr>
          <w:ilvl w:val="1"/>
          <w:numId w:val="1"/>
        </w:numPr>
      </w:pPr>
      <w:r w:rsidRPr="00707061">
        <w:t>The outcomes of switching were similar regardless of the direction of the switch (i.e. eltrombopag to romiplostim or romiplostim to eltrombopag); however, the reasons for switching were different for eltrombopag and romiplostim. Although the rate of switching due to safety and tolerability considerations was comparable between the two TPO-RAs (20–30%), switching due to platelet count fluctuations was reported exclusively in patients who received romiplostim. Among 20 patients who switched to eltrombopag due to platelet count</w:t>
      </w:r>
      <w:r>
        <w:t xml:space="preserve"> </w:t>
      </w:r>
      <w:r w:rsidRPr="00707061">
        <w:t>fluctuations, 14 (70%) attained a response. Patient preference was a major driver of switching from romiplostim (s/c) to eltrombopag (oral).</w:t>
      </w:r>
    </w:p>
    <w:p w14:paraId="6241E0B2" w14:textId="52717AD9" w:rsidR="00767027" w:rsidRDefault="00767027" w:rsidP="00767027">
      <w:pPr>
        <w:pStyle w:val="3-BodyText"/>
        <w:numPr>
          <w:ilvl w:val="1"/>
          <w:numId w:val="1"/>
        </w:numPr>
      </w:pPr>
      <w:r w:rsidRPr="004B3BB5">
        <w:t>In s</w:t>
      </w:r>
      <w:r>
        <w:t>hort, most patients who switch</w:t>
      </w:r>
      <w:r w:rsidRPr="004B3BB5">
        <w:t xml:space="preserve"> due to lack of efficacy</w:t>
      </w:r>
      <w:r>
        <w:t xml:space="preserve"> with the first TPO-RA respond </w:t>
      </w:r>
      <w:r w:rsidRPr="00707061">
        <w:t xml:space="preserve">to the alternate TPO-RA, </w:t>
      </w:r>
      <w:r w:rsidR="00867B86">
        <w:t>demonstrating</w:t>
      </w:r>
      <w:r w:rsidRPr="00707061">
        <w:t xml:space="preserve"> an absence of cross-resistance between the two </w:t>
      </w:r>
      <w:r>
        <w:t>medicines</w:t>
      </w:r>
      <w:r w:rsidRPr="00707061">
        <w:t xml:space="preserve">. </w:t>
      </w:r>
      <w:r w:rsidR="00867B86">
        <w:t>Clinical practice g</w:t>
      </w:r>
      <w:r>
        <w:t>uidelines recommend</w:t>
      </w:r>
      <w:r w:rsidRPr="00707061">
        <w:t xml:space="preserve"> switching to the alternate TPO-RA should be considered before the use of a less-preferable (last-line) option</w:t>
      </w:r>
      <w:r w:rsidR="00754F62">
        <w:t xml:space="preserve"> </w:t>
      </w:r>
      <w:r w:rsidRPr="00707061">
        <w:rPr>
          <w:noProof/>
        </w:rPr>
        <w:t>(González-Porras, Godeau et al. 2019)</w:t>
      </w:r>
      <w:r w:rsidR="00DB34BB">
        <w:rPr>
          <w:rStyle w:val="FootnoteReference"/>
          <w:noProof/>
        </w:rPr>
        <w:footnoteReference w:id="3"/>
      </w:r>
      <w:r w:rsidR="00DB34BB">
        <w:rPr>
          <w:noProof/>
        </w:rPr>
        <w:t>.</w:t>
      </w:r>
    </w:p>
    <w:p w14:paraId="68A14500" w14:textId="67089449" w:rsidR="0043719F" w:rsidRDefault="00F025F6" w:rsidP="0093138C">
      <w:pPr>
        <w:pStyle w:val="3-BodyText"/>
        <w:numPr>
          <w:ilvl w:val="1"/>
          <w:numId w:val="1"/>
        </w:numPr>
      </w:pPr>
      <w:r>
        <w:lastRenderedPageBreak/>
        <w:t>PBS data showed that between 12 April 2011 and 31 January 2022, 1</w:t>
      </w:r>
      <w:r w:rsidR="00587C53">
        <w:t>,</w:t>
      </w:r>
      <w:r>
        <w:t xml:space="preserve">809 patients were supplied with either </w:t>
      </w:r>
      <w:r w:rsidR="00587C53">
        <w:t xml:space="preserve">romiplostim </w:t>
      </w:r>
      <w:r>
        <w:t xml:space="preserve">or </w:t>
      </w:r>
      <w:r w:rsidR="00587C53">
        <w:t>eltrombopag</w:t>
      </w:r>
      <w:r>
        <w:t>. Of those 1</w:t>
      </w:r>
      <w:r w:rsidR="00587C53">
        <w:t>,</w:t>
      </w:r>
      <w:r>
        <w:t xml:space="preserve">809 patients, 284 patients (15.7%) switched </w:t>
      </w:r>
      <w:r w:rsidR="0043719F">
        <w:t xml:space="preserve">between the two TPO-RAs at least once. </w:t>
      </w:r>
    </w:p>
    <w:p w14:paraId="0B705A60" w14:textId="364D9DCF" w:rsidR="003530AF" w:rsidRDefault="0043719F" w:rsidP="00217798">
      <w:pPr>
        <w:pStyle w:val="3-BodyText"/>
      </w:pPr>
      <w:r>
        <w:t xml:space="preserve">The mean time-on-treatment (i.e. </w:t>
      </w:r>
      <w:r w:rsidR="00F30AC0">
        <w:t xml:space="preserve">until </w:t>
      </w:r>
      <w:r>
        <w:t xml:space="preserve">treatment was either discontinued or switched to another TPO-RA) was 3.8 years and 3.4 years for </w:t>
      </w:r>
      <w:r w:rsidR="00F30AC0">
        <w:t xml:space="preserve">romiplostim </w:t>
      </w:r>
      <w:r>
        <w:t xml:space="preserve">and </w:t>
      </w:r>
      <w:r w:rsidR="00F30AC0">
        <w:t xml:space="preserve">eltrombopag </w:t>
      </w:r>
      <w:r>
        <w:t>respectively</w:t>
      </w:r>
      <w:r w:rsidR="00C40268">
        <w:t>.</w:t>
      </w:r>
      <w:r>
        <w:t xml:space="preserve"> </w:t>
      </w:r>
      <w:r w:rsidR="003A045B">
        <w:t>Of those who switched,</w:t>
      </w:r>
      <w:r>
        <w:t xml:space="preserve"> </w:t>
      </w:r>
      <w:r w:rsidR="006D2FF7">
        <w:t>174 patients (61%</w:t>
      </w:r>
      <w:r w:rsidR="003A045B">
        <w:t>)</w:t>
      </w:r>
      <w:r w:rsidR="006D2FF7">
        <w:t xml:space="preserve"> switched within 24 weeks</w:t>
      </w:r>
      <w:r w:rsidR="003A045B">
        <w:t xml:space="preserve"> from </w:t>
      </w:r>
      <w:r w:rsidR="00C61568">
        <w:t xml:space="preserve">the </w:t>
      </w:r>
      <w:r w:rsidR="003A045B">
        <w:t>time of initiation and 110 patients (</w:t>
      </w:r>
      <w:r w:rsidR="003A045B" w:rsidRPr="003F0844">
        <w:t>3</w:t>
      </w:r>
      <w:r w:rsidR="005E1D54" w:rsidRPr="003F0844">
        <w:t>9</w:t>
      </w:r>
      <w:r w:rsidR="003A045B">
        <w:t>%) switched after 24 weeks</w:t>
      </w:r>
      <w:bookmarkStart w:id="0" w:name="_Hlk102044366"/>
      <w:r w:rsidR="003A045B">
        <w:t>.</w:t>
      </w:r>
      <w:r w:rsidR="00017A0C">
        <w:t xml:space="preserve"> </w:t>
      </w:r>
      <w:r w:rsidR="00C61568">
        <w:t xml:space="preserve">A subgroup </w:t>
      </w:r>
      <w:r w:rsidR="00017A0C">
        <w:t>analysis of those who switched after 24 weeks showed that the estimated mean time-to-treatment was 5.2 years in this group, i.e.,</w:t>
      </w:r>
      <w:r w:rsidR="0093138C">
        <w:t xml:space="preserve"> for </w:t>
      </w:r>
      <w:r w:rsidR="00017A0C">
        <w:t xml:space="preserve">patients who </w:t>
      </w:r>
      <w:r w:rsidR="0093138C">
        <w:t xml:space="preserve">persisted </w:t>
      </w:r>
      <w:r w:rsidR="00017A0C">
        <w:t xml:space="preserve">treatment beyond 24 weeks, </w:t>
      </w:r>
      <w:r w:rsidR="0093138C">
        <w:t>most stayed on</w:t>
      </w:r>
      <w:r w:rsidR="00017A0C">
        <w:t xml:space="preserve"> treatment for </w:t>
      </w:r>
      <w:r w:rsidR="00C40268">
        <w:t>about</w:t>
      </w:r>
      <w:r w:rsidR="00017A0C">
        <w:t xml:space="preserve"> 5.2 years</w:t>
      </w:r>
      <w:r w:rsidR="0093138C">
        <w:t>.</w:t>
      </w:r>
      <w:bookmarkEnd w:id="0"/>
    </w:p>
    <w:p w14:paraId="1455FE7C" w14:textId="77777777" w:rsidR="00767027" w:rsidRPr="00EC6FCA" w:rsidRDefault="00767027" w:rsidP="00EC6FCA">
      <w:pPr>
        <w:pStyle w:val="4-SubsectionHeading"/>
      </w:pPr>
      <w:r w:rsidRPr="00EC6FCA">
        <w:t>Use as an alternative to splenectomy</w:t>
      </w:r>
    </w:p>
    <w:p w14:paraId="42108B27" w14:textId="0F59402A" w:rsidR="00767027" w:rsidRDefault="00767027" w:rsidP="00767027">
      <w:pPr>
        <w:pStyle w:val="3-BodyText"/>
        <w:numPr>
          <w:ilvl w:val="1"/>
          <w:numId w:val="1"/>
        </w:numPr>
      </w:pPr>
      <w:r>
        <w:t>The current restrictions position TPO-RAs after splenectomy or where splenectomy is contraindicated.</w:t>
      </w:r>
    </w:p>
    <w:p w14:paraId="0FB7222D" w14:textId="67FC2E61" w:rsidR="00767027" w:rsidRDefault="00767027" w:rsidP="00767027">
      <w:pPr>
        <w:pStyle w:val="3-BodyText"/>
        <w:numPr>
          <w:ilvl w:val="1"/>
          <w:numId w:val="1"/>
        </w:numPr>
      </w:pPr>
      <w:r>
        <w:t xml:space="preserve">The initial PBAC applications for TPO-RAs (2009-2011) specified placebo as the comparator in the economic model, not splenectomy (or off-label rituximab). The PSD from those PBAC meetings noted that identifying a patient group with an absolute contraindication to splenectomy would be difficult and </w:t>
      </w:r>
      <w:r w:rsidR="00867B86">
        <w:t xml:space="preserve">that the risk of TPO-RAs being </w:t>
      </w:r>
      <w:r>
        <w:t>used outside the restriction as</w:t>
      </w:r>
      <w:r w:rsidR="00C61568">
        <w:t xml:space="preserve"> an</w:t>
      </w:r>
      <w:r>
        <w:t xml:space="preserve"> alternative to splenectomy should be managed by a risk share arrangement.</w:t>
      </w:r>
    </w:p>
    <w:p w14:paraId="7FA6C500" w14:textId="46F1804A" w:rsidR="00767027" w:rsidRDefault="00767027" w:rsidP="00767027">
      <w:pPr>
        <w:pStyle w:val="3-BodyText"/>
        <w:numPr>
          <w:ilvl w:val="1"/>
          <w:numId w:val="1"/>
        </w:numPr>
      </w:pPr>
      <w:r>
        <w:t xml:space="preserve">Current clinical practice guidelines position TPO-RAs as second line, with splenectomy and rituximab as alternatives depending on patient preferences and values </w:t>
      </w:r>
      <w:r>
        <w:rPr>
          <w:noProof/>
        </w:rPr>
        <w:t>(Neunert, Terrell et al. 2019,</w:t>
      </w:r>
      <w:r w:rsidR="00DB34BB">
        <w:rPr>
          <w:rStyle w:val="FootnoteReference"/>
          <w:noProof/>
        </w:rPr>
        <w:footnoteReference w:id="4"/>
      </w:r>
      <w:r>
        <w:rPr>
          <w:noProof/>
        </w:rPr>
        <w:t xml:space="preserve"> Provan, Arnold et al. 2019,</w:t>
      </w:r>
      <w:r w:rsidR="00DB34BB">
        <w:rPr>
          <w:rStyle w:val="FootnoteReference"/>
          <w:noProof/>
        </w:rPr>
        <w:footnoteReference w:id="5"/>
      </w:r>
      <w:r>
        <w:rPr>
          <w:noProof/>
        </w:rPr>
        <w:t xml:space="preserve"> George and Arnold 2020,</w:t>
      </w:r>
      <w:r w:rsidR="00DB34BB">
        <w:rPr>
          <w:rStyle w:val="FootnoteReference"/>
          <w:noProof/>
        </w:rPr>
        <w:footnoteReference w:id="6"/>
      </w:r>
      <w:r>
        <w:rPr>
          <w:noProof/>
        </w:rPr>
        <w:t xml:space="preserve"> Choi, Merriman et al. 2022,</w:t>
      </w:r>
      <w:r w:rsidR="00DB34BB">
        <w:rPr>
          <w:rStyle w:val="FootnoteReference"/>
          <w:noProof/>
        </w:rPr>
        <w:footnoteReference w:id="7"/>
      </w:r>
      <w:r>
        <w:rPr>
          <w:noProof/>
        </w:rPr>
        <w:t xml:space="preserve"> Janssens, Selleslag et al. 2022</w:t>
      </w:r>
      <w:r w:rsidR="00DB34BB">
        <w:rPr>
          <w:rStyle w:val="FootnoteReference"/>
          <w:noProof/>
        </w:rPr>
        <w:footnoteReference w:id="8"/>
      </w:r>
      <w:r>
        <w:rPr>
          <w:noProof/>
        </w:rPr>
        <w:t>)</w:t>
      </w:r>
      <w:r>
        <w:t>.</w:t>
      </w:r>
    </w:p>
    <w:p w14:paraId="3BE09B18" w14:textId="508C242A" w:rsidR="00767027" w:rsidRDefault="00767027" w:rsidP="00767027">
      <w:pPr>
        <w:pStyle w:val="3-BodyText"/>
        <w:numPr>
          <w:ilvl w:val="1"/>
          <w:numId w:val="1"/>
        </w:numPr>
      </w:pPr>
      <w:r>
        <w:t xml:space="preserve">Although sustained remission rates with splenectomy are about 60% to 70%, some cases of ITP resolve allowing all treatment to be stopped. </w:t>
      </w:r>
      <w:r w:rsidR="00C61568">
        <w:t>Further</w:t>
      </w:r>
      <w:r>
        <w:t>, splenectomy has long-term adverse effects such as an increased risk of infection/immunosuppression and thrombo-embolism.</w:t>
      </w:r>
    </w:p>
    <w:p w14:paraId="4F444658" w14:textId="281524C6" w:rsidR="007A78A5" w:rsidRDefault="00767027" w:rsidP="007A78A5">
      <w:pPr>
        <w:pStyle w:val="3-BodyText"/>
        <w:numPr>
          <w:ilvl w:val="1"/>
          <w:numId w:val="1"/>
        </w:numPr>
      </w:pPr>
      <w:r>
        <w:lastRenderedPageBreak/>
        <w:t>I</w:t>
      </w:r>
      <w:r w:rsidRPr="00CE3BF3">
        <w:t xml:space="preserve">nitial concerns </w:t>
      </w:r>
      <w:r>
        <w:t>about</w:t>
      </w:r>
      <w:r w:rsidRPr="00CE3BF3">
        <w:t xml:space="preserve"> increasing bone marrow reticulin formation with </w:t>
      </w:r>
      <w:hyperlink r:id="rId8" w:history="1">
        <w:r w:rsidRPr="00CE3BF3">
          <w:rPr>
            <w:rStyle w:val="Hyperlink"/>
            <w:color w:val="auto"/>
            <w:u w:val="none"/>
          </w:rPr>
          <w:t>romiplostim</w:t>
        </w:r>
      </w:hyperlink>
      <w:r w:rsidRPr="00CE3BF3">
        <w:t> and </w:t>
      </w:r>
      <w:hyperlink r:id="rId9" w:history="1">
        <w:r w:rsidRPr="00CE3BF3">
          <w:rPr>
            <w:rStyle w:val="Hyperlink"/>
            <w:color w:val="auto"/>
            <w:u w:val="none"/>
          </w:rPr>
          <w:t>eltrombopag</w:t>
        </w:r>
      </w:hyperlink>
      <w:r>
        <w:t xml:space="preserve"> have </w:t>
      </w:r>
      <w:r w:rsidR="00867B86">
        <w:t>reduced</w:t>
      </w:r>
      <w:r>
        <w:t xml:space="preserve">, based on </w:t>
      </w:r>
      <w:r w:rsidRPr="00CE3BF3">
        <w:t>follow-up studies</w:t>
      </w:r>
      <w:r>
        <w:t>.</w:t>
      </w:r>
    </w:p>
    <w:p w14:paraId="7AF0DE14" w14:textId="0055ECEC" w:rsidR="00C40268" w:rsidRDefault="0093138C" w:rsidP="00C40268">
      <w:pPr>
        <w:pStyle w:val="3-BodyText"/>
        <w:numPr>
          <w:ilvl w:val="1"/>
          <w:numId w:val="1"/>
        </w:numPr>
      </w:pPr>
      <w:r>
        <w:t xml:space="preserve">PBS data </w:t>
      </w:r>
      <w:r w:rsidR="005F784C">
        <w:t xml:space="preserve">showed </w:t>
      </w:r>
      <w:r>
        <w:t xml:space="preserve">that </w:t>
      </w:r>
      <w:r w:rsidR="000816FF">
        <w:t>since 2016</w:t>
      </w:r>
      <w:r w:rsidR="00367104">
        <w:t xml:space="preserve">, the </w:t>
      </w:r>
      <w:r w:rsidR="007A78A5">
        <w:t xml:space="preserve">number of patients who </w:t>
      </w:r>
      <w:r w:rsidR="00367104">
        <w:t xml:space="preserve">have </w:t>
      </w:r>
      <w:r w:rsidR="007A78A5">
        <w:t>had splen</w:t>
      </w:r>
      <w:r w:rsidR="00DE3A9B">
        <w:t>e</w:t>
      </w:r>
      <w:r w:rsidR="007A78A5">
        <w:t xml:space="preserve">ctomy </w:t>
      </w:r>
      <w:r w:rsidR="000816FF">
        <w:t xml:space="preserve">has decreased by more than one-third </w:t>
      </w:r>
      <w:r w:rsidR="00367104">
        <w:t>while that</w:t>
      </w:r>
      <w:r>
        <w:t xml:space="preserve"> of non-splenectomised patients accessing TPO-RAs </w:t>
      </w:r>
      <w:r w:rsidR="000816FF">
        <w:t>has increased.</w:t>
      </w:r>
    </w:p>
    <w:p w14:paraId="5A776C24" w14:textId="61EA7755" w:rsidR="00767027" w:rsidRPr="00EC6FCA" w:rsidRDefault="00767027" w:rsidP="00C40268">
      <w:pPr>
        <w:pStyle w:val="4-SubsectionHeading"/>
      </w:pPr>
      <w:r w:rsidRPr="00EC6FCA">
        <w:t>Use in children</w:t>
      </w:r>
    </w:p>
    <w:p w14:paraId="327C7646" w14:textId="34FA1144" w:rsidR="00767027" w:rsidRDefault="00767027" w:rsidP="00767027">
      <w:pPr>
        <w:pStyle w:val="3-BodyText"/>
        <w:numPr>
          <w:ilvl w:val="1"/>
          <w:numId w:val="1"/>
        </w:numPr>
      </w:pPr>
      <w:r>
        <w:t xml:space="preserve">ITP </w:t>
      </w:r>
      <w:r w:rsidR="000816FF">
        <w:t>manifests differently</w:t>
      </w:r>
      <w:r>
        <w:t xml:space="preserve"> in children</w:t>
      </w:r>
      <w:r w:rsidR="00CB725A">
        <w:t xml:space="preserve"> in that</w:t>
      </w:r>
      <w:r w:rsidR="006E1DFC">
        <w:t xml:space="preserve"> </w:t>
      </w:r>
      <w:r>
        <w:t>ITP in children is likely to resolve after a short period of time</w:t>
      </w:r>
      <w:r w:rsidR="00CB725A">
        <w:t xml:space="preserve"> and not require TPO-RAs</w:t>
      </w:r>
      <w:r>
        <w:t>.</w:t>
      </w:r>
    </w:p>
    <w:p w14:paraId="6BD2230F" w14:textId="5C70D7A7" w:rsidR="00767027" w:rsidRDefault="00767027" w:rsidP="00767027">
      <w:pPr>
        <w:pStyle w:val="3-BodyText"/>
        <w:numPr>
          <w:ilvl w:val="1"/>
          <w:numId w:val="1"/>
        </w:numPr>
      </w:pPr>
      <w:r>
        <w:t xml:space="preserve">However, in a small number of children the disease has a chronic course. Expert advice puts the numbers at about 10 children per year, nationally. </w:t>
      </w:r>
      <w:r w:rsidR="00867B86">
        <w:t>Clinical practice g</w:t>
      </w:r>
      <w:r>
        <w:t>uidelines suggest the use of TPO-RAs (rather than rituximab) in these children (</w:t>
      </w:r>
      <w:r>
        <w:rPr>
          <w:noProof/>
        </w:rPr>
        <w:t>Neunert, Terrell et al. 2019)</w:t>
      </w:r>
      <w:r w:rsidR="00DB34BB">
        <w:rPr>
          <w:rStyle w:val="FootnoteReference"/>
          <w:noProof/>
        </w:rPr>
        <w:footnoteReference w:id="9"/>
      </w:r>
      <w:r>
        <w:t>.</w:t>
      </w:r>
    </w:p>
    <w:p w14:paraId="7797E929" w14:textId="77777777" w:rsidR="00767027" w:rsidRDefault="00767027" w:rsidP="00767027">
      <w:pPr>
        <w:pStyle w:val="3-BodyText"/>
        <w:numPr>
          <w:ilvl w:val="1"/>
          <w:numId w:val="1"/>
        </w:numPr>
      </w:pPr>
      <w:r>
        <w:t>The current PBS restrictions limit subsidy to patients 18 years or older.</w:t>
      </w:r>
    </w:p>
    <w:p w14:paraId="19D8CDB2" w14:textId="71776AA0" w:rsidR="00767027" w:rsidRDefault="00767027" w:rsidP="00767027">
      <w:pPr>
        <w:pStyle w:val="3-BodyText"/>
        <w:numPr>
          <w:ilvl w:val="1"/>
          <w:numId w:val="1"/>
        </w:numPr>
      </w:pPr>
      <w:r>
        <w:t xml:space="preserve">The </w:t>
      </w:r>
      <w:r w:rsidR="00F30AC0">
        <w:t>Therapeutic Goods Administration (</w:t>
      </w:r>
      <w:r>
        <w:t>TGA</w:t>
      </w:r>
      <w:r w:rsidR="00F30AC0">
        <w:t>)</w:t>
      </w:r>
      <w:r>
        <w:t xml:space="preserve"> indications allow for paediatric use:</w:t>
      </w:r>
    </w:p>
    <w:p w14:paraId="2D57EC9F" w14:textId="3239C513" w:rsidR="00767027" w:rsidRPr="00754F62" w:rsidRDefault="00767027" w:rsidP="00EC6FCA">
      <w:pPr>
        <w:pStyle w:val="3-BodyText"/>
        <w:numPr>
          <w:ilvl w:val="0"/>
          <w:numId w:val="0"/>
        </w:numPr>
        <w:ind w:left="720"/>
      </w:pPr>
      <w:r w:rsidRPr="00754F62">
        <w:t>romiplostim</w:t>
      </w:r>
    </w:p>
    <w:p w14:paraId="211D6A21" w14:textId="6D4A4264" w:rsidR="00767027" w:rsidRDefault="00767027" w:rsidP="00EC6FCA">
      <w:pPr>
        <w:pStyle w:val="3-BodyText"/>
        <w:numPr>
          <w:ilvl w:val="0"/>
          <w:numId w:val="0"/>
        </w:numPr>
        <w:ind w:left="1440"/>
      </w:pPr>
      <w:r>
        <w:t>Nplate</w:t>
      </w:r>
      <w:r w:rsidR="00F30AC0">
        <w:rPr>
          <w:rFonts w:cstheme="minorHAnsi"/>
        </w:rPr>
        <w:t>®</w:t>
      </w:r>
      <w:r>
        <w:t xml:space="preserve"> is indicated for treatment of thrombocytopenia in paediatric patients aged 1 year and older with primary immune thrombocytopenia ITP for at least 6 months who are: </w:t>
      </w:r>
    </w:p>
    <w:p w14:paraId="007D29B7" w14:textId="77777777" w:rsidR="00767027" w:rsidRDefault="00767027" w:rsidP="00EC6FCA">
      <w:pPr>
        <w:pStyle w:val="3-BodyText"/>
        <w:numPr>
          <w:ilvl w:val="0"/>
          <w:numId w:val="0"/>
        </w:numPr>
        <w:ind w:left="1440"/>
      </w:pPr>
      <w:r>
        <w:t xml:space="preserve">• non-splenectomised and have had an insufficient response, or are intolerant, to corticosteroids and immunoglobulins; </w:t>
      </w:r>
    </w:p>
    <w:p w14:paraId="5CB60E05" w14:textId="77777777" w:rsidR="00767027" w:rsidRDefault="00767027" w:rsidP="00EC6FCA">
      <w:pPr>
        <w:pStyle w:val="3-BodyText"/>
        <w:numPr>
          <w:ilvl w:val="0"/>
          <w:numId w:val="0"/>
        </w:numPr>
        <w:ind w:left="1440"/>
      </w:pPr>
      <w:r>
        <w:t>• splenectomised and have had an inadequate response to splenectomy.</w:t>
      </w:r>
    </w:p>
    <w:p w14:paraId="4F44CD07" w14:textId="77777777" w:rsidR="00767027" w:rsidRDefault="00767027" w:rsidP="00EC6FCA">
      <w:pPr>
        <w:pStyle w:val="3-BodyText"/>
        <w:numPr>
          <w:ilvl w:val="0"/>
          <w:numId w:val="0"/>
        </w:numPr>
        <w:ind w:left="720"/>
      </w:pPr>
      <w:r>
        <w:t>eltrombopag</w:t>
      </w:r>
    </w:p>
    <w:p w14:paraId="1D7A6A79" w14:textId="7D44D20E" w:rsidR="00767027" w:rsidRDefault="00F30AC0" w:rsidP="00EC6FCA">
      <w:pPr>
        <w:pStyle w:val="3-BodyText"/>
        <w:numPr>
          <w:ilvl w:val="0"/>
          <w:numId w:val="0"/>
        </w:numPr>
        <w:ind w:left="1440"/>
      </w:pPr>
      <w:r>
        <w:t>Revolade</w:t>
      </w:r>
      <w:r>
        <w:rPr>
          <w:rFonts w:cstheme="minorHAnsi"/>
        </w:rPr>
        <w:t>®</w:t>
      </w:r>
      <w:r>
        <w:t xml:space="preserve"> </w:t>
      </w:r>
      <w:r w:rsidR="00767027">
        <w:t xml:space="preserve">is indicated for the treatment of: </w:t>
      </w:r>
    </w:p>
    <w:p w14:paraId="7C537121" w14:textId="7B6ED97F" w:rsidR="00767027" w:rsidRDefault="00767027" w:rsidP="00EC6FCA">
      <w:pPr>
        <w:pStyle w:val="3-BodyText"/>
        <w:numPr>
          <w:ilvl w:val="0"/>
          <w:numId w:val="0"/>
        </w:numPr>
        <w:ind w:left="1440"/>
      </w:pPr>
      <w:r>
        <w:t>• paediatric patients with chronic immune thrombocytopaenia (ITP) who have failed other treatments and either (a) need an increased platelet concentration for a planned procedure or (b) are at a high risk of bleeding</w:t>
      </w:r>
      <w:r w:rsidR="00DE3A9B">
        <w:t>.</w:t>
      </w:r>
    </w:p>
    <w:p w14:paraId="282802A4" w14:textId="77777777" w:rsidR="00767027" w:rsidRPr="00EC6FCA" w:rsidRDefault="00767027" w:rsidP="00EC6FCA">
      <w:pPr>
        <w:pStyle w:val="4-SubsectionHeading"/>
      </w:pPr>
      <w:r w:rsidRPr="00EC6FCA">
        <w:t>Platelet counts for commencing and continuing treatment</w:t>
      </w:r>
    </w:p>
    <w:p w14:paraId="21FA069A" w14:textId="0DC01C5C" w:rsidR="00767027" w:rsidRDefault="00767027" w:rsidP="00767027">
      <w:pPr>
        <w:pStyle w:val="3-BodyText"/>
        <w:numPr>
          <w:ilvl w:val="1"/>
          <w:numId w:val="1"/>
        </w:numPr>
      </w:pPr>
      <w:r>
        <w:t>The</w:t>
      </w:r>
      <w:r w:rsidR="00EC6FCA">
        <w:t xml:space="preserve"> </w:t>
      </w:r>
      <w:r>
        <w:t>current restriction includes the following criteria for commencing romiplostim/eltrombopag subsidy</w:t>
      </w:r>
      <w:r w:rsidR="00F30AC0">
        <w:t>:</w:t>
      </w:r>
    </w:p>
    <w:p w14:paraId="0FDBFE31" w14:textId="77777777" w:rsidR="00767027" w:rsidRDefault="00767027" w:rsidP="00767027">
      <w:pPr>
        <w:pStyle w:val="3-BodyText"/>
        <w:numPr>
          <w:ilvl w:val="0"/>
          <w:numId w:val="19"/>
        </w:numPr>
      </w:pPr>
      <w:r>
        <w:t>I</w:t>
      </w:r>
      <w:r w:rsidRPr="004059A4">
        <w:t xml:space="preserve">ntolerance to treatment with corticosteroid and immunoglobulin therapy developed during the relevant period of use, which was of a severity to </w:t>
      </w:r>
      <w:r w:rsidRPr="004059A4">
        <w:lastRenderedPageBreak/>
        <w:t>necessitate permanent treatment withdrawal, details of the degree of this toxicity must be provided at th</w:t>
      </w:r>
      <w:r>
        <w:t>e time of application.</w:t>
      </w:r>
    </w:p>
    <w:p w14:paraId="05B352C7" w14:textId="543B60AA" w:rsidR="00767027" w:rsidRPr="004059A4" w:rsidRDefault="00767027" w:rsidP="00767027">
      <w:pPr>
        <w:pStyle w:val="3-BodyText"/>
        <w:numPr>
          <w:ilvl w:val="0"/>
          <w:numId w:val="19"/>
        </w:numPr>
      </w:pPr>
      <w:r>
        <w:t>I</w:t>
      </w:r>
      <w:r w:rsidRPr="004059A4">
        <w:t>nadequate response with corticosteroid and immunoglobulin therapy; (a) a platelet count of less than or equal to 20,000 million per L; OR, (b) a platelet count of 20,000 million to 30,000 million per L, where the patient is experiencing significant bleeding or has a history of significant bleeding in this platelet range.</w:t>
      </w:r>
    </w:p>
    <w:p w14:paraId="4B7B5FE1" w14:textId="6484BC9E" w:rsidR="00767027" w:rsidRDefault="00767027" w:rsidP="00767027">
      <w:pPr>
        <w:pStyle w:val="3-BodyText"/>
        <w:numPr>
          <w:ilvl w:val="1"/>
          <w:numId w:val="1"/>
        </w:numPr>
      </w:pPr>
      <w:r>
        <w:t>The current restriction includes the following criteria for continuing romiplostim/eltrombopag subsidy</w:t>
      </w:r>
      <w:r w:rsidR="00B959E8">
        <w:t>:</w:t>
      </w:r>
    </w:p>
    <w:p w14:paraId="571A0E6F" w14:textId="66F336F7" w:rsidR="00767027" w:rsidRDefault="00767027" w:rsidP="00767027">
      <w:pPr>
        <w:pStyle w:val="3-BodyText"/>
        <w:numPr>
          <w:ilvl w:val="0"/>
          <w:numId w:val="20"/>
        </w:numPr>
      </w:pPr>
      <w:r w:rsidRPr="005140A1">
        <w:t>For the purpose of this restriction, a continuing response to treatment with drug is defined as: (a) use of rescue medication (corticosteroids or immunoglobulins) on no more than one occasion during the most recent 24</w:t>
      </w:r>
      <w:r w:rsidR="008F6EC8">
        <w:t> </w:t>
      </w:r>
      <w:r w:rsidRPr="005140A1">
        <w:t>week period of PBS-subsidised treatment with this drug, AND either of the following: (b) a platelet count greater than or equal to 50,000 million per L, OR, (c) a platelet count greater than 30,000 million per L and which is double the baseline platelet count.</w:t>
      </w:r>
    </w:p>
    <w:p w14:paraId="1DA88E0B" w14:textId="77777777" w:rsidR="00767027" w:rsidRPr="005140A1" w:rsidRDefault="00767027" w:rsidP="00767027">
      <w:pPr>
        <w:pStyle w:val="3-BodyText"/>
        <w:numPr>
          <w:ilvl w:val="0"/>
          <w:numId w:val="20"/>
        </w:numPr>
      </w:pPr>
      <w:r w:rsidRPr="005140A1">
        <w:t>The platelet count must be no more than 4 weeks old at the time of application.</w:t>
      </w:r>
    </w:p>
    <w:p w14:paraId="665E0E0A" w14:textId="7BE22E62" w:rsidR="00767027" w:rsidRDefault="00767027" w:rsidP="00767027">
      <w:pPr>
        <w:pStyle w:val="3-BodyText"/>
        <w:numPr>
          <w:ilvl w:val="1"/>
          <w:numId w:val="1"/>
        </w:numPr>
      </w:pPr>
      <w:r>
        <w:t xml:space="preserve">Some patients may have chronically low platelet counts and require continuous TPO-RA use. Other patients may have a relapsing and remitting course, allowing treatment breaks. </w:t>
      </w:r>
      <w:r w:rsidR="00B959E8">
        <w:t>I</w:t>
      </w:r>
      <w:r>
        <w:t xml:space="preserve">n some patients the disease may resolve completely and require no further treatment. </w:t>
      </w:r>
    </w:p>
    <w:p w14:paraId="57E1AB44" w14:textId="77777777" w:rsidR="00767027" w:rsidRPr="00EC6FCA" w:rsidRDefault="00767027" w:rsidP="00EC6FCA">
      <w:pPr>
        <w:pStyle w:val="4-SubsectionHeading"/>
      </w:pPr>
      <w:r w:rsidRPr="00EC6FCA">
        <w:t>Lifespan</w:t>
      </w:r>
      <w:r w:rsidR="00867B86" w:rsidRPr="00EC6FCA">
        <w:t>s of the medicines</w:t>
      </w:r>
    </w:p>
    <w:p w14:paraId="3B0041AE" w14:textId="7B99D0EA" w:rsidR="001F717C" w:rsidRDefault="001F717C" w:rsidP="001F717C">
      <w:pPr>
        <w:pStyle w:val="3-BodyText"/>
      </w:pPr>
      <w:r>
        <w:t>The earliest date on which eltrombopag (Revolade) can be expected to face competition in Australia is 17 July 2025, being the day following the expiry of Novartis</w:t>
      </w:r>
      <w:r w:rsidR="00BD05B0">
        <w:t xml:space="preserve"> Pharmaceuticals Australia Pty Limited</w:t>
      </w:r>
      <w:r>
        <w:t>’</w:t>
      </w:r>
      <w:r w:rsidR="00BD05B0">
        <w:t>s (Novartis)</w:t>
      </w:r>
      <w:r>
        <w:t xml:space="preserve"> compound patent on eltrombopag.</w:t>
      </w:r>
    </w:p>
    <w:p w14:paraId="0E4AB3F6" w14:textId="19C0589E" w:rsidR="001F717C" w:rsidRDefault="001F717C" w:rsidP="001F717C">
      <w:pPr>
        <w:pStyle w:val="3-BodyText"/>
      </w:pPr>
      <w:r>
        <w:t>There is a related pharmaceutical composition patent for Revolade that expires on 1</w:t>
      </w:r>
      <w:r w:rsidR="009350BA">
        <w:t> </w:t>
      </w:r>
      <w:r>
        <w:t>August 2027. This patent may prevent generics from entering the market in 2025 if the particular formulation described and claimed in this patent is, in essence, the only practical delivery system for eltrombopag.</w:t>
      </w:r>
    </w:p>
    <w:p w14:paraId="2089C109" w14:textId="7403FAB4" w:rsidR="001F717C" w:rsidRPr="001F717C" w:rsidRDefault="001F717C" w:rsidP="00217798">
      <w:pPr>
        <w:pStyle w:val="3-BodyText"/>
      </w:pPr>
      <w:r w:rsidRPr="001F717C">
        <w:t>The compound patent for romiplostim (Nplate) is due to expire on 8 August 2023</w:t>
      </w:r>
      <w:r w:rsidRPr="007C524A">
        <w:t>A number of related Australian patents have lapsed (i.e. abandoned) for this drug.</w:t>
      </w:r>
    </w:p>
    <w:p w14:paraId="2290DADF" w14:textId="6151868B" w:rsidR="001F717C" w:rsidRPr="001F717C" w:rsidRDefault="00767027" w:rsidP="00217798">
      <w:pPr>
        <w:pStyle w:val="3-BodyText"/>
        <w:rPr>
          <w:rStyle w:val="Hyperlink"/>
          <w:rFonts w:ascii="Calibri" w:hAnsi="Calibri" w:cs="Times New Roman"/>
          <w:color w:val="auto"/>
          <w:szCs w:val="24"/>
          <w:u w:val="none"/>
        </w:rPr>
      </w:pPr>
      <w:r w:rsidRPr="001F717C">
        <w:t>A biosimilar</w:t>
      </w:r>
      <w:r w:rsidR="001F717C" w:rsidRPr="001F717C">
        <w:t xml:space="preserve"> of romiplostim</w:t>
      </w:r>
      <w:r w:rsidRPr="001F717C">
        <w:t xml:space="preserve"> gained marketing approval in India in 2021. </w:t>
      </w:r>
      <w:r w:rsidR="001F717C" w:rsidRPr="001F717C">
        <w:t xml:space="preserve">However, no </w:t>
      </w:r>
      <w:r w:rsidRPr="001F717C">
        <w:t xml:space="preserve">biosimilar </w:t>
      </w:r>
      <w:r w:rsidR="00F30AC0" w:rsidRPr="001F717C">
        <w:t xml:space="preserve">romiplostim </w:t>
      </w:r>
      <w:r w:rsidRPr="001F717C">
        <w:t>is currently under evaluation by the EMA</w:t>
      </w:r>
      <w:r w:rsidR="00E954F8">
        <w:t>, which typically is the first regulatory agency in a high-income country to evaluate a new biosimilar</w:t>
      </w:r>
      <w:r w:rsidR="001F717C">
        <w:rPr>
          <w:rStyle w:val="FootnoteReference"/>
        </w:rPr>
        <w:footnoteReference w:id="10"/>
      </w:r>
      <w:r w:rsidR="001F717C">
        <w:t>.</w:t>
      </w:r>
    </w:p>
    <w:p w14:paraId="400E6A25" w14:textId="7C8AE52E" w:rsidR="00B76B95" w:rsidRPr="00217798" w:rsidRDefault="00B76B95" w:rsidP="007F5FAB">
      <w:pPr>
        <w:pStyle w:val="3-BodyText"/>
        <w:numPr>
          <w:ilvl w:val="0"/>
          <w:numId w:val="0"/>
        </w:numPr>
        <w:ind w:left="720"/>
        <w:rPr>
          <w:i/>
          <w:iCs/>
        </w:rPr>
      </w:pPr>
      <w:r w:rsidRPr="00217798">
        <w:rPr>
          <w:i/>
          <w:iCs/>
        </w:rPr>
        <w:t>For more detail on PBAC’s view, see section 5 PBAC outcome.</w:t>
      </w:r>
    </w:p>
    <w:p w14:paraId="4D4E94FB" w14:textId="77777777" w:rsidR="00767027" w:rsidRPr="00EC6FCA" w:rsidRDefault="00767027" w:rsidP="00F61C0C">
      <w:pPr>
        <w:pStyle w:val="2-SectionHeading"/>
      </w:pPr>
      <w:r w:rsidRPr="00EC6FCA">
        <w:t>Financial implications</w:t>
      </w:r>
    </w:p>
    <w:p w14:paraId="0419397C" w14:textId="2242653F" w:rsidR="004A64D6" w:rsidRDefault="00367104" w:rsidP="00EC6FCA">
      <w:pPr>
        <w:pStyle w:val="3-BodyText"/>
      </w:pPr>
      <w:bookmarkStart w:id="1" w:name="_Hlk102123391"/>
      <w:r>
        <w:t xml:space="preserve">The expenditure for </w:t>
      </w:r>
      <w:r w:rsidR="00F30AC0">
        <w:t xml:space="preserve">eltrombopag </w:t>
      </w:r>
      <w:r>
        <w:t xml:space="preserve">and </w:t>
      </w:r>
      <w:r w:rsidR="00F30AC0">
        <w:t xml:space="preserve">romiplostim </w:t>
      </w:r>
      <w:r>
        <w:t xml:space="preserve">in 2021 </w:t>
      </w:r>
      <w:r w:rsidR="005F784C">
        <w:t xml:space="preserve">was </w:t>
      </w:r>
      <w:r>
        <w:t>$</w:t>
      </w:r>
      <w:r w:rsidR="0005034C" w:rsidRPr="00B643E4">
        <w:rPr>
          <w:color w:val="000000"/>
          <w:w w:val="57"/>
          <w:shd w:val="solid" w:color="000000" w:fill="000000"/>
          <w:fitText w:val="948" w:id="-1508126464"/>
          <w14:textFill>
            <w14:solidFill>
              <w14:srgbClr w14:val="000000">
                <w14:alpha w14:val="100000"/>
              </w14:srgbClr>
            </w14:solidFill>
          </w14:textFill>
        </w:rPr>
        <w:t>|||||||  |||||||</w:t>
      </w:r>
      <w:r>
        <w:t xml:space="preserve"> based on</w:t>
      </w:r>
      <w:r w:rsidR="00305B97">
        <w:t xml:space="preserve"> PBS data at</w:t>
      </w:r>
      <w:r>
        <w:t xml:space="preserve"> </w:t>
      </w:r>
      <w:r w:rsidR="005F784C">
        <w:t xml:space="preserve">the </w:t>
      </w:r>
      <w:r>
        <w:t xml:space="preserve">effective pricing. Table </w:t>
      </w:r>
      <w:r w:rsidR="00F30AC0">
        <w:t xml:space="preserve">1 </w:t>
      </w:r>
      <w:r w:rsidR="001124C3">
        <w:t xml:space="preserve">and Table </w:t>
      </w:r>
      <w:r w:rsidR="00F30AC0">
        <w:t xml:space="preserve">2 </w:t>
      </w:r>
      <w:r w:rsidR="009350BA">
        <w:t>present</w:t>
      </w:r>
      <w:r w:rsidR="00234C34">
        <w:t xml:space="preserve"> </w:t>
      </w:r>
      <w:r w:rsidR="005F784C">
        <w:t xml:space="preserve">estimated cost to </w:t>
      </w:r>
      <w:r w:rsidR="005F784C">
        <w:lastRenderedPageBreak/>
        <w:t xml:space="preserve">Government </w:t>
      </w:r>
      <w:r>
        <w:t xml:space="preserve">if </w:t>
      </w:r>
      <w:r w:rsidR="00234C34">
        <w:t xml:space="preserve">the </w:t>
      </w:r>
      <w:r>
        <w:t xml:space="preserve">current listing continues </w:t>
      </w:r>
      <w:r w:rsidR="005F784C">
        <w:t>and</w:t>
      </w:r>
      <w:r>
        <w:t xml:space="preserve"> </w:t>
      </w:r>
      <w:r w:rsidR="005F784C">
        <w:t xml:space="preserve">the estimated </w:t>
      </w:r>
      <w:r>
        <w:t>cost</w:t>
      </w:r>
      <w:r w:rsidR="00234C34">
        <w:t>s</w:t>
      </w:r>
      <w:r>
        <w:t xml:space="preserve"> if</w:t>
      </w:r>
      <w:r w:rsidR="005F784C">
        <w:t xml:space="preserve"> the</w:t>
      </w:r>
      <w:r>
        <w:t xml:space="preserve"> </w:t>
      </w:r>
      <w:r w:rsidR="009350BA">
        <w:t>listing were expanded to include</w:t>
      </w:r>
      <w:r w:rsidR="001124C3">
        <w:t xml:space="preserve"> use in children</w:t>
      </w:r>
      <w:r w:rsidR="00234C34">
        <w:t xml:space="preserve"> and remov</w:t>
      </w:r>
      <w:r w:rsidR="009350BA">
        <w:t>e</w:t>
      </w:r>
      <w:r w:rsidR="00234C34">
        <w:t xml:space="preserve"> the requirement for splenectomy unless contraindicated</w:t>
      </w:r>
      <w:r w:rsidR="005F268C">
        <w:t>.</w:t>
      </w:r>
    </w:p>
    <w:p w14:paraId="74E02735" w14:textId="146460E7" w:rsidR="00F025F6" w:rsidRPr="0076793E" w:rsidRDefault="00B56681" w:rsidP="00754F62">
      <w:pPr>
        <w:pStyle w:val="TableFigureHeading"/>
      </w:pPr>
      <w:r w:rsidRPr="0076793E">
        <w:t>Table</w:t>
      </w:r>
      <w:r w:rsidR="00D42BEB">
        <w:t xml:space="preserve"> </w:t>
      </w:r>
      <w:r w:rsidR="00F30AC0">
        <w:t>1</w:t>
      </w:r>
      <w:r w:rsidRPr="0076793E">
        <w:t>:</w:t>
      </w:r>
      <w:r w:rsidR="0076793E" w:rsidRPr="0076793E">
        <w:t xml:space="preserve"> </w:t>
      </w:r>
      <w:r w:rsidRPr="0076793E">
        <w:t xml:space="preserve">Estimated usage and financial expenditure </w:t>
      </w:r>
      <w:r w:rsidR="00234C34" w:rsidRPr="0076793E">
        <w:t>using effective price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 Estimated usage and financial expenditure using effective price"/>
      </w:tblPr>
      <w:tblGrid>
        <w:gridCol w:w="2971"/>
        <w:gridCol w:w="994"/>
        <w:gridCol w:w="994"/>
        <w:gridCol w:w="992"/>
        <w:gridCol w:w="990"/>
        <w:gridCol w:w="997"/>
        <w:gridCol w:w="1078"/>
      </w:tblGrid>
      <w:tr w:rsidR="00F025F6" w:rsidRPr="00197F03" w14:paraId="07A57152" w14:textId="77777777" w:rsidTr="000229A9">
        <w:trPr>
          <w:tblHeader/>
          <w:jc w:val="center"/>
        </w:trPr>
        <w:tc>
          <w:tcPr>
            <w:tcW w:w="1648" w:type="pct"/>
            <w:shd w:val="clear" w:color="auto" w:fill="auto"/>
            <w:vAlign w:val="center"/>
          </w:tcPr>
          <w:p w14:paraId="564D00F5" w14:textId="27618738" w:rsidR="00F025F6" w:rsidRPr="00434D1E" w:rsidRDefault="001124C3" w:rsidP="00F025F6">
            <w:pPr>
              <w:pStyle w:val="TableText"/>
              <w:rPr>
                <w:b/>
                <w:bCs w:val="0"/>
              </w:rPr>
            </w:pPr>
            <w:r>
              <w:rPr>
                <w:b/>
                <w:bCs w:val="0"/>
              </w:rPr>
              <w:t>Net cost to PBS/RPBS</w:t>
            </w:r>
          </w:p>
        </w:tc>
        <w:tc>
          <w:tcPr>
            <w:tcW w:w="551" w:type="pct"/>
            <w:tcBorders>
              <w:bottom w:val="single" w:sz="6" w:space="0" w:color="auto"/>
            </w:tcBorders>
            <w:shd w:val="clear" w:color="auto" w:fill="auto"/>
            <w:vAlign w:val="center"/>
          </w:tcPr>
          <w:p w14:paraId="632A95A3" w14:textId="77777777" w:rsidR="00F025F6" w:rsidRPr="00167C39" w:rsidRDefault="00F025F6" w:rsidP="00F025F6">
            <w:pPr>
              <w:pStyle w:val="TableText"/>
              <w:jc w:val="center"/>
              <w:rPr>
                <w:b/>
              </w:rPr>
            </w:pPr>
            <w:r>
              <w:rPr>
                <w:b/>
              </w:rPr>
              <w:t>2022</w:t>
            </w:r>
          </w:p>
        </w:tc>
        <w:tc>
          <w:tcPr>
            <w:tcW w:w="551" w:type="pct"/>
            <w:tcBorders>
              <w:bottom w:val="single" w:sz="6" w:space="0" w:color="auto"/>
            </w:tcBorders>
            <w:shd w:val="clear" w:color="auto" w:fill="auto"/>
            <w:vAlign w:val="center"/>
          </w:tcPr>
          <w:p w14:paraId="73BB77DC" w14:textId="77777777" w:rsidR="00F025F6" w:rsidRPr="00167C39" w:rsidRDefault="00F025F6" w:rsidP="00F025F6">
            <w:pPr>
              <w:pStyle w:val="TableText"/>
              <w:jc w:val="center"/>
              <w:rPr>
                <w:b/>
              </w:rPr>
            </w:pPr>
            <w:r>
              <w:rPr>
                <w:b/>
              </w:rPr>
              <w:t>2023</w:t>
            </w:r>
          </w:p>
        </w:tc>
        <w:tc>
          <w:tcPr>
            <w:tcW w:w="550" w:type="pct"/>
            <w:tcBorders>
              <w:bottom w:val="single" w:sz="6" w:space="0" w:color="auto"/>
            </w:tcBorders>
            <w:shd w:val="clear" w:color="auto" w:fill="auto"/>
            <w:vAlign w:val="center"/>
          </w:tcPr>
          <w:p w14:paraId="79F23778" w14:textId="77777777" w:rsidR="00F025F6" w:rsidRPr="00167C39" w:rsidRDefault="00F025F6" w:rsidP="00F025F6">
            <w:pPr>
              <w:pStyle w:val="TableText"/>
              <w:jc w:val="center"/>
              <w:rPr>
                <w:b/>
              </w:rPr>
            </w:pPr>
            <w:r>
              <w:rPr>
                <w:b/>
              </w:rPr>
              <w:t>2024</w:t>
            </w:r>
          </w:p>
        </w:tc>
        <w:tc>
          <w:tcPr>
            <w:tcW w:w="549" w:type="pct"/>
            <w:tcBorders>
              <w:bottom w:val="single" w:sz="6" w:space="0" w:color="auto"/>
            </w:tcBorders>
            <w:shd w:val="clear" w:color="auto" w:fill="auto"/>
            <w:vAlign w:val="center"/>
          </w:tcPr>
          <w:p w14:paraId="5C46DCDF" w14:textId="77777777" w:rsidR="00F025F6" w:rsidRPr="00167C39" w:rsidRDefault="00F025F6" w:rsidP="00F025F6">
            <w:pPr>
              <w:pStyle w:val="TableText"/>
              <w:jc w:val="center"/>
              <w:rPr>
                <w:b/>
              </w:rPr>
            </w:pPr>
            <w:r>
              <w:rPr>
                <w:b/>
              </w:rPr>
              <w:t>2025</w:t>
            </w:r>
          </w:p>
        </w:tc>
        <w:tc>
          <w:tcPr>
            <w:tcW w:w="553" w:type="pct"/>
            <w:tcBorders>
              <w:bottom w:val="single" w:sz="6" w:space="0" w:color="auto"/>
            </w:tcBorders>
            <w:shd w:val="clear" w:color="auto" w:fill="auto"/>
            <w:vAlign w:val="center"/>
          </w:tcPr>
          <w:p w14:paraId="25942E9B" w14:textId="77777777" w:rsidR="00F025F6" w:rsidRPr="00167C39" w:rsidRDefault="00F025F6" w:rsidP="00F025F6">
            <w:pPr>
              <w:pStyle w:val="TableText"/>
              <w:jc w:val="center"/>
              <w:rPr>
                <w:b/>
              </w:rPr>
            </w:pPr>
            <w:r>
              <w:rPr>
                <w:b/>
              </w:rPr>
              <w:t>2026</w:t>
            </w:r>
          </w:p>
        </w:tc>
        <w:tc>
          <w:tcPr>
            <w:tcW w:w="598" w:type="pct"/>
            <w:tcBorders>
              <w:bottom w:val="single" w:sz="6" w:space="0" w:color="auto"/>
            </w:tcBorders>
            <w:vAlign w:val="center"/>
          </w:tcPr>
          <w:p w14:paraId="40CCB0BF" w14:textId="77777777" w:rsidR="00F025F6" w:rsidRPr="00167C39" w:rsidRDefault="00F025F6" w:rsidP="00F025F6">
            <w:pPr>
              <w:pStyle w:val="TableText"/>
              <w:jc w:val="center"/>
              <w:rPr>
                <w:b/>
              </w:rPr>
            </w:pPr>
            <w:r>
              <w:rPr>
                <w:b/>
              </w:rPr>
              <w:t>2027</w:t>
            </w:r>
          </w:p>
        </w:tc>
      </w:tr>
      <w:tr w:rsidR="00367104" w:rsidRPr="00197F03" w14:paraId="28CD7E41" w14:textId="77777777" w:rsidTr="000229A9">
        <w:trPr>
          <w:jc w:val="center"/>
        </w:trPr>
        <w:tc>
          <w:tcPr>
            <w:tcW w:w="1648" w:type="pct"/>
            <w:shd w:val="clear" w:color="auto" w:fill="auto"/>
            <w:vAlign w:val="center"/>
          </w:tcPr>
          <w:p w14:paraId="2AC9B9C9" w14:textId="2B3C9C11" w:rsidR="00367104" w:rsidRPr="001124C3" w:rsidRDefault="00367104" w:rsidP="00367104">
            <w:pPr>
              <w:pStyle w:val="TableText"/>
              <w:rPr>
                <w:szCs w:val="20"/>
              </w:rPr>
            </w:pPr>
            <w:r w:rsidRPr="001124C3">
              <w:rPr>
                <w:szCs w:val="20"/>
              </w:rPr>
              <w:t>Current listing</w:t>
            </w:r>
          </w:p>
        </w:tc>
        <w:tc>
          <w:tcPr>
            <w:tcW w:w="551" w:type="pct"/>
            <w:tcBorders>
              <w:top w:val="single" w:sz="6" w:space="0" w:color="auto"/>
              <w:left w:val="single" w:sz="6" w:space="0" w:color="auto"/>
              <w:bottom w:val="single" w:sz="6" w:space="0" w:color="auto"/>
              <w:right w:val="single" w:sz="6" w:space="0" w:color="auto"/>
            </w:tcBorders>
            <w:shd w:val="solid" w:color="000000" w:fill="000000"/>
          </w:tcPr>
          <w:p w14:paraId="17E92BB0" w14:textId="79B4A634" w:rsidR="00367104" w:rsidRPr="000229A9" w:rsidRDefault="000229A9" w:rsidP="00367104">
            <w:pPr>
              <w:pStyle w:val="TableText"/>
              <w:jc w:val="right"/>
              <w:rPr>
                <w:color w:val="ED7D31" w:themeColor="accent2"/>
                <w:szCs w:val="20"/>
              </w:rPr>
            </w:pPr>
            <w:r w:rsidRPr="000229A9">
              <w:rPr>
                <w:rFonts w:eastAsiaTheme="minorHAnsi" w:cs="Arial"/>
                <w:color w:val="ED7D31" w:themeColor="accent2"/>
                <w:szCs w:val="20"/>
                <w14:textFill>
                  <w14:solidFill>
                    <w14:schemeClr w14:val="accent2">
                      <w14:alpha w14:val="100000"/>
                    </w14:schemeClr>
                  </w14:solidFill>
                </w14:textFill>
              </w:rPr>
              <w:t>|</w:t>
            </w:r>
          </w:p>
        </w:tc>
        <w:tc>
          <w:tcPr>
            <w:tcW w:w="551" w:type="pct"/>
            <w:tcBorders>
              <w:top w:val="single" w:sz="6" w:space="0" w:color="auto"/>
              <w:left w:val="single" w:sz="6" w:space="0" w:color="auto"/>
              <w:bottom w:val="single" w:sz="6" w:space="0" w:color="auto"/>
              <w:right w:val="single" w:sz="6" w:space="0" w:color="auto"/>
            </w:tcBorders>
            <w:shd w:val="solid" w:color="000000" w:fill="000000"/>
          </w:tcPr>
          <w:p w14:paraId="673DC658" w14:textId="4A2310EC" w:rsidR="00367104" w:rsidRPr="000229A9" w:rsidRDefault="000229A9" w:rsidP="00367104">
            <w:pPr>
              <w:pStyle w:val="TableText"/>
              <w:jc w:val="right"/>
              <w:rPr>
                <w:color w:val="ED7D31" w:themeColor="accent2"/>
                <w:szCs w:val="20"/>
              </w:rPr>
            </w:pPr>
            <w:r w:rsidRPr="000229A9">
              <w:rPr>
                <w:rFonts w:eastAsiaTheme="minorHAnsi" w:cs="Arial"/>
                <w:color w:val="ED7D31" w:themeColor="accent2"/>
                <w:szCs w:val="20"/>
                <w14:textFill>
                  <w14:solidFill>
                    <w14:schemeClr w14:val="accent2">
                      <w14:alpha w14:val="100000"/>
                    </w14:schemeClr>
                  </w14:solidFill>
                </w14:textFill>
              </w:rPr>
              <w:t>|</w:t>
            </w:r>
          </w:p>
        </w:tc>
        <w:tc>
          <w:tcPr>
            <w:tcW w:w="550" w:type="pct"/>
            <w:tcBorders>
              <w:top w:val="single" w:sz="6" w:space="0" w:color="auto"/>
              <w:left w:val="single" w:sz="6" w:space="0" w:color="auto"/>
              <w:bottom w:val="single" w:sz="6" w:space="0" w:color="auto"/>
              <w:right w:val="single" w:sz="6" w:space="0" w:color="auto"/>
            </w:tcBorders>
            <w:shd w:val="solid" w:color="000000" w:fill="000000"/>
          </w:tcPr>
          <w:p w14:paraId="47EEFBC7" w14:textId="60D5701A" w:rsidR="00367104" w:rsidRPr="000229A9" w:rsidRDefault="000229A9" w:rsidP="00367104">
            <w:pPr>
              <w:pStyle w:val="TableText"/>
              <w:jc w:val="right"/>
              <w:rPr>
                <w:color w:val="ED7D31" w:themeColor="accent2"/>
                <w:szCs w:val="20"/>
              </w:rPr>
            </w:pPr>
            <w:r w:rsidRPr="000229A9">
              <w:rPr>
                <w:rFonts w:eastAsiaTheme="minorHAnsi" w:cs="Arial"/>
                <w:color w:val="ED7D31" w:themeColor="accent2"/>
                <w:szCs w:val="20"/>
                <w14:textFill>
                  <w14:solidFill>
                    <w14:schemeClr w14:val="accent2">
                      <w14:alpha w14:val="100000"/>
                    </w14:schemeClr>
                  </w14:solidFill>
                </w14:textFill>
              </w:rPr>
              <w:t>|</w:t>
            </w:r>
          </w:p>
        </w:tc>
        <w:tc>
          <w:tcPr>
            <w:tcW w:w="549" w:type="pct"/>
            <w:tcBorders>
              <w:top w:val="single" w:sz="6" w:space="0" w:color="auto"/>
              <w:left w:val="single" w:sz="6" w:space="0" w:color="auto"/>
              <w:bottom w:val="single" w:sz="6" w:space="0" w:color="auto"/>
              <w:right w:val="single" w:sz="6" w:space="0" w:color="auto"/>
            </w:tcBorders>
            <w:shd w:val="solid" w:color="000000" w:fill="000000"/>
          </w:tcPr>
          <w:p w14:paraId="363DEB05" w14:textId="1A5EB489" w:rsidR="00367104" w:rsidRPr="000229A9" w:rsidRDefault="000229A9" w:rsidP="00367104">
            <w:pPr>
              <w:pStyle w:val="TableText"/>
              <w:jc w:val="right"/>
              <w:rPr>
                <w:color w:val="ED7D31" w:themeColor="accent2"/>
                <w:szCs w:val="20"/>
              </w:rPr>
            </w:pPr>
            <w:r w:rsidRPr="000229A9">
              <w:rPr>
                <w:rFonts w:eastAsiaTheme="minorHAnsi" w:cs="Arial"/>
                <w:color w:val="ED7D31" w:themeColor="accent2"/>
                <w:szCs w:val="20"/>
                <w14:textFill>
                  <w14:solidFill>
                    <w14:schemeClr w14:val="accent2">
                      <w14:alpha w14:val="100000"/>
                    </w14:schemeClr>
                  </w14:solidFill>
                </w14:textFill>
              </w:rPr>
              <w:t>|</w:t>
            </w:r>
          </w:p>
        </w:tc>
        <w:tc>
          <w:tcPr>
            <w:tcW w:w="553" w:type="pct"/>
            <w:tcBorders>
              <w:top w:val="single" w:sz="6" w:space="0" w:color="auto"/>
              <w:left w:val="single" w:sz="6" w:space="0" w:color="auto"/>
              <w:bottom w:val="single" w:sz="6" w:space="0" w:color="auto"/>
              <w:right w:val="single" w:sz="6" w:space="0" w:color="auto"/>
            </w:tcBorders>
            <w:shd w:val="solid" w:color="000000" w:fill="000000"/>
          </w:tcPr>
          <w:p w14:paraId="006DDD9C" w14:textId="77B96B08" w:rsidR="00367104" w:rsidRPr="000229A9" w:rsidRDefault="000229A9" w:rsidP="00367104">
            <w:pPr>
              <w:pStyle w:val="TableText"/>
              <w:jc w:val="right"/>
              <w:rPr>
                <w:color w:val="ED7D31" w:themeColor="accent2"/>
                <w:szCs w:val="20"/>
              </w:rPr>
            </w:pPr>
            <w:r w:rsidRPr="000229A9">
              <w:rPr>
                <w:rFonts w:eastAsiaTheme="minorHAnsi" w:cs="Arial"/>
                <w:color w:val="ED7D31" w:themeColor="accent2"/>
                <w:szCs w:val="20"/>
                <w14:textFill>
                  <w14:solidFill>
                    <w14:schemeClr w14:val="accent2">
                      <w14:alpha w14:val="100000"/>
                    </w14:schemeClr>
                  </w14:solidFill>
                </w14:textFill>
              </w:rPr>
              <w:t>|</w:t>
            </w:r>
          </w:p>
        </w:tc>
        <w:tc>
          <w:tcPr>
            <w:tcW w:w="598" w:type="pct"/>
            <w:tcBorders>
              <w:top w:val="single" w:sz="6" w:space="0" w:color="auto"/>
              <w:left w:val="single" w:sz="6" w:space="0" w:color="auto"/>
              <w:bottom w:val="single" w:sz="6" w:space="0" w:color="auto"/>
              <w:right w:val="single" w:sz="6" w:space="0" w:color="auto"/>
            </w:tcBorders>
            <w:shd w:val="solid" w:color="000000" w:fill="000000"/>
          </w:tcPr>
          <w:p w14:paraId="11DB6565" w14:textId="76A0D514" w:rsidR="00367104" w:rsidRPr="000229A9" w:rsidRDefault="000229A9" w:rsidP="00367104">
            <w:pPr>
              <w:pStyle w:val="TableText"/>
              <w:jc w:val="right"/>
              <w:rPr>
                <w:color w:val="ED7D31" w:themeColor="accent2"/>
                <w:szCs w:val="20"/>
              </w:rPr>
            </w:pPr>
            <w:r w:rsidRPr="000229A9">
              <w:rPr>
                <w:rFonts w:eastAsiaTheme="minorHAnsi" w:cs="Arial"/>
                <w:color w:val="ED7D31" w:themeColor="accent2"/>
                <w:szCs w:val="20"/>
                <w14:textFill>
                  <w14:solidFill>
                    <w14:schemeClr w14:val="accent2">
                      <w14:alpha w14:val="100000"/>
                    </w14:schemeClr>
                  </w14:solidFill>
                </w14:textFill>
              </w:rPr>
              <w:t>|</w:t>
            </w:r>
          </w:p>
        </w:tc>
      </w:tr>
      <w:tr w:rsidR="007F2C93" w:rsidRPr="00197F03" w14:paraId="47368DAD" w14:textId="77777777" w:rsidTr="000229A9">
        <w:trPr>
          <w:jc w:val="center"/>
        </w:trPr>
        <w:tc>
          <w:tcPr>
            <w:tcW w:w="1648" w:type="pct"/>
            <w:shd w:val="clear" w:color="auto" w:fill="auto"/>
            <w:vAlign w:val="center"/>
          </w:tcPr>
          <w:p w14:paraId="6E71492F" w14:textId="76736B03" w:rsidR="007F2C93" w:rsidRPr="001124C3" w:rsidRDefault="007F2C93" w:rsidP="007F2C93">
            <w:pPr>
              <w:pStyle w:val="TableText"/>
              <w:rPr>
                <w:szCs w:val="20"/>
              </w:rPr>
            </w:pPr>
            <w:r w:rsidRPr="001124C3">
              <w:rPr>
                <w:szCs w:val="20"/>
              </w:rPr>
              <w:t>Changed listing (Adults)</w:t>
            </w:r>
          </w:p>
        </w:tc>
        <w:tc>
          <w:tcPr>
            <w:tcW w:w="551" w:type="pct"/>
            <w:tcBorders>
              <w:top w:val="single" w:sz="6" w:space="0" w:color="auto"/>
              <w:left w:val="single" w:sz="6" w:space="0" w:color="auto"/>
              <w:bottom w:val="single" w:sz="6" w:space="0" w:color="auto"/>
              <w:right w:val="single" w:sz="6" w:space="0" w:color="auto"/>
            </w:tcBorders>
            <w:shd w:val="solid" w:color="000000" w:fill="000000"/>
          </w:tcPr>
          <w:p w14:paraId="0B116FCC" w14:textId="58E161CB" w:rsidR="007F2C93" w:rsidRPr="000229A9" w:rsidRDefault="000229A9" w:rsidP="007F2C93">
            <w:pPr>
              <w:pStyle w:val="TableText"/>
              <w:jc w:val="right"/>
              <w:rPr>
                <w:color w:val="ED7D31" w:themeColor="accent2"/>
                <w:szCs w:val="20"/>
              </w:rPr>
            </w:pPr>
            <w:r w:rsidRPr="000229A9">
              <w:rPr>
                <w:rFonts w:eastAsiaTheme="minorHAnsi" w:cs="Arial"/>
                <w:color w:val="ED7D31" w:themeColor="accent2"/>
                <w:szCs w:val="20"/>
                <w14:textFill>
                  <w14:solidFill>
                    <w14:schemeClr w14:val="accent2">
                      <w14:alpha w14:val="100000"/>
                    </w14:schemeClr>
                  </w14:solidFill>
                </w14:textFill>
              </w:rPr>
              <w:t>|</w:t>
            </w:r>
          </w:p>
        </w:tc>
        <w:tc>
          <w:tcPr>
            <w:tcW w:w="551" w:type="pct"/>
            <w:tcBorders>
              <w:top w:val="single" w:sz="6" w:space="0" w:color="auto"/>
              <w:left w:val="single" w:sz="6" w:space="0" w:color="auto"/>
              <w:bottom w:val="single" w:sz="6" w:space="0" w:color="auto"/>
              <w:right w:val="single" w:sz="6" w:space="0" w:color="auto"/>
            </w:tcBorders>
            <w:shd w:val="solid" w:color="000000" w:fill="000000"/>
          </w:tcPr>
          <w:p w14:paraId="36FAAD91" w14:textId="48D2605F" w:rsidR="007F2C93" w:rsidRPr="000229A9" w:rsidRDefault="000229A9" w:rsidP="007F2C93">
            <w:pPr>
              <w:pStyle w:val="TableText"/>
              <w:jc w:val="right"/>
              <w:rPr>
                <w:color w:val="ED7D31" w:themeColor="accent2"/>
                <w:szCs w:val="20"/>
              </w:rPr>
            </w:pPr>
            <w:r w:rsidRPr="000229A9">
              <w:rPr>
                <w:rFonts w:eastAsiaTheme="minorHAnsi" w:cs="Arial"/>
                <w:color w:val="ED7D31" w:themeColor="accent2"/>
                <w:szCs w:val="20"/>
                <w14:textFill>
                  <w14:solidFill>
                    <w14:schemeClr w14:val="accent2">
                      <w14:alpha w14:val="100000"/>
                    </w14:schemeClr>
                  </w14:solidFill>
                </w14:textFill>
              </w:rPr>
              <w:t>|</w:t>
            </w:r>
          </w:p>
        </w:tc>
        <w:tc>
          <w:tcPr>
            <w:tcW w:w="550" w:type="pct"/>
            <w:tcBorders>
              <w:top w:val="single" w:sz="6" w:space="0" w:color="auto"/>
              <w:left w:val="single" w:sz="6" w:space="0" w:color="auto"/>
              <w:bottom w:val="single" w:sz="6" w:space="0" w:color="auto"/>
              <w:right w:val="single" w:sz="6" w:space="0" w:color="auto"/>
            </w:tcBorders>
            <w:shd w:val="solid" w:color="000000" w:fill="000000"/>
          </w:tcPr>
          <w:p w14:paraId="49E15FF4" w14:textId="0A7321A5" w:rsidR="007F2C93" w:rsidRPr="000229A9" w:rsidRDefault="000229A9" w:rsidP="007F2C93">
            <w:pPr>
              <w:pStyle w:val="TableText"/>
              <w:jc w:val="right"/>
              <w:rPr>
                <w:color w:val="ED7D31" w:themeColor="accent2"/>
                <w:szCs w:val="20"/>
              </w:rPr>
            </w:pPr>
            <w:r w:rsidRPr="000229A9">
              <w:rPr>
                <w:rFonts w:eastAsiaTheme="minorHAnsi" w:cs="Arial"/>
                <w:color w:val="ED7D31" w:themeColor="accent2"/>
                <w:szCs w:val="20"/>
                <w14:textFill>
                  <w14:solidFill>
                    <w14:schemeClr w14:val="accent2">
                      <w14:alpha w14:val="100000"/>
                    </w14:schemeClr>
                  </w14:solidFill>
                </w14:textFill>
              </w:rPr>
              <w:t>|</w:t>
            </w:r>
          </w:p>
        </w:tc>
        <w:tc>
          <w:tcPr>
            <w:tcW w:w="549" w:type="pct"/>
            <w:tcBorders>
              <w:top w:val="single" w:sz="6" w:space="0" w:color="auto"/>
              <w:left w:val="single" w:sz="6" w:space="0" w:color="auto"/>
              <w:bottom w:val="single" w:sz="6" w:space="0" w:color="auto"/>
              <w:right w:val="single" w:sz="6" w:space="0" w:color="auto"/>
            </w:tcBorders>
            <w:shd w:val="solid" w:color="000000" w:fill="000000"/>
          </w:tcPr>
          <w:p w14:paraId="662AEA08" w14:textId="2AB8F305" w:rsidR="007F2C93" w:rsidRPr="000229A9" w:rsidRDefault="000229A9" w:rsidP="007F2C93">
            <w:pPr>
              <w:pStyle w:val="TableText"/>
              <w:jc w:val="right"/>
              <w:rPr>
                <w:color w:val="ED7D31" w:themeColor="accent2"/>
                <w:szCs w:val="20"/>
              </w:rPr>
            </w:pPr>
            <w:r w:rsidRPr="000229A9">
              <w:rPr>
                <w:rFonts w:eastAsiaTheme="minorHAnsi" w:cs="Arial"/>
                <w:color w:val="ED7D31" w:themeColor="accent2"/>
                <w:szCs w:val="20"/>
                <w14:textFill>
                  <w14:solidFill>
                    <w14:schemeClr w14:val="accent2">
                      <w14:alpha w14:val="100000"/>
                    </w14:schemeClr>
                  </w14:solidFill>
                </w14:textFill>
              </w:rPr>
              <w:t>|</w:t>
            </w:r>
          </w:p>
        </w:tc>
        <w:tc>
          <w:tcPr>
            <w:tcW w:w="553" w:type="pct"/>
            <w:tcBorders>
              <w:top w:val="single" w:sz="6" w:space="0" w:color="auto"/>
              <w:left w:val="single" w:sz="6" w:space="0" w:color="auto"/>
              <w:bottom w:val="single" w:sz="6" w:space="0" w:color="auto"/>
              <w:right w:val="single" w:sz="6" w:space="0" w:color="auto"/>
            </w:tcBorders>
            <w:shd w:val="solid" w:color="000000" w:fill="000000"/>
          </w:tcPr>
          <w:p w14:paraId="17611F4F" w14:textId="3CE6D0A7" w:rsidR="007F2C93" w:rsidRPr="000229A9" w:rsidRDefault="000229A9" w:rsidP="007F2C93">
            <w:pPr>
              <w:pStyle w:val="TableText"/>
              <w:jc w:val="right"/>
              <w:rPr>
                <w:color w:val="ED7D31" w:themeColor="accent2"/>
                <w:szCs w:val="20"/>
              </w:rPr>
            </w:pPr>
            <w:r w:rsidRPr="000229A9">
              <w:rPr>
                <w:rFonts w:eastAsiaTheme="minorHAnsi" w:cs="Arial"/>
                <w:color w:val="ED7D31" w:themeColor="accent2"/>
                <w:szCs w:val="20"/>
                <w14:textFill>
                  <w14:solidFill>
                    <w14:schemeClr w14:val="accent2">
                      <w14:alpha w14:val="100000"/>
                    </w14:schemeClr>
                  </w14:solidFill>
                </w14:textFill>
              </w:rPr>
              <w:t>|</w:t>
            </w:r>
          </w:p>
        </w:tc>
        <w:tc>
          <w:tcPr>
            <w:tcW w:w="598" w:type="pct"/>
            <w:tcBorders>
              <w:top w:val="single" w:sz="6" w:space="0" w:color="auto"/>
              <w:left w:val="single" w:sz="6" w:space="0" w:color="auto"/>
              <w:bottom w:val="single" w:sz="6" w:space="0" w:color="auto"/>
              <w:right w:val="single" w:sz="6" w:space="0" w:color="auto"/>
            </w:tcBorders>
            <w:shd w:val="solid" w:color="000000" w:fill="000000"/>
          </w:tcPr>
          <w:p w14:paraId="03FACA7B" w14:textId="0F8B30D8" w:rsidR="007F2C93" w:rsidRPr="000229A9" w:rsidRDefault="000229A9" w:rsidP="007F2C93">
            <w:pPr>
              <w:pStyle w:val="TableText"/>
              <w:jc w:val="right"/>
              <w:rPr>
                <w:color w:val="ED7D31" w:themeColor="accent2"/>
                <w:szCs w:val="20"/>
              </w:rPr>
            </w:pPr>
            <w:r w:rsidRPr="000229A9">
              <w:rPr>
                <w:rFonts w:eastAsiaTheme="minorHAnsi" w:cs="Arial"/>
                <w:color w:val="ED7D31" w:themeColor="accent2"/>
                <w:szCs w:val="20"/>
                <w14:textFill>
                  <w14:solidFill>
                    <w14:schemeClr w14:val="accent2">
                      <w14:alpha w14:val="100000"/>
                    </w14:schemeClr>
                  </w14:solidFill>
                </w14:textFill>
              </w:rPr>
              <w:t>|</w:t>
            </w:r>
          </w:p>
        </w:tc>
      </w:tr>
      <w:tr w:rsidR="007F2C93" w:rsidRPr="00197F03" w14:paraId="75A5F048" w14:textId="77777777" w:rsidTr="000229A9">
        <w:trPr>
          <w:jc w:val="center"/>
        </w:trPr>
        <w:tc>
          <w:tcPr>
            <w:tcW w:w="1648" w:type="pct"/>
            <w:tcBorders>
              <w:bottom w:val="single" w:sz="4" w:space="0" w:color="auto"/>
            </w:tcBorders>
            <w:shd w:val="clear" w:color="auto" w:fill="auto"/>
            <w:vAlign w:val="center"/>
          </w:tcPr>
          <w:p w14:paraId="32199F8A" w14:textId="56AF5BD2" w:rsidR="007F2C93" w:rsidRPr="001124C3" w:rsidRDefault="007F2C93" w:rsidP="007F2C93">
            <w:pPr>
              <w:pStyle w:val="TableText"/>
              <w:rPr>
                <w:szCs w:val="20"/>
              </w:rPr>
            </w:pPr>
            <w:r w:rsidRPr="001124C3">
              <w:rPr>
                <w:szCs w:val="20"/>
              </w:rPr>
              <w:t>Changed listing (Children)</w:t>
            </w:r>
          </w:p>
        </w:tc>
        <w:tc>
          <w:tcPr>
            <w:tcW w:w="551" w:type="pct"/>
            <w:tcBorders>
              <w:top w:val="single" w:sz="6" w:space="0" w:color="auto"/>
              <w:left w:val="single" w:sz="6" w:space="0" w:color="auto"/>
              <w:bottom w:val="single" w:sz="4" w:space="0" w:color="auto"/>
              <w:right w:val="single" w:sz="6" w:space="0" w:color="auto"/>
            </w:tcBorders>
            <w:shd w:val="solid" w:color="000000" w:fill="000000"/>
          </w:tcPr>
          <w:p w14:paraId="1C0A376B" w14:textId="1717EEFB" w:rsidR="007F2C93" w:rsidRPr="000229A9" w:rsidRDefault="000229A9" w:rsidP="007F2C93">
            <w:pPr>
              <w:pStyle w:val="TableText"/>
              <w:jc w:val="right"/>
              <w:rPr>
                <w:color w:val="ED7D31" w:themeColor="accent2"/>
                <w:szCs w:val="20"/>
              </w:rPr>
            </w:pPr>
            <w:r w:rsidRPr="000229A9">
              <w:rPr>
                <w:rFonts w:eastAsiaTheme="minorHAnsi" w:cs="Arial"/>
                <w:color w:val="ED7D31" w:themeColor="accent2"/>
                <w:szCs w:val="20"/>
                <w14:textFill>
                  <w14:solidFill>
                    <w14:schemeClr w14:val="accent2">
                      <w14:alpha w14:val="100000"/>
                    </w14:schemeClr>
                  </w14:solidFill>
                </w14:textFill>
              </w:rPr>
              <w:t>|</w:t>
            </w:r>
          </w:p>
        </w:tc>
        <w:tc>
          <w:tcPr>
            <w:tcW w:w="551" w:type="pct"/>
            <w:tcBorders>
              <w:top w:val="single" w:sz="6" w:space="0" w:color="auto"/>
              <w:left w:val="single" w:sz="6" w:space="0" w:color="auto"/>
              <w:bottom w:val="single" w:sz="4" w:space="0" w:color="auto"/>
              <w:right w:val="single" w:sz="6" w:space="0" w:color="auto"/>
            </w:tcBorders>
            <w:shd w:val="solid" w:color="000000" w:fill="000000"/>
          </w:tcPr>
          <w:p w14:paraId="4EFCD445" w14:textId="05875E11" w:rsidR="007F2C93" w:rsidRPr="000229A9" w:rsidRDefault="000229A9" w:rsidP="007F2C93">
            <w:pPr>
              <w:pStyle w:val="TableText"/>
              <w:jc w:val="right"/>
              <w:rPr>
                <w:color w:val="ED7D31" w:themeColor="accent2"/>
                <w:szCs w:val="20"/>
              </w:rPr>
            </w:pPr>
            <w:r w:rsidRPr="000229A9">
              <w:rPr>
                <w:rFonts w:eastAsiaTheme="minorHAnsi" w:cs="Arial"/>
                <w:color w:val="ED7D31" w:themeColor="accent2"/>
                <w:szCs w:val="20"/>
                <w14:textFill>
                  <w14:solidFill>
                    <w14:schemeClr w14:val="accent2">
                      <w14:alpha w14:val="100000"/>
                    </w14:schemeClr>
                  </w14:solidFill>
                </w14:textFill>
              </w:rPr>
              <w:t>|</w:t>
            </w:r>
          </w:p>
        </w:tc>
        <w:tc>
          <w:tcPr>
            <w:tcW w:w="550" w:type="pct"/>
            <w:tcBorders>
              <w:top w:val="single" w:sz="6" w:space="0" w:color="auto"/>
              <w:left w:val="single" w:sz="6" w:space="0" w:color="auto"/>
              <w:bottom w:val="single" w:sz="4" w:space="0" w:color="auto"/>
              <w:right w:val="single" w:sz="6" w:space="0" w:color="auto"/>
            </w:tcBorders>
            <w:shd w:val="solid" w:color="000000" w:fill="000000"/>
          </w:tcPr>
          <w:p w14:paraId="54683115" w14:textId="7B6D39F4" w:rsidR="007F2C93" w:rsidRPr="000229A9" w:rsidRDefault="000229A9" w:rsidP="007F2C93">
            <w:pPr>
              <w:pStyle w:val="TableText"/>
              <w:jc w:val="right"/>
              <w:rPr>
                <w:color w:val="ED7D31" w:themeColor="accent2"/>
                <w:szCs w:val="20"/>
              </w:rPr>
            </w:pPr>
            <w:r w:rsidRPr="000229A9">
              <w:rPr>
                <w:rFonts w:eastAsiaTheme="minorHAnsi" w:cs="Arial"/>
                <w:color w:val="ED7D31" w:themeColor="accent2"/>
                <w:szCs w:val="20"/>
                <w14:textFill>
                  <w14:solidFill>
                    <w14:schemeClr w14:val="accent2">
                      <w14:alpha w14:val="100000"/>
                    </w14:schemeClr>
                  </w14:solidFill>
                </w14:textFill>
              </w:rPr>
              <w:t>|</w:t>
            </w:r>
          </w:p>
        </w:tc>
        <w:tc>
          <w:tcPr>
            <w:tcW w:w="549" w:type="pct"/>
            <w:tcBorders>
              <w:top w:val="single" w:sz="6" w:space="0" w:color="auto"/>
              <w:left w:val="single" w:sz="6" w:space="0" w:color="auto"/>
              <w:bottom w:val="single" w:sz="4" w:space="0" w:color="auto"/>
              <w:right w:val="single" w:sz="6" w:space="0" w:color="auto"/>
            </w:tcBorders>
            <w:shd w:val="solid" w:color="000000" w:fill="000000"/>
          </w:tcPr>
          <w:p w14:paraId="3C2FE08D" w14:textId="11785B55" w:rsidR="007F2C93" w:rsidRPr="000229A9" w:rsidRDefault="000229A9" w:rsidP="007F2C93">
            <w:pPr>
              <w:pStyle w:val="TableText"/>
              <w:jc w:val="right"/>
              <w:rPr>
                <w:color w:val="ED7D31" w:themeColor="accent2"/>
                <w:szCs w:val="20"/>
              </w:rPr>
            </w:pPr>
            <w:r w:rsidRPr="000229A9">
              <w:rPr>
                <w:rFonts w:eastAsiaTheme="minorHAnsi" w:cs="Arial"/>
                <w:color w:val="ED7D31" w:themeColor="accent2"/>
                <w:szCs w:val="20"/>
                <w14:textFill>
                  <w14:solidFill>
                    <w14:schemeClr w14:val="accent2">
                      <w14:alpha w14:val="100000"/>
                    </w14:schemeClr>
                  </w14:solidFill>
                </w14:textFill>
              </w:rPr>
              <w:t>|</w:t>
            </w:r>
          </w:p>
        </w:tc>
        <w:tc>
          <w:tcPr>
            <w:tcW w:w="553" w:type="pct"/>
            <w:tcBorders>
              <w:top w:val="single" w:sz="6" w:space="0" w:color="auto"/>
              <w:left w:val="single" w:sz="6" w:space="0" w:color="auto"/>
              <w:bottom w:val="single" w:sz="4" w:space="0" w:color="auto"/>
              <w:right w:val="single" w:sz="6" w:space="0" w:color="auto"/>
            </w:tcBorders>
            <w:shd w:val="solid" w:color="000000" w:fill="000000"/>
          </w:tcPr>
          <w:p w14:paraId="13C6469C" w14:textId="639E7845" w:rsidR="007F2C93" w:rsidRPr="000229A9" w:rsidRDefault="000229A9" w:rsidP="007F2C93">
            <w:pPr>
              <w:pStyle w:val="TableText"/>
              <w:jc w:val="right"/>
              <w:rPr>
                <w:color w:val="ED7D31" w:themeColor="accent2"/>
                <w:szCs w:val="20"/>
              </w:rPr>
            </w:pPr>
            <w:r w:rsidRPr="000229A9">
              <w:rPr>
                <w:rFonts w:eastAsiaTheme="minorHAnsi" w:cs="Arial"/>
                <w:color w:val="ED7D31" w:themeColor="accent2"/>
                <w:szCs w:val="20"/>
                <w14:textFill>
                  <w14:solidFill>
                    <w14:schemeClr w14:val="accent2">
                      <w14:alpha w14:val="100000"/>
                    </w14:schemeClr>
                  </w14:solidFill>
                </w14:textFill>
              </w:rPr>
              <w:t>|</w:t>
            </w:r>
          </w:p>
        </w:tc>
        <w:tc>
          <w:tcPr>
            <w:tcW w:w="598" w:type="pct"/>
            <w:tcBorders>
              <w:top w:val="single" w:sz="6" w:space="0" w:color="auto"/>
              <w:left w:val="single" w:sz="6" w:space="0" w:color="auto"/>
              <w:bottom w:val="single" w:sz="4" w:space="0" w:color="auto"/>
              <w:right w:val="single" w:sz="6" w:space="0" w:color="auto"/>
            </w:tcBorders>
            <w:shd w:val="solid" w:color="000000" w:fill="000000"/>
          </w:tcPr>
          <w:p w14:paraId="388F89CB" w14:textId="688BDC36" w:rsidR="007F2C93" w:rsidRPr="000229A9" w:rsidRDefault="000229A9" w:rsidP="007F2C93">
            <w:pPr>
              <w:pStyle w:val="TableText"/>
              <w:jc w:val="right"/>
              <w:rPr>
                <w:color w:val="ED7D31" w:themeColor="accent2"/>
                <w:szCs w:val="20"/>
              </w:rPr>
            </w:pPr>
            <w:r w:rsidRPr="000229A9">
              <w:rPr>
                <w:rFonts w:eastAsiaTheme="minorHAnsi" w:cs="Arial"/>
                <w:color w:val="ED7D31" w:themeColor="accent2"/>
                <w:szCs w:val="20"/>
                <w14:textFill>
                  <w14:solidFill>
                    <w14:schemeClr w14:val="accent2">
                      <w14:alpha w14:val="100000"/>
                    </w14:schemeClr>
                  </w14:solidFill>
                </w14:textFill>
              </w:rPr>
              <w:t>|</w:t>
            </w:r>
          </w:p>
        </w:tc>
      </w:tr>
      <w:tr w:rsidR="001124C3" w:rsidRPr="00197F03" w14:paraId="6ECE594B" w14:textId="77777777" w:rsidTr="000229A9">
        <w:trPr>
          <w:jc w:val="center"/>
        </w:trPr>
        <w:tc>
          <w:tcPr>
            <w:tcW w:w="1648" w:type="pct"/>
            <w:tcBorders>
              <w:top w:val="single" w:sz="4" w:space="0" w:color="auto"/>
              <w:bottom w:val="single" w:sz="4" w:space="0" w:color="auto"/>
              <w:right w:val="single" w:sz="4" w:space="0" w:color="auto"/>
            </w:tcBorders>
            <w:shd w:val="clear" w:color="auto" w:fill="auto"/>
            <w:vAlign w:val="center"/>
          </w:tcPr>
          <w:p w14:paraId="30A23C04" w14:textId="7A6B4AA8" w:rsidR="001124C3" w:rsidRPr="001124C3" w:rsidRDefault="001124C3" w:rsidP="001124C3">
            <w:pPr>
              <w:pStyle w:val="TableText"/>
              <w:rPr>
                <w:szCs w:val="20"/>
              </w:rPr>
            </w:pPr>
            <w:r w:rsidRPr="001124C3">
              <w:rPr>
                <w:szCs w:val="20"/>
              </w:rPr>
              <w:t>Changed listing (Total)</w:t>
            </w:r>
          </w:p>
        </w:tc>
        <w:tc>
          <w:tcPr>
            <w:tcW w:w="551" w:type="pct"/>
            <w:tcBorders>
              <w:top w:val="single" w:sz="4" w:space="0" w:color="auto"/>
              <w:left w:val="single" w:sz="4" w:space="0" w:color="auto"/>
              <w:bottom w:val="single" w:sz="4" w:space="0" w:color="auto"/>
              <w:right w:val="single" w:sz="4" w:space="0" w:color="auto"/>
            </w:tcBorders>
            <w:shd w:val="solid" w:color="000000" w:fill="000000"/>
          </w:tcPr>
          <w:p w14:paraId="5AE52F42" w14:textId="17CDFCB8" w:rsidR="001124C3" w:rsidRPr="000229A9" w:rsidRDefault="000229A9" w:rsidP="001124C3">
            <w:pPr>
              <w:pStyle w:val="TableText"/>
              <w:jc w:val="right"/>
              <w:rPr>
                <w:color w:val="ED7D31" w:themeColor="accent2"/>
                <w:szCs w:val="20"/>
              </w:rPr>
            </w:pPr>
            <w:r w:rsidRPr="000229A9">
              <w:rPr>
                <w:rFonts w:eastAsiaTheme="minorHAnsi" w:cs="Arial"/>
                <w:color w:val="ED7D31" w:themeColor="accent2"/>
                <w:szCs w:val="20"/>
                <w14:textFill>
                  <w14:solidFill>
                    <w14:schemeClr w14:val="accent2">
                      <w14:alpha w14:val="100000"/>
                    </w14:schemeClr>
                  </w14:solidFill>
                </w14:textFill>
              </w:rPr>
              <w:t>|</w:t>
            </w:r>
          </w:p>
        </w:tc>
        <w:tc>
          <w:tcPr>
            <w:tcW w:w="551" w:type="pct"/>
            <w:tcBorders>
              <w:top w:val="single" w:sz="4" w:space="0" w:color="auto"/>
              <w:left w:val="single" w:sz="4" w:space="0" w:color="auto"/>
              <w:bottom w:val="single" w:sz="4" w:space="0" w:color="auto"/>
              <w:right w:val="single" w:sz="4" w:space="0" w:color="auto"/>
            </w:tcBorders>
            <w:shd w:val="solid" w:color="000000" w:fill="000000"/>
          </w:tcPr>
          <w:p w14:paraId="2552CD98" w14:textId="1B4D4EA2" w:rsidR="001124C3" w:rsidRPr="000229A9" w:rsidRDefault="000229A9" w:rsidP="001124C3">
            <w:pPr>
              <w:pStyle w:val="TableText"/>
              <w:jc w:val="right"/>
              <w:rPr>
                <w:color w:val="ED7D31" w:themeColor="accent2"/>
                <w:szCs w:val="20"/>
              </w:rPr>
            </w:pPr>
            <w:r w:rsidRPr="000229A9">
              <w:rPr>
                <w:rFonts w:eastAsiaTheme="minorHAnsi" w:cs="Arial"/>
                <w:color w:val="ED7D31" w:themeColor="accent2"/>
                <w:szCs w:val="20"/>
                <w14:textFill>
                  <w14:solidFill>
                    <w14:schemeClr w14:val="accent2">
                      <w14:alpha w14:val="100000"/>
                    </w14:schemeClr>
                  </w14:solidFill>
                </w14:textFill>
              </w:rPr>
              <w:t>|</w:t>
            </w:r>
          </w:p>
        </w:tc>
        <w:tc>
          <w:tcPr>
            <w:tcW w:w="550" w:type="pct"/>
            <w:tcBorders>
              <w:top w:val="single" w:sz="4" w:space="0" w:color="auto"/>
              <w:left w:val="single" w:sz="4" w:space="0" w:color="auto"/>
              <w:bottom w:val="single" w:sz="4" w:space="0" w:color="auto"/>
              <w:right w:val="single" w:sz="4" w:space="0" w:color="auto"/>
            </w:tcBorders>
            <w:shd w:val="solid" w:color="000000" w:fill="000000"/>
          </w:tcPr>
          <w:p w14:paraId="74A61928" w14:textId="0CD4FBE9" w:rsidR="001124C3" w:rsidRPr="000229A9" w:rsidRDefault="000229A9" w:rsidP="001124C3">
            <w:pPr>
              <w:pStyle w:val="TableText"/>
              <w:jc w:val="right"/>
              <w:rPr>
                <w:color w:val="ED7D31" w:themeColor="accent2"/>
                <w:szCs w:val="20"/>
              </w:rPr>
            </w:pPr>
            <w:r w:rsidRPr="000229A9">
              <w:rPr>
                <w:rFonts w:eastAsiaTheme="minorHAnsi" w:cs="Arial"/>
                <w:color w:val="ED7D31" w:themeColor="accent2"/>
                <w:szCs w:val="20"/>
                <w14:textFill>
                  <w14:solidFill>
                    <w14:schemeClr w14:val="accent2">
                      <w14:alpha w14:val="100000"/>
                    </w14:schemeClr>
                  </w14:solidFill>
                </w14:textFill>
              </w:rPr>
              <w:t>|</w:t>
            </w:r>
          </w:p>
        </w:tc>
        <w:tc>
          <w:tcPr>
            <w:tcW w:w="549" w:type="pct"/>
            <w:tcBorders>
              <w:top w:val="single" w:sz="4" w:space="0" w:color="auto"/>
              <w:left w:val="single" w:sz="4" w:space="0" w:color="auto"/>
              <w:bottom w:val="single" w:sz="4" w:space="0" w:color="auto"/>
              <w:right w:val="single" w:sz="4" w:space="0" w:color="auto"/>
            </w:tcBorders>
            <w:shd w:val="solid" w:color="000000" w:fill="000000"/>
          </w:tcPr>
          <w:p w14:paraId="232004AD" w14:textId="22A7127F" w:rsidR="001124C3" w:rsidRPr="000229A9" w:rsidRDefault="000229A9" w:rsidP="001124C3">
            <w:pPr>
              <w:pStyle w:val="TableText"/>
              <w:jc w:val="right"/>
              <w:rPr>
                <w:color w:val="ED7D31" w:themeColor="accent2"/>
                <w:szCs w:val="20"/>
              </w:rPr>
            </w:pPr>
            <w:r w:rsidRPr="000229A9">
              <w:rPr>
                <w:rFonts w:eastAsiaTheme="minorHAnsi" w:cs="Arial"/>
                <w:color w:val="ED7D31" w:themeColor="accent2"/>
                <w:szCs w:val="20"/>
                <w14:textFill>
                  <w14:solidFill>
                    <w14:schemeClr w14:val="accent2">
                      <w14:alpha w14:val="100000"/>
                    </w14:schemeClr>
                  </w14:solidFill>
                </w14:textFill>
              </w:rPr>
              <w:t>|</w:t>
            </w:r>
          </w:p>
        </w:tc>
        <w:tc>
          <w:tcPr>
            <w:tcW w:w="553" w:type="pct"/>
            <w:tcBorders>
              <w:top w:val="single" w:sz="4" w:space="0" w:color="auto"/>
              <w:left w:val="single" w:sz="4" w:space="0" w:color="auto"/>
              <w:bottom w:val="single" w:sz="4" w:space="0" w:color="auto"/>
              <w:right w:val="single" w:sz="4" w:space="0" w:color="auto"/>
            </w:tcBorders>
            <w:shd w:val="solid" w:color="000000" w:fill="000000"/>
          </w:tcPr>
          <w:p w14:paraId="1E601F1E" w14:textId="6990725C" w:rsidR="001124C3" w:rsidRPr="000229A9" w:rsidRDefault="000229A9" w:rsidP="001124C3">
            <w:pPr>
              <w:pStyle w:val="TableText"/>
              <w:jc w:val="right"/>
              <w:rPr>
                <w:color w:val="ED7D31" w:themeColor="accent2"/>
                <w:szCs w:val="20"/>
              </w:rPr>
            </w:pPr>
            <w:r w:rsidRPr="000229A9">
              <w:rPr>
                <w:rFonts w:eastAsiaTheme="minorHAnsi" w:cs="Arial"/>
                <w:color w:val="ED7D31" w:themeColor="accent2"/>
                <w:szCs w:val="20"/>
                <w14:textFill>
                  <w14:solidFill>
                    <w14:schemeClr w14:val="accent2">
                      <w14:alpha w14:val="100000"/>
                    </w14:schemeClr>
                  </w14:solidFill>
                </w14:textFill>
              </w:rPr>
              <w:t>|</w:t>
            </w:r>
          </w:p>
        </w:tc>
        <w:tc>
          <w:tcPr>
            <w:tcW w:w="598" w:type="pct"/>
            <w:tcBorders>
              <w:top w:val="single" w:sz="4" w:space="0" w:color="auto"/>
              <w:left w:val="single" w:sz="4" w:space="0" w:color="auto"/>
              <w:bottom w:val="single" w:sz="4" w:space="0" w:color="auto"/>
              <w:right w:val="single" w:sz="4" w:space="0" w:color="auto"/>
            </w:tcBorders>
            <w:shd w:val="solid" w:color="000000" w:fill="000000"/>
          </w:tcPr>
          <w:p w14:paraId="68967333" w14:textId="4E8C5076" w:rsidR="001124C3" w:rsidRPr="000229A9" w:rsidRDefault="000229A9" w:rsidP="001124C3">
            <w:pPr>
              <w:pStyle w:val="TableText"/>
              <w:jc w:val="right"/>
              <w:rPr>
                <w:color w:val="ED7D31" w:themeColor="accent2"/>
                <w:szCs w:val="20"/>
              </w:rPr>
            </w:pPr>
            <w:r w:rsidRPr="000229A9">
              <w:rPr>
                <w:rFonts w:eastAsiaTheme="minorHAnsi" w:cs="Arial"/>
                <w:color w:val="ED7D31" w:themeColor="accent2"/>
                <w:szCs w:val="20"/>
                <w14:textFill>
                  <w14:solidFill>
                    <w14:schemeClr w14:val="accent2">
                      <w14:alpha w14:val="100000"/>
                    </w14:schemeClr>
                  </w14:solidFill>
                </w14:textFill>
              </w:rPr>
              <w:t>|</w:t>
            </w:r>
          </w:p>
        </w:tc>
      </w:tr>
      <w:tr w:rsidR="001124C3" w:rsidRPr="00197F03" w14:paraId="61D8D6A5" w14:textId="77777777" w:rsidTr="000229A9">
        <w:trPr>
          <w:jc w:val="center"/>
        </w:trPr>
        <w:tc>
          <w:tcPr>
            <w:tcW w:w="1648" w:type="pct"/>
            <w:tcBorders>
              <w:top w:val="single" w:sz="4" w:space="0" w:color="auto"/>
              <w:bottom w:val="single" w:sz="4" w:space="0" w:color="auto"/>
              <w:right w:val="single" w:sz="4" w:space="0" w:color="auto"/>
            </w:tcBorders>
            <w:shd w:val="clear" w:color="auto" w:fill="auto"/>
            <w:vAlign w:val="center"/>
          </w:tcPr>
          <w:p w14:paraId="40E6BDBF" w14:textId="1B4312D7" w:rsidR="001124C3" w:rsidRPr="001124C3" w:rsidRDefault="001124C3" w:rsidP="001124C3">
            <w:pPr>
              <w:pStyle w:val="TableText"/>
              <w:rPr>
                <w:szCs w:val="20"/>
              </w:rPr>
            </w:pPr>
            <w:r w:rsidRPr="001124C3">
              <w:rPr>
                <w:szCs w:val="20"/>
              </w:rPr>
              <w:t>Additional cost to PBS/RPBS</w:t>
            </w:r>
          </w:p>
        </w:tc>
        <w:tc>
          <w:tcPr>
            <w:tcW w:w="551" w:type="pct"/>
            <w:tcBorders>
              <w:top w:val="single" w:sz="4" w:space="0" w:color="auto"/>
              <w:left w:val="single" w:sz="4" w:space="0" w:color="auto"/>
              <w:bottom w:val="single" w:sz="4" w:space="0" w:color="auto"/>
              <w:right w:val="single" w:sz="4" w:space="0" w:color="auto"/>
            </w:tcBorders>
            <w:shd w:val="solid" w:color="000000" w:fill="000000"/>
          </w:tcPr>
          <w:p w14:paraId="6F0A1A0E" w14:textId="235B9064" w:rsidR="001124C3" w:rsidRPr="000229A9" w:rsidRDefault="000229A9" w:rsidP="001124C3">
            <w:pPr>
              <w:pStyle w:val="TableText"/>
              <w:jc w:val="right"/>
              <w:rPr>
                <w:color w:val="ED7D31" w:themeColor="accent2"/>
                <w:szCs w:val="20"/>
              </w:rPr>
            </w:pPr>
            <w:r w:rsidRPr="000229A9">
              <w:rPr>
                <w:rFonts w:eastAsiaTheme="minorHAnsi" w:cs="Arial"/>
                <w:color w:val="ED7D31" w:themeColor="accent2"/>
                <w:szCs w:val="20"/>
                <w14:textFill>
                  <w14:solidFill>
                    <w14:schemeClr w14:val="accent2">
                      <w14:alpha w14:val="100000"/>
                    </w14:schemeClr>
                  </w14:solidFill>
                </w14:textFill>
              </w:rPr>
              <w:t>|</w:t>
            </w:r>
          </w:p>
        </w:tc>
        <w:tc>
          <w:tcPr>
            <w:tcW w:w="551" w:type="pct"/>
            <w:tcBorders>
              <w:top w:val="single" w:sz="4" w:space="0" w:color="auto"/>
              <w:left w:val="single" w:sz="4" w:space="0" w:color="auto"/>
              <w:bottom w:val="single" w:sz="4" w:space="0" w:color="auto"/>
              <w:right w:val="single" w:sz="4" w:space="0" w:color="auto"/>
            </w:tcBorders>
            <w:shd w:val="solid" w:color="000000" w:fill="000000"/>
          </w:tcPr>
          <w:p w14:paraId="71968AD6" w14:textId="09EC16CC" w:rsidR="001124C3" w:rsidRPr="000229A9" w:rsidRDefault="000229A9" w:rsidP="001124C3">
            <w:pPr>
              <w:pStyle w:val="TableText"/>
              <w:jc w:val="right"/>
              <w:rPr>
                <w:color w:val="ED7D31" w:themeColor="accent2"/>
                <w:szCs w:val="20"/>
              </w:rPr>
            </w:pPr>
            <w:r w:rsidRPr="000229A9">
              <w:rPr>
                <w:rFonts w:eastAsiaTheme="minorHAnsi" w:cs="Arial"/>
                <w:color w:val="ED7D31" w:themeColor="accent2"/>
                <w:szCs w:val="20"/>
                <w14:textFill>
                  <w14:solidFill>
                    <w14:schemeClr w14:val="accent2">
                      <w14:alpha w14:val="100000"/>
                    </w14:schemeClr>
                  </w14:solidFill>
                </w14:textFill>
              </w:rPr>
              <w:t>|</w:t>
            </w:r>
          </w:p>
        </w:tc>
        <w:tc>
          <w:tcPr>
            <w:tcW w:w="550" w:type="pct"/>
            <w:tcBorders>
              <w:top w:val="single" w:sz="4" w:space="0" w:color="auto"/>
              <w:left w:val="single" w:sz="4" w:space="0" w:color="auto"/>
              <w:bottom w:val="single" w:sz="4" w:space="0" w:color="auto"/>
              <w:right w:val="single" w:sz="4" w:space="0" w:color="auto"/>
            </w:tcBorders>
            <w:shd w:val="solid" w:color="000000" w:fill="000000"/>
          </w:tcPr>
          <w:p w14:paraId="37592868" w14:textId="1B5D48DC" w:rsidR="001124C3" w:rsidRPr="000229A9" w:rsidRDefault="000229A9" w:rsidP="001124C3">
            <w:pPr>
              <w:pStyle w:val="TableText"/>
              <w:jc w:val="right"/>
              <w:rPr>
                <w:color w:val="ED7D31" w:themeColor="accent2"/>
                <w:szCs w:val="20"/>
              </w:rPr>
            </w:pPr>
            <w:r w:rsidRPr="000229A9">
              <w:rPr>
                <w:rFonts w:eastAsiaTheme="minorHAnsi" w:cs="Arial"/>
                <w:color w:val="ED7D31" w:themeColor="accent2"/>
                <w:szCs w:val="20"/>
                <w14:textFill>
                  <w14:solidFill>
                    <w14:schemeClr w14:val="accent2">
                      <w14:alpha w14:val="100000"/>
                    </w14:schemeClr>
                  </w14:solidFill>
                </w14:textFill>
              </w:rPr>
              <w:t>|</w:t>
            </w:r>
          </w:p>
        </w:tc>
        <w:tc>
          <w:tcPr>
            <w:tcW w:w="549" w:type="pct"/>
            <w:tcBorders>
              <w:top w:val="single" w:sz="4" w:space="0" w:color="auto"/>
              <w:left w:val="single" w:sz="4" w:space="0" w:color="auto"/>
              <w:bottom w:val="single" w:sz="4" w:space="0" w:color="auto"/>
              <w:right w:val="single" w:sz="4" w:space="0" w:color="auto"/>
            </w:tcBorders>
            <w:shd w:val="solid" w:color="000000" w:fill="000000"/>
          </w:tcPr>
          <w:p w14:paraId="726FF093" w14:textId="7CE6CCC5" w:rsidR="001124C3" w:rsidRPr="000229A9" w:rsidRDefault="000229A9" w:rsidP="001124C3">
            <w:pPr>
              <w:pStyle w:val="TableText"/>
              <w:jc w:val="right"/>
              <w:rPr>
                <w:color w:val="ED7D31" w:themeColor="accent2"/>
                <w:szCs w:val="20"/>
              </w:rPr>
            </w:pPr>
            <w:r w:rsidRPr="000229A9">
              <w:rPr>
                <w:rFonts w:eastAsiaTheme="minorHAnsi" w:cs="Arial"/>
                <w:color w:val="ED7D31" w:themeColor="accent2"/>
                <w:szCs w:val="20"/>
                <w14:textFill>
                  <w14:solidFill>
                    <w14:schemeClr w14:val="accent2">
                      <w14:alpha w14:val="100000"/>
                    </w14:schemeClr>
                  </w14:solidFill>
                </w14:textFill>
              </w:rPr>
              <w:t>|</w:t>
            </w:r>
          </w:p>
        </w:tc>
        <w:tc>
          <w:tcPr>
            <w:tcW w:w="553" w:type="pct"/>
            <w:tcBorders>
              <w:top w:val="single" w:sz="4" w:space="0" w:color="auto"/>
              <w:left w:val="single" w:sz="4" w:space="0" w:color="auto"/>
              <w:bottom w:val="single" w:sz="4" w:space="0" w:color="auto"/>
              <w:right w:val="single" w:sz="4" w:space="0" w:color="auto"/>
            </w:tcBorders>
            <w:shd w:val="solid" w:color="000000" w:fill="000000"/>
          </w:tcPr>
          <w:p w14:paraId="4B6D2C97" w14:textId="6D10FC09" w:rsidR="001124C3" w:rsidRPr="000229A9" w:rsidRDefault="000229A9" w:rsidP="001124C3">
            <w:pPr>
              <w:pStyle w:val="TableText"/>
              <w:jc w:val="right"/>
              <w:rPr>
                <w:color w:val="ED7D31" w:themeColor="accent2"/>
                <w:szCs w:val="20"/>
              </w:rPr>
            </w:pPr>
            <w:r w:rsidRPr="000229A9">
              <w:rPr>
                <w:rFonts w:eastAsiaTheme="minorHAnsi" w:cs="Arial"/>
                <w:color w:val="ED7D31" w:themeColor="accent2"/>
                <w:szCs w:val="20"/>
                <w14:textFill>
                  <w14:solidFill>
                    <w14:schemeClr w14:val="accent2">
                      <w14:alpha w14:val="100000"/>
                    </w14:schemeClr>
                  </w14:solidFill>
                </w14:textFill>
              </w:rPr>
              <w:t>|</w:t>
            </w:r>
          </w:p>
        </w:tc>
        <w:tc>
          <w:tcPr>
            <w:tcW w:w="598" w:type="pct"/>
            <w:tcBorders>
              <w:top w:val="single" w:sz="4" w:space="0" w:color="auto"/>
              <w:left w:val="single" w:sz="4" w:space="0" w:color="auto"/>
              <w:bottom w:val="single" w:sz="4" w:space="0" w:color="auto"/>
              <w:right w:val="single" w:sz="4" w:space="0" w:color="auto"/>
            </w:tcBorders>
            <w:shd w:val="solid" w:color="000000" w:fill="000000"/>
          </w:tcPr>
          <w:p w14:paraId="365479FE" w14:textId="0A961A04" w:rsidR="001124C3" w:rsidRPr="000229A9" w:rsidRDefault="000229A9" w:rsidP="001124C3">
            <w:pPr>
              <w:pStyle w:val="TableText"/>
              <w:jc w:val="right"/>
              <w:rPr>
                <w:color w:val="ED7D31" w:themeColor="accent2"/>
                <w:szCs w:val="20"/>
              </w:rPr>
            </w:pPr>
            <w:r w:rsidRPr="000229A9">
              <w:rPr>
                <w:rFonts w:eastAsiaTheme="minorHAnsi" w:cs="Arial"/>
                <w:color w:val="ED7D31" w:themeColor="accent2"/>
                <w:szCs w:val="20"/>
                <w14:textFill>
                  <w14:solidFill>
                    <w14:schemeClr w14:val="accent2">
                      <w14:alpha w14:val="100000"/>
                    </w14:schemeClr>
                  </w14:solidFill>
                </w14:textFill>
              </w:rPr>
              <w:t>|</w:t>
            </w:r>
          </w:p>
        </w:tc>
      </w:tr>
    </w:tbl>
    <w:p w14:paraId="79FFFB8E" w14:textId="246EAE3C" w:rsidR="00F025F6" w:rsidRDefault="00F025F6" w:rsidP="00F025F6">
      <w:pPr>
        <w:pStyle w:val="TableFigureFooter"/>
      </w:pPr>
      <w:r>
        <w:t xml:space="preserve">Source: </w:t>
      </w:r>
      <w:r w:rsidR="00B56681">
        <w:t>Romiplostim and Eltrombopag model</w:t>
      </w:r>
      <w:r>
        <w:t>.XLSX – prepared by the Department</w:t>
      </w:r>
    </w:p>
    <w:p w14:paraId="451F02C5" w14:textId="424F367A" w:rsidR="00030CAB" w:rsidRDefault="00030CAB" w:rsidP="00F025F6">
      <w:pPr>
        <w:pStyle w:val="TableFigureFooter"/>
      </w:pPr>
      <w:r>
        <w:t>PBS = Pharmaceutical Benefits Scheme, RPBS = Repatriation Pharmaceutical Benefits Scheme</w:t>
      </w:r>
    </w:p>
    <w:p w14:paraId="34234D2B" w14:textId="6A80F311" w:rsidR="007F2C93" w:rsidRPr="0076793E" w:rsidRDefault="007F2C93" w:rsidP="00754F62">
      <w:pPr>
        <w:pStyle w:val="TableFigureHeading"/>
      </w:pPr>
      <w:r w:rsidRPr="0076793E">
        <w:t xml:space="preserve">Table </w:t>
      </w:r>
      <w:r w:rsidR="00F30AC0">
        <w:t>2</w:t>
      </w:r>
      <w:r w:rsidRPr="0076793E">
        <w:t>:</w:t>
      </w:r>
      <w:r w:rsidR="001124C3" w:rsidRPr="0076793E">
        <w:t xml:space="preserve"> </w:t>
      </w:r>
      <w:r w:rsidRPr="0076793E">
        <w:t>Estimated usage and financial expenditure using published price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 Estimated usage and financial expenditure using published price"/>
      </w:tblPr>
      <w:tblGrid>
        <w:gridCol w:w="2971"/>
        <w:gridCol w:w="994"/>
        <w:gridCol w:w="994"/>
        <w:gridCol w:w="992"/>
        <w:gridCol w:w="990"/>
        <w:gridCol w:w="997"/>
        <w:gridCol w:w="1078"/>
      </w:tblGrid>
      <w:tr w:rsidR="007F2C93" w:rsidRPr="00197F03" w14:paraId="46E72B47" w14:textId="77777777" w:rsidTr="00754F62">
        <w:trPr>
          <w:tblHeader/>
          <w:jc w:val="center"/>
        </w:trPr>
        <w:tc>
          <w:tcPr>
            <w:tcW w:w="1648" w:type="pct"/>
            <w:shd w:val="clear" w:color="auto" w:fill="auto"/>
            <w:vAlign w:val="center"/>
          </w:tcPr>
          <w:p w14:paraId="49542CC8" w14:textId="399D1707" w:rsidR="007F2C93" w:rsidRPr="00434D1E" w:rsidRDefault="001124C3" w:rsidP="00754F62">
            <w:pPr>
              <w:pStyle w:val="TableText"/>
              <w:rPr>
                <w:b/>
                <w:bCs w:val="0"/>
              </w:rPr>
            </w:pPr>
            <w:r>
              <w:rPr>
                <w:b/>
                <w:bCs w:val="0"/>
              </w:rPr>
              <w:t>Net cost to PBS/RPBS</w:t>
            </w:r>
          </w:p>
        </w:tc>
        <w:tc>
          <w:tcPr>
            <w:tcW w:w="551" w:type="pct"/>
            <w:shd w:val="clear" w:color="auto" w:fill="auto"/>
            <w:vAlign w:val="center"/>
          </w:tcPr>
          <w:p w14:paraId="3D46DD68" w14:textId="77777777" w:rsidR="007F2C93" w:rsidRPr="00167C39" w:rsidRDefault="007F2C93" w:rsidP="00754F62">
            <w:pPr>
              <w:pStyle w:val="TableText"/>
              <w:jc w:val="center"/>
              <w:rPr>
                <w:b/>
              </w:rPr>
            </w:pPr>
            <w:r>
              <w:rPr>
                <w:b/>
              </w:rPr>
              <w:t>2022</w:t>
            </w:r>
          </w:p>
        </w:tc>
        <w:tc>
          <w:tcPr>
            <w:tcW w:w="551" w:type="pct"/>
            <w:shd w:val="clear" w:color="auto" w:fill="auto"/>
            <w:vAlign w:val="center"/>
          </w:tcPr>
          <w:p w14:paraId="62A8B612" w14:textId="77777777" w:rsidR="007F2C93" w:rsidRPr="00167C39" w:rsidRDefault="007F2C93" w:rsidP="00754F62">
            <w:pPr>
              <w:pStyle w:val="TableText"/>
              <w:jc w:val="center"/>
              <w:rPr>
                <w:b/>
              </w:rPr>
            </w:pPr>
            <w:r>
              <w:rPr>
                <w:b/>
              </w:rPr>
              <w:t>2023</w:t>
            </w:r>
          </w:p>
        </w:tc>
        <w:tc>
          <w:tcPr>
            <w:tcW w:w="550" w:type="pct"/>
            <w:shd w:val="clear" w:color="auto" w:fill="auto"/>
            <w:vAlign w:val="center"/>
          </w:tcPr>
          <w:p w14:paraId="7D5DC1D4" w14:textId="77777777" w:rsidR="007F2C93" w:rsidRPr="00167C39" w:rsidRDefault="007F2C93" w:rsidP="00754F62">
            <w:pPr>
              <w:pStyle w:val="TableText"/>
              <w:jc w:val="center"/>
              <w:rPr>
                <w:b/>
              </w:rPr>
            </w:pPr>
            <w:r>
              <w:rPr>
                <w:b/>
              </w:rPr>
              <w:t>2024</w:t>
            </w:r>
          </w:p>
        </w:tc>
        <w:tc>
          <w:tcPr>
            <w:tcW w:w="549" w:type="pct"/>
            <w:shd w:val="clear" w:color="auto" w:fill="auto"/>
            <w:vAlign w:val="center"/>
          </w:tcPr>
          <w:p w14:paraId="10E1D46F" w14:textId="77777777" w:rsidR="007F2C93" w:rsidRPr="00167C39" w:rsidRDefault="007F2C93" w:rsidP="00754F62">
            <w:pPr>
              <w:pStyle w:val="TableText"/>
              <w:jc w:val="center"/>
              <w:rPr>
                <w:b/>
              </w:rPr>
            </w:pPr>
            <w:r>
              <w:rPr>
                <w:b/>
              </w:rPr>
              <w:t>2025</w:t>
            </w:r>
          </w:p>
        </w:tc>
        <w:tc>
          <w:tcPr>
            <w:tcW w:w="553" w:type="pct"/>
            <w:shd w:val="clear" w:color="auto" w:fill="auto"/>
            <w:vAlign w:val="center"/>
          </w:tcPr>
          <w:p w14:paraId="429F67E3" w14:textId="77777777" w:rsidR="007F2C93" w:rsidRPr="00167C39" w:rsidRDefault="007F2C93" w:rsidP="00754F62">
            <w:pPr>
              <w:pStyle w:val="TableText"/>
              <w:jc w:val="center"/>
              <w:rPr>
                <w:b/>
              </w:rPr>
            </w:pPr>
            <w:r>
              <w:rPr>
                <w:b/>
              </w:rPr>
              <w:t>2026</w:t>
            </w:r>
          </w:p>
        </w:tc>
        <w:tc>
          <w:tcPr>
            <w:tcW w:w="598" w:type="pct"/>
            <w:vAlign w:val="center"/>
          </w:tcPr>
          <w:p w14:paraId="786146D4" w14:textId="77777777" w:rsidR="007F2C93" w:rsidRPr="00167C39" w:rsidRDefault="007F2C93" w:rsidP="00754F62">
            <w:pPr>
              <w:pStyle w:val="TableText"/>
              <w:jc w:val="center"/>
              <w:rPr>
                <w:b/>
              </w:rPr>
            </w:pPr>
            <w:r>
              <w:rPr>
                <w:b/>
              </w:rPr>
              <w:t>2027</w:t>
            </w:r>
          </w:p>
        </w:tc>
      </w:tr>
      <w:tr w:rsidR="007F2C93" w:rsidRPr="00197F03" w14:paraId="63B9C112" w14:textId="77777777" w:rsidTr="00754F62">
        <w:trPr>
          <w:jc w:val="center"/>
        </w:trPr>
        <w:tc>
          <w:tcPr>
            <w:tcW w:w="1648" w:type="pct"/>
            <w:shd w:val="clear" w:color="auto" w:fill="auto"/>
            <w:vAlign w:val="center"/>
          </w:tcPr>
          <w:p w14:paraId="2D740ACD" w14:textId="77777777" w:rsidR="007F2C93" w:rsidRPr="00324E84" w:rsidRDefault="007F2C93" w:rsidP="007F2C93">
            <w:pPr>
              <w:pStyle w:val="TableText"/>
            </w:pPr>
            <w:r>
              <w:t>Current listing</w:t>
            </w:r>
          </w:p>
        </w:tc>
        <w:tc>
          <w:tcPr>
            <w:tcW w:w="551" w:type="pct"/>
            <w:tcBorders>
              <w:top w:val="single" w:sz="6" w:space="0" w:color="auto"/>
              <w:left w:val="single" w:sz="6" w:space="0" w:color="auto"/>
              <w:bottom w:val="single" w:sz="6" w:space="0" w:color="auto"/>
              <w:right w:val="single" w:sz="6" w:space="0" w:color="auto"/>
            </w:tcBorders>
          </w:tcPr>
          <w:p w14:paraId="57CF234D" w14:textId="718A960E" w:rsidR="007F2C93" w:rsidRPr="00A2427F" w:rsidRDefault="007F2C93" w:rsidP="007F2C93">
            <w:pPr>
              <w:pStyle w:val="TableText"/>
              <w:jc w:val="right"/>
              <w:rPr>
                <w:szCs w:val="20"/>
                <w:vertAlign w:val="superscript"/>
              </w:rPr>
            </w:pPr>
            <w:r w:rsidRPr="001124C3">
              <w:rPr>
                <w:rFonts w:eastAsiaTheme="minorHAnsi" w:cs="Arial"/>
                <w:color w:val="000000"/>
                <w:szCs w:val="20"/>
              </w:rPr>
              <w:t>$</w:t>
            </w:r>
            <w:r w:rsidR="00C069ED" w:rsidRPr="00C069ED">
              <w:rPr>
                <w:rFonts w:eastAsiaTheme="minorHAnsi" w:cs="Arial"/>
                <w:color w:val="000000"/>
                <w:szCs w:val="20"/>
                <w:shd w:val="solid" w:color="000000" w:fill="000000"/>
                <w14:textFill>
                  <w14:solidFill>
                    <w14:srgbClr w14:val="000000">
                      <w14:alpha w14:val="100000"/>
                    </w14:srgbClr>
                  </w14:solidFill>
                </w14:textFill>
              </w:rPr>
              <w:t>|</w:t>
            </w:r>
            <w:r w:rsidR="008122EC">
              <w:rPr>
                <w:rFonts w:eastAsiaTheme="minorHAnsi" w:cs="Arial"/>
                <w:color w:val="000000"/>
                <w:szCs w:val="20"/>
                <w:vertAlign w:val="superscript"/>
              </w:rPr>
              <w:t>1</w:t>
            </w:r>
          </w:p>
        </w:tc>
        <w:tc>
          <w:tcPr>
            <w:tcW w:w="551" w:type="pct"/>
            <w:tcBorders>
              <w:top w:val="single" w:sz="6" w:space="0" w:color="auto"/>
              <w:left w:val="single" w:sz="6" w:space="0" w:color="auto"/>
              <w:bottom w:val="single" w:sz="6" w:space="0" w:color="auto"/>
              <w:right w:val="single" w:sz="6" w:space="0" w:color="auto"/>
            </w:tcBorders>
          </w:tcPr>
          <w:p w14:paraId="408A3017" w14:textId="2F129351" w:rsidR="007F2C93" w:rsidRPr="00A2427F" w:rsidRDefault="007F2C93" w:rsidP="007F2C93">
            <w:pPr>
              <w:pStyle w:val="TableText"/>
              <w:jc w:val="right"/>
              <w:rPr>
                <w:szCs w:val="20"/>
                <w:vertAlign w:val="superscript"/>
              </w:rPr>
            </w:pPr>
            <w:r w:rsidRPr="001124C3">
              <w:rPr>
                <w:rFonts w:eastAsiaTheme="minorHAnsi" w:cs="Arial"/>
                <w:color w:val="000000"/>
                <w:szCs w:val="20"/>
              </w:rPr>
              <w:t>$</w:t>
            </w:r>
            <w:r w:rsidR="00C069ED" w:rsidRPr="00C069ED">
              <w:rPr>
                <w:rFonts w:eastAsiaTheme="minorHAnsi" w:cs="Arial"/>
                <w:color w:val="000000"/>
                <w:szCs w:val="20"/>
                <w:shd w:val="solid" w:color="000000" w:fill="000000"/>
                <w14:textFill>
                  <w14:solidFill>
                    <w14:srgbClr w14:val="000000">
                      <w14:alpha w14:val="100000"/>
                    </w14:srgbClr>
                  </w14:solidFill>
                </w14:textFill>
              </w:rPr>
              <w:t>|</w:t>
            </w:r>
            <w:r w:rsidR="008122EC">
              <w:rPr>
                <w:rFonts w:eastAsiaTheme="minorHAnsi" w:cs="Arial"/>
                <w:color w:val="000000"/>
                <w:szCs w:val="20"/>
                <w:vertAlign w:val="superscript"/>
              </w:rPr>
              <w:t>1</w:t>
            </w:r>
          </w:p>
        </w:tc>
        <w:tc>
          <w:tcPr>
            <w:tcW w:w="550" w:type="pct"/>
            <w:tcBorders>
              <w:top w:val="single" w:sz="6" w:space="0" w:color="auto"/>
              <w:left w:val="single" w:sz="6" w:space="0" w:color="auto"/>
              <w:bottom w:val="single" w:sz="6" w:space="0" w:color="auto"/>
              <w:right w:val="single" w:sz="6" w:space="0" w:color="auto"/>
            </w:tcBorders>
          </w:tcPr>
          <w:p w14:paraId="1063CA82" w14:textId="2F9C2DE1" w:rsidR="007F2C93" w:rsidRPr="00A2427F" w:rsidRDefault="007F2C93" w:rsidP="007F2C93">
            <w:pPr>
              <w:pStyle w:val="TableText"/>
              <w:jc w:val="right"/>
              <w:rPr>
                <w:szCs w:val="20"/>
                <w:vertAlign w:val="superscript"/>
              </w:rPr>
            </w:pPr>
            <w:r w:rsidRPr="001124C3">
              <w:rPr>
                <w:rFonts w:eastAsiaTheme="minorHAnsi" w:cs="Arial"/>
                <w:color w:val="000000"/>
                <w:szCs w:val="20"/>
              </w:rPr>
              <w:t>$</w:t>
            </w:r>
            <w:r w:rsidR="00C069ED" w:rsidRPr="00C069ED">
              <w:rPr>
                <w:rFonts w:eastAsiaTheme="minorHAnsi" w:cs="Arial"/>
                <w:color w:val="000000"/>
                <w:szCs w:val="20"/>
                <w:shd w:val="solid" w:color="000000" w:fill="000000"/>
                <w14:textFill>
                  <w14:solidFill>
                    <w14:srgbClr w14:val="000000">
                      <w14:alpha w14:val="100000"/>
                    </w14:srgbClr>
                  </w14:solidFill>
                </w14:textFill>
              </w:rPr>
              <w:t>|</w:t>
            </w:r>
            <w:r w:rsidR="008122EC">
              <w:rPr>
                <w:rFonts w:eastAsiaTheme="minorHAnsi" w:cs="Arial"/>
                <w:color w:val="000000"/>
                <w:szCs w:val="20"/>
                <w:vertAlign w:val="superscript"/>
              </w:rPr>
              <w:t>2</w:t>
            </w:r>
          </w:p>
        </w:tc>
        <w:tc>
          <w:tcPr>
            <w:tcW w:w="549" w:type="pct"/>
            <w:tcBorders>
              <w:top w:val="single" w:sz="6" w:space="0" w:color="auto"/>
              <w:left w:val="single" w:sz="6" w:space="0" w:color="auto"/>
              <w:bottom w:val="single" w:sz="6" w:space="0" w:color="auto"/>
              <w:right w:val="single" w:sz="6" w:space="0" w:color="auto"/>
            </w:tcBorders>
          </w:tcPr>
          <w:p w14:paraId="5F5CA322" w14:textId="436AFFB1" w:rsidR="007F2C93" w:rsidRPr="00A2427F" w:rsidRDefault="007F2C93" w:rsidP="007F2C93">
            <w:pPr>
              <w:pStyle w:val="TableText"/>
              <w:jc w:val="right"/>
              <w:rPr>
                <w:szCs w:val="20"/>
                <w:vertAlign w:val="superscript"/>
              </w:rPr>
            </w:pPr>
            <w:r w:rsidRPr="001124C3">
              <w:rPr>
                <w:rFonts w:eastAsiaTheme="minorHAnsi" w:cs="Arial"/>
                <w:color w:val="000000"/>
                <w:szCs w:val="20"/>
              </w:rPr>
              <w:t>$</w:t>
            </w:r>
            <w:r w:rsidR="00C069ED" w:rsidRPr="00C069ED">
              <w:rPr>
                <w:rFonts w:eastAsiaTheme="minorHAnsi" w:cs="Arial"/>
                <w:color w:val="000000"/>
                <w:szCs w:val="20"/>
                <w:shd w:val="solid" w:color="000000" w:fill="000000"/>
                <w14:textFill>
                  <w14:solidFill>
                    <w14:srgbClr w14:val="000000">
                      <w14:alpha w14:val="100000"/>
                    </w14:srgbClr>
                  </w14:solidFill>
                </w14:textFill>
              </w:rPr>
              <w:t>|</w:t>
            </w:r>
            <w:r w:rsidR="008122EC">
              <w:rPr>
                <w:rFonts w:eastAsiaTheme="minorHAnsi" w:cs="Arial"/>
                <w:color w:val="000000"/>
                <w:szCs w:val="20"/>
                <w:vertAlign w:val="superscript"/>
              </w:rPr>
              <w:t>2</w:t>
            </w:r>
          </w:p>
        </w:tc>
        <w:tc>
          <w:tcPr>
            <w:tcW w:w="553" w:type="pct"/>
            <w:tcBorders>
              <w:top w:val="single" w:sz="6" w:space="0" w:color="auto"/>
              <w:left w:val="single" w:sz="6" w:space="0" w:color="auto"/>
              <w:bottom w:val="single" w:sz="6" w:space="0" w:color="auto"/>
              <w:right w:val="single" w:sz="6" w:space="0" w:color="auto"/>
            </w:tcBorders>
          </w:tcPr>
          <w:p w14:paraId="7FEB3B3F" w14:textId="1B8A321D" w:rsidR="007F2C93" w:rsidRPr="00A2427F" w:rsidRDefault="007F2C93" w:rsidP="007F2C93">
            <w:pPr>
              <w:pStyle w:val="TableText"/>
              <w:jc w:val="right"/>
              <w:rPr>
                <w:szCs w:val="20"/>
                <w:vertAlign w:val="superscript"/>
              </w:rPr>
            </w:pPr>
            <w:r w:rsidRPr="001124C3">
              <w:rPr>
                <w:rFonts w:eastAsiaTheme="minorHAnsi" w:cs="Arial"/>
                <w:color w:val="000000"/>
                <w:szCs w:val="20"/>
              </w:rPr>
              <w:t>$</w:t>
            </w:r>
            <w:r w:rsidR="00C069ED" w:rsidRPr="00C069ED">
              <w:rPr>
                <w:rFonts w:eastAsiaTheme="minorHAnsi" w:cs="Arial"/>
                <w:color w:val="000000"/>
                <w:szCs w:val="20"/>
                <w:shd w:val="solid" w:color="000000" w:fill="000000"/>
                <w14:textFill>
                  <w14:solidFill>
                    <w14:srgbClr w14:val="000000">
                      <w14:alpha w14:val="100000"/>
                    </w14:srgbClr>
                  </w14:solidFill>
                </w14:textFill>
              </w:rPr>
              <w:t>|</w:t>
            </w:r>
            <w:r w:rsidR="008122EC">
              <w:rPr>
                <w:rFonts w:eastAsiaTheme="minorHAnsi" w:cs="Arial"/>
                <w:color w:val="000000"/>
                <w:szCs w:val="20"/>
                <w:vertAlign w:val="superscript"/>
              </w:rPr>
              <w:t>2</w:t>
            </w:r>
          </w:p>
        </w:tc>
        <w:tc>
          <w:tcPr>
            <w:tcW w:w="598" w:type="pct"/>
            <w:tcBorders>
              <w:top w:val="single" w:sz="6" w:space="0" w:color="auto"/>
              <w:left w:val="single" w:sz="6" w:space="0" w:color="auto"/>
              <w:bottom w:val="single" w:sz="6" w:space="0" w:color="auto"/>
              <w:right w:val="single" w:sz="6" w:space="0" w:color="auto"/>
            </w:tcBorders>
          </w:tcPr>
          <w:p w14:paraId="7E4CCF4D" w14:textId="5F9D6EBD" w:rsidR="007F2C93" w:rsidRPr="00A2427F" w:rsidRDefault="007F2C93" w:rsidP="007F2C93">
            <w:pPr>
              <w:pStyle w:val="TableText"/>
              <w:jc w:val="right"/>
              <w:rPr>
                <w:szCs w:val="20"/>
                <w:vertAlign w:val="superscript"/>
              </w:rPr>
            </w:pPr>
            <w:r w:rsidRPr="001124C3">
              <w:rPr>
                <w:rFonts w:eastAsiaTheme="minorHAnsi" w:cs="Arial"/>
                <w:color w:val="000000"/>
                <w:szCs w:val="20"/>
              </w:rPr>
              <w:t>$</w:t>
            </w:r>
            <w:r w:rsidR="00C069ED" w:rsidRPr="00C069ED">
              <w:rPr>
                <w:rFonts w:eastAsiaTheme="minorHAnsi" w:cs="Arial"/>
                <w:color w:val="000000"/>
                <w:szCs w:val="20"/>
                <w:shd w:val="solid" w:color="000000" w:fill="000000"/>
                <w14:textFill>
                  <w14:solidFill>
                    <w14:srgbClr w14:val="000000">
                      <w14:alpha w14:val="100000"/>
                    </w14:srgbClr>
                  </w14:solidFill>
                </w14:textFill>
              </w:rPr>
              <w:t>|</w:t>
            </w:r>
            <w:r w:rsidR="008122EC">
              <w:rPr>
                <w:rFonts w:eastAsiaTheme="minorHAnsi" w:cs="Arial"/>
                <w:color w:val="000000"/>
                <w:szCs w:val="20"/>
                <w:vertAlign w:val="superscript"/>
              </w:rPr>
              <w:t>3</w:t>
            </w:r>
          </w:p>
        </w:tc>
      </w:tr>
      <w:tr w:rsidR="001124C3" w:rsidRPr="00197F03" w14:paraId="530C1022" w14:textId="77777777" w:rsidTr="00754F62">
        <w:trPr>
          <w:jc w:val="center"/>
        </w:trPr>
        <w:tc>
          <w:tcPr>
            <w:tcW w:w="1648" w:type="pct"/>
            <w:shd w:val="clear" w:color="auto" w:fill="auto"/>
            <w:vAlign w:val="center"/>
          </w:tcPr>
          <w:p w14:paraId="6830B25E" w14:textId="77777777" w:rsidR="001124C3" w:rsidRPr="00324E84" w:rsidRDefault="001124C3" w:rsidP="001124C3">
            <w:pPr>
              <w:pStyle w:val="TableText"/>
            </w:pPr>
            <w:r>
              <w:t>Changed listing (Adults)</w:t>
            </w:r>
          </w:p>
        </w:tc>
        <w:tc>
          <w:tcPr>
            <w:tcW w:w="551" w:type="pct"/>
            <w:tcBorders>
              <w:top w:val="single" w:sz="6" w:space="0" w:color="auto"/>
              <w:left w:val="single" w:sz="6" w:space="0" w:color="auto"/>
              <w:bottom w:val="single" w:sz="6" w:space="0" w:color="auto"/>
              <w:right w:val="single" w:sz="6" w:space="0" w:color="auto"/>
            </w:tcBorders>
          </w:tcPr>
          <w:p w14:paraId="2F37B064" w14:textId="0BF6E47A" w:rsidR="001124C3" w:rsidRPr="00A2427F" w:rsidRDefault="001124C3" w:rsidP="001124C3">
            <w:pPr>
              <w:pStyle w:val="TableText"/>
              <w:jc w:val="right"/>
              <w:rPr>
                <w:szCs w:val="20"/>
                <w:vertAlign w:val="superscript"/>
              </w:rPr>
            </w:pPr>
            <w:r w:rsidRPr="001124C3">
              <w:rPr>
                <w:rFonts w:eastAsiaTheme="minorHAnsi" w:cs="Arial"/>
                <w:color w:val="000000"/>
                <w:szCs w:val="20"/>
              </w:rPr>
              <w:t>$</w:t>
            </w:r>
            <w:r w:rsidR="00C069ED" w:rsidRPr="00C069ED">
              <w:rPr>
                <w:rFonts w:eastAsiaTheme="minorHAnsi" w:cs="Arial"/>
                <w:color w:val="000000"/>
                <w:szCs w:val="20"/>
                <w:shd w:val="solid" w:color="000000" w:fill="000000"/>
                <w14:textFill>
                  <w14:solidFill>
                    <w14:srgbClr w14:val="000000">
                      <w14:alpha w14:val="100000"/>
                    </w14:srgbClr>
                  </w14:solidFill>
                </w14:textFill>
              </w:rPr>
              <w:t>|</w:t>
            </w:r>
            <w:r w:rsidR="008122EC">
              <w:rPr>
                <w:rFonts w:eastAsiaTheme="minorHAnsi" w:cs="Arial"/>
                <w:color w:val="000000"/>
                <w:szCs w:val="20"/>
                <w:vertAlign w:val="superscript"/>
              </w:rPr>
              <w:t>1</w:t>
            </w:r>
          </w:p>
        </w:tc>
        <w:tc>
          <w:tcPr>
            <w:tcW w:w="551" w:type="pct"/>
            <w:tcBorders>
              <w:top w:val="single" w:sz="6" w:space="0" w:color="auto"/>
              <w:left w:val="single" w:sz="6" w:space="0" w:color="auto"/>
              <w:bottom w:val="single" w:sz="6" w:space="0" w:color="auto"/>
              <w:right w:val="single" w:sz="6" w:space="0" w:color="auto"/>
            </w:tcBorders>
          </w:tcPr>
          <w:p w14:paraId="0676C9EB" w14:textId="10724CF9" w:rsidR="001124C3" w:rsidRPr="00A2427F" w:rsidRDefault="001124C3" w:rsidP="001124C3">
            <w:pPr>
              <w:pStyle w:val="TableText"/>
              <w:jc w:val="right"/>
              <w:rPr>
                <w:szCs w:val="20"/>
                <w:vertAlign w:val="superscript"/>
              </w:rPr>
            </w:pPr>
            <w:r w:rsidRPr="001124C3">
              <w:rPr>
                <w:rFonts w:eastAsiaTheme="minorHAnsi" w:cs="Arial"/>
                <w:color w:val="000000"/>
                <w:szCs w:val="20"/>
              </w:rPr>
              <w:t>$</w:t>
            </w:r>
            <w:r w:rsidR="00C069ED" w:rsidRPr="00C069ED">
              <w:rPr>
                <w:rFonts w:eastAsiaTheme="minorHAnsi" w:cs="Arial"/>
                <w:color w:val="000000"/>
                <w:szCs w:val="20"/>
                <w:shd w:val="solid" w:color="000000" w:fill="000000"/>
                <w14:textFill>
                  <w14:solidFill>
                    <w14:srgbClr w14:val="000000">
                      <w14:alpha w14:val="100000"/>
                    </w14:srgbClr>
                  </w14:solidFill>
                </w14:textFill>
              </w:rPr>
              <w:t>|</w:t>
            </w:r>
            <w:r w:rsidR="008122EC">
              <w:rPr>
                <w:rFonts w:eastAsiaTheme="minorHAnsi" w:cs="Arial"/>
                <w:color w:val="000000"/>
                <w:szCs w:val="20"/>
                <w:vertAlign w:val="superscript"/>
              </w:rPr>
              <w:t>2</w:t>
            </w:r>
          </w:p>
        </w:tc>
        <w:tc>
          <w:tcPr>
            <w:tcW w:w="550" w:type="pct"/>
            <w:tcBorders>
              <w:top w:val="single" w:sz="6" w:space="0" w:color="auto"/>
              <w:left w:val="single" w:sz="6" w:space="0" w:color="auto"/>
              <w:bottom w:val="single" w:sz="6" w:space="0" w:color="auto"/>
              <w:right w:val="single" w:sz="6" w:space="0" w:color="auto"/>
            </w:tcBorders>
          </w:tcPr>
          <w:p w14:paraId="162CEAD4" w14:textId="40D07DF8" w:rsidR="001124C3" w:rsidRPr="00A2427F" w:rsidRDefault="001124C3" w:rsidP="001124C3">
            <w:pPr>
              <w:pStyle w:val="TableText"/>
              <w:jc w:val="right"/>
              <w:rPr>
                <w:szCs w:val="20"/>
                <w:vertAlign w:val="superscript"/>
              </w:rPr>
            </w:pPr>
            <w:r w:rsidRPr="001124C3">
              <w:rPr>
                <w:rFonts w:eastAsiaTheme="minorHAnsi" w:cs="Arial"/>
                <w:color w:val="000000"/>
                <w:szCs w:val="20"/>
              </w:rPr>
              <w:t>$</w:t>
            </w:r>
            <w:r w:rsidR="00C069ED" w:rsidRPr="00C069ED">
              <w:rPr>
                <w:rFonts w:eastAsiaTheme="minorHAnsi" w:cs="Arial"/>
                <w:color w:val="000000"/>
                <w:szCs w:val="20"/>
                <w:shd w:val="solid" w:color="000000" w:fill="000000"/>
                <w14:textFill>
                  <w14:solidFill>
                    <w14:srgbClr w14:val="000000">
                      <w14:alpha w14:val="100000"/>
                    </w14:srgbClr>
                  </w14:solidFill>
                </w14:textFill>
              </w:rPr>
              <w:t>|</w:t>
            </w:r>
            <w:r w:rsidR="008122EC">
              <w:rPr>
                <w:rFonts w:eastAsiaTheme="minorHAnsi" w:cs="Arial"/>
                <w:color w:val="000000"/>
                <w:szCs w:val="20"/>
                <w:vertAlign w:val="superscript"/>
              </w:rPr>
              <w:t>2</w:t>
            </w:r>
          </w:p>
        </w:tc>
        <w:tc>
          <w:tcPr>
            <w:tcW w:w="549" w:type="pct"/>
            <w:tcBorders>
              <w:top w:val="single" w:sz="6" w:space="0" w:color="auto"/>
              <w:left w:val="single" w:sz="6" w:space="0" w:color="auto"/>
              <w:bottom w:val="single" w:sz="6" w:space="0" w:color="auto"/>
              <w:right w:val="single" w:sz="6" w:space="0" w:color="auto"/>
            </w:tcBorders>
          </w:tcPr>
          <w:p w14:paraId="5439922B" w14:textId="6EE0BEAD" w:rsidR="001124C3" w:rsidRPr="00A2427F" w:rsidRDefault="001124C3" w:rsidP="001124C3">
            <w:pPr>
              <w:pStyle w:val="TableText"/>
              <w:jc w:val="right"/>
              <w:rPr>
                <w:szCs w:val="20"/>
                <w:vertAlign w:val="superscript"/>
              </w:rPr>
            </w:pPr>
            <w:r w:rsidRPr="001124C3">
              <w:rPr>
                <w:rFonts w:eastAsiaTheme="minorHAnsi" w:cs="Arial"/>
                <w:color w:val="000000"/>
                <w:szCs w:val="20"/>
              </w:rPr>
              <w:t>$</w:t>
            </w:r>
            <w:r w:rsidR="00C069ED" w:rsidRPr="00C069ED">
              <w:rPr>
                <w:rFonts w:eastAsiaTheme="minorHAnsi" w:cs="Arial"/>
                <w:color w:val="000000"/>
                <w:szCs w:val="20"/>
                <w:shd w:val="solid" w:color="000000" w:fill="000000"/>
                <w14:textFill>
                  <w14:solidFill>
                    <w14:srgbClr w14:val="000000">
                      <w14:alpha w14:val="100000"/>
                    </w14:srgbClr>
                  </w14:solidFill>
                </w14:textFill>
              </w:rPr>
              <w:t>|</w:t>
            </w:r>
            <w:r w:rsidR="008122EC">
              <w:rPr>
                <w:rFonts w:eastAsiaTheme="minorHAnsi" w:cs="Arial"/>
                <w:color w:val="000000"/>
                <w:szCs w:val="20"/>
                <w:vertAlign w:val="superscript"/>
              </w:rPr>
              <w:t>2</w:t>
            </w:r>
          </w:p>
        </w:tc>
        <w:tc>
          <w:tcPr>
            <w:tcW w:w="553" w:type="pct"/>
            <w:tcBorders>
              <w:top w:val="single" w:sz="6" w:space="0" w:color="auto"/>
              <w:left w:val="single" w:sz="6" w:space="0" w:color="auto"/>
              <w:bottom w:val="single" w:sz="6" w:space="0" w:color="auto"/>
              <w:right w:val="single" w:sz="6" w:space="0" w:color="auto"/>
            </w:tcBorders>
          </w:tcPr>
          <w:p w14:paraId="3FA95C94" w14:textId="3205E0B7" w:rsidR="001124C3" w:rsidRPr="00A2427F" w:rsidRDefault="001124C3" w:rsidP="001124C3">
            <w:pPr>
              <w:pStyle w:val="TableText"/>
              <w:jc w:val="right"/>
              <w:rPr>
                <w:szCs w:val="20"/>
                <w:vertAlign w:val="superscript"/>
              </w:rPr>
            </w:pPr>
            <w:r w:rsidRPr="001124C3">
              <w:rPr>
                <w:rFonts w:eastAsiaTheme="minorHAnsi" w:cs="Arial"/>
                <w:color w:val="000000"/>
                <w:szCs w:val="20"/>
              </w:rPr>
              <w:t>$</w:t>
            </w:r>
            <w:r w:rsidR="00C069ED" w:rsidRPr="00C069ED">
              <w:rPr>
                <w:rFonts w:eastAsiaTheme="minorHAnsi" w:cs="Arial"/>
                <w:color w:val="000000"/>
                <w:szCs w:val="20"/>
                <w:shd w:val="solid" w:color="000000" w:fill="000000"/>
                <w14:textFill>
                  <w14:solidFill>
                    <w14:srgbClr w14:val="000000">
                      <w14:alpha w14:val="100000"/>
                    </w14:srgbClr>
                  </w14:solidFill>
                </w14:textFill>
              </w:rPr>
              <w:t>|</w:t>
            </w:r>
            <w:r w:rsidR="008122EC">
              <w:rPr>
                <w:rFonts w:eastAsiaTheme="minorHAnsi" w:cs="Arial"/>
                <w:color w:val="000000"/>
                <w:szCs w:val="20"/>
                <w:vertAlign w:val="superscript"/>
              </w:rPr>
              <w:t>2</w:t>
            </w:r>
          </w:p>
        </w:tc>
        <w:tc>
          <w:tcPr>
            <w:tcW w:w="598" w:type="pct"/>
            <w:tcBorders>
              <w:top w:val="single" w:sz="6" w:space="0" w:color="auto"/>
              <w:left w:val="single" w:sz="6" w:space="0" w:color="auto"/>
              <w:bottom w:val="single" w:sz="6" w:space="0" w:color="auto"/>
              <w:right w:val="single" w:sz="6" w:space="0" w:color="auto"/>
            </w:tcBorders>
          </w:tcPr>
          <w:p w14:paraId="5F517540" w14:textId="1D8F23D7" w:rsidR="001124C3" w:rsidRPr="00A2427F" w:rsidRDefault="001124C3" w:rsidP="001124C3">
            <w:pPr>
              <w:pStyle w:val="TableText"/>
              <w:jc w:val="right"/>
              <w:rPr>
                <w:szCs w:val="20"/>
                <w:vertAlign w:val="superscript"/>
              </w:rPr>
            </w:pPr>
            <w:r w:rsidRPr="001124C3">
              <w:rPr>
                <w:rFonts w:eastAsiaTheme="minorHAnsi" w:cs="Arial"/>
                <w:color w:val="000000"/>
                <w:szCs w:val="20"/>
              </w:rPr>
              <w:t>$</w:t>
            </w:r>
            <w:r w:rsidR="00C069ED" w:rsidRPr="00C069ED">
              <w:rPr>
                <w:rFonts w:eastAsiaTheme="minorHAnsi" w:cs="Arial"/>
                <w:color w:val="000000"/>
                <w:szCs w:val="20"/>
                <w:shd w:val="solid" w:color="000000" w:fill="000000"/>
                <w14:textFill>
                  <w14:solidFill>
                    <w14:srgbClr w14:val="000000">
                      <w14:alpha w14:val="100000"/>
                    </w14:srgbClr>
                  </w14:solidFill>
                </w14:textFill>
              </w:rPr>
              <w:t>|</w:t>
            </w:r>
            <w:r w:rsidR="008122EC">
              <w:rPr>
                <w:rFonts w:eastAsiaTheme="minorHAnsi" w:cs="Arial"/>
                <w:color w:val="000000"/>
                <w:szCs w:val="20"/>
                <w:vertAlign w:val="superscript"/>
              </w:rPr>
              <w:t>3</w:t>
            </w:r>
          </w:p>
        </w:tc>
      </w:tr>
      <w:tr w:rsidR="001124C3" w:rsidRPr="00197F03" w14:paraId="595461D1" w14:textId="77777777" w:rsidTr="00217798">
        <w:trPr>
          <w:jc w:val="center"/>
        </w:trPr>
        <w:tc>
          <w:tcPr>
            <w:tcW w:w="1648" w:type="pct"/>
            <w:tcBorders>
              <w:bottom w:val="single" w:sz="4" w:space="0" w:color="auto"/>
            </w:tcBorders>
            <w:shd w:val="clear" w:color="auto" w:fill="auto"/>
            <w:vAlign w:val="center"/>
          </w:tcPr>
          <w:p w14:paraId="10D3DA2C" w14:textId="77777777" w:rsidR="001124C3" w:rsidRPr="001124C3" w:rsidRDefault="001124C3" w:rsidP="001124C3">
            <w:pPr>
              <w:pStyle w:val="TableText"/>
            </w:pPr>
            <w:r w:rsidRPr="001124C3">
              <w:t>Changed listing (Children)</w:t>
            </w:r>
          </w:p>
        </w:tc>
        <w:tc>
          <w:tcPr>
            <w:tcW w:w="551" w:type="pct"/>
            <w:tcBorders>
              <w:top w:val="single" w:sz="6" w:space="0" w:color="auto"/>
              <w:left w:val="single" w:sz="6" w:space="0" w:color="auto"/>
              <w:bottom w:val="single" w:sz="4" w:space="0" w:color="auto"/>
              <w:right w:val="single" w:sz="6" w:space="0" w:color="auto"/>
            </w:tcBorders>
          </w:tcPr>
          <w:p w14:paraId="2A657A17" w14:textId="16BDB8D4" w:rsidR="001124C3" w:rsidRPr="00A2427F" w:rsidRDefault="001124C3" w:rsidP="001124C3">
            <w:pPr>
              <w:pStyle w:val="TableText"/>
              <w:jc w:val="right"/>
              <w:rPr>
                <w:szCs w:val="20"/>
                <w:vertAlign w:val="superscript"/>
              </w:rPr>
            </w:pPr>
            <w:r w:rsidRPr="001124C3">
              <w:rPr>
                <w:rFonts w:eastAsiaTheme="minorHAnsi" w:cs="Arial"/>
                <w:color w:val="000000"/>
                <w:szCs w:val="20"/>
              </w:rPr>
              <w:t>$</w:t>
            </w:r>
            <w:r w:rsidR="00C069ED" w:rsidRPr="00C069ED">
              <w:rPr>
                <w:rFonts w:eastAsiaTheme="minorHAnsi" w:cs="Arial"/>
                <w:color w:val="000000"/>
                <w:szCs w:val="20"/>
                <w:shd w:val="solid" w:color="000000" w:fill="000000"/>
                <w14:textFill>
                  <w14:solidFill>
                    <w14:srgbClr w14:val="000000">
                      <w14:alpha w14:val="100000"/>
                    </w14:srgbClr>
                  </w14:solidFill>
                </w14:textFill>
              </w:rPr>
              <w:t>|</w:t>
            </w:r>
            <w:r w:rsidR="008122EC">
              <w:rPr>
                <w:rFonts w:eastAsiaTheme="minorHAnsi" w:cs="Arial"/>
                <w:color w:val="000000"/>
                <w:szCs w:val="20"/>
                <w:vertAlign w:val="superscript"/>
              </w:rPr>
              <w:t>4</w:t>
            </w:r>
          </w:p>
        </w:tc>
        <w:tc>
          <w:tcPr>
            <w:tcW w:w="551" w:type="pct"/>
            <w:tcBorders>
              <w:top w:val="single" w:sz="6" w:space="0" w:color="auto"/>
              <w:left w:val="single" w:sz="6" w:space="0" w:color="auto"/>
              <w:bottom w:val="single" w:sz="4" w:space="0" w:color="auto"/>
              <w:right w:val="single" w:sz="6" w:space="0" w:color="auto"/>
            </w:tcBorders>
          </w:tcPr>
          <w:p w14:paraId="12098F5D" w14:textId="480FD2D2" w:rsidR="001124C3" w:rsidRPr="00A2427F" w:rsidRDefault="001124C3" w:rsidP="001124C3">
            <w:pPr>
              <w:pStyle w:val="TableText"/>
              <w:jc w:val="right"/>
              <w:rPr>
                <w:szCs w:val="20"/>
                <w:vertAlign w:val="superscript"/>
              </w:rPr>
            </w:pPr>
            <w:r w:rsidRPr="001124C3">
              <w:rPr>
                <w:rFonts w:eastAsiaTheme="minorHAnsi" w:cs="Arial"/>
                <w:color w:val="000000"/>
                <w:szCs w:val="20"/>
              </w:rPr>
              <w:t>$</w:t>
            </w:r>
            <w:r w:rsidR="00C069ED" w:rsidRPr="00C069ED">
              <w:rPr>
                <w:rFonts w:eastAsiaTheme="minorHAnsi" w:cs="Arial"/>
                <w:color w:val="000000"/>
                <w:szCs w:val="20"/>
                <w:shd w:val="solid" w:color="000000" w:fill="000000"/>
                <w14:textFill>
                  <w14:solidFill>
                    <w14:srgbClr w14:val="000000">
                      <w14:alpha w14:val="100000"/>
                    </w14:srgbClr>
                  </w14:solidFill>
                </w14:textFill>
              </w:rPr>
              <w:t>|</w:t>
            </w:r>
            <w:r w:rsidR="008122EC">
              <w:rPr>
                <w:rFonts w:eastAsiaTheme="minorHAnsi" w:cs="Arial"/>
                <w:color w:val="000000"/>
                <w:szCs w:val="20"/>
                <w:vertAlign w:val="superscript"/>
              </w:rPr>
              <w:t>4</w:t>
            </w:r>
          </w:p>
        </w:tc>
        <w:tc>
          <w:tcPr>
            <w:tcW w:w="550" w:type="pct"/>
            <w:tcBorders>
              <w:top w:val="single" w:sz="6" w:space="0" w:color="auto"/>
              <w:left w:val="single" w:sz="6" w:space="0" w:color="auto"/>
              <w:bottom w:val="single" w:sz="4" w:space="0" w:color="auto"/>
              <w:right w:val="single" w:sz="6" w:space="0" w:color="auto"/>
            </w:tcBorders>
          </w:tcPr>
          <w:p w14:paraId="13CD8F72" w14:textId="349C58FD" w:rsidR="001124C3" w:rsidRPr="00A2427F" w:rsidRDefault="001124C3" w:rsidP="001124C3">
            <w:pPr>
              <w:pStyle w:val="TableText"/>
              <w:jc w:val="right"/>
              <w:rPr>
                <w:szCs w:val="20"/>
                <w:vertAlign w:val="superscript"/>
              </w:rPr>
            </w:pPr>
            <w:r w:rsidRPr="001124C3">
              <w:rPr>
                <w:rFonts w:eastAsiaTheme="minorHAnsi" w:cs="Arial"/>
                <w:color w:val="000000"/>
                <w:szCs w:val="20"/>
              </w:rPr>
              <w:t>$</w:t>
            </w:r>
            <w:r w:rsidR="00C069ED" w:rsidRPr="00C069ED">
              <w:rPr>
                <w:rFonts w:eastAsiaTheme="minorHAnsi" w:cs="Arial"/>
                <w:color w:val="000000"/>
                <w:szCs w:val="20"/>
                <w:shd w:val="solid" w:color="000000" w:fill="000000"/>
                <w14:textFill>
                  <w14:solidFill>
                    <w14:srgbClr w14:val="000000">
                      <w14:alpha w14:val="100000"/>
                    </w14:srgbClr>
                  </w14:solidFill>
                </w14:textFill>
              </w:rPr>
              <w:t>|</w:t>
            </w:r>
            <w:r w:rsidR="008122EC">
              <w:rPr>
                <w:rFonts w:eastAsiaTheme="minorHAnsi" w:cs="Arial"/>
                <w:color w:val="000000"/>
                <w:szCs w:val="20"/>
                <w:vertAlign w:val="superscript"/>
              </w:rPr>
              <w:t>4</w:t>
            </w:r>
          </w:p>
        </w:tc>
        <w:tc>
          <w:tcPr>
            <w:tcW w:w="549" w:type="pct"/>
            <w:tcBorders>
              <w:top w:val="single" w:sz="6" w:space="0" w:color="auto"/>
              <w:left w:val="single" w:sz="6" w:space="0" w:color="auto"/>
              <w:bottom w:val="single" w:sz="4" w:space="0" w:color="auto"/>
              <w:right w:val="single" w:sz="6" w:space="0" w:color="auto"/>
            </w:tcBorders>
          </w:tcPr>
          <w:p w14:paraId="5004C5C8" w14:textId="7E88FAF5" w:rsidR="001124C3" w:rsidRPr="00A2427F" w:rsidRDefault="001124C3" w:rsidP="001124C3">
            <w:pPr>
              <w:pStyle w:val="TableText"/>
              <w:jc w:val="right"/>
              <w:rPr>
                <w:szCs w:val="20"/>
                <w:vertAlign w:val="superscript"/>
              </w:rPr>
            </w:pPr>
            <w:r w:rsidRPr="001124C3">
              <w:rPr>
                <w:rFonts w:eastAsiaTheme="minorHAnsi" w:cs="Arial"/>
                <w:color w:val="000000"/>
                <w:szCs w:val="20"/>
              </w:rPr>
              <w:t>$</w:t>
            </w:r>
            <w:r w:rsidR="00C069ED" w:rsidRPr="00C069ED">
              <w:rPr>
                <w:rFonts w:eastAsiaTheme="minorHAnsi" w:cs="Arial"/>
                <w:color w:val="000000"/>
                <w:szCs w:val="20"/>
                <w:shd w:val="solid" w:color="000000" w:fill="000000"/>
                <w14:textFill>
                  <w14:solidFill>
                    <w14:srgbClr w14:val="000000">
                      <w14:alpha w14:val="100000"/>
                    </w14:srgbClr>
                  </w14:solidFill>
                </w14:textFill>
              </w:rPr>
              <w:t>|</w:t>
            </w:r>
            <w:r w:rsidR="008122EC">
              <w:rPr>
                <w:rFonts w:eastAsiaTheme="minorHAnsi" w:cs="Arial"/>
                <w:color w:val="000000"/>
                <w:szCs w:val="20"/>
                <w:vertAlign w:val="superscript"/>
              </w:rPr>
              <w:t>4</w:t>
            </w:r>
          </w:p>
        </w:tc>
        <w:tc>
          <w:tcPr>
            <w:tcW w:w="553" w:type="pct"/>
            <w:tcBorders>
              <w:top w:val="single" w:sz="6" w:space="0" w:color="auto"/>
              <w:left w:val="single" w:sz="6" w:space="0" w:color="auto"/>
              <w:bottom w:val="single" w:sz="4" w:space="0" w:color="auto"/>
              <w:right w:val="single" w:sz="6" w:space="0" w:color="auto"/>
            </w:tcBorders>
          </w:tcPr>
          <w:p w14:paraId="62245A6D" w14:textId="116C7287" w:rsidR="001124C3" w:rsidRPr="00A2427F" w:rsidRDefault="001124C3" w:rsidP="001124C3">
            <w:pPr>
              <w:pStyle w:val="TableText"/>
              <w:jc w:val="right"/>
              <w:rPr>
                <w:szCs w:val="20"/>
                <w:vertAlign w:val="superscript"/>
              </w:rPr>
            </w:pPr>
            <w:r w:rsidRPr="001124C3">
              <w:rPr>
                <w:rFonts w:eastAsiaTheme="minorHAnsi" w:cs="Arial"/>
                <w:color w:val="000000"/>
                <w:szCs w:val="20"/>
              </w:rPr>
              <w:t>$</w:t>
            </w:r>
            <w:r w:rsidR="00C069ED" w:rsidRPr="00C069ED">
              <w:rPr>
                <w:rFonts w:eastAsiaTheme="minorHAnsi" w:cs="Arial"/>
                <w:color w:val="000000"/>
                <w:szCs w:val="20"/>
                <w:shd w:val="solid" w:color="000000" w:fill="000000"/>
                <w14:textFill>
                  <w14:solidFill>
                    <w14:srgbClr w14:val="000000">
                      <w14:alpha w14:val="100000"/>
                    </w14:srgbClr>
                  </w14:solidFill>
                </w14:textFill>
              </w:rPr>
              <w:t>|</w:t>
            </w:r>
            <w:r w:rsidR="008122EC">
              <w:rPr>
                <w:rFonts w:eastAsiaTheme="minorHAnsi" w:cs="Arial"/>
                <w:color w:val="000000"/>
                <w:szCs w:val="20"/>
                <w:vertAlign w:val="superscript"/>
              </w:rPr>
              <w:t>4</w:t>
            </w:r>
          </w:p>
        </w:tc>
        <w:tc>
          <w:tcPr>
            <w:tcW w:w="598" w:type="pct"/>
            <w:tcBorders>
              <w:top w:val="single" w:sz="6" w:space="0" w:color="auto"/>
              <w:left w:val="single" w:sz="6" w:space="0" w:color="auto"/>
              <w:bottom w:val="single" w:sz="4" w:space="0" w:color="auto"/>
              <w:right w:val="single" w:sz="6" w:space="0" w:color="auto"/>
            </w:tcBorders>
          </w:tcPr>
          <w:p w14:paraId="27AE0075" w14:textId="5B45CBA5" w:rsidR="001124C3" w:rsidRPr="00A2427F" w:rsidRDefault="001124C3" w:rsidP="001124C3">
            <w:pPr>
              <w:pStyle w:val="TableText"/>
              <w:jc w:val="right"/>
              <w:rPr>
                <w:szCs w:val="20"/>
                <w:vertAlign w:val="superscript"/>
              </w:rPr>
            </w:pPr>
            <w:r w:rsidRPr="001124C3">
              <w:rPr>
                <w:rFonts w:eastAsiaTheme="minorHAnsi" w:cs="Arial"/>
                <w:color w:val="000000"/>
                <w:szCs w:val="20"/>
              </w:rPr>
              <w:t>$</w:t>
            </w:r>
            <w:r w:rsidR="00C069ED" w:rsidRPr="00C069ED">
              <w:rPr>
                <w:rFonts w:eastAsiaTheme="minorHAnsi" w:cs="Arial"/>
                <w:color w:val="000000"/>
                <w:szCs w:val="20"/>
                <w:shd w:val="solid" w:color="000000" w:fill="000000"/>
                <w14:textFill>
                  <w14:solidFill>
                    <w14:srgbClr w14:val="000000">
                      <w14:alpha w14:val="100000"/>
                    </w14:srgbClr>
                  </w14:solidFill>
                </w14:textFill>
              </w:rPr>
              <w:t>|</w:t>
            </w:r>
            <w:r w:rsidR="008122EC">
              <w:rPr>
                <w:rFonts w:eastAsiaTheme="minorHAnsi" w:cs="Arial"/>
                <w:color w:val="000000"/>
                <w:szCs w:val="20"/>
                <w:vertAlign w:val="superscript"/>
              </w:rPr>
              <w:t>4</w:t>
            </w:r>
          </w:p>
        </w:tc>
      </w:tr>
      <w:tr w:rsidR="001124C3" w:rsidRPr="00197F03" w14:paraId="7D24952E" w14:textId="77777777" w:rsidTr="00217798">
        <w:trPr>
          <w:jc w:val="center"/>
        </w:trPr>
        <w:tc>
          <w:tcPr>
            <w:tcW w:w="1648" w:type="pct"/>
            <w:tcBorders>
              <w:top w:val="single" w:sz="4" w:space="0" w:color="auto"/>
              <w:bottom w:val="single" w:sz="4" w:space="0" w:color="auto"/>
              <w:right w:val="single" w:sz="4" w:space="0" w:color="auto"/>
            </w:tcBorders>
            <w:shd w:val="clear" w:color="auto" w:fill="auto"/>
            <w:vAlign w:val="center"/>
          </w:tcPr>
          <w:p w14:paraId="15397C8C" w14:textId="77777777" w:rsidR="001124C3" w:rsidRPr="001124C3" w:rsidRDefault="001124C3" w:rsidP="001124C3">
            <w:pPr>
              <w:pStyle w:val="TableText"/>
            </w:pPr>
            <w:r w:rsidRPr="001124C3">
              <w:t>Changed listing (Total)</w:t>
            </w:r>
          </w:p>
        </w:tc>
        <w:tc>
          <w:tcPr>
            <w:tcW w:w="551" w:type="pct"/>
            <w:tcBorders>
              <w:top w:val="single" w:sz="4" w:space="0" w:color="auto"/>
              <w:left w:val="single" w:sz="4" w:space="0" w:color="auto"/>
              <w:bottom w:val="single" w:sz="4" w:space="0" w:color="auto"/>
              <w:right w:val="single" w:sz="4" w:space="0" w:color="auto"/>
            </w:tcBorders>
          </w:tcPr>
          <w:p w14:paraId="596BD6BB" w14:textId="5F28C89B" w:rsidR="001124C3" w:rsidRPr="00A2427F" w:rsidRDefault="001124C3" w:rsidP="001124C3">
            <w:pPr>
              <w:pStyle w:val="TableText"/>
              <w:jc w:val="right"/>
              <w:rPr>
                <w:szCs w:val="20"/>
                <w:vertAlign w:val="superscript"/>
              </w:rPr>
            </w:pPr>
            <w:r w:rsidRPr="001124C3">
              <w:rPr>
                <w:rFonts w:eastAsiaTheme="minorHAnsi" w:cs="Arial"/>
                <w:color w:val="000000"/>
                <w:szCs w:val="20"/>
              </w:rPr>
              <w:t>$</w:t>
            </w:r>
            <w:r w:rsidR="00C069ED" w:rsidRPr="00C069ED">
              <w:rPr>
                <w:rFonts w:eastAsiaTheme="minorHAnsi" w:cs="Arial"/>
                <w:color w:val="000000"/>
                <w:szCs w:val="20"/>
                <w:shd w:val="solid" w:color="000000" w:fill="000000"/>
                <w14:textFill>
                  <w14:solidFill>
                    <w14:srgbClr w14:val="000000">
                      <w14:alpha w14:val="100000"/>
                    </w14:srgbClr>
                  </w14:solidFill>
                </w14:textFill>
              </w:rPr>
              <w:t>|</w:t>
            </w:r>
            <w:r w:rsidR="008122EC">
              <w:rPr>
                <w:rFonts w:eastAsiaTheme="minorHAnsi" w:cs="Arial"/>
                <w:color w:val="000000"/>
                <w:szCs w:val="20"/>
                <w:vertAlign w:val="superscript"/>
              </w:rPr>
              <w:t>1</w:t>
            </w:r>
          </w:p>
        </w:tc>
        <w:tc>
          <w:tcPr>
            <w:tcW w:w="551" w:type="pct"/>
            <w:tcBorders>
              <w:top w:val="single" w:sz="4" w:space="0" w:color="auto"/>
              <w:left w:val="single" w:sz="4" w:space="0" w:color="auto"/>
              <w:bottom w:val="single" w:sz="4" w:space="0" w:color="auto"/>
              <w:right w:val="single" w:sz="4" w:space="0" w:color="auto"/>
            </w:tcBorders>
          </w:tcPr>
          <w:p w14:paraId="1919B5E7" w14:textId="10E29690" w:rsidR="001124C3" w:rsidRPr="00A2427F" w:rsidRDefault="001124C3" w:rsidP="001124C3">
            <w:pPr>
              <w:pStyle w:val="TableText"/>
              <w:jc w:val="right"/>
              <w:rPr>
                <w:szCs w:val="20"/>
                <w:vertAlign w:val="superscript"/>
              </w:rPr>
            </w:pPr>
            <w:r w:rsidRPr="001124C3">
              <w:rPr>
                <w:rFonts w:eastAsiaTheme="minorHAnsi" w:cs="Arial"/>
                <w:color w:val="000000"/>
                <w:szCs w:val="20"/>
              </w:rPr>
              <w:t>$</w:t>
            </w:r>
            <w:r w:rsidR="00C069ED" w:rsidRPr="00C069ED">
              <w:rPr>
                <w:rFonts w:eastAsiaTheme="minorHAnsi" w:cs="Arial"/>
                <w:color w:val="000000"/>
                <w:szCs w:val="20"/>
                <w:shd w:val="solid" w:color="000000" w:fill="000000"/>
                <w14:textFill>
                  <w14:solidFill>
                    <w14:srgbClr w14:val="000000">
                      <w14:alpha w14:val="100000"/>
                    </w14:srgbClr>
                  </w14:solidFill>
                </w14:textFill>
              </w:rPr>
              <w:t>|</w:t>
            </w:r>
            <w:r w:rsidR="00FD470C">
              <w:rPr>
                <w:rFonts w:eastAsiaTheme="minorHAnsi" w:cs="Arial"/>
                <w:color w:val="000000"/>
                <w:szCs w:val="20"/>
                <w:vertAlign w:val="superscript"/>
              </w:rPr>
              <w:t>2</w:t>
            </w:r>
          </w:p>
        </w:tc>
        <w:tc>
          <w:tcPr>
            <w:tcW w:w="550" w:type="pct"/>
            <w:tcBorders>
              <w:top w:val="single" w:sz="4" w:space="0" w:color="auto"/>
              <w:left w:val="single" w:sz="4" w:space="0" w:color="auto"/>
              <w:bottom w:val="single" w:sz="4" w:space="0" w:color="auto"/>
              <w:right w:val="single" w:sz="4" w:space="0" w:color="auto"/>
            </w:tcBorders>
          </w:tcPr>
          <w:p w14:paraId="0A641CF6" w14:textId="1332629F" w:rsidR="001124C3" w:rsidRPr="00A2427F" w:rsidRDefault="001124C3" w:rsidP="001124C3">
            <w:pPr>
              <w:pStyle w:val="TableText"/>
              <w:jc w:val="right"/>
              <w:rPr>
                <w:szCs w:val="20"/>
                <w:vertAlign w:val="superscript"/>
              </w:rPr>
            </w:pPr>
            <w:r w:rsidRPr="001124C3">
              <w:rPr>
                <w:rFonts w:eastAsiaTheme="minorHAnsi" w:cs="Arial"/>
                <w:color w:val="000000"/>
                <w:szCs w:val="20"/>
              </w:rPr>
              <w:t>$</w:t>
            </w:r>
            <w:r w:rsidR="00C069ED" w:rsidRPr="00C069ED">
              <w:rPr>
                <w:rFonts w:eastAsiaTheme="minorHAnsi" w:cs="Arial"/>
                <w:color w:val="000000"/>
                <w:szCs w:val="20"/>
                <w:shd w:val="solid" w:color="000000" w:fill="000000"/>
                <w14:textFill>
                  <w14:solidFill>
                    <w14:srgbClr w14:val="000000">
                      <w14:alpha w14:val="100000"/>
                    </w14:srgbClr>
                  </w14:solidFill>
                </w14:textFill>
              </w:rPr>
              <w:t>|</w:t>
            </w:r>
            <w:r w:rsidR="00FD470C">
              <w:rPr>
                <w:rFonts w:eastAsiaTheme="minorHAnsi" w:cs="Arial"/>
                <w:color w:val="000000"/>
                <w:szCs w:val="20"/>
                <w:vertAlign w:val="superscript"/>
              </w:rPr>
              <w:t>2</w:t>
            </w:r>
          </w:p>
        </w:tc>
        <w:tc>
          <w:tcPr>
            <w:tcW w:w="549" w:type="pct"/>
            <w:tcBorders>
              <w:top w:val="single" w:sz="4" w:space="0" w:color="auto"/>
              <w:left w:val="single" w:sz="4" w:space="0" w:color="auto"/>
              <w:bottom w:val="single" w:sz="4" w:space="0" w:color="auto"/>
              <w:right w:val="single" w:sz="4" w:space="0" w:color="auto"/>
            </w:tcBorders>
          </w:tcPr>
          <w:p w14:paraId="3DB7CC21" w14:textId="40ECDECC" w:rsidR="001124C3" w:rsidRPr="00A2427F" w:rsidRDefault="001124C3" w:rsidP="001124C3">
            <w:pPr>
              <w:pStyle w:val="TableText"/>
              <w:jc w:val="right"/>
              <w:rPr>
                <w:szCs w:val="20"/>
                <w:vertAlign w:val="superscript"/>
              </w:rPr>
            </w:pPr>
            <w:r w:rsidRPr="001124C3">
              <w:rPr>
                <w:rFonts w:eastAsiaTheme="minorHAnsi" w:cs="Arial"/>
                <w:color w:val="000000"/>
                <w:szCs w:val="20"/>
              </w:rPr>
              <w:t>$</w:t>
            </w:r>
            <w:r w:rsidR="00C069ED" w:rsidRPr="00C069ED">
              <w:rPr>
                <w:rFonts w:eastAsiaTheme="minorHAnsi" w:cs="Arial"/>
                <w:color w:val="000000"/>
                <w:szCs w:val="20"/>
                <w:shd w:val="solid" w:color="000000" w:fill="000000"/>
                <w14:textFill>
                  <w14:solidFill>
                    <w14:srgbClr w14:val="000000">
                      <w14:alpha w14:val="100000"/>
                    </w14:srgbClr>
                  </w14:solidFill>
                </w14:textFill>
              </w:rPr>
              <w:t>|</w:t>
            </w:r>
            <w:r w:rsidR="00FD470C">
              <w:rPr>
                <w:rFonts w:eastAsiaTheme="minorHAnsi" w:cs="Arial"/>
                <w:color w:val="000000"/>
                <w:szCs w:val="20"/>
                <w:vertAlign w:val="superscript"/>
              </w:rPr>
              <w:t>2</w:t>
            </w:r>
          </w:p>
        </w:tc>
        <w:tc>
          <w:tcPr>
            <w:tcW w:w="553" w:type="pct"/>
            <w:tcBorders>
              <w:top w:val="single" w:sz="4" w:space="0" w:color="auto"/>
              <w:left w:val="single" w:sz="4" w:space="0" w:color="auto"/>
              <w:bottom w:val="single" w:sz="4" w:space="0" w:color="auto"/>
              <w:right w:val="single" w:sz="4" w:space="0" w:color="auto"/>
            </w:tcBorders>
          </w:tcPr>
          <w:p w14:paraId="4F1EE1C2" w14:textId="3051B597" w:rsidR="001124C3" w:rsidRPr="00A2427F" w:rsidRDefault="001124C3" w:rsidP="001124C3">
            <w:pPr>
              <w:pStyle w:val="TableText"/>
              <w:jc w:val="right"/>
              <w:rPr>
                <w:szCs w:val="20"/>
                <w:vertAlign w:val="superscript"/>
              </w:rPr>
            </w:pPr>
            <w:r w:rsidRPr="001124C3">
              <w:rPr>
                <w:rFonts w:eastAsiaTheme="minorHAnsi" w:cs="Arial"/>
                <w:color w:val="000000"/>
                <w:szCs w:val="20"/>
              </w:rPr>
              <w:t>$</w:t>
            </w:r>
            <w:r w:rsidR="00C069ED" w:rsidRPr="00C069ED">
              <w:rPr>
                <w:rFonts w:eastAsiaTheme="minorHAnsi" w:cs="Arial"/>
                <w:color w:val="000000"/>
                <w:szCs w:val="20"/>
                <w:shd w:val="solid" w:color="000000" w:fill="000000"/>
                <w14:textFill>
                  <w14:solidFill>
                    <w14:srgbClr w14:val="000000">
                      <w14:alpha w14:val="100000"/>
                    </w14:srgbClr>
                  </w14:solidFill>
                </w14:textFill>
              </w:rPr>
              <w:t>|</w:t>
            </w:r>
            <w:r w:rsidR="00FD470C">
              <w:rPr>
                <w:rFonts w:eastAsiaTheme="minorHAnsi" w:cs="Arial"/>
                <w:color w:val="000000"/>
                <w:szCs w:val="20"/>
                <w:vertAlign w:val="superscript"/>
              </w:rPr>
              <w:t>3</w:t>
            </w:r>
          </w:p>
        </w:tc>
        <w:tc>
          <w:tcPr>
            <w:tcW w:w="598" w:type="pct"/>
            <w:tcBorders>
              <w:top w:val="single" w:sz="4" w:space="0" w:color="auto"/>
              <w:left w:val="single" w:sz="4" w:space="0" w:color="auto"/>
              <w:bottom w:val="single" w:sz="4" w:space="0" w:color="auto"/>
              <w:right w:val="single" w:sz="4" w:space="0" w:color="auto"/>
            </w:tcBorders>
          </w:tcPr>
          <w:p w14:paraId="6EC7AC29" w14:textId="30C95F97" w:rsidR="001124C3" w:rsidRPr="00A2427F" w:rsidRDefault="001124C3" w:rsidP="001124C3">
            <w:pPr>
              <w:pStyle w:val="TableText"/>
              <w:jc w:val="right"/>
              <w:rPr>
                <w:szCs w:val="20"/>
                <w:vertAlign w:val="superscript"/>
              </w:rPr>
            </w:pPr>
            <w:r w:rsidRPr="001124C3">
              <w:rPr>
                <w:rFonts w:eastAsiaTheme="minorHAnsi" w:cs="Arial"/>
                <w:color w:val="000000"/>
                <w:szCs w:val="20"/>
              </w:rPr>
              <w:t>$</w:t>
            </w:r>
            <w:r w:rsidR="00C069ED" w:rsidRPr="00C069ED">
              <w:rPr>
                <w:rFonts w:eastAsiaTheme="minorHAnsi" w:cs="Arial"/>
                <w:color w:val="000000"/>
                <w:szCs w:val="20"/>
                <w:shd w:val="solid" w:color="000000" w:fill="000000"/>
                <w14:textFill>
                  <w14:solidFill>
                    <w14:srgbClr w14:val="000000">
                      <w14:alpha w14:val="100000"/>
                    </w14:srgbClr>
                  </w14:solidFill>
                </w14:textFill>
              </w:rPr>
              <w:t>|</w:t>
            </w:r>
            <w:r w:rsidR="00FD470C">
              <w:rPr>
                <w:rFonts w:eastAsiaTheme="minorHAnsi" w:cs="Arial"/>
                <w:color w:val="000000"/>
                <w:szCs w:val="20"/>
                <w:vertAlign w:val="superscript"/>
              </w:rPr>
              <w:t>3</w:t>
            </w:r>
          </w:p>
        </w:tc>
      </w:tr>
      <w:tr w:rsidR="001124C3" w:rsidRPr="00197F03" w14:paraId="347A765B" w14:textId="77777777" w:rsidTr="00217798">
        <w:trPr>
          <w:jc w:val="center"/>
        </w:trPr>
        <w:tc>
          <w:tcPr>
            <w:tcW w:w="1648" w:type="pct"/>
            <w:tcBorders>
              <w:top w:val="single" w:sz="4" w:space="0" w:color="auto"/>
              <w:bottom w:val="single" w:sz="4" w:space="0" w:color="auto"/>
              <w:right w:val="single" w:sz="4" w:space="0" w:color="auto"/>
            </w:tcBorders>
            <w:shd w:val="clear" w:color="auto" w:fill="auto"/>
            <w:vAlign w:val="center"/>
          </w:tcPr>
          <w:p w14:paraId="7F7C0250" w14:textId="77777777" w:rsidR="001124C3" w:rsidRPr="001124C3" w:rsidRDefault="001124C3" w:rsidP="001124C3">
            <w:pPr>
              <w:pStyle w:val="TableText"/>
            </w:pPr>
            <w:r w:rsidRPr="001124C3">
              <w:t>Additional cost to PBS/RPBS</w:t>
            </w:r>
          </w:p>
        </w:tc>
        <w:tc>
          <w:tcPr>
            <w:tcW w:w="551" w:type="pct"/>
            <w:tcBorders>
              <w:top w:val="single" w:sz="4" w:space="0" w:color="auto"/>
              <w:left w:val="single" w:sz="4" w:space="0" w:color="auto"/>
              <w:bottom w:val="single" w:sz="4" w:space="0" w:color="auto"/>
              <w:right w:val="single" w:sz="4" w:space="0" w:color="auto"/>
            </w:tcBorders>
          </w:tcPr>
          <w:p w14:paraId="5371B9F6" w14:textId="0B0F2E42" w:rsidR="001124C3" w:rsidRPr="00A2427F" w:rsidRDefault="001124C3" w:rsidP="001124C3">
            <w:pPr>
              <w:pStyle w:val="TableText"/>
              <w:jc w:val="right"/>
              <w:rPr>
                <w:szCs w:val="20"/>
                <w:vertAlign w:val="superscript"/>
              </w:rPr>
            </w:pPr>
            <w:r w:rsidRPr="001124C3">
              <w:rPr>
                <w:rFonts w:eastAsiaTheme="minorHAnsi" w:cs="Arial"/>
                <w:color w:val="000000"/>
                <w:szCs w:val="20"/>
              </w:rPr>
              <w:t>$</w:t>
            </w:r>
            <w:r w:rsidR="00C069ED" w:rsidRPr="00C069ED">
              <w:rPr>
                <w:rFonts w:eastAsiaTheme="minorHAnsi" w:cs="Arial"/>
                <w:color w:val="000000"/>
                <w:szCs w:val="20"/>
                <w:shd w:val="solid" w:color="000000" w:fill="000000"/>
                <w14:textFill>
                  <w14:solidFill>
                    <w14:srgbClr w14:val="000000">
                      <w14:alpha w14:val="100000"/>
                    </w14:srgbClr>
                  </w14:solidFill>
                </w14:textFill>
              </w:rPr>
              <w:t>|</w:t>
            </w:r>
            <w:r w:rsidR="00FD470C">
              <w:rPr>
                <w:rFonts w:eastAsiaTheme="minorHAnsi" w:cs="Arial"/>
                <w:color w:val="000000"/>
                <w:szCs w:val="20"/>
                <w:vertAlign w:val="superscript"/>
              </w:rPr>
              <w:t>4</w:t>
            </w:r>
          </w:p>
        </w:tc>
        <w:tc>
          <w:tcPr>
            <w:tcW w:w="551" w:type="pct"/>
            <w:tcBorders>
              <w:top w:val="single" w:sz="4" w:space="0" w:color="auto"/>
              <w:left w:val="single" w:sz="4" w:space="0" w:color="auto"/>
              <w:bottom w:val="single" w:sz="4" w:space="0" w:color="auto"/>
              <w:right w:val="single" w:sz="4" w:space="0" w:color="auto"/>
            </w:tcBorders>
          </w:tcPr>
          <w:p w14:paraId="4CF7F8CB" w14:textId="363CFA62" w:rsidR="001124C3" w:rsidRPr="00A2427F" w:rsidRDefault="001124C3" w:rsidP="001124C3">
            <w:pPr>
              <w:pStyle w:val="TableText"/>
              <w:jc w:val="right"/>
              <w:rPr>
                <w:szCs w:val="20"/>
                <w:vertAlign w:val="superscript"/>
              </w:rPr>
            </w:pPr>
            <w:r w:rsidRPr="001124C3">
              <w:rPr>
                <w:rFonts w:eastAsiaTheme="minorHAnsi" w:cs="Arial"/>
                <w:color w:val="000000"/>
                <w:szCs w:val="20"/>
              </w:rPr>
              <w:t>$</w:t>
            </w:r>
            <w:r w:rsidR="00C069ED" w:rsidRPr="00C069ED">
              <w:rPr>
                <w:rFonts w:eastAsiaTheme="minorHAnsi" w:cs="Arial"/>
                <w:color w:val="000000"/>
                <w:szCs w:val="20"/>
                <w:shd w:val="solid" w:color="000000" w:fill="000000"/>
                <w14:textFill>
                  <w14:solidFill>
                    <w14:srgbClr w14:val="000000">
                      <w14:alpha w14:val="100000"/>
                    </w14:srgbClr>
                  </w14:solidFill>
                </w14:textFill>
              </w:rPr>
              <w:t>|</w:t>
            </w:r>
            <w:r w:rsidR="00FD470C">
              <w:rPr>
                <w:rFonts w:eastAsiaTheme="minorHAnsi" w:cs="Arial"/>
                <w:color w:val="000000"/>
                <w:szCs w:val="20"/>
                <w:vertAlign w:val="superscript"/>
              </w:rPr>
              <w:t>4</w:t>
            </w:r>
          </w:p>
        </w:tc>
        <w:tc>
          <w:tcPr>
            <w:tcW w:w="550" w:type="pct"/>
            <w:tcBorders>
              <w:top w:val="single" w:sz="4" w:space="0" w:color="auto"/>
              <w:left w:val="single" w:sz="4" w:space="0" w:color="auto"/>
              <w:bottom w:val="single" w:sz="4" w:space="0" w:color="auto"/>
              <w:right w:val="single" w:sz="4" w:space="0" w:color="auto"/>
            </w:tcBorders>
          </w:tcPr>
          <w:p w14:paraId="60106933" w14:textId="64E6B2F3" w:rsidR="001124C3" w:rsidRPr="00A2427F" w:rsidRDefault="001124C3" w:rsidP="001124C3">
            <w:pPr>
              <w:pStyle w:val="TableText"/>
              <w:jc w:val="right"/>
              <w:rPr>
                <w:szCs w:val="20"/>
                <w:vertAlign w:val="superscript"/>
              </w:rPr>
            </w:pPr>
            <w:r w:rsidRPr="001124C3">
              <w:rPr>
                <w:rFonts w:eastAsiaTheme="minorHAnsi" w:cs="Arial"/>
                <w:color w:val="000000"/>
                <w:szCs w:val="20"/>
              </w:rPr>
              <w:t>$</w:t>
            </w:r>
            <w:r w:rsidR="00C069ED" w:rsidRPr="00C069ED">
              <w:rPr>
                <w:rFonts w:eastAsiaTheme="minorHAnsi" w:cs="Arial"/>
                <w:color w:val="000000"/>
                <w:szCs w:val="20"/>
                <w:shd w:val="solid" w:color="000000" w:fill="000000"/>
                <w14:textFill>
                  <w14:solidFill>
                    <w14:srgbClr w14:val="000000">
                      <w14:alpha w14:val="100000"/>
                    </w14:srgbClr>
                  </w14:solidFill>
                </w14:textFill>
              </w:rPr>
              <w:t>|</w:t>
            </w:r>
            <w:r w:rsidR="00FD470C">
              <w:rPr>
                <w:rFonts w:eastAsiaTheme="minorHAnsi" w:cs="Arial"/>
                <w:color w:val="000000"/>
                <w:szCs w:val="20"/>
                <w:vertAlign w:val="superscript"/>
              </w:rPr>
              <w:t>4</w:t>
            </w:r>
          </w:p>
        </w:tc>
        <w:tc>
          <w:tcPr>
            <w:tcW w:w="549" w:type="pct"/>
            <w:tcBorders>
              <w:top w:val="single" w:sz="4" w:space="0" w:color="auto"/>
              <w:left w:val="single" w:sz="4" w:space="0" w:color="auto"/>
              <w:bottom w:val="single" w:sz="4" w:space="0" w:color="auto"/>
              <w:right w:val="single" w:sz="4" w:space="0" w:color="auto"/>
            </w:tcBorders>
          </w:tcPr>
          <w:p w14:paraId="70A0A11E" w14:textId="00A580DB" w:rsidR="001124C3" w:rsidRPr="00A2427F" w:rsidRDefault="001124C3" w:rsidP="001124C3">
            <w:pPr>
              <w:pStyle w:val="TableText"/>
              <w:jc w:val="right"/>
              <w:rPr>
                <w:szCs w:val="20"/>
                <w:vertAlign w:val="superscript"/>
              </w:rPr>
            </w:pPr>
            <w:r w:rsidRPr="001124C3">
              <w:rPr>
                <w:rFonts w:eastAsiaTheme="minorHAnsi" w:cs="Arial"/>
                <w:color w:val="000000"/>
                <w:szCs w:val="20"/>
              </w:rPr>
              <w:t>$</w:t>
            </w:r>
            <w:r w:rsidR="00C069ED" w:rsidRPr="00C069ED">
              <w:rPr>
                <w:rFonts w:eastAsiaTheme="minorHAnsi" w:cs="Arial"/>
                <w:color w:val="000000"/>
                <w:szCs w:val="20"/>
                <w:shd w:val="solid" w:color="000000" w:fill="000000"/>
                <w14:textFill>
                  <w14:solidFill>
                    <w14:srgbClr w14:val="000000">
                      <w14:alpha w14:val="100000"/>
                    </w14:srgbClr>
                  </w14:solidFill>
                </w14:textFill>
              </w:rPr>
              <w:t>|</w:t>
            </w:r>
            <w:r w:rsidR="00FD470C">
              <w:rPr>
                <w:rFonts w:eastAsiaTheme="minorHAnsi" w:cs="Arial"/>
                <w:color w:val="000000"/>
                <w:szCs w:val="20"/>
                <w:vertAlign w:val="superscript"/>
              </w:rPr>
              <w:t>4</w:t>
            </w:r>
          </w:p>
        </w:tc>
        <w:tc>
          <w:tcPr>
            <w:tcW w:w="553" w:type="pct"/>
            <w:tcBorders>
              <w:top w:val="single" w:sz="4" w:space="0" w:color="auto"/>
              <w:left w:val="single" w:sz="4" w:space="0" w:color="auto"/>
              <w:bottom w:val="single" w:sz="4" w:space="0" w:color="auto"/>
              <w:right w:val="single" w:sz="4" w:space="0" w:color="auto"/>
            </w:tcBorders>
          </w:tcPr>
          <w:p w14:paraId="5D51E2B3" w14:textId="1A4B58A2" w:rsidR="001124C3" w:rsidRPr="00A2427F" w:rsidRDefault="001124C3" w:rsidP="001124C3">
            <w:pPr>
              <w:pStyle w:val="TableText"/>
              <w:jc w:val="right"/>
              <w:rPr>
                <w:szCs w:val="20"/>
                <w:vertAlign w:val="superscript"/>
              </w:rPr>
            </w:pPr>
            <w:r w:rsidRPr="001124C3">
              <w:rPr>
                <w:rFonts w:eastAsiaTheme="minorHAnsi" w:cs="Arial"/>
                <w:color w:val="000000"/>
                <w:szCs w:val="20"/>
              </w:rPr>
              <w:t>$</w:t>
            </w:r>
            <w:r w:rsidR="00C069ED" w:rsidRPr="00C069ED">
              <w:rPr>
                <w:rFonts w:eastAsiaTheme="minorHAnsi" w:cs="Arial"/>
                <w:color w:val="000000"/>
                <w:szCs w:val="20"/>
                <w:shd w:val="solid" w:color="000000" w:fill="000000"/>
                <w14:textFill>
                  <w14:solidFill>
                    <w14:srgbClr w14:val="000000">
                      <w14:alpha w14:val="100000"/>
                    </w14:srgbClr>
                  </w14:solidFill>
                </w14:textFill>
              </w:rPr>
              <w:t>|</w:t>
            </w:r>
            <w:r w:rsidR="00FD470C">
              <w:rPr>
                <w:rFonts w:eastAsiaTheme="minorHAnsi" w:cs="Arial"/>
                <w:color w:val="000000"/>
                <w:szCs w:val="20"/>
                <w:vertAlign w:val="superscript"/>
              </w:rPr>
              <w:t>4</w:t>
            </w:r>
          </w:p>
        </w:tc>
        <w:tc>
          <w:tcPr>
            <w:tcW w:w="598" w:type="pct"/>
            <w:tcBorders>
              <w:top w:val="single" w:sz="4" w:space="0" w:color="auto"/>
              <w:left w:val="single" w:sz="4" w:space="0" w:color="auto"/>
              <w:bottom w:val="single" w:sz="4" w:space="0" w:color="auto"/>
              <w:right w:val="single" w:sz="4" w:space="0" w:color="auto"/>
            </w:tcBorders>
          </w:tcPr>
          <w:p w14:paraId="2972CEF6" w14:textId="3EB1C22D" w:rsidR="001124C3" w:rsidRPr="00A2427F" w:rsidRDefault="001124C3" w:rsidP="001124C3">
            <w:pPr>
              <w:pStyle w:val="TableText"/>
              <w:jc w:val="right"/>
              <w:rPr>
                <w:szCs w:val="20"/>
                <w:vertAlign w:val="superscript"/>
              </w:rPr>
            </w:pPr>
            <w:r w:rsidRPr="001124C3">
              <w:rPr>
                <w:rFonts w:eastAsiaTheme="minorHAnsi" w:cs="Arial"/>
                <w:color w:val="000000"/>
                <w:szCs w:val="20"/>
              </w:rPr>
              <w:t>$</w:t>
            </w:r>
            <w:r w:rsidR="00C069ED" w:rsidRPr="00C069ED">
              <w:rPr>
                <w:rFonts w:eastAsiaTheme="minorHAnsi" w:cs="Arial"/>
                <w:color w:val="000000"/>
                <w:szCs w:val="20"/>
                <w:shd w:val="solid" w:color="000000" w:fill="000000"/>
                <w14:textFill>
                  <w14:solidFill>
                    <w14:srgbClr w14:val="000000">
                      <w14:alpha w14:val="100000"/>
                    </w14:srgbClr>
                  </w14:solidFill>
                </w14:textFill>
              </w:rPr>
              <w:t>|</w:t>
            </w:r>
            <w:r w:rsidR="00FD470C">
              <w:rPr>
                <w:rFonts w:eastAsiaTheme="minorHAnsi" w:cs="Arial"/>
                <w:color w:val="000000"/>
                <w:szCs w:val="20"/>
                <w:vertAlign w:val="superscript"/>
              </w:rPr>
              <w:t>4</w:t>
            </w:r>
          </w:p>
        </w:tc>
      </w:tr>
    </w:tbl>
    <w:p w14:paraId="591B435E" w14:textId="61B3A5BB" w:rsidR="007F2C93" w:rsidRDefault="007F2C93" w:rsidP="007F2C93">
      <w:pPr>
        <w:pStyle w:val="TableFigureFooter"/>
      </w:pPr>
      <w:r>
        <w:t>Source: Romiplostim and Eltrombopag model.XLSX – prepared by the Department</w:t>
      </w:r>
    </w:p>
    <w:p w14:paraId="27E8176C" w14:textId="044325E7" w:rsidR="00F61C0C" w:rsidRDefault="00030CAB" w:rsidP="007F2C93">
      <w:pPr>
        <w:pStyle w:val="TableFigureFooter"/>
      </w:pPr>
      <w:r>
        <w:t>PBS = Pharmaceutical Benefits Scheme, RPBS = Repatriation Pharmaceutical Benefits Scheme</w:t>
      </w:r>
    </w:p>
    <w:p w14:paraId="1F11B6DB" w14:textId="36FB381B" w:rsidR="002F6F86" w:rsidRDefault="002F6F86" w:rsidP="007F2C93">
      <w:pPr>
        <w:pStyle w:val="TableFigureFooter"/>
        <w:rPr>
          <w:i/>
          <w:iCs/>
        </w:rPr>
      </w:pPr>
      <w:r>
        <w:rPr>
          <w:i/>
          <w:iCs/>
        </w:rPr>
        <w:t>The redacted values correspond to the following ranges:</w:t>
      </w:r>
    </w:p>
    <w:p w14:paraId="5EA4478A" w14:textId="77AFBC8D" w:rsidR="002F6F86" w:rsidRPr="00A2427F" w:rsidRDefault="008122EC" w:rsidP="007F2C93">
      <w:pPr>
        <w:pStyle w:val="TableFigureFooter"/>
        <w:rPr>
          <w:i/>
          <w:iCs/>
        </w:rPr>
      </w:pPr>
      <w:r w:rsidRPr="00A2427F">
        <w:rPr>
          <w:i/>
          <w:iCs/>
          <w:vertAlign w:val="superscript"/>
        </w:rPr>
        <w:t>1</w:t>
      </w:r>
      <w:r w:rsidRPr="00A2427F">
        <w:rPr>
          <w:i/>
          <w:iCs/>
        </w:rPr>
        <w:t>$20 million to &lt; $30 million</w:t>
      </w:r>
    </w:p>
    <w:p w14:paraId="2BE15BD2" w14:textId="54AC48F2" w:rsidR="008122EC" w:rsidRPr="00A2427F" w:rsidRDefault="008122EC" w:rsidP="007F2C93">
      <w:pPr>
        <w:pStyle w:val="TableFigureFooter"/>
        <w:rPr>
          <w:i/>
          <w:iCs/>
        </w:rPr>
      </w:pPr>
      <w:r w:rsidRPr="00A2427F">
        <w:rPr>
          <w:i/>
          <w:iCs/>
          <w:vertAlign w:val="superscript"/>
        </w:rPr>
        <w:t>2</w:t>
      </w:r>
      <w:r w:rsidRPr="00A2427F">
        <w:rPr>
          <w:i/>
          <w:iCs/>
        </w:rPr>
        <w:t>$30 million to &lt; $40 million</w:t>
      </w:r>
    </w:p>
    <w:p w14:paraId="0F7809D4" w14:textId="1DF9EA6E" w:rsidR="008122EC" w:rsidRPr="00A2427F" w:rsidRDefault="008122EC" w:rsidP="007F2C93">
      <w:pPr>
        <w:pStyle w:val="TableFigureFooter"/>
        <w:rPr>
          <w:i/>
          <w:iCs/>
        </w:rPr>
      </w:pPr>
      <w:r w:rsidRPr="00A2427F">
        <w:rPr>
          <w:i/>
          <w:iCs/>
          <w:vertAlign w:val="superscript"/>
        </w:rPr>
        <w:t>3</w:t>
      </w:r>
      <w:r w:rsidRPr="00A2427F">
        <w:rPr>
          <w:i/>
          <w:iCs/>
        </w:rPr>
        <w:t>$40 million to &lt; $50 million</w:t>
      </w:r>
    </w:p>
    <w:p w14:paraId="17A33004" w14:textId="7ED11E06" w:rsidR="008122EC" w:rsidRPr="00A2427F" w:rsidRDefault="008122EC" w:rsidP="007F2C93">
      <w:pPr>
        <w:pStyle w:val="TableFigureFooter"/>
        <w:rPr>
          <w:i/>
          <w:iCs/>
        </w:rPr>
      </w:pPr>
      <w:r w:rsidRPr="00A2427F">
        <w:rPr>
          <w:i/>
          <w:iCs/>
          <w:vertAlign w:val="superscript"/>
        </w:rPr>
        <w:t>4</w:t>
      </w:r>
      <w:r w:rsidRPr="00A2427F">
        <w:rPr>
          <w:i/>
          <w:iCs/>
        </w:rPr>
        <w:t>$0 to &lt; $10 million</w:t>
      </w:r>
    </w:p>
    <w:p w14:paraId="0FACF3D0" w14:textId="512038F4" w:rsidR="00CE7542" w:rsidRDefault="00CE7542" w:rsidP="007F5FAB">
      <w:pPr>
        <w:pStyle w:val="3-BodyText"/>
      </w:pPr>
      <w:r>
        <w:t>The estimated cost to Government over the forward estimates</w:t>
      </w:r>
      <w:r w:rsidR="00CB5A09">
        <w:t xml:space="preserve"> for the proposed restriction changes</w:t>
      </w:r>
      <w:r>
        <w:t xml:space="preserve"> was </w:t>
      </w:r>
      <w:r w:rsidR="00CB5A09">
        <w:t>$</w:t>
      </w:r>
      <w:r w:rsidR="000229A9" w:rsidRPr="00B643E4">
        <w:rPr>
          <w:color w:val="000000"/>
          <w:spacing w:val="4"/>
          <w:w w:val="63"/>
          <w:shd w:val="solid" w:color="000000" w:fill="000000"/>
          <w:fitText w:val="222" w:id="-1508125440"/>
          <w14:textFill>
            <w14:solidFill>
              <w14:srgbClr w14:val="000000">
                <w14:alpha w14:val="100000"/>
              </w14:srgbClr>
            </w14:solidFill>
          </w14:textFill>
        </w:rPr>
        <w:t xml:space="preserve">|  </w:t>
      </w:r>
      <w:r w:rsidR="000229A9" w:rsidRPr="00B643E4">
        <w:rPr>
          <w:color w:val="000000"/>
          <w:spacing w:val="3"/>
          <w:w w:val="63"/>
          <w:shd w:val="solid" w:color="000000" w:fill="000000"/>
          <w:fitText w:val="222" w:id="-1508125440"/>
          <w14:textFill>
            <w14:solidFill>
              <w14:srgbClr w14:val="000000">
                <w14:alpha w14:val="100000"/>
              </w14:srgbClr>
            </w14:solidFill>
          </w14:textFill>
        </w:rPr>
        <w:t>|</w:t>
      </w:r>
      <w:r w:rsidR="00CB5A09">
        <w:t>.</w:t>
      </w:r>
    </w:p>
    <w:p w14:paraId="15E7722B" w14:textId="13B11EDF" w:rsidR="00B76B95" w:rsidRDefault="00B76B95" w:rsidP="007F5FAB">
      <w:pPr>
        <w:spacing w:after="200" w:line="276" w:lineRule="auto"/>
        <w:ind w:left="709"/>
      </w:pPr>
      <w:r w:rsidRPr="006845B7">
        <w:rPr>
          <w:rFonts w:asciiTheme="minorHAnsi" w:hAnsiTheme="minorHAnsi" w:cstheme="minorHAnsi"/>
          <w:i/>
        </w:rPr>
        <w:t xml:space="preserve">For more detail on PBAC’s view, see section </w:t>
      </w:r>
      <w:r w:rsidR="00F93DB0">
        <w:rPr>
          <w:rFonts w:asciiTheme="minorHAnsi" w:hAnsiTheme="minorHAnsi" w:cstheme="minorHAnsi"/>
          <w:i/>
        </w:rPr>
        <w:t>5</w:t>
      </w:r>
      <w:r w:rsidRPr="006845B7">
        <w:rPr>
          <w:rFonts w:asciiTheme="minorHAnsi" w:hAnsiTheme="minorHAnsi" w:cstheme="minorHAnsi"/>
          <w:i/>
        </w:rPr>
        <w:t xml:space="preserve"> PBAC outcome</w:t>
      </w:r>
    </w:p>
    <w:bookmarkEnd w:id="1"/>
    <w:p w14:paraId="1F8E4B90" w14:textId="77777777" w:rsidR="00F61C0C" w:rsidRDefault="00F61C0C" w:rsidP="00F61C0C">
      <w:pPr>
        <w:pStyle w:val="2-SectionHeading"/>
      </w:pPr>
      <w:r>
        <w:t>PBAC Outcome</w:t>
      </w:r>
    </w:p>
    <w:p w14:paraId="3CD612BD" w14:textId="70998696" w:rsidR="00CE7542" w:rsidRDefault="00F61C0C" w:rsidP="007F5FAB">
      <w:pPr>
        <w:pStyle w:val="3-BodyText"/>
      </w:pPr>
      <w:r>
        <w:t xml:space="preserve">The PBAC </w:t>
      </w:r>
      <w:r w:rsidR="00D42BEB">
        <w:t xml:space="preserve">recommended the </w:t>
      </w:r>
      <w:r w:rsidR="00F93DB0">
        <w:t>proposed extension to</w:t>
      </w:r>
      <w:r w:rsidR="00D42BEB">
        <w:t xml:space="preserve"> the restrictions of </w:t>
      </w:r>
      <w:r w:rsidR="005F7427">
        <w:t xml:space="preserve">romiplostim and </w:t>
      </w:r>
      <w:r w:rsidR="00D42BEB">
        <w:t>eltrombopag</w:t>
      </w:r>
      <w:r w:rsidR="00CE7542">
        <w:t>.</w:t>
      </w:r>
      <w:r w:rsidR="00D42BEB">
        <w:t xml:space="preserve"> </w:t>
      </w:r>
      <w:r w:rsidR="00CE7542">
        <w:t>The PBAC</w:t>
      </w:r>
      <w:r w:rsidR="005F7427">
        <w:t xml:space="preserve"> </w:t>
      </w:r>
      <w:r>
        <w:t>noted that since the listing of TPO-RAs on</w:t>
      </w:r>
      <w:r w:rsidR="00030CAB">
        <w:t xml:space="preserve"> the</w:t>
      </w:r>
      <w:r>
        <w:t xml:space="preserve"> PBS a decade ago, </w:t>
      </w:r>
      <w:r w:rsidR="00D42BEB">
        <w:t xml:space="preserve">the </w:t>
      </w:r>
      <w:r>
        <w:t xml:space="preserve">safety and efficacy of these medicines </w:t>
      </w:r>
      <w:r w:rsidR="00A609A7">
        <w:t>is now</w:t>
      </w:r>
      <w:r>
        <w:t xml:space="preserve"> better understood, with TPO-RAs now</w:t>
      </w:r>
      <w:r w:rsidR="00D42BEB">
        <w:t xml:space="preserve"> being</w:t>
      </w:r>
      <w:r>
        <w:t xml:space="preserve"> the standard of care for refractory ITP as per International and Australian Guidelines. The PBAC acknowledged that the </w:t>
      </w:r>
      <w:r w:rsidR="00D42BEB">
        <w:t xml:space="preserve">existing </w:t>
      </w:r>
      <w:r>
        <w:t>restrictions</w:t>
      </w:r>
      <w:r w:rsidR="00D42BEB">
        <w:t xml:space="preserve"> were</w:t>
      </w:r>
      <w:r>
        <w:t xml:space="preserve"> </w:t>
      </w:r>
      <w:r w:rsidR="00A609A7">
        <w:t xml:space="preserve">not consistent with current clinical practice </w:t>
      </w:r>
      <w:r w:rsidR="00D42BEB">
        <w:t>and recommended that</w:t>
      </w:r>
      <w:r w:rsidR="00CE7542">
        <w:t>:</w:t>
      </w:r>
    </w:p>
    <w:p w14:paraId="7B99A291" w14:textId="73F3DE64" w:rsidR="00CE7542" w:rsidRDefault="00CE7542" w:rsidP="00CE7542">
      <w:pPr>
        <w:pStyle w:val="3-BodyText"/>
        <w:numPr>
          <w:ilvl w:val="0"/>
          <w:numId w:val="20"/>
        </w:numPr>
      </w:pPr>
      <w:r w:rsidRPr="00C40268">
        <w:t xml:space="preserve">switching between </w:t>
      </w:r>
      <w:r>
        <w:t>e</w:t>
      </w:r>
      <w:r w:rsidRPr="00C40268">
        <w:t xml:space="preserve">ltrombopag and </w:t>
      </w:r>
      <w:r>
        <w:t>r</w:t>
      </w:r>
      <w:r w:rsidRPr="00C40268">
        <w:t xml:space="preserve">omiplostim be allowed at any time and </w:t>
      </w:r>
      <w:r>
        <w:t xml:space="preserve">wording in the </w:t>
      </w:r>
      <w:r w:rsidRPr="00C40268">
        <w:t xml:space="preserve">restriction </w:t>
      </w:r>
      <w:r>
        <w:t xml:space="preserve">about </w:t>
      </w:r>
      <w:r w:rsidRPr="00C40268">
        <w:t>switching within 24 weeks be removed</w:t>
      </w:r>
      <w:r>
        <w:t xml:space="preserve"> to mitigate any confusion among prescribers</w:t>
      </w:r>
    </w:p>
    <w:p w14:paraId="4FFE8092" w14:textId="6DA7908C" w:rsidR="00CE7542" w:rsidRDefault="00CE7542" w:rsidP="00CE7542">
      <w:pPr>
        <w:pStyle w:val="3-BodyText"/>
        <w:numPr>
          <w:ilvl w:val="0"/>
          <w:numId w:val="20"/>
        </w:numPr>
      </w:pPr>
      <w:r>
        <w:t>the wording in</w:t>
      </w:r>
      <w:r w:rsidRPr="00C40268">
        <w:t xml:space="preserve"> the restriction regarding </w:t>
      </w:r>
      <w:r>
        <w:t xml:space="preserve">prior </w:t>
      </w:r>
      <w:r w:rsidRPr="00C40268">
        <w:t>splenectomy or contraindication to splenectomy use be removed</w:t>
      </w:r>
    </w:p>
    <w:p w14:paraId="35E46DF9" w14:textId="50612C31" w:rsidR="007F5FAB" w:rsidRDefault="00CE7542" w:rsidP="00A609A7">
      <w:pPr>
        <w:pStyle w:val="3-BodyText"/>
        <w:numPr>
          <w:ilvl w:val="0"/>
          <w:numId w:val="20"/>
        </w:numPr>
      </w:pPr>
      <w:r w:rsidRPr="00C40268">
        <w:t xml:space="preserve">children be included in the </w:t>
      </w:r>
      <w:r>
        <w:t xml:space="preserve">updated restrictions </w:t>
      </w:r>
      <w:r w:rsidR="00A609A7">
        <w:t>by removing</w:t>
      </w:r>
      <w:r>
        <w:t xml:space="preserve"> age </w:t>
      </w:r>
      <w:r w:rsidRPr="00C40268">
        <w:t>limits</w:t>
      </w:r>
    </w:p>
    <w:p w14:paraId="54F6762A" w14:textId="1E43C15B" w:rsidR="00CE7542" w:rsidRDefault="00CE7542" w:rsidP="00A609A7">
      <w:pPr>
        <w:pStyle w:val="3-BodyText"/>
        <w:numPr>
          <w:ilvl w:val="0"/>
          <w:numId w:val="20"/>
        </w:numPr>
      </w:pPr>
      <w:r w:rsidRPr="00C40268">
        <w:t>restrictions on platelet count specified in continuing treatment be removed</w:t>
      </w:r>
      <w:r>
        <w:t xml:space="preserve">, and </w:t>
      </w:r>
      <w:r w:rsidRPr="00C40268">
        <w:t>treatment be allowed to continue if the patient can maintain platelet count sufficient to prevent clinically significant bleeding</w:t>
      </w:r>
    </w:p>
    <w:p w14:paraId="572C7A73" w14:textId="0E5749A9" w:rsidR="00F61C0C" w:rsidRPr="003B722F" w:rsidRDefault="00CE7542" w:rsidP="007F5FAB">
      <w:pPr>
        <w:pStyle w:val="3-BodyText"/>
        <w:numPr>
          <w:ilvl w:val="0"/>
          <w:numId w:val="20"/>
        </w:numPr>
        <w:rPr>
          <w:rFonts w:eastAsia="Calibri"/>
        </w:rPr>
      </w:pPr>
      <w:r w:rsidRPr="00647B7D">
        <w:t xml:space="preserve">the requirement </w:t>
      </w:r>
      <w:r>
        <w:t>to stipulate toxicity to corticosteroid and immunoglobulin be removed.</w:t>
      </w:r>
    </w:p>
    <w:p w14:paraId="3B365E2C" w14:textId="517B5CBB" w:rsidR="00F61C0C" w:rsidRPr="003B722F" w:rsidRDefault="00F61C0C" w:rsidP="007F5FAB">
      <w:pPr>
        <w:pStyle w:val="3-BodyText"/>
        <w:rPr>
          <w:rFonts w:eastAsia="Calibri"/>
        </w:rPr>
      </w:pPr>
      <w:r>
        <w:lastRenderedPageBreak/>
        <w:t xml:space="preserve">The PBAC noted that switching between eltrombopag and romiplostim may occur for multiple </w:t>
      </w:r>
      <w:r w:rsidRPr="00C40268">
        <w:t xml:space="preserve">clinically valid </w:t>
      </w:r>
      <w:r>
        <w:t>reasons including lack of efficacy, adverse events, intolerance to dietary restrictions with eltrombopag</w:t>
      </w:r>
      <w:r w:rsidR="00A609A7">
        <w:t>;</w:t>
      </w:r>
      <w:r>
        <w:t xml:space="preserve"> or </w:t>
      </w:r>
      <w:r w:rsidRPr="00C40268">
        <w:t xml:space="preserve">other </w:t>
      </w:r>
      <w:r w:rsidR="005F268C">
        <w:t xml:space="preserve">reasons </w:t>
      </w:r>
      <w:r w:rsidRPr="00C40268">
        <w:t xml:space="preserve">such as ease of use while travelling. Given that TPO-RAs are specialised drugs </w:t>
      </w:r>
      <w:r>
        <w:t xml:space="preserve">with a restricted group of specialist prescribers (haematologists) </w:t>
      </w:r>
      <w:r w:rsidRPr="00C40268">
        <w:t xml:space="preserve">as well as different tolerability and efficacy among individual patients, the PBAC </w:t>
      </w:r>
      <w:r w:rsidR="00B72B92">
        <w:t>recommended</w:t>
      </w:r>
      <w:r w:rsidR="00CB5A09" w:rsidRPr="00C40268">
        <w:t xml:space="preserve"> </w:t>
      </w:r>
      <w:r w:rsidRPr="00C40268">
        <w:t xml:space="preserve">that switching between </w:t>
      </w:r>
      <w:r>
        <w:t>e</w:t>
      </w:r>
      <w:r w:rsidRPr="00C40268">
        <w:t xml:space="preserve">ltrombopag and </w:t>
      </w:r>
      <w:r>
        <w:t>r</w:t>
      </w:r>
      <w:r w:rsidRPr="00C40268">
        <w:t xml:space="preserve">omiplostim be allowed at any time and </w:t>
      </w:r>
      <w:r w:rsidR="005F268C">
        <w:t xml:space="preserve">wording in the </w:t>
      </w:r>
      <w:r w:rsidRPr="00C40268">
        <w:t xml:space="preserve">restriction </w:t>
      </w:r>
      <w:r w:rsidR="005F268C">
        <w:t xml:space="preserve">about </w:t>
      </w:r>
      <w:r w:rsidRPr="00C40268">
        <w:t>switching within 24 weeks be removed</w:t>
      </w:r>
      <w:r w:rsidR="005F268C">
        <w:t xml:space="preserve"> to mitigate any confusion among prescribers.</w:t>
      </w:r>
    </w:p>
    <w:p w14:paraId="5CE8DEA3" w14:textId="04A16015" w:rsidR="00F61C0C" w:rsidRPr="003B722F" w:rsidRDefault="00F61C0C" w:rsidP="007F5FAB">
      <w:pPr>
        <w:pStyle w:val="3-BodyText"/>
        <w:rPr>
          <w:rFonts w:eastAsia="Calibri"/>
        </w:rPr>
      </w:pPr>
      <w:r w:rsidRPr="00C40268">
        <w:t xml:space="preserve">The PBAC noted that the Australian guidelines position TPO-RA as </w:t>
      </w:r>
      <w:r w:rsidR="00CB5A09">
        <w:t xml:space="preserve">a </w:t>
      </w:r>
      <w:r w:rsidRPr="00C40268">
        <w:t>second line treatment, with splenectomy an</w:t>
      </w:r>
      <w:r>
        <w:t xml:space="preserve">d </w:t>
      </w:r>
      <w:r w:rsidR="00030CAB">
        <w:t>rituximab</w:t>
      </w:r>
      <w:r w:rsidR="00030CAB" w:rsidRPr="00C40268">
        <w:t xml:space="preserve"> </w:t>
      </w:r>
      <w:r w:rsidRPr="00C40268">
        <w:t>as alternatives</w:t>
      </w:r>
      <w:r w:rsidR="00CB5A09">
        <w:t>. The PBAC considered that p</w:t>
      </w:r>
      <w:r w:rsidR="005F268C">
        <w:t>atients in consultation with their haematologist will select the second line treatment that best fits with their preferences and values.</w:t>
      </w:r>
      <w:r w:rsidR="00CB5A09">
        <w:t xml:space="preserve"> </w:t>
      </w:r>
      <w:r w:rsidRPr="00C40268">
        <w:t>The</w:t>
      </w:r>
      <w:r w:rsidR="00CB5A09">
        <w:t xml:space="preserve"> </w:t>
      </w:r>
      <w:r w:rsidRPr="00C40268">
        <w:t xml:space="preserve">PBAC </w:t>
      </w:r>
      <w:r w:rsidR="00CB5A09">
        <w:t xml:space="preserve">therefore </w:t>
      </w:r>
      <w:r w:rsidRPr="00C40268">
        <w:t xml:space="preserve">recommended </w:t>
      </w:r>
      <w:r w:rsidR="005F268C">
        <w:t>that the wording in</w:t>
      </w:r>
      <w:r w:rsidRPr="00C40268">
        <w:t xml:space="preserve"> the restriction regarding </w:t>
      </w:r>
      <w:r w:rsidR="005F268C">
        <w:t xml:space="preserve">prior </w:t>
      </w:r>
      <w:r w:rsidRPr="00C40268">
        <w:t>splenectomy or contraindication to splenectomy use be removed.</w:t>
      </w:r>
    </w:p>
    <w:p w14:paraId="6CB1F5AB" w14:textId="3DEFB98E" w:rsidR="00F61C0C" w:rsidRPr="00C40268" w:rsidRDefault="00F61C0C" w:rsidP="00F61C0C">
      <w:pPr>
        <w:pStyle w:val="3-BodyText"/>
      </w:pPr>
      <w:r w:rsidRPr="00C40268">
        <w:t xml:space="preserve">The PBAC </w:t>
      </w:r>
      <w:r w:rsidR="005F268C">
        <w:t>not</w:t>
      </w:r>
      <w:r>
        <w:t xml:space="preserve">ed </w:t>
      </w:r>
      <w:r w:rsidR="005F268C">
        <w:t xml:space="preserve">that </w:t>
      </w:r>
      <w:r w:rsidR="00A609A7">
        <w:t xml:space="preserve">while </w:t>
      </w:r>
      <w:r w:rsidR="005F268C">
        <w:t xml:space="preserve">paediatric ITP </w:t>
      </w:r>
      <w:r w:rsidR="00CB5A09">
        <w:t>differs</w:t>
      </w:r>
      <w:r w:rsidR="005F268C">
        <w:t xml:space="preserve"> from adult ITP, </w:t>
      </w:r>
      <w:r>
        <w:t>around</w:t>
      </w:r>
      <w:r w:rsidRPr="00C40268">
        <w:t xml:space="preserve"> 10 children (aged &lt; 18 years) require treatment with TPO-RAs for ITP each year. While</w:t>
      </w:r>
      <w:r w:rsidR="00CB5A09">
        <w:t xml:space="preserve"> the</w:t>
      </w:r>
      <w:r w:rsidRPr="00C40268">
        <w:t xml:space="preserve"> </w:t>
      </w:r>
      <w:r>
        <w:t xml:space="preserve">TGA marketing approval includes </w:t>
      </w:r>
      <w:r w:rsidR="00CB5A09">
        <w:t xml:space="preserve">the </w:t>
      </w:r>
      <w:r>
        <w:t>use</w:t>
      </w:r>
      <w:r w:rsidRPr="00C40268">
        <w:t xml:space="preserve"> of TPO-RAs among </w:t>
      </w:r>
      <w:r w:rsidR="00CB5A09">
        <w:t xml:space="preserve">the </w:t>
      </w:r>
      <w:r w:rsidRPr="00C40268">
        <w:t xml:space="preserve">paediatric population as a second line treatment after corticosteroids and </w:t>
      </w:r>
      <w:r w:rsidR="00030CAB">
        <w:t>i</w:t>
      </w:r>
      <w:r w:rsidR="00030CAB" w:rsidRPr="00C40268">
        <w:t xml:space="preserve">mmunoglobulin </w:t>
      </w:r>
      <w:r w:rsidRPr="00C40268">
        <w:t xml:space="preserve">therapies, the </w:t>
      </w:r>
      <w:r>
        <w:t xml:space="preserve">current PBS restrictions do not include </w:t>
      </w:r>
      <w:r w:rsidRPr="00C40268">
        <w:t>children and the funding and availability of these treatment</w:t>
      </w:r>
      <w:r w:rsidR="002629F4" w:rsidRPr="007F5FAB">
        <w:t>s</w:t>
      </w:r>
      <w:r w:rsidRPr="00C40268">
        <w:t xml:space="preserve"> vary among hospitals, creating barriers to treatment </w:t>
      </w:r>
      <w:r w:rsidR="00A609A7">
        <w:t>of</w:t>
      </w:r>
      <w:r w:rsidR="00A609A7" w:rsidRPr="00C40268">
        <w:t xml:space="preserve"> </w:t>
      </w:r>
      <w:r w:rsidRPr="00C40268">
        <w:t xml:space="preserve">children. The PBAC </w:t>
      </w:r>
      <w:r w:rsidR="00B72B92">
        <w:t>recommended</w:t>
      </w:r>
      <w:r w:rsidR="00CB5A09" w:rsidRPr="00C40268">
        <w:t xml:space="preserve"> </w:t>
      </w:r>
      <w:r w:rsidRPr="00C40268">
        <w:t xml:space="preserve">that children be included in the </w:t>
      </w:r>
      <w:r>
        <w:t xml:space="preserve">updated restrictions </w:t>
      </w:r>
      <w:r w:rsidR="007173A6">
        <w:t>by removing</w:t>
      </w:r>
      <w:r w:rsidR="00CB5A09">
        <w:t xml:space="preserve"> </w:t>
      </w:r>
      <w:r>
        <w:t xml:space="preserve">age </w:t>
      </w:r>
      <w:r w:rsidRPr="00C40268">
        <w:t xml:space="preserve">limits. </w:t>
      </w:r>
    </w:p>
    <w:p w14:paraId="7CAEB410" w14:textId="052956F5" w:rsidR="00F61C0C" w:rsidRPr="00EA477A" w:rsidRDefault="00F61C0C">
      <w:pPr>
        <w:pStyle w:val="3-BodyText"/>
      </w:pPr>
      <w:r w:rsidRPr="00C40268">
        <w:t xml:space="preserve">The PBAC noted that there is a subgroup of patients who have improvement in platelet counts from baseline but do not necessarily meet the continuing criteria, for example, patients who have platelet counts increased to 20,000 million per L after treatment. To allow treatment access for patients who have a clear and clinically meaningful improvement despite their chronically low platelet count, the PBAC </w:t>
      </w:r>
      <w:r w:rsidR="00B72B92">
        <w:t>recommended</w:t>
      </w:r>
      <w:r w:rsidR="00CB5A09" w:rsidRPr="00C40268">
        <w:t xml:space="preserve"> </w:t>
      </w:r>
      <w:r w:rsidRPr="00C40268">
        <w:t>that</w:t>
      </w:r>
      <w:r w:rsidR="00CB5A09">
        <w:t xml:space="preserve"> the</w:t>
      </w:r>
      <w:r w:rsidRPr="00C40268">
        <w:t xml:space="preserve"> restrictions on platelet count specified in</w:t>
      </w:r>
      <w:r w:rsidR="00CB5A09">
        <w:t xml:space="preserve"> the</w:t>
      </w:r>
      <w:r w:rsidRPr="00C40268">
        <w:t xml:space="preserve"> continuing treatment</w:t>
      </w:r>
      <w:r w:rsidR="00CB5A09">
        <w:t xml:space="preserve"> restriction</w:t>
      </w:r>
      <w:r w:rsidRPr="00C40268">
        <w:t xml:space="preserve"> be removed. The PBAC </w:t>
      </w:r>
      <w:r w:rsidR="00B72B92">
        <w:t>recommended</w:t>
      </w:r>
      <w:r w:rsidR="00731EA5" w:rsidRPr="00C40268">
        <w:t xml:space="preserve"> </w:t>
      </w:r>
      <w:r w:rsidRPr="00C40268">
        <w:t>that treatment be allowed to continue if the patient can maintain</w:t>
      </w:r>
      <w:r w:rsidR="00731EA5">
        <w:t xml:space="preserve"> a</w:t>
      </w:r>
      <w:r w:rsidRPr="00C40268">
        <w:t xml:space="preserve"> platelet count sufficient to prevent clinically significant bleeding.</w:t>
      </w:r>
      <w:r w:rsidR="00731EA5">
        <w:t xml:space="preserve"> </w:t>
      </w:r>
      <w:r w:rsidRPr="00EA477A">
        <w:t>The PBAC noted that scoring systems such as ITP-BAT scores for grading bleeding are cumbersome</w:t>
      </w:r>
      <w:r w:rsidR="00731EA5" w:rsidRPr="00731EA5">
        <w:t xml:space="preserve"> </w:t>
      </w:r>
      <w:r w:rsidR="00731EA5">
        <w:t>in defining</w:t>
      </w:r>
      <w:r w:rsidR="00731EA5" w:rsidRPr="00EA477A">
        <w:t xml:space="preserve"> clinically significant bleeding</w:t>
      </w:r>
      <w:r w:rsidR="00C50C75">
        <w:t>.</w:t>
      </w:r>
      <w:r w:rsidR="00731EA5">
        <w:t xml:space="preserve"> </w:t>
      </w:r>
      <w:r w:rsidR="00C50C75">
        <w:t xml:space="preserve">The PBAC </w:t>
      </w:r>
      <w:r w:rsidR="00731EA5">
        <w:t>considered that</w:t>
      </w:r>
      <w:r w:rsidR="001F66FF">
        <w:t xml:space="preserve"> </w:t>
      </w:r>
      <w:r w:rsidRPr="00EA477A">
        <w:t xml:space="preserve">clinical judgement </w:t>
      </w:r>
      <w:r w:rsidR="00D63B44">
        <w:t>of specialist haematologists, to whom prescribing of TPO-Ras is restricted, can be relied on</w:t>
      </w:r>
      <w:r w:rsidR="00731EA5">
        <w:t xml:space="preserve"> </w:t>
      </w:r>
      <w:r w:rsidR="001F66FF">
        <w:t xml:space="preserve">for assessing the clinical </w:t>
      </w:r>
      <w:r w:rsidRPr="00EA477A">
        <w:t xml:space="preserve">significance of bleeding </w:t>
      </w:r>
      <w:r w:rsidR="001F66FF">
        <w:t>for</w:t>
      </w:r>
      <w:r w:rsidR="00731EA5">
        <w:t xml:space="preserve"> the purposes of</w:t>
      </w:r>
      <w:r w:rsidR="001F66FF">
        <w:t xml:space="preserve"> </w:t>
      </w:r>
      <w:r w:rsidRPr="00EA477A">
        <w:t>continu</w:t>
      </w:r>
      <w:r w:rsidR="00D63B44">
        <w:t>ation</w:t>
      </w:r>
      <w:r w:rsidRPr="00EA477A">
        <w:t>.</w:t>
      </w:r>
    </w:p>
    <w:p w14:paraId="47EEBF4B" w14:textId="2E6BCFD6" w:rsidR="00647B7D" w:rsidRPr="00647B7D" w:rsidRDefault="00EA477A" w:rsidP="00647B7D">
      <w:pPr>
        <w:pStyle w:val="3-BodyText"/>
      </w:pPr>
      <w:r w:rsidRPr="00647B7D">
        <w:t>The PBAC noted that</w:t>
      </w:r>
      <w:r w:rsidR="000E523D">
        <w:t>, when applying for authority to prescribe PBS subsidised initial treatment,</w:t>
      </w:r>
      <w:r w:rsidR="00731EA5">
        <w:t xml:space="preserve"> </w:t>
      </w:r>
      <w:r w:rsidR="00647B7D" w:rsidRPr="00647B7D">
        <w:t xml:space="preserve">the current restriction requires </w:t>
      </w:r>
      <w:r w:rsidR="00731EA5">
        <w:t xml:space="preserve">that prescribers provide </w:t>
      </w:r>
      <w:r w:rsidR="00647B7D">
        <w:t>information on</w:t>
      </w:r>
      <w:r w:rsidR="00647B7D" w:rsidRPr="00647B7D">
        <w:t xml:space="preserve"> toxicity to corticosteroid and immunoglobulin therapy</w:t>
      </w:r>
      <w:r w:rsidR="00647B7D">
        <w:t xml:space="preserve"> where intolerance to these treatments developed, necessitating treatment withdrawal, </w:t>
      </w:r>
      <w:r w:rsidR="000E523D">
        <w:t>in order to justify</w:t>
      </w:r>
      <w:r w:rsidR="00647B7D">
        <w:t xml:space="preserve"> moving to the next line of treatment, i.e. TPO-RAs</w:t>
      </w:r>
      <w:r w:rsidR="00647B7D" w:rsidRPr="00647B7D">
        <w:t xml:space="preserve">. The PBAC </w:t>
      </w:r>
      <w:r w:rsidR="000E523D">
        <w:t>considered</w:t>
      </w:r>
      <w:r w:rsidR="000E523D" w:rsidRPr="00647B7D">
        <w:t xml:space="preserve"> </w:t>
      </w:r>
      <w:r w:rsidR="00647B7D" w:rsidRPr="00647B7D">
        <w:t xml:space="preserve">that the requirement </w:t>
      </w:r>
      <w:r w:rsidR="00647B7D">
        <w:t xml:space="preserve">to stipulate toxicity to corticosteroid and immunoglobulin </w:t>
      </w:r>
      <w:r w:rsidR="000E523D">
        <w:t xml:space="preserve">therapy was </w:t>
      </w:r>
      <w:r w:rsidR="00647B7D">
        <w:t>not necessary and</w:t>
      </w:r>
      <w:r w:rsidR="00B72B92">
        <w:t xml:space="preserve"> recommended that it</w:t>
      </w:r>
      <w:r w:rsidR="00647B7D">
        <w:t xml:space="preserve"> be removed.</w:t>
      </w:r>
    </w:p>
    <w:p w14:paraId="4331E4A6" w14:textId="1DF9B871" w:rsidR="00F61C0C" w:rsidRDefault="00F61C0C" w:rsidP="007F5FAB">
      <w:pPr>
        <w:pStyle w:val="3-BodyText"/>
      </w:pPr>
      <w:r w:rsidRPr="00C40268">
        <w:t xml:space="preserve">The PBAC </w:t>
      </w:r>
      <w:r>
        <w:t>recommended continuing the written</w:t>
      </w:r>
      <w:r w:rsidRPr="00C40268">
        <w:t xml:space="preserve"> authority approval or HPOS upload for initial treatment </w:t>
      </w:r>
      <w:r>
        <w:t>and telephone</w:t>
      </w:r>
      <w:r w:rsidRPr="00C40268">
        <w:t xml:space="preserve"> or electronic approval for</w:t>
      </w:r>
      <w:r w:rsidR="00A82251">
        <w:t xml:space="preserve"> first</w:t>
      </w:r>
      <w:r w:rsidRPr="00C40268">
        <w:t xml:space="preserve"> continuing </w:t>
      </w:r>
      <w:r w:rsidRPr="00C40268">
        <w:lastRenderedPageBreak/>
        <w:t xml:space="preserve">treatment. The PBAC noted that the maximum quantity authorised for </w:t>
      </w:r>
      <w:r>
        <w:t>r</w:t>
      </w:r>
      <w:r w:rsidRPr="00C40268">
        <w:t xml:space="preserve">omiplostim is for one week’s supply without any repeat while the maximum quantity for </w:t>
      </w:r>
      <w:r>
        <w:t>e</w:t>
      </w:r>
      <w:r w:rsidRPr="00C40268">
        <w:t xml:space="preserve">ltrombopag lasts up to 6 months for each patient. To reconcile this difference in supply amount between the TPO-RAs, the PBAC recommended that the maximum quantity for </w:t>
      </w:r>
      <w:r w:rsidR="00030CAB">
        <w:t>r</w:t>
      </w:r>
      <w:r w:rsidR="00030CAB" w:rsidRPr="00C40268">
        <w:t xml:space="preserve">omiplostim </w:t>
      </w:r>
      <w:r w:rsidRPr="00C40268">
        <w:t>be increased to cover up to 6 months of treatment.</w:t>
      </w:r>
    </w:p>
    <w:p w14:paraId="4A7AB514" w14:textId="77777777" w:rsidR="00004A77" w:rsidRPr="00D8553E" w:rsidRDefault="00004A77" w:rsidP="00004A77">
      <w:pPr>
        <w:rPr>
          <w:rFonts w:asciiTheme="minorHAnsi" w:hAnsiTheme="minorHAnsi" w:cs="Arial"/>
          <w:b/>
          <w:bCs/>
          <w:snapToGrid w:val="0"/>
          <w:lang w:val="en-GB"/>
        </w:rPr>
      </w:pPr>
      <w:r w:rsidRPr="00D8553E">
        <w:rPr>
          <w:rFonts w:asciiTheme="minorHAnsi" w:hAnsiTheme="minorHAnsi" w:cs="Arial"/>
          <w:b/>
          <w:bCs/>
          <w:snapToGrid w:val="0"/>
          <w:lang w:val="en-GB"/>
        </w:rPr>
        <w:t>Outcome:</w:t>
      </w:r>
    </w:p>
    <w:p w14:paraId="60818E57" w14:textId="7DFE2CA1" w:rsidR="00004A77" w:rsidRPr="00D8553E" w:rsidRDefault="00004A77" w:rsidP="00004A77">
      <w:pPr>
        <w:rPr>
          <w:rFonts w:asciiTheme="minorHAnsi" w:hAnsiTheme="minorHAnsi" w:cs="Arial"/>
          <w:bCs/>
          <w:snapToGrid w:val="0"/>
          <w:lang w:val="en-GB"/>
        </w:rPr>
      </w:pPr>
      <w:r w:rsidRPr="00D8553E">
        <w:rPr>
          <w:rFonts w:asciiTheme="minorHAnsi" w:hAnsiTheme="minorHAnsi" w:cs="Arial"/>
          <w:bCs/>
          <w:snapToGrid w:val="0"/>
          <w:lang w:val="en-GB"/>
        </w:rPr>
        <w:t>Recommended</w:t>
      </w:r>
    </w:p>
    <w:p w14:paraId="570FC993" w14:textId="0648F323" w:rsidR="00F61C0C" w:rsidRDefault="00F61C0C" w:rsidP="00F61C0C">
      <w:pPr>
        <w:pStyle w:val="3-BodyText"/>
        <w:numPr>
          <w:ilvl w:val="0"/>
          <w:numId w:val="0"/>
        </w:numPr>
      </w:pPr>
    </w:p>
    <w:p w14:paraId="44E7B819" w14:textId="25966B69" w:rsidR="0076793E" w:rsidRDefault="00F61C0C" w:rsidP="00E22963">
      <w:pPr>
        <w:pStyle w:val="2-SectionHeading"/>
      </w:pPr>
      <w:r>
        <w:t>Recommended listing</w:t>
      </w:r>
    </w:p>
    <w:p w14:paraId="73D082EF" w14:textId="77777777" w:rsidR="0027392C" w:rsidRDefault="0027392C" w:rsidP="0027392C">
      <w:pPr>
        <w:pStyle w:val="3-BodyText"/>
      </w:pPr>
      <w:r>
        <w:t>The recommended listing for romiplostim 250 mcg injection and romiplostim 500 mcg injection is described below. The changes to the PBS listings for romiplostim are to be flowed on to eltrombopag 50 mg (5826P, 5828R) and eltrombopag 25 mg (5825N, 5827Q).</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2983"/>
        <w:gridCol w:w="993"/>
        <w:gridCol w:w="850"/>
        <w:gridCol w:w="709"/>
        <w:gridCol w:w="709"/>
        <w:gridCol w:w="1842"/>
      </w:tblGrid>
      <w:tr w:rsidR="0027392C" w:rsidRPr="009A610D" w14:paraId="0F17C2FA" w14:textId="77777777" w:rsidTr="0027392C">
        <w:trPr>
          <w:cantSplit/>
          <w:trHeight w:val="471"/>
        </w:trPr>
        <w:tc>
          <w:tcPr>
            <w:tcW w:w="3964" w:type="dxa"/>
            <w:gridSpan w:val="2"/>
          </w:tcPr>
          <w:p w14:paraId="213BF573" w14:textId="77777777" w:rsidR="0027392C" w:rsidRDefault="0027392C" w:rsidP="0027392C">
            <w:pPr>
              <w:keepNext/>
              <w:ind w:left="-57"/>
              <w:rPr>
                <w:rFonts w:ascii="Arial Narrow" w:hAnsi="Arial Narrow" w:cs="Arial"/>
                <w:b/>
                <w:bCs/>
                <w:sz w:val="18"/>
                <w:szCs w:val="18"/>
              </w:rPr>
            </w:pPr>
            <w:r>
              <w:rPr>
                <w:rFonts w:ascii="Arial Narrow" w:hAnsi="Arial Narrow" w:cs="Arial"/>
                <w:b/>
                <w:bCs/>
                <w:sz w:val="18"/>
                <w:szCs w:val="18"/>
              </w:rPr>
              <w:t>MEDICINAL PRODUCT</w:t>
            </w:r>
          </w:p>
          <w:p w14:paraId="1444028A" w14:textId="77777777" w:rsidR="0027392C" w:rsidRPr="009A610D" w:rsidRDefault="0027392C" w:rsidP="0027392C">
            <w:pPr>
              <w:keepNext/>
              <w:ind w:left="-57"/>
              <w:rPr>
                <w:rFonts w:ascii="Arial Narrow" w:hAnsi="Arial Narrow" w:cs="Arial"/>
                <w:b/>
                <w:sz w:val="18"/>
                <w:szCs w:val="18"/>
              </w:rPr>
            </w:pPr>
            <w:r>
              <w:rPr>
                <w:rFonts w:ascii="Arial Narrow" w:hAnsi="Arial Narrow" w:cs="Arial"/>
                <w:b/>
                <w:bCs/>
                <w:sz w:val="18"/>
                <w:szCs w:val="18"/>
              </w:rPr>
              <w:t>medicinal product p</w:t>
            </w:r>
            <w:r w:rsidRPr="003A5B23">
              <w:rPr>
                <w:rFonts w:ascii="Arial Narrow" w:hAnsi="Arial Narrow" w:cs="Arial"/>
                <w:b/>
                <w:bCs/>
                <w:sz w:val="18"/>
                <w:szCs w:val="18"/>
              </w:rPr>
              <w:t>ack</w:t>
            </w:r>
          </w:p>
        </w:tc>
        <w:tc>
          <w:tcPr>
            <w:tcW w:w="993" w:type="dxa"/>
          </w:tcPr>
          <w:p w14:paraId="10221FBC" w14:textId="77777777" w:rsidR="0027392C" w:rsidRPr="009A610D" w:rsidRDefault="0027392C" w:rsidP="0027392C">
            <w:pPr>
              <w:keepNext/>
              <w:ind w:left="-108"/>
              <w:jc w:val="center"/>
              <w:rPr>
                <w:rFonts w:ascii="Arial Narrow" w:hAnsi="Arial Narrow" w:cs="Arial"/>
                <w:b/>
                <w:sz w:val="18"/>
                <w:szCs w:val="18"/>
              </w:rPr>
            </w:pPr>
            <w:r>
              <w:rPr>
                <w:rFonts w:ascii="Arial Narrow" w:hAnsi="Arial Narrow" w:cs="Arial"/>
                <w:b/>
                <w:sz w:val="18"/>
                <w:szCs w:val="18"/>
              </w:rPr>
              <w:t>PBS item code</w:t>
            </w:r>
          </w:p>
        </w:tc>
        <w:tc>
          <w:tcPr>
            <w:tcW w:w="850" w:type="dxa"/>
          </w:tcPr>
          <w:p w14:paraId="08281A3C" w14:textId="77777777" w:rsidR="0027392C" w:rsidRPr="009A610D" w:rsidRDefault="0027392C" w:rsidP="0027392C">
            <w:pPr>
              <w:keepNext/>
              <w:ind w:left="-108"/>
              <w:jc w:val="center"/>
              <w:rPr>
                <w:rFonts w:ascii="Arial Narrow" w:hAnsi="Arial Narrow" w:cs="Arial"/>
                <w:b/>
                <w:sz w:val="18"/>
                <w:szCs w:val="18"/>
              </w:rPr>
            </w:pPr>
            <w:r w:rsidRPr="009A610D">
              <w:rPr>
                <w:rFonts w:ascii="Arial Narrow" w:hAnsi="Arial Narrow" w:cs="Arial"/>
                <w:b/>
                <w:sz w:val="18"/>
                <w:szCs w:val="18"/>
              </w:rPr>
              <w:t>Max.</w:t>
            </w:r>
            <w:r>
              <w:rPr>
                <w:rFonts w:ascii="Arial Narrow" w:hAnsi="Arial Narrow" w:cs="Arial"/>
                <w:b/>
                <w:sz w:val="18"/>
                <w:szCs w:val="18"/>
              </w:rPr>
              <w:t xml:space="preserve"> q</w:t>
            </w:r>
            <w:r w:rsidRPr="009A610D">
              <w:rPr>
                <w:rFonts w:ascii="Arial Narrow" w:hAnsi="Arial Narrow" w:cs="Arial"/>
                <w:b/>
                <w:sz w:val="18"/>
                <w:szCs w:val="18"/>
              </w:rPr>
              <w:t>ty</w:t>
            </w:r>
            <w:r>
              <w:rPr>
                <w:rFonts w:ascii="Arial Narrow" w:hAnsi="Arial Narrow" w:cs="Arial"/>
                <w:b/>
                <w:sz w:val="18"/>
                <w:szCs w:val="18"/>
              </w:rPr>
              <w:t xml:space="preserve"> packs</w:t>
            </w:r>
          </w:p>
        </w:tc>
        <w:tc>
          <w:tcPr>
            <w:tcW w:w="709" w:type="dxa"/>
          </w:tcPr>
          <w:p w14:paraId="05832659" w14:textId="77777777" w:rsidR="0027392C" w:rsidRPr="009A610D" w:rsidRDefault="0027392C" w:rsidP="0027392C">
            <w:pPr>
              <w:keepNext/>
              <w:ind w:left="-108"/>
              <w:jc w:val="center"/>
              <w:rPr>
                <w:rFonts w:ascii="Arial Narrow" w:hAnsi="Arial Narrow" w:cs="Arial"/>
                <w:b/>
                <w:sz w:val="18"/>
                <w:szCs w:val="18"/>
              </w:rPr>
            </w:pPr>
            <w:r>
              <w:rPr>
                <w:rFonts w:ascii="Arial Narrow" w:hAnsi="Arial Narrow" w:cs="Arial"/>
                <w:b/>
                <w:sz w:val="18"/>
                <w:szCs w:val="18"/>
              </w:rPr>
              <w:t>Max. qty units</w:t>
            </w:r>
          </w:p>
        </w:tc>
        <w:tc>
          <w:tcPr>
            <w:tcW w:w="709" w:type="dxa"/>
          </w:tcPr>
          <w:p w14:paraId="1362E0CD" w14:textId="77777777" w:rsidR="0027392C" w:rsidRPr="009A610D" w:rsidRDefault="0027392C" w:rsidP="0027392C">
            <w:pPr>
              <w:keepNext/>
              <w:ind w:left="-108"/>
              <w:jc w:val="center"/>
              <w:rPr>
                <w:rFonts w:ascii="Arial Narrow" w:hAnsi="Arial Narrow" w:cs="Arial"/>
                <w:b/>
                <w:sz w:val="18"/>
                <w:szCs w:val="18"/>
              </w:rPr>
            </w:pPr>
            <w:r w:rsidRPr="009A610D">
              <w:rPr>
                <w:rFonts w:ascii="Arial Narrow" w:hAnsi="Arial Narrow" w:cs="Arial"/>
                <w:b/>
                <w:sz w:val="18"/>
                <w:szCs w:val="18"/>
              </w:rPr>
              <w:t>№.of</w:t>
            </w:r>
          </w:p>
          <w:p w14:paraId="5356E25A" w14:textId="77777777" w:rsidR="0027392C" w:rsidRPr="009A610D" w:rsidRDefault="0027392C" w:rsidP="0027392C">
            <w:pPr>
              <w:keepNext/>
              <w:ind w:left="-108"/>
              <w:jc w:val="center"/>
              <w:rPr>
                <w:rFonts w:ascii="Arial Narrow" w:hAnsi="Arial Narrow" w:cs="Arial"/>
                <w:b/>
                <w:sz w:val="18"/>
                <w:szCs w:val="18"/>
              </w:rPr>
            </w:pPr>
            <w:r w:rsidRPr="009A610D">
              <w:rPr>
                <w:rFonts w:ascii="Arial Narrow" w:hAnsi="Arial Narrow" w:cs="Arial"/>
                <w:b/>
                <w:sz w:val="18"/>
                <w:szCs w:val="18"/>
              </w:rPr>
              <w:t>Rpts</w:t>
            </w:r>
          </w:p>
        </w:tc>
        <w:tc>
          <w:tcPr>
            <w:tcW w:w="1842" w:type="dxa"/>
          </w:tcPr>
          <w:p w14:paraId="47367448" w14:textId="77777777" w:rsidR="0027392C" w:rsidRPr="009A610D" w:rsidRDefault="0027392C" w:rsidP="0027392C">
            <w:pPr>
              <w:keepNext/>
              <w:rPr>
                <w:rFonts w:ascii="Arial Narrow" w:hAnsi="Arial Narrow" w:cs="Arial"/>
                <w:b/>
                <w:sz w:val="18"/>
                <w:szCs w:val="18"/>
                <w:lang w:val="fr-FR"/>
              </w:rPr>
            </w:pPr>
            <w:r>
              <w:rPr>
                <w:rFonts w:ascii="Arial Narrow" w:hAnsi="Arial Narrow" w:cs="Arial"/>
                <w:b/>
                <w:sz w:val="18"/>
                <w:szCs w:val="18"/>
              </w:rPr>
              <w:t>Available brands</w:t>
            </w:r>
          </w:p>
        </w:tc>
      </w:tr>
      <w:tr w:rsidR="0027392C" w:rsidRPr="001A5667" w14:paraId="13FB206B" w14:textId="77777777" w:rsidTr="0027392C">
        <w:trPr>
          <w:cantSplit/>
          <w:trHeight w:val="224"/>
        </w:trPr>
        <w:tc>
          <w:tcPr>
            <w:tcW w:w="9067" w:type="dxa"/>
            <w:gridSpan w:val="7"/>
          </w:tcPr>
          <w:p w14:paraId="1D9FBBFA" w14:textId="77777777" w:rsidR="0027392C" w:rsidRPr="001A5667" w:rsidRDefault="0027392C" w:rsidP="0027392C">
            <w:pPr>
              <w:keepNext/>
              <w:ind w:left="-57"/>
              <w:rPr>
                <w:rFonts w:ascii="Arial Narrow" w:hAnsi="Arial Narrow" w:cs="Arial"/>
                <w:sz w:val="18"/>
                <w:szCs w:val="18"/>
              </w:rPr>
            </w:pPr>
            <w:r>
              <w:rPr>
                <w:rFonts w:ascii="Arial Narrow" w:hAnsi="Arial Narrow" w:cs="Arial"/>
                <w:sz w:val="18"/>
                <w:szCs w:val="18"/>
              </w:rPr>
              <w:t xml:space="preserve">ROMIPLOSTIM  </w:t>
            </w:r>
          </w:p>
        </w:tc>
      </w:tr>
      <w:tr w:rsidR="0027392C" w:rsidRPr="009A610D" w14:paraId="2728E056" w14:textId="77777777" w:rsidTr="0027392C">
        <w:trPr>
          <w:cantSplit/>
          <w:trHeight w:val="553"/>
        </w:trPr>
        <w:tc>
          <w:tcPr>
            <w:tcW w:w="3964" w:type="dxa"/>
            <w:gridSpan w:val="2"/>
          </w:tcPr>
          <w:p w14:paraId="24175DFF" w14:textId="77777777" w:rsidR="0027392C" w:rsidRPr="009D6113" w:rsidRDefault="0027392C" w:rsidP="0027392C">
            <w:pPr>
              <w:keepNext/>
              <w:ind w:left="-57"/>
              <w:rPr>
                <w:rFonts w:ascii="Arial Narrow" w:hAnsi="Arial Narrow"/>
                <w:sz w:val="18"/>
                <w:szCs w:val="18"/>
              </w:rPr>
            </w:pPr>
            <w:r w:rsidRPr="009D6113">
              <w:rPr>
                <w:rFonts w:ascii="Arial Narrow" w:hAnsi="Arial Narrow"/>
                <w:sz w:val="18"/>
                <w:szCs w:val="18"/>
              </w:rPr>
              <w:t xml:space="preserve">romiplostim </w:t>
            </w:r>
            <w:r>
              <w:rPr>
                <w:rFonts w:ascii="Arial Narrow" w:hAnsi="Arial Narrow"/>
                <w:sz w:val="18"/>
                <w:szCs w:val="18"/>
              </w:rPr>
              <w:t>250</w:t>
            </w:r>
            <w:r w:rsidRPr="009D6113">
              <w:rPr>
                <w:rFonts w:ascii="Arial Narrow" w:hAnsi="Arial Narrow"/>
                <w:sz w:val="18"/>
                <w:szCs w:val="18"/>
              </w:rPr>
              <w:t xml:space="preserve"> microgram injection, 1 vial</w:t>
            </w:r>
          </w:p>
        </w:tc>
        <w:tc>
          <w:tcPr>
            <w:tcW w:w="993" w:type="dxa"/>
          </w:tcPr>
          <w:p w14:paraId="2F7DD129" w14:textId="77777777" w:rsidR="0027392C" w:rsidRDefault="0027392C" w:rsidP="0027392C">
            <w:pPr>
              <w:keepNext/>
              <w:jc w:val="center"/>
              <w:rPr>
                <w:rFonts w:ascii="Arial Narrow" w:hAnsi="Arial Narrow" w:cs="Arial"/>
                <w:sz w:val="18"/>
                <w:szCs w:val="18"/>
              </w:rPr>
            </w:pPr>
            <w:r>
              <w:rPr>
                <w:rFonts w:ascii="Arial Narrow" w:hAnsi="Arial Narrow" w:cs="Arial"/>
                <w:sz w:val="18"/>
                <w:szCs w:val="18"/>
              </w:rPr>
              <w:t>9696H (HB)</w:t>
            </w:r>
          </w:p>
        </w:tc>
        <w:tc>
          <w:tcPr>
            <w:tcW w:w="850" w:type="dxa"/>
          </w:tcPr>
          <w:p w14:paraId="08CDDD5A" w14:textId="77777777" w:rsidR="0027392C" w:rsidRPr="009A610D" w:rsidRDefault="0027392C" w:rsidP="0027392C">
            <w:pPr>
              <w:keepNext/>
              <w:jc w:val="center"/>
              <w:rPr>
                <w:rFonts w:ascii="Arial Narrow" w:hAnsi="Arial Narrow" w:cs="Arial"/>
                <w:sz w:val="18"/>
                <w:szCs w:val="18"/>
              </w:rPr>
            </w:pPr>
            <w:r>
              <w:rPr>
                <w:rFonts w:ascii="Arial Narrow" w:hAnsi="Arial Narrow" w:cs="Arial"/>
                <w:sz w:val="18"/>
                <w:szCs w:val="18"/>
              </w:rPr>
              <w:t>1</w:t>
            </w:r>
          </w:p>
        </w:tc>
        <w:tc>
          <w:tcPr>
            <w:tcW w:w="709" w:type="dxa"/>
          </w:tcPr>
          <w:p w14:paraId="5CB175CC" w14:textId="77777777" w:rsidR="0027392C" w:rsidRDefault="0027392C" w:rsidP="0027392C">
            <w:pPr>
              <w:keepNext/>
              <w:jc w:val="center"/>
              <w:rPr>
                <w:rFonts w:ascii="Arial Narrow" w:hAnsi="Arial Narrow" w:cs="Arial"/>
                <w:sz w:val="18"/>
                <w:szCs w:val="18"/>
              </w:rPr>
            </w:pPr>
            <w:r>
              <w:rPr>
                <w:rFonts w:ascii="Arial Narrow" w:hAnsi="Arial Narrow" w:cs="Arial"/>
                <w:sz w:val="18"/>
                <w:szCs w:val="18"/>
              </w:rPr>
              <w:t>1</w:t>
            </w:r>
          </w:p>
        </w:tc>
        <w:tc>
          <w:tcPr>
            <w:tcW w:w="709" w:type="dxa"/>
          </w:tcPr>
          <w:p w14:paraId="1F01047A" w14:textId="77777777" w:rsidR="0027392C" w:rsidRDefault="0027392C" w:rsidP="0027392C">
            <w:pPr>
              <w:keepNext/>
              <w:jc w:val="center"/>
              <w:rPr>
                <w:rFonts w:ascii="Arial Narrow" w:hAnsi="Arial Narrow" w:cs="Arial"/>
                <w:sz w:val="18"/>
                <w:szCs w:val="18"/>
              </w:rPr>
            </w:pPr>
            <w:r>
              <w:rPr>
                <w:rFonts w:ascii="Arial Narrow" w:hAnsi="Arial Narrow" w:cs="Arial"/>
                <w:sz w:val="18"/>
                <w:szCs w:val="18"/>
              </w:rPr>
              <w:t>5</w:t>
            </w:r>
          </w:p>
        </w:tc>
        <w:tc>
          <w:tcPr>
            <w:tcW w:w="1842" w:type="dxa"/>
          </w:tcPr>
          <w:p w14:paraId="05158F58" w14:textId="77777777" w:rsidR="0027392C" w:rsidRDefault="0027392C" w:rsidP="0027392C">
            <w:pPr>
              <w:keepNext/>
              <w:rPr>
                <w:rFonts w:ascii="Arial Narrow" w:hAnsi="Arial Narrow" w:cs="Arial"/>
                <w:sz w:val="18"/>
                <w:szCs w:val="18"/>
              </w:rPr>
            </w:pPr>
            <w:r>
              <w:rPr>
                <w:rFonts w:ascii="Arial Narrow" w:hAnsi="Arial Narrow" w:cs="Arial"/>
                <w:sz w:val="18"/>
                <w:szCs w:val="18"/>
              </w:rPr>
              <w:t>Nplate</w:t>
            </w:r>
          </w:p>
        </w:tc>
      </w:tr>
      <w:tr w:rsidR="0027392C" w:rsidRPr="009A610D" w14:paraId="598C1C9B" w14:textId="77777777" w:rsidTr="0027392C">
        <w:trPr>
          <w:cantSplit/>
          <w:trHeight w:val="553"/>
        </w:trPr>
        <w:tc>
          <w:tcPr>
            <w:tcW w:w="3964" w:type="dxa"/>
            <w:gridSpan w:val="2"/>
          </w:tcPr>
          <w:p w14:paraId="66331403" w14:textId="77777777" w:rsidR="0027392C" w:rsidRPr="009D6113" w:rsidRDefault="0027392C" w:rsidP="0027392C">
            <w:pPr>
              <w:keepNext/>
              <w:ind w:left="-57"/>
              <w:rPr>
                <w:rFonts w:ascii="Arial Narrow" w:hAnsi="Arial Narrow"/>
                <w:sz w:val="18"/>
                <w:szCs w:val="18"/>
              </w:rPr>
            </w:pPr>
            <w:r w:rsidRPr="009D6113">
              <w:rPr>
                <w:rFonts w:ascii="Arial Narrow" w:hAnsi="Arial Narrow"/>
                <w:sz w:val="18"/>
                <w:szCs w:val="18"/>
              </w:rPr>
              <w:t xml:space="preserve">romiplostim </w:t>
            </w:r>
            <w:r>
              <w:rPr>
                <w:rFonts w:ascii="Arial Narrow" w:hAnsi="Arial Narrow"/>
                <w:sz w:val="18"/>
                <w:szCs w:val="18"/>
              </w:rPr>
              <w:t>250</w:t>
            </w:r>
            <w:r w:rsidRPr="009D6113">
              <w:rPr>
                <w:rFonts w:ascii="Arial Narrow" w:hAnsi="Arial Narrow"/>
                <w:sz w:val="18"/>
                <w:szCs w:val="18"/>
              </w:rPr>
              <w:t xml:space="preserve"> microgram injection, 1 vial</w:t>
            </w:r>
          </w:p>
        </w:tc>
        <w:tc>
          <w:tcPr>
            <w:tcW w:w="993" w:type="dxa"/>
          </w:tcPr>
          <w:p w14:paraId="5093AFF3" w14:textId="77777777" w:rsidR="0027392C" w:rsidRDefault="0027392C" w:rsidP="0027392C">
            <w:pPr>
              <w:keepNext/>
              <w:jc w:val="center"/>
              <w:rPr>
                <w:rFonts w:ascii="Arial Narrow" w:hAnsi="Arial Narrow" w:cs="Arial"/>
                <w:sz w:val="18"/>
                <w:szCs w:val="18"/>
              </w:rPr>
            </w:pPr>
            <w:r>
              <w:rPr>
                <w:rFonts w:ascii="Arial Narrow" w:hAnsi="Arial Narrow" w:cs="Arial"/>
                <w:sz w:val="18"/>
                <w:szCs w:val="18"/>
              </w:rPr>
              <w:t>9697J (HS)</w:t>
            </w:r>
          </w:p>
        </w:tc>
        <w:tc>
          <w:tcPr>
            <w:tcW w:w="850" w:type="dxa"/>
          </w:tcPr>
          <w:p w14:paraId="4CD1D697" w14:textId="77777777" w:rsidR="0027392C" w:rsidRPr="009A610D" w:rsidRDefault="0027392C" w:rsidP="0027392C">
            <w:pPr>
              <w:keepNext/>
              <w:jc w:val="center"/>
              <w:rPr>
                <w:rFonts w:ascii="Arial Narrow" w:hAnsi="Arial Narrow" w:cs="Arial"/>
                <w:sz w:val="18"/>
                <w:szCs w:val="18"/>
              </w:rPr>
            </w:pPr>
            <w:r>
              <w:rPr>
                <w:rFonts w:ascii="Arial Narrow" w:hAnsi="Arial Narrow" w:cs="Arial"/>
                <w:sz w:val="18"/>
                <w:szCs w:val="18"/>
              </w:rPr>
              <w:t>1</w:t>
            </w:r>
          </w:p>
        </w:tc>
        <w:tc>
          <w:tcPr>
            <w:tcW w:w="709" w:type="dxa"/>
          </w:tcPr>
          <w:p w14:paraId="29224C7A" w14:textId="77777777" w:rsidR="0027392C" w:rsidRDefault="0027392C" w:rsidP="0027392C">
            <w:pPr>
              <w:keepNext/>
              <w:jc w:val="center"/>
              <w:rPr>
                <w:rFonts w:ascii="Arial Narrow" w:hAnsi="Arial Narrow" w:cs="Arial"/>
                <w:sz w:val="18"/>
                <w:szCs w:val="18"/>
              </w:rPr>
            </w:pPr>
            <w:r>
              <w:rPr>
                <w:rFonts w:ascii="Arial Narrow" w:hAnsi="Arial Narrow" w:cs="Arial"/>
                <w:sz w:val="18"/>
                <w:szCs w:val="18"/>
              </w:rPr>
              <w:t>1</w:t>
            </w:r>
          </w:p>
        </w:tc>
        <w:tc>
          <w:tcPr>
            <w:tcW w:w="709" w:type="dxa"/>
          </w:tcPr>
          <w:p w14:paraId="23DCB432" w14:textId="77777777" w:rsidR="0027392C" w:rsidRDefault="0027392C" w:rsidP="0027392C">
            <w:pPr>
              <w:keepNext/>
              <w:jc w:val="center"/>
              <w:rPr>
                <w:rFonts w:ascii="Arial Narrow" w:hAnsi="Arial Narrow" w:cs="Arial"/>
                <w:sz w:val="18"/>
                <w:szCs w:val="18"/>
              </w:rPr>
            </w:pPr>
            <w:r>
              <w:rPr>
                <w:rFonts w:ascii="Arial Narrow" w:hAnsi="Arial Narrow" w:cs="Arial"/>
                <w:sz w:val="18"/>
                <w:szCs w:val="18"/>
              </w:rPr>
              <w:t>5</w:t>
            </w:r>
          </w:p>
        </w:tc>
        <w:tc>
          <w:tcPr>
            <w:tcW w:w="1842" w:type="dxa"/>
          </w:tcPr>
          <w:p w14:paraId="64F9ADC4" w14:textId="77777777" w:rsidR="0027392C" w:rsidRDefault="0027392C" w:rsidP="0027392C">
            <w:pPr>
              <w:keepNext/>
              <w:rPr>
                <w:rFonts w:ascii="Arial Narrow" w:hAnsi="Arial Narrow" w:cs="Arial"/>
                <w:sz w:val="18"/>
                <w:szCs w:val="18"/>
              </w:rPr>
            </w:pPr>
            <w:r>
              <w:rPr>
                <w:rFonts w:ascii="Arial Narrow" w:hAnsi="Arial Narrow" w:cs="Arial"/>
                <w:sz w:val="18"/>
                <w:szCs w:val="18"/>
              </w:rPr>
              <w:t>Nplate</w:t>
            </w:r>
          </w:p>
        </w:tc>
      </w:tr>
      <w:tr w:rsidR="0027392C" w:rsidRPr="009A610D" w14:paraId="1CAF4A7C" w14:textId="77777777" w:rsidTr="0027392C">
        <w:trPr>
          <w:cantSplit/>
          <w:trHeight w:val="553"/>
        </w:trPr>
        <w:tc>
          <w:tcPr>
            <w:tcW w:w="3964" w:type="dxa"/>
            <w:gridSpan w:val="2"/>
          </w:tcPr>
          <w:p w14:paraId="6F324F6E" w14:textId="77777777" w:rsidR="0027392C" w:rsidRPr="009D6113" w:rsidRDefault="0027392C" w:rsidP="0027392C">
            <w:pPr>
              <w:keepNext/>
              <w:ind w:left="-57"/>
              <w:rPr>
                <w:rFonts w:ascii="Arial Narrow" w:hAnsi="Arial Narrow" w:cs="Arial"/>
                <w:sz w:val="18"/>
                <w:szCs w:val="18"/>
              </w:rPr>
            </w:pPr>
            <w:r w:rsidRPr="009D6113">
              <w:rPr>
                <w:rFonts w:ascii="Arial Narrow" w:hAnsi="Arial Narrow"/>
                <w:sz w:val="18"/>
                <w:szCs w:val="18"/>
              </w:rPr>
              <w:t>romiplostim 500 microgram injection, 1 vial</w:t>
            </w:r>
          </w:p>
        </w:tc>
        <w:tc>
          <w:tcPr>
            <w:tcW w:w="993" w:type="dxa"/>
          </w:tcPr>
          <w:p w14:paraId="781E2917" w14:textId="77777777" w:rsidR="0027392C" w:rsidRPr="009A610D" w:rsidRDefault="0027392C" w:rsidP="0027392C">
            <w:pPr>
              <w:keepNext/>
              <w:jc w:val="center"/>
              <w:rPr>
                <w:rFonts w:ascii="Arial Narrow" w:hAnsi="Arial Narrow" w:cs="Arial"/>
                <w:sz w:val="18"/>
                <w:szCs w:val="18"/>
              </w:rPr>
            </w:pPr>
            <w:r>
              <w:rPr>
                <w:rFonts w:ascii="Arial Narrow" w:hAnsi="Arial Narrow" w:cs="Arial"/>
                <w:sz w:val="18"/>
                <w:szCs w:val="18"/>
              </w:rPr>
              <w:t>9698K (HB)</w:t>
            </w:r>
          </w:p>
        </w:tc>
        <w:tc>
          <w:tcPr>
            <w:tcW w:w="850" w:type="dxa"/>
          </w:tcPr>
          <w:p w14:paraId="381B5A8E" w14:textId="77777777" w:rsidR="0027392C" w:rsidRPr="009A610D" w:rsidRDefault="0027392C" w:rsidP="0027392C">
            <w:pPr>
              <w:keepNext/>
              <w:jc w:val="center"/>
              <w:rPr>
                <w:rFonts w:ascii="Arial Narrow" w:hAnsi="Arial Narrow" w:cs="Arial"/>
                <w:sz w:val="18"/>
                <w:szCs w:val="18"/>
              </w:rPr>
            </w:pPr>
            <w:r w:rsidRPr="009A610D">
              <w:rPr>
                <w:rFonts w:ascii="Arial Narrow" w:hAnsi="Arial Narrow" w:cs="Arial"/>
                <w:sz w:val="18"/>
                <w:szCs w:val="18"/>
              </w:rPr>
              <w:t>1</w:t>
            </w:r>
          </w:p>
        </w:tc>
        <w:tc>
          <w:tcPr>
            <w:tcW w:w="709" w:type="dxa"/>
          </w:tcPr>
          <w:p w14:paraId="0C6DD587" w14:textId="77777777" w:rsidR="0027392C" w:rsidRPr="009A610D" w:rsidRDefault="0027392C" w:rsidP="0027392C">
            <w:pPr>
              <w:keepNext/>
              <w:jc w:val="center"/>
              <w:rPr>
                <w:rFonts w:ascii="Arial Narrow" w:hAnsi="Arial Narrow" w:cs="Arial"/>
                <w:sz w:val="18"/>
                <w:szCs w:val="18"/>
              </w:rPr>
            </w:pPr>
            <w:r>
              <w:rPr>
                <w:rFonts w:ascii="Arial Narrow" w:hAnsi="Arial Narrow" w:cs="Arial"/>
                <w:sz w:val="18"/>
                <w:szCs w:val="18"/>
              </w:rPr>
              <w:t>1</w:t>
            </w:r>
          </w:p>
        </w:tc>
        <w:tc>
          <w:tcPr>
            <w:tcW w:w="709" w:type="dxa"/>
          </w:tcPr>
          <w:p w14:paraId="6CA54AA5" w14:textId="77777777" w:rsidR="0027392C" w:rsidRPr="009A610D" w:rsidRDefault="0027392C" w:rsidP="0027392C">
            <w:pPr>
              <w:keepNext/>
              <w:jc w:val="center"/>
              <w:rPr>
                <w:rFonts w:ascii="Arial Narrow" w:hAnsi="Arial Narrow" w:cs="Arial"/>
                <w:sz w:val="18"/>
                <w:szCs w:val="18"/>
              </w:rPr>
            </w:pPr>
            <w:r>
              <w:rPr>
                <w:rFonts w:ascii="Arial Narrow" w:hAnsi="Arial Narrow" w:cs="Arial"/>
                <w:sz w:val="18"/>
                <w:szCs w:val="18"/>
              </w:rPr>
              <w:t>5</w:t>
            </w:r>
          </w:p>
        </w:tc>
        <w:tc>
          <w:tcPr>
            <w:tcW w:w="1842" w:type="dxa"/>
          </w:tcPr>
          <w:p w14:paraId="1C2D9B66" w14:textId="77777777" w:rsidR="0027392C" w:rsidRPr="009A610D" w:rsidRDefault="0027392C" w:rsidP="0027392C">
            <w:pPr>
              <w:keepNext/>
              <w:rPr>
                <w:rFonts w:ascii="Arial Narrow" w:hAnsi="Arial Narrow" w:cs="Arial"/>
                <w:sz w:val="18"/>
                <w:szCs w:val="18"/>
              </w:rPr>
            </w:pPr>
            <w:r>
              <w:rPr>
                <w:rFonts w:ascii="Arial Narrow" w:hAnsi="Arial Narrow" w:cs="Arial"/>
                <w:sz w:val="18"/>
                <w:szCs w:val="18"/>
              </w:rPr>
              <w:t>Nplate</w:t>
            </w:r>
          </w:p>
        </w:tc>
      </w:tr>
      <w:tr w:rsidR="0027392C" w:rsidRPr="009A610D" w14:paraId="3DC4E2A4" w14:textId="77777777" w:rsidTr="0027392C">
        <w:trPr>
          <w:cantSplit/>
          <w:trHeight w:val="553"/>
        </w:trPr>
        <w:tc>
          <w:tcPr>
            <w:tcW w:w="3964" w:type="dxa"/>
            <w:gridSpan w:val="2"/>
          </w:tcPr>
          <w:p w14:paraId="0BC933E4" w14:textId="77777777" w:rsidR="0027392C" w:rsidRPr="009D6113" w:rsidRDefault="0027392C" w:rsidP="0027392C">
            <w:pPr>
              <w:keepNext/>
              <w:ind w:left="-57"/>
              <w:rPr>
                <w:rFonts w:ascii="Arial Narrow" w:hAnsi="Arial Narrow"/>
                <w:sz w:val="18"/>
                <w:szCs w:val="18"/>
              </w:rPr>
            </w:pPr>
            <w:r w:rsidRPr="009D6113">
              <w:rPr>
                <w:rFonts w:ascii="Arial Narrow" w:hAnsi="Arial Narrow"/>
                <w:sz w:val="18"/>
                <w:szCs w:val="18"/>
              </w:rPr>
              <w:t>romiplostim 500 microgram injection, 1 vial</w:t>
            </w:r>
          </w:p>
        </w:tc>
        <w:tc>
          <w:tcPr>
            <w:tcW w:w="993" w:type="dxa"/>
          </w:tcPr>
          <w:p w14:paraId="40D87830" w14:textId="77777777" w:rsidR="0027392C" w:rsidRDefault="0027392C" w:rsidP="0027392C">
            <w:pPr>
              <w:keepNext/>
              <w:jc w:val="center"/>
              <w:rPr>
                <w:rFonts w:ascii="Arial Narrow" w:hAnsi="Arial Narrow" w:cs="Arial"/>
                <w:sz w:val="18"/>
                <w:szCs w:val="18"/>
              </w:rPr>
            </w:pPr>
            <w:r>
              <w:rPr>
                <w:rFonts w:ascii="Arial Narrow" w:hAnsi="Arial Narrow" w:cs="Arial"/>
                <w:sz w:val="18"/>
                <w:szCs w:val="18"/>
              </w:rPr>
              <w:t>9699L (HS)</w:t>
            </w:r>
          </w:p>
        </w:tc>
        <w:tc>
          <w:tcPr>
            <w:tcW w:w="850" w:type="dxa"/>
          </w:tcPr>
          <w:p w14:paraId="4B87926B" w14:textId="77777777" w:rsidR="0027392C" w:rsidRPr="009A610D" w:rsidRDefault="0027392C" w:rsidP="0027392C">
            <w:pPr>
              <w:keepNext/>
              <w:jc w:val="center"/>
              <w:rPr>
                <w:rFonts w:ascii="Arial Narrow" w:hAnsi="Arial Narrow" w:cs="Arial"/>
                <w:sz w:val="18"/>
                <w:szCs w:val="18"/>
              </w:rPr>
            </w:pPr>
            <w:r>
              <w:rPr>
                <w:rFonts w:ascii="Arial Narrow" w:hAnsi="Arial Narrow" w:cs="Arial"/>
                <w:sz w:val="18"/>
                <w:szCs w:val="18"/>
              </w:rPr>
              <w:t>1</w:t>
            </w:r>
          </w:p>
        </w:tc>
        <w:tc>
          <w:tcPr>
            <w:tcW w:w="709" w:type="dxa"/>
          </w:tcPr>
          <w:p w14:paraId="2B08E991" w14:textId="77777777" w:rsidR="0027392C" w:rsidRDefault="0027392C" w:rsidP="0027392C">
            <w:pPr>
              <w:keepNext/>
              <w:jc w:val="center"/>
              <w:rPr>
                <w:rFonts w:ascii="Arial Narrow" w:hAnsi="Arial Narrow" w:cs="Arial"/>
                <w:sz w:val="18"/>
                <w:szCs w:val="18"/>
              </w:rPr>
            </w:pPr>
            <w:r>
              <w:rPr>
                <w:rFonts w:ascii="Arial Narrow" w:hAnsi="Arial Narrow" w:cs="Arial"/>
                <w:sz w:val="18"/>
                <w:szCs w:val="18"/>
              </w:rPr>
              <w:t>1</w:t>
            </w:r>
          </w:p>
        </w:tc>
        <w:tc>
          <w:tcPr>
            <w:tcW w:w="709" w:type="dxa"/>
          </w:tcPr>
          <w:p w14:paraId="0FF51939" w14:textId="77777777" w:rsidR="0027392C" w:rsidRDefault="0027392C" w:rsidP="0027392C">
            <w:pPr>
              <w:keepNext/>
              <w:jc w:val="center"/>
              <w:rPr>
                <w:rFonts w:ascii="Arial Narrow" w:hAnsi="Arial Narrow" w:cs="Arial"/>
                <w:sz w:val="18"/>
                <w:szCs w:val="18"/>
              </w:rPr>
            </w:pPr>
            <w:r>
              <w:rPr>
                <w:rFonts w:ascii="Arial Narrow" w:hAnsi="Arial Narrow" w:cs="Arial"/>
                <w:sz w:val="18"/>
                <w:szCs w:val="18"/>
              </w:rPr>
              <w:t>5</w:t>
            </w:r>
          </w:p>
        </w:tc>
        <w:tc>
          <w:tcPr>
            <w:tcW w:w="1842" w:type="dxa"/>
          </w:tcPr>
          <w:p w14:paraId="48D5665D" w14:textId="77777777" w:rsidR="0027392C" w:rsidRDefault="0027392C" w:rsidP="0027392C">
            <w:pPr>
              <w:keepNext/>
              <w:rPr>
                <w:rFonts w:ascii="Arial Narrow" w:hAnsi="Arial Narrow" w:cs="Arial"/>
                <w:sz w:val="18"/>
                <w:szCs w:val="18"/>
              </w:rPr>
            </w:pPr>
            <w:r>
              <w:rPr>
                <w:rFonts w:ascii="Arial Narrow" w:hAnsi="Arial Narrow" w:cs="Arial"/>
                <w:sz w:val="18"/>
                <w:szCs w:val="18"/>
              </w:rPr>
              <w:t>Nplate</w:t>
            </w:r>
          </w:p>
        </w:tc>
      </w:tr>
      <w:tr w:rsidR="0027392C" w:rsidRPr="00320925" w14:paraId="7B61C76C" w14:textId="77777777" w:rsidTr="0027392C">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453773C9" w14:textId="77777777" w:rsidR="0027392C" w:rsidRPr="00320925" w:rsidRDefault="0027392C" w:rsidP="0027392C">
            <w:pPr>
              <w:rPr>
                <w:rFonts w:ascii="Arial Narrow" w:hAnsi="Arial Narrow" w:cs="Arial"/>
                <w:sz w:val="18"/>
                <w:szCs w:val="18"/>
              </w:rPr>
            </w:pPr>
          </w:p>
        </w:tc>
      </w:tr>
      <w:tr w:rsidR="0027392C" w:rsidRPr="00DB2FF7" w14:paraId="532563A4" w14:textId="77777777" w:rsidTr="0027392C">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712C7F87" w14:textId="77777777" w:rsidR="0027392C" w:rsidRPr="00DB2FF7" w:rsidRDefault="0027392C" w:rsidP="0027392C">
            <w:pPr>
              <w:rPr>
                <w:rFonts w:ascii="Arial Narrow" w:hAnsi="Arial Narrow"/>
                <w:bCs/>
                <w:color w:val="FF0000"/>
                <w:sz w:val="18"/>
                <w:szCs w:val="18"/>
                <w:lang w:eastAsia="en-AU"/>
              </w:rPr>
            </w:pPr>
          </w:p>
        </w:tc>
      </w:tr>
      <w:tr w:rsidR="0027392C" w:rsidRPr="00120A12" w14:paraId="0213BC32" w14:textId="77777777" w:rsidTr="0027392C">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14:paraId="396021F6" w14:textId="5757561F" w:rsidR="0027392C" w:rsidRPr="00B35A72" w:rsidRDefault="0027392C" w:rsidP="0027392C">
            <w:pPr>
              <w:jc w:val="center"/>
              <w:rPr>
                <w:rFonts w:ascii="Arial Narrow" w:hAnsi="Arial Narrow" w:cs="Arial"/>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3803BA6D" w14:textId="77777777" w:rsidR="0027392C" w:rsidRPr="00120A12" w:rsidRDefault="0027392C" w:rsidP="0027392C">
            <w:pPr>
              <w:rPr>
                <w:rFonts w:ascii="Arial Narrow" w:hAnsi="Arial Narrow" w:cs="Arial"/>
                <w:sz w:val="18"/>
                <w:szCs w:val="18"/>
              </w:rPr>
            </w:pPr>
            <w:r w:rsidRPr="0020649C">
              <w:rPr>
                <w:rFonts w:ascii="Arial Narrow" w:hAnsi="Arial Narrow" w:cs="Arial"/>
                <w:b/>
                <w:sz w:val="18"/>
                <w:szCs w:val="18"/>
              </w:rPr>
              <w:t>Category / Program:</w:t>
            </w:r>
            <w:r>
              <w:rPr>
                <w:rFonts w:ascii="Arial Narrow" w:hAnsi="Arial Narrow" w:cs="Arial"/>
                <w:b/>
                <w:sz w:val="18"/>
                <w:szCs w:val="18"/>
              </w:rPr>
              <w:t xml:space="preserve"> </w:t>
            </w:r>
            <w:r w:rsidRPr="003D201F">
              <w:rPr>
                <w:rFonts w:ascii="Arial Narrow" w:hAnsi="Arial Narrow" w:cs="Arial"/>
                <w:sz w:val="18"/>
                <w:szCs w:val="18"/>
              </w:rPr>
              <w:t xml:space="preserve">Section 100 – </w:t>
            </w:r>
            <w:r>
              <w:rPr>
                <w:rFonts w:ascii="Arial Narrow" w:hAnsi="Arial Narrow" w:cs="Arial"/>
                <w:sz w:val="18"/>
                <w:szCs w:val="18"/>
              </w:rPr>
              <w:t xml:space="preserve">Highly Specialised Drugs Program  </w:t>
            </w:r>
          </w:p>
        </w:tc>
      </w:tr>
      <w:tr w:rsidR="0027392C" w:rsidRPr="00772067" w14:paraId="1821AB9A" w14:textId="77777777" w:rsidTr="0027392C">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14:paraId="4A278069" w14:textId="77777777" w:rsidR="0027392C" w:rsidRPr="0020649C" w:rsidRDefault="0027392C" w:rsidP="0027392C">
            <w:pPr>
              <w:rPr>
                <w:rFonts w:ascii="Arial Narrow" w:hAnsi="Arial Narrow" w:cs="Arial"/>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68762977" w14:textId="77777777" w:rsidR="0027392C" w:rsidRPr="00772067" w:rsidRDefault="0027392C" w:rsidP="0027392C">
            <w:pPr>
              <w:rPr>
                <w:rFonts w:ascii="Arial Narrow" w:hAnsi="Arial Narrow" w:cs="Arial"/>
                <w:b/>
                <w:sz w:val="18"/>
                <w:szCs w:val="18"/>
              </w:rPr>
            </w:pPr>
            <w:r w:rsidRPr="00120A12">
              <w:rPr>
                <w:rFonts w:ascii="Arial Narrow" w:hAnsi="Arial Narrow" w:cs="Arial"/>
                <w:b/>
                <w:sz w:val="18"/>
                <w:szCs w:val="18"/>
              </w:rPr>
              <w:t>Prescriber type</w:t>
            </w:r>
            <w:r>
              <w:rPr>
                <w:rFonts w:ascii="Arial Narrow" w:hAnsi="Arial Narrow" w:cs="Arial"/>
                <w:b/>
                <w:sz w:val="18"/>
                <w:szCs w:val="18"/>
              </w:rPr>
              <w:t>:</w:t>
            </w:r>
            <w:r w:rsidRPr="00120A12">
              <w:rPr>
                <w:rFonts w:ascii="Arial Narrow" w:hAnsi="Arial Narrow" w:cs="Arial"/>
                <w:sz w:val="18"/>
                <w:szCs w:val="18"/>
              </w:rPr>
              <w:t xml:space="preserve"> </w:t>
            </w:r>
            <w:r>
              <w:rPr>
                <w:rFonts w:ascii="Arial Narrow" w:hAnsi="Arial Narrow" w:cs="Arial"/>
                <w:sz w:val="18"/>
                <w:szCs w:val="18"/>
              </w:rPr>
              <w:fldChar w:fldCharType="begin">
                <w:ffData>
                  <w:name w:val=""/>
                  <w:enabled/>
                  <w:calcOnExit w:val="0"/>
                  <w:checkBox>
                    <w:sizeAuto/>
                    <w:default w:val="1"/>
                  </w:checkBox>
                </w:ffData>
              </w:fldChar>
            </w:r>
            <w:r>
              <w:rPr>
                <w:rFonts w:ascii="Arial Narrow" w:hAnsi="Arial Narrow" w:cs="Arial"/>
                <w:sz w:val="18"/>
                <w:szCs w:val="18"/>
              </w:rPr>
              <w:instrText xml:space="preserve"> FORMCHECKBOX </w:instrText>
            </w:r>
            <w:r w:rsidR="00B643E4">
              <w:rPr>
                <w:rFonts w:ascii="Arial Narrow" w:hAnsi="Arial Narrow" w:cs="Arial"/>
                <w:sz w:val="18"/>
                <w:szCs w:val="18"/>
              </w:rPr>
            </w:r>
            <w:r w:rsidR="00B643E4">
              <w:rPr>
                <w:rFonts w:ascii="Arial Narrow" w:hAnsi="Arial Narrow" w:cs="Arial"/>
                <w:sz w:val="18"/>
                <w:szCs w:val="18"/>
              </w:rPr>
              <w:fldChar w:fldCharType="separate"/>
            </w:r>
            <w:r>
              <w:rPr>
                <w:rFonts w:ascii="Arial Narrow" w:hAnsi="Arial Narrow" w:cs="Arial"/>
                <w:sz w:val="18"/>
                <w:szCs w:val="18"/>
              </w:rPr>
              <w:fldChar w:fldCharType="end"/>
            </w:r>
            <w:r w:rsidRPr="00120A12">
              <w:rPr>
                <w:rFonts w:ascii="Arial Narrow" w:hAnsi="Arial Narrow" w:cs="Arial"/>
                <w:sz w:val="18"/>
                <w:szCs w:val="18"/>
              </w:rPr>
              <w:t>Medical Practitioners</w:t>
            </w:r>
            <w:r>
              <w:rPr>
                <w:rFonts w:ascii="Arial Narrow" w:hAnsi="Arial Narrow" w:cs="Arial"/>
                <w:sz w:val="18"/>
                <w:szCs w:val="18"/>
              </w:rPr>
              <w:t xml:space="preserve">  </w:t>
            </w:r>
            <w:r w:rsidRPr="00120A12">
              <w:rPr>
                <w:rFonts w:ascii="Arial Narrow" w:hAnsi="Arial Narrow" w:cs="Arial"/>
                <w:sz w:val="18"/>
                <w:szCs w:val="18"/>
              </w:rPr>
              <w:t xml:space="preserve"> </w:t>
            </w:r>
          </w:p>
        </w:tc>
      </w:tr>
      <w:tr w:rsidR="0027392C" w:rsidRPr="00677540" w14:paraId="78F38F9E" w14:textId="77777777" w:rsidTr="0027392C">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14:paraId="5EC0DF9A" w14:textId="77777777" w:rsidR="0027392C" w:rsidRPr="0020649C" w:rsidRDefault="0027392C" w:rsidP="0027392C">
            <w:pPr>
              <w:rPr>
                <w:rFonts w:ascii="Arial Narrow" w:hAnsi="Arial Narrow" w:cs="Arial"/>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284EFAAD" w14:textId="77777777" w:rsidR="0027392C" w:rsidRPr="00B35A72" w:rsidRDefault="0027392C" w:rsidP="0027392C">
            <w:pPr>
              <w:rPr>
                <w:rFonts w:ascii="Arial Narrow" w:hAnsi="Arial Narrow" w:cs="Arial"/>
                <w:b/>
                <w:sz w:val="18"/>
                <w:szCs w:val="18"/>
              </w:rPr>
            </w:pPr>
            <w:r w:rsidRPr="0020649C">
              <w:rPr>
                <w:rFonts w:ascii="Arial Narrow" w:hAnsi="Arial Narrow" w:cs="Arial"/>
                <w:b/>
                <w:sz w:val="18"/>
                <w:szCs w:val="18"/>
              </w:rPr>
              <w:t xml:space="preserve">Restriction </w:t>
            </w:r>
            <w:r>
              <w:rPr>
                <w:rFonts w:ascii="Arial Narrow" w:hAnsi="Arial Narrow" w:cs="Arial"/>
                <w:b/>
                <w:sz w:val="18"/>
                <w:szCs w:val="18"/>
              </w:rPr>
              <w:t xml:space="preserve">type: </w:t>
            </w:r>
            <w:r>
              <w:rPr>
                <w:rFonts w:ascii="Arial Narrow" w:eastAsia="Calibri" w:hAnsi="Arial Narrow" w:cs="Arial"/>
                <w:sz w:val="18"/>
                <w:szCs w:val="18"/>
              </w:rPr>
              <w:fldChar w:fldCharType="begin">
                <w:ffData>
                  <w:name w:val=""/>
                  <w:enabled/>
                  <w:calcOnExit w:val="0"/>
                  <w:checkBox>
                    <w:sizeAuto/>
                    <w:default w:val="1"/>
                  </w:checkBox>
                </w:ffData>
              </w:fldChar>
            </w:r>
            <w:r>
              <w:rPr>
                <w:rFonts w:ascii="Arial Narrow" w:eastAsia="Calibri" w:hAnsi="Arial Narrow" w:cs="Arial"/>
                <w:sz w:val="18"/>
                <w:szCs w:val="18"/>
              </w:rPr>
              <w:instrText xml:space="preserve"> FORMCHECKBOX </w:instrText>
            </w:r>
            <w:r w:rsidR="00B643E4">
              <w:rPr>
                <w:rFonts w:ascii="Arial Narrow" w:eastAsia="Calibri" w:hAnsi="Arial Narrow" w:cs="Arial"/>
                <w:sz w:val="18"/>
                <w:szCs w:val="18"/>
              </w:rPr>
            </w:r>
            <w:r w:rsidR="00B643E4">
              <w:rPr>
                <w:rFonts w:ascii="Arial Narrow" w:eastAsia="Calibri" w:hAnsi="Arial Narrow" w:cs="Arial"/>
                <w:sz w:val="18"/>
                <w:szCs w:val="18"/>
              </w:rPr>
              <w:fldChar w:fldCharType="separate"/>
            </w:r>
            <w:r>
              <w:rPr>
                <w:rFonts w:ascii="Arial Narrow" w:eastAsia="Calibri" w:hAnsi="Arial Narrow" w:cs="Arial"/>
                <w:sz w:val="18"/>
                <w:szCs w:val="18"/>
              </w:rPr>
              <w:fldChar w:fldCharType="end"/>
            </w:r>
            <w:r w:rsidRPr="00F86065">
              <w:rPr>
                <w:rFonts w:ascii="Arial Narrow" w:eastAsia="Calibri" w:hAnsi="Arial Narrow" w:cs="Arial"/>
                <w:sz w:val="18"/>
                <w:szCs w:val="18"/>
              </w:rPr>
              <w:t xml:space="preserve">Authority Required – </w:t>
            </w:r>
            <w:r>
              <w:rPr>
                <w:rFonts w:ascii="Arial Narrow" w:eastAsia="Calibri" w:hAnsi="Arial Narrow" w:cs="Arial"/>
                <w:sz w:val="18"/>
                <w:szCs w:val="18"/>
              </w:rPr>
              <w:t>(in writing only via post/HPOS upload)</w:t>
            </w:r>
          </w:p>
        </w:tc>
      </w:tr>
      <w:tr w:rsidR="0027392C" w:rsidRPr="00120A12" w14:paraId="0C39AE61" w14:textId="77777777" w:rsidTr="0027392C">
        <w:tblPrEx>
          <w:tblCellMar>
            <w:top w:w="15" w:type="dxa"/>
            <w:left w:w="15" w:type="dxa"/>
            <w:bottom w:w="15" w:type="dxa"/>
            <w:right w:w="15" w:type="dxa"/>
          </w:tblCellMar>
          <w:tblLook w:val="04A0" w:firstRow="1" w:lastRow="0" w:firstColumn="1" w:lastColumn="0" w:noHBand="0" w:noVBand="1"/>
        </w:tblPrEx>
        <w:tc>
          <w:tcPr>
            <w:tcW w:w="981" w:type="dxa"/>
            <w:vAlign w:val="center"/>
            <w:hideMark/>
          </w:tcPr>
          <w:p w14:paraId="32D99942" w14:textId="5232FBE6" w:rsidR="0027392C" w:rsidRPr="00120A12" w:rsidRDefault="0027392C" w:rsidP="0027392C">
            <w:pPr>
              <w:jc w:val="center"/>
              <w:rPr>
                <w:rFonts w:ascii="Arial Narrow" w:hAnsi="Arial Narrow"/>
                <w:color w:val="333333"/>
                <w:sz w:val="18"/>
                <w:szCs w:val="18"/>
                <w:lang w:eastAsia="en-AU"/>
              </w:rPr>
            </w:pPr>
          </w:p>
        </w:tc>
        <w:tc>
          <w:tcPr>
            <w:tcW w:w="8086" w:type="dxa"/>
            <w:gridSpan w:val="6"/>
            <w:vAlign w:val="center"/>
            <w:hideMark/>
          </w:tcPr>
          <w:p w14:paraId="60D9525D" w14:textId="77777777" w:rsidR="0027392C" w:rsidRPr="00120A12" w:rsidRDefault="0027392C" w:rsidP="0027392C">
            <w:pPr>
              <w:rPr>
                <w:rFonts w:ascii="Arial Narrow" w:hAnsi="Arial Narrow"/>
                <w:color w:val="333333"/>
                <w:sz w:val="18"/>
                <w:szCs w:val="18"/>
                <w:lang w:eastAsia="en-AU"/>
              </w:rPr>
            </w:pPr>
            <w:r w:rsidRPr="00120A12">
              <w:rPr>
                <w:rFonts w:ascii="Arial Narrow" w:hAnsi="Arial Narrow"/>
                <w:b/>
                <w:bCs/>
                <w:color w:val="333333"/>
                <w:sz w:val="18"/>
                <w:szCs w:val="18"/>
                <w:lang w:eastAsia="en-AU"/>
              </w:rPr>
              <w:t>Indication:</w:t>
            </w:r>
            <w:r>
              <w:rPr>
                <w:rFonts w:ascii="Arial Narrow" w:hAnsi="Arial Narrow"/>
                <w:color w:val="333333"/>
                <w:sz w:val="18"/>
                <w:szCs w:val="18"/>
                <w:lang w:eastAsia="en-AU"/>
              </w:rPr>
              <w:t xml:space="preserve"> Severe thrombocytopenia</w:t>
            </w:r>
          </w:p>
        </w:tc>
      </w:tr>
      <w:tr w:rsidR="0027392C" w:rsidRPr="00B90897" w14:paraId="54EDF61D" w14:textId="77777777" w:rsidTr="0027392C">
        <w:tblPrEx>
          <w:tblCellMar>
            <w:top w:w="15" w:type="dxa"/>
            <w:left w:w="15" w:type="dxa"/>
            <w:bottom w:w="15" w:type="dxa"/>
            <w:right w:w="15" w:type="dxa"/>
          </w:tblCellMar>
          <w:tblLook w:val="04A0" w:firstRow="1" w:lastRow="0" w:firstColumn="1" w:lastColumn="0" w:noHBand="0" w:noVBand="1"/>
        </w:tblPrEx>
        <w:tc>
          <w:tcPr>
            <w:tcW w:w="981" w:type="dxa"/>
            <w:vAlign w:val="center"/>
            <w:hideMark/>
          </w:tcPr>
          <w:p w14:paraId="1BE364A1" w14:textId="77777777" w:rsidR="0027392C" w:rsidRPr="00120A12" w:rsidRDefault="0027392C" w:rsidP="0027392C">
            <w:pPr>
              <w:jc w:val="center"/>
              <w:rPr>
                <w:rFonts w:ascii="Arial Narrow" w:hAnsi="Arial Narrow"/>
                <w:color w:val="333333"/>
                <w:sz w:val="18"/>
                <w:szCs w:val="18"/>
                <w:lang w:eastAsia="en-AU"/>
              </w:rPr>
            </w:pPr>
          </w:p>
        </w:tc>
        <w:tc>
          <w:tcPr>
            <w:tcW w:w="8086" w:type="dxa"/>
            <w:gridSpan w:val="6"/>
            <w:vAlign w:val="center"/>
            <w:hideMark/>
          </w:tcPr>
          <w:p w14:paraId="7D984076" w14:textId="77777777" w:rsidR="0027392C" w:rsidRPr="00B90897" w:rsidRDefault="0027392C" w:rsidP="0027392C">
            <w:pPr>
              <w:rPr>
                <w:rFonts w:ascii="Arial Narrow" w:hAnsi="Arial Narrow"/>
                <w:color w:val="FF00FF"/>
                <w:sz w:val="18"/>
                <w:szCs w:val="18"/>
                <w:lang w:eastAsia="en-AU"/>
              </w:rPr>
            </w:pPr>
            <w:r w:rsidRPr="00B35A72">
              <w:rPr>
                <w:rFonts w:ascii="Arial Narrow" w:hAnsi="Arial Narrow"/>
                <w:b/>
                <w:bCs/>
                <w:sz w:val="18"/>
                <w:szCs w:val="18"/>
                <w:lang w:eastAsia="en-AU"/>
              </w:rPr>
              <w:t>Treatment Phase:</w:t>
            </w:r>
            <w:r w:rsidRPr="00B35A72">
              <w:rPr>
                <w:rFonts w:ascii="Arial Narrow" w:hAnsi="Arial Narrow"/>
                <w:sz w:val="18"/>
                <w:szCs w:val="18"/>
                <w:lang w:eastAsia="en-AU"/>
              </w:rPr>
              <w:t xml:space="preserve"> Initial treatment – New patient  </w:t>
            </w:r>
          </w:p>
        </w:tc>
      </w:tr>
      <w:tr w:rsidR="0027392C" w:rsidRPr="00B90897" w14:paraId="69BAD3E6" w14:textId="77777777" w:rsidTr="0027392C">
        <w:tblPrEx>
          <w:tblCellMar>
            <w:top w:w="15" w:type="dxa"/>
            <w:left w:w="15" w:type="dxa"/>
            <w:bottom w:w="15" w:type="dxa"/>
            <w:right w:w="15" w:type="dxa"/>
          </w:tblCellMar>
          <w:tblLook w:val="04A0" w:firstRow="1" w:lastRow="0" w:firstColumn="1" w:lastColumn="0" w:noHBand="0" w:noVBand="1"/>
        </w:tblPrEx>
        <w:tc>
          <w:tcPr>
            <w:tcW w:w="981" w:type="dxa"/>
            <w:vAlign w:val="center"/>
          </w:tcPr>
          <w:p w14:paraId="48078B21" w14:textId="1C97A99A" w:rsidR="0027392C" w:rsidRPr="00120A12" w:rsidRDefault="0027392C" w:rsidP="0027392C">
            <w:pPr>
              <w:jc w:val="center"/>
              <w:rPr>
                <w:rFonts w:ascii="Arial Narrow" w:hAnsi="Arial Narrow"/>
                <w:color w:val="333333"/>
                <w:sz w:val="18"/>
                <w:szCs w:val="18"/>
                <w:lang w:eastAsia="en-AU"/>
              </w:rPr>
            </w:pPr>
          </w:p>
        </w:tc>
        <w:tc>
          <w:tcPr>
            <w:tcW w:w="8086" w:type="dxa"/>
            <w:gridSpan w:val="6"/>
            <w:vAlign w:val="center"/>
          </w:tcPr>
          <w:p w14:paraId="64714D99" w14:textId="77777777" w:rsidR="0027392C" w:rsidRPr="00B35A72" w:rsidRDefault="0027392C" w:rsidP="0027392C">
            <w:pPr>
              <w:rPr>
                <w:rFonts w:ascii="Arial Narrow" w:hAnsi="Arial Narrow"/>
                <w:b/>
                <w:bCs/>
                <w:sz w:val="18"/>
                <w:szCs w:val="18"/>
                <w:lang w:eastAsia="en-AU"/>
              </w:rPr>
            </w:pPr>
            <w:r w:rsidRPr="00120A12">
              <w:rPr>
                <w:rFonts w:ascii="Arial Narrow" w:hAnsi="Arial Narrow"/>
                <w:b/>
                <w:bCs/>
                <w:color w:val="333333"/>
                <w:sz w:val="18"/>
                <w:szCs w:val="18"/>
                <w:lang w:eastAsia="en-AU"/>
              </w:rPr>
              <w:t>Clinical criteria:</w:t>
            </w:r>
          </w:p>
        </w:tc>
      </w:tr>
      <w:tr w:rsidR="0027392C" w:rsidRPr="00B90897" w14:paraId="4FACD26E" w14:textId="77777777" w:rsidTr="0027392C">
        <w:tblPrEx>
          <w:tblCellMar>
            <w:top w:w="15" w:type="dxa"/>
            <w:left w:w="15" w:type="dxa"/>
            <w:bottom w:w="15" w:type="dxa"/>
            <w:right w:w="15" w:type="dxa"/>
          </w:tblCellMar>
          <w:tblLook w:val="04A0" w:firstRow="1" w:lastRow="0" w:firstColumn="1" w:lastColumn="0" w:noHBand="0" w:noVBand="1"/>
        </w:tblPrEx>
        <w:tc>
          <w:tcPr>
            <w:tcW w:w="981" w:type="dxa"/>
            <w:vAlign w:val="center"/>
          </w:tcPr>
          <w:p w14:paraId="3F601F48" w14:textId="60CB6195" w:rsidR="0027392C" w:rsidRPr="00120A12" w:rsidRDefault="0027392C" w:rsidP="0027392C">
            <w:pPr>
              <w:jc w:val="center"/>
              <w:rPr>
                <w:rFonts w:ascii="Arial Narrow" w:hAnsi="Arial Narrow"/>
                <w:color w:val="333333"/>
                <w:sz w:val="18"/>
                <w:szCs w:val="18"/>
                <w:lang w:eastAsia="en-AU"/>
              </w:rPr>
            </w:pPr>
          </w:p>
        </w:tc>
        <w:tc>
          <w:tcPr>
            <w:tcW w:w="8086" w:type="dxa"/>
            <w:gridSpan w:val="6"/>
            <w:vAlign w:val="center"/>
          </w:tcPr>
          <w:p w14:paraId="659CE93E" w14:textId="77777777" w:rsidR="0027392C" w:rsidRPr="00B35A72" w:rsidRDefault="0027392C" w:rsidP="0027392C">
            <w:pPr>
              <w:rPr>
                <w:rFonts w:ascii="Arial Narrow" w:hAnsi="Arial Narrow"/>
                <w:b/>
                <w:bCs/>
                <w:sz w:val="18"/>
                <w:szCs w:val="18"/>
                <w:lang w:eastAsia="en-AU"/>
              </w:rPr>
            </w:pPr>
            <w:r w:rsidRPr="009D6113">
              <w:rPr>
                <w:rFonts w:ascii="Arial Narrow" w:hAnsi="Arial Narrow"/>
                <w:sz w:val="18"/>
                <w:szCs w:val="18"/>
              </w:rPr>
              <w:t>The condition must be severe chronic immune (idiopathic) thrombocytopenic purpura (ITP)</w:t>
            </w:r>
          </w:p>
        </w:tc>
      </w:tr>
      <w:tr w:rsidR="0027392C" w:rsidRPr="00B90897" w14:paraId="4496BAF4" w14:textId="77777777" w:rsidTr="0027392C">
        <w:tblPrEx>
          <w:tblCellMar>
            <w:top w:w="15" w:type="dxa"/>
            <w:left w:w="15" w:type="dxa"/>
            <w:bottom w:w="15" w:type="dxa"/>
            <w:right w:w="15" w:type="dxa"/>
          </w:tblCellMar>
          <w:tblLook w:val="04A0" w:firstRow="1" w:lastRow="0" w:firstColumn="1" w:lastColumn="0" w:noHBand="0" w:noVBand="1"/>
        </w:tblPrEx>
        <w:tc>
          <w:tcPr>
            <w:tcW w:w="981" w:type="dxa"/>
            <w:vAlign w:val="center"/>
          </w:tcPr>
          <w:p w14:paraId="341196CF" w14:textId="77777777" w:rsidR="0027392C" w:rsidRPr="00120A12" w:rsidRDefault="0027392C" w:rsidP="0027392C">
            <w:pPr>
              <w:jc w:val="center"/>
              <w:rPr>
                <w:rFonts w:ascii="Arial Narrow" w:hAnsi="Arial Narrow"/>
                <w:color w:val="333333"/>
                <w:sz w:val="18"/>
                <w:szCs w:val="18"/>
                <w:lang w:eastAsia="en-AU"/>
              </w:rPr>
            </w:pPr>
          </w:p>
        </w:tc>
        <w:tc>
          <w:tcPr>
            <w:tcW w:w="8086" w:type="dxa"/>
            <w:gridSpan w:val="6"/>
            <w:vAlign w:val="center"/>
          </w:tcPr>
          <w:p w14:paraId="21D35CAA" w14:textId="77777777" w:rsidR="0027392C" w:rsidRPr="00B35A72" w:rsidRDefault="0027392C" w:rsidP="0027392C">
            <w:pPr>
              <w:rPr>
                <w:rFonts w:ascii="Arial Narrow" w:hAnsi="Arial Narrow"/>
                <w:b/>
                <w:bCs/>
                <w:sz w:val="18"/>
                <w:szCs w:val="18"/>
                <w:lang w:eastAsia="en-AU"/>
              </w:rPr>
            </w:pPr>
            <w:r w:rsidRPr="00120A12">
              <w:rPr>
                <w:rFonts w:ascii="Arial Narrow" w:hAnsi="Arial Narrow"/>
                <w:b/>
                <w:bCs/>
                <w:color w:val="333333"/>
                <w:sz w:val="18"/>
                <w:szCs w:val="18"/>
                <w:lang w:eastAsia="en-AU"/>
              </w:rPr>
              <w:t>AND</w:t>
            </w:r>
          </w:p>
        </w:tc>
      </w:tr>
      <w:tr w:rsidR="0027392C" w:rsidRPr="00B90897" w14:paraId="3D6E1504" w14:textId="77777777" w:rsidTr="0027392C">
        <w:tblPrEx>
          <w:tblCellMar>
            <w:top w:w="15" w:type="dxa"/>
            <w:left w:w="15" w:type="dxa"/>
            <w:bottom w:w="15" w:type="dxa"/>
            <w:right w:w="15" w:type="dxa"/>
          </w:tblCellMar>
          <w:tblLook w:val="04A0" w:firstRow="1" w:lastRow="0" w:firstColumn="1" w:lastColumn="0" w:noHBand="0" w:noVBand="1"/>
        </w:tblPrEx>
        <w:tc>
          <w:tcPr>
            <w:tcW w:w="981" w:type="dxa"/>
            <w:vAlign w:val="center"/>
          </w:tcPr>
          <w:p w14:paraId="658EEA45" w14:textId="7421127D" w:rsidR="0027392C" w:rsidRPr="00120A12" w:rsidRDefault="0027392C" w:rsidP="0027392C">
            <w:pPr>
              <w:jc w:val="center"/>
              <w:rPr>
                <w:rFonts w:ascii="Arial Narrow" w:hAnsi="Arial Narrow"/>
                <w:color w:val="333333"/>
                <w:sz w:val="18"/>
                <w:szCs w:val="18"/>
                <w:lang w:eastAsia="en-AU"/>
              </w:rPr>
            </w:pPr>
          </w:p>
        </w:tc>
        <w:tc>
          <w:tcPr>
            <w:tcW w:w="8086" w:type="dxa"/>
            <w:gridSpan w:val="6"/>
            <w:vAlign w:val="center"/>
          </w:tcPr>
          <w:p w14:paraId="36BE4BC8" w14:textId="77777777" w:rsidR="0027392C" w:rsidRPr="00B35A72" w:rsidRDefault="0027392C" w:rsidP="0027392C">
            <w:pPr>
              <w:rPr>
                <w:rFonts w:ascii="Arial Narrow" w:hAnsi="Arial Narrow"/>
                <w:b/>
                <w:bCs/>
                <w:sz w:val="18"/>
                <w:szCs w:val="18"/>
                <w:lang w:eastAsia="en-AU"/>
              </w:rPr>
            </w:pPr>
            <w:r w:rsidRPr="00120A12">
              <w:rPr>
                <w:rFonts w:ascii="Arial Narrow" w:hAnsi="Arial Narrow"/>
                <w:b/>
                <w:bCs/>
                <w:color w:val="333333"/>
                <w:sz w:val="18"/>
                <w:szCs w:val="18"/>
                <w:lang w:eastAsia="en-AU"/>
              </w:rPr>
              <w:t>Clinical criteria:</w:t>
            </w:r>
          </w:p>
        </w:tc>
      </w:tr>
      <w:tr w:rsidR="0027392C" w:rsidRPr="004115F2" w14:paraId="01AE849D" w14:textId="77777777" w:rsidTr="0027392C">
        <w:tblPrEx>
          <w:tblCellMar>
            <w:top w:w="15" w:type="dxa"/>
            <w:left w:w="15" w:type="dxa"/>
            <w:bottom w:w="15" w:type="dxa"/>
            <w:right w:w="15" w:type="dxa"/>
          </w:tblCellMar>
          <w:tblLook w:val="04A0" w:firstRow="1" w:lastRow="0" w:firstColumn="1" w:lastColumn="0" w:noHBand="0" w:noVBand="1"/>
        </w:tblPrEx>
        <w:tc>
          <w:tcPr>
            <w:tcW w:w="981" w:type="dxa"/>
            <w:vAlign w:val="center"/>
          </w:tcPr>
          <w:p w14:paraId="432920BB" w14:textId="6F2AB4F7" w:rsidR="0027392C" w:rsidRPr="004115F2" w:rsidRDefault="0027392C" w:rsidP="0027392C">
            <w:pPr>
              <w:jc w:val="center"/>
              <w:rPr>
                <w:rFonts w:ascii="Arial Narrow" w:hAnsi="Arial Narrow"/>
                <w:color w:val="333333"/>
                <w:sz w:val="18"/>
                <w:szCs w:val="18"/>
                <w:lang w:eastAsia="en-AU"/>
              </w:rPr>
            </w:pPr>
          </w:p>
        </w:tc>
        <w:tc>
          <w:tcPr>
            <w:tcW w:w="8086" w:type="dxa"/>
            <w:gridSpan w:val="6"/>
            <w:vAlign w:val="center"/>
          </w:tcPr>
          <w:p w14:paraId="1BD97D74" w14:textId="77777777" w:rsidR="0027392C" w:rsidRPr="004115F2" w:rsidRDefault="0027392C" w:rsidP="0027392C">
            <w:pPr>
              <w:rPr>
                <w:rFonts w:ascii="Arial Narrow" w:hAnsi="Arial Narrow"/>
                <w:sz w:val="18"/>
                <w:szCs w:val="18"/>
              </w:rPr>
            </w:pPr>
            <w:r w:rsidRPr="004115F2">
              <w:rPr>
                <w:rFonts w:ascii="Arial Narrow" w:hAnsi="Arial Narrow"/>
                <w:sz w:val="18"/>
                <w:szCs w:val="18"/>
              </w:rPr>
              <w:t>Patient must have failed to achieve an adequate response to, or be intolerant to, corticosteroid therapy for at least 4-6 weeks</w:t>
            </w:r>
          </w:p>
        </w:tc>
      </w:tr>
      <w:tr w:rsidR="0027392C" w:rsidRPr="00B90897" w14:paraId="7D944BE8" w14:textId="77777777" w:rsidTr="0027392C">
        <w:tblPrEx>
          <w:tblCellMar>
            <w:top w:w="15" w:type="dxa"/>
            <w:left w:w="15" w:type="dxa"/>
            <w:bottom w:w="15" w:type="dxa"/>
            <w:right w:w="15" w:type="dxa"/>
          </w:tblCellMar>
          <w:tblLook w:val="04A0" w:firstRow="1" w:lastRow="0" w:firstColumn="1" w:lastColumn="0" w:noHBand="0" w:noVBand="1"/>
        </w:tblPrEx>
        <w:tc>
          <w:tcPr>
            <w:tcW w:w="981" w:type="dxa"/>
            <w:vAlign w:val="center"/>
          </w:tcPr>
          <w:p w14:paraId="1F223ABA" w14:textId="77777777" w:rsidR="0027392C" w:rsidRPr="00120A12" w:rsidRDefault="0027392C" w:rsidP="0027392C">
            <w:pPr>
              <w:jc w:val="center"/>
              <w:rPr>
                <w:rFonts w:ascii="Arial Narrow" w:hAnsi="Arial Narrow"/>
                <w:color w:val="333333"/>
                <w:sz w:val="18"/>
                <w:szCs w:val="18"/>
                <w:lang w:eastAsia="en-AU"/>
              </w:rPr>
            </w:pPr>
          </w:p>
        </w:tc>
        <w:tc>
          <w:tcPr>
            <w:tcW w:w="8086" w:type="dxa"/>
            <w:gridSpan w:val="6"/>
            <w:vAlign w:val="center"/>
          </w:tcPr>
          <w:p w14:paraId="7F33B42E" w14:textId="77777777" w:rsidR="0027392C" w:rsidRPr="00B35A72" w:rsidRDefault="0027392C" w:rsidP="0027392C">
            <w:pPr>
              <w:rPr>
                <w:rFonts w:ascii="Arial Narrow" w:hAnsi="Arial Narrow"/>
                <w:b/>
                <w:bCs/>
                <w:sz w:val="18"/>
                <w:szCs w:val="18"/>
                <w:lang w:eastAsia="en-AU"/>
              </w:rPr>
            </w:pPr>
            <w:r w:rsidRPr="00120A12">
              <w:rPr>
                <w:rFonts w:ascii="Arial Narrow" w:hAnsi="Arial Narrow"/>
                <w:b/>
                <w:bCs/>
                <w:color w:val="333333"/>
                <w:sz w:val="18"/>
                <w:szCs w:val="18"/>
                <w:lang w:eastAsia="en-AU"/>
              </w:rPr>
              <w:t>AND</w:t>
            </w:r>
          </w:p>
        </w:tc>
      </w:tr>
      <w:tr w:rsidR="0027392C" w:rsidRPr="00B90897" w14:paraId="261D4A0B" w14:textId="77777777" w:rsidTr="0027392C">
        <w:tblPrEx>
          <w:tblCellMar>
            <w:top w:w="15" w:type="dxa"/>
            <w:left w:w="15" w:type="dxa"/>
            <w:bottom w:w="15" w:type="dxa"/>
            <w:right w:w="15" w:type="dxa"/>
          </w:tblCellMar>
          <w:tblLook w:val="04A0" w:firstRow="1" w:lastRow="0" w:firstColumn="1" w:lastColumn="0" w:noHBand="0" w:noVBand="1"/>
        </w:tblPrEx>
        <w:tc>
          <w:tcPr>
            <w:tcW w:w="981" w:type="dxa"/>
            <w:vAlign w:val="center"/>
          </w:tcPr>
          <w:p w14:paraId="3D310595" w14:textId="15A61452" w:rsidR="0027392C" w:rsidRPr="00120A12" w:rsidRDefault="0027392C" w:rsidP="0027392C">
            <w:pPr>
              <w:jc w:val="center"/>
              <w:rPr>
                <w:rFonts w:ascii="Arial Narrow" w:hAnsi="Arial Narrow"/>
                <w:color w:val="333333"/>
                <w:sz w:val="18"/>
                <w:szCs w:val="18"/>
                <w:lang w:eastAsia="en-AU"/>
              </w:rPr>
            </w:pPr>
          </w:p>
        </w:tc>
        <w:tc>
          <w:tcPr>
            <w:tcW w:w="8086" w:type="dxa"/>
            <w:gridSpan w:val="6"/>
            <w:vAlign w:val="center"/>
          </w:tcPr>
          <w:p w14:paraId="1CAFFA2D" w14:textId="77777777" w:rsidR="0027392C" w:rsidRPr="00B35A72" w:rsidRDefault="0027392C" w:rsidP="0027392C">
            <w:pPr>
              <w:rPr>
                <w:rFonts w:ascii="Arial Narrow" w:hAnsi="Arial Narrow"/>
                <w:b/>
                <w:bCs/>
                <w:sz w:val="18"/>
                <w:szCs w:val="18"/>
                <w:lang w:eastAsia="en-AU"/>
              </w:rPr>
            </w:pPr>
            <w:r w:rsidRPr="00120A12">
              <w:rPr>
                <w:rFonts w:ascii="Arial Narrow" w:hAnsi="Arial Narrow"/>
                <w:b/>
                <w:bCs/>
                <w:color w:val="333333"/>
                <w:sz w:val="18"/>
                <w:szCs w:val="18"/>
                <w:lang w:eastAsia="en-AU"/>
              </w:rPr>
              <w:t>Clinical criteria:</w:t>
            </w:r>
          </w:p>
        </w:tc>
      </w:tr>
      <w:tr w:rsidR="0027392C" w:rsidRPr="00B90897" w14:paraId="4E63678D" w14:textId="77777777" w:rsidTr="0027392C">
        <w:tblPrEx>
          <w:tblCellMar>
            <w:top w:w="15" w:type="dxa"/>
            <w:left w:w="15" w:type="dxa"/>
            <w:bottom w:w="15" w:type="dxa"/>
            <w:right w:w="15" w:type="dxa"/>
          </w:tblCellMar>
          <w:tblLook w:val="04A0" w:firstRow="1" w:lastRow="0" w:firstColumn="1" w:lastColumn="0" w:noHBand="0" w:noVBand="1"/>
        </w:tblPrEx>
        <w:tc>
          <w:tcPr>
            <w:tcW w:w="981" w:type="dxa"/>
            <w:vAlign w:val="center"/>
          </w:tcPr>
          <w:p w14:paraId="4CAE5C97" w14:textId="2ABE597C" w:rsidR="0027392C" w:rsidRPr="00120A12" w:rsidRDefault="0027392C" w:rsidP="0027392C">
            <w:pPr>
              <w:jc w:val="center"/>
              <w:rPr>
                <w:rFonts w:ascii="Arial Narrow" w:hAnsi="Arial Narrow"/>
                <w:color w:val="333333"/>
                <w:sz w:val="18"/>
                <w:szCs w:val="18"/>
                <w:lang w:eastAsia="en-AU"/>
              </w:rPr>
            </w:pPr>
          </w:p>
        </w:tc>
        <w:tc>
          <w:tcPr>
            <w:tcW w:w="8086" w:type="dxa"/>
            <w:gridSpan w:val="6"/>
            <w:vAlign w:val="center"/>
          </w:tcPr>
          <w:p w14:paraId="5822E977" w14:textId="77777777" w:rsidR="0027392C" w:rsidRPr="00B35A72" w:rsidRDefault="0027392C" w:rsidP="0027392C">
            <w:pPr>
              <w:rPr>
                <w:rFonts w:ascii="Arial Narrow" w:hAnsi="Arial Narrow"/>
              </w:rPr>
            </w:pPr>
            <w:r w:rsidRPr="00B35A72">
              <w:rPr>
                <w:rFonts w:ascii="Arial Narrow" w:hAnsi="Arial Narrow"/>
                <w:sz w:val="18"/>
                <w:szCs w:val="18"/>
              </w:rPr>
              <w:t>Patient must have failed to achieve an adequate response to, or be intolerant to, immunoglobulin therapy</w:t>
            </w:r>
          </w:p>
        </w:tc>
      </w:tr>
      <w:tr w:rsidR="0027392C" w:rsidRPr="00B90897" w14:paraId="742364AB" w14:textId="77777777" w:rsidTr="0027392C">
        <w:tblPrEx>
          <w:tblCellMar>
            <w:top w:w="15" w:type="dxa"/>
            <w:left w:w="15" w:type="dxa"/>
            <w:bottom w:w="15" w:type="dxa"/>
            <w:right w:w="15" w:type="dxa"/>
          </w:tblCellMar>
          <w:tblLook w:val="04A0" w:firstRow="1" w:lastRow="0" w:firstColumn="1" w:lastColumn="0" w:noHBand="0" w:noVBand="1"/>
        </w:tblPrEx>
        <w:tc>
          <w:tcPr>
            <w:tcW w:w="981" w:type="dxa"/>
            <w:vAlign w:val="center"/>
          </w:tcPr>
          <w:p w14:paraId="56886696" w14:textId="77777777" w:rsidR="0027392C" w:rsidRPr="00120A12" w:rsidRDefault="0027392C" w:rsidP="0027392C">
            <w:pPr>
              <w:jc w:val="center"/>
              <w:rPr>
                <w:rFonts w:ascii="Arial Narrow" w:hAnsi="Arial Narrow"/>
                <w:color w:val="333333"/>
                <w:sz w:val="18"/>
                <w:szCs w:val="18"/>
                <w:lang w:eastAsia="en-AU"/>
              </w:rPr>
            </w:pPr>
          </w:p>
        </w:tc>
        <w:tc>
          <w:tcPr>
            <w:tcW w:w="8086" w:type="dxa"/>
            <w:gridSpan w:val="6"/>
            <w:vAlign w:val="center"/>
          </w:tcPr>
          <w:p w14:paraId="49D46494" w14:textId="77777777" w:rsidR="0027392C" w:rsidRPr="00B35A72" w:rsidRDefault="0027392C" w:rsidP="0027392C">
            <w:pPr>
              <w:rPr>
                <w:rFonts w:ascii="Arial Narrow" w:hAnsi="Arial Narrow"/>
                <w:b/>
                <w:bCs/>
                <w:sz w:val="18"/>
                <w:szCs w:val="18"/>
                <w:lang w:eastAsia="en-AU"/>
              </w:rPr>
            </w:pPr>
            <w:r w:rsidRPr="00120A12">
              <w:rPr>
                <w:rFonts w:ascii="Arial Narrow" w:hAnsi="Arial Narrow"/>
                <w:b/>
                <w:bCs/>
                <w:color w:val="333333"/>
                <w:sz w:val="18"/>
                <w:szCs w:val="18"/>
                <w:lang w:eastAsia="en-AU"/>
              </w:rPr>
              <w:t>AND</w:t>
            </w:r>
          </w:p>
        </w:tc>
      </w:tr>
      <w:tr w:rsidR="0027392C" w:rsidRPr="00B90897" w14:paraId="0E44E609" w14:textId="77777777" w:rsidTr="0027392C">
        <w:tblPrEx>
          <w:tblCellMar>
            <w:top w:w="15" w:type="dxa"/>
            <w:left w:w="15" w:type="dxa"/>
            <w:bottom w:w="15" w:type="dxa"/>
            <w:right w:w="15" w:type="dxa"/>
          </w:tblCellMar>
          <w:tblLook w:val="04A0" w:firstRow="1" w:lastRow="0" w:firstColumn="1" w:lastColumn="0" w:noHBand="0" w:noVBand="1"/>
        </w:tblPrEx>
        <w:tc>
          <w:tcPr>
            <w:tcW w:w="981" w:type="dxa"/>
            <w:vAlign w:val="center"/>
          </w:tcPr>
          <w:p w14:paraId="0CD9EB56" w14:textId="7D0CAD3E" w:rsidR="0027392C" w:rsidRPr="00120A12" w:rsidRDefault="0027392C" w:rsidP="0027392C">
            <w:pPr>
              <w:jc w:val="center"/>
              <w:rPr>
                <w:rFonts w:ascii="Arial Narrow" w:hAnsi="Arial Narrow"/>
                <w:color w:val="333333"/>
                <w:sz w:val="18"/>
                <w:szCs w:val="18"/>
                <w:lang w:eastAsia="en-AU"/>
              </w:rPr>
            </w:pPr>
          </w:p>
        </w:tc>
        <w:tc>
          <w:tcPr>
            <w:tcW w:w="8086" w:type="dxa"/>
            <w:gridSpan w:val="6"/>
            <w:vAlign w:val="center"/>
          </w:tcPr>
          <w:p w14:paraId="1F25F56C" w14:textId="77777777" w:rsidR="0027392C" w:rsidRPr="00B35A72" w:rsidRDefault="0027392C" w:rsidP="0027392C">
            <w:pPr>
              <w:rPr>
                <w:rFonts w:ascii="Arial Narrow" w:hAnsi="Arial Narrow"/>
                <w:b/>
                <w:bCs/>
                <w:sz w:val="18"/>
                <w:szCs w:val="18"/>
                <w:lang w:eastAsia="en-AU"/>
              </w:rPr>
            </w:pPr>
            <w:r w:rsidRPr="00120A12">
              <w:rPr>
                <w:rFonts w:ascii="Arial Narrow" w:hAnsi="Arial Narrow"/>
                <w:b/>
                <w:bCs/>
                <w:color w:val="333333"/>
                <w:sz w:val="18"/>
                <w:szCs w:val="18"/>
                <w:lang w:eastAsia="en-AU"/>
              </w:rPr>
              <w:t>Clinical criteria:</w:t>
            </w:r>
          </w:p>
        </w:tc>
      </w:tr>
      <w:tr w:rsidR="0027392C" w:rsidRPr="00B90897" w14:paraId="0CAB9472" w14:textId="77777777" w:rsidTr="0027392C">
        <w:tblPrEx>
          <w:tblCellMar>
            <w:top w:w="15" w:type="dxa"/>
            <w:left w:w="15" w:type="dxa"/>
            <w:bottom w:w="15" w:type="dxa"/>
            <w:right w:w="15" w:type="dxa"/>
          </w:tblCellMar>
          <w:tblLook w:val="04A0" w:firstRow="1" w:lastRow="0" w:firstColumn="1" w:lastColumn="0" w:noHBand="0" w:noVBand="1"/>
        </w:tblPrEx>
        <w:tc>
          <w:tcPr>
            <w:tcW w:w="981" w:type="dxa"/>
            <w:vAlign w:val="center"/>
          </w:tcPr>
          <w:p w14:paraId="0439AAC9" w14:textId="746397C2"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33598762" w14:textId="77777777" w:rsidR="0027392C" w:rsidRPr="00B35A72" w:rsidRDefault="0027392C" w:rsidP="0027392C">
            <w:pPr>
              <w:rPr>
                <w:rFonts w:ascii="Arial Narrow" w:hAnsi="Arial Narrow"/>
                <w:sz w:val="18"/>
                <w:szCs w:val="18"/>
              </w:rPr>
            </w:pPr>
            <w:r w:rsidRPr="009D6113">
              <w:rPr>
                <w:rFonts w:ascii="Arial Narrow" w:hAnsi="Arial Narrow"/>
                <w:sz w:val="18"/>
                <w:szCs w:val="18"/>
              </w:rPr>
              <w:t>The treatment must be the sole PBS-subsidised thrombopoietin receptor agonist (TRA) for this condition</w:t>
            </w:r>
          </w:p>
        </w:tc>
      </w:tr>
      <w:tr w:rsidR="0027392C" w:rsidRPr="00B90897" w14:paraId="46A269CF" w14:textId="77777777" w:rsidTr="0027392C">
        <w:tblPrEx>
          <w:tblCellMar>
            <w:top w:w="15" w:type="dxa"/>
            <w:left w:w="15" w:type="dxa"/>
            <w:bottom w:w="15" w:type="dxa"/>
            <w:right w:w="15" w:type="dxa"/>
          </w:tblCellMar>
          <w:tblLook w:val="04A0" w:firstRow="1" w:lastRow="0" w:firstColumn="1" w:lastColumn="0" w:noHBand="0" w:noVBand="1"/>
        </w:tblPrEx>
        <w:tc>
          <w:tcPr>
            <w:tcW w:w="981" w:type="dxa"/>
            <w:vAlign w:val="center"/>
          </w:tcPr>
          <w:p w14:paraId="2D6A84B9" w14:textId="3330E046"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6A728698" w14:textId="77777777" w:rsidR="0027392C" w:rsidRPr="009D6113" w:rsidRDefault="0027392C" w:rsidP="0027392C">
            <w:pPr>
              <w:rPr>
                <w:rFonts w:ascii="Arial Narrow" w:hAnsi="Arial Narrow"/>
                <w:sz w:val="18"/>
                <w:szCs w:val="18"/>
              </w:rPr>
            </w:pPr>
            <w:r w:rsidRPr="00826784">
              <w:rPr>
                <w:rFonts w:ascii="Arial Narrow" w:hAnsi="Arial Narrow"/>
                <w:b/>
                <w:bCs/>
                <w:color w:val="333333"/>
                <w:sz w:val="18"/>
                <w:szCs w:val="18"/>
                <w:lang w:eastAsia="en-AU"/>
              </w:rPr>
              <w:t xml:space="preserve">Prescribing Instructions: </w:t>
            </w:r>
            <w:r w:rsidRPr="00826784">
              <w:rPr>
                <w:rFonts w:ascii="Arial Narrow" w:hAnsi="Arial Narrow"/>
                <w:sz w:val="18"/>
                <w:szCs w:val="18"/>
              </w:rPr>
              <w:t>The following criteria indicate failure to achieve an adequate response</w:t>
            </w:r>
            <w:r>
              <w:rPr>
                <w:rFonts w:ascii="Arial Narrow" w:hAnsi="Arial Narrow"/>
                <w:sz w:val="18"/>
                <w:szCs w:val="18"/>
              </w:rPr>
              <w:t xml:space="preserve"> to corticosteroid and/or immunoglobulin therapy</w:t>
            </w:r>
            <w:r w:rsidRPr="00826784">
              <w:rPr>
                <w:rFonts w:ascii="Arial Narrow" w:hAnsi="Arial Narrow"/>
                <w:sz w:val="18"/>
                <w:szCs w:val="18"/>
              </w:rPr>
              <w:t xml:space="preserve"> and must be demonstrated at the time of initial application;, (a) a platelet count of less than or equal to 20,000 million per L; OR, (b) a platelet count of 20,000 million to 30,000 million per L, where the patient is experiencing significant bleeding or has a history of significant bleeding in this platelet range.</w:t>
            </w:r>
          </w:p>
        </w:tc>
      </w:tr>
      <w:tr w:rsidR="0027392C" w:rsidRPr="00B90897" w14:paraId="7BE55747" w14:textId="77777777" w:rsidTr="0027392C">
        <w:tblPrEx>
          <w:tblCellMar>
            <w:top w:w="15" w:type="dxa"/>
            <w:left w:w="15" w:type="dxa"/>
            <w:bottom w:w="15" w:type="dxa"/>
            <w:right w:w="15" w:type="dxa"/>
          </w:tblCellMar>
          <w:tblLook w:val="04A0" w:firstRow="1" w:lastRow="0" w:firstColumn="1" w:lastColumn="0" w:noHBand="0" w:noVBand="1"/>
        </w:tblPrEx>
        <w:tc>
          <w:tcPr>
            <w:tcW w:w="981" w:type="dxa"/>
            <w:vAlign w:val="center"/>
          </w:tcPr>
          <w:p w14:paraId="5FC1F5F3" w14:textId="77777777"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2F055D9F" w14:textId="77777777" w:rsidR="0027392C" w:rsidRPr="009D6113" w:rsidRDefault="0027392C" w:rsidP="0027392C">
            <w:pPr>
              <w:rPr>
                <w:rFonts w:ascii="Arial Narrow" w:hAnsi="Arial Narrow"/>
                <w:sz w:val="18"/>
                <w:szCs w:val="18"/>
                <w:lang w:eastAsia="en-AU"/>
              </w:rPr>
            </w:pPr>
            <w:r w:rsidRPr="009D6113">
              <w:rPr>
                <w:rFonts w:ascii="Arial Narrow" w:hAnsi="Arial Narrow"/>
                <w:b/>
                <w:bCs/>
                <w:color w:val="333333"/>
                <w:sz w:val="18"/>
                <w:szCs w:val="18"/>
                <w:lang w:eastAsia="en-AU"/>
              </w:rPr>
              <w:t>Prescribing Instructions:</w:t>
            </w:r>
            <w:r>
              <w:rPr>
                <w:rFonts w:ascii="Arial Narrow" w:hAnsi="Arial Narrow"/>
                <w:b/>
                <w:bCs/>
                <w:color w:val="333333"/>
                <w:sz w:val="18"/>
                <w:szCs w:val="18"/>
                <w:lang w:eastAsia="en-AU"/>
              </w:rPr>
              <w:t xml:space="preserve"> </w:t>
            </w:r>
            <w:r w:rsidRPr="00E7715A">
              <w:rPr>
                <w:rFonts w:ascii="Arial Narrow" w:hAnsi="Arial Narrow"/>
                <w:sz w:val="18"/>
                <w:szCs w:val="18"/>
              </w:rPr>
              <w:t xml:space="preserve">The medical practitioner should request </w:t>
            </w:r>
            <w:r>
              <w:rPr>
                <w:rFonts w:ascii="Arial Narrow" w:hAnsi="Arial Narrow"/>
                <w:sz w:val="18"/>
                <w:szCs w:val="18"/>
              </w:rPr>
              <w:t>1 vial of the appropriate strength, to titrate therapy based on the weight of the patient. A maximum of 5 repeats will be authorised.</w:t>
            </w:r>
            <w:r w:rsidRPr="009D6113">
              <w:rPr>
                <w:rFonts w:ascii="Arial Narrow" w:hAnsi="Arial Narrow"/>
                <w:sz w:val="18"/>
                <w:szCs w:val="18"/>
              </w:rPr>
              <w:t xml:space="preserve"> </w:t>
            </w:r>
          </w:p>
        </w:tc>
      </w:tr>
      <w:tr w:rsidR="0027392C" w:rsidRPr="00B90897" w14:paraId="7045D080" w14:textId="77777777" w:rsidTr="0027392C">
        <w:tblPrEx>
          <w:tblCellMar>
            <w:top w:w="15" w:type="dxa"/>
            <w:left w:w="15" w:type="dxa"/>
            <w:bottom w:w="15" w:type="dxa"/>
            <w:right w:w="15" w:type="dxa"/>
          </w:tblCellMar>
          <w:tblLook w:val="04A0" w:firstRow="1" w:lastRow="0" w:firstColumn="1" w:lastColumn="0" w:noHBand="0" w:noVBand="1"/>
        </w:tblPrEx>
        <w:tc>
          <w:tcPr>
            <w:tcW w:w="981" w:type="dxa"/>
            <w:vAlign w:val="center"/>
          </w:tcPr>
          <w:p w14:paraId="57027055" w14:textId="77777777"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139C5A6D" w14:textId="77777777" w:rsidR="0027392C" w:rsidRPr="009D6113" w:rsidRDefault="0027392C" w:rsidP="0027392C">
            <w:pPr>
              <w:rPr>
                <w:rFonts w:ascii="Arial Narrow" w:hAnsi="Arial Narrow"/>
                <w:sz w:val="18"/>
                <w:szCs w:val="18"/>
                <w:lang w:eastAsia="en-AU"/>
              </w:rPr>
            </w:pPr>
            <w:r w:rsidRPr="009D6113">
              <w:rPr>
                <w:rFonts w:ascii="Arial Narrow" w:hAnsi="Arial Narrow"/>
                <w:b/>
                <w:bCs/>
                <w:color w:val="333333"/>
                <w:sz w:val="18"/>
                <w:szCs w:val="18"/>
                <w:lang w:eastAsia="en-AU"/>
              </w:rPr>
              <w:t xml:space="preserve">Prescribing Instructions: </w:t>
            </w:r>
            <w:r w:rsidRPr="009D6113">
              <w:rPr>
                <w:rFonts w:ascii="Arial Narrow" w:hAnsi="Arial Narrow"/>
                <w:sz w:val="18"/>
                <w:szCs w:val="18"/>
              </w:rPr>
              <w:t>Once a patient's dose has been stable for a period of 4 weeks, authority approvals for sufficient vials of appropriate strength based on the weight of the patient and dose (microgram/kg/week) for up to 4 weeks of treatment</w:t>
            </w:r>
            <w:r>
              <w:rPr>
                <w:rFonts w:ascii="Arial Narrow" w:hAnsi="Arial Narrow"/>
                <w:sz w:val="18"/>
                <w:szCs w:val="18"/>
              </w:rPr>
              <w:t>.</w:t>
            </w:r>
            <w:r w:rsidRPr="009D6113">
              <w:rPr>
                <w:rFonts w:ascii="Arial Narrow" w:hAnsi="Arial Narrow"/>
                <w:sz w:val="18"/>
                <w:szCs w:val="18"/>
              </w:rPr>
              <w:t xml:space="preserve"> </w:t>
            </w:r>
            <w:r>
              <w:rPr>
                <w:rFonts w:ascii="Arial Narrow" w:hAnsi="Arial Narrow"/>
                <w:sz w:val="18"/>
                <w:szCs w:val="18"/>
              </w:rPr>
              <w:lastRenderedPageBreak/>
              <w:t>may be requested under the Balance of Supply listing. T</w:t>
            </w:r>
            <w:r w:rsidRPr="009D6113">
              <w:rPr>
                <w:rFonts w:ascii="Arial Narrow" w:hAnsi="Arial Narrow"/>
                <w:sz w:val="18"/>
                <w:szCs w:val="18"/>
              </w:rPr>
              <w:t xml:space="preserve">he total period of treatment authorised under this restriction </w:t>
            </w:r>
            <w:r>
              <w:rPr>
                <w:rFonts w:ascii="Arial Narrow" w:hAnsi="Arial Narrow"/>
                <w:sz w:val="18"/>
                <w:szCs w:val="18"/>
              </w:rPr>
              <w:t>must</w:t>
            </w:r>
            <w:r w:rsidRPr="009D6113">
              <w:rPr>
                <w:rFonts w:ascii="Arial Narrow" w:hAnsi="Arial Narrow"/>
                <w:sz w:val="18"/>
                <w:szCs w:val="18"/>
              </w:rPr>
              <w:t xml:space="preserve"> not exceed 24 weeks.</w:t>
            </w:r>
          </w:p>
        </w:tc>
      </w:tr>
      <w:tr w:rsidR="0027392C" w:rsidRPr="00B90897" w14:paraId="459B54F6" w14:textId="77777777" w:rsidTr="0027392C">
        <w:tblPrEx>
          <w:tblCellMar>
            <w:top w:w="15" w:type="dxa"/>
            <w:left w:w="15" w:type="dxa"/>
            <w:bottom w:w="15" w:type="dxa"/>
            <w:right w:w="15" w:type="dxa"/>
          </w:tblCellMar>
          <w:tblLook w:val="04A0" w:firstRow="1" w:lastRow="0" w:firstColumn="1" w:lastColumn="0" w:noHBand="0" w:noVBand="1"/>
        </w:tblPrEx>
        <w:tc>
          <w:tcPr>
            <w:tcW w:w="981" w:type="dxa"/>
            <w:vAlign w:val="center"/>
          </w:tcPr>
          <w:p w14:paraId="415CB496" w14:textId="77777777" w:rsidR="0027392C" w:rsidDel="003D4474" w:rsidRDefault="0027392C" w:rsidP="0027392C">
            <w:pPr>
              <w:jc w:val="center"/>
              <w:rPr>
                <w:rFonts w:ascii="Arial Narrow" w:hAnsi="Arial Narrow"/>
                <w:color w:val="333333"/>
                <w:sz w:val="18"/>
                <w:szCs w:val="18"/>
                <w:lang w:eastAsia="en-AU"/>
              </w:rPr>
            </w:pPr>
          </w:p>
        </w:tc>
        <w:tc>
          <w:tcPr>
            <w:tcW w:w="8086" w:type="dxa"/>
            <w:gridSpan w:val="6"/>
            <w:vAlign w:val="center"/>
          </w:tcPr>
          <w:p w14:paraId="1C88C286" w14:textId="77777777" w:rsidR="0027392C" w:rsidRPr="009D6113" w:rsidRDefault="0027392C" w:rsidP="0027392C">
            <w:pPr>
              <w:rPr>
                <w:rFonts w:ascii="Arial Narrow" w:hAnsi="Arial Narrow"/>
                <w:b/>
                <w:bCs/>
                <w:color w:val="333333"/>
                <w:sz w:val="18"/>
                <w:szCs w:val="18"/>
                <w:lang w:eastAsia="en-AU"/>
              </w:rPr>
            </w:pPr>
            <w:r w:rsidRPr="00437D28">
              <w:rPr>
                <w:rFonts w:ascii="Arial Narrow" w:hAnsi="Arial Narrow"/>
                <w:sz w:val="18"/>
                <w:szCs w:val="18"/>
              </w:rPr>
              <w:t xml:space="preserve">Where a patient has started initial treatment with </w:t>
            </w:r>
            <w:r>
              <w:rPr>
                <w:rFonts w:ascii="Arial Narrow" w:hAnsi="Arial Narrow"/>
                <w:sz w:val="18"/>
                <w:szCs w:val="18"/>
              </w:rPr>
              <w:t>either of romiplostim or eltrombopag,</w:t>
            </w:r>
            <w:r w:rsidRPr="00437D28">
              <w:rPr>
                <w:rFonts w:ascii="Arial Narrow" w:hAnsi="Arial Narrow"/>
                <w:sz w:val="18"/>
                <w:szCs w:val="18"/>
              </w:rPr>
              <w:t xml:space="preserve"> change of therapy to the alternative agent may be authorised under the Balance of supply or change of therapy restriction to complete up to 24 weeks initial treatment.</w:t>
            </w:r>
            <w:r>
              <w:rPr>
                <w:rFonts w:ascii="Open Sans" w:hAnsi="Open Sans" w:cs="Open Sans"/>
                <w:color w:val="222222"/>
                <w:sz w:val="20"/>
                <w:szCs w:val="20"/>
                <w:shd w:val="clear" w:color="auto" w:fill="EEEEEE"/>
              </w:rPr>
              <w:t> </w:t>
            </w:r>
          </w:p>
        </w:tc>
      </w:tr>
      <w:tr w:rsidR="0027392C" w:rsidRPr="00B90897" w14:paraId="20AF6947" w14:textId="77777777" w:rsidTr="0027392C">
        <w:tblPrEx>
          <w:tblCellMar>
            <w:top w:w="15" w:type="dxa"/>
            <w:left w:w="15" w:type="dxa"/>
            <w:bottom w:w="15" w:type="dxa"/>
            <w:right w:w="15" w:type="dxa"/>
          </w:tblCellMar>
          <w:tblLook w:val="04A0" w:firstRow="1" w:lastRow="0" w:firstColumn="1" w:lastColumn="0" w:noHBand="0" w:noVBand="1"/>
        </w:tblPrEx>
        <w:tc>
          <w:tcPr>
            <w:tcW w:w="981" w:type="dxa"/>
            <w:vAlign w:val="center"/>
          </w:tcPr>
          <w:p w14:paraId="731749BD" w14:textId="1C4EC321"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5F74D8D6" w14:textId="77777777" w:rsidR="0027392C" w:rsidRPr="009D6113" w:rsidRDefault="0027392C" w:rsidP="0027392C">
            <w:pPr>
              <w:rPr>
                <w:rFonts w:ascii="Arial Narrow" w:hAnsi="Arial Narrow"/>
                <w:sz w:val="18"/>
                <w:szCs w:val="18"/>
                <w:lang w:eastAsia="en-AU"/>
              </w:rPr>
            </w:pPr>
            <w:r w:rsidRPr="009D6113">
              <w:rPr>
                <w:rFonts w:ascii="Arial Narrow" w:hAnsi="Arial Narrow"/>
                <w:b/>
                <w:bCs/>
                <w:color w:val="333333"/>
                <w:sz w:val="18"/>
                <w:szCs w:val="18"/>
                <w:lang w:eastAsia="en-AU"/>
              </w:rPr>
              <w:t>Prescribing Instructions:</w:t>
            </w:r>
            <w:r w:rsidRPr="009D6113">
              <w:rPr>
                <w:rFonts w:ascii="Arial Narrow" w:hAnsi="Arial Narrow"/>
                <w:sz w:val="18"/>
                <w:szCs w:val="18"/>
              </w:rPr>
              <w:t xml:space="preserve"> Authority approval will not be given for doses higher than 10 micrograms/kg/week</w:t>
            </w:r>
          </w:p>
        </w:tc>
      </w:tr>
      <w:tr w:rsidR="0027392C" w:rsidRPr="00B90897" w14:paraId="5DC235A3" w14:textId="77777777" w:rsidTr="0027392C">
        <w:tblPrEx>
          <w:tblCellMar>
            <w:top w:w="15" w:type="dxa"/>
            <w:left w:w="15" w:type="dxa"/>
            <w:bottom w:w="15" w:type="dxa"/>
            <w:right w:w="15" w:type="dxa"/>
          </w:tblCellMar>
          <w:tblLook w:val="04A0" w:firstRow="1" w:lastRow="0" w:firstColumn="1" w:lastColumn="0" w:noHBand="0" w:noVBand="1"/>
        </w:tblPrEx>
        <w:tc>
          <w:tcPr>
            <w:tcW w:w="981" w:type="dxa"/>
            <w:vAlign w:val="center"/>
          </w:tcPr>
          <w:p w14:paraId="6E212D8D" w14:textId="55899210"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09DD64ED" w14:textId="77777777" w:rsidR="0027392C" w:rsidRDefault="0027392C" w:rsidP="0027392C">
            <w:pPr>
              <w:rPr>
                <w:rFonts w:ascii="Arial Narrow" w:hAnsi="Arial Narrow"/>
                <w:sz w:val="18"/>
                <w:szCs w:val="18"/>
              </w:rPr>
            </w:pPr>
            <w:r w:rsidRPr="009D6113">
              <w:rPr>
                <w:rFonts w:ascii="Arial Narrow" w:hAnsi="Arial Narrow"/>
                <w:b/>
                <w:bCs/>
                <w:color w:val="333333"/>
                <w:sz w:val="18"/>
                <w:szCs w:val="18"/>
                <w:lang w:eastAsia="en-AU"/>
              </w:rPr>
              <w:t>Prescribing Instructions</w:t>
            </w:r>
            <w:r>
              <w:rPr>
                <w:rFonts w:ascii="Arial Narrow" w:hAnsi="Arial Narrow"/>
                <w:b/>
                <w:bCs/>
                <w:color w:val="333333"/>
                <w:sz w:val="18"/>
                <w:szCs w:val="18"/>
                <w:lang w:eastAsia="en-AU"/>
              </w:rPr>
              <w:t xml:space="preserve">: </w:t>
            </w:r>
            <w:r w:rsidRPr="00B35A72">
              <w:rPr>
                <w:rFonts w:ascii="Arial Narrow" w:hAnsi="Arial Narrow"/>
                <w:sz w:val="18"/>
                <w:szCs w:val="18"/>
              </w:rPr>
              <w:t>The authority application must be made in</w:t>
            </w:r>
            <w:r>
              <w:rPr>
                <w:rFonts w:ascii="Arial Narrow" w:hAnsi="Arial Narrow"/>
                <w:sz w:val="18"/>
                <w:szCs w:val="18"/>
              </w:rPr>
              <w:t xml:space="preserve"> writing </w:t>
            </w:r>
            <w:r w:rsidRPr="00B35A72">
              <w:rPr>
                <w:rFonts w:ascii="Arial Narrow" w:hAnsi="Arial Narrow"/>
                <w:sz w:val="18"/>
                <w:szCs w:val="18"/>
              </w:rPr>
              <w:t xml:space="preserve">and must include:, </w:t>
            </w:r>
          </w:p>
          <w:p w14:paraId="0D757E64" w14:textId="77777777" w:rsidR="0027392C" w:rsidRDefault="0027392C" w:rsidP="0027392C">
            <w:pPr>
              <w:rPr>
                <w:rFonts w:ascii="Arial Narrow" w:hAnsi="Arial Narrow"/>
                <w:sz w:val="18"/>
                <w:szCs w:val="18"/>
              </w:rPr>
            </w:pPr>
            <w:r w:rsidRPr="00B35A72">
              <w:rPr>
                <w:rFonts w:ascii="Arial Narrow" w:hAnsi="Arial Narrow"/>
                <w:sz w:val="18"/>
                <w:szCs w:val="18"/>
              </w:rPr>
              <w:t xml:space="preserve">(1) a completed authority prescription form, </w:t>
            </w:r>
          </w:p>
          <w:p w14:paraId="6F7E6ED5" w14:textId="77777777" w:rsidR="0027392C" w:rsidRDefault="0027392C" w:rsidP="0027392C">
            <w:pPr>
              <w:rPr>
                <w:rFonts w:ascii="Arial Narrow" w:hAnsi="Arial Narrow"/>
                <w:sz w:val="18"/>
                <w:szCs w:val="18"/>
              </w:rPr>
            </w:pPr>
            <w:r w:rsidRPr="00B35A72">
              <w:rPr>
                <w:rFonts w:ascii="Arial Narrow" w:hAnsi="Arial Narrow"/>
                <w:sz w:val="18"/>
                <w:szCs w:val="18"/>
              </w:rPr>
              <w:t xml:space="preserve">(2) a completed Idiopathic Thrombocytopenic Purpura Initial PBS Authority Application - Supporting Information Form, </w:t>
            </w:r>
          </w:p>
          <w:p w14:paraId="606EDD89" w14:textId="77777777" w:rsidR="0027392C" w:rsidRDefault="0027392C" w:rsidP="0027392C">
            <w:pPr>
              <w:rPr>
                <w:rFonts w:ascii="Arial Narrow" w:hAnsi="Arial Narrow"/>
                <w:sz w:val="18"/>
                <w:szCs w:val="18"/>
              </w:rPr>
            </w:pPr>
            <w:r w:rsidRPr="00B35A72">
              <w:rPr>
                <w:rFonts w:ascii="Arial Narrow" w:hAnsi="Arial Narrow"/>
                <w:sz w:val="18"/>
                <w:szCs w:val="18"/>
              </w:rPr>
              <w:t xml:space="preserve">(3) details of a platelet count supporting the diagnosis of ITP, and, </w:t>
            </w:r>
          </w:p>
          <w:p w14:paraId="1835A9DD" w14:textId="77777777" w:rsidR="0027392C" w:rsidRPr="00B35A72" w:rsidRDefault="0027392C" w:rsidP="0027392C">
            <w:pPr>
              <w:rPr>
                <w:rFonts w:ascii="Arial Narrow" w:hAnsi="Arial Narrow"/>
                <w:sz w:val="18"/>
                <w:szCs w:val="18"/>
                <w:lang w:eastAsia="en-AU"/>
              </w:rPr>
            </w:pPr>
            <w:r w:rsidRPr="00B35A72">
              <w:rPr>
                <w:rFonts w:ascii="Arial Narrow" w:hAnsi="Arial Narrow"/>
                <w:sz w:val="18"/>
                <w:szCs w:val="18"/>
              </w:rPr>
              <w:t>(4) details of the reason of medical contraindication for surgery and date of assessment.</w:t>
            </w:r>
          </w:p>
        </w:tc>
      </w:tr>
      <w:tr w:rsidR="0027392C" w:rsidRPr="00B90897" w14:paraId="7B00F284" w14:textId="77777777" w:rsidTr="0027392C">
        <w:tblPrEx>
          <w:tblCellMar>
            <w:top w:w="15" w:type="dxa"/>
            <w:left w:w="15" w:type="dxa"/>
            <w:bottom w:w="15" w:type="dxa"/>
            <w:right w:w="15" w:type="dxa"/>
          </w:tblCellMar>
          <w:tblLook w:val="04A0" w:firstRow="1" w:lastRow="0" w:firstColumn="1" w:lastColumn="0" w:noHBand="0" w:noVBand="1"/>
        </w:tblPrEx>
        <w:tc>
          <w:tcPr>
            <w:tcW w:w="981" w:type="dxa"/>
            <w:vAlign w:val="center"/>
          </w:tcPr>
          <w:p w14:paraId="7E908A73" w14:textId="0CD59666"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0A1C4E9F" w14:textId="77777777" w:rsidR="0027392C" w:rsidRPr="00826784" w:rsidRDefault="0027392C" w:rsidP="0027392C">
            <w:pPr>
              <w:rPr>
                <w:rFonts w:ascii="Arial Narrow" w:hAnsi="Arial Narrow"/>
                <w:sz w:val="18"/>
                <w:szCs w:val="18"/>
              </w:rPr>
            </w:pPr>
            <w:r w:rsidRPr="00826784">
              <w:rPr>
                <w:rFonts w:ascii="Arial Narrow" w:hAnsi="Arial Narrow"/>
                <w:b/>
                <w:bCs/>
                <w:color w:val="333333"/>
                <w:sz w:val="18"/>
                <w:szCs w:val="18"/>
                <w:lang w:eastAsia="en-AU"/>
              </w:rPr>
              <w:t xml:space="preserve">Prescribing Instructions: </w:t>
            </w:r>
            <w:r w:rsidRPr="00826784">
              <w:rPr>
                <w:rFonts w:ascii="Arial Narrow" w:hAnsi="Arial Narrow"/>
                <w:sz w:val="18"/>
                <w:szCs w:val="18"/>
              </w:rPr>
              <w:t>The platelet count must be no more than 4 weeks old at the time of application.</w:t>
            </w:r>
          </w:p>
        </w:tc>
      </w:tr>
      <w:tr w:rsidR="0027392C" w:rsidRPr="00B90897" w14:paraId="0268D635" w14:textId="77777777" w:rsidTr="0027392C">
        <w:tblPrEx>
          <w:tblCellMar>
            <w:top w:w="15" w:type="dxa"/>
            <w:left w:w="15" w:type="dxa"/>
            <w:bottom w:w="15" w:type="dxa"/>
            <w:right w:w="15" w:type="dxa"/>
          </w:tblCellMar>
          <w:tblLook w:val="04A0" w:firstRow="1" w:lastRow="0" w:firstColumn="1" w:lastColumn="0" w:noHBand="0" w:noVBand="1"/>
        </w:tblPrEx>
        <w:tc>
          <w:tcPr>
            <w:tcW w:w="981" w:type="dxa"/>
            <w:vAlign w:val="center"/>
          </w:tcPr>
          <w:p w14:paraId="47FEEF31" w14:textId="65F81D13"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1A2B18F3" w14:textId="77777777" w:rsidR="0027392C" w:rsidRPr="00E7715A" w:rsidRDefault="0027392C" w:rsidP="0027392C">
            <w:pPr>
              <w:rPr>
                <w:rFonts w:ascii="Arial Narrow" w:hAnsi="Arial Narrow"/>
                <w:color w:val="333333"/>
                <w:sz w:val="18"/>
                <w:szCs w:val="18"/>
                <w:lang w:eastAsia="en-AU"/>
              </w:rPr>
            </w:pPr>
            <w:r w:rsidRPr="00120A12">
              <w:rPr>
                <w:rFonts w:ascii="Arial Narrow" w:hAnsi="Arial Narrow"/>
                <w:b/>
                <w:bCs/>
                <w:color w:val="333333"/>
                <w:sz w:val="18"/>
                <w:szCs w:val="18"/>
                <w:lang w:eastAsia="en-AU"/>
              </w:rPr>
              <w:t>Administrative Advice:</w:t>
            </w:r>
            <w:r>
              <w:t xml:space="preserve"> </w:t>
            </w:r>
            <w:r w:rsidRPr="009D6113">
              <w:rPr>
                <w:rFonts w:ascii="Arial Narrow" w:hAnsi="Arial Narrow"/>
                <w:sz w:val="18"/>
                <w:szCs w:val="18"/>
              </w:rPr>
              <w:t>Any queries concerning the arrangements to prescribe may be directed to Services Australia on 1800 700 270 (hours of operation 8 a.m. to 5 p.m. EST Monday to Friday)., Prescribing information (including Authority Application forms and other relevant documentation as applicable) is available on the Services Australia website at www.servicesaustralia.gov.au, Applications for authority to prescribe should be submitted online using the form upload facility in Health Professional Online Services (HPOS) at www.servicesaustralia.gov.au/hpos, Or mailed to:, Services Australia, Complex Drugs, Reply Paid 9826, HOBART TAS 7001</w:t>
            </w:r>
          </w:p>
        </w:tc>
      </w:tr>
      <w:tr w:rsidR="0027392C" w:rsidRPr="00B90897" w14:paraId="759959C1" w14:textId="77777777" w:rsidTr="0027392C">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0AEE5E03" w14:textId="77777777" w:rsidR="0027392C" w:rsidRPr="00120A12" w:rsidRDefault="0027392C" w:rsidP="0027392C">
            <w:pPr>
              <w:rPr>
                <w:rFonts w:ascii="Arial Narrow" w:hAnsi="Arial Narrow"/>
                <w:b/>
                <w:bCs/>
                <w:color w:val="333333"/>
                <w:sz w:val="18"/>
                <w:szCs w:val="18"/>
                <w:lang w:eastAsia="en-AU"/>
              </w:rPr>
            </w:pPr>
          </w:p>
        </w:tc>
      </w:tr>
      <w:tr w:rsidR="0027392C" w:rsidRPr="00B90897" w14:paraId="21C2A0D7" w14:textId="77777777" w:rsidTr="0027392C">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17152895" w14:textId="311F4264" w:rsidR="0027392C" w:rsidRPr="00120A12" w:rsidRDefault="0027392C" w:rsidP="0027392C">
            <w:pPr>
              <w:rPr>
                <w:rFonts w:ascii="Arial Narrow" w:hAnsi="Arial Narrow"/>
                <w:b/>
                <w:bCs/>
                <w:color w:val="333333"/>
                <w:sz w:val="18"/>
                <w:szCs w:val="18"/>
                <w:lang w:eastAsia="en-AU"/>
              </w:rPr>
            </w:pPr>
          </w:p>
        </w:tc>
      </w:tr>
      <w:tr w:rsidR="0027392C" w:rsidRPr="00B90897" w14:paraId="022AD7FC" w14:textId="77777777" w:rsidTr="0027392C">
        <w:tblPrEx>
          <w:tblCellMar>
            <w:top w:w="15" w:type="dxa"/>
            <w:left w:w="15" w:type="dxa"/>
            <w:bottom w:w="15" w:type="dxa"/>
            <w:right w:w="15" w:type="dxa"/>
          </w:tblCellMar>
          <w:tblLook w:val="04A0" w:firstRow="1" w:lastRow="0" w:firstColumn="1" w:lastColumn="0" w:noHBand="0" w:noVBand="1"/>
        </w:tblPrEx>
        <w:tc>
          <w:tcPr>
            <w:tcW w:w="981" w:type="dxa"/>
            <w:vMerge w:val="restart"/>
          </w:tcPr>
          <w:p w14:paraId="167C3044" w14:textId="6430C835" w:rsidR="0027392C" w:rsidRPr="00DB2FF7" w:rsidRDefault="0027392C" w:rsidP="0027392C">
            <w:pPr>
              <w:jc w:val="center"/>
              <w:rPr>
                <w:rFonts w:ascii="Arial Narrow" w:hAnsi="Arial Narrow"/>
                <w:b/>
                <w:bCs/>
                <w:color w:val="333333"/>
                <w:sz w:val="18"/>
                <w:szCs w:val="18"/>
                <w:lang w:eastAsia="en-AU"/>
              </w:rPr>
            </w:pPr>
          </w:p>
        </w:tc>
        <w:tc>
          <w:tcPr>
            <w:tcW w:w="8086" w:type="dxa"/>
            <w:gridSpan w:val="6"/>
          </w:tcPr>
          <w:p w14:paraId="3554681C" w14:textId="77777777" w:rsidR="0027392C" w:rsidRPr="00120A12" w:rsidRDefault="0027392C" w:rsidP="0027392C">
            <w:pPr>
              <w:rPr>
                <w:rFonts w:ascii="Arial Narrow" w:hAnsi="Arial Narrow"/>
                <w:b/>
                <w:bCs/>
                <w:color w:val="333333"/>
                <w:sz w:val="18"/>
                <w:szCs w:val="18"/>
                <w:lang w:eastAsia="en-AU"/>
              </w:rPr>
            </w:pPr>
            <w:r w:rsidRPr="0020649C">
              <w:rPr>
                <w:rFonts w:ascii="Arial Narrow" w:hAnsi="Arial Narrow" w:cs="Arial"/>
                <w:b/>
                <w:sz w:val="18"/>
                <w:szCs w:val="18"/>
              </w:rPr>
              <w:t>Category / Program:</w:t>
            </w:r>
            <w:r>
              <w:rPr>
                <w:rFonts w:ascii="Arial Narrow" w:hAnsi="Arial Narrow" w:cs="Arial"/>
                <w:b/>
                <w:sz w:val="18"/>
                <w:szCs w:val="18"/>
              </w:rPr>
              <w:t xml:space="preserve"> </w:t>
            </w:r>
            <w:r w:rsidRPr="003D201F">
              <w:rPr>
                <w:rFonts w:ascii="Arial Narrow" w:hAnsi="Arial Narrow" w:cs="Arial"/>
                <w:sz w:val="18"/>
                <w:szCs w:val="18"/>
              </w:rPr>
              <w:t xml:space="preserve">Section 100 – </w:t>
            </w:r>
            <w:r>
              <w:rPr>
                <w:rFonts w:ascii="Arial Narrow" w:hAnsi="Arial Narrow" w:cs="Arial"/>
                <w:sz w:val="18"/>
                <w:szCs w:val="18"/>
              </w:rPr>
              <w:t xml:space="preserve">Highly Specialised Drugs Program  </w:t>
            </w:r>
          </w:p>
        </w:tc>
      </w:tr>
      <w:tr w:rsidR="0027392C" w:rsidRPr="00B90897" w14:paraId="67EB6968" w14:textId="77777777" w:rsidTr="0027392C">
        <w:tblPrEx>
          <w:tblCellMar>
            <w:top w:w="15" w:type="dxa"/>
            <w:left w:w="15" w:type="dxa"/>
            <w:bottom w:w="15" w:type="dxa"/>
            <w:right w:w="15" w:type="dxa"/>
          </w:tblCellMar>
          <w:tblLook w:val="04A0" w:firstRow="1" w:lastRow="0" w:firstColumn="1" w:lastColumn="0" w:noHBand="0" w:noVBand="1"/>
        </w:tblPrEx>
        <w:tc>
          <w:tcPr>
            <w:tcW w:w="981" w:type="dxa"/>
            <w:vMerge/>
          </w:tcPr>
          <w:p w14:paraId="40ACA1E8" w14:textId="77777777" w:rsidR="0027392C" w:rsidRPr="00507253" w:rsidRDefault="0027392C" w:rsidP="0027392C">
            <w:pPr>
              <w:jc w:val="center"/>
              <w:rPr>
                <w:rFonts w:ascii="Arial Narrow" w:hAnsi="Arial Narrow" w:cs="Arial"/>
                <w:b/>
                <w:sz w:val="18"/>
                <w:szCs w:val="18"/>
              </w:rPr>
            </w:pPr>
          </w:p>
        </w:tc>
        <w:tc>
          <w:tcPr>
            <w:tcW w:w="8086" w:type="dxa"/>
            <w:gridSpan w:val="6"/>
          </w:tcPr>
          <w:p w14:paraId="39CC2670" w14:textId="77777777" w:rsidR="0027392C" w:rsidRPr="0020649C" w:rsidRDefault="0027392C" w:rsidP="0027392C">
            <w:pPr>
              <w:rPr>
                <w:rFonts w:ascii="Arial Narrow" w:hAnsi="Arial Narrow" w:cs="Arial"/>
                <w:b/>
                <w:sz w:val="18"/>
                <w:szCs w:val="18"/>
              </w:rPr>
            </w:pPr>
            <w:r w:rsidRPr="00120A12">
              <w:rPr>
                <w:rFonts w:ascii="Arial Narrow" w:hAnsi="Arial Narrow" w:cs="Arial"/>
                <w:b/>
                <w:sz w:val="18"/>
                <w:szCs w:val="18"/>
              </w:rPr>
              <w:t>Prescriber type</w:t>
            </w:r>
            <w:r>
              <w:rPr>
                <w:rFonts w:ascii="Arial Narrow" w:hAnsi="Arial Narrow" w:cs="Arial"/>
                <w:b/>
                <w:sz w:val="18"/>
                <w:szCs w:val="18"/>
              </w:rPr>
              <w:t>:</w:t>
            </w:r>
            <w:r w:rsidRPr="00120A12">
              <w:rPr>
                <w:rFonts w:ascii="Arial Narrow" w:hAnsi="Arial Narrow" w:cs="Arial"/>
                <w:sz w:val="18"/>
                <w:szCs w:val="18"/>
              </w:rPr>
              <w:t xml:space="preserve"> </w:t>
            </w:r>
            <w:r>
              <w:rPr>
                <w:rFonts w:ascii="Arial Narrow" w:hAnsi="Arial Narrow" w:cs="Arial"/>
                <w:sz w:val="18"/>
                <w:szCs w:val="18"/>
              </w:rPr>
              <w:fldChar w:fldCharType="begin">
                <w:ffData>
                  <w:name w:val=""/>
                  <w:enabled/>
                  <w:calcOnExit w:val="0"/>
                  <w:checkBox>
                    <w:sizeAuto/>
                    <w:default w:val="1"/>
                  </w:checkBox>
                </w:ffData>
              </w:fldChar>
            </w:r>
            <w:r>
              <w:rPr>
                <w:rFonts w:ascii="Arial Narrow" w:hAnsi="Arial Narrow" w:cs="Arial"/>
                <w:sz w:val="18"/>
                <w:szCs w:val="18"/>
              </w:rPr>
              <w:instrText xml:space="preserve"> FORMCHECKBOX </w:instrText>
            </w:r>
            <w:r w:rsidR="00B643E4">
              <w:rPr>
                <w:rFonts w:ascii="Arial Narrow" w:hAnsi="Arial Narrow" w:cs="Arial"/>
                <w:sz w:val="18"/>
                <w:szCs w:val="18"/>
              </w:rPr>
            </w:r>
            <w:r w:rsidR="00B643E4">
              <w:rPr>
                <w:rFonts w:ascii="Arial Narrow" w:hAnsi="Arial Narrow" w:cs="Arial"/>
                <w:sz w:val="18"/>
                <w:szCs w:val="18"/>
              </w:rPr>
              <w:fldChar w:fldCharType="separate"/>
            </w:r>
            <w:r>
              <w:rPr>
                <w:rFonts w:ascii="Arial Narrow" w:hAnsi="Arial Narrow" w:cs="Arial"/>
                <w:sz w:val="18"/>
                <w:szCs w:val="18"/>
              </w:rPr>
              <w:fldChar w:fldCharType="end"/>
            </w:r>
            <w:r w:rsidRPr="00120A12">
              <w:rPr>
                <w:rFonts w:ascii="Arial Narrow" w:hAnsi="Arial Narrow" w:cs="Arial"/>
                <w:sz w:val="18"/>
                <w:szCs w:val="18"/>
              </w:rPr>
              <w:t>Medical Practitioners</w:t>
            </w:r>
            <w:r>
              <w:rPr>
                <w:rFonts w:ascii="Arial Narrow" w:hAnsi="Arial Narrow" w:cs="Arial"/>
                <w:sz w:val="18"/>
                <w:szCs w:val="18"/>
              </w:rPr>
              <w:t xml:space="preserve">  </w:t>
            </w:r>
            <w:r w:rsidRPr="00120A12">
              <w:rPr>
                <w:rFonts w:ascii="Arial Narrow" w:hAnsi="Arial Narrow" w:cs="Arial"/>
                <w:sz w:val="18"/>
                <w:szCs w:val="18"/>
              </w:rPr>
              <w:t xml:space="preserve"> </w:t>
            </w:r>
          </w:p>
        </w:tc>
      </w:tr>
      <w:tr w:rsidR="0027392C" w:rsidRPr="00B90897" w14:paraId="27A322FA" w14:textId="77777777" w:rsidTr="0027392C">
        <w:tblPrEx>
          <w:tblCellMar>
            <w:top w:w="15" w:type="dxa"/>
            <w:left w:w="15" w:type="dxa"/>
            <w:bottom w:w="15" w:type="dxa"/>
            <w:right w:w="15" w:type="dxa"/>
          </w:tblCellMar>
          <w:tblLook w:val="04A0" w:firstRow="1" w:lastRow="0" w:firstColumn="1" w:lastColumn="0" w:noHBand="0" w:noVBand="1"/>
        </w:tblPrEx>
        <w:tc>
          <w:tcPr>
            <w:tcW w:w="981" w:type="dxa"/>
            <w:vMerge/>
          </w:tcPr>
          <w:p w14:paraId="4D37A900" w14:textId="77777777" w:rsidR="0027392C" w:rsidRPr="00507253" w:rsidRDefault="0027392C" w:rsidP="0027392C">
            <w:pPr>
              <w:jc w:val="center"/>
              <w:rPr>
                <w:rFonts w:ascii="Arial Narrow" w:hAnsi="Arial Narrow" w:cs="Arial"/>
                <w:b/>
                <w:sz w:val="18"/>
                <w:szCs w:val="18"/>
              </w:rPr>
            </w:pPr>
          </w:p>
        </w:tc>
        <w:tc>
          <w:tcPr>
            <w:tcW w:w="8086" w:type="dxa"/>
            <w:gridSpan w:val="6"/>
          </w:tcPr>
          <w:p w14:paraId="6B5B4641" w14:textId="77777777" w:rsidR="0027392C" w:rsidRPr="00120A12" w:rsidRDefault="0027392C" w:rsidP="0027392C">
            <w:pPr>
              <w:rPr>
                <w:rFonts w:ascii="Arial Narrow" w:hAnsi="Arial Narrow" w:cs="Arial"/>
                <w:b/>
                <w:sz w:val="18"/>
                <w:szCs w:val="18"/>
              </w:rPr>
            </w:pPr>
            <w:r w:rsidRPr="0020649C">
              <w:rPr>
                <w:rFonts w:ascii="Arial Narrow" w:hAnsi="Arial Narrow" w:cs="Arial"/>
                <w:b/>
                <w:sz w:val="18"/>
                <w:szCs w:val="18"/>
              </w:rPr>
              <w:t xml:space="preserve">Restriction </w:t>
            </w:r>
            <w:r>
              <w:rPr>
                <w:rFonts w:ascii="Arial Narrow" w:hAnsi="Arial Narrow" w:cs="Arial"/>
                <w:b/>
                <w:sz w:val="18"/>
                <w:szCs w:val="18"/>
              </w:rPr>
              <w:t xml:space="preserve">type: </w:t>
            </w:r>
            <w:r>
              <w:rPr>
                <w:rFonts w:ascii="Arial Narrow" w:eastAsia="Calibri" w:hAnsi="Arial Narrow" w:cs="Arial"/>
                <w:sz w:val="18"/>
                <w:szCs w:val="18"/>
              </w:rPr>
              <w:fldChar w:fldCharType="begin">
                <w:ffData>
                  <w:name w:val=""/>
                  <w:enabled/>
                  <w:calcOnExit w:val="0"/>
                  <w:checkBox>
                    <w:sizeAuto/>
                    <w:default w:val="1"/>
                  </w:checkBox>
                </w:ffData>
              </w:fldChar>
            </w:r>
            <w:r>
              <w:rPr>
                <w:rFonts w:ascii="Arial Narrow" w:eastAsia="Calibri" w:hAnsi="Arial Narrow" w:cs="Arial"/>
                <w:sz w:val="18"/>
                <w:szCs w:val="18"/>
              </w:rPr>
              <w:instrText xml:space="preserve"> FORMCHECKBOX </w:instrText>
            </w:r>
            <w:r w:rsidR="00B643E4">
              <w:rPr>
                <w:rFonts w:ascii="Arial Narrow" w:eastAsia="Calibri" w:hAnsi="Arial Narrow" w:cs="Arial"/>
                <w:sz w:val="18"/>
                <w:szCs w:val="18"/>
              </w:rPr>
            </w:r>
            <w:r w:rsidR="00B643E4">
              <w:rPr>
                <w:rFonts w:ascii="Arial Narrow" w:eastAsia="Calibri" w:hAnsi="Arial Narrow" w:cs="Arial"/>
                <w:sz w:val="18"/>
                <w:szCs w:val="18"/>
              </w:rPr>
              <w:fldChar w:fldCharType="separate"/>
            </w:r>
            <w:r>
              <w:rPr>
                <w:rFonts w:ascii="Arial Narrow" w:eastAsia="Calibri" w:hAnsi="Arial Narrow" w:cs="Arial"/>
                <w:sz w:val="18"/>
                <w:szCs w:val="18"/>
              </w:rPr>
              <w:fldChar w:fldCharType="end"/>
            </w:r>
            <w:r w:rsidRPr="00F86065">
              <w:rPr>
                <w:rFonts w:ascii="Arial Narrow" w:eastAsia="Calibri" w:hAnsi="Arial Narrow" w:cs="Arial"/>
                <w:sz w:val="18"/>
                <w:szCs w:val="18"/>
              </w:rPr>
              <w:t xml:space="preserve">Authority Required – </w:t>
            </w:r>
            <w:r>
              <w:rPr>
                <w:rFonts w:ascii="Arial Narrow" w:eastAsia="Calibri" w:hAnsi="Arial Narrow" w:cs="Arial"/>
                <w:sz w:val="18"/>
                <w:szCs w:val="18"/>
              </w:rPr>
              <w:t>(Telephone /electronic)</w:t>
            </w:r>
          </w:p>
        </w:tc>
      </w:tr>
      <w:tr w:rsidR="0027392C" w:rsidRPr="00B90897" w14:paraId="68F4D0A5" w14:textId="77777777" w:rsidTr="0027392C">
        <w:tblPrEx>
          <w:tblCellMar>
            <w:top w:w="15" w:type="dxa"/>
            <w:left w:w="15" w:type="dxa"/>
            <w:bottom w:w="15" w:type="dxa"/>
            <w:right w:w="15" w:type="dxa"/>
          </w:tblCellMar>
          <w:tblLook w:val="04A0" w:firstRow="1" w:lastRow="0" w:firstColumn="1" w:lastColumn="0" w:noHBand="0" w:noVBand="1"/>
        </w:tblPrEx>
        <w:tc>
          <w:tcPr>
            <w:tcW w:w="981" w:type="dxa"/>
            <w:vAlign w:val="center"/>
          </w:tcPr>
          <w:p w14:paraId="388191EF" w14:textId="58A47D7B" w:rsidR="0027392C" w:rsidRPr="00507253" w:rsidRDefault="0027392C" w:rsidP="0027392C">
            <w:pPr>
              <w:jc w:val="center"/>
              <w:rPr>
                <w:rFonts w:ascii="Arial Narrow" w:hAnsi="Arial Narrow" w:cs="Arial"/>
                <w:b/>
                <w:sz w:val="18"/>
                <w:szCs w:val="18"/>
              </w:rPr>
            </w:pPr>
          </w:p>
        </w:tc>
        <w:tc>
          <w:tcPr>
            <w:tcW w:w="8086" w:type="dxa"/>
            <w:gridSpan w:val="6"/>
            <w:vAlign w:val="center"/>
          </w:tcPr>
          <w:p w14:paraId="5DC851BE" w14:textId="77777777" w:rsidR="0027392C" w:rsidRPr="0020649C" w:rsidRDefault="0027392C" w:rsidP="0027392C">
            <w:pPr>
              <w:rPr>
                <w:rFonts w:ascii="Arial Narrow" w:hAnsi="Arial Narrow" w:cs="Arial"/>
                <w:b/>
                <w:sz w:val="18"/>
                <w:szCs w:val="18"/>
              </w:rPr>
            </w:pPr>
            <w:r w:rsidRPr="00120A12">
              <w:rPr>
                <w:rFonts w:ascii="Arial Narrow" w:hAnsi="Arial Narrow"/>
                <w:b/>
                <w:bCs/>
                <w:color w:val="333333"/>
                <w:sz w:val="18"/>
                <w:szCs w:val="18"/>
                <w:lang w:eastAsia="en-AU"/>
              </w:rPr>
              <w:t>Indication:</w:t>
            </w:r>
            <w:r>
              <w:rPr>
                <w:rFonts w:ascii="Arial Narrow" w:hAnsi="Arial Narrow"/>
                <w:color w:val="333333"/>
                <w:sz w:val="18"/>
                <w:szCs w:val="18"/>
                <w:lang w:eastAsia="en-AU"/>
              </w:rPr>
              <w:t xml:space="preserve"> Severe thrombocytopenia</w:t>
            </w:r>
          </w:p>
        </w:tc>
      </w:tr>
      <w:tr w:rsidR="0027392C" w:rsidRPr="00B90897" w14:paraId="7AC6D055" w14:textId="77777777" w:rsidTr="0027392C">
        <w:tblPrEx>
          <w:tblCellMar>
            <w:top w:w="15" w:type="dxa"/>
            <w:left w:w="15" w:type="dxa"/>
            <w:bottom w:w="15" w:type="dxa"/>
            <w:right w:w="15" w:type="dxa"/>
          </w:tblCellMar>
          <w:tblLook w:val="04A0" w:firstRow="1" w:lastRow="0" w:firstColumn="1" w:lastColumn="0" w:noHBand="0" w:noVBand="1"/>
        </w:tblPrEx>
        <w:tc>
          <w:tcPr>
            <w:tcW w:w="981" w:type="dxa"/>
            <w:vAlign w:val="center"/>
          </w:tcPr>
          <w:p w14:paraId="12F535FE" w14:textId="77777777"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642501E6" w14:textId="77777777" w:rsidR="0027392C" w:rsidRPr="00120A12" w:rsidRDefault="0027392C" w:rsidP="0027392C">
            <w:pPr>
              <w:rPr>
                <w:rFonts w:ascii="Arial Narrow" w:hAnsi="Arial Narrow"/>
                <w:b/>
                <w:bCs/>
                <w:color w:val="333333"/>
                <w:sz w:val="18"/>
                <w:szCs w:val="18"/>
                <w:lang w:eastAsia="en-AU"/>
              </w:rPr>
            </w:pPr>
            <w:r w:rsidRPr="00B35A72">
              <w:rPr>
                <w:rFonts w:ascii="Arial Narrow" w:hAnsi="Arial Narrow"/>
                <w:b/>
                <w:bCs/>
                <w:sz w:val="18"/>
                <w:szCs w:val="18"/>
                <w:lang w:eastAsia="en-AU"/>
              </w:rPr>
              <w:t>Treatment Phase:</w:t>
            </w:r>
            <w:r w:rsidRPr="00B35A72">
              <w:rPr>
                <w:rFonts w:ascii="Arial Narrow" w:hAnsi="Arial Narrow"/>
                <w:sz w:val="18"/>
                <w:szCs w:val="18"/>
                <w:lang w:eastAsia="en-AU"/>
              </w:rPr>
              <w:t xml:space="preserve"> </w:t>
            </w:r>
            <w:r>
              <w:rPr>
                <w:rFonts w:ascii="Arial Narrow" w:hAnsi="Arial Narrow"/>
                <w:sz w:val="18"/>
                <w:szCs w:val="18"/>
                <w:lang w:eastAsia="en-AU"/>
              </w:rPr>
              <w:t>First Continuing treatment or Re-initiation of interrupted continuing treatment</w:t>
            </w:r>
            <w:r w:rsidRPr="00B35A72">
              <w:rPr>
                <w:rFonts w:ascii="Arial Narrow" w:hAnsi="Arial Narrow"/>
                <w:sz w:val="18"/>
                <w:szCs w:val="18"/>
                <w:lang w:eastAsia="en-AU"/>
              </w:rPr>
              <w:t xml:space="preserve">  </w:t>
            </w:r>
          </w:p>
        </w:tc>
      </w:tr>
      <w:tr w:rsidR="0027392C" w:rsidRPr="00B90897" w14:paraId="4399574C" w14:textId="77777777" w:rsidTr="0027392C">
        <w:tblPrEx>
          <w:tblCellMar>
            <w:top w:w="15" w:type="dxa"/>
            <w:left w:w="15" w:type="dxa"/>
            <w:bottom w:w="15" w:type="dxa"/>
            <w:right w:w="15" w:type="dxa"/>
          </w:tblCellMar>
          <w:tblLook w:val="04A0" w:firstRow="1" w:lastRow="0" w:firstColumn="1" w:lastColumn="0" w:noHBand="0" w:noVBand="1"/>
        </w:tblPrEx>
        <w:tc>
          <w:tcPr>
            <w:tcW w:w="981" w:type="dxa"/>
            <w:vAlign w:val="center"/>
          </w:tcPr>
          <w:p w14:paraId="38334FC8" w14:textId="359B6D79"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23886BB9" w14:textId="77777777" w:rsidR="0027392C" w:rsidRPr="00B35A72" w:rsidRDefault="0027392C" w:rsidP="0027392C">
            <w:pPr>
              <w:rPr>
                <w:rFonts w:ascii="Arial Narrow" w:hAnsi="Arial Narrow"/>
                <w:b/>
                <w:bCs/>
                <w:sz w:val="18"/>
                <w:szCs w:val="18"/>
                <w:lang w:eastAsia="en-AU"/>
              </w:rPr>
            </w:pPr>
            <w:r w:rsidRPr="00120A12">
              <w:rPr>
                <w:rFonts w:ascii="Arial Narrow" w:hAnsi="Arial Narrow"/>
                <w:b/>
                <w:bCs/>
                <w:color w:val="333333"/>
                <w:sz w:val="18"/>
                <w:szCs w:val="18"/>
                <w:lang w:eastAsia="en-AU"/>
              </w:rPr>
              <w:t>Clinical criteria:</w:t>
            </w:r>
          </w:p>
        </w:tc>
      </w:tr>
      <w:tr w:rsidR="0027392C" w:rsidRPr="00B90897" w14:paraId="7FBDFD71" w14:textId="77777777" w:rsidTr="0027392C">
        <w:tblPrEx>
          <w:tblCellMar>
            <w:top w:w="15" w:type="dxa"/>
            <w:left w:w="15" w:type="dxa"/>
            <w:bottom w:w="15" w:type="dxa"/>
            <w:right w:w="15" w:type="dxa"/>
          </w:tblCellMar>
          <w:tblLook w:val="04A0" w:firstRow="1" w:lastRow="0" w:firstColumn="1" w:lastColumn="0" w:noHBand="0" w:noVBand="1"/>
        </w:tblPrEx>
        <w:tc>
          <w:tcPr>
            <w:tcW w:w="981" w:type="dxa"/>
            <w:vAlign w:val="center"/>
          </w:tcPr>
          <w:p w14:paraId="6CB6D633" w14:textId="5A9728AE"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3D444954" w14:textId="77777777" w:rsidR="0027392C" w:rsidRPr="00120A12" w:rsidRDefault="0027392C" w:rsidP="0027392C">
            <w:pPr>
              <w:rPr>
                <w:rFonts w:ascii="Arial Narrow" w:hAnsi="Arial Narrow"/>
                <w:b/>
                <w:bCs/>
                <w:color w:val="333333"/>
                <w:sz w:val="18"/>
                <w:szCs w:val="18"/>
                <w:lang w:eastAsia="en-AU"/>
              </w:rPr>
            </w:pPr>
            <w:r w:rsidRPr="009D6113">
              <w:rPr>
                <w:rFonts w:ascii="Arial Narrow" w:hAnsi="Arial Narrow"/>
                <w:sz w:val="18"/>
                <w:szCs w:val="18"/>
              </w:rPr>
              <w:t>The condition must be severe chronic immune (idiopathic) thrombocytopenic purpura (ITP)</w:t>
            </w:r>
          </w:p>
        </w:tc>
      </w:tr>
      <w:tr w:rsidR="0027392C" w:rsidRPr="00B90897" w14:paraId="1ECAB405" w14:textId="77777777" w:rsidTr="0027392C">
        <w:tblPrEx>
          <w:tblCellMar>
            <w:top w:w="15" w:type="dxa"/>
            <w:left w:w="15" w:type="dxa"/>
            <w:bottom w:w="15" w:type="dxa"/>
            <w:right w:w="15" w:type="dxa"/>
          </w:tblCellMar>
          <w:tblLook w:val="04A0" w:firstRow="1" w:lastRow="0" w:firstColumn="1" w:lastColumn="0" w:noHBand="0" w:noVBand="1"/>
        </w:tblPrEx>
        <w:tc>
          <w:tcPr>
            <w:tcW w:w="981" w:type="dxa"/>
            <w:vAlign w:val="center"/>
          </w:tcPr>
          <w:p w14:paraId="36B0E7C4" w14:textId="77777777"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3BB80CAA" w14:textId="77777777" w:rsidR="0027392C" w:rsidRPr="009D6113" w:rsidRDefault="0027392C" w:rsidP="0027392C">
            <w:pPr>
              <w:rPr>
                <w:rFonts w:ascii="Arial Narrow" w:hAnsi="Arial Narrow"/>
                <w:sz w:val="18"/>
                <w:szCs w:val="18"/>
              </w:rPr>
            </w:pPr>
            <w:r w:rsidRPr="00120A12">
              <w:rPr>
                <w:rFonts w:ascii="Arial Narrow" w:hAnsi="Arial Narrow"/>
                <w:b/>
                <w:bCs/>
                <w:color w:val="333333"/>
                <w:sz w:val="18"/>
                <w:szCs w:val="18"/>
                <w:lang w:eastAsia="en-AU"/>
              </w:rPr>
              <w:t>AND</w:t>
            </w:r>
          </w:p>
        </w:tc>
      </w:tr>
      <w:tr w:rsidR="0027392C" w:rsidRPr="00B90897" w14:paraId="7303AD8D" w14:textId="77777777" w:rsidTr="0027392C">
        <w:tblPrEx>
          <w:tblCellMar>
            <w:top w:w="15" w:type="dxa"/>
            <w:left w:w="15" w:type="dxa"/>
            <w:bottom w:w="15" w:type="dxa"/>
            <w:right w:w="15" w:type="dxa"/>
          </w:tblCellMar>
          <w:tblLook w:val="04A0" w:firstRow="1" w:lastRow="0" w:firstColumn="1" w:lastColumn="0" w:noHBand="0" w:noVBand="1"/>
        </w:tblPrEx>
        <w:tc>
          <w:tcPr>
            <w:tcW w:w="981" w:type="dxa"/>
            <w:vAlign w:val="center"/>
          </w:tcPr>
          <w:p w14:paraId="6168EA9F" w14:textId="0094F6DE"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10FDC88E" w14:textId="77777777" w:rsidR="0027392C" w:rsidRPr="00120A12" w:rsidRDefault="0027392C" w:rsidP="0027392C">
            <w:pPr>
              <w:rPr>
                <w:rFonts w:ascii="Arial Narrow" w:hAnsi="Arial Narrow"/>
                <w:b/>
                <w:bCs/>
                <w:color w:val="333333"/>
                <w:sz w:val="18"/>
                <w:szCs w:val="18"/>
                <w:lang w:eastAsia="en-AU"/>
              </w:rPr>
            </w:pPr>
            <w:r w:rsidRPr="00120A12">
              <w:rPr>
                <w:rFonts w:ascii="Arial Narrow" w:hAnsi="Arial Narrow"/>
                <w:b/>
                <w:bCs/>
                <w:color w:val="333333"/>
                <w:sz w:val="18"/>
                <w:szCs w:val="18"/>
                <w:lang w:eastAsia="en-AU"/>
              </w:rPr>
              <w:t>Clinical criteria:</w:t>
            </w:r>
          </w:p>
        </w:tc>
      </w:tr>
      <w:tr w:rsidR="0027392C" w:rsidRPr="00B90897" w14:paraId="6095871D" w14:textId="77777777" w:rsidTr="0027392C">
        <w:tblPrEx>
          <w:tblCellMar>
            <w:top w:w="15" w:type="dxa"/>
            <w:left w:w="15" w:type="dxa"/>
            <w:bottom w:w="15" w:type="dxa"/>
            <w:right w:w="15" w:type="dxa"/>
          </w:tblCellMar>
          <w:tblLook w:val="04A0" w:firstRow="1" w:lastRow="0" w:firstColumn="1" w:lastColumn="0" w:noHBand="0" w:noVBand="1"/>
        </w:tblPrEx>
        <w:tc>
          <w:tcPr>
            <w:tcW w:w="981" w:type="dxa"/>
            <w:vAlign w:val="center"/>
          </w:tcPr>
          <w:p w14:paraId="6F25DC60" w14:textId="102E2AD4"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1A844D48" w14:textId="77777777" w:rsidR="0027392C" w:rsidRPr="00E7715A" w:rsidRDefault="0027392C" w:rsidP="0027392C">
            <w:pPr>
              <w:rPr>
                <w:rFonts w:ascii="Arial Narrow" w:hAnsi="Arial Narrow"/>
                <w:b/>
                <w:bCs/>
                <w:color w:val="333333"/>
                <w:sz w:val="18"/>
                <w:szCs w:val="18"/>
                <w:lang w:eastAsia="en-AU"/>
              </w:rPr>
            </w:pPr>
            <w:r w:rsidRPr="00E7715A">
              <w:rPr>
                <w:rFonts w:ascii="Arial Narrow" w:hAnsi="Arial Narrow"/>
                <w:sz w:val="18"/>
                <w:szCs w:val="18"/>
              </w:rPr>
              <w:t>Patient must have demonstrated a sustained platelet response to PBS-subsidised treatment with this drug for this condition under the Initial treatment restriction if the patient has not had a treatment break; or</w:t>
            </w:r>
          </w:p>
        </w:tc>
      </w:tr>
      <w:tr w:rsidR="0027392C" w:rsidRPr="00B90897" w14:paraId="32E20960" w14:textId="77777777" w:rsidTr="0027392C">
        <w:tblPrEx>
          <w:tblCellMar>
            <w:top w:w="15" w:type="dxa"/>
            <w:left w:w="15" w:type="dxa"/>
            <w:bottom w:w="15" w:type="dxa"/>
            <w:right w:w="15" w:type="dxa"/>
          </w:tblCellMar>
          <w:tblLook w:val="04A0" w:firstRow="1" w:lastRow="0" w:firstColumn="1" w:lastColumn="0" w:noHBand="0" w:noVBand="1"/>
        </w:tblPrEx>
        <w:tc>
          <w:tcPr>
            <w:tcW w:w="981" w:type="dxa"/>
            <w:vAlign w:val="center"/>
          </w:tcPr>
          <w:p w14:paraId="636D5A12" w14:textId="45D40218"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75254C03" w14:textId="77777777" w:rsidR="0027392C" w:rsidRPr="00E7715A" w:rsidRDefault="0027392C" w:rsidP="0027392C">
            <w:pPr>
              <w:rPr>
                <w:rFonts w:ascii="Arial Narrow" w:hAnsi="Arial Narrow"/>
                <w:sz w:val="18"/>
                <w:szCs w:val="18"/>
              </w:rPr>
            </w:pPr>
            <w:r w:rsidRPr="00E7715A">
              <w:rPr>
                <w:rFonts w:ascii="Arial Narrow" w:hAnsi="Arial Narrow"/>
                <w:sz w:val="18"/>
                <w:szCs w:val="18"/>
              </w:rPr>
              <w:t>Patient must have demonstrated a sustained platelet response to the most recent PBS-subsidised treatment with this drug for this condition prior to interrupted treatment</w:t>
            </w:r>
          </w:p>
        </w:tc>
      </w:tr>
      <w:tr w:rsidR="0027392C" w:rsidRPr="00B90897" w14:paraId="0ACE600D" w14:textId="77777777" w:rsidTr="0027392C">
        <w:tblPrEx>
          <w:tblCellMar>
            <w:top w:w="15" w:type="dxa"/>
            <w:left w:w="15" w:type="dxa"/>
            <w:bottom w:w="15" w:type="dxa"/>
            <w:right w:w="15" w:type="dxa"/>
          </w:tblCellMar>
          <w:tblLook w:val="04A0" w:firstRow="1" w:lastRow="0" w:firstColumn="1" w:lastColumn="0" w:noHBand="0" w:noVBand="1"/>
        </w:tblPrEx>
        <w:tc>
          <w:tcPr>
            <w:tcW w:w="981" w:type="dxa"/>
            <w:vAlign w:val="center"/>
          </w:tcPr>
          <w:p w14:paraId="248E6C23" w14:textId="77777777"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06D74067" w14:textId="77777777" w:rsidR="0027392C" w:rsidRPr="009D6113" w:rsidRDefault="0027392C" w:rsidP="0027392C">
            <w:pPr>
              <w:rPr>
                <w:rFonts w:ascii="Arial Narrow" w:hAnsi="Arial Narrow"/>
                <w:sz w:val="18"/>
                <w:szCs w:val="18"/>
              </w:rPr>
            </w:pPr>
            <w:r w:rsidRPr="00120A12">
              <w:rPr>
                <w:rFonts w:ascii="Arial Narrow" w:hAnsi="Arial Narrow"/>
                <w:b/>
                <w:bCs/>
                <w:color w:val="333333"/>
                <w:sz w:val="18"/>
                <w:szCs w:val="18"/>
                <w:lang w:eastAsia="en-AU"/>
              </w:rPr>
              <w:t>AND</w:t>
            </w:r>
          </w:p>
        </w:tc>
      </w:tr>
      <w:tr w:rsidR="0027392C" w:rsidRPr="00B90897" w14:paraId="0AE32A5F" w14:textId="77777777" w:rsidTr="0027392C">
        <w:tblPrEx>
          <w:tblCellMar>
            <w:top w:w="15" w:type="dxa"/>
            <w:left w:w="15" w:type="dxa"/>
            <w:bottom w:w="15" w:type="dxa"/>
            <w:right w:w="15" w:type="dxa"/>
          </w:tblCellMar>
          <w:tblLook w:val="04A0" w:firstRow="1" w:lastRow="0" w:firstColumn="1" w:lastColumn="0" w:noHBand="0" w:noVBand="1"/>
        </w:tblPrEx>
        <w:tc>
          <w:tcPr>
            <w:tcW w:w="981" w:type="dxa"/>
            <w:vAlign w:val="center"/>
          </w:tcPr>
          <w:p w14:paraId="2A4781C7" w14:textId="140E777B"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144A8BD5" w14:textId="77777777" w:rsidR="0027392C" w:rsidRPr="00120A12" w:rsidRDefault="0027392C" w:rsidP="0027392C">
            <w:pPr>
              <w:rPr>
                <w:rFonts w:ascii="Arial Narrow" w:hAnsi="Arial Narrow"/>
                <w:b/>
                <w:bCs/>
                <w:color w:val="333333"/>
                <w:sz w:val="18"/>
                <w:szCs w:val="18"/>
                <w:lang w:eastAsia="en-AU"/>
              </w:rPr>
            </w:pPr>
            <w:r w:rsidRPr="00120A12">
              <w:rPr>
                <w:rFonts w:ascii="Arial Narrow" w:hAnsi="Arial Narrow"/>
                <w:b/>
                <w:bCs/>
                <w:color w:val="333333"/>
                <w:sz w:val="18"/>
                <w:szCs w:val="18"/>
                <w:lang w:eastAsia="en-AU"/>
              </w:rPr>
              <w:t>Clinical criteria:</w:t>
            </w:r>
          </w:p>
        </w:tc>
      </w:tr>
      <w:tr w:rsidR="0027392C" w:rsidRPr="00B90897" w14:paraId="02393ABE" w14:textId="77777777" w:rsidTr="0027392C">
        <w:tblPrEx>
          <w:tblCellMar>
            <w:top w:w="15" w:type="dxa"/>
            <w:left w:w="15" w:type="dxa"/>
            <w:bottom w:w="15" w:type="dxa"/>
            <w:right w:w="15" w:type="dxa"/>
          </w:tblCellMar>
          <w:tblLook w:val="04A0" w:firstRow="1" w:lastRow="0" w:firstColumn="1" w:lastColumn="0" w:noHBand="0" w:noVBand="1"/>
        </w:tblPrEx>
        <w:tc>
          <w:tcPr>
            <w:tcW w:w="981" w:type="dxa"/>
            <w:vAlign w:val="center"/>
          </w:tcPr>
          <w:p w14:paraId="47DD36A2" w14:textId="4B3FD4DA"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0C85C091" w14:textId="77777777" w:rsidR="0027392C" w:rsidRPr="00120A12" w:rsidRDefault="0027392C" w:rsidP="0027392C">
            <w:pPr>
              <w:rPr>
                <w:rFonts w:ascii="Arial Narrow" w:hAnsi="Arial Narrow"/>
                <w:b/>
                <w:bCs/>
                <w:color w:val="333333"/>
                <w:sz w:val="18"/>
                <w:szCs w:val="18"/>
                <w:lang w:eastAsia="en-AU"/>
              </w:rPr>
            </w:pPr>
            <w:r w:rsidRPr="009D6113">
              <w:rPr>
                <w:rFonts w:ascii="Arial Narrow" w:hAnsi="Arial Narrow"/>
                <w:sz w:val="18"/>
                <w:szCs w:val="18"/>
              </w:rPr>
              <w:t>The treatment must be the sole PBS-subsidised thrombopoietin receptor agonist (TRA) for this condition</w:t>
            </w:r>
          </w:p>
        </w:tc>
      </w:tr>
      <w:tr w:rsidR="0027392C" w:rsidRPr="00B90897" w14:paraId="1593536F" w14:textId="77777777" w:rsidTr="0027392C">
        <w:tblPrEx>
          <w:tblCellMar>
            <w:top w:w="15" w:type="dxa"/>
            <w:left w:w="15" w:type="dxa"/>
            <w:bottom w:w="15" w:type="dxa"/>
            <w:right w:w="15" w:type="dxa"/>
          </w:tblCellMar>
          <w:tblLook w:val="04A0" w:firstRow="1" w:lastRow="0" w:firstColumn="1" w:lastColumn="0" w:noHBand="0" w:noVBand="1"/>
        </w:tblPrEx>
        <w:tc>
          <w:tcPr>
            <w:tcW w:w="981" w:type="dxa"/>
            <w:vAlign w:val="center"/>
          </w:tcPr>
          <w:p w14:paraId="688F4A1C" w14:textId="0B30C7D8"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5C1B1221" w14:textId="77777777" w:rsidR="0027392C" w:rsidRPr="00703E0B" w:rsidRDefault="0027392C" w:rsidP="0027392C">
            <w:pPr>
              <w:rPr>
                <w:rFonts w:ascii="Arial Narrow" w:hAnsi="Arial Narrow"/>
                <w:sz w:val="18"/>
                <w:szCs w:val="18"/>
                <w:highlight w:val="yellow"/>
                <w:lang w:eastAsia="en-AU"/>
              </w:rPr>
            </w:pPr>
            <w:r w:rsidRPr="00826784">
              <w:rPr>
                <w:rFonts w:ascii="Arial Narrow" w:hAnsi="Arial Narrow"/>
                <w:b/>
                <w:bCs/>
                <w:color w:val="333333"/>
                <w:sz w:val="18"/>
                <w:szCs w:val="18"/>
                <w:lang w:eastAsia="en-AU"/>
              </w:rPr>
              <w:t xml:space="preserve">Prescribing Instructions: </w:t>
            </w:r>
            <w:r w:rsidRPr="00826784">
              <w:rPr>
                <w:rFonts w:ascii="Arial Narrow" w:hAnsi="Arial Narrow"/>
                <w:sz w:val="18"/>
                <w:szCs w:val="18"/>
              </w:rPr>
              <w:t xml:space="preserve">For the purposes of this restriction, </w:t>
            </w:r>
            <w:r>
              <w:rPr>
                <w:rFonts w:ascii="Arial Narrow" w:hAnsi="Arial Narrow"/>
                <w:sz w:val="18"/>
                <w:szCs w:val="18"/>
              </w:rPr>
              <w:t xml:space="preserve">a sustained response is defined as </w:t>
            </w:r>
            <w:r w:rsidRPr="00826784">
              <w:rPr>
                <w:rFonts w:ascii="Arial Narrow" w:hAnsi="Arial Narrow"/>
                <w:sz w:val="18"/>
                <w:szCs w:val="18"/>
              </w:rPr>
              <w:t xml:space="preserve">the patient </w:t>
            </w:r>
            <w:r>
              <w:rPr>
                <w:rFonts w:ascii="Arial Narrow" w:hAnsi="Arial Narrow"/>
                <w:sz w:val="18"/>
                <w:szCs w:val="18"/>
              </w:rPr>
              <w:t>having the</w:t>
            </w:r>
            <w:r w:rsidRPr="00826784">
              <w:rPr>
                <w:rFonts w:ascii="Arial Narrow" w:hAnsi="Arial Narrow"/>
                <w:sz w:val="18"/>
                <w:szCs w:val="18"/>
              </w:rPr>
              <w:t xml:space="preserve"> ability to maintain a platelet count sufficient to prevent clinically significant bleeding</w:t>
            </w:r>
            <w:r>
              <w:rPr>
                <w:rFonts w:ascii="Arial Narrow" w:hAnsi="Arial Narrow"/>
                <w:sz w:val="18"/>
                <w:szCs w:val="18"/>
              </w:rPr>
              <w:t xml:space="preserve"> based on clinical assessment.</w:t>
            </w:r>
          </w:p>
        </w:tc>
      </w:tr>
      <w:tr w:rsidR="0027392C" w:rsidRPr="00B90897" w14:paraId="214D8241" w14:textId="77777777" w:rsidTr="0027392C">
        <w:tblPrEx>
          <w:tblCellMar>
            <w:top w:w="15" w:type="dxa"/>
            <w:left w:w="15" w:type="dxa"/>
            <w:bottom w:w="15" w:type="dxa"/>
            <w:right w:w="15" w:type="dxa"/>
          </w:tblCellMar>
          <w:tblLook w:val="04A0" w:firstRow="1" w:lastRow="0" w:firstColumn="1" w:lastColumn="0" w:noHBand="0" w:noVBand="1"/>
        </w:tblPrEx>
        <w:tc>
          <w:tcPr>
            <w:tcW w:w="981" w:type="dxa"/>
            <w:vAlign w:val="center"/>
          </w:tcPr>
          <w:p w14:paraId="4FF47BD3" w14:textId="27C56795"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713F37D3" w14:textId="77777777" w:rsidR="0027392C" w:rsidRPr="009D6113" w:rsidRDefault="0027392C" w:rsidP="0027392C">
            <w:pPr>
              <w:rPr>
                <w:rFonts w:ascii="Arial Narrow" w:hAnsi="Arial Narrow"/>
                <w:b/>
                <w:bCs/>
                <w:color w:val="333333"/>
                <w:sz w:val="18"/>
                <w:szCs w:val="18"/>
                <w:lang w:eastAsia="en-AU"/>
              </w:rPr>
            </w:pPr>
            <w:r w:rsidRPr="009D6113">
              <w:rPr>
                <w:rFonts w:ascii="Arial Narrow" w:hAnsi="Arial Narrow"/>
                <w:b/>
                <w:bCs/>
                <w:color w:val="333333"/>
                <w:sz w:val="18"/>
                <w:szCs w:val="18"/>
                <w:lang w:eastAsia="en-AU"/>
              </w:rPr>
              <w:t>Prescribing Instructions:</w:t>
            </w:r>
            <w:r w:rsidRPr="009D6113">
              <w:rPr>
                <w:rFonts w:ascii="Arial Narrow" w:hAnsi="Arial Narrow"/>
                <w:sz w:val="18"/>
                <w:szCs w:val="18"/>
              </w:rPr>
              <w:t xml:space="preserve"> </w:t>
            </w:r>
            <w:r w:rsidRPr="00E7715A">
              <w:rPr>
                <w:rFonts w:ascii="Arial Narrow" w:hAnsi="Arial Narrow"/>
                <w:sz w:val="18"/>
                <w:szCs w:val="18"/>
              </w:rPr>
              <w:t>The medical practitioner should request sufficient number of vials of appropriate strength based on the weight of the patient and dose (microgram/kg/week) to provide 4 weeks of treatment. Up to a maximum of 5 repeats may be authorised.</w:t>
            </w:r>
          </w:p>
        </w:tc>
      </w:tr>
      <w:tr w:rsidR="0027392C" w:rsidRPr="00B90897" w14:paraId="217EA502" w14:textId="77777777" w:rsidTr="0027392C">
        <w:tblPrEx>
          <w:tblCellMar>
            <w:top w:w="15" w:type="dxa"/>
            <w:left w:w="15" w:type="dxa"/>
            <w:bottom w:w="15" w:type="dxa"/>
            <w:right w:w="15" w:type="dxa"/>
          </w:tblCellMar>
          <w:tblLook w:val="04A0" w:firstRow="1" w:lastRow="0" w:firstColumn="1" w:lastColumn="0" w:noHBand="0" w:noVBand="1"/>
        </w:tblPrEx>
        <w:tc>
          <w:tcPr>
            <w:tcW w:w="981" w:type="dxa"/>
            <w:vAlign w:val="center"/>
          </w:tcPr>
          <w:p w14:paraId="358AC0F8" w14:textId="2941BB78"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2719BD44" w14:textId="77777777" w:rsidR="0027392C" w:rsidRPr="009D6113" w:rsidRDefault="0027392C" w:rsidP="0027392C">
            <w:pPr>
              <w:rPr>
                <w:rFonts w:ascii="Arial Narrow" w:hAnsi="Arial Narrow"/>
                <w:b/>
                <w:bCs/>
                <w:color w:val="333333"/>
                <w:sz w:val="18"/>
                <w:szCs w:val="18"/>
                <w:lang w:eastAsia="en-AU"/>
              </w:rPr>
            </w:pPr>
            <w:r w:rsidRPr="009D6113">
              <w:rPr>
                <w:rFonts w:ascii="Arial Narrow" w:hAnsi="Arial Narrow"/>
                <w:b/>
                <w:bCs/>
                <w:color w:val="333333"/>
                <w:sz w:val="18"/>
                <w:szCs w:val="18"/>
                <w:lang w:eastAsia="en-AU"/>
              </w:rPr>
              <w:t>Prescribing Instructions:</w:t>
            </w:r>
            <w:r w:rsidRPr="009D6113">
              <w:rPr>
                <w:rFonts w:ascii="Arial Narrow" w:hAnsi="Arial Narrow"/>
                <w:sz w:val="18"/>
                <w:szCs w:val="18"/>
              </w:rPr>
              <w:t xml:space="preserve"> Authority approval will not be given for doses higher than 10 micrograms/kg/week</w:t>
            </w:r>
          </w:p>
        </w:tc>
      </w:tr>
      <w:tr w:rsidR="0027392C" w:rsidRPr="00B90897" w14:paraId="79A78DFA" w14:textId="77777777" w:rsidTr="0027392C">
        <w:tblPrEx>
          <w:tblCellMar>
            <w:top w:w="15" w:type="dxa"/>
            <w:left w:w="15" w:type="dxa"/>
            <w:bottom w:w="15" w:type="dxa"/>
            <w:right w:w="15" w:type="dxa"/>
          </w:tblCellMar>
          <w:tblLook w:val="04A0" w:firstRow="1" w:lastRow="0" w:firstColumn="1" w:lastColumn="0" w:noHBand="0" w:noVBand="1"/>
        </w:tblPrEx>
        <w:tc>
          <w:tcPr>
            <w:tcW w:w="981" w:type="dxa"/>
            <w:vAlign w:val="center"/>
          </w:tcPr>
          <w:p w14:paraId="128D0643" w14:textId="77777777"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4735E539" w14:textId="77777777" w:rsidR="0027392C" w:rsidRPr="00E7715A" w:rsidRDefault="0027392C" w:rsidP="0027392C"/>
        </w:tc>
      </w:tr>
      <w:tr w:rsidR="0027392C" w:rsidRPr="00B90897" w14:paraId="2893C2BA" w14:textId="77777777" w:rsidTr="0027392C">
        <w:tblPrEx>
          <w:tblCellMar>
            <w:top w:w="15" w:type="dxa"/>
            <w:left w:w="15" w:type="dxa"/>
            <w:bottom w:w="15" w:type="dxa"/>
            <w:right w:w="15" w:type="dxa"/>
          </w:tblCellMar>
          <w:tblLook w:val="04A0" w:firstRow="1" w:lastRow="0" w:firstColumn="1" w:lastColumn="0" w:noHBand="0" w:noVBand="1"/>
        </w:tblPrEx>
        <w:trPr>
          <w:trHeight w:val="49"/>
        </w:trPr>
        <w:tc>
          <w:tcPr>
            <w:tcW w:w="981" w:type="dxa"/>
            <w:vAlign w:val="center"/>
          </w:tcPr>
          <w:p w14:paraId="2BFE9A98" w14:textId="35D978E1"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617D8CE9" w14:textId="77777777" w:rsidR="0027392C" w:rsidRPr="000F6025" w:rsidRDefault="0027392C" w:rsidP="0027392C">
            <w:pPr>
              <w:rPr>
                <w:rFonts w:ascii="Arial Narrow" w:hAnsi="Arial Narrow"/>
                <w:sz w:val="18"/>
                <w:szCs w:val="18"/>
              </w:rPr>
            </w:pPr>
            <w:r w:rsidRPr="000F6025">
              <w:rPr>
                <w:rFonts w:ascii="Arial Narrow" w:hAnsi="Arial Narrow"/>
                <w:b/>
                <w:bCs/>
                <w:color w:val="333333"/>
                <w:sz w:val="18"/>
                <w:szCs w:val="18"/>
                <w:lang w:eastAsia="en-AU"/>
              </w:rPr>
              <w:t>Prescribing Instructions:</w:t>
            </w:r>
            <w:r w:rsidRPr="000F6025">
              <w:t xml:space="preserve"> </w:t>
            </w:r>
            <w:r w:rsidRPr="000F6025">
              <w:rPr>
                <w:rFonts w:ascii="Arial Narrow" w:hAnsi="Arial Narrow"/>
                <w:sz w:val="18"/>
                <w:szCs w:val="18"/>
              </w:rPr>
              <w:t>The platelet count must be conducted no later than 4 weeks from the date of completion of the most recent PBS-subsidised course of treatment with this drug</w:t>
            </w:r>
          </w:p>
        </w:tc>
      </w:tr>
      <w:tr w:rsidR="0027392C" w:rsidRPr="00B90897" w14:paraId="26B8080C" w14:textId="77777777" w:rsidTr="0027392C">
        <w:tblPrEx>
          <w:tblCellMar>
            <w:top w:w="15" w:type="dxa"/>
            <w:left w:w="15" w:type="dxa"/>
            <w:bottom w:w="15" w:type="dxa"/>
            <w:right w:w="15" w:type="dxa"/>
          </w:tblCellMar>
          <w:tblLook w:val="04A0" w:firstRow="1" w:lastRow="0" w:firstColumn="1" w:lastColumn="0" w:noHBand="0" w:noVBand="1"/>
        </w:tblPrEx>
        <w:trPr>
          <w:trHeight w:val="49"/>
        </w:trPr>
        <w:tc>
          <w:tcPr>
            <w:tcW w:w="981" w:type="dxa"/>
            <w:vAlign w:val="center"/>
          </w:tcPr>
          <w:p w14:paraId="33702244" w14:textId="317719EB"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6FDF6AAF" w14:textId="77777777" w:rsidR="0027392C" w:rsidRDefault="0027392C" w:rsidP="0027392C">
            <w:pPr>
              <w:rPr>
                <w:rFonts w:ascii="Arial Narrow" w:hAnsi="Arial Narrow"/>
                <w:sz w:val="18"/>
                <w:szCs w:val="18"/>
              </w:rPr>
            </w:pPr>
          </w:p>
          <w:p w14:paraId="690CAF90" w14:textId="77777777" w:rsidR="0027392C" w:rsidRPr="007F5FAB" w:rsidRDefault="0027392C" w:rsidP="0027392C">
            <w:pPr>
              <w:rPr>
                <w:rFonts w:ascii="Arial Narrow" w:hAnsi="Arial Narrow"/>
                <w:sz w:val="18"/>
                <w:szCs w:val="18"/>
              </w:rPr>
            </w:pPr>
            <w:r w:rsidRPr="007F5FAB">
              <w:rPr>
                <w:rFonts w:ascii="Arial Narrow" w:hAnsi="Arial Narrow"/>
                <w:sz w:val="18"/>
                <w:szCs w:val="18"/>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27392C" w:rsidRPr="00B90897" w14:paraId="558E4D6F" w14:textId="77777777" w:rsidTr="0027392C">
        <w:tblPrEx>
          <w:tblCellMar>
            <w:top w:w="15" w:type="dxa"/>
            <w:left w:w="15" w:type="dxa"/>
            <w:bottom w:w="15" w:type="dxa"/>
            <w:right w:w="15" w:type="dxa"/>
          </w:tblCellMar>
          <w:tblLook w:val="04A0" w:firstRow="1" w:lastRow="0" w:firstColumn="1" w:lastColumn="0" w:noHBand="0" w:noVBand="1"/>
        </w:tblPrEx>
        <w:trPr>
          <w:trHeight w:val="49"/>
        </w:trPr>
        <w:tc>
          <w:tcPr>
            <w:tcW w:w="9067" w:type="dxa"/>
            <w:gridSpan w:val="7"/>
            <w:vAlign w:val="center"/>
          </w:tcPr>
          <w:p w14:paraId="7D197AF0" w14:textId="77777777" w:rsidR="0027392C" w:rsidRPr="00120A12" w:rsidRDefault="0027392C" w:rsidP="0027392C">
            <w:pPr>
              <w:rPr>
                <w:rFonts w:ascii="Arial Narrow" w:hAnsi="Arial Narrow"/>
                <w:b/>
                <w:bCs/>
                <w:color w:val="333333"/>
                <w:sz w:val="18"/>
                <w:szCs w:val="18"/>
                <w:lang w:eastAsia="en-AU"/>
              </w:rPr>
            </w:pPr>
          </w:p>
        </w:tc>
      </w:tr>
      <w:tr w:rsidR="0027392C" w:rsidRPr="00B90897" w14:paraId="0734365C" w14:textId="77777777" w:rsidTr="0027392C">
        <w:tblPrEx>
          <w:tblCellMar>
            <w:top w:w="15" w:type="dxa"/>
            <w:left w:w="15" w:type="dxa"/>
            <w:bottom w:w="15" w:type="dxa"/>
            <w:right w:w="15" w:type="dxa"/>
          </w:tblCellMar>
          <w:tblLook w:val="04A0" w:firstRow="1" w:lastRow="0" w:firstColumn="1" w:lastColumn="0" w:noHBand="0" w:noVBand="1"/>
        </w:tblPrEx>
        <w:trPr>
          <w:trHeight w:val="49"/>
        </w:trPr>
        <w:tc>
          <w:tcPr>
            <w:tcW w:w="9067" w:type="dxa"/>
            <w:gridSpan w:val="7"/>
            <w:vAlign w:val="center"/>
          </w:tcPr>
          <w:p w14:paraId="4F3D8C17" w14:textId="77777777" w:rsidR="0027392C" w:rsidRPr="00120A12" w:rsidRDefault="0027392C" w:rsidP="0027392C">
            <w:pPr>
              <w:rPr>
                <w:rFonts w:ascii="Arial Narrow" w:hAnsi="Arial Narrow"/>
                <w:b/>
                <w:bCs/>
                <w:color w:val="333333"/>
                <w:sz w:val="18"/>
                <w:szCs w:val="18"/>
                <w:lang w:eastAsia="en-AU"/>
              </w:rPr>
            </w:pPr>
          </w:p>
        </w:tc>
      </w:tr>
      <w:tr w:rsidR="0027392C" w:rsidRPr="00120A12" w14:paraId="60BF3377" w14:textId="77777777" w:rsidTr="0027392C">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79161F64" w14:textId="022F5021" w:rsidR="0027392C" w:rsidRPr="00120A12" w:rsidRDefault="0027392C" w:rsidP="0027392C">
            <w:pPr>
              <w:rPr>
                <w:rFonts w:ascii="Arial Narrow" w:hAnsi="Arial Narrow"/>
                <w:b/>
                <w:bCs/>
                <w:color w:val="333333"/>
                <w:sz w:val="18"/>
                <w:szCs w:val="18"/>
                <w:lang w:eastAsia="en-AU"/>
              </w:rPr>
            </w:pPr>
          </w:p>
        </w:tc>
      </w:tr>
      <w:tr w:rsidR="0027392C" w:rsidRPr="00120A12" w14:paraId="1C7340B7" w14:textId="77777777" w:rsidTr="0027392C">
        <w:tblPrEx>
          <w:tblCellMar>
            <w:top w:w="15" w:type="dxa"/>
            <w:left w:w="15" w:type="dxa"/>
            <w:bottom w:w="15" w:type="dxa"/>
            <w:right w:w="15" w:type="dxa"/>
          </w:tblCellMar>
          <w:tblLook w:val="04A0" w:firstRow="1" w:lastRow="0" w:firstColumn="1" w:lastColumn="0" w:noHBand="0" w:noVBand="1"/>
        </w:tblPrEx>
        <w:tc>
          <w:tcPr>
            <w:tcW w:w="981" w:type="dxa"/>
            <w:vMerge w:val="restart"/>
          </w:tcPr>
          <w:p w14:paraId="2A321C65" w14:textId="31D85F97" w:rsidR="0027392C" w:rsidRPr="00DB2FF7" w:rsidRDefault="0027392C" w:rsidP="0027392C">
            <w:pPr>
              <w:jc w:val="center"/>
              <w:rPr>
                <w:rFonts w:ascii="Arial Narrow" w:hAnsi="Arial Narrow"/>
                <w:b/>
                <w:bCs/>
                <w:color w:val="333333"/>
                <w:sz w:val="18"/>
                <w:szCs w:val="18"/>
                <w:lang w:eastAsia="en-AU"/>
              </w:rPr>
            </w:pPr>
          </w:p>
        </w:tc>
        <w:tc>
          <w:tcPr>
            <w:tcW w:w="8086" w:type="dxa"/>
            <w:gridSpan w:val="6"/>
          </w:tcPr>
          <w:p w14:paraId="5F7812BA" w14:textId="77777777" w:rsidR="0027392C" w:rsidRPr="00120A12" w:rsidRDefault="0027392C" w:rsidP="0027392C">
            <w:pPr>
              <w:rPr>
                <w:rFonts w:ascii="Arial Narrow" w:hAnsi="Arial Narrow"/>
                <w:b/>
                <w:bCs/>
                <w:color w:val="333333"/>
                <w:sz w:val="18"/>
                <w:szCs w:val="18"/>
                <w:lang w:eastAsia="en-AU"/>
              </w:rPr>
            </w:pPr>
            <w:r w:rsidRPr="0020649C">
              <w:rPr>
                <w:rFonts w:ascii="Arial Narrow" w:hAnsi="Arial Narrow" w:cs="Arial"/>
                <w:b/>
                <w:sz w:val="18"/>
                <w:szCs w:val="18"/>
              </w:rPr>
              <w:t>Category / Program:</w:t>
            </w:r>
            <w:r>
              <w:rPr>
                <w:rFonts w:ascii="Arial Narrow" w:hAnsi="Arial Narrow" w:cs="Arial"/>
                <w:b/>
                <w:sz w:val="18"/>
                <w:szCs w:val="18"/>
              </w:rPr>
              <w:t xml:space="preserve"> </w:t>
            </w:r>
            <w:r w:rsidRPr="003D201F">
              <w:rPr>
                <w:rFonts w:ascii="Arial Narrow" w:hAnsi="Arial Narrow" w:cs="Arial"/>
                <w:sz w:val="18"/>
                <w:szCs w:val="18"/>
              </w:rPr>
              <w:t xml:space="preserve">Section 100 – </w:t>
            </w:r>
            <w:r>
              <w:rPr>
                <w:rFonts w:ascii="Arial Narrow" w:hAnsi="Arial Narrow" w:cs="Arial"/>
                <w:sz w:val="18"/>
                <w:szCs w:val="18"/>
              </w:rPr>
              <w:t xml:space="preserve">Highly Specialised Drugs Program  </w:t>
            </w:r>
          </w:p>
        </w:tc>
      </w:tr>
      <w:tr w:rsidR="0027392C" w:rsidRPr="0020649C" w14:paraId="75E74D59" w14:textId="77777777" w:rsidTr="0027392C">
        <w:tblPrEx>
          <w:tblCellMar>
            <w:top w:w="15" w:type="dxa"/>
            <w:left w:w="15" w:type="dxa"/>
            <w:bottom w:w="15" w:type="dxa"/>
            <w:right w:w="15" w:type="dxa"/>
          </w:tblCellMar>
          <w:tblLook w:val="04A0" w:firstRow="1" w:lastRow="0" w:firstColumn="1" w:lastColumn="0" w:noHBand="0" w:noVBand="1"/>
        </w:tblPrEx>
        <w:tc>
          <w:tcPr>
            <w:tcW w:w="981" w:type="dxa"/>
            <w:vMerge/>
          </w:tcPr>
          <w:p w14:paraId="0C86697A" w14:textId="77777777" w:rsidR="0027392C" w:rsidRPr="00507253" w:rsidRDefault="0027392C" w:rsidP="0027392C">
            <w:pPr>
              <w:jc w:val="center"/>
              <w:rPr>
                <w:rFonts w:ascii="Arial Narrow" w:hAnsi="Arial Narrow" w:cs="Arial"/>
                <w:b/>
                <w:sz w:val="18"/>
                <w:szCs w:val="18"/>
              </w:rPr>
            </w:pPr>
          </w:p>
        </w:tc>
        <w:tc>
          <w:tcPr>
            <w:tcW w:w="8086" w:type="dxa"/>
            <w:gridSpan w:val="6"/>
          </w:tcPr>
          <w:p w14:paraId="1B891B41" w14:textId="77777777" w:rsidR="0027392C" w:rsidRPr="0020649C" w:rsidRDefault="0027392C" w:rsidP="0027392C">
            <w:pPr>
              <w:rPr>
                <w:rFonts w:ascii="Arial Narrow" w:hAnsi="Arial Narrow" w:cs="Arial"/>
                <w:b/>
                <w:sz w:val="18"/>
                <w:szCs w:val="18"/>
              </w:rPr>
            </w:pPr>
            <w:r w:rsidRPr="00120A12">
              <w:rPr>
                <w:rFonts w:ascii="Arial Narrow" w:hAnsi="Arial Narrow" w:cs="Arial"/>
                <w:b/>
                <w:sz w:val="18"/>
                <w:szCs w:val="18"/>
              </w:rPr>
              <w:t>Prescriber type</w:t>
            </w:r>
            <w:r>
              <w:rPr>
                <w:rFonts w:ascii="Arial Narrow" w:hAnsi="Arial Narrow" w:cs="Arial"/>
                <w:b/>
                <w:sz w:val="18"/>
                <w:szCs w:val="18"/>
              </w:rPr>
              <w:t>:</w:t>
            </w:r>
            <w:r w:rsidRPr="00120A12">
              <w:rPr>
                <w:rFonts w:ascii="Arial Narrow" w:hAnsi="Arial Narrow" w:cs="Arial"/>
                <w:sz w:val="18"/>
                <w:szCs w:val="18"/>
              </w:rPr>
              <w:t xml:space="preserve"> </w:t>
            </w:r>
            <w:r>
              <w:rPr>
                <w:rFonts w:ascii="Arial Narrow" w:hAnsi="Arial Narrow" w:cs="Arial"/>
                <w:sz w:val="18"/>
                <w:szCs w:val="18"/>
              </w:rPr>
              <w:fldChar w:fldCharType="begin">
                <w:ffData>
                  <w:name w:val=""/>
                  <w:enabled/>
                  <w:calcOnExit w:val="0"/>
                  <w:checkBox>
                    <w:sizeAuto/>
                    <w:default w:val="1"/>
                  </w:checkBox>
                </w:ffData>
              </w:fldChar>
            </w:r>
            <w:r>
              <w:rPr>
                <w:rFonts w:ascii="Arial Narrow" w:hAnsi="Arial Narrow" w:cs="Arial"/>
                <w:sz w:val="18"/>
                <w:szCs w:val="18"/>
              </w:rPr>
              <w:instrText xml:space="preserve"> FORMCHECKBOX </w:instrText>
            </w:r>
            <w:r w:rsidR="00B643E4">
              <w:rPr>
                <w:rFonts w:ascii="Arial Narrow" w:hAnsi="Arial Narrow" w:cs="Arial"/>
                <w:sz w:val="18"/>
                <w:szCs w:val="18"/>
              </w:rPr>
            </w:r>
            <w:r w:rsidR="00B643E4">
              <w:rPr>
                <w:rFonts w:ascii="Arial Narrow" w:hAnsi="Arial Narrow" w:cs="Arial"/>
                <w:sz w:val="18"/>
                <w:szCs w:val="18"/>
              </w:rPr>
              <w:fldChar w:fldCharType="separate"/>
            </w:r>
            <w:r>
              <w:rPr>
                <w:rFonts w:ascii="Arial Narrow" w:hAnsi="Arial Narrow" w:cs="Arial"/>
                <w:sz w:val="18"/>
                <w:szCs w:val="18"/>
              </w:rPr>
              <w:fldChar w:fldCharType="end"/>
            </w:r>
            <w:r w:rsidRPr="00120A12">
              <w:rPr>
                <w:rFonts w:ascii="Arial Narrow" w:hAnsi="Arial Narrow" w:cs="Arial"/>
                <w:sz w:val="18"/>
                <w:szCs w:val="18"/>
              </w:rPr>
              <w:t>Medical Practitioners</w:t>
            </w:r>
            <w:r>
              <w:rPr>
                <w:rFonts w:ascii="Arial Narrow" w:hAnsi="Arial Narrow" w:cs="Arial"/>
                <w:sz w:val="18"/>
                <w:szCs w:val="18"/>
              </w:rPr>
              <w:t xml:space="preserve">  </w:t>
            </w:r>
            <w:r w:rsidRPr="00120A12">
              <w:rPr>
                <w:rFonts w:ascii="Arial Narrow" w:hAnsi="Arial Narrow" w:cs="Arial"/>
                <w:sz w:val="18"/>
                <w:szCs w:val="18"/>
              </w:rPr>
              <w:t xml:space="preserve"> </w:t>
            </w:r>
          </w:p>
        </w:tc>
      </w:tr>
      <w:tr w:rsidR="0027392C" w:rsidRPr="00120A12" w14:paraId="7C7EC7CE" w14:textId="77777777" w:rsidTr="0027392C">
        <w:tblPrEx>
          <w:tblCellMar>
            <w:top w:w="15" w:type="dxa"/>
            <w:left w:w="15" w:type="dxa"/>
            <w:bottom w:w="15" w:type="dxa"/>
            <w:right w:w="15" w:type="dxa"/>
          </w:tblCellMar>
          <w:tblLook w:val="04A0" w:firstRow="1" w:lastRow="0" w:firstColumn="1" w:lastColumn="0" w:noHBand="0" w:noVBand="1"/>
        </w:tblPrEx>
        <w:tc>
          <w:tcPr>
            <w:tcW w:w="981" w:type="dxa"/>
            <w:vMerge/>
          </w:tcPr>
          <w:p w14:paraId="458F4D23" w14:textId="77777777" w:rsidR="0027392C" w:rsidRPr="00507253" w:rsidRDefault="0027392C" w:rsidP="0027392C">
            <w:pPr>
              <w:jc w:val="center"/>
              <w:rPr>
                <w:rFonts w:ascii="Arial Narrow" w:hAnsi="Arial Narrow" w:cs="Arial"/>
                <w:b/>
                <w:sz w:val="18"/>
                <w:szCs w:val="18"/>
              </w:rPr>
            </w:pPr>
          </w:p>
        </w:tc>
        <w:tc>
          <w:tcPr>
            <w:tcW w:w="8086" w:type="dxa"/>
            <w:gridSpan w:val="6"/>
          </w:tcPr>
          <w:p w14:paraId="258F10A8" w14:textId="77777777" w:rsidR="0027392C" w:rsidRPr="00120A12" w:rsidRDefault="0027392C" w:rsidP="0027392C">
            <w:pPr>
              <w:rPr>
                <w:rFonts w:ascii="Arial Narrow" w:hAnsi="Arial Narrow" w:cs="Arial"/>
                <w:b/>
                <w:sz w:val="18"/>
                <w:szCs w:val="18"/>
              </w:rPr>
            </w:pPr>
            <w:r w:rsidRPr="0020649C">
              <w:rPr>
                <w:rFonts w:ascii="Arial Narrow" w:hAnsi="Arial Narrow" w:cs="Arial"/>
                <w:b/>
                <w:sz w:val="18"/>
                <w:szCs w:val="18"/>
              </w:rPr>
              <w:t xml:space="preserve">Restriction </w:t>
            </w:r>
            <w:r>
              <w:rPr>
                <w:rFonts w:ascii="Arial Narrow" w:hAnsi="Arial Narrow" w:cs="Arial"/>
                <w:b/>
                <w:sz w:val="18"/>
                <w:szCs w:val="18"/>
              </w:rPr>
              <w:t xml:space="preserve">type: </w:t>
            </w:r>
            <w:r>
              <w:rPr>
                <w:rFonts w:ascii="Arial Narrow" w:eastAsia="Calibri" w:hAnsi="Arial Narrow" w:cs="Arial"/>
                <w:sz w:val="18"/>
                <w:szCs w:val="18"/>
              </w:rPr>
              <w:fldChar w:fldCharType="begin">
                <w:ffData>
                  <w:name w:val=""/>
                  <w:enabled/>
                  <w:calcOnExit w:val="0"/>
                  <w:checkBox>
                    <w:sizeAuto/>
                    <w:default w:val="1"/>
                  </w:checkBox>
                </w:ffData>
              </w:fldChar>
            </w:r>
            <w:r>
              <w:rPr>
                <w:rFonts w:ascii="Arial Narrow" w:eastAsia="Calibri" w:hAnsi="Arial Narrow" w:cs="Arial"/>
                <w:sz w:val="18"/>
                <w:szCs w:val="18"/>
              </w:rPr>
              <w:instrText xml:space="preserve"> FORMCHECKBOX </w:instrText>
            </w:r>
            <w:r w:rsidR="00B643E4">
              <w:rPr>
                <w:rFonts w:ascii="Arial Narrow" w:eastAsia="Calibri" w:hAnsi="Arial Narrow" w:cs="Arial"/>
                <w:sz w:val="18"/>
                <w:szCs w:val="18"/>
              </w:rPr>
            </w:r>
            <w:r w:rsidR="00B643E4">
              <w:rPr>
                <w:rFonts w:ascii="Arial Narrow" w:eastAsia="Calibri" w:hAnsi="Arial Narrow" w:cs="Arial"/>
                <w:sz w:val="18"/>
                <w:szCs w:val="18"/>
              </w:rPr>
              <w:fldChar w:fldCharType="separate"/>
            </w:r>
            <w:r>
              <w:rPr>
                <w:rFonts w:ascii="Arial Narrow" w:eastAsia="Calibri" w:hAnsi="Arial Narrow" w:cs="Arial"/>
                <w:sz w:val="18"/>
                <w:szCs w:val="18"/>
              </w:rPr>
              <w:fldChar w:fldCharType="end"/>
            </w:r>
            <w:r w:rsidRPr="00F86065">
              <w:rPr>
                <w:rFonts w:ascii="Arial Narrow" w:eastAsia="Calibri" w:hAnsi="Arial Narrow" w:cs="Arial"/>
                <w:sz w:val="18"/>
                <w:szCs w:val="18"/>
              </w:rPr>
              <w:t>Authority Required –</w:t>
            </w:r>
            <w:r>
              <w:rPr>
                <w:rFonts w:ascii="Arial Narrow" w:eastAsia="Calibri" w:hAnsi="Arial Narrow" w:cs="Arial"/>
                <w:sz w:val="18"/>
                <w:szCs w:val="18"/>
              </w:rPr>
              <w:t>(Telephone/electronic)</w:t>
            </w:r>
          </w:p>
        </w:tc>
      </w:tr>
      <w:tr w:rsidR="0027392C" w:rsidRPr="0020649C" w14:paraId="536A8D12" w14:textId="77777777" w:rsidTr="0027392C">
        <w:tblPrEx>
          <w:tblCellMar>
            <w:top w:w="15" w:type="dxa"/>
            <w:left w:w="15" w:type="dxa"/>
            <w:bottom w:w="15" w:type="dxa"/>
            <w:right w:w="15" w:type="dxa"/>
          </w:tblCellMar>
          <w:tblLook w:val="04A0" w:firstRow="1" w:lastRow="0" w:firstColumn="1" w:lastColumn="0" w:noHBand="0" w:noVBand="1"/>
        </w:tblPrEx>
        <w:tc>
          <w:tcPr>
            <w:tcW w:w="981" w:type="dxa"/>
            <w:vAlign w:val="center"/>
          </w:tcPr>
          <w:p w14:paraId="26C434AE" w14:textId="205B1760" w:rsidR="0027392C" w:rsidRPr="00507253" w:rsidRDefault="0027392C" w:rsidP="0027392C">
            <w:pPr>
              <w:jc w:val="center"/>
              <w:rPr>
                <w:rFonts w:ascii="Arial Narrow" w:hAnsi="Arial Narrow" w:cs="Arial"/>
                <w:b/>
                <w:sz w:val="18"/>
                <w:szCs w:val="18"/>
              </w:rPr>
            </w:pPr>
          </w:p>
        </w:tc>
        <w:tc>
          <w:tcPr>
            <w:tcW w:w="8086" w:type="dxa"/>
            <w:gridSpan w:val="6"/>
            <w:vAlign w:val="center"/>
          </w:tcPr>
          <w:p w14:paraId="5025C104" w14:textId="77777777" w:rsidR="0027392C" w:rsidRPr="0020649C" w:rsidRDefault="0027392C" w:rsidP="0027392C">
            <w:pPr>
              <w:rPr>
                <w:rFonts w:ascii="Arial Narrow" w:hAnsi="Arial Narrow" w:cs="Arial"/>
                <w:b/>
                <w:sz w:val="18"/>
                <w:szCs w:val="18"/>
              </w:rPr>
            </w:pPr>
            <w:r w:rsidRPr="00120A12">
              <w:rPr>
                <w:rFonts w:ascii="Arial Narrow" w:hAnsi="Arial Narrow"/>
                <w:b/>
                <w:bCs/>
                <w:color w:val="333333"/>
                <w:sz w:val="18"/>
                <w:szCs w:val="18"/>
                <w:lang w:eastAsia="en-AU"/>
              </w:rPr>
              <w:t>Indication:</w:t>
            </w:r>
            <w:r>
              <w:rPr>
                <w:rFonts w:ascii="Arial Narrow" w:hAnsi="Arial Narrow"/>
                <w:color w:val="333333"/>
                <w:sz w:val="18"/>
                <w:szCs w:val="18"/>
                <w:lang w:eastAsia="en-AU"/>
              </w:rPr>
              <w:t xml:space="preserve"> Severe thrombocytopenia</w:t>
            </w:r>
          </w:p>
        </w:tc>
      </w:tr>
      <w:tr w:rsidR="0027392C" w:rsidRPr="00120A12" w14:paraId="1BFC2C59" w14:textId="77777777" w:rsidTr="0027392C">
        <w:tblPrEx>
          <w:tblCellMar>
            <w:top w:w="15" w:type="dxa"/>
            <w:left w:w="15" w:type="dxa"/>
            <w:bottom w:w="15" w:type="dxa"/>
            <w:right w:w="15" w:type="dxa"/>
          </w:tblCellMar>
          <w:tblLook w:val="04A0" w:firstRow="1" w:lastRow="0" w:firstColumn="1" w:lastColumn="0" w:noHBand="0" w:noVBand="1"/>
        </w:tblPrEx>
        <w:tc>
          <w:tcPr>
            <w:tcW w:w="981" w:type="dxa"/>
            <w:vAlign w:val="center"/>
          </w:tcPr>
          <w:p w14:paraId="39B2C47B" w14:textId="77777777"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1A286D77" w14:textId="77777777" w:rsidR="0027392C" w:rsidRPr="00120A12" w:rsidRDefault="0027392C" w:rsidP="0027392C">
            <w:pPr>
              <w:rPr>
                <w:rFonts w:ascii="Arial Narrow" w:hAnsi="Arial Narrow"/>
                <w:b/>
                <w:bCs/>
                <w:color w:val="333333"/>
                <w:sz w:val="18"/>
                <w:szCs w:val="18"/>
                <w:lang w:eastAsia="en-AU"/>
              </w:rPr>
            </w:pPr>
            <w:r w:rsidRPr="00B35A72">
              <w:rPr>
                <w:rFonts w:ascii="Arial Narrow" w:hAnsi="Arial Narrow"/>
                <w:b/>
                <w:bCs/>
                <w:sz w:val="18"/>
                <w:szCs w:val="18"/>
                <w:lang w:eastAsia="en-AU"/>
              </w:rPr>
              <w:t>Treatment Phase:</w:t>
            </w:r>
            <w:r w:rsidRPr="00B35A72">
              <w:rPr>
                <w:rFonts w:ascii="Arial Narrow" w:hAnsi="Arial Narrow"/>
                <w:sz w:val="18"/>
                <w:szCs w:val="18"/>
                <w:lang w:eastAsia="en-AU"/>
              </w:rPr>
              <w:t xml:space="preserve"> </w:t>
            </w:r>
            <w:r>
              <w:rPr>
                <w:rFonts w:ascii="Arial Narrow" w:hAnsi="Arial Narrow"/>
                <w:sz w:val="18"/>
                <w:szCs w:val="18"/>
                <w:lang w:eastAsia="en-AU"/>
              </w:rPr>
              <w:t>Second or Subsequent Continuing treatment</w:t>
            </w:r>
            <w:r w:rsidRPr="00B35A72">
              <w:rPr>
                <w:rFonts w:ascii="Arial Narrow" w:hAnsi="Arial Narrow"/>
                <w:sz w:val="18"/>
                <w:szCs w:val="18"/>
                <w:lang w:eastAsia="en-AU"/>
              </w:rPr>
              <w:t xml:space="preserve">  </w:t>
            </w:r>
          </w:p>
        </w:tc>
      </w:tr>
      <w:tr w:rsidR="0027392C" w:rsidRPr="00B35A72" w14:paraId="74F2C8ED" w14:textId="77777777" w:rsidTr="0027392C">
        <w:tblPrEx>
          <w:tblCellMar>
            <w:top w:w="15" w:type="dxa"/>
            <w:left w:w="15" w:type="dxa"/>
            <w:bottom w:w="15" w:type="dxa"/>
            <w:right w:w="15" w:type="dxa"/>
          </w:tblCellMar>
          <w:tblLook w:val="04A0" w:firstRow="1" w:lastRow="0" w:firstColumn="1" w:lastColumn="0" w:noHBand="0" w:noVBand="1"/>
        </w:tblPrEx>
        <w:tc>
          <w:tcPr>
            <w:tcW w:w="981" w:type="dxa"/>
            <w:vAlign w:val="center"/>
          </w:tcPr>
          <w:p w14:paraId="343E1C10" w14:textId="2ABECDC4"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4DC76176" w14:textId="77777777" w:rsidR="0027392C" w:rsidRPr="00B35A72" w:rsidRDefault="0027392C" w:rsidP="0027392C">
            <w:pPr>
              <w:rPr>
                <w:rFonts w:ascii="Arial Narrow" w:hAnsi="Arial Narrow"/>
                <w:b/>
                <w:bCs/>
                <w:sz w:val="18"/>
                <w:szCs w:val="18"/>
                <w:lang w:eastAsia="en-AU"/>
              </w:rPr>
            </w:pPr>
            <w:r w:rsidRPr="00120A12">
              <w:rPr>
                <w:rFonts w:ascii="Arial Narrow" w:hAnsi="Arial Narrow"/>
                <w:b/>
                <w:bCs/>
                <w:color w:val="333333"/>
                <w:sz w:val="18"/>
                <w:szCs w:val="18"/>
                <w:lang w:eastAsia="en-AU"/>
              </w:rPr>
              <w:t>Clinical criteria:</w:t>
            </w:r>
          </w:p>
        </w:tc>
      </w:tr>
      <w:tr w:rsidR="0027392C" w:rsidRPr="00120A12" w14:paraId="4763D8BA" w14:textId="77777777" w:rsidTr="0027392C">
        <w:tblPrEx>
          <w:tblCellMar>
            <w:top w:w="15" w:type="dxa"/>
            <w:left w:w="15" w:type="dxa"/>
            <w:bottom w:w="15" w:type="dxa"/>
            <w:right w:w="15" w:type="dxa"/>
          </w:tblCellMar>
          <w:tblLook w:val="04A0" w:firstRow="1" w:lastRow="0" w:firstColumn="1" w:lastColumn="0" w:noHBand="0" w:noVBand="1"/>
        </w:tblPrEx>
        <w:tc>
          <w:tcPr>
            <w:tcW w:w="981" w:type="dxa"/>
            <w:vAlign w:val="center"/>
          </w:tcPr>
          <w:p w14:paraId="21131CDE" w14:textId="1B81BE9D"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7547325C" w14:textId="77777777" w:rsidR="0027392C" w:rsidRPr="00120A12" w:rsidRDefault="0027392C" w:rsidP="0027392C">
            <w:pPr>
              <w:rPr>
                <w:rFonts w:ascii="Arial Narrow" w:hAnsi="Arial Narrow"/>
                <w:b/>
                <w:bCs/>
                <w:color w:val="333333"/>
                <w:sz w:val="18"/>
                <w:szCs w:val="18"/>
                <w:lang w:eastAsia="en-AU"/>
              </w:rPr>
            </w:pPr>
            <w:r w:rsidRPr="009D6113">
              <w:rPr>
                <w:rFonts w:ascii="Arial Narrow" w:hAnsi="Arial Narrow"/>
                <w:sz w:val="18"/>
                <w:szCs w:val="18"/>
              </w:rPr>
              <w:t>The condition must be severe chronic immune (idiopathic) thrombocytopenic purpura (ITP)</w:t>
            </w:r>
          </w:p>
        </w:tc>
      </w:tr>
      <w:tr w:rsidR="0027392C" w:rsidRPr="009D6113" w14:paraId="7E5184EE" w14:textId="77777777" w:rsidTr="0027392C">
        <w:tblPrEx>
          <w:tblCellMar>
            <w:top w:w="15" w:type="dxa"/>
            <w:left w:w="15" w:type="dxa"/>
            <w:bottom w:w="15" w:type="dxa"/>
            <w:right w:w="15" w:type="dxa"/>
          </w:tblCellMar>
          <w:tblLook w:val="04A0" w:firstRow="1" w:lastRow="0" w:firstColumn="1" w:lastColumn="0" w:noHBand="0" w:noVBand="1"/>
        </w:tblPrEx>
        <w:tc>
          <w:tcPr>
            <w:tcW w:w="981" w:type="dxa"/>
            <w:vAlign w:val="center"/>
          </w:tcPr>
          <w:p w14:paraId="5C7E2139" w14:textId="77777777"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6DCD76C0" w14:textId="77777777" w:rsidR="0027392C" w:rsidRPr="009D6113" w:rsidRDefault="0027392C" w:rsidP="0027392C">
            <w:pPr>
              <w:rPr>
                <w:rFonts w:ascii="Arial Narrow" w:hAnsi="Arial Narrow"/>
                <w:sz w:val="18"/>
                <w:szCs w:val="18"/>
              </w:rPr>
            </w:pPr>
            <w:r w:rsidRPr="00120A12">
              <w:rPr>
                <w:rFonts w:ascii="Arial Narrow" w:hAnsi="Arial Narrow"/>
                <w:b/>
                <w:bCs/>
                <w:color w:val="333333"/>
                <w:sz w:val="18"/>
                <w:szCs w:val="18"/>
                <w:lang w:eastAsia="en-AU"/>
              </w:rPr>
              <w:t>AND</w:t>
            </w:r>
          </w:p>
        </w:tc>
      </w:tr>
      <w:tr w:rsidR="0027392C" w:rsidRPr="00120A12" w14:paraId="40D7A52F" w14:textId="77777777" w:rsidTr="0027392C">
        <w:tblPrEx>
          <w:tblCellMar>
            <w:top w:w="15" w:type="dxa"/>
            <w:left w:w="15" w:type="dxa"/>
            <w:bottom w:w="15" w:type="dxa"/>
            <w:right w:w="15" w:type="dxa"/>
          </w:tblCellMar>
          <w:tblLook w:val="04A0" w:firstRow="1" w:lastRow="0" w:firstColumn="1" w:lastColumn="0" w:noHBand="0" w:noVBand="1"/>
        </w:tblPrEx>
        <w:tc>
          <w:tcPr>
            <w:tcW w:w="981" w:type="dxa"/>
            <w:vAlign w:val="center"/>
          </w:tcPr>
          <w:p w14:paraId="18658EEE" w14:textId="582090D4"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0B290CAB" w14:textId="77777777" w:rsidR="0027392C" w:rsidRPr="00120A12" w:rsidRDefault="0027392C" w:rsidP="0027392C">
            <w:pPr>
              <w:rPr>
                <w:rFonts w:ascii="Arial Narrow" w:hAnsi="Arial Narrow"/>
                <w:b/>
                <w:bCs/>
                <w:color w:val="333333"/>
                <w:sz w:val="18"/>
                <w:szCs w:val="18"/>
                <w:lang w:eastAsia="en-AU"/>
              </w:rPr>
            </w:pPr>
            <w:r w:rsidRPr="00120A12">
              <w:rPr>
                <w:rFonts w:ascii="Arial Narrow" w:hAnsi="Arial Narrow"/>
                <w:b/>
                <w:bCs/>
                <w:color w:val="333333"/>
                <w:sz w:val="18"/>
                <w:szCs w:val="18"/>
                <w:lang w:eastAsia="en-AU"/>
              </w:rPr>
              <w:t>Clinical criteria:</w:t>
            </w:r>
          </w:p>
        </w:tc>
      </w:tr>
      <w:tr w:rsidR="0027392C" w:rsidRPr="00B90897" w14:paraId="383EA568" w14:textId="77777777" w:rsidTr="0027392C">
        <w:tblPrEx>
          <w:tblCellMar>
            <w:top w:w="15" w:type="dxa"/>
            <w:left w:w="15" w:type="dxa"/>
            <w:bottom w:w="15" w:type="dxa"/>
            <w:right w:w="15" w:type="dxa"/>
          </w:tblCellMar>
          <w:tblLook w:val="04A0" w:firstRow="1" w:lastRow="0" w:firstColumn="1" w:lastColumn="0" w:noHBand="0" w:noVBand="1"/>
        </w:tblPrEx>
        <w:trPr>
          <w:trHeight w:val="49"/>
        </w:trPr>
        <w:tc>
          <w:tcPr>
            <w:tcW w:w="981" w:type="dxa"/>
            <w:vAlign w:val="center"/>
          </w:tcPr>
          <w:p w14:paraId="2BE8C43B" w14:textId="2A024BC0"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1BBCE234" w14:textId="77777777" w:rsidR="0027392C" w:rsidRPr="00B922D9" w:rsidRDefault="0027392C" w:rsidP="0027392C">
            <w:pPr>
              <w:rPr>
                <w:rFonts w:ascii="Arial Narrow" w:hAnsi="Arial Narrow"/>
                <w:b/>
                <w:bCs/>
                <w:color w:val="333333"/>
                <w:sz w:val="18"/>
                <w:szCs w:val="18"/>
                <w:lang w:eastAsia="en-AU"/>
              </w:rPr>
            </w:pPr>
            <w:r w:rsidRPr="00B922D9">
              <w:rPr>
                <w:rFonts w:ascii="Arial Narrow" w:hAnsi="Arial Narrow"/>
                <w:sz w:val="18"/>
                <w:szCs w:val="18"/>
              </w:rPr>
              <w:t>Patient must have previously received PBS-subsidised treatment with this drug for this condition under first continuing or re-initiation of interrupted continuing treatment restriction</w:t>
            </w:r>
          </w:p>
        </w:tc>
      </w:tr>
      <w:tr w:rsidR="0027392C" w:rsidRPr="00B90897" w14:paraId="11C828B8" w14:textId="77777777" w:rsidTr="0027392C">
        <w:tblPrEx>
          <w:tblCellMar>
            <w:top w:w="15" w:type="dxa"/>
            <w:left w:w="15" w:type="dxa"/>
            <w:bottom w:w="15" w:type="dxa"/>
            <w:right w:w="15" w:type="dxa"/>
          </w:tblCellMar>
          <w:tblLook w:val="04A0" w:firstRow="1" w:lastRow="0" w:firstColumn="1" w:lastColumn="0" w:noHBand="0" w:noVBand="1"/>
        </w:tblPrEx>
        <w:trPr>
          <w:trHeight w:val="49"/>
        </w:trPr>
        <w:tc>
          <w:tcPr>
            <w:tcW w:w="981" w:type="dxa"/>
            <w:vAlign w:val="center"/>
          </w:tcPr>
          <w:p w14:paraId="565C4951" w14:textId="77777777"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2D758DA8" w14:textId="77777777" w:rsidR="0027392C" w:rsidRPr="00120A12" w:rsidRDefault="0027392C" w:rsidP="0027392C">
            <w:pPr>
              <w:rPr>
                <w:rFonts w:ascii="Arial Narrow" w:hAnsi="Arial Narrow"/>
                <w:b/>
                <w:bCs/>
                <w:color w:val="333333"/>
                <w:sz w:val="18"/>
                <w:szCs w:val="18"/>
                <w:lang w:eastAsia="en-AU"/>
              </w:rPr>
            </w:pPr>
            <w:r w:rsidRPr="00120A12">
              <w:rPr>
                <w:rFonts w:ascii="Arial Narrow" w:hAnsi="Arial Narrow"/>
                <w:b/>
                <w:bCs/>
                <w:color w:val="333333"/>
                <w:sz w:val="18"/>
                <w:szCs w:val="18"/>
                <w:lang w:eastAsia="en-AU"/>
              </w:rPr>
              <w:t>AND</w:t>
            </w:r>
          </w:p>
        </w:tc>
      </w:tr>
      <w:tr w:rsidR="0027392C" w:rsidRPr="00B90897" w14:paraId="3EACE44D" w14:textId="77777777" w:rsidTr="0027392C">
        <w:tblPrEx>
          <w:tblCellMar>
            <w:top w:w="15" w:type="dxa"/>
            <w:left w:w="15" w:type="dxa"/>
            <w:bottom w:w="15" w:type="dxa"/>
            <w:right w:w="15" w:type="dxa"/>
          </w:tblCellMar>
          <w:tblLook w:val="04A0" w:firstRow="1" w:lastRow="0" w:firstColumn="1" w:lastColumn="0" w:noHBand="0" w:noVBand="1"/>
        </w:tblPrEx>
        <w:trPr>
          <w:trHeight w:val="49"/>
        </w:trPr>
        <w:tc>
          <w:tcPr>
            <w:tcW w:w="981" w:type="dxa"/>
            <w:vAlign w:val="center"/>
          </w:tcPr>
          <w:p w14:paraId="46CEE7A5" w14:textId="40A897A0"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0A9985C1" w14:textId="77777777" w:rsidR="0027392C" w:rsidRPr="00120A12" w:rsidRDefault="0027392C" w:rsidP="0027392C">
            <w:pPr>
              <w:rPr>
                <w:rFonts w:ascii="Arial Narrow" w:hAnsi="Arial Narrow"/>
                <w:b/>
                <w:bCs/>
                <w:color w:val="333333"/>
                <w:sz w:val="18"/>
                <w:szCs w:val="18"/>
                <w:lang w:eastAsia="en-AU"/>
              </w:rPr>
            </w:pPr>
            <w:r w:rsidRPr="00120A12">
              <w:rPr>
                <w:rFonts w:ascii="Arial Narrow" w:hAnsi="Arial Narrow"/>
                <w:b/>
                <w:bCs/>
                <w:color w:val="333333"/>
                <w:sz w:val="18"/>
                <w:szCs w:val="18"/>
                <w:lang w:eastAsia="en-AU"/>
              </w:rPr>
              <w:t>Clinical criteria:</w:t>
            </w:r>
          </w:p>
        </w:tc>
      </w:tr>
      <w:tr w:rsidR="0027392C" w:rsidRPr="00B90897" w14:paraId="6F15854B" w14:textId="77777777" w:rsidTr="0027392C">
        <w:tblPrEx>
          <w:tblCellMar>
            <w:top w:w="15" w:type="dxa"/>
            <w:left w:w="15" w:type="dxa"/>
            <w:bottom w:w="15" w:type="dxa"/>
            <w:right w:w="15" w:type="dxa"/>
          </w:tblCellMar>
          <w:tblLook w:val="04A0" w:firstRow="1" w:lastRow="0" w:firstColumn="1" w:lastColumn="0" w:noHBand="0" w:noVBand="1"/>
        </w:tblPrEx>
        <w:trPr>
          <w:trHeight w:val="49"/>
        </w:trPr>
        <w:tc>
          <w:tcPr>
            <w:tcW w:w="981" w:type="dxa"/>
            <w:vAlign w:val="center"/>
          </w:tcPr>
          <w:p w14:paraId="09BF37BE" w14:textId="78790229"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07CA185E" w14:textId="77777777" w:rsidR="0027392C" w:rsidRPr="00B922D9" w:rsidRDefault="0027392C" w:rsidP="0027392C">
            <w:pPr>
              <w:rPr>
                <w:rFonts w:ascii="Arial Narrow" w:hAnsi="Arial Narrow"/>
                <w:b/>
                <w:bCs/>
                <w:color w:val="333333"/>
                <w:sz w:val="18"/>
                <w:szCs w:val="18"/>
                <w:lang w:eastAsia="en-AU"/>
              </w:rPr>
            </w:pPr>
            <w:r w:rsidRPr="00B922D9">
              <w:rPr>
                <w:rFonts w:ascii="Arial Narrow" w:hAnsi="Arial Narrow"/>
                <w:sz w:val="18"/>
                <w:szCs w:val="18"/>
              </w:rPr>
              <w:t>Patient must have demonstrated a continuing response to PBS-subsidised treatment with this drug</w:t>
            </w:r>
          </w:p>
        </w:tc>
      </w:tr>
      <w:tr w:rsidR="0027392C" w:rsidRPr="00B90897" w14:paraId="475BFD88" w14:textId="77777777" w:rsidTr="0027392C">
        <w:tblPrEx>
          <w:tblCellMar>
            <w:top w:w="15" w:type="dxa"/>
            <w:left w:w="15" w:type="dxa"/>
            <w:bottom w:w="15" w:type="dxa"/>
            <w:right w:w="15" w:type="dxa"/>
          </w:tblCellMar>
          <w:tblLook w:val="04A0" w:firstRow="1" w:lastRow="0" w:firstColumn="1" w:lastColumn="0" w:noHBand="0" w:noVBand="1"/>
        </w:tblPrEx>
        <w:trPr>
          <w:trHeight w:val="49"/>
        </w:trPr>
        <w:tc>
          <w:tcPr>
            <w:tcW w:w="981" w:type="dxa"/>
            <w:vAlign w:val="center"/>
          </w:tcPr>
          <w:p w14:paraId="27A78276" w14:textId="77777777"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6044B837" w14:textId="77777777" w:rsidR="0027392C" w:rsidRPr="00120A12" w:rsidRDefault="0027392C" w:rsidP="0027392C">
            <w:pPr>
              <w:rPr>
                <w:rFonts w:ascii="Arial Narrow" w:hAnsi="Arial Narrow"/>
                <w:b/>
                <w:bCs/>
                <w:color w:val="333333"/>
                <w:sz w:val="18"/>
                <w:szCs w:val="18"/>
                <w:lang w:eastAsia="en-AU"/>
              </w:rPr>
            </w:pPr>
            <w:r w:rsidRPr="00120A12">
              <w:rPr>
                <w:rFonts w:ascii="Arial Narrow" w:hAnsi="Arial Narrow"/>
                <w:b/>
                <w:bCs/>
                <w:color w:val="333333"/>
                <w:sz w:val="18"/>
                <w:szCs w:val="18"/>
                <w:lang w:eastAsia="en-AU"/>
              </w:rPr>
              <w:t>AND</w:t>
            </w:r>
          </w:p>
        </w:tc>
      </w:tr>
      <w:tr w:rsidR="0027392C" w:rsidRPr="00B90897" w14:paraId="6BF84FCE" w14:textId="77777777" w:rsidTr="0027392C">
        <w:tblPrEx>
          <w:tblCellMar>
            <w:top w:w="15" w:type="dxa"/>
            <w:left w:w="15" w:type="dxa"/>
            <w:bottom w:w="15" w:type="dxa"/>
            <w:right w:w="15" w:type="dxa"/>
          </w:tblCellMar>
          <w:tblLook w:val="04A0" w:firstRow="1" w:lastRow="0" w:firstColumn="1" w:lastColumn="0" w:noHBand="0" w:noVBand="1"/>
        </w:tblPrEx>
        <w:trPr>
          <w:trHeight w:val="49"/>
        </w:trPr>
        <w:tc>
          <w:tcPr>
            <w:tcW w:w="981" w:type="dxa"/>
            <w:vAlign w:val="center"/>
          </w:tcPr>
          <w:p w14:paraId="2F1A254C" w14:textId="1BEC7866"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191594C0" w14:textId="77777777" w:rsidR="0027392C" w:rsidRPr="00120A12" w:rsidRDefault="0027392C" w:rsidP="0027392C">
            <w:pPr>
              <w:rPr>
                <w:rFonts w:ascii="Arial Narrow" w:hAnsi="Arial Narrow"/>
                <w:b/>
                <w:bCs/>
                <w:color w:val="333333"/>
                <w:sz w:val="18"/>
                <w:szCs w:val="18"/>
                <w:lang w:eastAsia="en-AU"/>
              </w:rPr>
            </w:pPr>
            <w:r w:rsidRPr="00120A12">
              <w:rPr>
                <w:rFonts w:ascii="Arial Narrow" w:hAnsi="Arial Narrow"/>
                <w:b/>
                <w:bCs/>
                <w:color w:val="333333"/>
                <w:sz w:val="18"/>
                <w:szCs w:val="18"/>
                <w:lang w:eastAsia="en-AU"/>
              </w:rPr>
              <w:t>Clinical criteria:</w:t>
            </w:r>
          </w:p>
        </w:tc>
      </w:tr>
      <w:tr w:rsidR="0027392C" w:rsidRPr="00B90897" w14:paraId="429D2FC3" w14:textId="77777777" w:rsidTr="0027392C">
        <w:tblPrEx>
          <w:tblCellMar>
            <w:top w:w="15" w:type="dxa"/>
            <w:left w:w="15" w:type="dxa"/>
            <w:bottom w:w="15" w:type="dxa"/>
            <w:right w:w="15" w:type="dxa"/>
          </w:tblCellMar>
          <w:tblLook w:val="04A0" w:firstRow="1" w:lastRow="0" w:firstColumn="1" w:lastColumn="0" w:noHBand="0" w:noVBand="1"/>
        </w:tblPrEx>
        <w:trPr>
          <w:trHeight w:val="49"/>
        </w:trPr>
        <w:tc>
          <w:tcPr>
            <w:tcW w:w="981" w:type="dxa"/>
            <w:vAlign w:val="center"/>
          </w:tcPr>
          <w:p w14:paraId="301A8BAC" w14:textId="45C2E210"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056D0673" w14:textId="77777777" w:rsidR="0027392C" w:rsidRPr="00B922D9" w:rsidRDefault="0027392C" w:rsidP="0027392C">
            <w:pPr>
              <w:rPr>
                <w:rFonts w:ascii="Arial Narrow" w:hAnsi="Arial Narrow"/>
                <w:b/>
                <w:bCs/>
                <w:color w:val="333333"/>
                <w:sz w:val="18"/>
                <w:szCs w:val="18"/>
                <w:lang w:eastAsia="en-AU"/>
              </w:rPr>
            </w:pPr>
            <w:r w:rsidRPr="00B922D9">
              <w:rPr>
                <w:rFonts w:ascii="Arial Narrow" w:hAnsi="Arial Narrow"/>
                <w:sz w:val="18"/>
                <w:szCs w:val="18"/>
              </w:rPr>
              <w:t>The treatment must be the sole PBS-subsidised thrombopoietin receptor agonist (TRA) for this condition</w:t>
            </w:r>
          </w:p>
        </w:tc>
      </w:tr>
      <w:tr w:rsidR="0027392C" w:rsidRPr="00B90897" w14:paraId="394DF7F4" w14:textId="77777777" w:rsidTr="0027392C">
        <w:tblPrEx>
          <w:tblCellMar>
            <w:top w:w="15" w:type="dxa"/>
            <w:left w:w="15" w:type="dxa"/>
            <w:bottom w:w="15" w:type="dxa"/>
            <w:right w:w="15" w:type="dxa"/>
          </w:tblCellMar>
          <w:tblLook w:val="04A0" w:firstRow="1" w:lastRow="0" w:firstColumn="1" w:lastColumn="0" w:noHBand="0" w:noVBand="1"/>
        </w:tblPrEx>
        <w:trPr>
          <w:trHeight w:val="49"/>
        </w:trPr>
        <w:tc>
          <w:tcPr>
            <w:tcW w:w="981" w:type="dxa"/>
            <w:vAlign w:val="center"/>
          </w:tcPr>
          <w:p w14:paraId="233E1858" w14:textId="7C3ECAFB"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2038ACE8" w14:textId="77777777" w:rsidR="0027392C" w:rsidRPr="009D6113" w:rsidRDefault="0027392C" w:rsidP="0027392C">
            <w:pPr>
              <w:rPr>
                <w:rFonts w:ascii="Arial Narrow" w:hAnsi="Arial Narrow"/>
                <w:sz w:val="18"/>
                <w:szCs w:val="18"/>
                <w:lang w:eastAsia="en-AU"/>
              </w:rPr>
            </w:pPr>
            <w:r w:rsidRPr="009D6113">
              <w:rPr>
                <w:rFonts w:ascii="Arial Narrow" w:hAnsi="Arial Narrow"/>
                <w:b/>
                <w:bCs/>
                <w:color w:val="333333"/>
                <w:sz w:val="18"/>
                <w:szCs w:val="18"/>
                <w:lang w:eastAsia="en-AU"/>
              </w:rPr>
              <w:t>Prescribing Instructions:</w:t>
            </w:r>
            <w:r>
              <w:rPr>
                <w:rFonts w:ascii="Arial Narrow" w:hAnsi="Arial Narrow"/>
                <w:b/>
                <w:bCs/>
                <w:color w:val="333333"/>
                <w:sz w:val="18"/>
                <w:szCs w:val="18"/>
                <w:lang w:eastAsia="en-AU"/>
              </w:rPr>
              <w:t xml:space="preserve"> </w:t>
            </w:r>
            <w:r w:rsidRPr="00B922D9">
              <w:rPr>
                <w:rFonts w:ascii="Arial Narrow" w:hAnsi="Arial Narrow"/>
                <w:sz w:val="18"/>
                <w:szCs w:val="18"/>
              </w:rPr>
              <w:t>The platelet count must be no more than 4 weeks old at the time of application.</w:t>
            </w:r>
          </w:p>
        </w:tc>
      </w:tr>
      <w:tr w:rsidR="0027392C" w:rsidRPr="00B90897" w14:paraId="14BA19D2" w14:textId="77777777" w:rsidTr="0027392C">
        <w:tblPrEx>
          <w:tblCellMar>
            <w:top w:w="15" w:type="dxa"/>
            <w:left w:w="15" w:type="dxa"/>
            <w:bottom w:w="15" w:type="dxa"/>
            <w:right w:w="15" w:type="dxa"/>
          </w:tblCellMar>
          <w:tblLook w:val="04A0" w:firstRow="1" w:lastRow="0" w:firstColumn="1" w:lastColumn="0" w:noHBand="0" w:noVBand="1"/>
        </w:tblPrEx>
        <w:trPr>
          <w:trHeight w:val="49"/>
        </w:trPr>
        <w:tc>
          <w:tcPr>
            <w:tcW w:w="981" w:type="dxa"/>
            <w:vAlign w:val="center"/>
          </w:tcPr>
          <w:p w14:paraId="7F2E23E7" w14:textId="7ED36574"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28245413" w14:textId="77777777" w:rsidR="0027392C" w:rsidRPr="009D6113" w:rsidRDefault="0027392C" w:rsidP="0027392C">
            <w:pPr>
              <w:rPr>
                <w:rFonts w:ascii="Arial Narrow" w:hAnsi="Arial Narrow"/>
                <w:sz w:val="18"/>
                <w:szCs w:val="18"/>
                <w:lang w:eastAsia="en-AU"/>
              </w:rPr>
            </w:pPr>
            <w:r w:rsidRPr="009D6113">
              <w:rPr>
                <w:rFonts w:ascii="Arial Narrow" w:hAnsi="Arial Narrow"/>
                <w:b/>
                <w:bCs/>
                <w:color w:val="333333"/>
                <w:sz w:val="18"/>
                <w:szCs w:val="18"/>
                <w:lang w:eastAsia="en-AU"/>
              </w:rPr>
              <w:t>Prescribing Instructions:</w:t>
            </w:r>
            <w:r w:rsidRPr="009D6113">
              <w:rPr>
                <w:rFonts w:ascii="Arial Narrow" w:hAnsi="Arial Narrow"/>
                <w:sz w:val="18"/>
                <w:szCs w:val="18"/>
              </w:rPr>
              <w:t xml:space="preserve"> </w:t>
            </w:r>
            <w:r w:rsidRPr="00E7715A">
              <w:rPr>
                <w:rFonts w:ascii="Arial Narrow" w:hAnsi="Arial Narrow"/>
                <w:sz w:val="18"/>
                <w:szCs w:val="18"/>
              </w:rPr>
              <w:t>The medical practitioner should request sufficient number of vials of appropriate strength based on the weight of the patient and dose (microgram/kg/week) to provide 4 weeks of treatment. Up to a maximum of 5 repeats may be authorised.</w:t>
            </w:r>
          </w:p>
        </w:tc>
      </w:tr>
      <w:tr w:rsidR="0027392C" w:rsidRPr="00B90897" w14:paraId="461DCF0B" w14:textId="77777777" w:rsidTr="0027392C">
        <w:tblPrEx>
          <w:tblCellMar>
            <w:top w:w="15" w:type="dxa"/>
            <w:left w:w="15" w:type="dxa"/>
            <w:bottom w:w="15" w:type="dxa"/>
            <w:right w:w="15" w:type="dxa"/>
          </w:tblCellMar>
          <w:tblLook w:val="04A0" w:firstRow="1" w:lastRow="0" w:firstColumn="1" w:lastColumn="0" w:noHBand="0" w:noVBand="1"/>
        </w:tblPrEx>
        <w:trPr>
          <w:trHeight w:val="49"/>
        </w:trPr>
        <w:tc>
          <w:tcPr>
            <w:tcW w:w="981" w:type="dxa"/>
            <w:vAlign w:val="center"/>
          </w:tcPr>
          <w:p w14:paraId="427D5A9E" w14:textId="4950AF6B"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5E0A2442" w14:textId="77777777" w:rsidR="0027392C" w:rsidRPr="009D6113" w:rsidRDefault="0027392C" w:rsidP="0027392C">
            <w:pPr>
              <w:rPr>
                <w:rFonts w:ascii="Arial Narrow" w:hAnsi="Arial Narrow"/>
                <w:sz w:val="18"/>
                <w:szCs w:val="18"/>
                <w:lang w:eastAsia="en-AU"/>
              </w:rPr>
            </w:pPr>
            <w:r w:rsidRPr="009D6113">
              <w:rPr>
                <w:rFonts w:ascii="Arial Narrow" w:hAnsi="Arial Narrow"/>
                <w:b/>
                <w:bCs/>
                <w:color w:val="333333"/>
                <w:sz w:val="18"/>
                <w:szCs w:val="18"/>
                <w:lang w:eastAsia="en-AU"/>
              </w:rPr>
              <w:t>Prescribing Instructions:</w:t>
            </w:r>
            <w:r w:rsidRPr="009D6113">
              <w:rPr>
                <w:rFonts w:ascii="Arial Narrow" w:hAnsi="Arial Narrow"/>
                <w:sz w:val="18"/>
                <w:szCs w:val="18"/>
              </w:rPr>
              <w:t xml:space="preserve"> Authority approval will not be given for doses higher than 10 micrograms/kg/week</w:t>
            </w:r>
          </w:p>
        </w:tc>
      </w:tr>
      <w:tr w:rsidR="0027392C" w:rsidRPr="00B90897" w14:paraId="650C4010" w14:textId="77777777" w:rsidTr="0027392C">
        <w:tblPrEx>
          <w:tblCellMar>
            <w:top w:w="15" w:type="dxa"/>
            <w:left w:w="15" w:type="dxa"/>
            <w:bottom w:w="15" w:type="dxa"/>
            <w:right w:w="15" w:type="dxa"/>
          </w:tblCellMar>
          <w:tblLook w:val="04A0" w:firstRow="1" w:lastRow="0" w:firstColumn="1" w:lastColumn="0" w:noHBand="0" w:noVBand="1"/>
        </w:tblPrEx>
        <w:trPr>
          <w:trHeight w:val="49"/>
        </w:trPr>
        <w:tc>
          <w:tcPr>
            <w:tcW w:w="981" w:type="dxa"/>
            <w:vAlign w:val="center"/>
          </w:tcPr>
          <w:p w14:paraId="41E9052E" w14:textId="7810E7B9"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23789C2D" w14:textId="77777777" w:rsidR="0027392C" w:rsidRPr="009D6113" w:rsidRDefault="0027392C" w:rsidP="0027392C">
            <w:pPr>
              <w:rPr>
                <w:rFonts w:ascii="Arial Narrow" w:hAnsi="Arial Narrow"/>
                <w:sz w:val="18"/>
                <w:szCs w:val="18"/>
                <w:lang w:eastAsia="en-AU"/>
              </w:rPr>
            </w:pPr>
            <w:r w:rsidRPr="00120A12">
              <w:rPr>
                <w:rFonts w:ascii="Arial Narrow" w:hAnsi="Arial Narrow"/>
                <w:b/>
                <w:bCs/>
                <w:color w:val="333333"/>
                <w:sz w:val="18"/>
                <w:szCs w:val="18"/>
                <w:lang w:eastAsia="en-AU"/>
              </w:rPr>
              <w:t>Administrative Advice:</w:t>
            </w:r>
            <w:r w:rsidRPr="009D6113">
              <w:rPr>
                <w:rFonts w:ascii="Arial Narrow" w:hAnsi="Arial Narrow"/>
                <w:sz w:val="18"/>
                <w:szCs w:val="18"/>
              </w:rPr>
              <w:t xml:space="preserve"> </w:t>
            </w:r>
            <w:r w:rsidRPr="00B922D9">
              <w:rPr>
                <w:rFonts w:ascii="Arial Narrow" w:hAnsi="Arial Narrow"/>
                <w:sz w:val="18"/>
                <w:szCs w:val="18"/>
              </w:rPr>
              <w:t xml:space="preserve">Applications for authorisation under this restriction may be made in real time using the Online PBS Authorities system (see </w:t>
            </w:r>
            <w:r w:rsidRPr="007F5FAB">
              <w:rPr>
                <w:rFonts w:ascii="Arial Narrow" w:hAnsi="Arial Narrow"/>
                <w:b/>
                <w:bCs/>
                <w:sz w:val="18"/>
                <w:szCs w:val="18"/>
              </w:rPr>
              <w:t>www.</w:t>
            </w:r>
            <w:r w:rsidRPr="00B922D9">
              <w:rPr>
                <w:rFonts w:ascii="Arial Narrow" w:hAnsi="Arial Narrow"/>
                <w:sz w:val="18"/>
                <w:szCs w:val="18"/>
              </w:rPr>
              <w:t>servicesaustralia.gov.au/HPOS) or by telephone by contacting Services Australia on 1800 700 270 (hours of operation 8 a.m. to 5 p.m. EST Monday to Friday).</w:t>
            </w:r>
          </w:p>
        </w:tc>
      </w:tr>
      <w:tr w:rsidR="0027392C" w:rsidRPr="00120A12" w14:paraId="597CC693" w14:textId="77777777" w:rsidTr="0027392C">
        <w:tblPrEx>
          <w:tblCellMar>
            <w:top w:w="15" w:type="dxa"/>
            <w:left w:w="15" w:type="dxa"/>
            <w:bottom w:w="15" w:type="dxa"/>
            <w:right w:w="15" w:type="dxa"/>
          </w:tblCellMar>
          <w:tblLook w:val="04A0" w:firstRow="1" w:lastRow="0" w:firstColumn="1" w:lastColumn="0" w:noHBand="0" w:noVBand="1"/>
        </w:tblPrEx>
        <w:trPr>
          <w:trHeight w:val="49"/>
        </w:trPr>
        <w:tc>
          <w:tcPr>
            <w:tcW w:w="9067" w:type="dxa"/>
            <w:gridSpan w:val="7"/>
            <w:vAlign w:val="center"/>
          </w:tcPr>
          <w:p w14:paraId="22029E39" w14:textId="77777777" w:rsidR="0027392C" w:rsidRPr="00120A12" w:rsidRDefault="0027392C" w:rsidP="0027392C">
            <w:pPr>
              <w:rPr>
                <w:rFonts w:ascii="Arial Narrow" w:hAnsi="Arial Narrow"/>
                <w:b/>
                <w:bCs/>
                <w:color w:val="333333"/>
                <w:sz w:val="18"/>
                <w:szCs w:val="18"/>
                <w:lang w:eastAsia="en-AU"/>
              </w:rPr>
            </w:pPr>
          </w:p>
        </w:tc>
      </w:tr>
      <w:tr w:rsidR="0027392C" w:rsidRPr="00120A12" w14:paraId="40390497" w14:textId="77777777" w:rsidTr="0027392C">
        <w:tblPrEx>
          <w:tblCellMar>
            <w:top w:w="15" w:type="dxa"/>
            <w:left w:w="15" w:type="dxa"/>
            <w:bottom w:w="15" w:type="dxa"/>
            <w:right w:w="15" w:type="dxa"/>
          </w:tblCellMar>
          <w:tblLook w:val="04A0" w:firstRow="1" w:lastRow="0" w:firstColumn="1" w:lastColumn="0" w:noHBand="0" w:noVBand="1"/>
        </w:tblPrEx>
        <w:trPr>
          <w:trHeight w:val="49"/>
        </w:trPr>
        <w:tc>
          <w:tcPr>
            <w:tcW w:w="9067" w:type="dxa"/>
            <w:gridSpan w:val="7"/>
            <w:vAlign w:val="center"/>
          </w:tcPr>
          <w:p w14:paraId="22DAD563" w14:textId="77777777" w:rsidR="0027392C" w:rsidRPr="00120A12" w:rsidRDefault="0027392C" w:rsidP="0027392C">
            <w:pPr>
              <w:rPr>
                <w:rFonts w:ascii="Arial Narrow" w:hAnsi="Arial Narrow"/>
                <w:b/>
                <w:bCs/>
                <w:color w:val="333333"/>
                <w:sz w:val="18"/>
                <w:szCs w:val="18"/>
                <w:lang w:eastAsia="en-AU"/>
              </w:rPr>
            </w:pPr>
          </w:p>
        </w:tc>
      </w:tr>
      <w:tr w:rsidR="0027392C" w:rsidRPr="00120A12" w14:paraId="54D305D6" w14:textId="77777777" w:rsidTr="0027392C">
        <w:tblPrEx>
          <w:tblCellMar>
            <w:top w:w="15" w:type="dxa"/>
            <w:left w:w="15" w:type="dxa"/>
            <w:bottom w:w="15" w:type="dxa"/>
            <w:right w:w="15" w:type="dxa"/>
          </w:tblCellMar>
          <w:tblLook w:val="04A0" w:firstRow="1" w:lastRow="0" w:firstColumn="1" w:lastColumn="0" w:noHBand="0" w:noVBand="1"/>
        </w:tblPrEx>
        <w:tc>
          <w:tcPr>
            <w:tcW w:w="981" w:type="dxa"/>
            <w:vMerge w:val="restart"/>
          </w:tcPr>
          <w:p w14:paraId="5B6F31F7" w14:textId="5F7263EB" w:rsidR="0027392C" w:rsidRPr="00DB2FF7" w:rsidRDefault="0027392C" w:rsidP="0027392C">
            <w:pPr>
              <w:jc w:val="center"/>
              <w:rPr>
                <w:rFonts w:ascii="Arial Narrow" w:hAnsi="Arial Narrow"/>
                <w:b/>
                <w:bCs/>
                <w:color w:val="333333"/>
                <w:sz w:val="18"/>
                <w:szCs w:val="18"/>
                <w:lang w:eastAsia="en-AU"/>
              </w:rPr>
            </w:pPr>
          </w:p>
        </w:tc>
        <w:tc>
          <w:tcPr>
            <w:tcW w:w="8086" w:type="dxa"/>
            <w:gridSpan w:val="6"/>
          </w:tcPr>
          <w:p w14:paraId="53DCB32F" w14:textId="77777777" w:rsidR="0027392C" w:rsidRPr="00120A12" w:rsidRDefault="0027392C" w:rsidP="0027392C">
            <w:pPr>
              <w:rPr>
                <w:rFonts w:ascii="Arial Narrow" w:hAnsi="Arial Narrow"/>
                <w:b/>
                <w:bCs/>
                <w:color w:val="333333"/>
                <w:sz w:val="18"/>
                <w:szCs w:val="18"/>
                <w:lang w:eastAsia="en-AU"/>
              </w:rPr>
            </w:pPr>
            <w:r w:rsidRPr="0020649C">
              <w:rPr>
                <w:rFonts w:ascii="Arial Narrow" w:hAnsi="Arial Narrow" w:cs="Arial"/>
                <w:b/>
                <w:sz w:val="18"/>
                <w:szCs w:val="18"/>
              </w:rPr>
              <w:t>Category / Program:</w:t>
            </w:r>
            <w:r>
              <w:rPr>
                <w:rFonts w:ascii="Arial Narrow" w:hAnsi="Arial Narrow" w:cs="Arial"/>
                <w:b/>
                <w:sz w:val="18"/>
                <w:szCs w:val="18"/>
              </w:rPr>
              <w:t xml:space="preserve"> </w:t>
            </w:r>
            <w:r w:rsidRPr="003D201F">
              <w:rPr>
                <w:rFonts w:ascii="Arial Narrow" w:hAnsi="Arial Narrow" w:cs="Arial"/>
                <w:sz w:val="18"/>
                <w:szCs w:val="18"/>
              </w:rPr>
              <w:t xml:space="preserve">Section 100 – </w:t>
            </w:r>
            <w:r>
              <w:rPr>
                <w:rFonts w:ascii="Arial Narrow" w:hAnsi="Arial Narrow" w:cs="Arial"/>
                <w:sz w:val="18"/>
                <w:szCs w:val="18"/>
              </w:rPr>
              <w:t xml:space="preserve">Highly Specialised Drugs Program (Public Hospitals) </w:t>
            </w:r>
          </w:p>
        </w:tc>
      </w:tr>
      <w:tr w:rsidR="0027392C" w:rsidRPr="0020649C" w14:paraId="259D0D54" w14:textId="77777777" w:rsidTr="0027392C">
        <w:tblPrEx>
          <w:tblCellMar>
            <w:top w:w="15" w:type="dxa"/>
            <w:left w:w="15" w:type="dxa"/>
            <w:bottom w:w="15" w:type="dxa"/>
            <w:right w:w="15" w:type="dxa"/>
          </w:tblCellMar>
          <w:tblLook w:val="04A0" w:firstRow="1" w:lastRow="0" w:firstColumn="1" w:lastColumn="0" w:noHBand="0" w:noVBand="1"/>
        </w:tblPrEx>
        <w:tc>
          <w:tcPr>
            <w:tcW w:w="981" w:type="dxa"/>
            <w:vMerge/>
          </w:tcPr>
          <w:p w14:paraId="3E93D4EF" w14:textId="77777777" w:rsidR="0027392C" w:rsidRPr="00507253" w:rsidRDefault="0027392C" w:rsidP="0027392C">
            <w:pPr>
              <w:jc w:val="center"/>
              <w:rPr>
                <w:rFonts w:ascii="Arial Narrow" w:hAnsi="Arial Narrow" w:cs="Arial"/>
                <w:b/>
                <w:sz w:val="18"/>
                <w:szCs w:val="18"/>
              </w:rPr>
            </w:pPr>
          </w:p>
        </w:tc>
        <w:tc>
          <w:tcPr>
            <w:tcW w:w="8086" w:type="dxa"/>
            <w:gridSpan w:val="6"/>
          </w:tcPr>
          <w:p w14:paraId="485CA7C5" w14:textId="77777777" w:rsidR="0027392C" w:rsidRPr="0020649C" w:rsidRDefault="0027392C" w:rsidP="0027392C">
            <w:pPr>
              <w:rPr>
                <w:rFonts w:ascii="Arial Narrow" w:hAnsi="Arial Narrow" w:cs="Arial"/>
                <w:b/>
                <w:sz w:val="18"/>
                <w:szCs w:val="18"/>
              </w:rPr>
            </w:pPr>
            <w:r w:rsidRPr="00120A12">
              <w:rPr>
                <w:rFonts w:ascii="Arial Narrow" w:hAnsi="Arial Narrow" w:cs="Arial"/>
                <w:b/>
                <w:sz w:val="18"/>
                <w:szCs w:val="18"/>
              </w:rPr>
              <w:t>Prescriber type</w:t>
            </w:r>
            <w:r>
              <w:rPr>
                <w:rFonts w:ascii="Arial Narrow" w:hAnsi="Arial Narrow" w:cs="Arial"/>
                <w:b/>
                <w:sz w:val="18"/>
                <w:szCs w:val="18"/>
              </w:rPr>
              <w:t>:</w:t>
            </w:r>
            <w:r w:rsidRPr="00120A12">
              <w:rPr>
                <w:rFonts w:ascii="Arial Narrow" w:hAnsi="Arial Narrow" w:cs="Arial"/>
                <w:sz w:val="18"/>
                <w:szCs w:val="18"/>
              </w:rPr>
              <w:t xml:space="preserve"> </w:t>
            </w:r>
            <w:r>
              <w:rPr>
                <w:rFonts w:ascii="Arial Narrow" w:hAnsi="Arial Narrow" w:cs="Arial"/>
                <w:sz w:val="18"/>
                <w:szCs w:val="18"/>
              </w:rPr>
              <w:fldChar w:fldCharType="begin">
                <w:ffData>
                  <w:name w:val=""/>
                  <w:enabled/>
                  <w:calcOnExit w:val="0"/>
                  <w:checkBox>
                    <w:sizeAuto/>
                    <w:default w:val="1"/>
                  </w:checkBox>
                </w:ffData>
              </w:fldChar>
            </w:r>
            <w:r>
              <w:rPr>
                <w:rFonts w:ascii="Arial Narrow" w:hAnsi="Arial Narrow" w:cs="Arial"/>
                <w:sz w:val="18"/>
                <w:szCs w:val="18"/>
              </w:rPr>
              <w:instrText xml:space="preserve"> FORMCHECKBOX </w:instrText>
            </w:r>
            <w:r w:rsidR="00B643E4">
              <w:rPr>
                <w:rFonts w:ascii="Arial Narrow" w:hAnsi="Arial Narrow" w:cs="Arial"/>
                <w:sz w:val="18"/>
                <w:szCs w:val="18"/>
              </w:rPr>
            </w:r>
            <w:r w:rsidR="00B643E4">
              <w:rPr>
                <w:rFonts w:ascii="Arial Narrow" w:hAnsi="Arial Narrow" w:cs="Arial"/>
                <w:sz w:val="18"/>
                <w:szCs w:val="18"/>
              </w:rPr>
              <w:fldChar w:fldCharType="separate"/>
            </w:r>
            <w:r>
              <w:rPr>
                <w:rFonts w:ascii="Arial Narrow" w:hAnsi="Arial Narrow" w:cs="Arial"/>
                <w:sz w:val="18"/>
                <w:szCs w:val="18"/>
              </w:rPr>
              <w:fldChar w:fldCharType="end"/>
            </w:r>
            <w:r w:rsidRPr="00120A12">
              <w:rPr>
                <w:rFonts w:ascii="Arial Narrow" w:hAnsi="Arial Narrow" w:cs="Arial"/>
                <w:sz w:val="18"/>
                <w:szCs w:val="18"/>
              </w:rPr>
              <w:t>Medical Practitioners</w:t>
            </w:r>
            <w:r>
              <w:rPr>
                <w:rFonts w:ascii="Arial Narrow" w:hAnsi="Arial Narrow" w:cs="Arial"/>
                <w:sz w:val="18"/>
                <w:szCs w:val="18"/>
              </w:rPr>
              <w:t xml:space="preserve">  </w:t>
            </w:r>
            <w:r w:rsidRPr="00120A12">
              <w:rPr>
                <w:rFonts w:ascii="Arial Narrow" w:hAnsi="Arial Narrow" w:cs="Arial"/>
                <w:sz w:val="18"/>
                <w:szCs w:val="18"/>
              </w:rPr>
              <w:t xml:space="preserve"> </w:t>
            </w:r>
          </w:p>
        </w:tc>
      </w:tr>
      <w:tr w:rsidR="0027392C" w:rsidRPr="00120A12" w14:paraId="36B7E78A" w14:textId="77777777" w:rsidTr="0027392C">
        <w:tblPrEx>
          <w:tblCellMar>
            <w:top w:w="15" w:type="dxa"/>
            <w:left w:w="15" w:type="dxa"/>
            <w:bottom w:w="15" w:type="dxa"/>
            <w:right w:w="15" w:type="dxa"/>
          </w:tblCellMar>
          <w:tblLook w:val="04A0" w:firstRow="1" w:lastRow="0" w:firstColumn="1" w:lastColumn="0" w:noHBand="0" w:noVBand="1"/>
        </w:tblPrEx>
        <w:tc>
          <w:tcPr>
            <w:tcW w:w="981" w:type="dxa"/>
            <w:vMerge/>
          </w:tcPr>
          <w:p w14:paraId="1515246A" w14:textId="77777777" w:rsidR="0027392C" w:rsidRPr="00507253" w:rsidRDefault="0027392C" w:rsidP="0027392C">
            <w:pPr>
              <w:jc w:val="center"/>
              <w:rPr>
                <w:rFonts w:ascii="Arial Narrow" w:hAnsi="Arial Narrow" w:cs="Arial"/>
                <w:b/>
                <w:sz w:val="18"/>
                <w:szCs w:val="18"/>
              </w:rPr>
            </w:pPr>
          </w:p>
        </w:tc>
        <w:tc>
          <w:tcPr>
            <w:tcW w:w="8086" w:type="dxa"/>
            <w:gridSpan w:val="6"/>
          </w:tcPr>
          <w:p w14:paraId="6722A244" w14:textId="77777777" w:rsidR="0027392C" w:rsidRPr="00120A12" w:rsidRDefault="0027392C" w:rsidP="0027392C">
            <w:pPr>
              <w:rPr>
                <w:rFonts w:ascii="Arial Narrow" w:hAnsi="Arial Narrow" w:cs="Arial"/>
                <w:b/>
                <w:sz w:val="18"/>
                <w:szCs w:val="18"/>
              </w:rPr>
            </w:pPr>
            <w:r w:rsidRPr="0020649C">
              <w:rPr>
                <w:rFonts w:ascii="Arial Narrow" w:hAnsi="Arial Narrow" w:cs="Arial"/>
                <w:b/>
                <w:sz w:val="18"/>
                <w:szCs w:val="18"/>
              </w:rPr>
              <w:t xml:space="preserve">Restriction </w:t>
            </w:r>
            <w:r>
              <w:rPr>
                <w:rFonts w:ascii="Arial Narrow" w:hAnsi="Arial Narrow" w:cs="Arial"/>
                <w:b/>
                <w:sz w:val="18"/>
                <w:szCs w:val="18"/>
              </w:rPr>
              <w:t xml:space="preserve">type: </w:t>
            </w:r>
            <w:r>
              <w:rPr>
                <w:rFonts w:ascii="Arial Narrow" w:eastAsia="Calibri" w:hAnsi="Arial Narrow" w:cs="Arial"/>
                <w:sz w:val="18"/>
                <w:szCs w:val="18"/>
              </w:rPr>
              <w:fldChar w:fldCharType="begin">
                <w:ffData>
                  <w:name w:val=""/>
                  <w:enabled/>
                  <w:calcOnExit w:val="0"/>
                  <w:checkBox>
                    <w:sizeAuto/>
                    <w:default w:val="1"/>
                  </w:checkBox>
                </w:ffData>
              </w:fldChar>
            </w:r>
            <w:r>
              <w:rPr>
                <w:rFonts w:ascii="Arial Narrow" w:eastAsia="Calibri" w:hAnsi="Arial Narrow" w:cs="Arial"/>
                <w:sz w:val="18"/>
                <w:szCs w:val="18"/>
              </w:rPr>
              <w:instrText xml:space="preserve"> FORMCHECKBOX </w:instrText>
            </w:r>
            <w:r w:rsidR="00B643E4">
              <w:rPr>
                <w:rFonts w:ascii="Arial Narrow" w:eastAsia="Calibri" w:hAnsi="Arial Narrow" w:cs="Arial"/>
                <w:sz w:val="18"/>
                <w:szCs w:val="18"/>
              </w:rPr>
            </w:r>
            <w:r w:rsidR="00B643E4">
              <w:rPr>
                <w:rFonts w:ascii="Arial Narrow" w:eastAsia="Calibri" w:hAnsi="Arial Narrow" w:cs="Arial"/>
                <w:sz w:val="18"/>
                <w:szCs w:val="18"/>
              </w:rPr>
              <w:fldChar w:fldCharType="separate"/>
            </w:r>
            <w:r>
              <w:rPr>
                <w:rFonts w:ascii="Arial Narrow" w:eastAsia="Calibri" w:hAnsi="Arial Narrow" w:cs="Arial"/>
                <w:sz w:val="18"/>
                <w:szCs w:val="18"/>
              </w:rPr>
              <w:fldChar w:fldCharType="end"/>
            </w:r>
            <w:r w:rsidRPr="00F86065">
              <w:rPr>
                <w:rFonts w:ascii="Arial Narrow" w:eastAsia="Calibri" w:hAnsi="Arial Narrow" w:cs="Arial"/>
                <w:sz w:val="18"/>
                <w:szCs w:val="18"/>
              </w:rPr>
              <w:t>Authority Required –</w:t>
            </w:r>
            <w:r>
              <w:rPr>
                <w:rFonts w:ascii="Arial Narrow" w:eastAsia="Calibri" w:hAnsi="Arial Narrow" w:cs="Arial"/>
                <w:sz w:val="18"/>
                <w:szCs w:val="18"/>
              </w:rPr>
              <w:t>(Telephone/electronic)</w:t>
            </w:r>
          </w:p>
        </w:tc>
      </w:tr>
      <w:tr w:rsidR="0027392C" w:rsidRPr="0020649C" w14:paraId="78CED26C" w14:textId="77777777" w:rsidTr="0027392C">
        <w:tblPrEx>
          <w:tblCellMar>
            <w:top w:w="15" w:type="dxa"/>
            <w:left w:w="15" w:type="dxa"/>
            <w:bottom w:w="15" w:type="dxa"/>
            <w:right w:w="15" w:type="dxa"/>
          </w:tblCellMar>
          <w:tblLook w:val="04A0" w:firstRow="1" w:lastRow="0" w:firstColumn="1" w:lastColumn="0" w:noHBand="0" w:noVBand="1"/>
        </w:tblPrEx>
        <w:tc>
          <w:tcPr>
            <w:tcW w:w="981" w:type="dxa"/>
            <w:vAlign w:val="center"/>
          </w:tcPr>
          <w:p w14:paraId="483A74FF" w14:textId="7B29B358" w:rsidR="0027392C" w:rsidRPr="00507253" w:rsidRDefault="0027392C" w:rsidP="0027392C">
            <w:pPr>
              <w:jc w:val="center"/>
              <w:rPr>
                <w:rFonts w:ascii="Arial Narrow" w:hAnsi="Arial Narrow" w:cs="Arial"/>
                <w:b/>
                <w:sz w:val="18"/>
                <w:szCs w:val="18"/>
              </w:rPr>
            </w:pPr>
          </w:p>
        </w:tc>
        <w:tc>
          <w:tcPr>
            <w:tcW w:w="8086" w:type="dxa"/>
            <w:gridSpan w:val="6"/>
            <w:vAlign w:val="center"/>
          </w:tcPr>
          <w:p w14:paraId="05A728A4" w14:textId="77777777" w:rsidR="0027392C" w:rsidRPr="0020649C" w:rsidRDefault="0027392C" w:rsidP="0027392C">
            <w:pPr>
              <w:rPr>
                <w:rFonts w:ascii="Arial Narrow" w:hAnsi="Arial Narrow" w:cs="Arial"/>
                <w:b/>
                <w:sz w:val="18"/>
                <w:szCs w:val="18"/>
              </w:rPr>
            </w:pPr>
            <w:r w:rsidRPr="00120A12">
              <w:rPr>
                <w:rFonts w:ascii="Arial Narrow" w:hAnsi="Arial Narrow"/>
                <w:b/>
                <w:bCs/>
                <w:color w:val="333333"/>
                <w:sz w:val="18"/>
                <w:szCs w:val="18"/>
                <w:lang w:eastAsia="en-AU"/>
              </w:rPr>
              <w:t>Indication:</w:t>
            </w:r>
            <w:r>
              <w:rPr>
                <w:rFonts w:ascii="Arial Narrow" w:hAnsi="Arial Narrow"/>
                <w:color w:val="333333"/>
                <w:sz w:val="18"/>
                <w:szCs w:val="18"/>
                <w:lang w:eastAsia="en-AU"/>
              </w:rPr>
              <w:t xml:space="preserve"> Severe thrombocytopenia</w:t>
            </w:r>
          </w:p>
        </w:tc>
      </w:tr>
      <w:tr w:rsidR="0027392C" w:rsidRPr="00120A12" w14:paraId="28F12FDF" w14:textId="77777777" w:rsidTr="0027392C">
        <w:tblPrEx>
          <w:tblCellMar>
            <w:top w:w="15" w:type="dxa"/>
            <w:left w:w="15" w:type="dxa"/>
            <w:bottom w:w="15" w:type="dxa"/>
            <w:right w:w="15" w:type="dxa"/>
          </w:tblCellMar>
          <w:tblLook w:val="04A0" w:firstRow="1" w:lastRow="0" w:firstColumn="1" w:lastColumn="0" w:noHBand="0" w:noVBand="1"/>
        </w:tblPrEx>
        <w:tc>
          <w:tcPr>
            <w:tcW w:w="981" w:type="dxa"/>
            <w:vAlign w:val="center"/>
          </w:tcPr>
          <w:p w14:paraId="316B77F0" w14:textId="77777777"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02E51206" w14:textId="77777777" w:rsidR="0027392C" w:rsidRPr="00120A12" w:rsidRDefault="0027392C" w:rsidP="0027392C">
            <w:pPr>
              <w:rPr>
                <w:rFonts w:ascii="Arial Narrow" w:hAnsi="Arial Narrow"/>
                <w:b/>
                <w:bCs/>
                <w:color w:val="333333"/>
                <w:sz w:val="18"/>
                <w:szCs w:val="18"/>
                <w:lang w:eastAsia="en-AU"/>
              </w:rPr>
            </w:pPr>
            <w:r w:rsidRPr="00B35A72">
              <w:rPr>
                <w:rFonts w:ascii="Arial Narrow" w:hAnsi="Arial Narrow"/>
                <w:b/>
                <w:bCs/>
                <w:sz w:val="18"/>
                <w:szCs w:val="18"/>
                <w:lang w:eastAsia="en-AU"/>
              </w:rPr>
              <w:t>Treatment Phase:</w:t>
            </w:r>
            <w:r w:rsidRPr="00B35A72">
              <w:rPr>
                <w:rFonts w:ascii="Arial Narrow" w:hAnsi="Arial Narrow"/>
                <w:sz w:val="18"/>
                <w:szCs w:val="18"/>
                <w:lang w:eastAsia="en-AU"/>
              </w:rPr>
              <w:t xml:space="preserve"> </w:t>
            </w:r>
            <w:r>
              <w:rPr>
                <w:rFonts w:ascii="Arial Narrow" w:hAnsi="Arial Narrow"/>
                <w:sz w:val="18"/>
                <w:szCs w:val="18"/>
                <w:lang w:eastAsia="en-AU"/>
              </w:rPr>
              <w:t xml:space="preserve">Balance of supply or change of therapy </w:t>
            </w:r>
          </w:p>
        </w:tc>
      </w:tr>
      <w:tr w:rsidR="0027392C" w:rsidRPr="00B35A72" w14:paraId="673FB73A" w14:textId="77777777" w:rsidTr="0027392C">
        <w:tblPrEx>
          <w:tblCellMar>
            <w:top w:w="15" w:type="dxa"/>
            <w:left w:w="15" w:type="dxa"/>
            <w:bottom w:w="15" w:type="dxa"/>
            <w:right w:w="15" w:type="dxa"/>
          </w:tblCellMar>
          <w:tblLook w:val="04A0" w:firstRow="1" w:lastRow="0" w:firstColumn="1" w:lastColumn="0" w:noHBand="0" w:noVBand="1"/>
        </w:tblPrEx>
        <w:tc>
          <w:tcPr>
            <w:tcW w:w="981" w:type="dxa"/>
            <w:vAlign w:val="center"/>
          </w:tcPr>
          <w:p w14:paraId="47C640A0" w14:textId="28C2C92B"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1BAA16F7" w14:textId="77777777" w:rsidR="0027392C" w:rsidRPr="00B35A72" w:rsidRDefault="0027392C" w:rsidP="0027392C">
            <w:pPr>
              <w:rPr>
                <w:rFonts w:ascii="Arial Narrow" w:hAnsi="Arial Narrow"/>
                <w:b/>
                <w:bCs/>
                <w:sz w:val="18"/>
                <w:szCs w:val="18"/>
                <w:lang w:eastAsia="en-AU"/>
              </w:rPr>
            </w:pPr>
            <w:r w:rsidRPr="00120A12">
              <w:rPr>
                <w:rFonts w:ascii="Arial Narrow" w:hAnsi="Arial Narrow"/>
                <w:b/>
                <w:bCs/>
                <w:color w:val="333333"/>
                <w:sz w:val="18"/>
                <w:szCs w:val="18"/>
                <w:lang w:eastAsia="en-AU"/>
              </w:rPr>
              <w:t>Clinical criteria:</w:t>
            </w:r>
          </w:p>
        </w:tc>
      </w:tr>
      <w:tr w:rsidR="0027392C" w:rsidRPr="00120A12" w14:paraId="4FB8A31C" w14:textId="77777777" w:rsidTr="0027392C">
        <w:tblPrEx>
          <w:tblCellMar>
            <w:top w:w="15" w:type="dxa"/>
            <w:left w:w="15" w:type="dxa"/>
            <w:bottom w:w="15" w:type="dxa"/>
            <w:right w:w="15" w:type="dxa"/>
          </w:tblCellMar>
          <w:tblLook w:val="04A0" w:firstRow="1" w:lastRow="0" w:firstColumn="1" w:lastColumn="0" w:noHBand="0" w:noVBand="1"/>
        </w:tblPrEx>
        <w:tc>
          <w:tcPr>
            <w:tcW w:w="981" w:type="dxa"/>
            <w:vAlign w:val="center"/>
          </w:tcPr>
          <w:p w14:paraId="12652070" w14:textId="02D31E1E"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4C9A1F89" w14:textId="77777777" w:rsidR="0027392C" w:rsidRPr="00120A12" w:rsidRDefault="0027392C" w:rsidP="0027392C">
            <w:pPr>
              <w:rPr>
                <w:rFonts w:ascii="Arial Narrow" w:hAnsi="Arial Narrow"/>
                <w:b/>
                <w:bCs/>
                <w:color w:val="333333"/>
                <w:sz w:val="18"/>
                <w:szCs w:val="18"/>
                <w:lang w:eastAsia="en-AU"/>
              </w:rPr>
            </w:pPr>
            <w:r w:rsidRPr="009D6113">
              <w:rPr>
                <w:rFonts w:ascii="Arial Narrow" w:hAnsi="Arial Narrow"/>
                <w:sz w:val="18"/>
                <w:szCs w:val="18"/>
              </w:rPr>
              <w:t>The condition must be severe chronic immune (idiopathic) thrombocytopenic purpura (ITP)</w:t>
            </w:r>
          </w:p>
        </w:tc>
      </w:tr>
      <w:tr w:rsidR="0027392C" w:rsidRPr="00120A12" w14:paraId="60000EAA" w14:textId="77777777" w:rsidTr="0027392C">
        <w:tblPrEx>
          <w:tblCellMar>
            <w:top w:w="15" w:type="dxa"/>
            <w:left w:w="15" w:type="dxa"/>
            <w:bottom w:w="15" w:type="dxa"/>
            <w:right w:w="15" w:type="dxa"/>
          </w:tblCellMar>
          <w:tblLook w:val="04A0" w:firstRow="1" w:lastRow="0" w:firstColumn="1" w:lastColumn="0" w:noHBand="0" w:noVBand="1"/>
        </w:tblPrEx>
        <w:tc>
          <w:tcPr>
            <w:tcW w:w="981" w:type="dxa"/>
            <w:vAlign w:val="center"/>
          </w:tcPr>
          <w:p w14:paraId="795648ED" w14:textId="77777777"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7E38B18B" w14:textId="77777777" w:rsidR="0027392C" w:rsidRPr="009D6113" w:rsidRDefault="0027392C" w:rsidP="0027392C">
            <w:pPr>
              <w:rPr>
                <w:rFonts w:ascii="Arial Narrow" w:hAnsi="Arial Narrow"/>
                <w:sz w:val="18"/>
                <w:szCs w:val="18"/>
              </w:rPr>
            </w:pPr>
            <w:r w:rsidRPr="00120A12">
              <w:rPr>
                <w:rFonts w:ascii="Arial Narrow" w:hAnsi="Arial Narrow"/>
                <w:b/>
                <w:bCs/>
                <w:color w:val="333333"/>
                <w:sz w:val="18"/>
                <w:szCs w:val="18"/>
                <w:lang w:eastAsia="en-AU"/>
              </w:rPr>
              <w:t>AND</w:t>
            </w:r>
          </w:p>
        </w:tc>
      </w:tr>
      <w:tr w:rsidR="0027392C" w:rsidRPr="00120A12" w14:paraId="2399927C" w14:textId="77777777" w:rsidTr="0027392C">
        <w:tblPrEx>
          <w:tblCellMar>
            <w:top w:w="15" w:type="dxa"/>
            <w:left w:w="15" w:type="dxa"/>
            <w:bottom w:w="15" w:type="dxa"/>
            <w:right w:w="15" w:type="dxa"/>
          </w:tblCellMar>
          <w:tblLook w:val="04A0" w:firstRow="1" w:lastRow="0" w:firstColumn="1" w:lastColumn="0" w:noHBand="0" w:noVBand="1"/>
        </w:tblPrEx>
        <w:trPr>
          <w:trHeight w:val="49"/>
        </w:trPr>
        <w:tc>
          <w:tcPr>
            <w:tcW w:w="981" w:type="dxa"/>
            <w:vAlign w:val="center"/>
          </w:tcPr>
          <w:p w14:paraId="7D3F829F" w14:textId="6EE7D55B"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0882F910" w14:textId="77777777" w:rsidR="0027392C" w:rsidRPr="00120A12" w:rsidRDefault="0027392C" w:rsidP="0027392C">
            <w:pPr>
              <w:rPr>
                <w:rFonts w:ascii="Arial Narrow" w:hAnsi="Arial Narrow"/>
                <w:b/>
                <w:bCs/>
                <w:color w:val="333333"/>
                <w:sz w:val="18"/>
                <w:szCs w:val="18"/>
                <w:lang w:eastAsia="en-AU"/>
              </w:rPr>
            </w:pPr>
            <w:r w:rsidRPr="00120A12">
              <w:rPr>
                <w:rFonts w:ascii="Arial Narrow" w:hAnsi="Arial Narrow"/>
                <w:b/>
                <w:bCs/>
                <w:color w:val="333333"/>
                <w:sz w:val="18"/>
                <w:szCs w:val="18"/>
                <w:lang w:eastAsia="en-AU"/>
              </w:rPr>
              <w:t>Clinical criteria:</w:t>
            </w:r>
          </w:p>
        </w:tc>
      </w:tr>
      <w:tr w:rsidR="0027392C" w:rsidRPr="00B922D9" w14:paraId="77065E66" w14:textId="77777777" w:rsidTr="0027392C">
        <w:tblPrEx>
          <w:tblCellMar>
            <w:top w:w="15" w:type="dxa"/>
            <w:left w:w="15" w:type="dxa"/>
            <w:bottom w:w="15" w:type="dxa"/>
            <w:right w:w="15" w:type="dxa"/>
          </w:tblCellMar>
          <w:tblLook w:val="04A0" w:firstRow="1" w:lastRow="0" w:firstColumn="1" w:lastColumn="0" w:noHBand="0" w:noVBand="1"/>
        </w:tblPrEx>
        <w:trPr>
          <w:trHeight w:val="49"/>
        </w:trPr>
        <w:tc>
          <w:tcPr>
            <w:tcW w:w="981" w:type="dxa"/>
            <w:vAlign w:val="center"/>
          </w:tcPr>
          <w:p w14:paraId="55957750" w14:textId="6D1F90DE"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620F10DA" w14:textId="77777777" w:rsidR="0027392C" w:rsidRPr="00B922D9" w:rsidRDefault="0027392C" w:rsidP="0027392C">
            <w:pPr>
              <w:rPr>
                <w:rFonts w:ascii="Arial Narrow" w:hAnsi="Arial Narrow"/>
                <w:b/>
                <w:bCs/>
                <w:color w:val="333333"/>
                <w:sz w:val="18"/>
                <w:szCs w:val="18"/>
                <w:lang w:eastAsia="en-AU"/>
              </w:rPr>
            </w:pPr>
            <w:r w:rsidRPr="00B922D9">
              <w:rPr>
                <w:rFonts w:ascii="Arial Narrow" w:hAnsi="Arial Narrow"/>
                <w:sz w:val="18"/>
                <w:szCs w:val="18"/>
              </w:rPr>
              <w:t>The treatment must be the sole PBS-subsidised thrombopoietin receptor agonist (TRA) for this condition</w:t>
            </w:r>
          </w:p>
        </w:tc>
      </w:tr>
      <w:tr w:rsidR="0027392C" w:rsidRPr="00120A12" w14:paraId="3A6CF5FE" w14:textId="77777777" w:rsidTr="0027392C">
        <w:tblPrEx>
          <w:tblCellMar>
            <w:top w:w="15" w:type="dxa"/>
            <w:left w:w="15" w:type="dxa"/>
            <w:bottom w:w="15" w:type="dxa"/>
            <w:right w:w="15" w:type="dxa"/>
          </w:tblCellMar>
          <w:tblLook w:val="04A0" w:firstRow="1" w:lastRow="0" w:firstColumn="1" w:lastColumn="0" w:noHBand="0" w:noVBand="1"/>
        </w:tblPrEx>
        <w:trPr>
          <w:trHeight w:val="49"/>
        </w:trPr>
        <w:tc>
          <w:tcPr>
            <w:tcW w:w="981" w:type="dxa"/>
            <w:vAlign w:val="center"/>
          </w:tcPr>
          <w:p w14:paraId="4A605BC6" w14:textId="77777777"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6DADAA58" w14:textId="77777777" w:rsidR="0027392C" w:rsidRPr="00120A12" w:rsidRDefault="0027392C" w:rsidP="0027392C">
            <w:pPr>
              <w:rPr>
                <w:rFonts w:ascii="Arial Narrow" w:hAnsi="Arial Narrow"/>
                <w:b/>
                <w:bCs/>
                <w:color w:val="333333"/>
                <w:sz w:val="18"/>
                <w:szCs w:val="18"/>
                <w:lang w:eastAsia="en-AU"/>
              </w:rPr>
            </w:pPr>
            <w:r w:rsidRPr="00120A12">
              <w:rPr>
                <w:rFonts w:ascii="Arial Narrow" w:hAnsi="Arial Narrow"/>
                <w:b/>
                <w:bCs/>
                <w:color w:val="333333"/>
                <w:sz w:val="18"/>
                <w:szCs w:val="18"/>
                <w:lang w:eastAsia="en-AU"/>
              </w:rPr>
              <w:t>AND</w:t>
            </w:r>
          </w:p>
        </w:tc>
      </w:tr>
      <w:tr w:rsidR="0027392C" w:rsidRPr="00120A12" w14:paraId="46852495" w14:textId="77777777" w:rsidTr="0027392C">
        <w:tblPrEx>
          <w:tblCellMar>
            <w:top w:w="15" w:type="dxa"/>
            <w:left w:w="15" w:type="dxa"/>
            <w:bottom w:w="15" w:type="dxa"/>
            <w:right w:w="15" w:type="dxa"/>
          </w:tblCellMar>
          <w:tblLook w:val="04A0" w:firstRow="1" w:lastRow="0" w:firstColumn="1" w:lastColumn="0" w:noHBand="0" w:noVBand="1"/>
        </w:tblPrEx>
        <w:trPr>
          <w:trHeight w:val="49"/>
        </w:trPr>
        <w:tc>
          <w:tcPr>
            <w:tcW w:w="981" w:type="dxa"/>
            <w:vAlign w:val="center"/>
          </w:tcPr>
          <w:p w14:paraId="0125ED37" w14:textId="12C7B5B1"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270A0596" w14:textId="77777777" w:rsidR="0027392C" w:rsidRPr="00120A12" w:rsidRDefault="0027392C" w:rsidP="0027392C">
            <w:pPr>
              <w:rPr>
                <w:rFonts w:ascii="Arial Narrow" w:hAnsi="Arial Narrow"/>
                <w:b/>
                <w:bCs/>
                <w:color w:val="333333"/>
                <w:sz w:val="18"/>
                <w:szCs w:val="18"/>
                <w:lang w:eastAsia="en-AU"/>
              </w:rPr>
            </w:pPr>
            <w:r w:rsidRPr="00120A12">
              <w:rPr>
                <w:rFonts w:ascii="Arial Narrow" w:hAnsi="Arial Narrow"/>
                <w:b/>
                <w:bCs/>
                <w:color w:val="333333"/>
                <w:sz w:val="18"/>
                <w:szCs w:val="18"/>
                <w:lang w:eastAsia="en-AU"/>
              </w:rPr>
              <w:t>Clinical criteria:</w:t>
            </w:r>
          </w:p>
        </w:tc>
      </w:tr>
      <w:tr w:rsidR="0027392C" w:rsidRPr="00120A12" w14:paraId="7B3C4AA9" w14:textId="77777777" w:rsidTr="0027392C">
        <w:tblPrEx>
          <w:tblCellMar>
            <w:top w:w="15" w:type="dxa"/>
            <w:left w:w="15" w:type="dxa"/>
            <w:bottom w:w="15" w:type="dxa"/>
            <w:right w:w="15" w:type="dxa"/>
          </w:tblCellMar>
          <w:tblLook w:val="04A0" w:firstRow="1" w:lastRow="0" w:firstColumn="1" w:lastColumn="0" w:noHBand="0" w:noVBand="1"/>
        </w:tblPrEx>
        <w:trPr>
          <w:trHeight w:val="49"/>
        </w:trPr>
        <w:tc>
          <w:tcPr>
            <w:tcW w:w="981" w:type="dxa"/>
            <w:vAlign w:val="center"/>
          </w:tcPr>
          <w:p w14:paraId="7CD94C58" w14:textId="77777777"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3752B6D1" w14:textId="77777777" w:rsidR="0027392C" w:rsidRPr="00F20990" w:rsidRDefault="0027392C" w:rsidP="0027392C">
            <w:pPr>
              <w:rPr>
                <w:rFonts w:ascii="Arial Narrow" w:hAnsi="Arial Narrow"/>
                <w:b/>
                <w:bCs/>
                <w:color w:val="333333"/>
                <w:sz w:val="18"/>
                <w:szCs w:val="18"/>
                <w:lang w:eastAsia="en-AU"/>
              </w:rPr>
            </w:pPr>
            <w:r w:rsidRPr="00F20990">
              <w:rPr>
                <w:rFonts w:ascii="Arial Narrow" w:hAnsi="Arial Narrow"/>
                <w:sz w:val="18"/>
                <w:szCs w:val="18"/>
              </w:rPr>
              <w:t xml:space="preserve">Patient must have received insufficient therapy with this drug for this condition under the Initial </w:t>
            </w:r>
            <w:r w:rsidRPr="0064282E">
              <w:rPr>
                <w:rFonts w:ascii="Arial Narrow" w:hAnsi="Arial Narrow"/>
                <w:strike/>
                <w:sz w:val="18"/>
                <w:szCs w:val="18"/>
              </w:rPr>
              <w:t xml:space="preserve">1 restriction </w:t>
            </w:r>
            <w:r w:rsidRPr="0064282E">
              <w:rPr>
                <w:rFonts w:ascii="Arial Narrow" w:hAnsi="Arial Narrow"/>
                <w:sz w:val="18"/>
                <w:szCs w:val="18"/>
              </w:rPr>
              <w:t>OR</w:t>
            </w:r>
          </w:p>
        </w:tc>
      </w:tr>
      <w:tr w:rsidR="0027392C" w:rsidRPr="00120A12" w14:paraId="7C214E99" w14:textId="77777777" w:rsidTr="0027392C">
        <w:tblPrEx>
          <w:tblCellMar>
            <w:top w:w="15" w:type="dxa"/>
            <w:left w:w="15" w:type="dxa"/>
            <w:bottom w:w="15" w:type="dxa"/>
            <w:right w:w="15" w:type="dxa"/>
          </w:tblCellMar>
          <w:tblLook w:val="04A0" w:firstRow="1" w:lastRow="0" w:firstColumn="1" w:lastColumn="0" w:noHBand="0" w:noVBand="1"/>
        </w:tblPrEx>
        <w:trPr>
          <w:trHeight w:val="49"/>
        </w:trPr>
        <w:tc>
          <w:tcPr>
            <w:tcW w:w="981" w:type="dxa"/>
            <w:vAlign w:val="center"/>
          </w:tcPr>
          <w:p w14:paraId="53093452" w14:textId="77777777"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2329229B" w14:textId="77777777" w:rsidR="0027392C" w:rsidRPr="00DE55B2" w:rsidRDefault="0027392C" w:rsidP="0027392C">
            <w:pPr>
              <w:rPr>
                <w:rFonts w:ascii="Arial Narrow" w:hAnsi="Arial Narrow"/>
                <w:b/>
                <w:bCs/>
                <w:color w:val="333333"/>
                <w:sz w:val="18"/>
                <w:szCs w:val="18"/>
                <w:lang w:eastAsia="en-AU"/>
              </w:rPr>
            </w:pPr>
            <w:r w:rsidRPr="0064282E">
              <w:rPr>
                <w:rFonts w:ascii="Arial Narrow" w:hAnsi="Arial Narrow"/>
                <w:strike/>
                <w:sz w:val="18"/>
                <w:szCs w:val="18"/>
              </w:rPr>
              <w:t xml:space="preserve">Patient must have received insufficient therapy with this drug for this condition under the Initial 2 restriction </w:t>
            </w:r>
          </w:p>
        </w:tc>
      </w:tr>
      <w:tr w:rsidR="0027392C" w:rsidRPr="00120A12" w14:paraId="05B70CDA" w14:textId="77777777" w:rsidTr="0027392C">
        <w:tblPrEx>
          <w:tblCellMar>
            <w:top w:w="15" w:type="dxa"/>
            <w:left w:w="15" w:type="dxa"/>
            <w:bottom w:w="15" w:type="dxa"/>
            <w:right w:w="15" w:type="dxa"/>
          </w:tblCellMar>
          <w:tblLook w:val="04A0" w:firstRow="1" w:lastRow="0" w:firstColumn="1" w:lastColumn="0" w:noHBand="0" w:noVBand="1"/>
        </w:tblPrEx>
        <w:trPr>
          <w:trHeight w:val="49"/>
        </w:trPr>
        <w:tc>
          <w:tcPr>
            <w:tcW w:w="981" w:type="dxa"/>
            <w:vAlign w:val="center"/>
          </w:tcPr>
          <w:p w14:paraId="24D14FED" w14:textId="77777777"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0CF3F2D2" w14:textId="77777777" w:rsidR="0027392C" w:rsidRPr="00F20990" w:rsidRDefault="0027392C" w:rsidP="0027392C">
            <w:pPr>
              <w:rPr>
                <w:rFonts w:ascii="Arial Narrow" w:hAnsi="Arial Narrow"/>
                <w:b/>
                <w:bCs/>
                <w:color w:val="333333"/>
                <w:sz w:val="18"/>
                <w:szCs w:val="18"/>
                <w:lang w:eastAsia="en-AU"/>
              </w:rPr>
            </w:pPr>
            <w:r w:rsidRPr="00F20990">
              <w:rPr>
                <w:rFonts w:ascii="Arial Narrow" w:hAnsi="Arial Narrow"/>
                <w:sz w:val="18"/>
                <w:szCs w:val="18"/>
              </w:rPr>
              <w:t xml:space="preserve">Patient must have received insufficient therapy with this drug for this condition under the First Continuing treatment or Re-initiation of interrupted continuing treatment restriction </w:t>
            </w:r>
            <w:r>
              <w:rPr>
                <w:rFonts w:ascii="Arial Narrow" w:hAnsi="Arial Narrow"/>
                <w:sz w:val="18"/>
                <w:szCs w:val="18"/>
              </w:rPr>
              <w:t>OR</w:t>
            </w:r>
          </w:p>
        </w:tc>
      </w:tr>
      <w:tr w:rsidR="0027392C" w:rsidRPr="00120A12" w14:paraId="13D4804D" w14:textId="77777777" w:rsidTr="0027392C">
        <w:tblPrEx>
          <w:tblCellMar>
            <w:top w:w="15" w:type="dxa"/>
            <w:left w:w="15" w:type="dxa"/>
            <w:bottom w:w="15" w:type="dxa"/>
            <w:right w:w="15" w:type="dxa"/>
          </w:tblCellMar>
          <w:tblLook w:val="04A0" w:firstRow="1" w:lastRow="0" w:firstColumn="1" w:lastColumn="0" w:noHBand="0" w:noVBand="1"/>
        </w:tblPrEx>
        <w:trPr>
          <w:trHeight w:val="49"/>
        </w:trPr>
        <w:tc>
          <w:tcPr>
            <w:tcW w:w="981" w:type="dxa"/>
            <w:vAlign w:val="center"/>
          </w:tcPr>
          <w:p w14:paraId="5A74C143" w14:textId="77777777"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4C271EC6" w14:textId="77777777" w:rsidR="0027392C" w:rsidRPr="00F20990" w:rsidRDefault="0027392C" w:rsidP="0027392C">
            <w:pPr>
              <w:rPr>
                <w:rFonts w:ascii="Arial Narrow" w:hAnsi="Arial Narrow"/>
                <w:b/>
                <w:bCs/>
                <w:color w:val="333333"/>
                <w:sz w:val="18"/>
                <w:szCs w:val="18"/>
                <w:lang w:eastAsia="en-AU"/>
              </w:rPr>
            </w:pPr>
            <w:r w:rsidRPr="00F20990">
              <w:rPr>
                <w:rFonts w:ascii="Arial Narrow" w:hAnsi="Arial Narrow"/>
                <w:sz w:val="18"/>
                <w:szCs w:val="18"/>
              </w:rPr>
              <w:t xml:space="preserve">Patient must have received insufficient therapy with this drug for this condition under the Second and subsequent Continuing treatment restriction </w:t>
            </w:r>
            <w:r>
              <w:rPr>
                <w:rFonts w:ascii="Arial Narrow" w:hAnsi="Arial Narrow"/>
                <w:sz w:val="18"/>
                <w:szCs w:val="18"/>
              </w:rPr>
              <w:t>OR</w:t>
            </w:r>
          </w:p>
        </w:tc>
      </w:tr>
      <w:tr w:rsidR="0027392C" w:rsidRPr="00120A12" w14:paraId="44921601" w14:textId="77777777" w:rsidTr="0027392C">
        <w:tblPrEx>
          <w:tblCellMar>
            <w:top w:w="15" w:type="dxa"/>
            <w:left w:w="15" w:type="dxa"/>
            <w:bottom w:w="15" w:type="dxa"/>
            <w:right w:w="15" w:type="dxa"/>
          </w:tblCellMar>
          <w:tblLook w:val="04A0" w:firstRow="1" w:lastRow="0" w:firstColumn="1" w:lastColumn="0" w:noHBand="0" w:noVBand="1"/>
        </w:tblPrEx>
        <w:trPr>
          <w:trHeight w:val="49"/>
        </w:trPr>
        <w:tc>
          <w:tcPr>
            <w:tcW w:w="981" w:type="dxa"/>
            <w:vAlign w:val="center"/>
          </w:tcPr>
          <w:p w14:paraId="5A4AD2CD" w14:textId="77777777"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0385F198" w14:textId="77777777" w:rsidR="0027392C" w:rsidRPr="00F20990" w:rsidRDefault="0027392C" w:rsidP="0027392C">
            <w:pPr>
              <w:rPr>
                <w:rFonts w:ascii="Arial Narrow" w:hAnsi="Arial Narrow"/>
                <w:sz w:val="18"/>
                <w:szCs w:val="18"/>
              </w:rPr>
            </w:pPr>
            <w:r w:rsidRPr="0064282E">
              <w:rPr>
                <w:rFonts w:ascii="Arial Narrow" w:hAnsi="Arial Narrow"/>
                <w:sz w:val="18"/>
                <w:szCs w:val="18"/>
              </w:rPr>
              <w:t>Patient must be swapping therapy from eltrombopag to this drug for this condition</w:t>
            </w:r>
          </w:p>
        </w:tc>
      </w:tr>
      <w:tr w:rsidR="0027392C" w:rsidRPr="00120A12" w14:paraId="68B048CE" w14:textId="77777777" w:rsidTr="0027392C">
        <w:tblPrEx>
          <w:tblCellMar>
            <w:top w:w="15" w:type="dxa"/>
            <w:left w:w="15" w:type="dxa"/>
            <w:bottom w:w="15" w:type="dxa"/>
            <w:right w:w="15" w:type="dxa"/>
          </w:tblCellMar>
          <w:tblLook w:val="04A0" w:firstRow="1" w:lastRow="0" w:firstColumn="1" w:lastColumn="0" w:noHBand="0" w:noVBand="1"/>
        </w:tblPrEx>
        <w:trPr>
          <w:trHeight w:val="49"/>
        </w:trPr>
        <w:tc>
          <w:tcPr>
            <w:tcW w:w="981" w:type="dxa"/>
            <w:vAlign w:val="center"/>
          </w:tcPr>
          <w:p w14:paraId="336310A3" w14:textId="77777777"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7A8202BF" w14:textId="77777777" w:rsidR="0027392C" w:rsidRPr="003D4474" w:rsidRDefault="0027392C" w:rsidP="0027392C">
            <w:pPr>
              <w:rPr>
                <w:rFonts w:ascii="Arial Narrow" w:hAnsi="Arial Narrow"/>
                <w:sz w:val="18"/>
                <w:szCs w:val="18"/>
              </w:rPr>
            </w:pPr>
            <w:r>
              <w:rPr>
                <w:rFonts w:ascii="Arial Narrow" w:hAnsi="Arial Narrow"/>
                <w:sz w:val="18"/>
                <w:szCs w:val="18"/>
              </w:rPr>
              <w:t>AND</w:t>
            </w:r>
          </w:p>
        </w:tc>
      </w:tr>
      <w:tr w:rsidR="0027392C" w:rsidRPr="009D6113" w14:paraId="1E923006" w14:textId="77777777" w:rsidTr="0027392C">
        <w:tblPrEx>
          <w:tblCellMar>
            <w:top w:w="15" w:type="dxa"/>
            <w:left w:w="15" w:type="dxa"/>
            <w:bottom w:w="15" w:type="dxa"/>
            <w:right w:w="15" w:type="dxa"/>
          </w:tblCellMar>
          <w:tblLook w:val="04A0" w:firstRow="1" w:lastRow="0" w:firstColumn="1" w:lastColumn="0" w:noHBand="0" w:noVBand="1"/>
        </w:tblPrEx>
        <w:trPr>
          <w:trHeight w:val="49"/>
        </w:trPr>
        <w:tc>
          <w:tcPr>
            <w:tcW w:w="981" w:type="dxa"/>
            <w:vAlign w:val="center"/>
          </w:tcPr>
          <w:p w14:paraId="4DE5E492" w14:textId="77777777"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077E97CC" w14:textId="29B4873C" w:rsidR="0027392C" w:rsidRPr="009D6113" w:rsidRDefault="0027392C" w:rsidP="0027392C">
            <w:pPr>
              <w:rPr>
                <w:rFonts w:ascii="Arial Narrow" w:hAnsi="Arial Narrow"/>
                <w:sz w:val="18"/>
                <w:szCs w:val="18"/>
                <w:lang w:eastAsia="en-AU"/>
              </w:rPr>
            </w:pPr>
            <w:r w:rsidRPr="009D6113">
              <w:rPr>
                <w:rFonts w:ascii="Arial Narrow" w:hAnsi="Arial Narrow"/>
                <w:b/>
                <w:bCs/>
                <w:color w:val="333333"/>
                <w:sz w:val="18"/>
                <w:szCs w:val="18"/>
                <w:lang w:eastAsia="en-AU"/>
              </w:rPr>
              <w:t>Prescribing Instructions</w:t>
            </w:r>
            <w:r>
              <w:rPr>
                <w:rFonts w:ascii="Arial Narrow" w:hAnsi="Arial Narrow"/>
                <w:b/>
                <w:bCs/>
                <w:color w:val="333333"/>
                <w:sz w:val="18"/>
                <w:szCs w:val="18"/>
                <w:lang w:eastAsia="en-AU"/>
              </w:rPr>
              <w:t xml:space="preserve">: </w:t>
            </w:r>
            <w:r>
              <w:rPr>
                <w:rFonts w:ascii="Arial Narrow" w:hAnsi="Arial Narrow"/>
                <w:sz w:val="18"/>
                <w:szCs w:val="18"/>
              </w:rPr>
              <w:t xml:space="preserve"> </w:t>
            </w:r>
            <w:r w:rsidRPr="0064282E">
              <w:rPr>
                <w:rFonts w:ascii="Arial Narrow" w:hAnsi="Arial Narrow"/>
                <w:sz w:val="18"/>
                <w:szCs w:val="18"/>
              </w:rPr>
              <w:t xml:space="preserve">Where a patient has started initial treatment with </w:t>
            </w:r>
            <w:r>
              <w:rPr>
                <w:rFonts w:ascii="Arial Narrow" w:hAnsi="Arial Narrow"/>
                <w:sz w:val="18"/>
                <w:szCs w:val="18"/>
              </w:rPr>
              <w:t>either of romiplostim or eltrombopag,</w:t>
            </w:r>
            <w:r w:rsidRPr="0064282E">
              <w:rPr>
                <w:rFonts w:ascii="Arial Narrow" w:hAnsi="Arial Narrow"/>
                <w:sz w:val="18"/>
                <w:szCs w:val="18"/>
              </w:rPr>
              <w:t xml:space="preserve"> change of therapy to the alternative agent may be authorised under th</w:t>
            </w:r>
            <w:r>
              <w:rPr>
                <w:rFonts w:ascii="Arial Narrow" w:hAnsi="Arial Narrow"/>
                <w:sz w:val="18"/>
                <w:szCs w:val="18"/>
              </w:rPr>
              <w:t xml:space="preserve">is restriction </w:t>
            </w:r>
            <w:r w:rsidRPr="0064282E">
              <w:rPr>
                <w:rFonts w:ascii="Arial Narrow" w:hAnsi="Arial Narrow"/>
                <w:sz w:val="18"/>
                <w:szCs w:val="18"/>
              </w:rPr>
              <w:t>to complete up to 24 weeks initial treatment.</w:t>
            </w:r>
          </w:p>
        </w:tc>
      </w:tr>
      <w:tr w:rsidR="0027392C" w:rsidRPr="009D6113" w14:paraId="2387984D" w14:textId="77777777" w:rsidTr="0027392C">
        <w:tblPrEx>
          <w:tblCellMar>
            <w:top w:w="15" w:type="dxa"/>
            <w:left w:w="15" w:type="dxa"/>
            <w:bottom w:w="15" w:type="dxa"/>
            <w:right w:w="15" w:type="dxa"/>
          </w:tblCellMar>
          <w:tblLook w:val="04A0" w:firstRow="1" w:lastRow="0" w:firstColumn="1" w:lastColumn="0" w:noHBand="0" w:noVBand="1"/>
        </w:tblPrEx>
        <w:trPr>
          <w:trHeight w:val="49"/>
        </w:trPr>
        <w:tc>
          <w:tcPr>
            <w:tcW w:w="981" w:type="dxa"/>
            <w:vAlign w:val="center"/>
          </w:tcPr>
          <w:p w14:paraId="69491185" w14:textId="77777777"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33321620" w14:textId="77777777" w:rsidR="0027392C" w:rsidRPr="009D6113" w:rsidRDefault="0027392C" w:rsidP="0027392C">
            <w:pPr>
              <w:rPr>
                <w:rFonts w:ascii="Arial Narrow" w:hAnsi="Arial Narrow"/>
                <w:b/>
                <w:bCs/>
                <w:color w:val="333333"/>
                <w:sz w:val="18"/>
                <w:szCs w:val="18"/>
                <w:lang w:eastAsia="en-AU"/>
              </w:rPr>
            </w:pPr>
            <w:r>
              <w:rPr>
                <w:rFonts w:ascii="Arial Narrow" w:hAnsi="Arial Narrow"/>
                <w:sz w:val="18"/>
                <w:szCs w:val="18"/>
              </w:rPr>
              <w:t>For initial treatment, o</w:t>
            </w:r>
            <w:r w:rsidRPr="009D6113">
              <w:rPr>
                <w:rFonts w:ascii="Arial Narrow" w:hAnsi="Arial Narrow"/>
                <w:sz w:val="18"/>
                <w:szCs w:val="18"/>
              </w:rPr>
              <w:t>nce a patient's dose has been stable for a period of 4 weeks, authority approvals</w:t>
            </w:r>
            <w:r>
              <w:rPr>
                <w:rFonts w:ascii="Arial Narrow" w:hAnsi="Arial Narrow"/>
                <w:sz w:val="18"/>
                <w:szCs w:val="18"/>
              </w:rPr>
              <w:t xml:space="preserve"> may be granted </w:t>
            </w:r>
            <w:r w:rsidRPr="009D6113">
              <w:rPr>
                <w:rFonts w:ascii="Arial Narrow" w:hAnsi="Arial Narrow"/>
                <w:sz w:val="18"/>
                <w:szCs w:val="18"/>
              </w:rPr>
              <w:t>for sufficient vials of appropriate strength based on the weight of the patient and dose (microgram/kg/week) for up to 4 weeks</w:t>
            </w:r>
            <w:r>
              <w:rPr>
                <w:rFonts w:ascii="Arial Narrow" w:hAnsi="Arial Narrow"/>
                <w:sz w:val="18"/>
                <w:szCs w:val="18"/>
              </w:rPr>
              <w:t xml:space="preserve"> supply with sufficient repeats for the balance of up to 24 weeks treatment. </w:t>
            </w:r>
          </w:p>
        </w:tc>
      </w:tr>
      <w:tr w:rsidR="0027392C" w:rsidRPr="009D6113" w14:paraId="0C599CFD" w14:textId="77777777" w:rsidTr="0027392C">
        <w:tblPrEx>
          <w:tblCellMar>
            <w:top w:w="15" w:type="dxa"/>
            <w:left w:w="15" w:type="dxa"/>
            <w:bottom w:w="15" w:type="dxa"/>
            <w:right w:w="15" w:type="dxa"/>
          </w:tblCellMar>
          <w:tblLook w:val="04A0" w:firstRow="1" w:lastRow="0" w:firstColumn="1" w:lastColumn="0" w:noHBand="0" w:noVBand="1"/>
        </w:tblPrEx>
        <w:trPr>
          <w:trHeight w:val="49"/>
        </w:trPr>
        <w:tc>
          <w:tcPr>
            <w:tcW w:w="981" w:type="dxa"/>
            <w:vAlign w:val="center"/>
          </w:tcPr>
          <w:p w14:paraId="6332B6B6" w14:textId="7BA2CD0D" w:rsidR="0027392C" w:rsidRDefault="0027392C" w:rsidP="0027392C">
            <w:pPr>
              <w:jc w:val="center"/>
              <w:rPr>
                <w:rFonts w:ascii="Arial Narrow" w:hAnsi="Arial Narrow"/>
                <w:color w:val="333333"/>
                <w:sz w:val="18"/>
                <w:szCs w:val="18"/>
                <w:lang w:eastAsia="en-AU"/>
              </w:rPr>
            </w:pPr>
          </w:p>
        </w:tc>
        <w:tc>
          <w:tcPr>
            <w:tcW w:w="8086" w:type="dxa"/>
            <w:gridSpan w:val="6"/>
            <w:vAlign w:val="center"/>
          </w:tcPr>
          <w:p w14:paraId="2B9849F2" w14:textId="77777777" w:rsidR="0027392C" w:rsidRPr="009D6113" w:rsidRDefault="0027392C" w:rsidP="0027392C">
            <w:pPr>
              <w:rPr>
                <w:rFonts w:ascii="Arial Narrow" w:hAnsi="Arial Narrow"/>
                <w:sz w:val="18"/>
                <w:szCs w:val="18"/>
                <w:lang w:eastAsia="en-AU"/>
              </w:rPr>
            </w:pPr>
            <w:r w:rsidRPr="00120A12">
              <w:rPr>
                <w:rFonts w:ascii="Arial Narrow" w:hAnsi="Arial Narrow"/>
                <w:b/>
                <w:bCs/>
                <w:color w:val="333333"/>
                <w:sz w:val="18"/>
                <w:szCs w:val="18"/>
                <w:lang w:eastAsia="en-AU"/>
              </w:rPr>
              <w:t>Administrative Advice:</w:t>
            </w:r>
            <w:r w:rsidRPr="009D6113">
              <w:rPr>
                <w:rFonts w:ascii="Arial Narrow" w:hAnsi="Arial Narrow"/>
                <w:sz w:val="18"/>
                <w:szCs w:val="18"/>
              </w:rPr>
              <w:t xml:space="preserve"> </w:t>
            </w:r>
            <w:r w:rsidRPr="00B922D9">
              <w:rPr>
                <w:rFonts w:ascii="Arial Narrow" w:hAnsi="Arial Narrow"/>
                <w:sz w:val="18"/>
                <w:szCs w:val="18"/>
              </w:rPr>
              <w:t xml:space="preserve">Applications for authorisation under this restriction may be made in real time using the Online PBS Authorities system (see </w:t>
            </w:r>
            <w:r w:rsidRPr="007F5FAB">
              <w:rPr>
                <w:rFonts w:ascii="Arial Narrow" w:hAnsi="Arial Narrow"/>
                <w:b/>
                <w:bCs/>
                <w:sz w:val="18"/>
                <w:szCs w:val="18"/>
              </w:rPr>
              <w:t>www</w:t>
            </w:r>
            <w:r w:rsidRPr="00B922D9">
              <w:rPr>
                <w:rFonts w:ascii="Arial Narrow" w:hAnsi="Arial Narrow"/>
                <w:sz w:val="18"/>
                <w:szCs w:val="18"/>
              </w:rPr>
              <w:t>.servicesaustralia.gov.au/HPOS) or by telephone by contacting Services Australia on 1800 700 270 (hours of operation 8 a.m. to 5 p.m. EST Monday to Friday).</w:t>
            </w:r>
          </w:p>
        </w:tc>
      </w:tr>
    </w:tbl>
    <w:p w14:paraId="18554788" w14:textId="5D961776" w:rsidR="00767027" w:rsidRDefault="00767027" w:rsidP="00754F62">
      <w:pPr>
        <w:pStyle w:val="TableFigureFooter"/>
      </w:pPr>
    </w:p>
    <w:p w14:paraId="754BFDA7" w14:textId="5DC3061F" w:rsidR="008B4BC3" w:rsidRDefault="00CD24D0" w:rsidP="00C31D7C">
      <w:pPr>
        <w:pStyle w:val="EndNoteBibliography"/>
        <w:rPr>
          <w:rFonts w:asciiTheme="minorHAnsi" w:hAnsiTheme="minorHAnsi" w:cs="Arial"/>
          <w:szCs w:val="22"/>
        </w:rPr>
      </w:pPr>
      <w:r w:rsidRPr="00BB6D30">
        <w:rPr>
          <w:rFonts w:asciiTheme="minorHAnsi" w:hAnsiTheme="minorHAnsi" w:cs="Arial"/>
          <w:b/>
          <w:bCs/>
          <w:i/>
          <w:szCs w:val="22"/>
        </w:rPr>
        <w:t>This restriction may be subject to further review. Should there be any changes made to the restriction the sponsor will be informed</w:t>
      </w:r>
      <w:r w:rsidRPr="007F262A">
        <w:rPr>
          <w:rFonts w:asciiTheme="minorHAnsi" w:hAnsiTheme="minorHAnsi" w:cs="Arial"/>
          <w:szCs w:val="22"/>
        </w:rPr>
        <w:t>.</w:t>
      </w:r>
    </w:p>
    <w:p w14:paraId="2034C931" w14:textId="29DDB579" w:rsidR="00A712D3" w:rsidRDefault="00A712D3" w:rsidP="00A2427F">
      <w:pPr>
        <w:pStyle w:val="2-SectionHeading"/>
        <w:rPr>
          <w:bCs/>
          <w:lang w:val="en-GB"/>
        </w:rPr>
      </w:pPr>
      <w:r w:rsidRPr="00C07617">
        <w:t>Context for Decision</w:t>
      </w:r>
    </w:p>
    <w:p w14:paraId="24172961" w14:textId="77777777" w:rsidR="00A712D3" w:rsidRPr="007129F2" w:rsidRDefault="00A712D3" w:rsidP="00A2427F">
      <w:pPr>
        <w:pStyle w:val="3-BodyText"/>
        <w:numPr>
          <w:ilvl w:val="0"/>
          <w:numId w:val="0"/>
        </w:numPr>
        <w:ind w:left="720"/>
        <w:rPr>
          <w:lang w:val="en-GB"/>
        </w:rPr>
      </w:pPr>
      <w:r w:rsidRPr="007129F2">
        <w:rPr>
          <w:lang w:val="en-GB"/>
        </w:rPr>
        <w:t xml:space="preserve">The PBAC helps decide whether and, if so, how medicines should be subsidised through the Pharmaceutical Benefits Scheme (PBS) in Australia. It considers applications regarding the listing of medicines on the PBS and provides advice about </w:t>
      </w:r>
      <w:r w:rsidRPr="007129F2">
        <w:rPr>
          <w:lang w:val="en-GB"/>
        </w:rPr>
        <w:lastRenderedPageBreak/>
        <w:t>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79B3A24" w14:textId="27B0E53B" w:rsidR="00A712D3" w:rsidRPr="00C07617" w:rsidRDefault="00A712D3" w:rsidP="00A2427F">
      <w:pPr>
        <w:pStyle w:val="2-SectionHeading"/>
      </w:pPr>
      <w:r>
        <w:t>Sponsor’s Comment</w:t>
      </w:r>
    </w:p>
    <w:p w14:paraId="1D53D0AB" w14:textId="11455B00" w:rsidR="004D4AE7" w:rsidRDefault="00AC1744" w:rsidP="00A2427F">
      <w:pPr>
        <w:pStyle w:val="3-BodyText"/>
        <w:numPr>
          <w:ilvl w:val="0"/>
          <w:numId w:val="0"/>
        </w:numPr>
        <w:ind w:left="720"/>
      </w:pPr>
      <w:r w:rsidRPr="00A2427F">
        <w:rPr>
          <w:lang w:val="en-US"/>
        </w:rPr>
        <w:t>Amgen</w:t>
      </w:r>
      <w:r w:rsidR="00BD05B0">
        <w:rPr>
          <w:lang w:val="en-US"/>
        </w:rPr>
        <w:t xml:space="preserve"> Australia Pty Limited</w:t>
      </w:r>
      <w:r w:rsidRPr="00A2427F">
        <w:rPr>
          <w:lang w:val="en-US"/>
        </w:rPr>
        <w:t xml:space="preserve"> welcomes the PBAC’s recommendation to </w:t>
      </w:r>
      <w:r w:rsidRPr="00A2427F">
        <w:t>extend the restrictions of the TPO-RA class for immune thrombocytopaenia (ITP), improving access to these important therapies for Australian patients and clinicians.</w:t>
      </w:r>
    </w:p>
    <w:p w14:paraId="3DF498AC" w14:textId="77777777" w:rsidR="001A4445" w:rsidRDefault="001A4445" w:rsidP="001A4445">
      <w:pPr>
        <w:pStyle w:val="3-BodyText"/>
        <w:numPr>
          <w:ilvl w:val="0"/>
          <w:numId w:val="0"/>
        </w:numPr>
        <w:ind w:left="720"/>
        <w:rPr>
          <w:rFonts w:cs="Arial"/>
          <w:bCs/>
        </w:rPr>
      </w:pPr>
    </w:p>
    <w:p w14:paraId="3C54BE37" w14:textId="7939EAE0" w:rsidR="001A4445" w:rsidRDefault="001A4445" w:rsidP="001A4445">
      <w:pPr>
        <w:pStyle w:val="3-BodyText"/>
        <w:numPr>
          <w:ilvl w:val="0"/>
          <w:numId w:val="0"/>
        </w:numPr>
        <w:ind w:left="720"/>
        <w:rPr>
          <w:rFonts w:cs="Arial"/>
          <w:bCs/>
        </w:rPr>
      </w:pPr>
      <w:r w:rsidRPr="00C069ED">
        <w:rPr>
          <w:rFonts w:cs="Arial"/>
          <w:bCs/>
        </w:rPr>
        <w:t>Novartis had no comment.</w:t>
      </w:r>
    </w:p>
    <w:p w14:paraId="1DCEC3A8" w14:textId="654FAAB5" w:rsidR="00A712D3" w:rsidRPr="00B301F3" w:rsidRDefault="00A712D3" w:rsidP="00A2427F">
      <w:pPr>
        <w:pStyle w:val="3-BodyText"/>
        <w:numPr>
          <w:ilvl w:val="0"/>
          <w:numId w:val="0"/>
        </w:numPr>
        <w:ind w:left="720"/>
        <w:rPr>
          <w:color w:val="FF0000"/>
        </w:rPr>
      </w:pPr>
    </w:p>
    <w:sectPr w:rsidR="00A712D3" w:rsidRPr="00B301F3">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3AB8E4" w14:textId="77777777" w:rsidR="00A2427F" w:rsidRDefault="00A2427F">
      <w:r>
        <w:separator/>
      </w:r>
    </w:p>
  </w:endnote>
  <w:endnote w:type="continuationSeparator" w:id="0">
    <w:p w14:paraId="3C9C1A8B" w14:textId="77777777" w:rsidR="00A2427F" w:rsidRDefault="00A24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31AD5" w14:textId="7B7CEA9C" w:rsidR="00A2427F" w:rsidRDefault="00A2427F" w:rsidP="00F025F6">
    <w:pPr>
      <w:pStyle w:val="PageFooter"/>
    </w:pPr>
    <w:r>
      <w:fldChar w:fldCharType="begin"/>
    </w:r>
    <w:r>
      <w:instrText xml:space="preserve"> PAGE  \* Arabic  \* MERGEFORMAT </w:instrText>
    </w:r>
    <w:r>
      <w:fldChar w:fldCharType="separate"/>
    </w:r>
    <w:r>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B6405" w14:textId="77777777" w:rsidR="00A2427F" w:rsidRDefault="00A2427F">
      <w:r>
        <w:separator/>
      </w:r>
    </w:p>
  </w:footnote>
  <w:footnote w:type="continuationSeparator" w:id="0">
    <w:p w14:paraId="2660EF30" w14:textId="77777777" w:rsidR="00A2427F" w:rsidRDefault="00A2427F">
      <w:r>
        <w:continuationSeparator/>
      </w:r>
    </w:p>
  </w:footnote>
  <w:footnote w:id="1">
    <w:p w14:paraId="28764C8C" w14:textId="77777777" w:rsidR="00A2427F" w:rsidRPr="007F5FAB" w:rsidRDefault="00A2427F" w:rsidP="00DB34BB">
      <w:pPr>
        <w:pStyle w:val="EndNoteBibliography"/>
        <w:spacing w:after="0"/>
        <w:rPr>
          <w:sz w:val="20"/>
          <w:szCs w:val="20"/>
        </w:rPr>
      </w:pPr>
      <w:r w:rsidRPr="007F5FAB">
        <w:rPr>
          <w:rStyle w:val="FootnoteReference"/>
          <w:sz w:val="20"/>
          <w:szCs w:val="20"/>
        </w:rPr>
        <w:footnoteRef/>
      </w:r>
      <w:r w:rsidRPr="007F5FAB">
        <w:rPr>
          <w:sz w:val="20"/>
          <w:szCs w:val="20"/>
        </w:rPr>
        <w:t xml:space="preserve"> Choi, P. Y., E. Merriman, A. Bennett, A. K. Enjeti, C. W. Tan, I. Goncalves, D. Hsu and R. Bird (2022). "Consensus guidelines for the management of adult immune thrombocytopenia in Australia and New Zealand." </w:t>
      </w:r>
      <w:r w:rsidRPr="007F5FAB">
        <w:rPr>
          <w:sz w:val="20"/>
          <w:szCs w:val="20"/>
          <w:u w:val="single"/>
        </w:rPr>
        <w:t>Medical Journal of Australia</w:t>
      </w:r>
      <w:r w:rsidRPr="007F5FAB">
        <w:rPr>
          <w:sz w:val="20"/>
          <w:szCs w:val="20"/>
        </w:rPr>
        <w:t xml:space="preserve"> </w:t>
      </w:r>
      <w:r w:rsidRPr="007F5FAB">
        <w:rPr>
          <w:b/>
          <w:sz w:val="20"/>
          <w:szCs w:val="20"/>
        </w:rPr>
        <w:t>216</w:t>
      </w:r>
      <w:r w:rsidRPr="007F5FAB">
        <w:rPr>
          <w:sz w:val="20"/>
          <w:szCs w:val="20"/>
        </w:rPr>
        <w:t>(1): 43-52.</w:t>
      </w:r>
    </w:p>
    <w:p w14:paraId="1E6985AF" w14:textId="5D636BC0" w:rsidR="00A2427F" w:rsidRPr="00DB34BB" w:rsidRDefault="00A2427F">
      <w:pPr>
        <w:pStyle w:val="FootnoteText"/>
      </w:pPr>
    </w:p>
  </w:footnote>
  <w:footnote w:id="2">
    <w:p w14:paraId="0BBFEF89" w14:textId="77777777" w:rsidR="00A2427F" w:rsidRPr="007F5FAB" w:rsidRDefault="00A2427F" w:rsidP="00DB34BB">
      <w:pPr>
        <w:pStyle w:val="EndNoteBibliography"/>
        <w:spacing w:after="0"/>
        <w:rPr>
          <w:sz w:val="20"/>
          <w:szCs w:val="20"/>
        </w:rPr>
      </w:pPr>
      <w:r w:rsidRPr="007F5FAB">
        <w:rPr>
          <w:rStyle w:val="FootnoteReference"/>
          <w:sz w:val="20"/>
          <w:szCs w:val="20"/>
        </w:rPr>
        <w:footnoteRef/>
      </w:r>
      <w:r w:rsidRPr="007F5FAB">
        <w:rPr>
          <w:sz w:val="20"/>
          <w:szCs w:val="20"/>
        </w:rPr>
        <w:t xml:space="preserve"> González-Porras, J. R., B. Godeau and M. Carpenedo (2019). "Switching thrombopoietin receptor agonist treatments in patients with primary immune thrombocytopenia." </w:t>
      </w:r>
      <w:r w:rsidRPr="007F5FAB">
        <w:rPr>
          <w:sz w:val="20"/>
          <w:szCs w:val="20"/>
          <w:u w:val="single"/>
        </w:rPr>
        <w:t>Therapeutic advances in hematology</w:t>
      </w:r>
      <w:r w:rsidRPr="007F5FAB">
        <w:rPr>
          <w:sz w:val="20"/>
          <w:szCs w:val="20"/>
        </w:rPr>
        <w:t xml:space="preserve"> </w:t>
      </w:r>
      <w:r w:rsidRPr="007F5FAB">
        <w:rPr>
          <w:b/>
          <w:sz w:val="20"/>
          <w:szCs w:val="20"/>
        </w:rPr>
        <w:t>10</w:t>
      </w:r>
      <w:r w:rsidRPr="007F5FAB">
        <w:rPr>
          <w:sz w:val="20"/>
          <w:szCs w:val="20"/>
        </w:rPr>
        <w:t>: 2040620719837906.</w:t>
      </w:r>
    </w:p>
    <w:p w14:paraId="470699B7" w14:textId="5D55142A" w:rsidR="00A2427F" w:rsidRDefault="00A2427F">
      <w:pPr>
        <w:pStyle w:val="FootnoteText"/>
      </w:pPr>
    </w:p>
  </w:footnote>
  <w:footnote w:id="3">
    <w:p w14:paraId="21A62680" w14:textId="77777777" w:rsidR="00A2427F" w:rsidRPr="007F5FAB" w:rsidRDefault="00A2427F" w:rsidP="00DB34BB">
      <w:pPr>
        <w:pStyle w:val="EndNoteBibliography"/>
        <w:spacing w:after="0"/>
        <w:rPr>
          <w:sz w:val="20"/>
          <w:szCs w:val="20"/>
        </w:rPr>
      </w:pPr>
      <w:r w:rsidRPr="007F5FAB">
        <w:rPr>
          <w:rStyle w:val="FootnoteReference"/>
          <w:sz w:val="20"/>
          <w:szCs w:val="20"/>
        </w:rPr>
        <w:footnoteRef/>
      </w:r>
      <w:r w:rsidRPr="007F5FAB">
        <w:rPr>
          <w:sz w:val="20"/>
          <w:szCs w:val="20"/>
        </w:rPr>
        <w:t xml:space="preserve"> González-Porras, J. R., B. Godeau and M. Carpenedo (2019). "Switching thrombopoietin receptor agonist treatments in patients with primary immune thrombocytopenia." </w:t>
      </w:r>
      <w:r w:rsidRPr="007F5FAB">
        <w:rPr>
          <w:sz w:val="20"/>
          <w:szCs w:val="20"/>
          <w:u w:val="single"/>
        </w:rPr>
        <w:t>Therapeutic advances in hematology</w:t>
      </w:r>
      <w:r w:rsidRPr="007F5FAB">
        <w:rPr>
          <w:sz w:val="20"/>
          <w:szCs w:val="20"/>
        </w:rPr>
        <w:t xml:space="preserve"> </w:t>
      </w:r>
      <w:r w:rsidRPr="007F5FAB">
        <w:rPr>
          <w:b/>
          <w:sz w:val="20"/>
          <w:szCs w:val="20"/>
        </w:rPr>
        <w:t>10</w:t>
      </w:r>
      <w:r w:rsidRPr="007F5FAB">
        <w:rPr>
          <w:sz w:val="20"/>
          <w:szCs w:val="20"/>
        </w:rPr>
        <w:t>: 2040620719837906.</w:t>
      </w:r>
    </w:p>
    <w:p w14:paraId="6682BF48" w14:textId="7E1FCC25" w:rsidR="00A2427F" w:rsidRDefault="00A2427F">
      <w:pPr>
        <w:pStyle w:val="FootnoteText"/>
      </w:pPr>
    </w:p>
  </w:footnote>
  <w:footnote w:id="4">
    <w:p w14:paraId="71E84FE9" w14:textId="77777777" w:rsidR="00A2427F" w:rsidRPr="007F5FAB" w:rsidRDefault="00A2427F" w:rsidP="00DB34BB">
      <w:pPr>
        <w:pStyle w:val="EndNoteBibliography"/>
        <w:spacing w:after="0"/>
        <w:rPr>
          <w:sz w:val="20"/>
          <w:szCs w:val="20"/>
        </w:rPr>
      </w:pPr>
      <w:r w:rsidRPr="007F5FAB">
        <w:rPr>
          <w:rStyle w:val="FootnoteReference"/>
          <w:sz w:val="20"/>
          <w:szCs w:val="20"/>
        </w:rPr>
        <w:footnoteRef/>
      </w:r>
      <w:r w:rsidRPr="007F5FAB">
        <w:rPr>
          <w:sz w:val="20"/>
          <w:szCs w:val="20"/>
        </w:rPr>
        <w:t xml:space="preserve"> Neunert, C., D. R. Terrell, D. M. Arnold, G. Buchanan, D. B. Cines, N. Cooper, A. Cuker, J. M. Despotovic, J. N. George and R. F. Grace (2019). "American Society of Hematology 2019 guidelines for immune thrombocytopenia." </w:t>
      </w:r>
      <w:r w:rsidRPr="007F5FAB">
        <w:rPr>
          <w:sz w:val="20"/>
          <w:szCs w:val="20"/>
          <w:u w:val="single"/>
        </w:rPr>
        <w:t>Blood advances</w:t>
      </w:r>
      <w:r w:rsidRPr="007F5FAB">
        <w:rPr>
          <w:sz w:val="20"/>
          <w:szCs w:val="20"/>
        </w:rPr>
        <w:t xml:space="preserve"> </w:t>
      </w:r>
      <w:r w:rsidRPr="007F5FAB">
        <w:rPr>
          <w:b/>
          <w:sz w:val="20"/>
          <w:szCs w:val="20"/>
        </w:rPr>
        <w:t>3</w:t>
      </w:r>
      <w:r w:rsidRPr="007F5FAB">
        <w:rPr>
          <w:sz w:val="20"/>
          <w:szCs w:val="20"/>
        </w:rPr>
        <w:t>(23): 3829-3866.</w:t>
      </w:r>
    </w:p>
    <w:p w14:paraId="3E1838BA" w14:textId="784E8C29" w:rsidR="00A2427F" w:rsidRPr="00DB34BB" w:rsidRDefault="00A2427F">
      <w:pPr>
        <w:pStyle w:val="FootnoteText"/>
      </w:pPr>
    </w:p>
  </w:footnote>
  <w:footnote w:id="5">
    <w:p w14:paraId="77725391" w14:textId="77777777" w:rsidR="00A2427F" w:rsidRPr="007F5FAB" w:rsidRDefault="00A2427F" w:rsidP="00DB34BB">
      <w:pPr>
        <w:pStyle w:val="EndNoteBibliography"/>
        <w:rPr>
          <w:sz w:val="20"/>
          <w:szCs w:val="20"/>
        </w:rPr>
      </w:pPr>
      <w:r w:rsidRPr="007F5FAB">
        <w:rPr>
          <w:rStyle w:val="FootnoteReference"/>
          <w:sz w:val="20"/>
          <w:szCs w:val="20"/>
        </w:rPr>
        <w:footnoteRef/>
      </w:r>
      <w:r w:rsidRPr="007F5FAB">
        <w:rPr>
          <w:sz w:val="20"/>
          <w:szCs w:val="20"/>
        </w:rPr>
        <w:t xml:space="preserve"> Provan, D., D. M. Arnold, J. B. Bussel, B. H. Chong, N. Cooper, T. Gernsheimer, W. Ghanima, B. Godeau, T. J. González-López and J. Grainger (2019). "Updated international consensus report on the investigation and management of primary immune thrombocytopenia." </w:t>
      </w:r>
      <w:r w:rsidRPr="007F5FAB">
        <w:rPr>
          <w:sz w:val="20"/>
          <w:szCs w:val="20"/>
          <w:u w:val="single"/>
        </w:rPr>
        <w:t>Blood advances</w:t>
      </w:r>
      <w:r w:rsidRPr="007F5FAB">
        <w:rPr>
          <w:sz w:val="20"/>
          <w:szCs w:val="20"/>
        </w:rPr>
        <w:t xml:space="preserve"> </w:t>
      </w:r>
      <w:r w:rsidRPr="007F5FAB">
        <w:rPr>
          <w:b/>
          <w:sz w:val="20"/>
          <w:szCs w:val="20"/>
        </w:rPr>
        <w:t>3</w:t>
      </w:r>
      <w:r w:rsidRPr="007F5FAB">
        <w:rPr>
          <w:sz w:val="20"/>
          <w:szCs w:val="20"/>
        </w:rPr>
        <w:t>(22): 3780-3817.</w:t>
      </w:r>
    </w:p>
    <w:p w14:paraId="4CBD431E" w14:textId="77FCD7FC" w:rsidR="00A2427F" w:rsidRPr="00DB34BB" w:rsidRDefault="00A2427F">
      <w:pPr>
        <w:pStyle w:val="FootnoteText"/>
      </w:pPr>
    </w:p>
  </w:footnote>
  <w:footnote w:id="6">
    <w:p w14:paraId="5944ED1B" w14:textId="77777777" w:rsidR="00A2427F" w:rsidRPr="007F5FAB" w:rsidRDefault="00A2427F" w:rsidP="00DB34BB">
      <w:pPr>
        <w:pStyle w:val="EndNoteBibliography"/>
        <w:spacing w:after="0"/>
        <w:rPr>
          <w:sz w:val="20"/>
          <w:szCs w:val="20"/>
        </w:rPr>
      </w:pPr>
      <w:r w:rsidRPr="007F5FAB">
        <w:rPr>
          <w:rStyle w:val="FootnoteReference"/>
          <w:sz w:val="20"/>
          <w:szCs w:val="20"/>
        </w:rPr>
        <w:footnoteRef/>
      </w:r>
      <w:r w:rsidRPr="007F5FAB">
        <w:rPr>
          <w:sz w:val="20"/>
          <w:szCs w:val="20"/>
        </w:rPr>
        <w:t xml:space="preserve"> George, J. and D. Arnold (2020). Immune thrombocytopenia (ITP) in adults: Secondline and subsequent therapies–UpToDate, UpToDate.</w:t>
      </w:r>
    </w:p>
    <w:p w14:paraId="31F85BFE" w14:textId="4448FD13" w:rsidR="00A2427F" w:rsidRPr="00DB34BB" w:rsidRDefault="00A2427F">
      <w:pPr>
        <w:pStyle w:val="FootnoteText"/>
      </w:pPr>
    </w:p>
  </w:footnote>
  <w:footnote w:id="7">
    <w:p w14:paraId="2165034A" w14:textId="77777777" w:rsidR="00A2427F" w:rsidRPr="007F5FAB" w:rsidRDefault="00A2427F" w:rsidP="00DB34BB">
      <w:pPr>
        <w:pStyle w:val="EndNoteBibliography"/>
        <w:spacing w:after="0"/>
        <w:rPr>
          <w:sz w:val="20"/>
          <w:szCs w:val="20"/>
        </w:rPr>
      </w:pPr>
      <w:r w:rsidRPr="007F5FAB">
        <w:rPr>
          <w:rStyle w:val="FootnoteReference"/>
          <w:sz w:val="20"/>
          <w:szCs w:val="20"/>
        </w:rPr>
        <w:footnoteRef/>
      </w:r>
      <w:r w:rsidRPr="007F5FAB">
        <w:rPr>
          <w:sz w:val="20"/>
          <w:szCs w:val="20"/>
        </w:rPr>
        <w:t xml:space="preserve"> Choi, P. Y., E. Merriman, A. Bennett, A. K. Enjeti, C. W. Tan, I. Goncalves, D. Hsu and R. Bird (2022). "Consensus guidelines for the management of adult immune thrombocytopenia in Australia and New Zealand." </w:t>
      </w:r>
      <w:r w:rsidRPr="007F5FAB">
        <w:rPr>
          <w:sz w:val="20"/>
          <w:szCs w:val="20"/>
          <w:u w:val="single"/>
        </w:rPr>
        <w:t>Medical Journal of Australia</w:t>
      </w:r>
      <w:r w:rsidRPr="007F5FAB">
        <w:rPr>
          <w:sz w:val="20"/>
          <w:szCs w:val="20"/>
        </w:rPr>
        <w:t xml:space="preserve"> </w:t>
      </w:r>
      <w:r w:rsidRPr="007F5FAB">
        <w:rPr>
          <w:b/>
          <w:sz w:val="20"/>
          <w:szCs w:val="20"/>
        </w:rPr>
        <w:t>216</w:t>
      </w:r>
      <w:r w:rsidRPr="007F5FAB">
        <w:rPr>
          <w:sz w:val="20"/>
          <w:szCs w:val="20"/>
        </w:rPr>
        <w:t>(1): 43-52.</w:t>
      </w:r>
    </w:p>
    <w:p w14:paraId="181B5096" w14:textId="3B3BFB96" w:rsidR="00A2427F" w:rsidRPr="00DB34BB" w:rsidRDefault="00A2427F">
      <w:pPr>
        <w:pStyle w:val="FootnoteText"/>
      </w:pPr>
    </w:p>
  </w:footnote>
  <w:footnote w:id="8">
    <w:p w14:paraId="29F0BDB9" w14:textId="77777777" w:rsidR="00A2427F" w:rsidRPr="007F5FAB" w:rsidRDefault="00A2427F" w:rsidP="00DB34BB">
      <w:pPr>
        <w:pStyle w:val="EndNoteBibliography"/>
        <w:spacing w:after="0"/>
        <w:rPr>
          <w:sz w:val="20"/>
          <w:szCs w:val="20"/>
        </w:rPr>
      </w:pPr>
      <w:r w:rsidRPr="007F5FAB">
        <w:rPr>
          <w:rStyle w:val="FootnoteReference"/>
          <w:sz w:val="20"/>
          <w:szCs w:val="20"/>
        </w:rPr>
        <w:footnoteRef/>
      </w:r>
      <w:r w:rsidRPr="007F5FAB">
        <w:rPr>
          <w:sz w:val="20"/>
          <w:szCs w:val="20"/>
        </w:rPr>
        <w:t xml:space="preserve"> Janssens, A., D. Selleslag, J. Depaus, Y. Beguin and C. Lambert (2022). "Primary immune thrombocytopenia in adults: Belgian recommendations for diagnosis and treatment anno 2021 made by the Belgian Hematology Society." </w:t>
      </w:r>
      <w:r w:rsidRPr="007F5FAB">
        <w:rPr>
          <w:sz w:val="20"/>
          <w:szCs w:val="20"/>
          <w:u w:val="single"/>
        </w:rPr>
        <w:t>Acta Clinica Belgica</w:t>
      </w:r>
      <w:r w:rsidRPr="007F5FAB">
        <w:rPr>
          <w:sz w:val="20"/>
          <w:szCs w:val="20"/>
        </w:rPr>
        <w:t xml:space="preserve"> </w:t>
      </w:r>
      <w:r w:rsidRPr="007F5FAB">
        <w:rPr>
          <w:b/>
          <w:sz w:val="20"/>
          <w:szCs w:val="20"/>
        </w:rPr>
        <w:t>77</w:t>
      </w:r>
      <w:r w:rsidRPr="007F5FAB">
        <w:rPr>
          <w:sz w:val="20"/>
          <w:szCs w:val="20"/>
        </w:rPr>
        <w:t>(2): 470-483.</w:t>
      </w:r>
    </w:p>
    <w:p w14:paraId="39D3790A" w14:textId="13AB3229" w:rsidR="00A2427F" w:rsidRDefault="00A2427F">
      <w:pPr>
        <w:pStyle w:val="FootnoteText"/>
      </w:pPr>
    </w:p>
  </w:footnote>
  <w:footnote w:id="9">
    <w:p w14:paraId="03DE9108" w14:textId="77777777" w:rsidR="00A2427F" w:rsidRPr="007F5FAB" w:rsidRDefault="00A2427F" w:rsidP="00DB34BB">
      <w:pPr>
        <w:pStyle w:val="EndNoteBibliography"/>
        <w:spacing w:after="0"/>
        <w:rPr>
          <w:sz w:val="20"/>
          <w:szCs w:val="20"/>
        </w:rPr>
      </w:pPr>
      <w:r w:rsidRPr="007F5FAB">
        <w:rPr>
          <w:rStyle w:val="FootnoteReference"/>
          <w:sz w:val="20"/>
          <w:szCs w:val="20"/>
        </w:rPr>
        <w:footnoteRef/>
      </w:r>
      <w:r w:rsidRPr="007F5FAB">
        <w:rPr>
          <w:sz w:val="20"/>
          <w:szCs w:val="20"/>
        </w:rPr>
        <w:t xml:space="preserve"> Neunert, C., D. R. Terrell, D. M. Arnold, G. Buchanan, D. B. Cines, N. Cooper, A. Cuker, J. M. Despotovic, J. N. George and R. F. Grace (2019). "American Society of Hematology 2019 guidelines for immune thrombocytopenia." </w:t>
      </w:r>
      <w:r w:rsidRPr="007F5FAB">
        <w:rPr>
          <w:sz w:val="20"/>
          <w:szCs w:val="20"/>
          <w:u w:val="single"/>
        </w:rPr>
        <w:t>Blood advances</w:t>
      </w:r>
      <w:r w:rsidRPr="007F5FAB">
        <w:rPr>
          <w:sz w:val="20"/>
          <w:szCs w:val="20"/>
        </w:rPr>
        <w:t xml:space="preserve"> </w:t>
      </w:r>
      <w:r w:rsidRPr="007F5FAB">
        <w:rPr>
          <w:b/>
          <w:sz w:val="20"/>
          <w:szCs w:val="20"/>
        </w:rPr>
        <w:t>3</w:t>
      </w:r>
      <w:r w:rsidRPr="007F5FAB">
        <w:rPr>
          <w:sz w:val="20"/>
          <w:szCs w:val="20"/>
        </w:rPr>
        <w:t>(23): 3829-3866.</w:t>
      </w:r>
    </w:p>
    <w:p w14:paraId="59F96D11" w14:textId="0C6EA48B" w:rsidR="00A2427F" w:rsidRDefault="00A2427F">
      <w:pPr>
        <w:pStyle w:val="FootnoteText"/>
      </w:pPr>
    </w:p>
  </w:footnote>
  <w:footnote w:id="10">
    <w:p w14:paraId="4D83E86D" w14:textId="0BC08FD3" w:rsidR="00A2427F" w:rsidRDefault="00A2427F">
      <w:pPr>
        <w:pStyle w:val="FootnoteText"/>
      </w:pPr>
      <w:r>
        <w:rPr>
          <w:rStyle w:val="FootnoteReference"/>
        </w:rPr>
        <w:footnoteRef/>
      </w:r>
      <w:r>
        <w:t xml:space="preserve"> </w:t>
      </w:r>
      <w:r w:rsidRPr="001F717C">
        <w:t>https://www.greyb.com/biologics-patents-expiring-2022-2023-2024-2025-2026-2027/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E9C3F" w14:textId="1F375D13" w:rsidR="00A2427F" w:rsidRPr="00FF12C3" w:rsidRDefault="00A2427F" w:rsidP="00F025F6">
    <w:pPr>
      <w:pStyle w:val="Header"/>
      <w:rPr>
        <w:i/>
        <w:iCs/>
      </w:rPr>
    </w:pPr>
    <w:r>
      <w:rPr>
        <w:i/>
        <w:iCs/>
      </w:rPr>
      <w:t xml:space="preserve">Public Summary Document - May 2022 </w:t>
    </w:r>
    <w:r w:rsidRPr="00FF12C3">
      <w:rPr>
        <w:i/>
        <w:iCs/>
      </w:rPr>
      <w:t xml:space="preserve">PBAC </w:t>
    </w:r>
    <w:r>
      <w:rPr>
        <w:i/>
        <w:iCs/>
      </w:rPr>
      <w:t>M</w:t>
    </w:r>
    <w:r w:rsidRPr="00FF12C3">
      <w:rPr>
        <w:i/>
        <w:iCs/>
      </w:rPr>
      <w:t>eeting</w:t>
    </w:r>
  </w:p>
  <w:p w14:paraId="2915BC5D" w14:textId="77777777" w:rsidR="00A2427F" w:rsidRPr="00FF12C3" w:rsidRDefault="00A2427F">
    <w:pPr>
      <w:pStyle w:val="Head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782B08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B002EF"/>
    <w:multiLevelType w:val="hybridMultilevel"/>
    <w:tmpl w:val="1B608636"/>
    <w:lvl w:ilvl="0" w:tplc="CB4471D2">
      <w:start w:val="1"/>
      <w:numFmt w:val="lowerRoman"/>
      <w:lvlText w:val="%1."/>
      <w:lvlJc w:val="left"/>
      <w:pPr>
        <w:ind w:left="2040" w:hanging="720"/>
      </w:pPr>
      <w:rPr>
        <w:rFonts w:ascii="Open Sans" w:hAnsi="Open Sans" w:cs="Open Sans" w:hint="default"/>
        <w:color w:val="222222"/>
        <w:sz w:val="20"/>
      </w:rPr>
    </w:lvl>
    <w:lvl w:ilvl="1" w:tplc="0C090019" w:tentative="1">
      <w:start w:val="1"/>
      <w:numFmt w:val="lowerLetter"/>
      <w:lvlText w:val="%2."/>
      <w:lvlJc w:val="left"/>
      <w:pPr>
        <w:ind w:left="2400" w:hanging="360"/>
      </w:pPr>
    </w:lvl>
    <w:lvl w:ilvl="2" w:tplc="0C09001B" w:tentative="1">
      <w:start w:val="1"/>
      <w:numFmt w:val="lowerRoman"/>
      <w:lvlText w:val="%3."/>
      <w:lvlJc w:val="right"/>
      <w:pPr>
        <w:ind w:left="3120" w:hanging="180"/>
      </w:pPr>
    </w:lvl>
    <w:lvl w:ilvl="3" w:tplc="0C09000F" w:tentative="1">
      <w:start w:val="1"/>
      <w:numFmt w:val="decimal"/>
      <w:lvlText w:val="%4."/>
      <w:lvlJc w:val="left"/>
      <w:pPr>
        <w:ind w:left="3840" w:hanging="360"/>
      </w:pPr>
    </w:lvl>
    <w:lvl w:ilvl="4" w:tplc="0C090019" w:tentative="1">
      <w:start w:val="1"/>
      <w:numFmt w:val="lowerLetter"/>
      <w:lvlText w:val="%5."/>
      <w:lvlJc w:val="left"/>
      <w:pPr>
        <w:ind w:left="4560" w:hanging="360"/>
      </w:pPr>
    </w:lvl>
    <w:lvl w:ilvl="5" w:tplc="0C09001B" w:tentative="1">
      <w:start w:val="1"/>
      <w:numFmt w:val="lowerRoman"/>
      <w:lvlText w:val="%6."/>
      <w:lvlJc w:val="right"/>
      <w:pPr>
        <w:ind w:left="5280" w:hanging="180"/>
      </w:pPr>
    </w:lvl>
    <w:lvl w:ilvl="6" w:tplc="0C09000F" w:tentative="1">
      <w:start w:val="1"/>
      <w:numFmt w:val="decimal"/>
      <w:lvlText w:val="%7."/>
      <w:lvlJc w:val="left"/>
      <w:pPr>
        <w:ind w:left="6000" w:hanging="360"/>
      </w:pPr>
    </w:lvl>
    <w:lvl w:ilvl="7" w:tplc="0C090019" w:tentative="1">
      <w:start w:val="1"/>
      <w:numFmt w:val="lowerLetter"/>
      <w:lvlText w:val="%8."/>
      <w:lvlJc w:val="left"/>
      <w:pPr>
        <w:ind w:left="6720" w:hanging="360"/>
      </w:pPr>
    </w:lvl>
    <w:lvl w:ilvl="8" w:tplc="0C09001B" w:tentative="1">
      <w:start w:val="1"/>
      <w:numFmt w:val="lowerRoman"/>
      <w:lvlText w:val="%9."/>
      <w:lvlJc w:val="right"/>
      <w:pPr>
        <w:ind w:left="7440" w:hanging="180"/>
      </w:pPr>
    </w:lvl>
  </w:abstractNum>
  <w:abstractNum w:abstractNumId="2" w15:restartNumberingAfterBreak="0">
    <w:nsid w:val="0137564D"/>
    <w:multiLevelType w:val="hybridMultilevel"/>
    <w:tmpl w:val="FE129A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3D823F9"/>
    <w:multiLevelType w:val="multilevel"/>
    <w:tmpl w:val="A524FE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550DFE"/>
    <w:multiLevelType w:val="hybridMultilevel"/>
    <w:tmpl w:val="86A8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936277"/>
    <w:multiLevelType w:val="hybridMultilevel"/>
    <w:tmpl w:val="AF665B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7B75BD9"/>
    <w:multiLevelType w:val="multilevel"/>
    <w:tmpl w:val="CBD083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3E51CA"/>
    <w:multiLevelType w:val="hybridMultilevel"/>
    <w:tmpl w:val="4D60B55C"/>
    <w:lvl w:ilvl="0" w:tplc="A22E5F3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0346AD7"/>
    <w:multiLevelType w:val="hybridMultilevel"/>
    <w:tmpl w:val="4D60B55C"/>
    <w:lvl w:ilvl="0" w:tplc="A22E5F3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99E33F3"/>
    <w:multiLevelType w:val="hybridMultilevel"/>
    <w:tmpl w:val="45AA21C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428A78E4"/>
    <w:multiLevelType w:val="multilevel"/>
    <w:tmpl w:val="296C75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1CA7651"/>
    <w:multiLevelType w:val="multilevel"/>
    <w:tmpl w:val="B5C0F9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80A3C3B"/>
    <w:multiLevelType w:val="multilevel"/>
    <w:tmpl w:val="ED00E1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606531"/>
    <w:multiLevelType w:val="hybridMultilevel"/>
    <w:tmpl w:val="5D8422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05A1506"/>
    <w:multiLevelType w:val="hybridMultilevel"/>
    <w:tmpl w:val="6BA400A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64D513B9"/>
    <w:multiLevelType w:val="hybridMultilevel"/>
    <w:tmpl w:val="01D6CDF0"/>
    <w:lvl w:ilvl="0" w:tplc="118EF4AC">
      <w:start w:val="1"/>
      <w:numFmt w:val="bullet"/>
      <w:pStyle w:val="EndNoteBibliographyTitle"/>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6F670CC1"/>
    <w:multiLevelType w:val="hybridMultilevel"/>
    <w:tmpl w:val="B060DFCC"/>
    <w:lvl w:ilvl="0" w:tplc="0C090017">
      <w:start w:val="1"/>
      <w:numFmt w:val="lowerLetter"/>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7085636F"/>
    <w:multiLevelType w:val="multilevel"/>
    <w:tmpl w:val="EA0A01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1BF00AC"/>
    <w:multiLevelType w:val="hybridMultilevel"/>
    <w:tmpl w:val="C5644008"/>
    <w:lvl w:ilvl="0" w:tplc="19EAAE4A">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784D033C"/>
    <w:multiLevelType w:val="multilevel"/>
    <w:tmpl w:val="CDCC816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8DA132B"/>
    <w:multiLevelType w:val="hybridMultilevel"/>
    <w:tmpl w:val="92CC3A4A"/>
    <w:lvl w:ilvl="0" w:tplc="86ECA218">
      <w:start w:val="1"/>
      <w:numFmt w:val="bullet"/>
      <w:pStyle w:val="4bulletpoin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20"/>
  </w:num>
  <w:num w:numId="3">
    <w:abstractNumId w:val="4"/>
  </w:num>
  <w:num w:numId="4">
    <w:abstractNumId w:val="0"/>
  </w:num>
  <w:num w:numId="5">
    <w:abstractNumId w:val="8"/>
  </w:num>
  <w:num w:numId="6">
    <w:abstractNumId w:val="16"/>
  </w:num>
  <w:num w:numId="7">
    <w:abstractNumId w:val="7"/>
  </w:num>
  <w:num w:numId="8">
    <w:abstractNumId w:val="14"/>
  </w:num>
  <w:num w:numId="9">
    <w:abstractNumId w:val="18"/>
  </w:num>
  <w:num w:numId="10">
    <w:abstractNumId w:val="1"/>
  </w:num>
  <w:num w:numId="11">
    <w:abstractNumId w:val="5"/>
  </w:num>
  <w:num w:numId="12">
    <w:abstractNumId w:val="19"/>
    <w:lvlOverride w:ilvl="0">
      <w:startOverride w:val="2"/>
    </w:lvlOverride>
    <w:lvlOverride w:ilvl="1">
      <w:startOverride w:val="2"/>
    </w:lvlOverride>
  </w:num>
  <w:num w:numId="13">
    <w:abstractNumId w:val="19"/>
    <w:lvlOverride w:ilvl="0">
      <w:startOverride w:val="5"/>
    </w:lvlOverride>
    <w:lvlOverride w:ilvl="1">
      <w:startOverride w:val="2"/>
    </w:lvlOverride>
  </w:num>
  <w:num w:numId="14">
    <w:abstractNumId w:val="19"/>
    <w:lvlOverride w:ilvl="0">
      <w:startOverride w:val="5"/>
    </w:lvlOverride>
    <w:lvlOverride w:ilvl="1">
      <w:startOverride w:val="2"/>
    </w:lvlOverride>
  </w:num>
  <w:num w:numId="15">
    <w:abstractNumId w:val="19"/>
    <w:lvlOverride w:ilvl="0">
      <w:startOverride w:val="5"/>
    </w:lvlOverride>
    <w:lvlOverride w:ilvl="1">
      <w:startOverride w:val="3"/>
    </w:lvlOverride>
  </w:num>
  <w:num w:numId="16">
    <w:abstractNumId w:val="19"/>
    <w:lvlOverride w:ilvl="0">
      <w:startOverride w:val="5"/>
    </w:lvlOverride>
    <w:lvlOverride w:ilvl="1">
      <w:startOverride w:val="3"/>
    </w:lvlOverride>
  </w:num>
  <w:num w:numId="17">
    <w:abstractNumId w:val="19"/>
    <w:lvlOverride w:ilvl="0">
      <w:startOverride w:val="5"/>
    </w:lvlOverride>
    <w:lvlOverride w:ilvl="1">
      <w:startOverride w:val="3"/>
    </w:lvlOverride>
  </w:num>
  <w:num w:numId="18">
    <w:abstractNumId w:val="15"/>
  </w:num>
  <w:num w:numId="19">
    <w:abstractNumId w:val="9"/>
  </w:num>
  <w:num w:numId="20">
    <w:abstractNumId w:val="2"/>
  </w:num>
  <w:num w:numId="21">
    <w:abstractNumId w:val="13"/>
  </w:num>
  <w:num w:numId="22">
    <w:abstractNumId w:val="8"/>
  </w:num>
  <w:num w:numId="23">
    <w:abstractNumId w:val="19"/>
  </w:num>
  <w:num w:numId="24">
    <w:abstractNumId w:val="19"/>
  </w:num>
  <w:num w:numId="25">
    <w:abstractNumId w:val="17"/>
  </w:num>
  <w:num w:numId="26">
    <w:abstractNumId w:val="11"/>
  </w:num>
  <w:num w:numId="27">
    <w:abstractNumId w:val="12"/>
  </w:num>
  <w:num w:numId="28">
    <w:abstractNumId w:val="6"/>
  </w:num>
  <w:num w:numId="29">
    <w:abstractNumId w:val="3"/>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67027"/>
    <w:rsid w:val="00004A77"/>
    <w:rsid w:val="00017A0C"/>
    <w:rsid w:val="000229A9"/>
    <w:rsid w:val="00030CAB"/>
    <w:rsid w:val="0005034C"/>
    <w:rsid w:val="00071B12"/>
    <w:rsid w:val="000816FF"/>
    <w:rsid w:val="000B1670"/>
    <w:rsid w:val="000C1702"/>
    <w:rsid w:val="000E523D"/>
    <w:rsid w:val="000F6025"/>
    <w:rsid w:val="001124C3"/>
    <w:rsid w:val="0015151B"/>
    <w:rsid w:val="00152EBC"/>
    <w:rsid w:val="00177CB6"/>
    <w:rsid w:val="001833C0"/>
    <w:rsid w:val="0019099C"/>
    <w:rsid w:val="0019391C"/>
    <w:rsid w:val="00194A2D"/>
    <w:rsid w:val="001A4445"/>
    <w:rsid w:val="001D0A28"/>
    <w:rsid w:val="001F5FDE"/>
    <w:rsid w:val="001F66FF"/>
    <w:rsid w:val="001F717C"/>
    <w:rsid w:val="00207B3C"/>
    <w:rsid w:val="00217798"/>
    <w:rsid w:val="002261DF"/>
    <w:rsid w:val="00234C34"/>
    <w:rsid w:val="00260383"/>
    <w:rsid w:val="002629F4"/>
    <w:rsid w:val="00265A95"/>
    <w:rsid w:val="0027392C"/>
    <w:rsid w:val="002754CF"/>
    <w:rsid w:val="00280571"/>
    <w:rsid w:val="002904CA"/>
    <w:rsid w:val="002956A5"/>
    <w:rsid w:val="002B2E83"/>
    <w:rsid w:val="002E5769"/>
    <w:rsid w:val="002F6F86"/>
    <w:rsid w:val="00300535"/>
    <w:rsid w:val="00305B97"/>
    <w:rsid w:val="003521A2"/>
    <w:rsid w:val="003530AF"/>
    <w:rsid w:val="00367104"/>
    <w:rsid w:val="003832FA"/>
    <w:rsid w:val="00383981"/>
    <w:rsid w:val="003A045B"/>
    <w:rsid w:val="003B722F"/>
    <w:rsid w:val="003F0844"/>
    <w:rsid w:val="00405D1E"/>
    <w:rsid w:val="004115F2"/>
    <w:rsid w:val="00417B0F"/>
    <w:rsid w:val="0042162A"/>
    <w:rsid w:val="004308DE"/>
    <w:rsid w:val="0043719F"/>
    <w:rsid w:val="004A64D6"/>
    <w:rsid w:val="004C461C"/>
    <w:rsid w:val="004D4AE7"/>
    <w:rsid w:val="004E7955"/>
    <w:rsid w:val="00533EE7"/>
    <w:rsid w:val="0054039C"/>
    <w:rsid w:val="005471A6"/>
    <w:rsid w:val="00587C53"/>
    <w:rsid w:val="005945F8"/>
    <w:rsid w:val="005A3400"/>
    <w:rsid w:val="005E1D54"/>
    <w:rsid w:val="005F268C"/>
    <w:rsid w:val="005F7427"/>
    <w:rsid w:val="005F784C"/>
    <w:rsid w:val="00606AE1"/>
    <w:rsid w:val="00620F4B"/>
    <w:rsid w:val="00631B19"/>
    <w:rsid w:val="00647B7D"/>
    <w:rsid w:val="00662175"/>
    <w:rsid w:val="006B5754"/>
    <w:rsid w:val="006D2FF7"/>
    <w:rsid w:val="006E1DFC"/>
    <w:rsid w:val="007173A6"/>
    <w:rsid w:val="00731EA5"/>
    <w:rsid w:val="00754F62"/>
    <w:rsid w:val="00767027"/>
    <w:rsid w:val="0076793E"/>
    <w:rsid w:val="00785244"/>
    <w:rsid w:val="007A78A5"/>
    <w:rsid w:val="007C524A"/>
    <w:rsid w:val="007E7903"/>
    <w:rsid w:val="007F2C93"/>
    <w:rsid w:val="007F5FAB"/>
    <w:rsid w:val="008122EC"/>
    <w:rsid w:val="00820C2B"/>
    <w:rsid w:val="00826784"/>
    <w:rsid w:val="008406D6"/>
    <w:rsid w:val="00846BE7"/>
    <w:rsid w:val="00861108"/>
    <w:rsid w:val="0086603A"/>
    <w:rsid w:val="00867B86"/>
    <w:rsid w:val="008B4BC3"/>
    <w:rsid w:val="008D62E4"/>
    <w:rsid w:val="008F6EC8"/>
    <w:rsid w:val="0093138C"/>
    <w:rsid w:val="009350BA"/>
    <w:rsid w:val="009A24E4"/>
    <w:rsid w:val="009A5BB4"/>
    <w:rsid w:val="00A22703"/>
    <w:rsid w:val="00A2427F"/>
    <w:rsid w:val="00A609A7"/>
    <w:rsid w:val="00A712D3"/>
    <w:rsid w:val="00A82251"/>
    <w:rsid w:val="00AA2B9B"/>
    <w:rsid w:val="00AC1744"/>
    <w:rsid w:val="00AD381E"/>
    <w:rsid w:val="00AD4C4D"/>
    <w:rsid w:val="00B301F3"/>
    <w:rsid w:val="00B46751"/>
    <w:rsid w:val="00B56681"/>
    <w:rsid w:val="00B643E4"/>
    <w:rsid w:val="00B72B92"/>
    <w:rsid w:val="00B76B95"/>
    <w:rsid w:val="00B959E8"/>
    <w:rsid w:val="00BB5F42"/>
    <w:rsid w:val="00BD05B0"/>
    <w:rsid w:val="00C069ED"/>
    <w:rsid w:val="00C17853"/>
    <w:rsid w:val="00C31D7C"/>
    <w:rsid w:val="00C40268"/>
    <w:rsid w:val="00C4071A"/>
    <w:rsid w:val="00C50835"/>
    <w:rsid w:val="00C50C75"/>
    <w:rsid w:val="00C52334"/>
    <w:rsid w:val="00C61568"/>
    <w:rsid w:val="00C861C6"/>
    <w:rsid w:val="00CB5A09"/>
    <w:rsid w:val="00CB725A"/>
    <w:rsid w:val="00CD24D0"/>
    <w:rsid w:val="00CD63D5"/>
    <w:rsid w:val="00CE7542"/>
    <w:rsid w:val="00D20457"/>
    <w:rsid w:val="00D344A9"/>
    <w:rsid w:val="00D42BEB"/>
    <w:rsid w:val="00D63B44"/>
    <w:rsid w:val="00DB34BB"/>
    <w:rsid w:val="00DE3A9B"/>
    <w:rsid w:val="00E20300"/>
    <w:rsid w:val="00E22963"/>
    <w:rsid w:val="00E33C5F"/>
    <w:rsid w:val="00E37634"/>
    <w:rsid w:val="00E532DB"/>
    <w:rsid w:val="00E54CF1"/>
    <w:rsid w:val="00E57846"/>
    <w:rsid w:val="00E61645"/>
    <w:rsid w:val="00E954F8"/>
    <w:rsid w:val="00EA1940"/>
    <w:rsid w:val="00EA477A"/>
    <w:rsid w:val="00EB0AD1"/>
    <w:rsid w:val="00EB2204"/>
    <w:rsid w:val="00EC6FCA"/>
    <w:rsid w:val="00F025F6"/>
    <w:rsid w:val="00F30AC0"/>
    <w:rsid w:val="00F3187F"/>
    <w:rsid w:val="00F61C0C"/>
    <w:rsid w:val="00F80965"/>
    <w:rsid w:val="00F93DB0"/>
    <w:rsid w:val="00FB78B2"/>
    <w:rsid w:val="00FD0A38"/>
    <w:rsid w:val="00FD470C"/>
    <w:rsid w:val="00FD72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3EAD9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FCA"/>
    <w:pPr>
      <w:jc w:val="both"/>
    </w:pPr>
    <w:rPr>
      <w:rFonts w:ascii="Calibri" w:hAnsi="Calibri"/>
      <w:sz w:val="24"/>
      <w:szCs w:val="24"/>
    </w:rPr>
  </w:style>
  <w:style w:type="paragraph" w:styleId="Heading2">
    <w:name w:val="heading 2"/>
    <w:basedOn w:val="Normal"/>
    <w:next w:val="Normal"/>
    <w:link w:val="Heading2Char"/>
    <w:uiPriority w:val="9"/>
    <w:semiHidden/>
    <w:unhideWhenUsed/>
    <w:rsid w:val="0076702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rsid w:val="0076702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6702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67027"/>
    <w:rPr>
      <w:rFonts w:asciiTheme="majorHAnsi" w:eastAsiaTheme="majorEastAsia" w:hAnsiTheme="majorHAnsi" w:cstheme="majorBidi"/>
      <w:color w:val="1F4D78" w:themeColor="accent1" w:themeShade="7F"/>
      <w:sz w:val="24"/>
      <w:szCs w:val="24"/>
    </w:rPr>
  </w:style>
  <w:style w:type="paragraph" w:customStyle="1" w:styleId="2Sections">
    <w:name w:val="2. Sections"/>
    <w:rsid w:val="00767027"/>
    <w:pPr>
      <w:spacing w:before="240" w:after="120"/>
      <w:outlineLvl w:val="0"/>
    </w:pPr>
    <w:rPr>
      <w:rFonts w:cs="Arial"/>
      <w:b/>
      <w:snapToGrid w:val="0"/>
      <w:sz w:val="32"/>
      <w:szCs w:val="32"/>
    </w:rPr>
  </w:style>
  <w:style w:type="paragraph" w:customStyle="1" w:styleId="4Bodytextnumbered">
    <w:name w:val="4. Body text numbered"/>
    <w:basedOn w:val="ListParagraph"/>
    <w:rsid w:val="00767027"/>
    <w:pPr>
      <w:numPr>
        <w:numId w:val="0"/>
      </w:numPr>
      <w:jc w:val="both"/>
    </w:pPr>
  </w:style>
  <w:style w:type="paragraph" w:styleId="ListParagraph">
    <w:name w:val="List Paragraph"/>
    <w:aliases w:val="Body Text Bullet Points"/>
    <w:next w:val="ListBullet"/>
    <w:link w:val="ListParagraphChar"/>
    <w:uiPriority w:val="72"/>
    <w:qFormat/>
    <w:rsid w:val="00EC6FCA"/>
    <w:pPr>
      <w:numPr>
        <w:numId w:val="22"/>
      </w:numPr>
      <w:spacing w:after="120"/>
    </w:pPr>
    <w:rPr>
      <w:rFonts w:asciiTheme="minorHAnsi" w:hAnsiTheme="minorHAnsi" w:cs="Arial"/>
      <w:snapToGrid w:val="0"/>
      <w:sz w:val="24"/>
      <w:szCs w:val="24"/>
    </w:rPr>
  </w:style>
  <w:style w:type="paragraph" w:styleId="NoSpacing">
    <w:name w:val="No Spacing"/>
    <w:basedOn w:val="Normal"/>
    <w:link w:val="NoSpacingChar"/>
    <w:uiPriority w:val="1"/>
    <w:rsid w:val="00767027"/>
    <w:rPr>
      <w:rFonts w:cstheme="minorHAnsi"/>
    </w:rPr>
  </w:style>
  <w:style w:type="paragraph" w:customStyle="1" w:styleId="4bulletpoint">
    <w:name w:val="4. bullet point"/>
    <w:basedOn w:val="ListParagraph"/>
    <w:link w:val="4bulletpointChar"/>
    <w:rsid w:val="00767027"/>
    <w:pPr>
      <w:widowControl w:val="0"/>
      <w:numPr>
        <w:numId w:val="2"/>
      </w:numPr>
      <w:jc w:val="both"/>
    </w:pPr>
    <w:rPr>
      <w:snapToGrid/>
    </w:rPr>
  </w:style>
  <w:style w:type="character" w:customStyle="1" w:styleId="4bulletpointChar">
    <w:name w:val="4. bullet point Char"/>
    <w:basedOn w:val="DefaultParagraphFont"/>
    <w:link w:val="4bulletpoint"/>
    <w:rsid w:val="00767027"/>
    <w:rPr>
      <w:rFonts w:eastAsia="Times New Roman" w:cs="Arial"/>
      <w:sz w:val="24"/>
      <w:szCs w:val="24"/>
    </w:rPr>
  </w:style>
  <w:style w:type="character" w:customStyle="1" w:styleId="NoSpacingChar">
    <w:name w:val="No Spacing Char"/>
    <w:basedOn w:val="DefaultParagraphFont"/>
    <w:link w:val="NoSpacing"/>
    <w:uiPriority w:val="1"/>
    <w:rsid w:val="00767027"/>
    <w:rPr>
      <w:rFonts w:ascii="Calibri" w:eastAsia="Times New Roman" w:hAnsi="Calibri" w:cstheme="minorHAnsi"/>
      <w:sz w:val="24"/>
      <w:szCs w:val="24"/>
    </w:rPr>
  </w:style>
  <w:style w:type="paragraph" w:styleId="BalloonText">
    <w:name w:val="Balloon Text"/>
    <w:basedOn w:val="Normal"/>
    <w:link w:val="BalloonTextChar"/>
    <w:uiPriority w:val="99"/>
    <w:semiHidden/>
    <w:unhideWhenUsed/>
    <w:rsid w:val="007670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02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67027"/>
    <w:rPr>
      <w:sz w:val="16"/>
      <w:szCs w:val="16"/>
    </w:rPr>
  </w:style>
  <w:style w:type="paragraph" w:styleId="CommentText">
    <w:name w:val="annotation text"/>
    <w:basedOn w:val="Normal"/>
    <w:link w:val="CommentTextChar"/>
    <w:uiPriority w:val="99"/>
    <w:semiHidden/>
    <w:unhideWhenUsed/>
    <w:rsid w:val="00767027"/>
    <w:rPr>
      <w:sz w:val="20"/>
      <w:szCs w:val="20"/>
    </w:rPr>
  </w:style>
  <w:style w:type="character" w:customStyle="1" w:styleId="CommentTextChar">
    <w:name w:val="Comment Text Char"/>
    <w:basedOn w:val="DefaultParagraphFont"/>
    <w:link w:val="CommentText"/>
    <w:uiPriority w:val="99"/>
    <w:semiHidden/>
    <w:rsid w:val="00767027"/>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67027"/>
    <w:rPr>
      <w:b/>
      <w:bCs/>
    </w:rPr>
  </w:style>
  <w:style w:type="character" w:customStyle="1" w:styleId="CommentSubjectChar">
    <w:name w:val="Comment Subject Char"/>
    <w:basedOn w:val="CommentTextChar"/>
    <w:link w:val="CommentSubject"/>
    <w:uiPriority w:val="99"/>
    <w:semiHidden/>
    <w:rsid w:val="00767027"/>
    <w:rPr>
      <w:rFonts w:ascii="Calibri" w:eastAsia="Times New Roman" w:hAnsi="Calibri" w:cs="Times New Roman"/>
      <w:b/>
      <w:bCs/>
      <w:sz w:val="20"/>
      <w:szCs w:val="20"/>
    </w:rPr>
  </w:style>
  <w:style w:type="paragraph" w:styleId="Header">
    <w:name w:val="header"/>
    <w:aliases w:val="Page Header,Header title,he=header,cntr/bld"/>
    <w:basedOn w:val="Normal"/>
    <w:link w:val="HeaderChar"/>
    <w:qFormat/>
    <w:rsid w:val="00EC6FCA"/>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C6FCA"/>
    <w:rPr>
      <w:rFonts w:ascii="Calibri" w:hAnsi="Calibri"/>
      <w:sz w:val="24"/>
      <w:szCs w:val="24"/>
    </w:rPr>
  </w:style>
  <w:style w:type="paragraph" w:customStyle="1" w:styleId="2-SectionHeading">
    <w:name w:val="2-Section Heading"/>
    <w:qFormat/>
    <w:rsid w:val="00EC6FCA"/>
    <w:pPr>
      <w:keepNext/>
      <w:numPr>
        <w:numId w:val="24"/>
      </w:numPr>
      <w:spacing w:before="240" w:after="120"/>
      <w:outlineLvl w:val="0"/>
    </w:pPr>
    <w:rPr>
      <w:rFonts w:asciiTheme="minorHAnsi" w:hAnsiTheme="minorHAnsi" w:cs="Arial"/>
      <w:b/>
      <w:snapToGrid w:val="0"/>
      <w:sz w:val="32"/>
      <w:szCs w:val="32"/>
    </w:rPr>
  </w:style>
  <w:style w:type="paragraph" w:customStyle="1" w:styleId="3-BodyText">
    <w:name w:val="3-Body Text"/>
    <w:link w:val="3-BodyTextChar"/>
    <w:qFormat/>
    <w:rsid w:val="00EC6FCA"/>
    <w:pPr>
      <w:numPr>
        <w:ilvl w:val="1"/>
        <w:numId w:val="24"/>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EC6FCA"/>
    <w:rPr>
      <w:rFonts w:asciiTheme="minorHAnsi" w:eastAsiaTheme="minorHAnsi" w:hAnsiTheme="minorHAnsi" w:cstheme="minorBidi"/>
      <w:snapToGrid/>
      <w:sz w:val="24"/>
      <w:szCs w:val="22"/>
    </w:rPr>
  </w:style>
  <w:style w:type="paragraph" w:customStyle="1" w:styleId="TableFigureHeading">
    <w:name w:val="Table/Figure Heading"/>
    <w:link w:val="TableFigureHeadingChar"/>
    <w:qFormat/>
    <w:rsid w:val="00EC6FCA"/>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EC6FCA"/>
    <w:rPr>
      <w:rFonts w:ascii="Arial Narrow" w:eastAsiaTheme="majorEastAsia" w:hAnsi="Arial Narrow" w:cstheme="majorBidi"/>
      <w:b/>
      <w:bCs/>
      <w:szCs w:val="24"/>
    </w:rPr>
  </w:style>
  <w:style w:type="paragraph" w:customStyle="1" w:styleId="TableText">
    <w:name w:val="Table Text"/>
    <w:link w:val="TableTextChar"/>
    <w:qFormat/>
    <w:rsid w:val="00EC6FCA"/>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EC6FCA"/>
    <w:rPr>
      <w:rFonts w:ascii="Arial Narrow" w:eastAsiaTheme="majorEastAsia" w:hAnsi="Arial Narrow" w:cstheme="majorBidi"/>
      <w:bCs/>
      <w:szCs w:val="24"/>
    </w:rPr>
  </w:style>
  <w:style w:type="paragraph" w:customStyle="1" w:styleId="GeneralHeading">
    <w:name w:val="General Heading"/>
    <w:qFormat/>
    <w:rsid w:val="00EC6FCA"/>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C6FCA"/>
    <w:pPr>
      <w:keepNext/>
    </w:pPr>
    <w:rPr>
      <w:rFonts w:ascii="Arial Narrow" w:eastAsiaTheme="majorEastAsia" w:hAnsi="Arial Narrow"/>
      <w:b/>
      <w:szCs w:val="24"/>
      <w:lang w:val="en-US"/>
    </w:rPr>
  </w:style>
  <w:style w:type="paragraph" w:customStyle="1" w:styleId="1-MainHeading">
    <w:name w:val="1-Main Heading"/>
    <w:link w:val="1-MainHeadingChar"/>
    <w:qFormat/>
    <w:rsid w:val="00EC6FCA"/>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C6FCA"/>
    <w:rPr>
      <w:rFonts w:asciiTheme="minorHAnsi" w:eastAsiaTheme="majorEastAsia" w:hAnsiTheme="minorHAnsi" w:cstheme="majorBidi"/>
      <w:b/>
      <w:spacing w:val="5"/>
      <w:kern w:val="28"/>
      <w:sz w:val="36"/>
      <w:szCs w:val="36"/>
    </w:rPr>
  </w:style>
  <w:style w:type="paragraph" w:customStyle="1" w:styleId="PageFooter">
    <w:name w:val="Page Footer"/>
    <w:basedOn w:val="Normal"/>
    <w:link w:val="PageFooterChar"/>
    <w:qFormat/>
    <w:rsid w:val="00EC6FCA"/>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EC6FCA"/>
    <w:rPr>
      <w:rFonts w:ascii="Calibri" w:hAnsi="Calibri" w:cs="Arial"/>
      <w:b/>
      <w:sz w:val="24"/>
      <w:szCs w:val="24"/>
    </w:rPr>
  </w:style>
  <w:style w:type="paragraph" w:customStyle="1" w:styleId="TableFigureFooter">
    <w:name w:val="Table/Figure Footer"/>
    <w:basedOn w:val="Normal"/>
    <w:link w:val="TableFigureFooterChar"/>
    <w:qFormat/>
    <w:rsid w:val="00EC6FCA"/>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EC6FCA"/>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C6FCA"/>
    <w:pPr>
      <w:keepLines w:val="0"/>
      <w:spacing w:before="120" w:after="120"/>
    </w:pPr>
    <w:rPr>
      <w:rFonts w:asciiTheme="minorHAnsi" w:hAnsiTheme="minorHAnsi"/>
      <w:b/>
      <w:i/>
      <w:color w:val="auto"/>
      <w:spacing w:val="5"/>
      <w:kern w:val="28"/>
      <w:sz w:val="28"/>
      <w:szCs w:val="36"/>
    </w:rPr>
  </w:style>
  <w:style w:type="character" w:customStyle="1" w:styleId="4-SubsectionHeadingChar">
    <w:name w:val="4-Subsection Heading Char"/>
    <w:basedOn w:val="Heading2Char"/>
    <w:link w:val="4-SubsectionHeading"/>
    <w:rsid w:val="00EC6FCA"/>
    <w:rPr>
      <w:rFonts w:asciiTheme="minorHAnsi" w:eastAsiaTheme="majorEastAsia" w:hAnsiTheme="minorHAnsi" w:cstheme="majorBidi"/>
      <w:b/>
      <w:i/>
      <w:color w:val="2E74B5" w:themeColor="accent1" w:themeShade="BF"/>
      <w:spacing w:val="5"/>
      <w:kern w:val="28"/>
      <w:sz w:val="28"/>
      <w:szCs w:val="36"/>
    </w:rPr>
  </w:style>
  <w:style w:type="paragraph" w:customStyle="1" w:styleId="5-SubsectionSubheading">
    <w:name w:val="5-Subsection Subheading"/>
    <w:basedOn w:val="Heading3"/>
    <w:next w:val="3-BodyText"/>
    <w:link w:val="5-SubsectionSubheadingChar"/>
    <w:qFormat/>
    <w:rsid w:val="00EC6FCA"/>
    <w:rPr>
      <w:rFonts w:asciiTheme="minorHAnsi" w:hAnsiTheme="minorHAnsi"/>
      <w:b/>
      <w:color w:val="000000" w:themeColor="text1"/>
    </w:rPr>
  </w:style>
  <w:style w:type="character" w:customStyle="1" w:styleId="5-SubsectionSubheadingChar">
    <w:name w:val="5-Subsection Subheading Char"/>
    <w:basedOn w:val="Heading3Char"/>
    <w:link w:val="5-SubsectionSubheading"/>
    <w:rsid w:val="00EC6FCA"/>
    <w:rPr>
      <w:rFonts w:asciiTheme="minorHAnsi" w:eastAsiaTheme="majorEastAsia" w:hAnsiTheme="minorHAnsi" w:cstheme="majorBidi"/>
      <w:b/>
      <w:color w:val="000000" w:themeColor="text1"/>
      <w:sz w:val="24"/>
      <w:szCs w:val="24"/>
    </w:rPr>
  </w:style>
  <w:style w:type="character" w:customStyle="1" w:styleId="ListParagraphChar">
    <w:name w:val="List Paragraph Char"/>
    <w:aliases w:val="Body Text Bullet Points Char"/>
    <w:basedOn w:val="DefaultParagraphFont"/>
    <w:link w:val="ListParagraph"/>
    <w:uiPriority w:val="72"/>
    <w:qFormat/>
    <w:locked/>
    <w:rsid w:val="00EC6FCA"/>
    <w:rPr>
      <w:rFonts w:asciiTheme="minorHAnsi" w:hAnsiTheme="minorHAnsi" w:cs="Arial"/>
      <w:snapToGrid w:val="0"/>
      <w:sz w:val="24"/>
      <w:szCs w:val="24"/>
    </w:rPr>
  </w:style>
  <w:style w:type="paragraph" w:styleId="ListBullet">
    <w:name w:val="List Bullet"/>
    <w:basedOn w:val="Normal"/>
    <w:uiPriority w:val="99"/>
    <w:semiHidden/>
    <w:unhideWhenUsed/>
    <w:rsid w:val="00767027"/>
    <w:pPr>
      <w:numPr>
        <w:numId w:val="4"/>
      </w:numPr>
      <w:contextualSpacing/>
    </w:pPr>
  </w:style>
  <w:style w:type="paragraph" w:styleId="Footer">
    <w:name w:val="footer"/>
    <w:basedOn w:val="Normal"/>
    <w:link w:val="FooterChar"/>
    <w:uiPriority w:val="99"/>
    <w:unhideWhenUsed/>
    <w:rsid w:val="00767027"/>
    <w:pPr>
      <w:tabs>
        <w:tab w:val="center" w:pos="4513"/>
        <w:tab w:val="right" w:pos="9026"/>
      </w:tabs>
    </w:pPr>
  </w:style>
  <w:style w:type="character" w:customStyle="1" w:styleId="FooterChar">
    <w:name w:val="Footer Char"/>
    <w:basedOn w:val="DefaultParagraphFont"/>
    <w:link w:val="Footer"/>
    <w:uiPriority w:val="99"/>
    <w:rsid w:val="00767027"/>
    <w:rPr>
      <w:rFonts w:ascii="Calibri" w:eastAsia="Times New Roman" w:hAnsi="Calibri" w:cs="Times New Roman"/>
      <w:sz w:val="24"/>
      <w:szCs w:val="24"/>
    </w:rPr>
  </w:style>
  <w:style w:type="paragraph" w:styleId="Caption">
    <w:name w:val="caption"/>
    <w:basedOn w:val="Normal"/>
    <w:next w:val="Normal"/>
    <w:uiPriority w:val="35"/>
    <w:unhideWhenUsed/>
    <w:rsid w:val="00767027"/>
    <w:pPr>
      <w:spacing w:after="200"/>
    </w:pPr>
    <w:rPr>
      <w:i/>
      <w:iCs/>
      <w:color w:val="44546A" w:themeColor="text2"/>
      <w:sz w:val="18"/>
      <w:szCs w:val="18"/>
    </w:rPr>
  </w:style>
  <w:style w:type="paragraph" w:styleId="FootnoteText">
    <w:name w:val="footnote text"/>
    <w:basedOn w:val="Normal"/>
    <w:link w:val="FootnoteTextChar"/>
    <w:uiPriority w:val="99"/>
    <w:semiHidden/>
    <w:unhideWhenUsed/>
    <w:rsid w:val="00767027"/>
    <w:rPr>
      <w:sz w:val="20"/>
      <w:szCs w:val="20"/>
    </w:rPr>
  </w:style>
  <w:style w:type="character" w:customStyle="1" w:styleId="FootnoteTextChar">
    <w:name w:val="Footnote Text Char"/>
    <w:basedOn w:val="DefaultParagraphFont"/>
    <w:link w:val="FootnoteText"/>
    <w:uiPriority w:val="99"/>
    <w:semiHidden/>
    <w:rsid w:val="00767027"/>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767027"/>
    <w:rPr>
      <w:vertAlign w:val="superscript"/>
    </w:rPr>
  </w:style>
  <w:style w:type="character" w:styleId="Hyperlink">
    <w:name w:val="Hyperlink"/>
    <w:basedOn w:val="DefaultParagraphFont"/>
    <w:uiPriority w:val="99"/>
    <w:unhideWhenUsed/>
    <w:rsid w:val="00767027"/>
    <w:rPr>
      <w:color w:val="0563C1" w:themeColor="hyperlink"/>
      <w:u w:val="single"/>
    </w:rPr>
  </w:style>
  <w:style w:type="character" w:customStyle="1" w:styleId="UnresolvedMention1">
    <w:name w:val="Unresolved Mention1"/>
    <w:basedOn w:val="DefaultParagraphFont"/>
    <w:uiPriority w:val="99"/>
    <w:semiHidden/>
    <w:unhideWhenUsed/>
    <w:rsid w:val="00767027"/>
    <w:rPr>
      <w:color w:val="605E5C"/>
      <w:shd w:val="clear" w:color="auto" w:fill="E1DFDD"/>
    </w:rPr>
  </w:style>
  <w:style w:type="paragraph" w:styleId="Revision">
    <w:name w:val="Revision"/>
    <w:hidden/>
    <w:uiPriority w:val="99"/>
    <w:semiHidden/>
    <w:rsid w:val="00767027"/>
    <w:rPr>
      <w:rFonts w:ascii="Calibri" w:hAnsi="Calibri"/>
      <w:sz w:val="24"/>
      <w:szCs w:val="24"/>
    </w:rPr>
  </w:style>
  <w:style w:type="paragraph" w:styleId="NormalWeb">
    <w:name w:val="Normal (Web)"/>
    <w:basedOn w:val="Normal"/>
    <w:uiPriority w:val="99"/>
    <w:unhideWhenUsed/>
    <w:rsid w:val="00767027"/>
    <w:pPr>
      <w:spacing w:before="100" w:beforeAutospacing="1" w:after="100" w:afterAutospacing="1"/>
      <w:jc w:val="left"/>
    </w:pPr>
    <w:rPr>
      <w:rFonts w:ascii="Times New Roman" w:hAnsi="Times New Roman"/>
      <w:lang w:eastAsia="en-AU"/>
    </w:rPr>
  </w:style>
  <w:style w:type="paragraph" w:customStyle="1" w:styleId="indent-1">
    <w:name w:val="indent-1"/>
    <w:basedOn w:val="Normal"/>
    <w:rsid w:val="00767027"/>
    <w:pPr>
      <w:spacing w:before="100" w:beforeAutospacing="1" w:after="100" w:afterAutospacing="1"/>
      <w:jc w:val="left"/>
    </w:pPr>
    <w:rPr>
      <w:rFonts w:ascii="Times New Roman" w:hAnsi="Times New Roman"/>
      <w:lang w:eastAsia="en-AU"/>
    </w:rPr>
  </w:style>
  <w:style w:type="paragraph" w:customStyle="1" w:styleId="EndNoteBibliography">
    <w:name w:val="EndNote Bibliography"/>
    <w:basedOn w:val="Normal"/>
    <w:link w:val="EndNoteBibliographyChar"/>
    <w:rsid w:val="00767027"/>
    <w:pPr>
      <w:spacing w:after="160"/>
      <w:jc w:val="left"/>
    </w:pPr>
    <w:rPr>
      <w:rFonts w:cs="Calibri"/>
      <w:noProof/>
      <w:lang w:val="en-US"/>
    </w:rPr>
  </w:style>
  <w:style w:type="character" w:customStyle="1" w:styleId="EndNoteBibliographyChar">
    <w:name w:val="EndNote Bibliography Char"/>
    <w:basedOn w:val="NoSpacingChar"/>
    <w:link w:val="EndNoteBibliography"/>
    <w:rsid w:val="00767027"/>
    <w:rPr>
      <w:rFonts w:ascii="Calibri" w:eastAsia="Times New Roman" w:hAnsi="Calibri" w:cs="Calibri"/>
      <w:noProof/>
      <w:sz w:val="24"/>
      <w:szCs w:val="24"/>
      <w:lang w:val="en-US"/>
    </w:rPr>
  </w:style>
  <w:style w:type="paragraph" w:customStyle="1" w:styleId="EndNoteBibliographyTitle">
    <w:name w:val="EndNote Bibliography Title"/>
    <w:basedOn w:val="Normal"/>
    <w:link w:val="EndNoteBibliographyTitleChar"/>
    <w:rsid w:val="00767027"/>
    <w:pPr>
      <w:numPr>
        <w:numId w:val="18"/>
      </w:numPr>
      <w:ind w:left="0" w:firstLine="0"/>
      <w:jc w:val="center"/>
    </w:pPr>
    <w:rPr>
      <w:rFonts w:cs="Calibri"/>
      <w:noProof/>
      <w:lang w:val="en-US"/>
    </w:rPr>
  </w:style>
  <w:style w:type="character" w:customStyle="1" w:styleId="EndNoteBibliographyTitleChar">
    <w:name w:val="EndNote Bibliography Title Char"/>
    <w:basedOn w:val="3-BodyTextChar"/>
    <w:link w:val="EndNoteBibliographyTitle"/>
    <w:rsid w:val="00767027"/>
    <w:rPr>
      <w:rFonts w:ascii="Calibri" w:eastAsia="Times New Roman" w:hAnsi="Calibri" w:cs="Calibri"/>
      <w:noProof/>
      <w:snapToGrid/>
      <w:sz w:val="24"/>
      <w:szCs w:val="24"/>
      <w:lang w:val="en-US"/>
    </w:rPr>
  </w:style>
  <w:style w:type="table" w:styleId="TableGrid">
    <w:name w:val="Table Grid"/>
    <w:basedOn w:val="TableNormal"/>
    <w:uiPriority w:val="39"/>
    <w:rsid w:val="00D20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094060">
      <w:bodyDiv w:val="1"/>
      <w:marLeft w:val="0"/>
      <w:marRight w:val="0"/>
      <w:marTop w:val="0"/>
      <w:marBottom w:val="0"/>
      <w:divBdr>
        <w:top w:val="none" w:sz="0" w:space="0" w:color="auto"/>
        <w:left w:val="none" w:sz="0" w:space="0" w:color="auto"/>
        <w:bottom w:val="none" w:sz="0" w:space="0" w:color="auto"/>
        <w:right w:val="none" w:sz="0" w:space="0" w:color="auto"/>
      </w:divBdr>
    </w:div>
    <w:div w:id="94329794">
      <w:bodyDiv w:val="1"/>
      <w:marLeft w:val="0"/>
      <w:marRight w:val="0"/>
      <w:marTop w:val="0"/>
      <w:marBottom w:val="0"/>
      <w:divBdr>
        <w:top w:val="none" w:sz="0" w:space="0" w:color="auto"/>
        <w:left w:val="none" w:sz="0" w:space="0" w:color="auto"/>
        <w:bottom w:val="none" w:sz="0" w:space="0" w:color="auto"/>
        <w:right w:val="none" w:sz="0" w:space="0" w:color="auto"/>
      </w:divBdr>
    </w:div>
    <w:div w:id="115418967">
      <w:bodyDiv w:val="1"/>
      <w:marLeft w:val="0"/>
      <w:marRight w:val="0"/>
      <w:marTop w:val="0"/>
      <w:marBottom w:val="0"/>
      <w:divBdr>
        <w:top w:val="none" w:sz="0" w:space="0" w:color="auto"/>
        <w:left w:val="none" w:sz="0" w:space="0" w:color="auto"/>
        <w:bottom w:val="none" w:sz="0" w:space="0" w:color="auto"/>
        <w:right w:val="none" w:sz="0" w:space="0" w:color="auto"/>
      </w:divBdr>
    </w:div>
    <w:div w:id="197551545">
      <w:bodyDiv w:val="1"/>
      <w:marLeft w:val="0"/>
      <w:marRight w:val="0"/>
      <w:marTop w:val="0"/>
      <w:marBottom w:val="0"/>
      <w:divBdr>
        <w:top w:val="none" w:sz="0" w:space="0" w:color="auto"/>
        <w:left w:val="none" w:sz="0" w:space="0" w:color="auto"/>
        <w:bottom w:val="none" w:sz="0" w:space="0" w:color="auto"/>
        <w:right w:val="none" w:sz="0" w:space="0" w:color="auto"/>
      </w:divBdr>
    </w:div>
    <w:div w:id="214003227">
      <w:bodyDiv w:val="1"/>
      <w:marLeft w:val="0"/>
      <w:marRight w:val="0"/>
      <w:marTop w:val="0"/>
      <w:marBottom w:val="0"/>
      <w:divBdr>
        <w:top w:val="none" w:sz="0" w:space="0" w:color="auto"/>
        <w:left w:val="none" w:sz="0" w:space="0" w:color="auto"/>
        <w:bottom w:val="none" w:sz="0" w:space="0" w:color="auto"/>
        <w:right w:val="none" w:sz="0" w:space="0" w:color="auto"/>
      </w:divBdr>
    </w:div>
    <w:div w:id="396830262">
      <w:bodyDiv w:val="1"/>
      <w:marLeft w:val="0"/>
      <w:marRight w:val="0"/>
      <w:marTop w:val="0"/>
      <w:marBottom w:val="0"/>
      <w:divBdr>
        <w:top w:val="none" w:sz="0" w:space="0" w:color="auto"/>
        <w:left w:val="none" w:sz="0" w:space="0" w:color="auto"/>
        <w:bottom w:val="none" w:sz="0" w:space="0" w:color="auto"/>
        <w:right w:val="none" w:sz="0" w:space="0" w:color="auto"/>
      </w:divBdr>
    </w:div>
    <w:div w:id="674648716">
      <w:bodyDiv w:val="1"/>
      <w:marLeft w:val="0"/>
      <w:marRight w:val="0"/>
      <w:marTop w:val="0"/>
      <w:marBottom w:val="0"/>
      <w:divBdr>
        <w:top w:val="none" w:sz="0" w:space="0" w:color="auto"/>
        <w:left w:val="none" w:sz="0" w:space="0" w:color="auto"/>
        <w:bottom w:val="none" w:sz="0" w:space="0" w:color="auto"/>
        <w:right w:val="none" w:sz="0" w:space="0" w:color="auto"/>
      </w:divBdr>
    </w:div>
    <w:div w:id="708995250">
      <w:bodyDiv w:val="1"/>
      <w:marLeft w:val="0"/>
      <w:marRight w:val="0"/>
      <w:marTop w:val="0"/>
      <w:marBottom w:val="0"/>
      <w:divBdr>
        <w:top w:val="none" w:sz="0" w:space="0" w:color="auto"/>
        <w:left w:val="none" w:sz="0" w:space="0" w:color="auto"/>
        <w:bottom w:val="none" w:sz="0" w:space="0" w:color="auto"/>
        <w:right w:val="none" w:sz="0" w:space="0" w:color="auto"/>
      </w:divBdr>
    </w:div>
    <w:div w:id="1153570156">
      <w:bodyDiv w:val="1"/>
      <w:marLeft w:val="0"/>
      <w:marRight w:val="0"/>
      <w:marTop w:val="0"/>
      <w:marBottom w:val="0"/>
      <w:divBdr>
        <w:top w:val="none" w:sz="0" w:space="0" w:color="auto"/>
        <w:left w:val="none" w:sz="0" w:space="0" w:color="auto"/>
        <w:bottom w:val="none" w:sz="0" w:space="0" w:color="auto"/>
        <w:right w:val="none" w:sz="0" w:space="0" w:color="auto"/>
      </w:divBdr>
    </w:div>
    <w:div w:id="1349721492">
      <w:bodyDiv w:val="1"/>
      <w:marLeft w:val="0"/>
      <w:marRight w:val="0"/>
      <w:marTop w:val="0"/>
      <w:marBottom w:val="0"/>
      <w:divBdr>
        <w:top w:val="none" w:sz="0" w:space="0" w:color="auto"/>
        <w:left w:val="none" w:sz="0" w:space="0" w:color="auto"/>
        <w:bottom w:val="none" w:sz="0" w:space="0" w:color="auto"/>
        <w:right w:val="none" w:sz="0" w:space="0" w:color="auto"/>
      </w:divBdr>
    </w:div>
    <w:div w:id="1460879639">
      <w:bodyDiv w:val="1"/>
      <w:marLeft w:val="0"/>
      <w:marRight w:val="0"/>
      <w:marTop w:val="0"/>
      <w:marBottom w:val="0"/>
      <w:divBdr>
        <w:top w:val="none" w:sz="0" w:space="0" w:color="auto"/>
        <w:left w:val="none" w:sz="0" w:space="0" w:color="auto"/>
        <w:bottom w:val="none" w:sz="0" w:space="0" w:color="auto"/>
        <w:right w:val="none" w:sz="0" w:space="0" w:color="auto"/>
      </w:divBdr>
    </w:div>
    <w:div w:id="1697391377">
      <w:bodyDiv w:val="1"/>
      <w:marLeft w:val="0"/>
      <w:marRight w:val="0"/>
      <w:marTop w:val="0"/>
      <w:marBottom w:val="0"/>
      <w:divBdr>
        <w:top w:val="none" w:sz="0" w:space="0" w:color="auto"/>
        <w:left w:val="none" w:sz="0" w:space="0" w:color="auto"/>
        <w:bottom w:val="none" w:sz="0" w:space="0" w:color="auto"/>
        <w:right w:val="none" w:sz="0" w:space="0" w:color="auto"/>
      </w:divBdr>
    </w:div>
    <w:div w:id="1741251269">
      <w:bodyDiv w:val="1"/>
      <w:marLeft w:val="0"/>
      <w:marRight w:val="0"/>
      <w:marTop w:val="0"/>
      <w:marBottom w:val="0"/>
      <w:divBdr>
        <w:top w:val="none" w:sz="0" w:space="0" w:color="auto"/>
        <w:left w:val="none" w:sz="0" w:space="0" w:color="auto"/>
        <w:bottom w:val="none" w:sz="0" w:space="0" w:color="auto"/>
        <w:right w:val="none" w:sz="0" w:space="0" w:color="auto"/>
      </w:divBdr>
    </w:div>
    <w:div w:id="1770195935">
      <w:bodyDiv w:val="1"/>
      <w:marLeft w:val="0"/>
      <w:marRight w:val="0"/>
      <w:marTop w:val="0"/>
      <w:marBottom w:val="0"/>
      <w:divBdr>
        <w:top w:val="none" w:sz="0" w:space="0" w:color="auto"/>
        <w:left w:val="none" w:sz="0" w:space="0" w:color="auto"/>
        <w:bottom w:val="none" w:sz="0" w:space="0" w:color="auto"/>
        <w:right w:val="none" w:sz="0" w:space="0" w:color="auto"/>
      </w:divBdr>
    </w:div>
    <w:div w:id="1795371084">
      <w:bodyDiv w:val="1"/>
      <w:marLeft w:val="0"/>
      <w:marRight w:val="0"/>
      <w:marTop w:val="0"/>
      <w:marBottom w:val="0"/>
      <w:divBdr>
        <w:top w:val="none" w:sz="0" w:space="0" w:color="auto"/>
        <w:left w:val="none" w:sz="0" w:space="0" w:color="auto"/>
        <w:bottom w:val="none" w:sz="0" w:space="0" w:color="auto"/>
        <w:right w:val="none" w:sz="0" w:space="0" w:color="auto"/>
      </w:divBdr>
    </w:div>
    <w:div w:id="1911305848">
      <w:bodyDiv w:val="1"/>
      <w:marLeft w:val="0"/>
      <w:marRight w:val="0"/>
      <w:marTop w:val="0"/>
      <w:marBottom w:val="0"/>
      <w:divBdr>
        <w:top w:val="none" w:sz="0" w:space="0" w:color="auto"/>
        <w:left w:val="none" w:sz="0" w:space="0" w:color="auto"/>
        <w:bottom w:val="none" w:sz="0" w:space="0" w:color="auto"/>
        <w:right w:val="none" w:sz="0" w:space="0" w:color="auto"/>
      </w:divBdr>
    </w:div>
    <w:div w:id="1916937551">
      <w:bodyDiv w:val="1"/>
      <w:marLeft w:val="0"/>
      <w:marRight w:val="0"/>
      <w:marTop w:val="0"/>
      <w:marBottom w:val="0"/>
      <w:divBdr>
        <w:top w:val="none" w:sz="0" w:space="0" w:color="auto"/>
        <w:left w:val="none" w:sz="0" w:space="0" w:color="auto"/>
        <w:bottom w:val="none" w:sz="0" w:space="0" w:color="auto"/>
        <w:right w:val="none" w:sz="0" w:space="0" w:color="auto"/>
      </w:divBdr>
    </w:div>
    <w:div w:id="195975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ptodate.com/contents/romiplostim-drug-information?search=itp&amp;topicRef=6678&amp;source=see_li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ptodate.com/contents/eltrombopag-drug-information?search=itp&amp;topicRef=6678&amp;source=se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063E0-0153-49D7-AF57-2656E306E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4283</Words>
  <Characters>24417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2022-08-25T04:43:00Z</dcterms:created>
  <dcterms:modified xsi:type="dcterms:W3CDTF">2022-08-25T05:04:00Z</dcterms:modified>
</cp:coreProperties>
</file>