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A0AD" w14:textId="37118606" w:rsidR="00AE4EEA" w:rsidRDefault="00AE4EEA" w:rsidP="00AE4EEA">
      <w:pPr>
        <w:rPr>
          <w:rFonts w:cs="Calibri"/>
          <w:color w:val="FF0000"/>
        </w:rPr>
      </w:pPr>
      <w:bookmarkStart w:id="0" w:name="_Toc93406119"/>
      <w:bookmarkStart w:id="1" w:name="_Toc92386469"/>
      <w:bookmarkStart w:id="2" w:name="_Toc22898872"/>
      <w:bookmarkStart w:id="3" w:name="_Toc380746195"/>
      <w:bookmarkStart w:id="4" w:name="_Toc380746321"/>
      <w:bookmarkStart w:id="5" w:name="_Toc380746602"/>
      <w:r>
        <w:rPr>
          <w:rFonts w:cs="Calibri"/>
          <w:color w:val="FF0000"/>
        </w:rPr>
        <w:t>An addendum to th</w:t>
      </w:r>
      <w:r w:rsidR="0068646A">
        <w:rPr>
          <w:rFonts w:cs="Calibri"/>
          <w:color w:val="FF0000"/>
        </w:rPr>
        <w:t xml:space="preserve">is </w:t>
      </w:r>
      <w:r w:rsidR="00DC03E7">
        <w:rPr>
          <w:rFonts w:cs="Calibri"/>
          <w:color w:val="FF0000"/>
        </w:rPr>
        <w:t>P</w:t>
      </w:r>
      <w:r w:rsidR="0068646A">
        <w:rPr>
          <w:rFonts w:cs="Calibri"/>
          <w:color w:val="FF0000"/>
        </w:rPr>
        <w:t xml:space="preserve">ublic </w:t>
      </w:r>
      <w:r w:rsidR="00DC03E7">
        <w:rPr>
          <w:rFonts w:cs="Calibri"/>
          <w:color w:val="FF0000"/>
        </w:rPr>
        <w:t>S</w:t>
      </w:r>
      <w:r w:rsidR="0068646A">
        <w:rPr>
          <w:rFonts w:cs="Calibri"/>
          <w:color w:val="FF0000"/>
        </w:rPr>
        <w:t xml:space="preserve">ummary </w:t>
      </w:r>
      <w:r w:rsidR="00DC03E7">
        <w:rPr>
          <w:rFonts w:cs="Calibri"/>
          <w:color w:val="FF0000"/>
        </w:rPr>
        <w:t>D</w:t>
      </w:r>
      <w:r w:rsidR="0068646A">
        <w:rPr>
          <w:rFonts w:cs="Calibri"/>
          <w:color w:val="FF0000"/>
        </w:rPr>
        <w:t>ocument</w:t>
      </w:r>
      <w:r>
        <w:rPr>
          <w:rFonts w:cs="Calibri"/>
          <w:color w:val="FF0000"/>
        </w:rPr>
        <w:t xml:space="preserve"> has been included at the end of the document.</w:t>
      </w:r>
    </w:p>
    <w:p w14:paraId="1CD7441C" w14:textId="3F628D12" w:rsidR="004E5759" w:rsidRPr="00D4558F" w:rsidRDefault="00822872" w:rsidP="004E5759">
      <w:pPr>
        <w:pStyle w:val="1-MainHeading"/>
      </w:pPr>
      <w:r>
        <w:t>7.01</w:t>
      </w:r>
      <w:r w:rsidR="00CE76B8">
        <w:tab/>
      </w:r>
      <w:r w:rsidR="004E5759">
        <w:t>BUROSUMAB</w:t>
      </w:r>
      <w:r w:rsidR="00CE76B8">
        <w:t>,</w:t>
      </w:r>
      <w:r w:rsidR="00CE76B8">
        <w:br/>
      </w:r>
      <w:r w:rsidR="004E5759">
        <w:rPr>
          <w:sz w:val="32"/>
          <w:szCs w:val="32"/>
        </w:rPr>
        <w:t>I</w:t>
      </w:r>
      <w:r w:rsidR="004E5759" w:rsidRPr="00D4558F">
        <w:rPr>
          <w:sz w:val="32"/>
          <w:szCs w:val="32"/>
        </w:rPr>
        <w:t>njection</w:t>
      </w:r>
      <w:r w:rsidR="004E5759">
        <w:rPr>
          <w:sz w:val="32"/>
          <w:szCs w:val="32"/>
        </w:rPr>
        <w:t xml:space="preserve"> 10 mg in 1 mL, </w:t>
      </w:r>
      <w:r w:rsidR="00F631BA">
        <w:rPr>
          <w:sz w:val="32"/>
          <w:szCs w:val="32"/>
        </w:rPr>
        <w:t xml:space="preserve">Injection </w:t>
      </w:r>
      <w:r w:rsidR="004E5759">
        <w:rPr>
          <w:sz w:val="32"/>
          <w:szCs w:val="32"/>
        </w:rPr>
        <w:t xml:space="preserve">20 mg in 1 mL, </w:t>
      </w:r>
      <w:r w:rsidR="00F631BA">
        <w:rPr>
          <w:sz w:val="32"/>
          <w:szCs w:val="32"/>
        </w:rPr>
        <w:t xml:space="preserve">Injection </w:t>
      </w:r>
      <w:r w:rsidR="004E5759">
        <w:rPr>
          <w:sz w:val="32"/>
          <w:szCs w:val="32"/>
        </w:rPr>
        <w:t>30 mg in 1 mL</w:t>
      </w:r>
      <w:r w:rsidR="004E5759" w:rsidRPr="00D4558F">
        <w:rPr>
          <w:sz w:val="32"/>
          <w:szCs w:val="32"/>
        </w:rPr>
        <w:br/>
        <w:t>Crysvita®</w:t>
      </w:r>
      <w:r w:rsidR="004E5759" w:rsidRPr="00D4558F">
        <w:rPr>
          <w:sz w:val="32"/>
          <w:szCs w:val="32"/>
        </w:rPr>
        <w:br/>
        <w:t>Kyowa Kirin Australia Pty Ltd</w:t>
      </w:r>
      <w:r w:rsidR="004E5759" w:rsidRPr="00D4558F">
        <w:rPr>
          <w:sz w:val="32"/>
          <w:szCs w:val="32"/>
          <w:vertAlign w:val="superscript"/>
        </w:rPr>
        <w:t>®</w:t>
      </w:r>
      <w:bookmarkEnd w:id="0"/>
    </w:p>
    <w:p w14:paraId="6841F832" w14:textId="77777777" w:rsidR="00CE76B8" w:rsidRPr="00E77687" w:rsidRDefault="00CE76B8" w:rsidP="002E1D81">
      <w:pPr>
        <w:pStyle w:val="2-SectionHeading"/>
      </w:pPr>
      <w:bookmarkStart w:id="6" w:name="_Toc92386471"/>
      <w:bookmarkStart w:id="7" w:name="_Toc93406121"/>
      <w:bookmarkEnd w:id="1"/>
      <w:r w:rsidRPr="00E77687">
        <w:t>Purpose of submission</w:t>
      </w:r>
      <w:bookmarkEnd w:id="6"/>
      <w:bookmarkEnd w:id="7"/>
    </w:p>
    <w:p w14:paraId="408783F6" w14:textId="4188291F" w:rsidR="00EC2D5E" w:rsidRPr="008E65F1" w:rsidRDefault="00EC2D5E" w:rsidP="00EC2D5E">
      <w:pPr>
        <w:pStyle w:val="3-BodyText"/>
      </w:pPr>
      <w:r w:rsidRPr="008E65F1">
        <w:t xml:space="preserve">The </w:t>
      </w:r>
      <w:r w:rsidR="000A6A6A" w:rsidRPr="008E65F1">
        <w:t xml:space="preserve">Standard Re-Entry </w:t>
      </w:r>
      <w:r w:rsidRPr="008E65F1">
        <w:t xml:space="preserve">resubmission requested a Section 100 – Highly Specialised Drugs Program listing for burosumab, for the treatment of paediatric and </w:t>
      </w:r>
      <w:r w:rsidRPr="00CB7BF5">
        <w:t>adult patients</w:t>
      </w:r>
      <w:r w:rsidRPr="008E65F1">
        <w:t xml:space="preserve"> with X-linked hypophosphataemia (XLH). Listing was requested on the basis of cost-utility analyses versus conventional therapy (oral phosphorus and active vitamin D (calcitriol)). This is the second submission for burosumab, the previous submission was in March 2021 and was for treatment of XLH in children</w:t>
      </w:r>
      <w:r w:rsidR="00822872" w:rsidRPr="008E65F1">
        <w:t xml:space="preserve"> only</w:t>
      </w:r>
      <w:r w:rsidRPr="008E65F1">
        <w:t>.</w:t>
      </w:r>
    </w:p>
    <w:p w14:paraId="45DB8DD3" w14:textId="047DCDF6" w:rsidR="00CE76B8" w:rsidRPr="008E65F1" w:rsidRDefault="00226C40" w:rsidP="00CE76B8">
      <w:pPr>
        <w:pStyle w:val="3-BodyText"/>
      </w:pPr>
      <w:r w:rsidRPr="008E65F1">
        <w:t xml:space="preserve">At </w:t>
      </w:r>
      <w:r w:rsidR="00EC2D5E" w:rsidRPr="008E65F1">
        <w:t xml:space="preserve">the March 2021 </w:t>
      </w:r>
      <w:r w:rsidRPr="008E65F1">
        <w:t>meeting</w:t>
      </w:r>
      <w:r w:rsidR="00EC2D5E" w:rsidRPr="008E65F1">
        <w:t>, the PBAC had considered an age agnostic restriction to be more appropriate, noting likely continued benefits of burosumab in adults in terms of normalisation of serum phosphate levels, improved physical functioning, fracture healing and reduced stiffness. The PBAC also noted the strong consumer support for an age agnostic listing, the importance of equity of access and that the effects of XLH are life-long.</w:t>
      </w:r>
    </w:p>
    <w:p w14:paraId="559A4646" w14:textId="3EFF1A03" w:rsidR="00EC2D5E" w:rsidRPr="008E65F1" w:rsidRDefault="00EC2D5E" w:rsidP="00CE76B8">
      <w:pPr>
        <w:pStyle w:val="3-BodyText"/>
      </w:pPr>
      <w:r w:rsidRPr="008E65F1">
        <w:t xml:space="preserve">Given this, the resubmission amended the requested restriction from its March 2021 submission to include use in </w:t>
      </w:r>
      <w:r w:rsidRPr="00013148">
        <w:t>adults</w:t>
      </w:r>
      <w:r w:rsidRPr="008E65F1">
        <w:t xml:space="preserve">. </w:t>
      </w:r>
      <w:r w:rsidR="00997B57" w:rsidRPr="008E65F1">
        <w:t>In addition to an updated clinical and economic evaluation of burosumab in children</w:t>
      </w:r>
      <w:r w:rsidR="00997B57">
        <w:t>, n</w:t>
      </w:r>
      <w:r w:rsidRPr="008E65F1">
        <w:t xml:space="preserve">ew clinical data and </w:t>
      </w:r>
      <w:r w:rsidR="00997B57">
        <w:t xml:space="preserve">a </w:t>
      </w:r>
      <w:r w:rsidRPr="008E65F1">
        <w:t xml:space="preserve">modelled economic evaluation were also presented for </w:t>
      </w:r>
      <w:r w:rsidR="00997B57">
        <w:t>adults</w:t>
      </w:r>
      <w:r w:rsidRPr="008E65F1">
        <w:t xml:space="preserve">. </w:t>
      </w:r>
    </w:p>
    <w:p w14:paraId="3807DB25" w14:textId="7FE1DFF4" w:rsidR="00CE76B8" w:rsidRPr="00F44F20" w:rsidRDefault="00CE76B8" w:rsidP="002E1D81">
      <w:pPr>
        <w:keepNext/>
        <w:jc w:val="left"/>
        <w:rPr>
          <w:rFonts w:ascii="Arial Narrow" w:eastAsia="DengXian Light" w:hAnsi="Arial Narrow" w:cs="Times New Roman"/>
          <w:sz w:val="20"/>
        </w:rPr>
      </w:pPr>
      <w:bookmarkStart w:id="8" w:name="_Hlk92375857"/>
      <w:r w:rsidRPr="00FC79D5">
        <w:rPr>
          <w:rFonts w:ascii="Arial Narrow" w:eastAsia="DengXian Light" w:hAnsi="Arial Narrow" w:cs="Times New Roman"/>
          <w:b/>
          <w:sz w:val="20"/>
          <w:szCs w:val="16"/>
        </w:rPr>
        <w:lastRenderedPageBreak/>
        <w:t xml:space="preserve">Table </w:t>
      </w:r>
      <w:r w:rsidRPr="00FC79D5">
        <w:rPr>
          <w:rFonts w:ascii="Arial Narrow" w:eastAsia="DengXian Light" w:hAnsi="Arial Narrow" w:cs="Times New Roman"/>
          <w:b/>
          <w:sz w:val="20"/>
          <w:szCs w:val="16"/>
        </w:rPr>
        <w:fldChar w:fldCharType="begin"/>
      </w:r>
      <w:r w:rsidRPr="00FC79D5">
        <w:rPr>
          <w:rFonts w:ascii="Arial Narrow" w:eastAsia="DengXian Light" w:hAnsi="Arial Narrow" w:cs="Times New Roman"/>
          <w:b/>
          <w:sz w:val="20"/>
          <w:szCs w:val="16"/>
        </w:rPr>
        <w:instrText xml:space="preserve"> SEQ Table \* ARABIC </w:instrText>
      </w:r>
      <w:r w:rsidRPr="00FC79D5">
        <w:rPr>
          <w:rFonts w:ascii="Arial Narrow" w:eastAsia="DengXian Light" w:hAnsi="Arial Narrow" w:cs="Times New Roman"/>
          <w:b/>
          <w:sz w:val="20"/>
          <w:szCs w:val="16"/>
        </w:rPr>
        <w:fldChar w:fldCharType="separate"/>
      </w:r>
      <w:r w:rsidR="00676539">
        <w:rPr>
          <w:rFonts w:ascii="Arial Narrow" w:eastAsia="DengXian Light" w:hAnsi="Arial Narrow" w:cs="Times New Roman"/>
          <w:b/>
          <w:noProof/>
          <w:sz w:val="20"/>
          <w:szCs w:val="16"/>
        </w:rPr>
        <w:t>1</w:t>
      </w:r>
      <w:r w:rsidRPr="00FC79D5">
        <w:rPr>
          <w:rFonts w:ascii="Arial Narrow" w:eastAsia="DengXian Light" w:hAnsi="Arial Narrow" w:cs="Times New Roman"/>
          <w:b/>
          <w:sz w:val="20"/>
          <w:szCs w:val="16"/>
        </w:rPr>
        <w:fldChar w:fldCharType="end"/>
      </w:r>
      <w:r w:rsidRPr="00FC79D5">
        <w:rPr>
          <w:rFonts w:ascii="Arial Narrow" w:eastAsia="DengXian Light" w:hAnsi="Arial Narrow" w:cs="Times New Roman"/>
          <w:b/>
          <w:sz w:val="20"/>
          <w:szCs w:val="16"/>
        </w:rPr>
        <w:t xml:space="preserve">: </w:t>
      </w:r>
      <w:bookmarkEnd w:id="8"/>
      <w:r w:rsidRPr="00F44F20">
        <w:rPr>
          <w:rFonts w:ascii="Arial Narrow" w:eastAsia="DengXian Light" w:hAnsi="Arial Narrow" w:cs="Times New Roman"/>
          <w:b/>
          <w:sz w:val="20"/>
          <w:szCs w:val="16"/>
        </w:rPr>
        <w:t>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resubmission"/>
      </w:tblPr>
      <w:tblGrid>
        <w:gridCol w:w="1129"/>
        <w:gridCol w:w="8027"/>
      </w:tblGrid>
      <w:tr w:rsidR="00CE76B8" w:rsidRPr="00F44F20" w14:paraId="206D66B2" w14:textId="77777777" w:rsidTr="002E1D81">
        <w:tc>
          <w:tcPr>
            <w:tcW w:w="1129" w:type="dxa"/>
            <w:vAlign w:val="center"/>
          </w:tcPr>
          <w:p w14:paraId="206EE453" w14:textId="77777777" w:rsidR="00CE76B8" w:rsidRPr="00F44F20" w:rsidRDefault="00CE76B8" w:rsidP="002E1D81">
            <w:pPr>
              <w:keepNext/>
              <w:jc w:val="left"/>
              <w:rPr>
                <w:rFonts w:ascii="Arial Narrow" w:eastAsia="DengXian Light" w:hAnsi="Arial Narrow" w:cs="Times New Roman"/>
                <w:b/>
                <w:sz w:val="20"/>
              </w:rPr>
            </w:pPr>
            <w:r w:rsidRPr="00F44F20">
              <w:rPr>
                <w:rFonts w:ascii="Arial Narrow" w:eastAsia="DengXian Light" w:hAnsi="Arial Narrow" w:cs="Times New Roman"/>
                <w:b/>
                <w:sz w:val="20"/>
              </w:rPr>
              <w:t>Component</w:t>
            </w:r>
          </w:p>
        </w:tc>
        <w:tc>
          <w:tcPr>
            <w:tcW w:w="8027" w:type="dxa"/>
            <w:vAlign w:val="center"/>
          </w:tcPr>
          <w:p w14:paraId="5939FB60" w14:textId="77777777" w:rsidR="00CE76B8" w:rsidRPr="00F44F20" w:rsidRDefault="00CE76B8" w:rsidP="002E1D81">
            <w:pPr>
              <w:keepNext/>
              <w:jc w:val="left"/>
              <w:rPr>
                <w:rFonts w:ascii="Arial Narrow" w:eastAsia="DengXian Light" w:hAnsi="Arial Narrow" w:cs="Times New Roman"/>
                <w:b/>
                <w:sz w:val="20"/>
              </w:rPr>
            </w:pPr>
            <w:r w:rsidRPr="00F44F20">
              <w:rPr>
                <w:rFonts w:ascii="Arial Narrow" w:eastAsia="DengXian Light" w:hAnsi="Arial Narrow" w:cs="Times New Roman"/>
                <w:b/>
                <w:sz w:val="20"/>
              </w:rPr>
              <w:t>Description</w:t>
            </w:r>
          </w:p>
        </w:tc>
      </w:tr>
      <w:tr w:rsidR="00CE76B8" w:rsidRPr="00F44F20" w14:paraId="73535096" w14:textId="77777777" w:rsidTr="002E1D81">
        <w:tc>
          <w:tcPr>
            <w:tcW w:w="1129" w:type="dxa"/>
            <w:vAlign w:val="center"/>
          </w:tcPr>
          <w:p w14:paraId="200985D2"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Population</w:t>
            </w:r>
          </w:p>
        </w:tc>
        <w:tc>
          <w:tcPr>
            <w:tcW w:w="8027" w:type="dxa"/>
            <w:vAlign w:val="center"/>
          </w:tcPr>
          <w:p w14:paraId="285F83E2"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Patients with a diagnosis of XLH confirmed by specified genetic and/or clinical/laboratory criteria</w:t>
            </w:r>
          </w:p>
        </w:tc>
      </w:tr>
      <w:tr w:rsidR="00CE76B8" w:rsidRPr="00F44F20" w14:paraId="06113049" w14:textId="77777777" w:rsidTr="002E1D81">
        <w:tc>
          <w:tcPr>
            <w:tcW w:w="1129" w:type="dxa"/>
            <w:vAlign w:val="center"/>
          </w:tcPr>
          <w:p w14:paraId="5E478260"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Intervention</w:t>
            </w:r>
          </w:p>
        </w:tc>
        <w:tc>
          <w:tcPr>
            <w:tcW w:w="8027" w:type="dxa"/>
            <w:vAlign w:val="center"/>
          </w:tcPr>
          <w:p w14:paraId="78618EB0"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51ABF2C4"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BUR 0.8 mg/kg (rounded to next 10 mg) with upwards/downwards titration according to the label, administered every two weeks by subcutaneous injection; </w:t>
            </w:r>
          </w:p>
          <w:p w14:paraId="4C8D3AB8"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Treatment by paediatric endocrinologist or paediatric nephrologist and administration by a healthcare professional. </w:t>
            </w:r>
          </w:p>
          <w:p w14:paraId="611285CD"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1EA3E4F6"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BUR 1.0 mg/kg (rounded to next 10 mg) with upwards/downwards titration according to the label, administered every four weeks by subcutaneous injection; </w:t>
            </w:r>
          </w:p>
          <w:p w14:paraId="109382E4"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Treatment by an endocrinologist or nephrologist and administration by a healthcare professional.</w:t>
            </w:r>
          </w:p>
        </w:tc>
      </w:tr>
      <w:tr w:rsidR="00CE76B8" w:rsidRPr="00F44F20" w14:paraId="49B3F94A" w14:textId="77777777" w:rsidTr="002E1D81">
        <w:tc>
          <w:tcPr>
            <w:tcW w:w="1129" w:type="dxa"/>
            <w:vAlign w:val="center"/>
          </w:tcPr>
          <w:p w14:paraId="5C76109F"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Comparator</w:t>
            </w:r>
          </w:p>
        </w:tc>
        <w:tc>
          <w:tcPr>
            <w:tcW w:w="8027" w:type="dxa"/>
            <w:vAlign w:val="center"/>
          </w:tcPr>
          <w:p w14:paraId="38689521"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1F2DE603"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Conventional therapy comprising multiple daily oral doses of phosphorus and calcitriol</w:t>
            </w:r>
          </w:p>
          <w:p w14:paraId="3EDDBE75"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5BE05F46"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A mix of conventional therapy (as above) and routine symptomatic management</w:t>
            </w:r>
          </w:p>
        </w:tc>
      </w:tr>
      <w:tr w:rsidR="00CE76B8" w:rsidRPr="00F44F20" w14:paraId="2AFB690F" w14:textId="77777777" w:rsidTr="002E1D81">
        <w:tc>
          <w:tcPr>
            <w:tcW w:w="1129" w:type="dxa"/>
            <w:vAlign w:val="center"/>
          </w:tcPr>
          <w:p w14:paraId="186F6533"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Outcomes</w:t>
            </w:r>
          </w:p>
        </w:tc>
        <w:tc>
          <w:tcPr>
            <w:tcW w:w="8027" w:type="dxa"/>
            <w:vAlign w:val="center"/>
          </w:tcPr>
          <w:p w14:paraId="048A1CCA" w14:textId="77777777" w:rsidR="00CE76B8" w:rsidRPr="00F44F20" w:rsidRDefault="00CE76B8" w:rsidP="002E1D81">
            <w:pPr>
              <w:keepNext/>
              <w:shd w:val="clear" w:color="auto" w:fill="C6D9F1" w:themeFill="text2" w:themeFillTint="33"/>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&lt;18 years of age</w:t>
            </w:r>
          </w:p>
          <w:p w14:paraId="417F1AE5"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Pharmacodynamic: serum phosphorus, TmP/GFR, 1,25(OH)2D, ALP, TRP and others</w:t>
            </w:r>
          </w:p>
          <w:p w14:paraId="44378ECB"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Clinical: Rickets severity as measured by RSS and RGI-C and growth</w:t>
            </w:r>
          </w:p>
          <w:p w14:paraId="226DE627"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 xml:space="preserve">Functional: 6MWT </w:t>
            </w:r>
          </w:p>
          <w:p w14:paraId="6D2328ED"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Patient reported: PROMIS, SF-10</w:t>
            </w:r>
          </w:p>
          <w:p w14:paraId="78E6063A"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Safety: Incidence and severity of AEs</w:t>
            </w:r>
          </w:p>
          <w:p w14:paraId="2B89E245" w14:textId="77777777" w:rsidR="00CE76B8" w:rsidRPr="00F44F20" w:rsidRDefault="00CE76B8" w:rsidP="00CE76B8">
            <w:pPr>
              <w:keepNext/>
              <w:numPr>
                <w:ilvl w:val="1"/>
                <w:numId w:val="3"/>
              </w:numPr>
              <w:shd w:val="clear" w:color="auto" w:fill="C6D9F1" w:themeFill="text2" w:themeFillTint="33"/>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Extrapolated: utilities, rates of surgery, other healthcare utilisation</w:t>
            </w:r>
          </w:p>
          <w:p w14:paraId="63BA4D00"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In patients ≥18 years of age</w:t>
            </w:r>
          </w:p>
          <w:p w14:paraId="7D28F454"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Pharmacodynamic: serum phosphorus, TmP/GFR, 1,25(OH)2D, ALP, TRP, P1NP, CTx</w:t>
            </w:r>
          </w:p>
          <w:p w14:paraId="273239F8"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Clinical: Healing of fractures and pseudofractures</w:t>
            </w:r>
          </w:p>
          <w:p w14:paraId="4CE6B7E2"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Functional: 6MWT, TUG</w:t>
            </w:r>
          </w:p>
          <w:p w14:paraId="4A293C4E" w14:textId="77777777" w:rsidR="00CE76B8" w:rsidRPr="00F44F20" w:rsidRDefault="00CE76B8" w:rsidP="00CE76B8">
            <w:pPr>
              <w:keepNext/>
              <w:numPr>
                <w:ilvl w:val="1"/>
                <w:numId w:val="3"/>
              </w:numPr>
              <w:ind w:left="258" w:hanging="258"/>
              <w:jc w:val="left"/>
              <w:rPr>
                <w:rFonts w:ascii="Arial Narrow" w:eastAsia="DengXian Light" w:hAnsi="Arial Narrow" w:cs="Times New Roman"/>
                <w:bCs/>
                <w:sz w:val="20"/>
              </w:rPr>
            </w:pPr>
            <w:r w:rsidRPr="00F44F20">
              <w:rPr>
                <w:rFonts w:ascii="Arial Narrow" w:eastAsia="DengXian Light" w:hAnsi="Arial Narrow" w:cs="Times New Roman"/>
                <w:bCs/>
                <w:sz w:val="20"/>
              </w:rPr>
              <w:t>Patient reported: WOMAC, BPI, BFI</w:t>
            </w:r>
          </w:p>
        </w:tc>
      </w:tr>
      <w:tr w:rsidR="00CE76B8" w:rsidRPr="00F44F20" w14:paraId="6A9F0593" w14:textId="77777777" w:rsidTr="002E1D81">
        <w:tc>
          <w:tcPr>
            <w:tcW w:w="1129" w:type="dxa"/>
            <w:vAlign w:val="center"/>
          </w:tcPr>
          <w:p w14:paraId="09FA2D6F" w14:textId="77777777" w:rsidR="00CE76B8" w:rsidRPr="00F44F20" w:rsidRDefault="00CE76B8" w:rsidP="002E1D81">
            <w:pPr>
              <w:keepNext/>
              <w:jc w:val="left"/>
              <w:rPr>
                <w:rFonts w:ascii="Arial Narrow" w:eastAsia="DengXian Light" w:hAnsi="Arial Narrow" w:cs="Times New Roman"/>
                <w:bCs/>
                <w:sz w:val="20"/>
              </w:rPr>
            </w:pPr>
            <w:r w:rsidRPr="00F44F20">
              <w:rPr>
                <w:rFonts w:ascii="Arial Narrow" w:eastAsia="DengXian Light" w:hAnsi="Arial Narrow" w:cs="Times New Roman"/>
                <w:bCs/>
                <w:sz w:val="20"/>
              </w:rPr>
              <w:t>Clinical claim</w:t>
            </w:r>
          </w:p>
        </w:tc>
        <w:tc>
          <w:tcPr>
            <w:tcW w:w="8027" w:type="dxa"/>
            <w:vAlign w:val="center"/>
          </w:tcPr>
          <w:p w14:paraId="5DADABA7" w14:textId="77777777" w:rsidR="00CE76B8" w:rsidRPr="00F44F20" w:rsidRDefault="00CE76B8" w:rsidP="002E1D81">
            <w:pPr>
              <w:keepNext/>
              <w:jc w:val="left"/>
              <w:rPr>
                <w:rFonts w:ascii="Arial Narrow" w:eastAsia="DengXian Light" w:hAnsi="Arial Narrow" w:cs="Times New Roman"/>
                <w:bCs/>
                <w:sz w:val="20"/>
              </w:rPr>
            </w:pPr>
            <w:r w:rsidRPr="00734177">
              <w:rPr>
                <w:rFonts w:ascii="Arial Narrow" w:eastAsia="DengXian Light" w:hAnsi="Arial Narrow" w:cs="Times New Roman"/>
                <w:bCs/>
                <w:sz w:val="20"/>
                <w:shd w:val="clear" w:color="auto" w:fill="C6D9F1" w:themeFill="text2" w:themeFillTint="33"/>
              </w:rPr>
              <w:t>In children with XLH, BUR is superior in terms of effectiveness and safety compared to conventional therapy.</w:t>
            </w:r>
            <w:r w:rsidRPr="00F44F20">
              <w:rPr>
                <w:rFonts w:ascii="Arial Narrow" w:eastAsia="DengXian Light" w:hAnsi="Arial Narrow" w:cs="Times New Roman"/>
                <w:bCs/>
                <w:sz w:val="20"/>
              </w:rPr>
              <w:t xml:space="preserve"> In adults with XLH, BUR superior in effectiveness and inferior (acceptable) in safety compared to placebo (and probably conventional therapy).</w:t>
            </w:r>
          </w:p>
        </w:tc>
      </w:tr>
    </w:tbl>
    <w:p w14:paraId="71A5C56C" w14:textId="77777777" w:rsidR="00CE76B8" w:rsidRPr="009408C2" w:rsidRDefault="00CE76B8" w:rsidP="002E1D81">
      <w:pPr>
        <w:spacing w:after="120"/>
        <w:contextualSpacing/>
        <w:rPr>
          <w:rFonts w:ascii="Arial Narrow" w:hAnsi="Arial Narrow"/>
          <w:iCs/>
          <w:snapToGrid w:val="0"/>
          <w:sz w:val="18"/>
          <w:szCs w:val="22"/>
        </w:rPr>
      </w:pPr>
      <w:r w:rsidRPr="009408C2">
        <w:rPr>
          <w:rFonts w:ascii="Arial Narrow" w:hAnsi="Arial Narrow"/>
          <w:iCs/>
          <w:snapToGrid w:val="0"/>
          <w:sz w:val="18"/>
          <w:szCs w:val="22"/>
          <w:shd w:val="clear" w:color="auto" w:fill="C6D9F1" w:themeFill="text2" w:themeFillTint="33"/>
        </w:rPr>
        <w:t>Blue shading</w:t>
      </w:r>
      <w:r w:rsidRPr="009408C2">
        <w:rPr>
          <w:rFonts w:ascii="Arial Narrow" w:hAnsi="Arial Narrow"/>
          <w:iCs/>
          <w:snapToGrid w:val="0"/>
          <w:sz w:val="18"/>
          <w:szCs w:val="22"/>
        </w:rPr>
        <w:t xml:space="preserve"> represents information previously considered by the PBAC.</w:t>
      </w:r>
    </w:p>
    <w:p w14:paraId="7F93A516" w14:textId="64FD5451" w:rsidR="00CE76B8" w:rsidRPr="00F44F20" w:rsidRDefault="00CE76B8" w:rsidP="002E1D81">
      <w:pPr>
        <w:spacing w:after="120"/>
        <w:contextualSpacing/>
        <w:rPr>
          <w:rFonts w:ascii="Arial Narrow" w:hAnsi="Arial Narrow"/>
          <w:snapToGrid w:val="0"/>
          <w:sz w:val="18"/>
          <w:szCs w:val="22"/>
        </w:rPr>
      </w:pPr>
      <w:r w:rsidRPr="00F44F20">
        <w:rPr>
          <w:rFonts w:ascii="Arial Narrow" w:hAnsi="Arial Narrow"/>
          <w:snapToGrid w:val="0"/>
          <w:sz w:val="18"/>
          <w:szCs w:val="22"/>
        </w:rPr>
        <w:t xml:space="preserve">Source: Table 1-1, p19 of the </w:t>
      </w:r>
      <w:r w:rsidR="00C86DB7">
        <w:rPr>
          <w:rFonts w:ascii="Arial Narrow" w:hAnsi="Arial Narrow"/>
          <w:snapToGrid w:val="0"/>
          <w:sz w:val="18"/>
          <w:szCs w:val="22"/>
        </w:rPr>
        <w:t>re</w:t>
      </w:r>
      <w:r w:rsidRPr="00F44F20">
        <w:rPr>
          <w:rFonts w:ascii="Arial Narrow" w:hAnsi="Arial Narrow"/>
          <w:snapToGrid w:val="0"/>
          <w:sz w:val="18"/>
          <w:szCs w:val="22"/>
        </w:rPr>
        <w:t>submission.</w:t>
      </w:r>
    </w:p>
    <w:p w14:paraId="1F1A1A8A" w14:textId="665EA1D8" w:rsidR="00CE76B8" w:rsidRPr="0095478A" w:rsidRDefault="00CE76B8" w:rsidP="0095478A">
      <w:pPr>
        <w:spacing w:after="120"/>
        <w:contextualSpacing/>
        <w:rPr>
          <w:rFonts w:ascii="Arial Narrow" w:hAnsi="Arial Narrow"/>
          <w:snapToGrid w:val="0"/>
          <w:sz w:val="18"/>
          <w:szCs w:val="22"/>
        </w:rPr>
      </w:pPr>
      <w:r>
        <w:rPr>
          <w:rFonts w:ascii="Arial Narrow" w:hAnsi="Arial Narrow"/>
          <w:snapToGrid w:val="0"/>
          <w:sz w:val="18"/>
          <w:szCs w:val="22"/>
        </w:rPr>
        <w:t>AE</w:t>
      </w:r>
      <w:r w:rsidRPr="00F44F20">
        <w:rPr>
          <w:rFonts w:ascii="Arial Narrow" w:hAnsi="Arial Narrow"/>
          <w:snapToGrid w:val="0"/>
          <w:sz w:val="18"/>
          <w:szCs w:val="22"/>
        </w:rPr>
        <w:t>=adverse event; ALP=alkaline phosphatase; BFI=Brief Fatigue Inventory, BPI=Brief Pain Inventory; BUR=burosumab; CTx=Cross-linked C-terminal Telopeptide of Type 1 Collagen; P1NP=Pro-collagen 1 Intact N-terminal Propetide; PROMIS=Patient-Reported Outcomes Measurement Information System; RGI-C=Radiographic Global Impression of Change; RSS=Rickets Severity Score; SF-10=SF-10 Health Survey for Children; TmP/GFR=ratio of renal tubular maximum reabsorption rate of phosphate (TmP) to glomerular filtration rate (GFR); TPR=Tubular phosphate reabsorption; TUG=Timed Up and Go; WOMAC=Western Ontario &amp; McMaster University Osteoarthritis Index; XLH=X-linked hypophosphataemia;</w:t>
      </w:r>
      <w:r w:rsidRPr="00734177">
        <w:rPr>
          <w:rFonts w:ascii="Arial Narrow" w:hAnsi="Arial Narrow"/>
          <w:snapToGrid w:val="0"/>
          <w:sz w:val="18"/>
          <w:szCs w:val="22"/>
        </w:rPr>
        <w:t xml:space="preserve"> </w:t>
      </w:r>
      <w:r w:rsidRPr="00F44F20">
        <w:rPr>
          <w:rFonts w:ascii="Arial Narrow" w:hAnsi="Arial Narrow"/>
          <w:snapToGrid w:val="0"/>
          <w:sz w:val="18"/>
          <w:szCs w:val="22"/>
        </w:rPr>
        <w:t>1,25(OH)2D=1,25-dihydroxyvitamin D; 6MWT=six-minute walk test</w:t>
      </w:r>
    </w:p>
    <w:p w14:paraId="4778D76E" w14:textId="77777777" w:rsidR="00CE76B8" w:rsidRPr="00407F2D" w:rsidRDefault="00CE76B8" w:rsidP="00CE76B8">
      <w:pPr>
        <w:pStyle w:val="2-SectionHeading"/>
      </w:pPr>
      <w:bookmarkStart w:id="9" w:name="_Toc92386472"/>
      <w:bookmarkStart w:id="10" w:name="_Toc93406122"/>
      <w:r w:rsidRPr="00407F2D">
        <w:t>Background</w:t>
      </w:r>
      <w:bookmarkEnd w:id="9"/>
      <w:bookmarkEnd w:id="10"/>
    </w:p>
    <w:p w14:paraId="01ED72C1" w14:textId="77777777" w:rsidR="00CE76B8" w:rsidRPr="004151CF" w:rsidRDefault="00CE76B8" w:rsidP="004A6040">
      <w:pPr>
        <w:pStyle w:val="4-SubsectionHeading"/>
      </w:pPr>
      <w:bookmarkStart w:id="11" w:name="_Toc22897638"/>
      <w:bookmarkStart w:id="12" w:name="_Toc92386473"/>
      <w:bookmarkStart w:id="13" w:name="_Toc93406123"/>
      <w:r w:rsidRPr="004151CF">
        <w:t>Registration status</w:t>
      </w:r>
      <w:bookmarkEnd w:id="11"/>
      <w:bookmarkEnd w:id="12"/>
      <w:bookmarkEnd w:id="13"/>
    </w:p>
    <w:p w14:paraId="0D57F6C9" w14:textId="0C3AADDD" w:rsidR="00CE76B8" w:rsidRPr="008E65F1" w:rsidRDefault="00EC2D5E" w:rsidP="00CE76B8">
      <w:pPr>
        <w:pStyle w:val="3-BodyText"/>
      </w:pPr>
      <w:bookmarkStart w:id="14" w:name="_Hlk92696031"/>
      <w:r w:rsidRPr="008E65F1">
        <w:t>Burosumab received approval from the TGA on 10 September 2021 for the following indication</w:t>
      </w:r>
      <w:bookmarkEnd w:id="14"/>
      <w:r w:rsidR="00CE76B8" w:rsidRPr="008E65F1">
        <w:t>:</w:t>
      </w:r>
    </w:p>
    <w:p w14:paraId="02A337FF" w14:textId="77777777" w:rsidR="00CE76B8" w:rsidRPr="008E65F1" w:rsidRDefault="00CE76B8" w:rsidP="002E1D81">
      <w:pPr>
        <w:pStyle w:val="3-BodyText"/>
        <w:numPr>
          <w:ilvl w:val="0"/>
          <w:numId w:val="0"/>
        </w:numPr>
        <w:ind w:left="720"/>
      </w:pPr>
      <w:r w:rsidRPr="008E65F1">
        <w:t>“CRYSVITA (burosumab) is indicated for the treatment of X-linked hypophosphataemia (XLH) in adults, adolescents and children 1 year of age or older.”</w:t>
      </w:r>
    </w:p>
    <w:p w14:paraId="4AA7D3E1" w14:textId="77777777" w:rsidR="00CE76B8" w:rsidRPr="00621ADA" w:rsidRDefault="00CE76B8" w:rsidP="004E18E9">
      <w:pPr>
        <w:pStyle w:val="4-SubsectionHeading"/>
      </w:pPr>
      <w:bookmarkStart w:id="15" w:name="_Toc22897639"/>
      <w:bookmarkStart w:id="16" w:name="_Toc92386474"/>
      <w:bookmarkStart w:id="17" w:name="_Toc93406124"/>
      <w:r w:rsidRPr="00621ADA">
        <w:lastRenderedPageBreak/>
        <w:t>Previous PBAC consideration</w:t>
      </w:r>
      <w:bookmarkEnd w:id="15"/>
      <w:bookmarkEnd w:id="16"/>
      <w:bookmarkEnd w:id="17"/>
    </w:p>
    <w:p w14:paraId="237838F5" w14:textId="4FD4D924" w:rsidR="00CE76B8" w:rsidRPr="00FF2E19" w:rsidRDefault="00CE76B8" w:rsidP="00CE76B8">
      <w:pPr>
        <w:pStyle w:val="3-BodyText"/>
      </w:pPr>
      <w:r>
        <w:t xml:space="preserve">Burosumab was previously considered by the PBAC in March 2021. Table 2 summarises the key concerns identified in the March 2021 submission and the response taken by the resubmission. </w:t>
      </w:r>
    </w:p>
    <w:p w14:paraId="562DCDCB" w14:textId="677AD6BC" w:rsidR="00CE76B8" w:rsidRPr="00F44F20" w:rsidRDefault="00CE76B8" w:rsidP="002E1D81">
      <w:pPr>
        <w:rPr>
          <w:rFonts w:ascii="Arial Narrow" w:hAnsi="Arial Narrow"/>
          <w:b/>
          <w:sz w:val="20"/>
          <w:szCs w:val="20"/>
        </w:rPr>
      </w:pPr>
      <w:r w:rsidRPr="00FC79D5">
        <w:rPr>
          <w:rFonts w:ascii="Arial Narrow" w:hAnsi="Arial Narrow"/>
          <w:b/>
          <w:sz w:val="20"/>
          <w:szCs w:val="20"/>
        </w:rPr>
        <w:t xml:space="preserve">Table </w:t>
      </w:r>
      <w:r w:rsidRPr="00FC79D5">
        <w:rPr>
          <w:rFonts w:ascii="Arial Narrow" w:hAnsi="Arial Narrow"/>
          <w:b/>
          <w:sz w:val="20"/>
          <w:szCs w:val="20"/>
        </w:rPr>
        <w:fldChar w:fldCharType="begin"/>
      </w:r>
      <w:r w:rsidRPr="00FC79D5">
        <w:rPr>
          <w:rFonts w:ascii="Arial Narrow" w:hAnsi="Arial Narrow"/>
          <w:b/>
          <w:sz w:val="20"/>
          <w:szCs w:val="20"/>
        </w:rPr>
        <w:instrText xml:space="preserve"> SEQ Table \* ARABIC </w:instrText>
      </w:r>
      <w:r w:rsidRPr="00FC79D5">
        <w:rPr>
          <w:rFonts w:ascii="Arial Narrow" w:hAnsi="Arial Narrow"/>
          <w:b/>
          <w:sz w:val="20"/>
          <w:szCs w:val="20"/>
        </w:rPr>
        <w:fldChar w:fldCharType="separate"/>
      </w:r>
      <w:r w:rsidR="00676539">
        <w:rPr>
          <w:rFonts w:ascii="Arial Narrow" w:hAnsi="Arial Narrow"/>
          <w:b/>
          <w:noProof/>
          <w:sz w:val="20"/>
          <w:szCs w:val="20"/>
        </w:rPr>
        <w:t>2</w:t>
      </w:r>
      <w:r w:rsidRPr="00FC79D5">
        <w:rPr>
          <w:rFonts w:ascii="Arial Narrow" w:hAnsi="Arial Narrow"/>
          <w:b/>
          <w:sz w:val="20"/>
          <w:szCs w:val="20"/>
        </w:rPr>
        <w:fldChar w:fldCharType="end"/>
      </w:r>
      <w:r w:rsidRPr="00FC79D5">
        <w:rPr>
          <w:rFonts w:ascii="Arial Narrow" w:hAnsi="Arial Narrow"/>
          <w:b/>
          <w:sz w:val="20"/>
          <w:szCs w:val="20"/>
        </w:rPr>
        <w:t xml:space="preserve">: </w:t>
      </w:r>
      <w:r>
        <w:rPr>
          <w:rFonts w:ascii="Arial Narrow" w:hAnsi="Arial Narrow"/>
          <w:b/>
          <w:sz w:val="20"/>
          <w:szCs w:val="20"/>
        </w:rPr>
        <w:t>Summary of key matters of concern and how the resubmission addressed them</w:t>
      </w:r>
    </w:p>
    <w:tbl>
      <w:tblPr>
        <w:tblStyle w:val="SummaryTable1"/>
        <w:tblW w:w="5000" w:type="pct"/>
        <w:tblCellMar>
          <w:left w:w="28" w:type="dxa"/>
          <w:right w:w="28" w:type="dxa"/>
        </w:tblCellMar>
        <w:tblLook w:val="04A0" w:firstRow="1" w:lastRow="0" w:firstColumn="1" w:lastColumn="0" w:noHBand="0" w:noVBand="1"/>
      </w:tblPr>
      <w:tblGrid>
        <w:gridCol w:w="1129"/>
        <w:gridCol w:w="3969"/>
        <w:gridCol w:w="3919"/>
      </w:tblGrid>
      <w:tr w:rsidR="00CE76B8" w:rsidRPr="00F44F20" w14:paraId="62AE9AD5" w14:textId="77777777" w:rsidTr="008F0D61">
        <w:trPr>
          <w:cantSplit/>
          <w:tblHeader/>
        </w:trPr>
        <w:tc>
          <w:tcPr>
            <w:tcW w:w="626" w:type="pct"/>
          </w:tcPr>
          <w:p w14:paraId="363CC6D4" w14:textId="77777777" w:rsidR="00CE76B8" w:rsidRPr="00F44F20" w:rsidRDefault="00CE76B8" w:rsidP="00D16C13">
            <w:pPr>
              <w:jc w:val="left"/>
              <w:rPr>
                <w:rFonts w:ascii="Arial Narrow" w:hAnsi="Arial Narrow"/>
                <w:b/>
                <w:sz w:val="20"/>
                <w:szCs w:val="20"/>
              </w:rPr>
            </w:pPr>
            <w:r>
              <w:rPr>
                <w:rFonts w:ascii="Arial Narrow" w:hAnsi="Arial Narrow"/>
                <w:b/>
                <w:sz w:val="20"/>
                <w:szCs w:val="20"/>
              </w:rPr>
              <w:t>Component</w:t>
            </w:r>
          </w:p>
        </w:tc>
        <w:tc>
          <w:tcPr>
            <w:tcW w:w="2201" w:type="pct"/>
            <w:vAlign w:val="center"/>
          </w:tcPr>
          <w:p w14:paraId="54A483F0" w14:textId="77777777" w:rsidR="00CE76B8" w:rsidRPr="00F44F20" w:rsidRDefault="00CE76B8" w:rsidP="00D16C13">
            <w:pPr>
              <w:jc w:val="center"/>
              <w:rPr>
                <w:rFonts w:ascii="Arial Narrow" w:hAnsi="Arial Narrow"/>
                <w:b/>
                <w:sz w:val="20"/>
                <w:szCs w:val="20"/>
              </w:rPr>
            </w:pPr>
            <w:r w:rsidRPr="00F44F20">
              <w:rPr>
                <w:rFonts w:ascii="Arial Narrow" w:hAnsi="Arial Narrow"/>
                <w:b/>
                <w:sz w:val="20"/>
                <w:szCs w:val="20"/>
              </w:rPr>
              <w:t>March 2021</w:t>
            </w:r>
          </w:p>
        </w:tc>
        <w:tc>
          <w:tcPr>
            <w:tcW w:w="2173" w:type="pct"/>
            <w:vAlign w:val="center"/>
          </w:tcPr>
          <w:p w14:paraId="46666E9F" w14:textId="77777777" w:rsidR="00CE76B8" w:rsidRPr="00F44F20" w:rsidRDefault="00CE76B8" w:rsidP="00D16C13">
            <w:pPr>
              <w:jc w:val="center"/>
              <w:rPr>
                <w:rFonts w:ascii="Arial Narrow" w:hAnsi="Arial Narrow"/>
                <w:b/>
                <w:sz w:val="20"/>
                <w:szCs w:val="20"/>
              </w:rPr>
            </w:pPr>
            <w:r w:rsidRPr="00F44F20">
              <w:rPr>
                <w:rFonts w:ascii="Arial Narrow" w:hAnsi="Arial Narrow"/>
                <w:b/>
                <w:sz w:val="20"/>
                <w:szCs w:val="20"/>
              </w:rPr>
              <w:t xml:space="preserve">March 2022 (current </w:t>
            </w:r>
            <w:r>
              <w:rPr>
                <w:rFonts w:ascii="Arial Narrow" w:hAnsi="Arial Narrow"/>
                <w:b/>
                <w:sz w:val="20"/>
                <w:szCs w:val="20"/>
              </w:rPr>
              <w:t>re</w:t>
            </w:r>
            <w:r w:rsidRPr="00F44F20">
              <w:rPr>
                <w:rFonts w:ascii="Arial Narrow" w:hAnsi="Arial Narrow"/>
                <w:b/>
                <w:sz w:val="20"/>
                <w:szCs w:val="20"/>
              </w:rPr>
              <w:t>submission)</w:t>
            </w:r>
          </w:p>
        </w:tc>
      </w:tr>
      <w:tr w:rsidR="00CE76B8" w:rsidRPr="00F44F20" w14:paraId="1D786754" w14:textId="77777777" w:rsidTr="008F0D61">
        <w:trPr>
          <w:cantSplit/>
        </w:trPr>
        <w:tc>
          <w:tcPr>
            <w:tcW w:w="626" w:type="pct"/>
          </w:tcPr>
          <w:p w14:paraId="5F76CBBF" w14:textId="77777777" w:rsidR="00CE76B8" w:rsidRPr="00F44F20" w:rsidRDefault="00CE76B8" w:rsidP="00D16C13">
            <w:pPr>
              <w:jc w:val="left"/>
              <w:rPr>
                <w:rFonts w:ascii="Arial Narrow" w:hAnsi="Arial Narrow"/>
                <w:sz w:val="20"/>
                <w:szCs w:val="20"/>
              </w:rPr>
            </w:pPr>
            <w:r>
              <w:rPr>
                <w:rFonts w:ascii="Arial Narrow" w:hAnsi="Arial Narrow"/>
                <w:sz w:val="20"/>
                <w:szCs w:val="20"/>
              </w:rPr>
              <w:t>Restriction</w:t>
            </w:r>
          </w:p>
        </w:tc>
        <w:tc>
          <w:tcPr>
            <w:tcW w:w="2201" w:type="pct"/>
          </w:tcPr>
          <w:p w14:paraId="6B734D94" w14:textId="76C6C0C6" w:rsidR="00CE76B8" w:rsidRPr="000D296C" w:rsidRDefault="00EC2D5E" w:rsidP="00D16C13">
            <w:pPr>
              <w:jc w:val="left"/>
              <w:rPr>
                <w:rFonts w:ascii="Arial Narrow" w:hAnsi="Arial Narrow"/>
                <w:sz w:val="20"/>
                <w:szCs w:val="20"/>
              </w:rPr>
            </w:pPr>
            <w:r>
              <w:rPr>
                <w:rFonts w:ascii="Arial Narrow" w:hAnsi="Arial Narrow"/>
                <w:sz w:val="20"/>
                <w:szCs w:val="20"/>
              </w:rPr>
              <w:t>The PBAC considered an age agnostic listing for BUR to be more appropriate. The PBAC also considered that eligibility criteria should include more clinically based criteria such as serum phosphate levels, radiographic evidence of rickets and confirmation of a PHEX pathogenic variant. The continuation criteria should also reflect the maintained effects of BUR (para 7.5, burosumab</w:t>
            </w:r>
            <w:r w:rsidR="001A1E7C">
              <w:rPr>
                <w:rFonts w:ascii="Arial Narrow" w:hAnsi="Arial Narrow"/>
                <w:sz w:val="20"/>
                <w:szCs w:val="20"/>
              </w:rPr>
              <w:t xml:space="preserve"> Public Summary Document</w:t>
            </w:r>
            <w:r>
              <w:rPr>
                <w:rFonts w:ascii="Arial Narrow" w:hAnsi="Arial Narrow"/>
                <w:sz w:val="20"/>
                <w:szCs w:val="20"/>
              </w:rPr>
              <w:t xml:space="preserve"> </w:t>
            </w:r>
            <w:r w:rsidR="001A1E7C">
              <w:rPr>
                <w:rFonts w:ascii="Arial Narrow" w:hAnsi="Arial Narrow"/>
                <w:sz w:val="20"/>
                <w:szCs w:val="20"/>
              </w:rPr>
              <w:t>[</w:t>
            </w:r>
            <w:r>
              <w:rPr>
                <w:rFonts w:ascii="Arial Narrow" w:hAnsi="Arial Narrow"/>
                <w:sz w:val="20"/>
                <w:szCs w:val="20"/>
              </w:rPr>
              <w:t>PSD</w:t>
            </w:r>
            <w:r w:rsidR="001A1E7C">
              <w:rPr>
                <w:rFonts w:ascii="Arial Narrow" w:hAnsi="Arial Narrow"/>
                <w:sz w:val="20"/>
                <w:szCs w:val="20"/>
              </w:rPr>
              <w:t>]</w:t>
            </w:r>
            <w:r>
              <w:rPr>
                <w:rFonts w:ascii="Arial Narrow" w:hAnsi="Arial Narrow"/>
                <w:sz w:val="20"/>
                <w:szCs w:val="20"/>
              </w:rPr>
              <w:t xml:space="preserve"> March 2021). A clinical expert consultation (CEC) meeting was convened by the PBAC in May 2021 to discuss aspects of the proposed restrictions for burosumab.</w:t>
            </w:r>
          </w:p>
        </w:tc>
        <w:tc>
          <w:tcPr>
            <w:tcW w:w="2173" w:type="pct"/>
          </w:tcPr>
          <w:p w14:paraId="63591EAA" w14:textId="2CD5E35D" w:rsidR="00EC2D5E" w:rsidRDefault="00EC2D5E" w:rsidP="00EC2D5E">
            <w:pPr>
              <w:jc w:val="left"/>
              <w:rPr>
                <w:rFonts w:ascii="Arial Narrow" w:hAnsi="Arial Narrow"/>
                <w:sz w:val="20"/>
                <w:szCs w:val="20"/>
              </w:rPr>
            </w:pPr>
            <w:r>
              <w:rPr>
                <w:rFonts w:ascii="Arial Narrow" w:hAnsi="Arial Narrow"/>
                <w:sz w:val="20"/>
                <w:szCs w:val="20"/>
              </w:rPr>
              <w:t xml:space="preserve">An amended age agnostic listing was requested by the </w:t>
            </w:r>
            <w:r w:rsidR="00DC3DE3">
              <w:rPr>
                <w:rFonts w:ascii="Arial Narrow" w:hAnsi="Arial Narrow"/>
                <w:sz w:val="20"/>
                <w:szCs w:val="20"/>
              </w:rPr>
              <w:t>re</w:t>
            </w:r>
            <w:r>
              <w:rPr>
                <w:rFonts w:ascii="Arial Narrow" w:hAnsi="Arial Narrow"/>
                <w:sz w:val="20"/>
                <w:szCs w:val="20"/>
              </w:rPr>
              <w:t xml:space="preserve">submission. The requested restriction was also amended to reflect outcomes of the CEC meeting including clinically defined initiation and continuation criteria. </w:t>
            </w:r>
          </w:p>
          <w:p w14:paraId="6CFA44C2" w14:textId="77777777" w:rsidR="00EC2D5E" w:rsidRDefault="00EC2D5E" w:rsidP="00EC2D5E">
            <w:pPr>
              <w:jc w:val="left"/>
              <w:rPr>
                <w:rFonts w:ascii="Arial Narrow" w:hAnsi="Arial Narrow"/>
                <w:sz w:val="20"/>
                <w:szCs w:val="20"/>
              </w:rPr>
            </w:pPr>
          </w:p>
          <w:p w14:paraId="417415E2" w14:textId="7F24C7DC" w:rsidR="00CE76B8" w:rsidRPr="00F44F20" w:rsidRDefault="00EC2D5E" w:rsidP="00EC2D5E">
            <w:pPr>
              <w:jc w:val="left"/>
              <w:rPr>
                <w:rFonts w:ascii="Arial Narrow" w:hAnsi="Arial Narrow"/>
                <w:sz w:val="20"/>
                <w:szCs w:val="20"/>
              </w:rPr>
            </w:pPr>
            <w:r>
              <w:rPr>
                <w:rFonts w:ascii="Arial Narrow" w:hAnsi="Arial Narrow"/>
                <w:sz w:val="20"/>
                <w:szCs w:val="20"/>
              </w:rPr>
              <w:t>A continuation criterion considered appropriate at the CEC of “normalisation of serum phosphate levels” was amended to “normalisation or greater than 30% improvement from pre-treatment baseline in serum phosphate levels</w:t>
            </w:r>
            <w:r w:rsidRPr="008E65F1">
              <w:rPr>
                <w:rFonts w:ascii="Arial Narrow" w:hAnsi="Arial Narrow"/>
                <w:sz w:val="20"/>
                <w:szCs w:val="20"/>
              </w:rPr>
              <w:t>”. This may not be appropriate.</w:t>
            </w:r>
          </w:p>
        </w:tc>
      </w:tr>
      <w:tr w:rsidR="00CE76B8" w:rsidRPr="00F44F20" w14:paraId="014BBA61" w14:textId="77777777" w:rsidTr="008F0D61">
        <w:trPr>
          <w:cantSplit/>
        </w:trPr>
        <w:tc>
          <w:tcPr>
            <w:tcW w:w="626" w:type="pct"/>
          </w:tcPr>
          <w:p w14:paraId="2F20CE65" w14:textId="77777777" w:rsidR="00CE76B8" w:rsidRDefault="00CE76B8" w:rsidP="00D16C13">
            <w:pPr>
              <w:jc w:val="left"/>
              <w:rPr>
                <w:rFonts w:ascii="Arial Narrow" w:hAnsi="Arial Narrow"/>
                <w:sz w:val="20"/>
                <w:szCs w:val="20"/>
              </w:rPr>
            </w:pPr>
            <w:r>
              <w:rPr>
                <w:rFonts w:ascii="Arial Narrow" w:hAnsi="Arial Narrow"/>
                <w:sz w:val="20"/>
                <w:szCs w:val="20"/>
              </w:rPr>
              <w:t>Clinical evidence &amp; clinical claim</w:t>
            </w:r>
          </w:p>
        </w:tc>
        <w:tc>
          <w:tcPr>
            <w:tcW w:w="2201" w:type="pct"/>
          </w:tcPr>
          <w:p w14:paraId="2EDD79B2" w14:textId="77777777" w:rsidR="00EC2D5E" w:rsidRDefault="00EC2D5E" w:rsidP="00EC2D5E">
            <w:pPr>
              <w:jc w:val="left"/>
              <w:rPr>
                <w:rFonts w:ascii="Arial Narrow" w:hAnsi="Arial Narrow"/>
                <w:sz w:val="20"/>
                <w:szCs w:val="20"/>
              </w:rPr>
            </w:pPr>
            <w:r>
              <w:rPr>
                <w:rFonts w:ascii="Arial Narrow" w:hAnsi="Arial Narrow"/>
                <w:sz w:val="20"/>
                <w:szCs w:val="20"/>
              </w:rPr>
              <w:t>The PBAC noted (para 7.4 and 7.5, burosumab PSD March 2021):</w:t>
            </w:r>
          </w:p>
          <w:p w14:paraId="019264A7"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r>
              <w:rPr>
                <w:rFonts w:ascii="Arial Narrow" w:hAnsi="Arial Narrow"/>
                <w:sz w:val="20"/>
                <w:szCs w:val="20"/>
              </w:rPr>
              <w:t xml:space="preserve">the population in the paediatric trials (i.e. children aged 1 to 12 years) did not match the population in the proposed restriction (i.e. children up to the age of 18 years). </w:t>
            </w:r>
          </w:p>
          <w:p w14:paraId="682C1CFA"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r>
              <w:rPr>
                <w:rFonts w:ascii="Arial Narrow" w:hAnsi="Arial Narrow"/>
                <w:sz w:val="20"/>
                <w:szCs w:val="20"/>
              </w:rPr>
              <w:t>a relevant trial, KRN23-003 was inappropriately excluded as the study treatment was via self-administration (which the PBAC considered would be important for equity of access).</w:t>
            </w:r>
          </w:p>
          <w:p w14:paraId="7F609981" w14:textId="77777777" w:rsidR="00EC2D5E" w:rsidRDefault="00EC2D5E" w:rsidP="001A2C4E">
            <w:pPr>
              <w:pStyle w:val="ListParagraph"/>
              <w:numPr>
                <w:ilvl w:val="0"/>
                <w:numId w:val="9"/>
              </w:numPr>
              <w:snapToGrid w:val="0"/>
              <w:spacing w:after="0"/>
              <w:ind w:left="251" w:hanging="141"/>
              <w:jc w:val="left"/>
              <w:rPr>
                <w:rFonts w:ascii="Arial Narrow" w:hAnsi="Arial Narrow"/>
                <w:sz w:val="20"/>
                <w:szCs w:val="20"/>
              </w:rPr>
            </w:pPr>
            <w:r>
              <w:rPr>
                <w:rFonts w:ascii="Arial Narrow" w:hAnsi="Arial Narrow"/>
                <w:sz w:val="20"/>
                <w:szCs w:val="20"/>
              </w:rPr>
              <w:t>a number of clinical trials were available that evaluated the effects of BUR in adults.</w:t>
            </w:r>
          </w:p>
          <w:p w14:paraId="37EDEABE" w14:textId="77777777" w:rsidR="00EC2D5E" w:rsidRDefault="00EC2D5E" w:rsidP="00EC2D5E">
            <w:pPr>
              <w:jc w:val="left"/>
              <w:rPr>
                <w:rFonts w:ascii="Arial Narrow" w:hAnsi="Arial Narrow"/>
                <w:sz w:val="20"/>
                <w:szCs w:val="20"/>
              </w:rPr>
            </w:pPr>
          </w:p>
          <w:p w14:paraId="659CBC70" w14:textId="3D533EAF" w:rsidR="00CE76B8" w:rsidRPr="000D296C" w:rsidRDefault="00EC2D5E" w:rsidP="00EC2D5E">
            <w:pPr>
              <w:jc w:val="left"/>
              <w:rPr>
                <w:rFonts w:ascii="Arial Narrow" w:hAnsi="Arial Narrow"/>
                <w:sz w:val="20"/>
                <w:szCs w:val="20"/>
              </w:rPr>
            </w:pPr>
            <w:r>
              <w:rPr>
                <w:rFonts w:ascii="Arial Narrow" w:hAnsi="Arial Narrow"/>
                <w:sz w:val="20"/>
                <w:szCs w:val="20"/>
              </w:rPr>
              <w:t>The PBAC considered that for children aged 1 to 12 years, BUR was superior in terms of effectiveness compared to conventional therapy, however no clinical trial data was presented for children aged 13 to 17 years and long term effects were unknown given the limited trial data. BUR also has a different safety profile compared to conventional therapy with more appreciable short-term side-effects (paras 7.8 and 7.9, burosumab PSD March 2021).</w:t>
            </w:r>
          </w:p>
        </w:tc>
        <w:tc>
          <w:tcPr>
            <w:tcW w:w="2173" w:type="pct"/>
          </w:tcPr>
          <w:p w14:paraId="31665F93" w14:textId="20669764" w:rsidR="00EC2D5E" w:rsidRPr="008E65F1" w:rsidRDefault="00226C40" w:rsidP="00EC2D5E">
            <w:pPr>
              <w:jc w:val="left"/>
              <w:rPr>
                <w:rFonts w:ascii="Arial Narrow" w:hAnsi="Arial Narrow"/>
                <w:sz w:val="20"/>
                <w:szCs w:val="20"/>
              </w:rPr>
            </w:pPr>
            <w:r>
              <w:rPr>
                <w:rFonts w:ascii="Arial Narrow" w:hAnsi="Arial Narrow"/>
                <w:sz w:val="20"/>
                <w:szCs w:val="20"/>
              </w:rPr>
              <w:t>The s</w:t>
            </w:r>
            <w:r w:rsidR="00EC2D5E">
              <w:rPr>
                <w:rFonts w:ascii="Arial Narrow" w:hAnsi="Arial Narrow"/>
                <w:sz w:val="20"/>
                <w:szCs w:val="20"/>
              </w:rPr>
              <w:t xml:space="preserve">ame clinical data was presented for the paediatric </w:t>
            </w:r>
            <w:r w:rsidR="00EC2D5E" w:rsidRPr="008E65F1">
              <w:rPr>
                <w:rFonts w:ascii="Arial Narrow" w:hAnsi="Arial Narrow"/>
                <w:sz w:val="20"/>
                <w:szCs w:val="20"/>
              </w:rPr>
              <w:t>population but KRN23-003 was included as additional supportive evidence. Data from KRN23-003 was presented by the evaluators in the March 2021 Commentary.</w:t>
            </w:r>
          </w:p>
          <w:p w14:paraId="3F6D4705" w14:textId="77777777" w:rsidR="00EC2D5E" w:rsidRPr="008E65F1" w:rsidRDefault="00EC2D5E" w:rsidP="00EC2D5E">
            <w:pPr>
              <w:jc w:val="left"/>
              <w:rPr>
                <w:rFonts w:ascii="Arial Narrow" w:hAnsi="Arial Narrow"/>
                <w:sz w:val="20"/>
                <w:szCs w:val="20"/>
              </w:rPr>
            </w:pPr>
          </w:p>
          <w:p w14:paraId="5E4A62A1" w14:textId="77777777" w:rsidR="00EC2D5E" w:rsidRDefault="00EC2D5E" w:rsidP="00EC2D5E">
            <w:pPr>
              <w:jc w:val="left"/>
              <w:rPr>
                <w:rFonts w:ascii="Arial Narrow" w:hAnsi="Arial Narrow"/>
                <w:sz w:val="20"/>
                <w:szCs w:val="20"/>
              </w:rPr>
            </w:pPr>
            <w:r w:rsidRPr="008E65F1">
              <w:rPr>
                <w:rFonts w:ascii="Arial Narrow" w:hAnsi="Arial Narrow"/>
                <w:sz w:val="20"/>
                <w:szCs w:val="20"/>
              </w:rPr>
              <w:t>New data in the ad</w:t>
            </w:r>
            <w:r>
              <w:rPr>
                <w:rFonts w:ascii="Arial Narrow" w:hAnsi="Arial Narrow"/>
                <w:sz w:val="20"/>
                <w:szCs w:val="20"/>
              </w:rPr>
              <w:t>ult population was presented, based on one trial (CL303), comparing BUR to placebo and 6 single-arm studies as supportive evidence.</w:t>
            </w:r>
          </w:p>
          <w:p w14:paraId="66B6B631" w14:textId="77777777" w:rsidR="00EC2D5E" w:rsidRDefault="00EC2D5E" w:rsidP="00EC2D5E">
            <w:pPr>
              <w:jc w:val="left"/>
              <w:rPr>
                <w:rFonts w:ascii="Arial Narrow" w:hAnsi="Arial Narrow"/>
                <w:sz w:val="20"/>
                <w:szCs w:val="20"/>
              </w:rPr>
            </w:pPr>
          </w:p>
          <w:p w14:paraId="0A7871BC" w14:textId="77777777" w:rsidR="00EC2D5E" w:rsidRDefault="00EC2D5E" w:rsidP="00EC2D5E">
            <w:pPr>
              <w:jc w:val="left"/>
              <w:rPr>
                <w:rFonts w:ascii="Arial Narrow" w:hAnsi="Arial Narrow"/>
                <w:sz w:val="20"/>
                <w:szCs w:val="20"/>
              </w:rPr>
            </w:pPr>
            <w:r>
              <w:rPr>
                <w:rFonts w:ascii="Arial Narrow" w:hAnsi="Arial Narrow"/>
                <w:sz w:val="20"/>
                <w:szCs w:val="20"/>
              </w:rPr>
              <w:t>The clinical claim was unchanged for paediatric patients with XLH. In adult patients, the resubmission claimed BUR to be superior in terms of effectiveness and inferior but acceptable in terms of safety compared to comparators.</w:t>
            </w:r>
          </w:p>
          <w:p w14:paraId="49AFFD68" w14:textId="77777777" w:rsidR="00EC2D5E" w:rsidRDefault="00EC2D5E" w:rsidP="00EC2D5E">
            <w:pPr>
              <w:jc w:val="left"/>
              <w:rPr>
                <w:rFonts w:ascii="Arial Narrow" w:hAnsi="Arial Narrow"/>
                <w:sz w:val="20"/>
                <w:szCs w:val="20"/>
              </w:rPr>
            </w:pPr>
          </w:p>
          <w:p w14:paraId="1EE99026" w14:textId="5C34C0CC" w:rsidR="00CE76B8" w:rsidRPr="00F44F20" w:rsidRDefault="00EC2D5E" w:rsidP="00EC2D5E">
            <w:pPr>
              <w:jc w:val="left"/>
              <w:rPr>
                <w:rFonts w:ascii="Arial Narrow" w:hAnsi="Arial Narrow"/>
                <w:sz w:val="20"/>
                <w:szCs w:val="20"/>
              </w:rPr>
            </w:pPr>
            <w:r>
              <w:rPr>
                <w:rFonts w:ascii="Arial Narrow" w:hAnsi="Arial Narrow"/>
                <w:sz w:val="20"/>
                <w:szCs w:val="20"/>
              </w:rPr>
              <w:t>No additional data was presented for patients aged 13</w:t>
            </w:r>
            <w:r w:rsidR="00FF1C6A">
              <w:rPr>
                <w:rFonts w:ascii="Arial Narrow" w:hAnsi="Arial Narrow"/>
                <w:sz w:val="20"/>
                <w:szCs w:val="20"/>
              </w:rPr>
              <w:t xml:space="preserve"> to </w:t>
            </w:r>
            <w:r>
              <w:rPr>
                <w:rFonts w:ascii="Arial Narrow" w:hAnsi="Arial Narrow"/>
                <w:sz w:val="20"/>
                <w:szCs w:val="20"/>
              </w:rPr>
              <w:t>17 years.</w:t>
            </w:r>
          </w:p>
        </w:tc>
      </w:tr>
      <w:tr w:rsidR="00CE76B8" w:rsidRPr="00F44F20" w14:paraId="64D7FB56" w14:textId="77777777" w:rsidTr="008F0D61">
        <w:trPr>
          <w:cantSplit/>
        </w:trPr>
        <w:tc>
          <w:tcPr>
            <w:tcW w:w="626" w:type="pct"/>
          </w:tcPr>
          <w:p w14:paraId="5139D409" w14:textId="77777777" w:rsidR="00CE76B8" w:rsidRDefault="00CE76B8" w:rsidP="00D16C13">
            <w:pPr>
              <w:jc w:val="left"/>
              <w:rPr>
                <w:rFonts w:ascii="Arial Narrow" w:hAnsi="Arial Narrow"/>
                <w:sz w:val="20"/>
                <w:szCs w:val="20"/>
              </w:rPr>
            </w:pPr>
            <w:r>
              <w:rPr>
                <w:rFonts w:ascii="Arial Narrow" w:hAnsi="Arial Narrow"/>
                <w:sz w:val="20"/>
                <w:szCs w:val="20"/>
              </w:rPr>
              <w:lastRenderedPageBreak/>
              <w:t>Economic evaluation</w:t>
            </w:r>
          </w:p>
        </w:tc>
        <w:tc>
          <w:tcPr>
            <w:tcW w:w="2201" w:type="pct"/>
          </w:tcPr>
          <w:p w14:paraId="32882AF9" w14:textId="5C0A2709" w:rsidR="00CE76B8" w:rsidRDefault="00CE76B8" w:rsidP="00D16C13">
            <w:pPr>
              <w:jc w:val="left"/>
              <w:rPr>
                <w:rFonts w:ascii="Arial Narrow" w:hAnsi="Arial Narrow"/>
                <w:sz w:val="20"/>
                <w:szCs w:val="20"/>
              </w:rPr>
            </w:pPr>
            <w:r w:rsidRPr="000D296C">
              <w:rPr>
                <w:rFonts w:ascii="Arial Narrow" w:hAnsi="Arial Narrow"/>
                <w:sz w:val="20"/>
                <w:szCs w:val="20"/>
              </w:rPr>
              <w:t>The PBAC considered</w:t>
            </w:r>
            <w:r>
              <w:rPr>
                <w:rFonts w:ascii="Arial Narrow" w:hAnsi="Arial Narrow"/>
                <w:sz w:val="20"/>
                <w:szCs w:val="20"/>
              </w:rPr>
              <w:t xml:space="preserve"> </w:t>
            </w:r>
            <w:r w:rsidR="00F4462F" w:rsidRPr="000D296C">
              <w:rPr>
                <w:rFonts w:ascii="Arial Narrow" w:hAnsi="Arial Narrow"/>
                <w:sz w:val="20"/>
                <w:szCs w:val="20"/>
              </w:rPr>
              <w:t>(para</w:t>
            </w:r>
            <w:r w:rsidR="00F4462F">
              <w:rPr>
                <w:rFonts w:ascii="Arial Narrow" w:hAnsi="Arial Narrow"/>
                <w:sz w:val="20"/>
                <w:szCs w:val="20"/>
              </w:rPr>
              <w:t>s</w:t>
            </w:r>
            <w:r w:rsidR="00F4462F" w:rsidRPr="000D296C">
              <w:rPr>
                <w:rFonts w:ascii="Arial Narrow" w:hAnsi="Arial Narrow"/>
                <w:sz w:val="20"/>
                <w:szCs w:val="20"/>
              </w:rPr>
              <w:t xml:space="preserve"> 7.1</w:t>
            </w:r>
            <w:r w:rsidR="00FF1C6A">
              <w:rPr>
                <w:rFonts w:ascii="Arial Narrow" w:hAnsi="Arial Narrow"/>
                <w:sz w:val="20"/>
                <w:szCs w:val="20"/>
              </w:rPr>
              <w:t>1</w:t>
            </w:r>
            <w:r w:rsidR="00F4462F" w:rsidRPr="000D296C">
              <w:rPr>
                <w:rFonts w:ascii="Arial Narrow" w:hAnsi="Arial Narrow"/>
                <w:sz w:val="20"/>
                <w:szCs w:val="20"/>
              </w:rPr>
              <w:t xml:space="preserve">, </w:t>
            </w:r>
            <w:r w:rsidR="00F4462F">
              <w:rPr>
                <w:rFonts w:ascii="Arial Narrow" w:hAnsi="Arial Narrow"/>
                <w:sz w:val="20"/>
                <w:szCs w:val="20"/>
              </w:rPr>
              <w:t>7.1</w:t>
            </w:r>
            <w:r w:rsidR="00FF1C6A">
              <w:rPr>
                <w:rFonts w:ascii="Arial Narrow" w:hAnsi="Arial Narrow"/>
                <w:sz w:val="20"/>
                <w:szCs w:val="20"/>
              </w:rPr>
              <w:t>4</w:t>
            </w:r>
            <w:r w:rsidR="00F4462F">
              <w:rPr>
                <w:rFonts w:ascii="Arial Narrow" w:hAnsi="Arial Narrow"/>
                <w:sz w:val="20"/>
                <w:szCs w:val="20"/>
              </w:rPr>
              <w:t xml:space="preserve">, </w:t>
            </w:r>
            <w:r w:rsidR="00F4462F" w:rsidRPr="000D296C">
              <w:rPr>
                <w:rFonts w:ascii="Arial Narrow" w:hAnsi="Arial Narrow"/>
                <w:sz w:val="20"/>
                <w:szCs w:val="20"/>
              </w:rPr>
              <w:t>burosumab PSD March 2021)</w:t>
            </w:r>
            <w:r w:rsidR="00F4462F">
              <w:rPr>
                <w:rFonts w:ascii="Arial Narrow" w:hAnsi="Arial Narrow"/>
                <w:sz w:val="20"/>
                <w:szCs w:val="20"/>
              </w:rPr>
              <w:t xml:space="preserve"> </w:t>
            </w:r>
            <w:r>
              <w:rPr>
                <w:rFonts w:ascii="Arial Narrow" w:hAnsi="Arial Narrow"/>
                <w:sz w:val="20"/>
                <w:szCs w:val="20"/>
              </w:rPr>
              <w:t>that:</w:t>
            </w:r>
          </w:p>
          <w:p w14:paraId="2CE55F43" w14:textId="0B2C0078" w:rsidR="00CE76B8" w:rsidRDefault="00CE76B8" w:rsidP="00F4462F">
            <w:pPr>
              <w:pStyle w:val="ListParagraph"/>
              <w:numPr>
                <w:ilvl w:val="0"/>
                <w:numId w:val="3"/>
              </w:numPr>
              <w:spacing w:after="0"/>
              <w:ind w:left="112" w:hanging="112"/>
              <w:jc w:val="left"/>
              <w:rPr>
                <w:rFonts w:ascii="Arial Narrow" w:hAnsi="Arial Narrow"/>
                <w:sz w:val="20"/>
                <w:szCs w:val="20"/>
              </w:rPr>
            </w:pPr>
            <w:r w:rsidRPr="000D296C">
              <w:rPr>
                <w:rFonts w:ascii="Arial Narrow" w:hAnsi="Arial Narrow"/>
                <w:sz w:val="20"/>
                <w:szCs w:val="20"/>
              </w:rPr>
              <w:t xml:space="preserve"> a price reduction would be required to address the numerous uncertainties in the model and to achieve a reasonable ICER in the whole XLH population </w:t>
            </w:r>
          </w:p>
          <w:p w14:paraId="768447C8" w14:textId="35415A01"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 xml:space="preserve">RSS was unlikely to capture all relevant outcomes and the inclusion of a ‘healed’ state was inconsistent with </w:t>
            </w:r>
            <w:r w:rsidR="00F4462F" w:rsidRPr="000A6BD9">
              <w:rPr>
                <w:rFonts w:ascii="Arial Narrow" w:hAnsi="Arial Narrow"/>
                <w:sz w:val="20"/>
                <w:szCs w:val="20"/>
              </w:rPr>
              <w:t>trial-based</w:t>
            </w:r>
            <w:r w:rsidRPr="000A6BD9">
              <w:rPr>
                <w:rFonts w:ascii="Arial Narrow" w:hAnsi="Arial Narrow"/>
                <w:sz w:val="20"/>
                <w:szCs w:val="20"/>
              </w:rPr>
              <w:t xml:space="preserve"> patient reported outcomes</w:t>
            </w:r>
            <w:r>
              <w:rPr>
                <w:rFonts w:ascii="Arial Narrow" w:hAnsi="Arial Narrow"/>
                <w:sz w:val="20"/>
                <w:szCs w:val="20"/>
              </w:rPr>
              <w:t xml:space="preserve"> </w:t>
            </w:r>
          </w:p>
          <w:p w14:paraId="4BC2B792" w14:textId="23A11DA6"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a</w:t>
            </w:r>
            <w:r w:rsidRPr="000A6BD9">
              <w:rPr>
                <w:rFonts w:ascii="Arial Narrow" w:hAnsi="Arial Narrow"/>
                <w:sz w:val="20"/>
                <w:szCs w:val="20"/>
              </w:rPr>
              <w:t>verage dose was modelled as 0.86</w:t>
            </w:r>
            <w:r w:rsidR="00226C40">
              <w:rPr>
                <w:rFonts w:ascii="Arial Narrow" w:hAnsi="Arial Narrow"/>
                <w:sz w:val="20"/>
                <w:szCs w:val="20"/>
              </w:rPr>
              <w:t xml:space="preserve"> </w:t>
            </w:r>
            <w:r w:rsidRPr="000A6BD9">
              <w:rPr>
                <w:rFonts w:ascii="Arial Narrow" w:hAnsi="Arial Narrow"/>
                <w:sz w:val="20"/>
                <w:szCs w:val="20"/>
              </w:rPr>
              <w:t>mg/kg, which PBAC considered was likely to be low</w:t>
            </w:r>
            <w:r>
              <w:rPr>
                <w:rFonts w:ascii="Arial Narrow" w:hAnsi="Arial Narrow"/>
                <w:sz w:val="20"/>
                <w:szCs w:val="20"/>
              </w:rPr>
              <w:t xml:space="preserve"> </w:t>
            </w:r>
          </w:p>
          <w:p w14:paraId="080935E2" w14:textId="0C0253B4"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a</w:t>
            </w:r>
            <w:r w:rsidRPr="000A6BD9">
              <w:rPr>
                <w:rFonts w:ascii="Arial Narrow" w:hAnsi="Arial Narrow"/>
                <w:sz w:val="20"/>
                <w:szCs w:val="20"/>
              </w:rPr>
              <w:t xml:space="preserve">nnualised transition probabilities were constant to age 18 years, with stabilisation of disease severity from age 18, resulting in nearly all </w:t>
            </w:r>
            <w:r w:rsidR="005F26C9">
              <w:rPr>
                <w:rFonts w:ascii="Arial Narrow" w:hAnsi="Arial Narrow"/>
                <w:sz w:val="20"/>
                <w:szCs w:val="20"/>
              </w:rPr>
              <w:t>BUR</w:t>
            </w:r>
            <w:r w:rsidRPr="000A6BD9">
              <w:rPr>
                <w:rFonts w:ascii="Arial Narrow" w:hAnsi="Arial Narrow"/>
                <w:sz w:val="20"/>
                <w:szCs w:val="20"/>
              </w:rPr>
              <w:t xml:space="preserve"> patients entering the ‘healed’ state by Year 10 and continuing to accrue these benefits until death</w:t>
            </w:r>
          </w:p>
          <w:p w14:paraId="6464CA69" w14:textId="1550A1BA" w:rsidR="00CE76B8" w:rsidRDefault="00CE76B8" w:rsidP="009408C2">
            <w:pPr>
              <w:pStyle w:val="ListParagraph"/>
              <w:numPr>
                <w:ilvl w:val="0"/>
                <w:numId w:val="3"/>
              </w:numPr>
              <w:spacing w:after="0"/>
              <w:ind w:left="113" w:hanging="113"/>
              <w:jc w:val="left"/>
              <w:rPr>
                <w:rFonts w:ascii="Arial Narrow" w:hAnsi="Arial Narrow"/>
                <w:sz w:val="20"/>
                <w:szCs w:val="20"/>
              </w:rPr>
            </w:pPr>
            <w:r>
              <w:rPr>
                <w:rFonts w:ascii="Arial Narrow" w:hAnsi="Arial Narrow"/>
                <w:sz w:val="20"/>
                <w:szCs w:val="20"/>
              </w:rPr>
              <w:t>t</w:t>
            </w:r>
            <w:r w:rsidRPr="00FC79D5">
              <w:rPr>
                <w:rFonts w:ascii="Arial Narrow" w:hAnsi="Arial Narrow"/>
                <w:sz w:val="20"/>
                <w:szCs w:val="20"/>
              </w:rPr>
              <w:t>here was limited effectiveness data</w:t>
            </w:r>
          </w:p>
          <w:p w14:paraId="09B5F78A" w14:textId="5159289F"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c</w:t>
            </w:r>
            <w:r w:rsidRPr="00FC79D5">
              <w:rPr>
                <w:rFonts w:ascii="Arial Narrow" w:hAnsi="Arial Narrow"/>
                <w:sz w:val="20"/>
                <w:szCs w:val="20"/>
              </w:rPr>
              <w:t>ost of harms were not included</w:t>
            </w:r>
          </w:p>
          <w:p w14:paraId="703A91E4" w14:textId="77777777" w:rsidR="00F4462F" w:rsidRDefault="00F4462F" w:rsidP="00F4462F">
            <w:pPr>
              <w:jc w:val="left"/>
              <w:rPr>
                <w:rFonts w:ascii="Arial Narrow" w:hAnsi="Arial Narrow"/>
                <w:sz w:val="20"/>
                <w:szCs w:val="20"/>
              </w:rPr>
            </w:pPr>
          </w:p>
          <w:p w14:paraId="5162124E" w14:textId="67A8A86C" w:rsidR="00CE76B8" w:rsidRPr="000D296C" w:rsidRDefault="00F4462F" w:rsidP="00D16C13">
            <w:pPr>
              <w:jc w:val="left"/>
              <w:rPr>
                <w:rFonts w:ascii="Arial Narrow" w:hAnsi="Arial Narrow"/>
                <w:sz w:val="20"/>
                <w:szCs w:val="20"/>
              </w:rPr>
            </w:pPr>
            <w:r>
              <w:rPr>
                <w:rFonts w:ascii="Arial Narrow" w:hAnsi="Arial Narrow"/>
                <w:sz w:val="20"/>
                <w:szCs w:val="20"/>
              </w:rPr>
              <w:t xml:space="preserve">The PBAC however noted that </w:t>
            </w:r>
            <w:r w:rsidR="00CE76B8" w:rsidRPr="00F4462F">
              <w:rPr>
                <w:rFonts w:ascii="Arial Narrow" w:hAnsi="Arial Narrow"/>
                <w:sz w:val="20"/>
                <w:szCs w:val="20"/>
              </w:rPr>
              <w:t xml:space="preserve">consumer input was supportive of </w:t>
            </w:r>
            <w:r>
              <w:rPr>
                <w:rFonts w:ascii="Arial Narrow" w:hAnsi="Arial Narrow"/>
                <w:sz w:val="20"/>
                <w:szCs w:val="20"/>
              </w:rPr>
              <w:t xml:space="preserve">BUR </w:t>
            </w:r>
            <w:r w:rsidR="00CE76B8" w:rsidRPr="00F4462F">
              <w:rPr>
                <w:rFonts w:ascii="Arial Narrow" w:hAnsi="Arial Narrow"/>
                <w:sz w:val="20"/>
                <w:szCs w:val="20"/>
              </w:rPr>
              <w:t>treatment in adults as well as children, but that potential benefits to adults would need to be better quantified (para 7.2, burosumab PSD March 2021).</w:t>
            </w:r>
          </w:p>
        </w:tc>
        <w:tc>
          <w:tcPr>
            <w:tcW w:w="2173" w:type="pct"/>
          </w:tcPr>
          <w:p w14:paraId="3A651B38" w14:textId="1FB4306C" w:rsidR="00CE76B8" w:rsidRDefault="00CE76B8" w:rsidP="00D16C13">
            <w:pPr>
              <w:pStyle w:val="TableText0"/>
            </w:pPr>
            <w:r>
              <w:t xml:space="preserve">The economic evaluation </w:t>
            </w:r>
            <w:r w:rsidR="006B6E52">
              <w:t>w</w:t>
            </w:r>
            <w:r>
              <w:t>as updated in the following ways:</w:t>
            </w:r>
          </w:p>
          <w:p w14:paraId="53D207DD" w14:textId="0DDAFA86" w:rsidR="00CE76B8" w:rsidRDefault="00CE76B8" w:rsidP="00F4462F">
            <w:pPr>
              <w:pStyle w:val="ListParagraph"/>
              <w:numPr>
                <w:ilvl w:val="0"/>
                <w:numId w:val="3"/>
              </w:numPr>
              <w:spacing w:after="0"/>
              <w:ind w:left="112" w:hanging="112"/>
              <w:jc w:val="left"/>
              <w:rPr>
                <w:rFonts w:ascii="Arial Narrow" w:hAnsi="Arial Narrow"/>
                <w:sz w:val="20"/>
                <w:szCs w:val="20"/>
              </w:rPr>
            </w:pPr>
            <w:r>
              <w:rPr>
                <w:rFonts w:ascii="Arial Narrow" w:hAnsi="Arial Narrow"/>
                <w:sz w:val="20"/>
                <w:szCs w:val="20"/>
              </w:rPr>
              <w:t xml:space="preserve"> </w:t>
            </w:r>
            <w:r w:rsidR="00D16C13" w:rsidRPr="000E3910">
              <w:rPr>
                <w:rFonts w:ascii="Arial Narrow" w:hAnsi="Arial Narrow"/>
                <w:sz w:val="20"/>
                <w:szCs w:val="20"/>
              </w:rPr>
              <w:t xml:space="preserve">a </w:t>
            </w:r>
            <w:r w:rsidR="00B355AE" w:rsidRPr="0035108E">
              <w:rPr>
                <w:rFonts w:ascii="Arial Narrow" w:hAnsi="Arial Narrow"/>
                <w:color w:val="000000"/>
                <w:spacing w:val="53"/>
                <w:sz w:val="20"/>
                <w:szCs w:val="20"/>
                <w:shd w:val="solid" w:color="000000" w:fill="000000"/>
                <w:fitText w:val="330" w:id="-1504471040"/>
                <w14:textFill>
                  <w14:solidFill>
                    <w14:srgbClr w14:val="000000">
                      <w14:alpha w14:val="100000"/>
                    </w14:srgbClr>
                  </w14:solidFill>
                </w14:textFill>
              </w:rPr>
              <w:t>|||</w:t>
            </w:r>
            <w:r w:rsidR="00B355AE" w:rsidRPr="0035108E">
              <w:rPr>
                <w:rFonts w:ascii="Arial Narrow" w:hAnsi="Arial Narrow"/>
                <w:color w:val="000000"/>
                <w:spacing w:val="1"/>
                <w:sz w:val="20"/>
                <w:szCs w:val="20"/>
                <w:shd w:val="solid" w:color="000000" w:fill="000000"/>
                <w:fitText w:val="330" w:id="-1504471040"/>
                <w14:textFill>
                  <w14:solidFill>
                    <w14:srgbClr w14:val="000000">
                      <w14:alpha w14:val="100000"/>
                    </w14:srgbClr>
                  </w14:solidFill>
                </w14:textFill>
              </w:rPr>
              <w:t>|</w:t>
            </w:r>
            <w:r w:rsidR="00D16C13" w:rsidRPr="003C231F">
              <w:rPr>
                <w:rFonts w:ascii="Arial Narrow" w:hAnsi="Arial Narrow"/>
                <w:sz w:val="20"/>
                <w:szCs w:val="20"/>
              </w:rPr>
              <w:t>%</w:t>
            </w:r>
            <w:r w:rsidR="00D16C13" w:rsidRPr="000E3910">
              <w:rPr>
                <w:rFonts w:ascii="Arial Narrow" w:hAnsi="Arial Narrow"/>
                <w:sz w:val="20"/>
                <w:szCs w:val="20"/>
              </w:rPr>
              <w:t xml:space="preserve"> </w:t>
            </w:r>
            <w:r>
              <w:rPr>
                <w:rFonts w:ascii="Arial Narrow" w:hAnsi="Arial Narrow"/>
                <w:sz w:val="20"/>
                <w:szCs w:val="20"/>
              </w:rPr>
              <w:t xml:space="preserve">reduction in the </w:t>
            </w:r>
            <w:r w:rsidR="00D16C13">
              <w:rPr>
                <w:rFonts w:ascii="Arial Narrow" w:hAnsi="Arial Narrow"/>
                <w:sz w:val="20"/>
                <w:szCs w:val="20"/>
              </w:rPr>
              <w:t xml:space="preserve">requested </w:t>
            </w:r>
            <w:r>
              <w:rPr>
                <w:rFonts w:ascii="Arial Narrow" w:hAnsi="Arial Narrow"/>
                <w:sz w:val="20"/>
                <w:szCs w:val="20"/>
              </w:rPr>
              <w:t xml:space="preserve">effective prices </w:t>
            </w:r>
            <w:r w:rsidR="00D16C13">
              <w:rPr>
                <w:rFonts w:ascii="Arial Narrow" w:hAnsi="Arial Narrow"/>
                <w:sz w:val="20"/>
                <w:szCs w:val="20"/>
              </w:rPr>
              <w:t xml:space="preserve">for BUR compared to </w:t>
            </w:r>
            <w:r w:rsidRPr="000E3910">
              <w:rPr>
                <w:rFonts w:ascii="Arial Narrow" w:hAnsi="Arial Narrow"/>
                <w:sz w:val="20"/>
                <w:szCs w:val="20"/>
              </w:rPr>
              <w:t>March 2021 submission.</w:t>
            </w:r>
          </w:p>
          <w:p w14:paraId="3B847EEE" w14:textId="5806626F" w:rsidR="00CE76B8" w:rsidRPr="000A6BD9"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 xml:space="preserve">RSS remained the main outcome, but a small survival benefit was </w:t>
            </w:r>
            <w:r w:rsidR="00D16C13">
              <w:rPr>
                <w:rFonts w:ascii="Arial Narrow" w:hAnsi="Arial Narrow"/>
                <w:sz w:val="20"/>
                <w:szCs w:val="20"/>
              </w:rPr>
              <w:t xml:space="preserve">also </w:t>
            </w:r>
            <w:r w:rsidRPr="000A6BD9">
              <w:rPr>
                <w:rFonts w:ascii="Arial Narrow" w:hAnsi="Arial Narrow"/>
                <w:sz w:val="20"/>
                <w:szCs w:val="20"/>
              </w:rPr>
              <w:t xml:space="preserve">assumed for </w:t>
            </w:r>
            <w:r w:rsidR="00D16C13">
              <w:rPr>
                <w:rFonts w:ascii="Arial Narrow" w:hAnsi="Arial Narrow"/>
                <w:sz w:val="20"/>
                <w:szCs w:val="20"/>
              </w:rPr>
              <w:t xml:space="preserve">BUR versus </w:t>
            </w:r>
            <w:r w:rsidRPr="000A6BD9">
              <w:rPr>
                <w:rFonts w:ascii="Arial Narrow" w:hAnsi="Arial Narrow"/>
                <w:sz w:val="20"/>
                <w:szCs w:val="20"/>
              </w:rPr>
              <w:t>conventional therap</w:t>
            </w:r>
            <w:r>
              <w:rPr>
                <w:rFonts w:ascii="Arial Narrow" w:hAnsi="Arial Narrow"/>
                <w:sz w:val="20"/>
                <w:szCs w:val="20"/>
              </w:rPr>
              <w:t>y</w:t>
            </w:r>
            <w:r w:rsidR="00D16C13">
              <w:rPr>
                <w:rFonts w:ascii="Arial Narrow" w:hAnsi="Arial Narrow"/>
                <w:sz w:val="20"/>
                <w:szCs w:val="20"/>
              </w:rPr>
              <w:t>.</w:t>
            </w:r>
          </w:p>
          <w:p w14:paraId="65063B8A" w14:textId="1D487ED3"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mean dose for children was increased to 0.91</w:t>
            </w:r>
            <w:r w:rsidR="00226C40">
              <w:rPr>
                <w:rFonts w:ascii="Arial Narrow" w:hAnsi="Arial Narrow"/>
                <w:sz w:val="20"/>
                <w:szCs w:val="20"/>
              </w:rPr>
              <w:t xml:space="preserve"> </w:t>
            </w:r>
            <w:r w:rsidRPr="000A6BD9">
              <w:rPr>
                <w:rFonts w:ascii="Arial Narrow" w:hAnsi="Arial Narrow"/>
                <w:sz w:val="20"/>
                <w:szCs w:val="20"/>
              </w:rPr>
              <w:t>mg/kg based on unpublished data from the North American Disease Monitoring Program. This was still lower than the mean dose received in the Early Access Program (EAP) of 1.05</w:t>
            </w:r>
            <w:r w:rsidR="00226C40">
              <w:rPr>
                <w:rFonts w:ascii="Arial Narrow" w:hAnsi="Arial Narrow"/>
                <w:sz w:val="20"/>
                <w:szCs w:val="20"/>
              </w:rPr>
              <w:t xml:space="preserve"> </w:t>
            </w:r>
            <w:r w:rsidRPr="000A6BD9">
              <w:rPr>
                <w:rFonts w:ascii="Arial Narrow" w:hAnsi="Arial Narrow"/>
                <w:sz w:val="20"/>
                <w:szCs w:val="20"/>
              </w:rPr>
              <w:t>mg/kg and the maximum dose in the draft product information (2</w:t>
            </w:r>
            <w:r w:rsidR="00226C40">
              <w:rPr>
                <w:rFonts w:ascii="Arial Narrow" w:hAnsi="Arial Narrow"/>
                <w:sz w:val="20"/>
                <w:szCs w:val="20"/>
              </w:rPr>
              <w:t xml:space="preserve"> </w:t>
            </w:r>
            <w:r w:rsidRPr="000A6BD9">
              <w:rPr>
                <w:rFonts w:ascii="Arial Narrow" w:hAnsi="Arial Narrow"/>
                <w:sz w:val="20"/>
                <w:szCs w:val="20"/>
              </w:rPr>
              <w:t>mg/kg).</w:t>
            </w:r>
          </w:p>
          <w:p w14:paraId="3B26F71F" w14:textId="547615A1" w:rsidR="00CE76B8" w:rsidRDefault="00CE76B8" w:rsidP="00F4462F">
            <w:pPr>
              <w:pStyle w:val="ListParagraph"/>
              <w:numPr>
                <w:ilvl w:val="0"/>
                <w:numId w:val="3"/>
              </w:numPr>
              <w:spacing w:after="0"/>
              <w:ind w:left="112" w:hanging="112"/>
              <w:jc w:val="left"/>
              <w:rPr>
                <w:rFonts w:ascii="Arial Narrow" w:hAnsi="Arial Narrow"/>
                <w:sz w:val="20"/>
                <w:szCs w:val="20"/>
              </w:rPr>
            </w:pPr>
            <w:r w:rsidRPr="000A6BD9">
              <w:rPr>
                <w:rFonts w:ascii="Arial Narrow" w:hAnsi="Arial Narrow"/>
                <w:sz w:val="20"/>
                <w:szCs w:val="20"/>
              </w:rPr>
              <w:t>extrapolation of the transition probabilities remained unchanged,</w:t>
            </w:r>
            <w:r>
              <w:rPr>
                <w:rFonts w:ascii="Arial Narrow" w:hAnsi="Arial Narrow"/>
                <w:sz w:val="20"/>
                <w:szCs w:val="20"/>
              </w:rPr>
              <w:t xml:space="preserve"> but</w:t>
            </w:r>
            <w:r w:rsidRPr="000A6BD9">
              <w:rPr>
                <w:rFonts w:ascii="Arial Narrow" w:hAnsi="Arial Narrow"/>
                <w:sz w:val="20"/>
                <w:szCs w:val="20"/>
              </w:rPr>
              <w:t xml:space="preserve"> the resubmission did include the cost of </w:t>
            </w:r>
            <w:r w:rsidR="005F26C9">
              <w:rPr>
                <w:rFonts w:ascii="Arial Narrow" w:hAnsi="Arial Narrow"/>
                <w:sz w:val="20"/>
                <w:szCs w:val="20"/>
              </w:rPr>
              <w:t>BUR</w:t>
            </w:r>
            <w:r w:rsidRPr="000A6BD9">
              <w:rPr>
                <w:rFonts w:ascii="Arial Narrow" w:hAnsi="Arial Narrow"/>
                <w:sz w:val="20"/>
                <w:szCs w:val="20"/>
              </w:rPr>
              <w:t xml:space="preserve"> treatment into adulthood, with utilisation decreasing from 100% (80% from age 18 years, 60% from age 20 years, 50% from age 30-57 years).</w:t>
            </w:r>
          </w:p>
          <w:p w14:paraId="60E33FDE" w14:textId="77777777" w:rsidR="00CE76B8" w:rsidRDefault="00CE76B8" w:rsidP="00F4462F">
            <w:pPr>
              <w:pStyle w:val="ListParagraph"/>
              <w:numPr>
                <w:ilvl w:val="0"/>
                <w:numId w:val="3"/>
              </w:numPr>
              <w:spacing w:after="0"/>
              <w:ind w:left="112" w:hanging="112"/>
              <w:jc w:val="left"/>
              <w:rPr>
                <w:rFonts w:ascii="Arial Narrow" w:hAnsi="Arial Narrow"/>
                <w:sz w:val="20"/>
                <w:szCs w:val="20"/>
              </w:rPr>
            </w:pPr>
            <w:r w:rsidRPr="00FC79D5">
              <w:rPr>
                <w:rFonts w:ascii="Arial Narrow" w:hAnsi="Arial Narrow"/>
                <w:sz w:val="20"/>
                <w:szCs w:val="20"/>
              </w:rPr>
              <w:t xml:space="preserve">time horizon </w:t>
            </w:r>
            <w:r>
              <w:rPr>
                <w:rFonts w:ascii="Arial Narrow" w:hAnsi="Arial Narrow"/>
                <w:sz w:val="20"/>
                <w:szCs w:val="20"/>
              </w:rPr>
              <w:t xml:space="preserve">reduced </w:t>
            </w:r>
            <w:r w:rsidRPr="00FC79D5">
              <w:rPr>
                <w:rFonts w:ascii="Arial Narrow" w:hAnsi="Arial Narrow"/>
                <w:sz w:val="20"/>
                <w:szCs w:val="20"/>
              </w:rPr>
              <w:t>from 100 years in the March 2021 submission to 50 years in the resubmission.</w:t>
            </w:r>
          </w:p>
          <w:p w14:paraId="5963CDB8" w14:textId="77777777" w:rsidR="00CE76B8" w:rsidRPr="00FC79D5" w:rsidRDefault="00CE76B8" w:rsidP="00F4462F">
            <w:pPr>
              <w:pStyle w:val="ListParagraph"/>
              <w:numPr>
                <w:ilvl w:val="0"/>
                <w:numId w:val="3"/>
              </w:numPr>
              <w:spacing w:after="0"/>
              <w:ind w:left="112" w:hanging="112"/>
              <w:jc w:val="left"/>
            </w:pPr>
            <w:r>
              <w:rPr>
                <w:rFonts w:ascii="Arial Narrow" w:hAnsi="Arial Narrow"/>
                <w:sz w:val="20"/>
                <w:szCs w:val="20"/>
              </w:rPr>
              <w:t>a</w:t>
            </w:r>
            <w:r w:rsidRPr="00FC79D5">
              <w:rPr>
                <w:rFonts w:ascii="Arial Narrow" w:hAnsi="Arial Narrow"/>
                <w:sz w:val="20"/>
                <w:szCs w:val="20"/>
              </w:rPr>
              <w:t xml:space="preserve"> new cost-effectiveness analysis based on treatment in adults, focused on morbidity events</w:t>
            </w:r>
            <w:r>
              <w:rPr>
                <w:rFonts w:ascii="Arial Narrow" w:hAnsi="Arial Narrow"/>
                <w:sz w:val="20"/>
                <w:szCs w:val="20"/>
              </w:rPr>
              <w:t xml:space="preserve"> was presented</w:t>
            </w:r>
            <w:r w:rsidRPr="00FC79D5">
              <w:rPr>
                <w:rFonts w:ascii="Arial Narrow" w:hAnsi="Arial Narrow"/>
                <w:sz w:val="20"/>
                <w:szCs w:val="20"/>
              </w:rPr>
              <w:t>.</w:t>
            </w:r>
          </w:p>
        </w:tc>
      </w:tr>
      <w:tr w:rsidR="00CE76B8" w:rsidRPr="00F44F20" w14:paraId="2FD03885" w14:textId="77777777" w:rsidTr="008F0D61">
        <w:trPr>
          <w:cantSplit/>
        </w:trPr>
        <w:tc>
          <w:tcPr>
            <w:tcW w:w="626" w:type="pct"/>
          </w:tcPr>
          <w:p w14:paraId="4CD1F6DF" w14:textId="77777777" w:rsidR="00CE76B8" w:rsidRDefault="00CE76B8" w:rsidP="00D16C13">
            <w:pPr>
              <w:jc w:val="left"/>
              <w:rPr>
                <w:rFonts w:ascii="Arial Narrow" w:hAnsi="Arial Narrow"/>
                <w:sz w:val="20"/>
                <w:szCs w:val="20"/>
              </w:rPr>
            </w:pPr>
            <w:r>
              <w:rPr>
                <w:rFonts w:ascii="Arial Narrow" w:hAnsi="Arial Narrow"/>
                <w:sz w:val="20"/>
                <w:szCs w:val="20"/>
              </w:rPr>
              <w:t>Financial estimates &amp; risk share</w:t>
            </w:r>
          </w:p>
        </w:tc>
        <w:tc>
          <w:tcPr>
            <w:tcW w:w="2201" w:type="pct"/>
          </w:tcPr>
          <w:p w14:paraId="1080CEDE" w14:textId="77777777" w:rsidR="00EC2D5E" w:rsidRDefault="00EC2D5E" w:rsidP="00EC2D5E">
            <w:pPr>
              <w:jc w:val="left"/>
              <w:rPr>
                <w:rFonts w:ascii="Arial Narrow" w:hAnsi="Arial Narrow"/>
                <w:sz w:val="20"/>
                <w:szCs w:val="20"/>
              </w:rPr>
            </w:pPr>
            <w:r>
              <w:rPr>
                <w:rFonts w:ascii="Arial Narrow" w:hAnsi="Arial Narrow"/>
                <w:sz w:val="20"/>
                <w:szCs w:val="20"/>
              </w:rPr>
              <w:t>The PBAC considered (paras 7.12, 7.16 burosumab PSD March 2021), that:</w:t>
            </w:r>
          </w:p>
          <w:p w14:paraId="388CC489" w14:textId="1A1A9249" w:rsidR="00EC2D5E" w:rsidRDefault="00EC2D5E" w:rsidP="001A2C4E">
            <w:pPr>
              <w:pStyle w:val="ListBullet"/>
              <w:numPr>
                <w:ilvl w:val="0"/>
                <w:numId w:val="10"/>
              </w:numPr>
              <w:ind w:left="113" w:hanging="113"/>
            </w:pPr>
            <w:r>
              <w:rPr>
                <w:rFonts w:ascii="Arial Narrow" w:hAnsi="Arial Narrow"/>
                <w:sz w:val="20"/>
                <w:szCs w:val="20"/>
              </w:rPr>
              <w:t xml:space="preserve">the financial estimates in paediatrics were likely underestimated due to uncertainty in the dose, uptake rates would be higher in the initial years of listing due to more older and heavier prevalent patients </w:t>
            </w:r>
            <w:r w:rsidR="00566229">
              <w:rPr>
                <w:rFonts w:ascii="Arial Narrow" w:hAnsi="Arial Narrow"/>
                <w:sz w:val="20"/>
                <w:szCs w:val="20"/>
              </w:rPr>
              <w:t xml:space="preserve">likely </w:t>
            </w:r>
            <w:r>
              <w:rPr>
                <w:rFonts w:ascii="Arial Narrow" w:hAnsi="Arial Narrow"/>
                <w:sz w:val="20"/>
                <w:szCs w:val="20"/>
              </w:rPr>
              <w:t>being treated initially, absence of treatment for AEs and potentially more patients would be identified if BUR was listed on the PBS and PHEX mutation testing was more readily available.</w:t>
            </w:r>
          </w:p>
          <w:p w14:paraId="7F9661D3" w14:textId="77777777" w:rsidR="00B43A10" w:rsidRDefault="00B43A10" w:rsidP="00EC2D5E">
            <w:pPr>
              <w:rPr>
                <w:rFonts w:ascii="Arial Narrow" w:hAnsi="Arial Narrow"/>
                <w:sz w:val="20"/>
                <w:szCs w:val="20"/>
              </w:rPr>
            </w:pPr>
          </w:p>
          <w:p w14:paraId="0D4BA3FB" w14:textId="086AADB3" w:rsidR="00CE76B8" w:rsidRPr="000D296C" w:rsidRDefault="00EC2D5E" w:rsidP="00EC2D5E">
            <w:r>
              <w:rPr>
                <w:rFonts w:ascii="Arial Narrow" w:hAnsi="Arial Narrow"/>
                <w:sz w:val="20"/>
                <w:szCs w:val="20"/>
              </w:rPr>
              <w:t>The PBAC considered that a resubmission should inform utilisation in adults and children. An RSA consisted of fixed expenditure caps, beyond which rebates were applied, would also be necessary to mitigate risk relating to the financial impact of listing BUR</w:t>
            </w:r>
            <w:r>
              <w:t xml:space="preserve"> </w:t>
            </w:r>
            <w:r>
              <w:rPr>
                <w:rFonts w:ascii="Arial Narrow" w:hAnsi="Arial Narrow"/>
                <w:sz w:val="20"/>
                <w:szCs w:val="20"/>
              </w:rPr>
              <w:t>(para 7.15, burosumab PSD March 2021)</w:t>
            </w:r>
            <w:r w:rsidR="00FF1C6A">
              <w:rPr>
                <w:rFonts w:ascii="Arial Narrow" w:hAnsi="Arial Narrow"/>
                <w:sz w:val="20"/>
                <w:szCs w:val="20"/>
              </w:rPr>
              <w:t>.</w:t>
            </w:r>
          </w:p>
        </w:tc>
        <w:tc>
          <w:tcPr>
            <w:tcW w:w="2173" w:type="pct"/>
          </w:tcPr>
          <w:p w14:paraId="0682DB2F" w14:textId="1ADFE32A" w:rsidR="00EC2D5E" w:rsidRDefault="00EC2D5E" w:rsidP="00EC2D5E">
            <w:pPr>
              <w:jc w:val="left"/>
              <w:rPr>
                <w:rFonts w:ascii="Arial Narrow" w:hAnsi="Arial Narrow"/>
                <w:sz w:val="20"/>
                <w:szCs w:val="20"/>
              </w:rPr>
            </w:pPr>
            <w:r>
              <w:rPr>
                <w:rFonts w:ascii="Arial Narrow" w:hAnsi="Arial Narrow"/>
                <w:sz w:val="20"/>
                <w:szCs w:val="20"/>
              </w:rPr>
              <w:t>The financial estimates were revised incorporating prevalence of XLH in paediatrics and adults, lower effective price, dose regimen from North American Disease Monitoring Program and uptake rates for paediatrics and adults.</w:t>
            </w:r>
          </w:p>
          <w:p w14:paraId="651F3F29" w14:textId="77777777" w:rsidR="00EC2D5E" w:rsidRDefault="00EC2D5E" w:rsidP="00EC2D5E">
            <w:pPr>
              <w:jc w:val="left"/>
              <w:rPr>
                <w:rFonts w:ascii="Arial Narrow" w:hAnsi="Arial Narrow"/>
                <w:sz w:val="20"/>
                <w:szCs w:val="20"/>
              </w:rPr>
            </w:pPr>
          </w:p>
          <w:p w14:paraId="0F544B0F" w14:textId="007E00E1" w:rsidR="00CE76B8" w:rsidRPr="00F44F20" w:rsidRDefault="00EC2D5E" w:rsidP="00EC2D5E">
            <w:pPr>
              <w:jc w:val="left"/>
              <w:rPr>
                <w:rFonts w:ascii="Arial Narrow" w:hAnsi="Arial Narrow"/>
                <w:sz w:val="20"/>
                <w:szCs w:val="20"/>
              </w:rPr>
            </w:pPr>
            <w:r>
              <w:rPr>
                <w:rFonts w:ascii="Arial Narrow" w:hAnsi="Arial Narrow"/>
                <w:sz w:val="20"/>
                <w:szCs w:val="20"/>
              </w:rPr>
              <w:t xml:space="preserve">The resubmission included an RSA and proposed to reimburse the Australian government </w:t>
            </w:r>
            <w:r w:rsidR="00B355AE" w:rsidRPr="0035108E">
              <w:rPr>
                <w:rFonts w:ascii="Arial Narrow" w:hAnsi="Arial Narrow"/>
                <w:color w:val="000000"/>
                <w:spacing w:val="53"/>
                <w:sz w:val="20"/>
                <w:szCs w:val="20"/>
                <w:shd w:val="solid" w:color="000000" w:fill="000000"/>
                <w:fitText w:val="330" w:id="-1504471039"/>
                <w14:textFill>
                  <w14:solidFill>
                    <w14:srgbClr w14:val="000000">
                      <w14:alpha w14:val="100000"/>
                    </w14:srgbClr>
                  </w14:solidFill>
                </w14:textFill>
              </w:rPr>
              <w:t>|||</w:t>
            </w:r>
            <w:r w:rsidR="00B355AE" w:rsidRPr="0035108E">
              <w:rPr>
                <w:rFonts w:ascii="Arial Narrow" w:hAnsi="Arial Narrow"/>
                <w:color w:val="000000"/>
                <w:spacing w:val="1"/>
                <w:sz w:val="20"/>
                <w:szCs w:val="20"/>
                <w:shd w:val="solid" w:color="000000" w:fill="000000"/>
                <w:fitText w:val="330" w:id="-1504471039"/>
                <w14:textFill>
                  <w14:solidFill>
                    <w14:srgbClr w14:val="000000">
                      <w14:alpha w14:val="100000"/>
                    </w14:srgbClr>
                  </w14:solidFill>
                </w14:textFill>
              </w:rPr>
              <w:t>|</w:t>
            </w:r>
            <w:r w:rsidRPr="003C231F">
              <w:rPr>
                <w:rFonts w:ascii="Arial Narrow" w:hAnsi="Arial Narrow"/>
                <w:sz w:val="20"/>
                <w:szCs w:val="20"/>
              </w:rPr>
              <w:t>%</w:t>
            </w:r>
            <w:r>
              <w:rPr>
                <w:rFonts w:ascii="Arial Narrow" w:hAnsi="Arial Narrow"/>
                <w:sz w:val="20"/>
                <w:szCs w:val="20"/>
              </w:rPr>
              <w:t xml:space="preserve"> of any expenditure on BUR, over and above the annual financial caps, which would be calculated based on the resubmission’s base case assumptions of eligibility, uptake, and utilisation.</w:t>
            </w:r>
          </w:p>
        </w:tc>
      </w:tr>
    </w:tbl>
    <w:p w14:paraId="62151763" w14:textId="77777777" w:rsidR="00CE76B8" w:rsidRPr="00F44F20" w:rsidRDefault="00CE76B8" w:rsidP="00D16C13">
      <w:pPr>
        <w:rPr>
          <w:rFonts w:ascii="Arial Narrow" w:hAnsi="Arial Narrow"/>
          <w:sz w:val="18"/>
          <w:szCs w:val="18"/>
        </w:rPr>
      </w:pPr>
      <w:r w:rsidRPr="00F44F20">
        <w:rPr>
          <w:rFonts w:ascii="Arial Narrow" w:hAnsi="Arial Narrow"/>
          <w:sz w:val="18"/>
          <w:szCs w:val="18"/>
        </w:rPr>
        <w:t>Source: Compiled during the evaluation.</w:t>
      </w:r>
    </w:p>
    <w:p w14:paraId="50D1EF12" w14:textId="78B69428" w:rsidR="00CE76B8" w:rsidRDefault="00CE76B8" w:rsidP="00C75923">
      <w:pPr>
        <w:rPr>
          <w:rFonts w:ascii="Arial Narrow" w:hAnsi="Arial Narrow"/>
          <w:sz w:val="18"/>
          <w:szCs w:val="18"/>
        </w:rPr>
      </w:pPr>
      <w:r>
        <w:rPr>
          <w:rFonts w:ascii="Arial Narrow" w:hAnsi="Arial Narrow"/>
          <w:sz w:val="18"/>
          <w:szCs w:val="18"/>
        </w:rPr>
        <w:t xml:space="preserve">AE=adverse event; </w:t>
      </w:r>
      <w:r w:rsidRPr="00F44F20">
        <w:rPr>
          <w:rFonts w:ascii="Arial Narrow" w:hAnsi="Arial Narrow"/>
          <w:sz w:val="18"/>
          <w:szCs w:val="18"/>
        </w:rPr>
        <w:t xml:space="preserve">BUR=burosumab; CEC=clinical expert consultation; EAP=early access program; </w:t>
      </w:r>
      <w:r w:rsidRPr="000D296C">
        <w:rPr>
          <w:rFonts w:ascii="Arial Narrow" w:hAnsi="Arial Narrow"/>
          <w:sz w:val="18"/>
          <w:szCs w:val="18"/>
        </w:rPr>
        <w:t xml:space="preserve">PHEX=phosphate-regulating endopeptidase homolog; </w:t>
      </w:r>
      <w:r>
        <w:rPr>
          <w:rFonts w:ascii="Arial Narrow" w:hAnsi="Arial Narrow"/>
          <w:sz w:val="18"/>
          <w:szCs w:val="18"/>
        </w:rPr>
        <w:t xml:space="preserve">RSA=risk sharing arrangement; </w:t>
      </w:r>
      <w:r w:rsidRPr="00F44F20">
        <w:rPr>
          <w:rFonts w:ascii="Arial Narrow" w:hAnsi="Arial Narrow"/>
          <w:sz w:val="18"/>
          <w:szCs w:val="18"/>
        </w:rPr>
        <w:t>SPA=special pricing arrangement; XLH=X-linked hypophosphataemia</w:t>
      </w:r>
    </w:p>
    <w:p w14:paraId="0F5EB46D" w14:textId="3F3C70AC" w:rsidR="001A2C4E" w:rsidRDefault="001A2C4E" w:rsidP="001A2C4E"/>
    <w:p w14:paraId="0CBB3D5F" w14:textId="7B5B0453" w:rsidR="001A2C4E" w:rsidRPr="001A2C4E" w:rsidRDefault="001A2C4E" w:rsidP="001A2C4E">
      <w:pPr>
        <w:ind w:left="510" w:firstLine="170"/>
        <w:rPr>
          <w:i/>
          <w:iCs/>
        </w:rPr>
      </w:pPr>
      <w:r w:rsidRPr="001A2C4E">
        <w:rPr>
          <w:i/>
          <w:iCs/>
        </w:rPr>
        <w:t>For more detail on PBAC’s view, see section 7 PBAC outcome.</w:t>
      </w:r>
    </w:p>
    <w:p w14:paraId="20CD74A9" w14:textId="77777777" w:rsidR="00CE76B8" w:rsidRPr="00882085" w:rsidRDefault="00CE76B8" w:rsidP="0095478A">
      <w:pPr>
        <w:pStyle w:val="2-SectionHeading"/>
      </w:pPr>
      <w:bookmarkStart w:id="18" w:name="_Toc92386475"/>
      <w:bookmarkStart w:id="19" w:name="_Toc93406125"/>
      <w:r w:rsidRPr="00407F2D">
        <w:lastRenderedPageBreak/>
        <w:t>Requested listing</w:t>
      </w:r>
      <w:bookmarkEnd w:id="18"/>
      <w:bookmarkEnd w:id="19"/>
    </w:p>
    <w:p w14:paraId="5CB95533" w14:textId="6FD16F66" w:rsidR="008E65F1" w:rsidRPr="003B16E7" w:rsidRDefault="003B16E7" w:rsidP="008E65F1">
      <w:pPr>
        <w:pStyle w:val="ListParagraph"/>
        <w:numPr>
          <w:ilvl w:val="1"/>
          <w:numId w:val="1"/>
        </w:numPr>
        <w:rPr>
          <w:rFonts w:cs="Calibri"/>
          <w:bCs/>
          <w:iCs/>
        </w:rPr>
      </w:pPr>
      <w:r w:rsidRPr="003B16E7">
        <w:rPr>
          <w:rFonts w:cs="Calibri"/>
          <w:bCs/>
          <w:iCs/>
        </w:rPr>
        <w:t>T</w:t>
      </w:r>
      <w:r w:rsidR="008E65F1" w:rsidRPr="003B16E7">
        <w:rPr>
          <w:rFonts w:cs="Calibri"/>
          <w:bCs/>
          <w:iCs/>
        </w:rPr>
        <w:t>he requested listing and suggested wording for the restriction</w:t>
      </w:r>
      <w:r>
        <w:rPr>
          <w:rFonts w:cs="Calibri"/>
          <w:bCs/>
          <w:iCs/>
        </w:rPr>
        <w:t xml:space="preserve"> as proposed by the Secretariat </w:t>
      </w:r>
      <w:r w:rsidR="00B43A10">
        <w:rPr>
          <w:rFonts w:cs="Calibri"/>
          <w:bCs/>
          <w:iCs/>
        </w:rPr>
        <w:t xml:space="preserve">(additions are in italics, deletions in strikethrough) </w:t>
      </w:r>
      <w:r w:rsidR="00B552DF">
        <w:rPr>
          <w:rFonts w:cs="Calibri"/>
          <w:bCs/>
          <w:iCs/>
        </w:rPr>
        <w:t>is presented below</w:t>
      </w:r>
      <w:r w:rsidR="008E65F1" w:rsidRPr="003B16E7">
        <w:rPr>
          <w:rFonts w:cs="Calibri"/>
          <w:bCs/>
          <w:iCs/>
        </w:rPr>
        <w:t xml:space="preserve">. </w:t>
      </w:r>
    </w:p>
    <w:p w14:paraId="0501392F" w14:textId="24A95E09" w:rsidR="00CE76B8" w:rsidRPr="00F44F20" w:rsidRDefault="00CE76B8" w:rsidP="0095478A">
      <w:pPr>
        <w:keepNext/>
        <w:rPr>
          <w:rFonts w:ascii="Arial Narrow" w:hAnsi="Arial Narrow"/>
          <w:b/>
          <w:sz w:val="20"/>
        </w:rPr>
      </w:pPr>
      <w:r w:rsidRPr="00FC79D5">
        <w:rPr>
          <w:rFonts w:ascii="Arial Narrow" w:hAnsi="Arial Narrow"/>
          <w:b/>
          <w:sz w:val="20"/>
        </w:rPr>
        <w:t xml:space="preserve">Table </w:t>
      </w:r>
      <w:r w:rsidRPr="00FC79D5">
        <w:rPr>
          <w:rFonts w:ascii="Arial Narrow" w:hAnsi="Arial Narrow"/>
          <w:b/>
          <w:sz w:val="20"/>
        </w:rPr>
        <w:fldChar w:fldCharType="begin"/>
      </w:r>
      <w:r w:rsidRPr="00FC79D5">
        <w:rPr>
          <w:rFonts w:ascii="Arial Narrow" w:hAnsi="Arial Narrow"/>
          <w:b/>
          <w:sz w:val="20"/>
        </w:rPr>
        <w:instrText xml:space="preserve"> SEQ Table \* ARABIC </w:instrText>
      </w:r>
      <w:r w:rsidRPr="00FC79D5">
        <w:rPr>
          <w:rFonts w:ascii="Arial Narrow" w:hAnsi="Arial Narrow"/>
          <w:b/>
          <w:sz w:val="20"/>
        </w:rPr>
        <w:fldChar w:fldCharType="separate"/>
      </w:r>
      <w:r w:rsidR="00676539">
        <w:rPr>
          <w:rFonts w:ascii="Arial Narrow" w:hAnsi="Arial Narrow"/>
          <w:b/>
          <w:noProof/>
          <w:sz w:val="20"/>
        </w:rPr>
        <w:t>3</w:t>
      </w:r>
      <w:r w:rsidRPr="00FC79D5">
        <w:rPr>
          <w:rFonts w:ascii="Arial Narrow" w:hAnsi="Arial Narrow"/>
          <w:b/>
          <w:sz w:val="20"/>
        </w:rPr>
        <w:fldChar w:fldCharType="end"/>
      </w:r>
      <w:r w:rsidRPr="00FC79D5">
        <w:rPr>
          <w:rFonts w:ascii="Arial Narrow" w:hAnsi="Arial Narrow"/>
          <w:b/>
          <w:sz w:val="20"/>
        </w:rPr>
        <w:t xml:space="preserve">: </w:t>
      </w:r>
      <w:r w:rsidRPr="00F44F20">
        <w:rPr>
          <w:rFonts w:ascii="Arial Narrow" w:hAnsi="Arial Narrow"/>
          <w:b/>
          <w:sz w:val="20"/>
        </w:rPr>
        <w:t>Essential elements of the requested listing</w:t>
      </w:r>
    </w:p>
    <w:tbl>
      <w:tblPr>
        <w:tblW w:w="4947"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Caption w:val="Table 3: Essential elements of the requested listing"/>
      </w:tblPr>
      <w:tblGrid>
        <w:gridCol w:w="2267"/>
        <w:gridCol w:w="520"/>
        <w:gridCol w:w="329"/>
        <w:gridCol w:w="854"/>
        <w:gridCol w:w="707"/>
        <w:gridCol w:w="1559"/>
        <w:gridCol w:w="1563"/>
        <w:gridCol w:w="1132"/>
      </w:tblGrid>
      <w:tr w:rsidR="00CE76B8" w:rsidRPr="00F44F20" w14:paraId="25C9560F" w14:textId="77777777" w:rsidTr="0010205D">
        <w:tc>
          <w:tcPr>
            <w:tcW w:w="1269" w:type="pct"/>
            <w:tcBorders>
              <w:top w:val="single" w:sz="4" w:space="0" w:color="auto"/>
              <w:left w:val="nil"/>
              <w:bottom w:val="single" w:sz="4" w:space="0" w:color="auto"/>
              <w:right w:val="nil"/>
            </w:tcBorders>
            <w:hideMark/>
          </w:tcPr>
          <w:p w14:paraId="1AFB85FC" w14:textId="77777777" w:rsidR="00CE76B8" w:rsidRPr="00F44F20" w:rsidRDefault="00CE76B8" w:rsidP="0095478A">
            <w:pPr>
              <w:keepNext/>
              <w:jc w:val="left"/>
              <w:rPr>
                <w:rFonts w:ascii="Arial Narrow" w:hAnsi="Arial Narrow" w:cs="Times New Roman"/>
                <w:b/>
                <w:bCs/>
                <w:snapToGrid w:val="0"/>
                <w:sz w:val="20"/>
              </w:rPr>
            </w:pPr>
            <w:r w:rsidRPr="00F44F20">
              <w:rPr>
                <w:rFonts w:ascii="Arial Narrow" w:hAnsi="Arial Narrow" w:cs="Times New Roman"/>
                <w:b/>
                <w:snapToGrid w:val="0"/>
                <w:sz w:val="20"/>
              </w:rPr>
              <w:t>Name, restriction, manner of administration, form</w:t>
            </w:r>
          </w:p>
        </w:tc>
        <w:tc>
          <w:tcPr>
            <w:tcW w:w="475" w:type="pct"/>
            <w:gridSpan w:val="2"/>
            <w:tcBorders>
              <w:top w:val="single" w:sz="4" w:space="0" w:color="auto"/>
              <w:left w:val="nil"/>
              <w:bottom w:val="single" w:sz="4" w:space="0" w:color="auto"/>
              <w:right w:val="nil"/>
            </w:tcBorders>
            <w:hideMark/>
          </w:tcPr>
          <w:p w14:paraId="3E4FDA15"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 (packs)</w:t>
            </w:r>
          </w:p>
        </w:tc>
        <w:tc>
          <w:tcPr>
            <w:tcW w:w="478" w:type="pct"/>
            <w:tcBorders>
              <w:top w:val="single" w:sz="4" w:space="0" w:color="auto"/>
              <w:left w:val="nil"/>
              <w:bottom w:val="single" w:sz="4" w:space="0" w:color="auto"/>
              <w:right w:val="nil"/>
            </w:tcBorders>
            <w:hideMark/>
          </w:tcPr>
          <w:p w14:paraId="186E20B0"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 (units)</w:t>
            </w:r>
          </w:p>
        </w:tc>
        <w:tc>
          <w:tcPr>
            <w:tcW w:w="396" w:type="pct"/>
            <w:tcBorders>
              <w:top w:val="single" w:sz="4" w:space="0" w:color="auto"/>
              <w:left w:val="nil"/>
              <w:bottom w:val="single" w:sz="4" w:space="0" w:color="auto"/>
              <w:right w:val="nil"/>
            </w:tcBorders>
            <w:hideMark/>
          </w:tcPr>
          <w:p w14:paraId="53E8B73C"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No. of repeats</w:t>
            </w:r>
          </w:p>
        </w:tc>
        <w:tc>
          <w:tcPr>
            <w:tcW w:w="1748" w:type="pct"/>
            <w:gridSpan w:val="2"/>
            <w:tcBorders>
              <w:top w:val="single" w:sz="4" w:space="0" w:color="auto"/>
              <w:left w:val="nil"/>
              <w:bottom w:val="single" w:sz="4" w:space="0" w:color="auto"/>
              <w:right w:val="nil"/>
            </w:tcBorders>
            <w:hideMark/>
          </w:tcPr>
          <w:p w14:paraId="21CA5496" w14:textId="77777777" w:rsidR="00CE76B8" w:rsidRPr="00F44F20" w:rsidRDefault="00CE76B8" w:rsidP="0095478A">
            <w:pPr>
              <w:keepNext/>
              <w:jc w:val="center"/>
              <w:rPr>
                <w:rFonts w:ascii="Arial Narrow" w:hAnsi="Arial Narrow" w:cs="Times New Roman"/>
                <w:b/>
                <w:snapToGrid w:val="0"/>
                <w:sz w:val="20"/>
              </w:rPr>
            </w:pPr>
            <w:r w:rsidRPr="00F44F20">
              <w:rPr>
                <w:rFonts w:ascii="Arial Narrow" w:hAnsi="Arial Narrow" w:cs="Times New Roman"/>
                <w:b/>
                <w:snapToGrid w:val="0"/>
                <w:sz w:val="20"/>
              </w:rPr>
              <w:t xml:space="preserve">Dispensed price for </w:t>
            </w:r>
          </w:p>
          <w:p w14:paraId="6A1BC586"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maximum quantity</w:t>
            </w:r>
          </w:p>
        </w:tc>
        <w:tc>
          <w:tcPr>
            <w:tcW w:w="634" w:type="pct"/>
            <w:tcBorders>
              <w:top w:val="single" w:sz="4" w:space="0" w:color="auto"/>
              <w:left w:val="nil"/>
              <w:bottom w:val="single" w:sz="4" w:space="0" w:color="auto"/>
              <w:right w:val="nil"/>
            </w:tcBorders>
            <w:hideMark/>
          </w:tcPr>
          <w:p w14:paraId="46758703" w14:textId="77777777" w:rsidR="00CE76B8" w:rsidRPr="00F44F20" w:rsidRDefault="00CE76B8" w:rsidP="0095478A">
            <w:pPr>
              <w:keepNext/>
              <w:jc w:val="center"/>
              <w:rPr>
                <w:rFonts w:ascii="Arial Narrow" w:hAnsi="Arial Narrow" w:cs="Times New Roman"/>
                <w:b/>
                <w:bCs/>
                <w:snapToGrid w:val="0"/>
                <w:sz w:val="20"/>
              </w:rPr>
            </w:pPr>
            <w:r w:rsidRPr="00F44F20">
              <w:rPr>
                <w:rFonts w:ascii="Arial Narrow" w:hAnsi="Arial Narrow" w:cs="Times New Roman"/>
                <w:b/>
                <w:snapToGrid w:val="0"/>
                <w:sz w:val="20"/>
              </w:rPr>
              <w:t>Proprietary name and manufacturer</w:t>
            </w:r>
          </w:p>
        </w:tc>
      </w:tr>
      <w:tr w:rsidR="0010205D" w:rsidRPr="00F44F20" w14:paraId="0517BD0F" w14:textId="77777777" w:rsidTr="0010205D">
        <w:tc>
          <w:tcPr>
            <w:tcW w:w="2618" w:type="pct"/>
            <w:gridSpan w:val="5"/>
            <w:tcBorders>
              <w:top w:val="single" w:sz="4" w:space="0" w:color="auto"/>
              <w:left w:val="nil"/>
              <w:bottom w:val="single" w:sz="4" w:space="0" w:color="auto"/>
              <w:right w:val="nil"/>
            </w:tcBorders>
            <w:vAlign w:val="bottom"/>
          </w:tcPr>
          <w:p w14:paraId="030748C2" w14:textId="77777777" w:rsidR="0010205D" w:rsidRPr="00F44F20" w:rsidRDefault="0010205D" w:rsidP="0010205D">
            <w:pPr>
              <w:jc w:val="left"/>
              <w:rPr>
                <w:rFonts w:ascii="Arial Narrow" w:hAnsi="Arial Narrow" w:cs="Times New Roman"/>
                <w:snapToGrid w:val="0"/>
                <w:sz w:val="20"/>
              </w:rPr>
            </w:pPr>
            <w:r>
              <w:rPr>
                <w:rFonts w:ascii="Arial Narrow" w:hAnsi="Arial Narrow" w:cs="Times New Roman"/>
                <w:b/>
                <w:bCs/>
                <w:i/>
                <w:iCs/>
                <w:snapToGrid w:val="0"/>
                <w:sz w:val="20"/>
              </w:rPr>
              <w:t>Initial / Continuing / Grandfathered</w:t>
            </w:r>
          </w:p>
        </w:tc>
        <w:tc>
          <w:tcPr>
            <w:tcW w:w="873" w:type="pct"/>
            <w:tcBorders>
              <w:top w:val="single" w:sz="4" w:space="0" w:color="auto"/>
              <w:left w:val="nil"/>
              <w:bottom w:val="single" w:sz="4" w:space="0" w:color="auto"/>
              <w:right w:val="nil"/>
            </w:tcBorders>
            <w:vAlign w:val="bottom"/>
          </w:tcPr>
          <w:p w14:paraId="497EF25F" w14:textId="6FEE4448" w:rsidR="0010205D" w:rsidRPr="0010205D" w:rsidRDefault="0010205D" w:rsidP="0010205D">
            <w:pPr>
              <w:jc w:val="left"/>
              <w:rPr>
                <w:rFonts w:ascii="Arial Narrow" w:hAnsi="Arial Narrow" w:cs="Times New Roman"/>
                <w:i/>
                <w:iCs/>
                <w:snapToGrid w:val="0"/>
                <w:sz w:val="20"/>
              </w:rPr>
            </w:pPr>
            <w:r w:rsidRPr="0010205D">
              <w:rPr>
                <w:rFonts w:ascii="Arial Narrow" w:hAnsi="Arial Narrow" w:cs="Times New Roman"/>
                <w:i/>
                <w:iCs/>
                <w:snapToGrid w:val="0"/>
                <w:sz w:val="20"/>
              </w:rPr>
              <w:t>Published:</w:t>
            </w:r>
          </w:p>
        </w:tc>
        <w:tc>
          <w:tcPr>
            <w:tcW w:w="1509" w:type="pct"/>
            <w:gridSpan w:val="2"/>
            <w:tcBorders>
              <w:top w:val="single" w:sz="4" w:space="0" w:color="auto"/>
              <w:left w:val="nil"/>
              <w:bottom w:val="single" w:sz="4" w:space="0" w:color="auto"/>
              <w:right w:val="nil"/>
            </w:tcBorders>
            <w:vAlign w:val="bottom"/>
          </w:tcPr>
          <w:p w14:paraId="5A0175F9" w14:textId="740207C3" w:rsidR="0010205D" w:rsidRPr="0010205D" w:rsidRDefault="0010205D" w:rsidP="0010205D">
            <w:pPr>
              <w:jc w:val="left"/>
              <w:rPr>
                <w:rFonts w:ascii="Arial Narrow" w:hAnsi="Arial Narrow" w:cs="Times New Roman"/>
                <w:i/>
                <w:iCs/>
                <w:snapToGrid w:val="0"/>
                <w:sz w:val="20"/>
              </w:rPr>
            </w:pPr>
            <w:r w:rsidRPr="0010205D">
              <w:rPr>
                <w:rFonts w:ascii="Arial Narrow" w:hAnsi="Arial Narrow" w:cs="Times New Roman"/>
                <w:i/>
                <w:iCs/>
                <w:snapToGrid w:val="0"/>
                <w:sz w:val="20"/>
              </w:rPr>
              <w:t>Effective:</w:t>
            </w:r>
          </w:p>
        </w:tc>
      </w:tr>
      <w:tr w:rsidR="00CE76B8" w:rsidRPr="00F44F20" w14:paraId="041A7F6D" w14:textId="77777777" w:rsidTr="0010205D">
        <w:tc>
          <w:tcPr>
            <w:tcW w:w="1269" w:type="pct"/>
            <w:tcBorders>
              <w:top w:val="single" w:sz="4" w:space="0" w:color="auto"/>
              <w:left w:val="nil"/>
              <w:bottom w:val="single" w:sz="4" w:space="0" w:color="auto"/>
              <w:right w:val="nil"/>
            </w:tcBorders>
            <w:vAlign w:val="bottom"/>
            <w:hideMark/>
          </w:tcPr>
          <w:p w14:paraId="2286F57A" w14:textId="77777777" w:rsidR="00CE76B8" w:rsidRPr="00F44F20" w:rsidRDefault="00CE76B8" w:rsidP="002E1D81">
            <w:pPr>
              <w:jc w:val="left"/>
              <w:rPr>
                <w:rFonts w:ascii="Arial Narrow" w:hAnsi="Arial Narrow" w:cs="Times New Roman"/>
                <w:bCs/>
                <w:snapToGrid w:val="0"/>
                <w:sz w:val="20"/>
              </w:rPr>
            </w:pPr>
            <w:r w:rsidRPr="00F44F20">
              <w:rPr>
                <w:rFonts w:ascii="Arial Narrow" w:hAnsi="Arial Narrow" w:cs="Times New Roman"/>
                <w:snapToGrid w:val="0"/>
                <w:sz w:val="20"/>
              </w:rPr>
              <w:t>BUROSUMAB</w:t>
            </w:r>
            <w:r w:rsidRPr="00F44F20">
              <w:rPr>
                <w:rFonts w:ascii="Arial Narrow" w:hAnsi="Arial Narrow" w:cs="Times New Roman"/>
                <w:bCs/>
                <w:snapToGrid w:val="0"/>
                <w:sz w:val="20"/>
              </w:rPr>
              <w:t xml:space="preserve"> </w:t>
            </w:r>
          </w:p>
          <w:p w14:paraId="2E840E2E"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bCs/>
                <w:snapToGrid w:val="0"/>
                <w:sz w:val="20"/>
              </w:rPr>
              <w:t>10 mg in 1 mL^</w:t>
            </w:r>
          </w:p>
        </w:tc>
        <w:tc>
          <w:tcPr>
            <w:tcW w:w="291" w:type="pct"/>
            <w:tcBorders>
              <w:top w:val="single" w:sz="4" w:space="0" w:color="auto"/>
              <w:left w:val="nil"/>
              <w:right w:val="nil"/>
            </w:tcBorders>
            <w:vAlign w:val="center"/>
            <w:hideMark/>
          </w:tcPr>
          <w:p w14:paraId="1B20D1C8"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top w:val="single" w:sz="4" w:space="0" w:color="auto"/>
              <w:left w:val="nil"/>
              <w:right w:val="nil"/>
            </w:tcBorders>
            <w:vAlign w:val="center"/>
          </w:tcPr>
          <w:p w14:paraId="551C9BAE"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top w:val="single" w:sz="4" w:space="0" w:color="auto"/>
              <w:left w:val="nil"/>
              <w:right w:val="nil"/>
            </w:tcBorders>
            <w:vAlign w:val="center"/>
          </w:tcPr>
          <w:p w14:paraId="458D3AA0"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16877029"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$15,768.00 (public)</w:t>
            </w:r>
          </w:p>
          <w:p w14:paraId="64E69C00"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15,815.78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377521D1" w14:textId="7D5AA53F"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8"/>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8"/>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239F32A8" w14:textId="41FF59EB"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7"/>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7"/>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val="restart"/>
            <w:tcBorders>
              <w:top w:val="single" w:sz="4" w:space="0" w:color="auto"/>
              <w:left w:val="nil"/>
              <w:right w:val="nil"/>
            </w:tcBorders>
            <w:vAlign w:val="center"/>
            <w:hideMark/>
          </w:tcPr>
          <w:p w14:paraId="2D6727CE"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Crysvita®</w:t>
            </w:r>
          </w:p>
          <w:p w14:paraId="696EDC54"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Kyowa Kirin</w:t>
            </w:r>
          </w:p>
          <w:p w14:paraId="5D078231"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Australia Pty Ltd</w:t>
            </w:r>
          </w:p>
        </w:tc>
      </w:tr>
      <w:tr w:rsidR="00CE76B8" w:rsidRPr="00F44F20" w14:paraId="5B1529D0" w14:textId="77777777" w:rsidTr="0010205D">
        <w:tc>
          <w:tcPr>
            <w:tcW w:w="1269" w:type="pct"/>
            <w:tcBorders>
              <w:top w:val="single" w:sz="4" w:space="0" w:color="auto"/>
              <w:left w:val="nil"/>
              <w:bottom w:val="single" w:sz="4" w:space="0" w:color="auto"/>
              <w:right w:val="nil"/>
            </w:tcBorders>
            <w:vAlign w:val="center"/>
            <w:hideMark/>
          </w:tcPr>
          <w:p w14:paraId="0797221D"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 xml:space="preserve">BUROSUMAB </w:t>
            </w:r>
          </w:p>
          <w:p w14:paraId="4C0457C6"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20 mg in 1 mL^</w:t>
            </w:r>
          </w:p>
        </w:tc>
        <w:tc>
          <w:tcPr>
            <w:tcW w:w="291" w:type="pct"/>
            <w:tcBorders>
              <w:left w:val="nil"/>
              <w:right w:val="nil"/>
            </w:tcBorders>
            <w:vAlign w:val="center"/>
            <w:hideMark/>
          </w:tcPr>
          <w:p w14:paraId="5DA82B55"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left w:val="nil"/>
              <w:right w:val="nil"/>
            </w:tcBorders>
            <w:vAlign w:val="center"/>
          </w:tcPr>
          <w:p w14:paraId="17934502"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left w:val="nil"/>
              <w:right w:val="nil"/>
            </w:tcBorders>
            <w:vAlign w:val="center"/>
          </w:tcPr>
          <w:p w14:paraId="07CB0B23"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1376F40A"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$31,536.00 (public)</w:t>
            </w:r>
          </w:p>
          <w:p w14:paraId="557CF18F"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31,583.78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354BD131" w14:textId="554B3F5E"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6"/>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6"/>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38A52143" w14:textId="0085BF2E"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5"/>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5"/>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tcBorders>
              <w:left w:val="nil"/>
              <w:right w:val="nil"/>
            </w:tcBorders>
            <w:vAlign w:val="center"/>
            <w:hideMark/>
          </w:tcPr>
          <w:p w14:paraId="31F9E6BA" w14:textId="77777777" w:rsidR="00CE76B8" w:rsidRPr="00F44F20" w:rsidRDefault="00CE76B8" w:rsidP="002E1D81">
            <w:pPr>
              <w:jc w:val="left"/>
              <w:rPr>
                <w:rFonts w:ascii="Arial Narrow" w:hAnsi="Arial Narrow" w:cs="Times New Roman"/>
                <w:snapToGrid w:val="0"/>
                <w:sz w:val="20"/>
              </w:rPr>
            </w:pPr>
          </w:p>
        </w:tc>
      </w:tr>
      <w:tr w:rsidR="00CE76B8" w:rsidRPr="00F44F20" w14:paraId="1C87285C" w14:textId="77777777" w:rsidTr="0010205D">
        <w:tc>
          <w:tcPr>
            <w:tcW w:w="1269" w:type="pct"/>
            <w:tcBorders>
              <w:top w:val="single" w:sz="4" w:space="0" w:color="auto"/>
              <w:left w:val="nil"/>
              <w:bottom w:val="single" w:sz="4" w:space="0" w:color="auto"/>
              <w:right w:val="nil"/>
            </w:tcBorders>
            <w:vAlign w:val="center"/>
            <w:hideMark/>
          </w:tcPr>
          <w:p w14:paraId="55F1EBE6"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 xml:space="preserve">BUROSUMAB </w:t>
            </w:r>
          </w:p>
          <w:p w14:paraId="3CF3C081"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30 mg in 1 mL^</w:t>
            </w:r>
          </w:p>
        </w:tc>
        <w:tc>
          <w:tcPr>
            <w:tcW w:w="291" w:type="pct"/>
            <w:tcBorders>
              <w:left w:val="nil"/>
              <w:right w:val="nil"/>
            </w:tcBorders>
            <w:vAlign w:val="center"/>
            <w:hideMark/>
          </w:tcPr>
          <w:p w14:paraId="6E2CE88E"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662" w:type="pct"/>
            <w:gridSpan w:val="2"/>
            <w:tcBorders>
              <w:left w:val="nil"/>
              <w:right w:val="nil"/>
            </w:tcBorders>
            <w:vAlign w:val="center"/>
          </w:tcPr>
          <w:p w14:paraId="4BE28BAB"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2</w:t>
            </w:r>
          </w:p>
        </w:tc>
        <w:tc>
          <w:tcPr>
            <w:tcW w:w="396" w:type="pct"/>
            <w:tcBorders>
              <w:left w:val="nil"/>
              <w:right w:val="nil"/>
            </w:tcBorders>
            <w:vAlign w:val="center"/>
          </w:tcPr>
          <w:p w14:paraId="4D14F12B" w14:textId="77777777" w:rsidR="00CE76B8" w:rsidRPr="00F44F20" w:rsidRDefault="00CE76B8" w:rsidP="002E1D81">
            <w:pPr>
              <w:jc w:val="center"/>
              <w:rPr>
                <w:rFonts w:ascii="Arial Narrow" w:hAnsi="Arial Narrow" w:cs="Times New Roman"/>
                <w:snapToGrid w:val="0"/>
                <w:sz w:val="20"/>
              </w:rPr>
            </w:pPr>
            <w:r w:rsidRPr="00F44F20">
              <w:rPr>
                <w:rFonts w:ascii="Arial Narrow" w:hAnsi="Arial Narrow" w:cs="Times New Roman"/>
                <w:snapToGrid w:val="0"/>
                <w:sz w:val="20"/>
              </w:rPr>
              <w:t>0</w:t>
            </w:r>
          </w:p>
        </w:tc>
        <w:tc>
          <w:tcPr>
            <w:tcW w:w="873" w:type="pct"/>
            <w:tcBorders>
              <w:top w:val="single" w:sz="4" w:space="0" w:color="auto"/>
              <w:left w:val="nil"/>
              <w:bottom w:val="single" w:sz="4" w:space="0" w:color="auto"/>
              <w:right w:val="nil"/>
            </w:tcBorders>
            <w:shd w:val="clear" w:color="auto" w:fill="C6D9F1" w:themeFill="text2" w:themeFillTint="33"/>
            <w:vAlign w:val="center"/>
            <w:hideMark/>
          </w:tcPr>
          <w:p w14:paraId="3774D47D" w14:textId="77777777"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$47,304.00 (public)</w:t>
            </w:r>
          </w:p>
          <w:p w14:paraId="18089F65" w14:textId="77777777" w:rsidR="00CE76B8" w:rsidRPr="00F44F20" w:rsidRDefault="00CE76B8" w:rsidP="001F6A87">
            <w:pPr>
              <w:jc w:val="center"/>
              <w:rPr>
                <w:rFonts w:ascii="Arial Narrow" w:hAnsi="Arial Narrow" w:cs="Times New Roman"/>
                <w:snapToGrid w:val="0"/>
                <w:sz w:val="20"/>
              </w:rPr>
            </w:pPr>
            <w:r w:rsidRPr="00F44F20">
              <w:rPr>
                <w:rFonts w:ascii="Arial Narrow" w:hAnsi="Arial Narrow" w:cs="Times New Roman"/>
                <w:snapToGrid w:val="0"/>
                <w:sz w:val="20"/>
              </w:rPr>
              <w:t>$</w:t>
            </w:r>
            <w:r w:rsidRPr="001F6A87">
              <w:rPr>
                <w:rFonts w:ascii="Arial Narrow" w:hAnsi="Arial Narrow" w:cs="Times New Roman"/>
                <w:snapToGrid w:val="0"/>
                <w:sz w:val="20"/>
              </w:rPr>
              <w:t>47,351.78</w:t>
            </w:r>
            <w:r w:rsidRPr="00F44F20">
              <w:rPr>
                <w:rFonts w:ascii="Arial Narrow" w:hAnsi="Arial Narrow" w:cs="Times New Roman"/>
                <w:snapToGrid w:val="0"/>
                <w:sz w:val="20"/>
              </w:rPr>
              <w:t xml:space="preserve"> (private)</w:t>
            </w:r>
          </w:p>
        </w:tc>
        <w:tc>
          <w:tcPr>
            <w:tcW w:w="875" w:type="pct"/>
            <w:tcBorders>
              <w:top w:val="single" w:sz="4" w:space="0" w:color="auto"/>
              <w:left w:val="nil"/>
              <w:bottom w:val="single" w:sz="4" w:space="0" w:color="auto"/>
              <w:right w:val="nil"/>
            </w:tcBorders>
            <w:vAlign w:val="center"/>
            <w:hideMark/>
          </w:tcPr>
          <w:p w14:paraId="1DD7B352" w14:textId="6433D138"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4"/>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4"/>
                <w14:textFill>
                  <w14:solidFill>
                    <w14:srgbClr w14:val="000000">
                      <w14:alpha w14:val="100000"/>
                    </w14:srgbClr>
                  </w14:solidFill>
                </w14:textFill>
              </w:rPr>
              <w:t>|</w:t>
            </w:r>
            <w:r w:rsidRPr="00F44F20">
              <w:rPr>
                <w:rFonts w:ascii="Arial Narrow" w:hAnsi="Arial Narrow" w:cs="Times New Roman"/>
                <w:snapToGrid w:val="0"/>
                <w:sz w:val="20"/>
              </w:rPr>
              <w:t xml:space="preserve"> (public)</w:t>
            </w:r>
          </w:p>
          <w:p w14:paraId="77070B28" w14:textId="0767A259" w:rsidR="00CE76B8" w:rsidRPr="00F44F20" w:rsidRDefault="00CE76B8" w:rsidP="002E1D81">
            <w:pPr>
              <w:jc w:val="left"/>
              <w:rPr>
                <w:rFonts w:ascii="Arial Narrow" w:hAnsi="Arial Narrow" w:cs="Times New Roman"/>
                <w:snapToGrid w:val="0"/>
                <w:sz w:val="20"/>
              </w:rPr>
            </w:pPr>
            <w:r w:rsidRPr="00F44F20">
              <w:rPr>
                <w:rFonts w:ascii="Arial Narrow" w:hAnsi="Arial Narrow" w:cs="Times New Roman"/>
                <w:snapToGrid w:val="0"/>
                <w:sz w:val="20"/>
              </w:rPr>
              <w:t>$</w:t>
            </w:r>
            <w:r w:rsidR="00B355AE" w:rsidRPr="0035108E">
              <w:rPr>
                <w:rFonts w:ascii="Arial Narrow" w:hAnsi="Arial Narrow" w:cs="Times New Roman"/>
                <w:snapToGrid w:val="0"/>
                <w:color w:val="000000"/>
                <w:spacing w:val="53"/>
                <w:sz w:val="20"/>
                <w:shd w:val="solid" w:color="000000" w:fill="000000"/>
                <w:fitText w:val="330" w:id="-1504471033"/>
                <w14:textFill>
                  <w14:solidFill>
                    <w14:srgbClr w14:val="000000">
                      <w14:alpha w14:val="100000"/>
                    </w14:srgbClr>
                  </w14:solidFill>
                </w14:textFill>
              </w:rPr>
              <w:t>|||</w:t>
            </w:r>
            <w:r w:rsidR="00B355AE" w:rsidRPr="0035108E">
              <w:rPr>
                <w:rFonts w:ascii="Arial Narrow" w:hAnsi="Arial Narrow" w:cs="Times New Roman"/>
                <w:snapToGrid w:val="0"/>
                <w:color w:val="000000"/>
                <w:spacing w:val="1"/>
                <w:sz w:val="20"/>
                <w:shd w:val="solid" w:color="000000" w:fill="000000"/>
                <w:fitText w:val="330" w:id="-1504471033"/>
                <w14:textFill>
                  <w14:solidFill>
                    <w14:srgbClr w14:val="000000">
                      <w14:alpha w14:val="100000"/>
                    </w14:srgbClr>
                  </w14:solidFill>
                </w14:textFill>
              </w:rPr>
              <w:t>|</w:t>
            </w:r>
            <w:r w:rsidRPr="00F44F20">
              <w:rPr>
                <w:rFonts w:ascii="Arial Narrow" w:hAnsi="Arial Narrow" w:cs="Times New Roman"/>
                <w:snapToGrid w:val="0"/>
                <w:sz w:val="20"/>
              </w:rPr>
              <w:t xml:space="preserve"> (private)</w:t>
            </w:r>
          </w:p>
        </w:tc>
        <w:tc>
          <w:tcPr>
            <w:tcW w:w="634" w:type="pct"/>
            <w:vMerge/>
            <w:tcBorders>
              <w:left w:val="nil"/>
              <w:right w:val="nil"/>
            </w:tcBorders>
            <w:vAlign w:val="center"/>
            <w:hideMark/>
          </w:tcPr>
          <w:p w14:paraId="6443EA7A" w14:textId="77777777" w:rsidR="00CE76B8" w:rsidRPr="00F44F20" w:rsidRDefault="00CE76B8" w:rsidP="002E1D81">
            <w:pPr>
              <w:jc w:val="left"/>
              <w:rPr>
                <w:rFonts w:ascii="Arial Narrow" w:hAnsi="Arial Narrow" w:cs="Times New Roman"/>
                <w:snapToGrid w:val="0"/>
                <w:sz w:val="20"/>
              </w:rPr>
            </w:pPr>
          </w:p>
        </w:tc>
      </w:tr>
    </w:tbl>
    <w:p w14:paraId="166BAFED" w14:textId="77777777" w:rsidR="00CE76B8" w:rsidRPr="009408C2" w:rsidRDefault="00CE76B8" w:rsidP="002E1D81">
      <w:pPr>
        <w:contextualSpacing/>
        <w:rPr>
          <w:rFonts w:ascii="Arial Narrow" w:hAnsi="Arial Narrow"/>
          <w:iCs/>
          <w:snapToGrid w:val="0"/>
          <w:sz w:val="18"/>
          <w:szCs w:val="22"/>
        </w:rPr>
      </w:pPr>
      <w:r w:rsidRPr="009408C2">
        <w:rPr>
          <w:rFonts w:ascii="Arial Narrow" w:hAnsi="Arial Narrow"/>
          <w:iCs/>
          <w:snapToGrid w:val="0"/>
          <w:sz w:val="18"/>
          <w:szCs w:val="22"/>
          <w:shd w:val="clear" w:color="auto" w:fill="C6D9F1" w:themeFill="text2" w:themeFillTint="33"/>
        </w:rPr>
        <w:t>Blue shading</w:t>
      </w:r>
      <w:r w:rsidRPr="009408C2">
        <w:rPr>
          <w:rFonts w:ascii="Arial Narrow" w:hAnsi="Arial Narrow"/>
          <w:iCs/>
          <w:snapToGrid w:val="0"/>
          <w:sz w:val="18"/>
          <w:szCs w:val="22"/>
        </w:rPr>
        <w:t xml:space="preserve"> represents information previously considered by the PBAC.</w:t>
      </w:r>
    </w:p>
    <w:p w14:paraId="3C48DDAE" w14:textId="4944E9F3" w:rsidR="00CE76B8" w:rsidRPr="00F44F20" w:rsidRDefault="00CE76B8" w:rsidP="002E1D81">
      <w:pPr>
        <w:spacing w:after="120"/>
        <w:contextualSpacing/>
        <w:rPr>
          <w:rFonts w:ascii="Arial Narrow" w:hAnsi="Arial Narrow"/>
          <w:snapToGrid w:val="0"/>
          <w:sz w:val="18"/>
          <w:szCs w:val="22"/>
        </w:rPr>
      </w:pPr>
      <w:r w:rsidRPr="00F44F20">
        <w:rPr>
          <w:rFonts w:ascii="Arial Narrow" w:hAnsi="Arial Narrow"/>
          <w:snapToGrid w:val="0"/>
          <w:sz w:val="18"/>
          <w:szCs w:val="22"/>
        </w:rPr>
        <w:t>Source: Tables 1-3 to 1-</w:t>
      </w:r>
      <w:r>
        <w:rPr>
          <w:rFonts w:ascii="Arial Narrow" w:hAnsi="Arial Narrow"/>
          <w:snapToGrid w:val="0"/>
          <w:sz w:val="18"/>
          <w:szCs w:val="22"/>
        </w:rPr>
        <w:t>6</w:t>
      </w:r>
      <w:r w:rsidRPr="00F44F20">
        <w:rPr>
          <w:rFonts w:ascii="Arial Narrow" w:hAnsi="Arial Narrow"/>
          <w:snapToGrid w:val="0"/>
          <w:sz w:val="18"/>
          <w:szCs w:val="22"/>
        </w:rPr>
        <w:t>, pp30-3</w:t>
      </w:r>
      <w:r>
        <w:rPr>
          <w:rFonts w:ascii="Arial Narrow" w:hAnsi="Arial Narrow"/>
          <w:snapToGrid w:val="0"/>
          <w:sz w:val="18"/>
          <w:szCs w:val="22"/>
        </w:rPr>
        <w:t>3</w:t>
      </w:r>
      <w:r w:rsidRPr="00F44F20">
        <w:rPr>
          <w:rFonts w:ascii="Arial Narrow" w:hAnsi="Arial Narrow"/>
          <w:snapToGrid w:val="0"/>
          <w:sz w:val="18"/>
          <w:szCs w:val="22"/>
        </w:rPr>
        <w:t xml:space="preserve"> of the </w:t>
      </w:r>
      <w:r w:rsidR="00C86DB7">
        <w:rPr>
          <w:rFonts w:ascii="Arial Narrow" w:hAnsi="Arial Narrow"/>
          <w:snapToGrid w:val="0"/>
          <w:sz w:val="18"/>
          <w:szCs w:val="22"/>
        </w:rPr>
        <w:t>re</w:t>
      </w:r>
      <w:r w:rsidRPr="00F44F20">
        <w:rPr>
          <w:rFonts w:ascii="Arial Narrow" w:hAnsi="Arial Narrow"/>
          <w:snapToGrid w:val="0"/>
          <w:sz w:val="18"/>
          <w:szCs w:val="22"/>
        </w:rPr>
        <w:t>submission.</w:t>
      </w:r>
    </w:p>
    <w:p w14:paraId="526D3A18" w14:textId="77777777" w:rsidR="00CE76B8" w:rsidRPr="00F44F20" w:rsidRDefault="00CE76B8" w:rsidP="002E1D81">
      <w:pPr>
        <w:tabs>
          <w:tab w:val="left" w:pos="142"/>
        </w:tabs>
        <w:ind w:left="135" w:hanging="135"/>
        <w:rPr>
          <w:rFonts w:ascii="Arial Narrow" w:hAnsi="Arial Narrow"/>
          <w:i/>
          <w:sz w:val="18"/>
        </w:rPr>
      </w:pPr>
      <w:r w:rsidRPr="00F44F20">
        <w:rPr>
          <w:rFonts w:ascii="Arial Narrow" w:hAnsi="Arial Narrow"/>
          <w:i/>
          <w:sz w:val="18"/>
        </w:rPr>
        <w:t>^</w:t>
      </w:r>
      <w:r w:rsidRPr="00F44F20">
        <w:rPr>
          <w:rFonts w:ascii="Arial Narrow" w:hAnsi="Arial Narrow"/>
          <w:i/>
          <w:sz w:val="18"/>
        </w:rPr>
        <w:tab/>
        <w:t>Each of the three strengths will be provided in 1 mL of deliverable volume, with differing concentrations: 10 mg/mL, 20 mg/mL and 30 mg/mL. However, the capacity of the vials in which all three strengths/concentrations will be provided is 5 mL.</w:t>
      </w:r>
    </w:p>
    <w:p w14:paraId="435A9B69" w14:textId="2DE0D2BE" w:rsidR="00CE76B8" w:rsidRDefault="00CE76B8" w:rsidP="004B1CB4"/>
    <w:tbl>
      <w:tblPr>
        <w:tblStyle w:val="TableGrid"/>
        <w:tblW w:w="9072" w:type="dxa"/>
        <w:tblLook w:val="04A0" w:firstRow="1" w:lastRow="0" w:firstColumn="1" w:lastColumn="0" w:noHBand="0" w:noVBand="1"/>
      </w:tblPr>
      <w:tblGrid>
        <w:gridCol w:w="9072"/>
      </w:tblGrid>
      <w:tr w:rsidR="00705137" w14:paraId="3F1064B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B1477D" w14:textId="3A20E3CD" w:rsidR="00705137" w:rsidRDefault="00705137" w:rsidP="00FF1615">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00697E8D" w:rsidRPr="00697E8D">
              <w:rPr>
                <w:rFonts w:ascii="Arial Narrow" w:hAnsi="Arial Narrow"/>
                <w:i/>
                <w:iCs/>
                <w:szCs w:val="20"/>
              </w:rPr>
              <w:t>Section 85 General Listing</w:t>
            </w:r>
          </w:p>
        </w:tc>
      </w:tr>
      <w:tr w:rsidR="00705137" w14:paraId="21DCFB9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F45139" w14:textId="77777777" w:rsidR="00705137" w:rsidRDefault="00705137" w:rsidP="00FF1615">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705137" w:rsidRPr="0011725F" w14:paraId="03D27517" w14:textId="77777777" w:rsidTr="00FF1615">
        <w:trPr>
          <w:trHeight w:val="178"/>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6774AF" w14:textId="77777777" w:rsidR="00697E8D" w:rsidRDefault="00705137" w:rsidP="0010205D">
            <w:pPr>
              <w:pStyle w:val="Table"/>
              <w:rPr>
                <w:rFonts w:ascii="Arial Narrow" w:hAnsi="Arial Narrow"/>
                <w:b/>
                <w:szCs w:val="20"/>
              </w:rPr>
            </w:pPr>
            <w:r>
              <w:rPr>
                <w:rFonts w:ascii="Arial Narrow" w:hAnsi="Arial Narrow"/>
                <w:b/>
                <w:szCs w:val="20"/>
              </w:rPr>
              <w:t>Restriction type:</w:t>
            </w:r>
            <w:r w:rsidR="0010205D">
              <w:rPr>
                <w:rFonts w:ascii="Arial Narrow" w:hAnsi="Arial Narrow"/>
                <w:b/>
                <w:szCs w:val="20"/>
              </w:rPr>
              <w:t xml:space="preserve"> </w:t>
            </w:r>
          </w:p>
          <w:p w14:paraId="39B4773A" w14:textId="4D396432" w:rsidR="00705137" w:rsidRPr="00697E8D" w:rsidRDefault="00705137" w:rsidP="0010205D">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1A1E7C">
              <w:rPr>
                <w:strike/>
              </w:rPr>
            </w:r>
            <w:r w:rsidR="001A1E7C">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2EAB7C76" w14:textId="758DB158" w:rsidR="00697E8D" w:rsidRPr="00697E8D" w:rsidRDefault="00697E8D" w:rsidP="0010205D">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1A1E7C">
              <w:rPr>
                <w:i/>
                <w:iCs/>
              </w:rPr>
            </w:r>
            <w:r w:rsidR="001A1E7C">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01ED6222"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E2AC00" w14:textId="77777777" w:rsidR="00705137" w:rsidRDefault="00705137" w:rsidP="00FF1615">
            <w:pPr>
              <w:pStyle w:val="Table"/>
              <w:rPr>
                <w:rFonts w:ascii="Arial Narrow" w:hAnsi="Arial Narrow"/>
                <w:szCs w:val="20"/>
              </w:rPr>
            </w:pPr>
            <w:r>
              <w:rPr>
                <w:rFonts w:ascii="Arial Narrow" w:hAnsi="Arial Narrow"/>
                <w:b/>
                <w:szCs w:val="20"/>
              </w:rPr>
              <w:t xml:space="preserve">Episodicity: </w:t>
            </w:r>
            <w:r>
              <w:rPr>
                <w:rFonts w:ascii="Arial Narrow" w:hAnsi="Arial Narrow"/>
                <w:strike/>
                <w:szCs w:val="20"/>
              </w:rPr>
              <w:t xml:space="preserve">Chronic </w:t>
            </w:r>
            <w:r>
              <w:rPr>
                <w:rFonts w:ascii="Arial Narrow" w:hAnsi="Arial Narrow"/>
                <w:szCs w:val="20"/>
              </w:rPr>
              <w:t>[blank]</w:t>
            </w:r>
          </w:p>
        </w:tc>
      </w:tr>
      <w:tr w:rsidR="00705137" w14:paraId="751183C0" w14:textId="77777777" w:rsidTr="00FF1615">
        <w:trPr>
          <w:trHeight w:val="18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DA5592" w14:textId="77777777" w:rsidR="00705137" w:rsidRDefault="00705137" w:rsidP="00FF1615">
            <w:pPr>
              <w:pStyle w:val="Table"/>
              <w:rPr>
                <w:rFonts w:ascii="Arial Narrow" w:hAnsi="Arial Narrow"/>
                <w:szCs w:val="20"/>
              </w:rPr>
            </w:pPr>
            <w:r>
              <w:rPr>
                <w:rFonts w:ascii="Arial Narrow" w:hAnsi="Arial Narrow"/>
                <w:b/>
                <w:szCs w:val="20"/>
              </w:rPr>
              <w:t xml:space="preserve">Severity: </w:t>
            </w:r>
            <w:r>
              <w:rPr>
                <w:rFonts w:ascii="Arial Narrow" w:hAnsi="Arial Narrow"/>
                <w:strike/>
                <w:szCs w:val="20"/>
              </w:rPr>
              <w:t>NA</w:t>
            </w:r>
            <w:r>
              <w:rPr>
                <w:rFonts w:ascii="Arial Narrow" w:hAnsi="Arial Narrow"/>
                <w:szCs w:val="20"/>
              </w:rPr>
              <w:t xml:space="preserve"> [blank]</w:t>
            </w:r>
          </w:p>
        </w:tc>
      </w:tr>
      <w:tr w:rsidR="00705137" w14:paraId="417CF91A" w14:textId="77777777" w:rsidTr="00FF1615">
        <w:trPr>
          <w:trHeight w:val="72"/>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F8590C" w14:textId="77777777" w:rsidR="00705137" w:rsidRDefault="00705137" w:rsidP="00FF1615">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X-linked hypophosphataemia</w:t>
            </w:r>
          </w:p>
        </w:tc>
      </w:tr>
      <w:tr w:rsidR="00705137" w14:paraId="60C3D9FA"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6D28D1" w14:textId="77777777" w:rsidR="00705137" w:rsidRDefault="00705137" w:rsidP="00FF1615">
            <w:pPr>
              <w:pStyle w:val="Table"/>
              <w:rPr>
                <w:rFonts w:ascii="Arial Narrow" w:hAnsi="Arial Narrow"/>
                <w:szCs w:val="20"/>
              </w:rPr>
            </w:pPr>
            <w:r>
              <w:rPr>
                <w:rFonts w:ascii="Arial Narrow" w:hAnsi="Arial Narrow"/>
                <w:b/>
                <w:szCs w:val="20"/>
              </w:rPr>
              <w:t xml:space="preserve">PBS Indication: </w:t>
            </w:r>
            <w:r>
              <w:rPr>
                <w:rFonts w:ascii="Arial Narrow" w:hAnsi="Arial Narrow"/>
                <w:szCs w:val="20"/>
              </w:rPr>
              <w:t>X-linked hypophosphataemia</w:t>
            </w:r>
          </w:p>
        </w:tc>
      </w:tr>
      <w:tr w:rsidR="00705137" w14:paraId="6EBA39DF" w14:textId="77777777" w:rsidTr="00FF1615">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8E35FE" w14:textId="77777777" w:rsidR="00705137" w:rsidRDefault="00705137" w:rsidP="00FF1615">
            <w:pPr>
              <w:pStyle w:val="Table"/>
              <w:rPr>
                <w:rFonts w:ascii="Arial Narrow" w:hAnsi="Arial Narrow"/>
                <w:szCs w:val="20"/>
              </w:rPr>
            </w:pPr>
            <w:r>
              <w:rPr>
                <w:rFonts w:ascii="Arial Narrow" w:hAnsi="Arial Narrow"/>
                <w:b/>
                <w:szCs w:val="20"/>
              </w:rPr>
              <w:t xml:space="preserve">Treatment phase: </w:t>
            </w:r>
            <w:r w:rsidRPr="0011725F">
              <w:rPr>
                <w:rFonts w:ascii="Arial Narrow" w:hAnsi="Arial Narrow"/>
                <w:szCs w:val="20"/>
              </w:rPr>
              <w:t>Initial</w:t>
            </w:r>
          </w:p>
        </w:tc>
      </w:tr>
      <w:tr w:rsidR="00705137" w14:paraId="4FA74C2E" w14:textId="77777777" w:rsidTr="00FF1615">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4B0FBA" w14:textId="77777777" w:rsidR="00705137" w:rsidRDefault="00705137" w:rsidP="00FF1615">
            <w:pPr>
              <w:pStyle w:val="Table"/>
              <w:rPr>
                <w:rFonts w:ascii="Arial Narrow" w:hAnsi="Arial Narrow"/>
                <w:b/>
                <w:szCs w:val="20"/>
              </w:rPr>
            </w:pPr>
          </w:p>
        </w:tc>
      </w:tr>
      <w:tr w:rsidR="00705137" w14:paraId="1FD931D4"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22530E" w14:textId="77777777" w:rsidR="00705137" w:rsidRDefault="00705137" w:rsidP="00FF1615">
            <w:pPr>
              <w:pStyle w:val="Table"/>
              <w:rPr>
                <w:rFonts w:ascii="Arial Narrow" w:hAnsi="Arial Narrow"/>
                <w:szCs w:val="20"/>
              </w:rPr>
            </w:pPr>
            <w:r>
              <w:rPr>
                <w:rFonts w:ascii="Arial Narrow" w:hAnsi="Arial Narrow"/>
                <w:b/>
                <w:szCs w:val="20"/>
              </w:rPr>
              <w:t xml:space="preserve">Clinical criteria: </w:t>
            </w:r>
          </w:p>
        </w:tc>
      </w:tr>
      <w:tr w:rsidR="00705137" w14:paraId="01FED415"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596183" w14:textId="77777777" w:rsidR="00705137" w:rsidRDefault="00705137" w:rsidP="00FF1615">
            <w:pPr>
              <w:pStyle w:val="Table"/>
              <w:rPr>
                <w:rFonts w:ascii="Arial Narrow" w:hAnsi="Arial Narrow"/>
                <w:b/>
                <w:szCs w:val="20"/>
              </w:rPr>
            </w:pPr>
            <w:r>
              <w:rPr>
                <w:rFonts w:ascii="Arial Narrow" w:hAnsi="Arial Narrow"/>
                <w:szCs w:val="20"/>
              </w:rPr>
              <w:t xml:space="preserve">Patient must have </w:t>
            </w:r>
            <w:r w:rsidRPr="00B90732">
              <w:rPr>
                <w:rFonts w:ascii="Arial Narrow" w:hAnsi="Arial Narrow"/>
                <w:i/>
                <w:iCs/>
                <w:szCs w:val="20"/>
              </w:rPr>
              <w:t>a documented</w:t>
            </w:r>
            <w:r>
              <w:rPr>
                <w:rFonts w:ascii="Arial Narrow" w:hAnsi="Arial Narrow"/>
                <w:szCs w:val="20"/>
              </w:rPr>
              <w:t xml:space="preserve"> confirmation of PHEX pathogenic variant </w:t>
            </w:r>
            <w:r w:rsidRPr="00B90732">
              <w:rPr>
                <w:rFonts w:ascii="Arial Narrow" w:hAnsi="Arial Narrow"/>
                <w:strike/>
                <w:szCs w:val="20"/>
              </w:rPr>
              <w:t>documented in their medical records</w:t>
            </w:r>
            <w:r>
              <w:rPr>
                <w:rFonts w:ascii="Arial Narrow" w:hAnsi="Arial Narrow"/>
                <w:szCs w:val="20"/>
              </w:rPr>
              <w:t>; OR</w:t>
            </w:r>
          </w:p>
        </w:tc>
      </w:tr>
      <w:tr w:rsidR="00705137" w14:paraId="288D32E6"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1AD5EA" w14:textId="77777777" w:rsidR="00705137" w:rsidRDefault="00705137" w:rsidP="00FF1615">
            <w:pPr>
              <w:pStyle w:val="Table"/>
              <w:rPr>
                <w:rFonts w:ascii="Arial Narrow" w:hAnsi="Arial Narrow"/>
                <w:szCs w:val="20"/>
              </w:rPr>
            </w:pPr>
            <w:r>
              <w:rPr>
                <w:rFonts w:ascii="Arial Narrow" w:hAnsi="Arial Narrow"/>
                <w:szCs w:val="20"/>
              </w:rPr>
              <w:t xml:space="preserve">Patient must have a diagnosis of X-Linked hypophosphataemia </w:t>
            </w:r>
            <w:r w:rsidRPr="00B90732">
              <w:rPr>
                <w:rFonts w:ascii="Arial Narrow" w:hAnsi="Arial Narrow"/>
                <w:strike/>
                <w:szCs w:val="20"/>
              </w:rPr>
              <w:t>confirmed, and documented in their medical records,</w:t>
            </w:r>
            <w:r>
              <w:rPr>
                <w:rFonts w:ascii="Arial Narrow" w:hAnsi="Arial Narrow"/>
                <w:szCs w:val="20"/>
              </w:rPr>
              <w:t xml:space="preserve"> by the presence of all of the following: (i) </w:t>
            </w:r>
            <w:r w:rsidRPr="00B90732">
              <w:rPr>
                <w:rFonts w:ascii="Arial Narrow" w:hAnsi="Arial Narrow"/>
                <w:strike/>
                <w:szCs w:val="20"/>
              </w:rPr>
              <w:t>hypophosphataemia</w:t>
            </w:r>
            <w:r>
              <w:rPr>
                <w:rFonts w:ascii="Arial Narrow" w:hAnsi="Arial Narrow"/>
                <w:szCs w:val="20"/>
              </w:rPr>
              <w:t xml:space="preserve"> </w:t>
            </w:r>
            <w:r w:rsidRPr="00B90732">
              <w:rPr>
                <w:rFonts w:ascii="Arial Narrow" w:hAnsi="Arial Narrow"/>
                <w:i/>
                <w:iCs/>
                <w:szCs w:val="20"/>
              </w:rPr>
              <w:t>a serum phosphate concentration below the age adjusted lower limit of normal</w:t>
            </w:r>
            <w:r>
              <w:rPr>
                <w:rFonts w:ascii="Arial Narrow" w:hAnsi="Arial Narrow"/>
                <w:szCs w:val="20"/>
              </w:rPr>
              <w:t xml:space="preserve">; (ii) current or historical (for those with growth plate fusion) radiographic </w:t>
            </w:r>
            <w:r w:rsidRPr="00B90732">
              <w:rPr>
                <w:rFonts w:ascii="Arial Narrow" w:hAnsi="Arial Narrow"/>
                <w:i/>
                <w:iCs/>
                <w:szCs w:val="20"/>
              </w:rPr>
              <w:t>X-ray</w:t>
            </w:r>
            <w:r>
              <w:rPr>
                <w:rFonts w:ascii="Arial Narrow" w:hAnsi="Arial Narrow"/>
                <w:szCs w:val="20"/>
              </w:rPr>
              <w:t xml:space="preserve"> evidence of rickets; (iii) elevated (or inappropriately normal) serum or plasma FGF-23 levels </w:t>
            </w:r>
            <w:r w:rsidRPr="00B90732">
              <w:rPr>
                <w:rFonts w:ascii="Arial Narrow" w:hAnsi="Arial Narrow"/>
                <w:i/>
                <w:iCs/>
                <w:szCs w:val="20"/>
              </w:rPr>
              <w:t>of above the m</w:t>
            </w:r>
            <w:r>
              <w:rPr>
                <w:rFonts w:ascii="Arial Narrow" w:hAnsi="Arial Narrow"/>
                <w:i/>
                <w:iCs/>
                <w:szCs w:val="20"/>
              </w:rPr>
              <w:t>e</w:t>
            </w:r>
            <w:r w:rsidRPr="00B90732">
              <w:rPr>
                <w:rFonts w:ascii="Arial Narrow" w:hAnsi="Arial Narrow"/>
                <w:i/>
                <w:iCs/>
                <w:szCs w:val="20"/>
              </w:rPr>
              <w:t>an of the assay-specific reference range</w:t>
            </w:r>
            <w:r>
              <w:rPr>
                <w:rFonts w:ascii="Arial Narrow" w:hAnsi="Arial Narrow"/>
                <w:szCs w:val="20"/>
              </w:rPr>
              <w:t xml:space="preserve">; (iv) renal phosphate wasting </w:t>
            </w:r>
            <w:r w:rsidRPr="00B90732">
              <w:rPr>
                <w:rFonts w:ascii="Arial Narrow" w:hAnsi="Arial Narrow"/>
                <w:i/>
                <w:iCs/>
                <w:szCs w:val="20"/>
              </w:rPr>
              <w:t>demonstrated by a ratio of tubular maximum reabsorption rate of phosphate to glomerular filtration rate (TmP/GFR) according to age specific normal ranges using the second morning urine void and paired serum sample measuring phosphate and creatinine</w:t>
            </w:r>
          </w:p>
        </w:tc>
      </w:tr>
      <w:tr w:rsidR="00705137" w14:paraId="638609F5" w14:textId="77777777" w:rsidTr="00FF1615">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E67792" w14:textId="77777777" w:rsidR="00705137" w:rsidRDefault="00705137" w:rsidP="00FF1615">
            <w:pPr>
              <w:pStyle w:val="Table"/>
              <w:rPr>
                <w:rFonts w:ascii="Arial Narrow" w:hAnsi="Arial Narrow"/>
                <w:szCs w:val="20"/>
              </w:rPr>
            </w:pPr>
          </w:p>
        </w:tc>
      </w:tr>
      <w:tr w:rsidR="00705137" w14:paraId="2A1F923C" w14:textId="77777777" w:rsidTr="00FF1615">
        <w:trPr>
          <w:trHeight w:val="22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38E7C1" w14:textId="77777777" w:rsidR="00705137" w:rsidRDefault="00705137" w:rsidP="00FF1615">
            <w:pPr>
              <w:pStyle w:val="Table"/>
              <w:rPr>
                <w:rFonts w:ascii="Arial Narrow" w:hAnsi="Arial Narrow"/>
                <w:b/>
                <w:szCs w:val="20"/>
              </w:rPr>
            </w:pPr>
            <w:r>
              <w:rPr>
                <w:rFonts w:ascii="Arial Narrow" w:hAnsi="Arial Narrow"/>
                <w:b/>
                <w:szCs w:val="20"/>
              </w:rPr>
              <w:t>Treatment criteria:</w:t>
            </w:r>
          </w:p>
        </w:tc>
      </w:tr>
      <w:tr w:rsidR="00705137" w14:paraId="7BA10947" w14:textId="77777777" w:rsidTr="00FF1615">
        <w:trPr>
          <w:trHeight w:val="1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39C757" w14:textId="77777777" w:rsidR="00705137" w:rsidRDefault="00705137" w:rsidP="00FF1615">
            <w:pPr>
              <w:pStyle w:val="Table"/>
              <w:rPr>
                <w:rFonts w:ascii="Arial Narrow" w:hAnsi="Arial Narrow"/>
                <w:szCs w:val="20"/>
              </w:rPr>
            </w:pPr>
            <w:r>
              <w:rPr>
                <w:rFonts w:ascii="Arial Narrow" w:hAnsi="Arial Narrow"/>
                <w:szCs w:val="20"/>
              </w:rPr>
              <w:t>Patient must be treated by one of the following specialists: (i) paediatric endocrinologist, (ii) paediatric nephrologist, (iii) endocrinologist, or (iv) nephrologist</w:t>
            </w:r>
          </w:p>
        </w:tc>
      </w:tr>
      <w:tr w:rsidR="00705137" w14:paraId="1F4D04C4"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EDDD3B" w14:textId="77777777" w:rsidR="00705137" w:rsidRDefault="00705137" w:rsidP="00FF1615">
            <w:pPr>
              <w:pStyle w:val="Table"/>
              <w:rPr>
                <w:rFonts w:ascii="Arial Narrow" w:hAnsi="Arial Narrow"/>
                <w:b/>
                <w:szCs w:val="20"/>
              </w:rPr>
            </w:pPr>
          </w:p>
        </w:tc>
      </w:tr>
      <w:tr w:rsidR="00705137" w14:paraId="24C98466"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BC8F12" w14:textId="77777777" w:rsidR="00705137" w:rsidRDefault="00705137" w:rsidP="00FF1615">
            <w:pPr>
              <w:pStyle w:val="Table"/>
              <w:rPr>
                <w:rFonts w:ascii="Arial Narrow" w:hAnsi="Arial Narrow"/>
                <w:szCs w:val="20"/>
              </w:rPr>
            </w:pPr>
            <w:r>
              <w:rPr>
                <w:rFonts w:ascii="Arial Narrow" w:hAnsi="Arial Narrow"/>
                <w:b/>
                <w:szCs w:val="20"/>
              </w:rPr>
              <w:t xml:space="preserve">Prescriber instructions: </w:t>
            </w:r>
          </w:p>
        </w:tc>
      </w:tr>
      <w:tr w:rsidR="0010205D" w14:paraId="45E0E3B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E9153E" w14:textId="114E64F6" w:rsidR="0010205D" w:rsidRPr="0010205D" w:rsidRDefault="0010205D" w:rsidP="0010205D">
            <w:pPr>
              <w:pStyle w:val="Table"/>
              <w:rPr>
                <w:rFonts w:ascii="Arial Narrow" w:hAnsi="Arial Narrow"/>
                <w:i/>
                <w:strike/>
                <w:szCs w:val="20"/>
              </w:rPr>
            </w:pPr>
            <w:r w:rsidRPr="0010205D">
              <w:rPr>
                <w:rFonts w:ascii="Arial Narrow" w:hAnsi="Arial Narrow"/>
                <w:strike/>
                <w:szCs w:val="20"/>
              </w:rPr>
              <w:t>For the purposes of administering this restriction hypophosphataemia is defined as a serum phosphate concentration below the age adjusted lower limit of normal</w:t>
            </w:r>
          </w:p>
        </w:tc>
      </w:tr>
      <w:tr w:rsidR="0010205D" w14:paraId="2BCDB19D"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8C7E14" w14:textId="0783F40F" w:rsidR="0010205D" w:rsidRPr="0010205D" w:rsidRDefault="0010205D" w:rsidP="0010205D">
            <w:pPr>
              <w:pStyle w:val="Table"/>
              <w:rPr>
                <w:rFonts w:ascii="Arial Narrow" w:hAnsi="Arial Narrow"/>
                <w:b/>
                <w:strike/>
                <w:szCs w:val="20"/>
              </w:rPr>
            </w:pPr>
            <w:r w:rsidRPr="0010205D">
              <w:rPr>
                <w:rFonts w:ascii="Arial Narrow" w:hAnsi="Arial Narrow"/>
                <w:strike/>
                <w:szCs w:val="20"/>
              </w:rPr>
              <w:t>For the purposes of administering this restriction radiographic evidence of rickets requires a x-ray demonstrating evidence of rickets</w:t>
            </w:r>
          </w:p>
        </w:tc>
      </w:tr>
      <w:tr w:rsidR="0010205D" w14:paraId="2AD29312"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23A08A" w14:textId="6C3689E3" w:rsidR="0010205D" w:rsidRPr="0010205D" w:rsidRDefault="0010205D" w:rsidP="0010205D">
            <w:pPr>
              <w:pStyle w:val="Table"/>
              <w:rPr>
                <w:rFonts w:ascii="Arial Narrow" w:hAnsi="Arial Narrow"/>
                <w:strike/>
                <w:szCs w:val="20"/>
              </w:rPr>
            </w:pPr>
            <w:r w:rsidRPr="0010205D">
              <w:rPr>
                <w:rFonts w:ascii="Arial Narrow" w:hAnsi="Arial Narrow"/>
                <w:strike/>
                <w:szCs w:val="20"/>
              </w:rPr>
              <w:lastRenderedPageBreak/>
              <w:t>For the purposes of administering this restriction an elevated (or inappropriately normal) serum or plasma FGF-23 levels are defined as above the mean of the assay-specific reference range</w:t>
            </w:r>
          </w:p>
        </w:tc>
      </w:tr>
      <w:tr w:rsidR="0010205D" w14:paraId="7C46DCE1"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60D135" w14:textId="0354AA47" w:rsidR="0010205D" w:rsidRPr="0010205D" w:rsidRDefault="0010205D" w:rsidP="0010205D">
            <w:pPr>
              <w:pStyle w:val="Table"/>
              <w:rPr>
                <w:rFonts w:ascii="Arial Narrow" w:hAnsi="Arial Narrow"/>
                <w:strike/>
                <w:szCs w:val="20"/>
              </w:rPr>
            </w:pPr>
            <w:r w:rsidRPr="0010205D">
              <w:rPr>
                <w:rFonts w:ascii="Arial Narrow" w:hAnsi="Arial Narrow"/>
                <w:strike/>
                <w:szCs w:val="20"/>
              </w:rPr>
              <w:t>For the purposes of administering this restriction renal phosphate wasting is the ratio of tubular maximum reabsorption rate of phosphate to glomerular filtration rate (TmP/GFR) according to age specific normal ranges using ideally the second morning urine void and paired serum sample measuring phosphate and creatinine</w:t>
            </w:r>
          </w:p>
        </w:tc>
      </w:tr>
      <w:tr w:rsidR="0010205D" w14:paraId="723FA7D9"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94A30B" w14:textId="62150CFB" w:rsidR="0010205D" w:rsidRPr="0010205D" w:rsidRDefault="0010205D" w:rsidP="0010205D">
            <w:pPr>
              <w:pStyle w:val="Table"/>
              <w:rPr>
                <w:rFonts w:ascii="Arial Narrow" w:hAnsi="Arial Narrow"/>
                <w:strike/>
                <w:szCs w:val="20"/>
              </w:rPr>
            </w:pPr>
            <w:r w:rsidRPr="0010205D">
              <w:rPr>
                <w:rFonts w:ascii="Arial Narrow" w:hAnsi="Arial Narrow"/>
                <w:strike/>
                <w:szCs w:val="20"/>
              </w:rPr>
              <w:t>At the time of authority application, medical practitioners must request the appropriate number of vials of appropriate strength</w:t>
            </w:r>
            <w:r w:rsidRPr="0010205D">
              <w:rPr>
                <w:rFonts w:ascii="Arial Narrow" w:hAnsi="Arial Narrow"/>
                <w:i/>
                <w:strike/>
                <w:szCs w:val="20"/>
              </w:rPr>
              <w:t>(s)</w:t>
            </w:r>
            <w:r w:rsidRPr="0010205D">
              <w:rPr>
                <w:rFonts w:ascii="Arial Narrow" w:hAnsi="Arial Narrow"/>
                <w:strike/>
                <w:szCs w:val="20"/>
              </w:rPr>
              <w:t xml:space="preserve"> to provide sufficient drug, based on the weight of the patient, for </w:t>
            </w:r>
            <w:r w:rsidRPr="0010205D">
              <w:rPr>
                <w:rFonts w:ascii="Arial Narrow" w:hAnsi="Arial Narrow"/>
                <w:i/>
                <w:strike/>
                <w:szCs w:val="20"/>
              </w:rPr>
              <w:t>two</w:t>
            </w:r>
            <w:r w:rsidRPr="0010205D">
              <w:rPr>
                <w:rFonts w:ascii="Arial Narrow" w:hAnsi="Arial Narrow"/>
                <w:strike/>
                <w:szCs w:val="20"/>
              </w:rPr>
              <w:t xml:space="preserve"> administration</w:t>
            </w:r>
            <w:r w:rsidRPr="0010205D">
              <w:rPr>
                <w:rFonts w:ascii="Arial Narrow" w:hAnsi="Arial Narrow"/>
                <w:i/>
                <w:strike/>
                <w:szCs w:val="20"/>
              </w:rPr>
              <w:t>s</w:t>
            </w:r>
            <w:r w:rsidRPr="0010205D">
              <w:rPr>
                <w:rFonts w:ascii="Arial Narrow" w:hAnsi="Arial Narrow"/>
                <w:strike/>
                <w:szCs w:val="20"/>
              </w:rPr>
              <w:t>. A separate authority prescription form must be completed for each strength requested. Up to a maximum of 3 items will be authorised for any 1 administration.</w:t>
            </w:r>
          </w:p>
        </w:tc>
      </w:tr>
      <w:tr w:rsidR="00705137" w:rsidRPr="00697E8D" w14:paraId="0D8D3F6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71B48" w14:textId="77777777" w:rsidR="00705137" w:rsidRPr="00697E8D" w:rsidRDefault="00705137" w:rsidP="00FF1615">
            <w:pPr>
              <w:pStyle w:val="Table"/>
              <w:rPr>
                <w:rFonts w:ascii="Arial Narrow" w:hAnsi="Arial Narrow"/>
                <w:strike/>
                <w:szCs w:val="20"/>
              </w:rPr>
            </w:pPr>
            <w:r w:rsidRPr="00697E8D">
              <w:rPr>
                <w:rFonts w:ascii="Arial Narrow" w:hAnsi="Arial Narrow"/>
                <w:strike/>
                <w:szCs w:val="20"/>
              </w:rPr>
              <w:t>Applications for authorisation of initial treatment must be in writing and must include:</w:t>
            </w:r>
          </w:p>
          <w:p w14:paraId="047E5EEB" w14:textId="77777777" w:rsidR="00705137" w:rsidRPr="00697E8D" w:rsidRDefault="00705137" w:rsidP="00FF1615">
            <w:pPr>
              <w:pStyle w:val="Table"/>
              <w:numPr>
                <w:ilvl w:val="0"/>
                <w:numId w:val="14"/>
              </w:numPr>
              <w:rPr>
                <w:rFonts w:ascii="Arial Narrow" w:hAnsi="Arial Narrow"/>
                <w:strike/>
                <w:szCs w:val="20"/>
              </w:rPr>
            </w:pPr>
            <w:r w:rsidRPr="00697E8D">
              <w:rPr>
                <w:rFonts w:ascii="Arial Narrow" w:hAnsi="Arial Narrow"/>
                <w:strike/>
                <w:szCs w:val="20"/>
              </w:rPr>
              <w:t xml:space="preserve">A completed authority prescription form; and </w:t>
            </w:r>
          </w:p>
          <w:p w14:paraId="7F0C14F7" w14:textId="77777777" w:rsidR="00705137" w:rsidRPr="00697E8D" w:rsidRDefault="00705137" w:rsidP="00FF1615">
            <w:pPr>
              <w:pStyle w:val="Table"/>
              <w:numPr>
                <w:ilvl w:val="0"/>
                <w:numId w:val="14"/>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rsidRPr="0011725F" w14:paraId="02D632DE"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C5BC50" w14:textId="77777777" w:rsidR="00705137" w:rsidRPr="0011725F" w:rsidRDefault="00705137" w:rsidP="00FF1615">
            <w:pPr>
              <w:pStyle w:val="Table"/>
              <w:rPr>
                <w:rFonts w:ascii="Arial Narrow" w:hAnsi="Arial Narrow"/>
                <w:szCs w:val="20"/>
              </w:rPr>
            </w:pPr>
          </w:p>
        </w:tc>
      </w:tr>
      <w:tr w:rsidR="00705137" w14:paraId="75A999F5" w14:textId="77777777" w:rsidTr="00FF1615">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6A0E0A" w14:textId="77777777" w:rsidR="00705137" w:rsidRDefault="00705137" w:rsidP="00FF1615">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705137" w14:paraId="18DA4821"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843462" w14:textId="77777777" w:rsidR="00705137" w:rsidRDefault="00705137" w:rsidP="00FF1615">
            <w:pPr>
              <w:rPr>
                <w:rFonts w:ascii="Arial Narrow" w:hAnsi="Arial Narrow"/>
                <w:bCs/>
                <w:u w:val="single"/>
              </w:rPr>
            </w:pPr>
          </w:p>
        </w:tc>
      </w:tr>
      <w:tr w:rsidR="00705137" w:rsidRPr="00697E8D" w14:paraId="5A7ACC6F"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0DDA21" w14:textId="77777777" w:rsidR="00705137" w:rsidRPr="00697E8D" w:rsidRDefault="00705137" w:rsidP="0010205D">
            <w:pPr>
              <w:rPr>
                <w:rFonts w:ascii="Arial Narrow" w:hAnsi="Arial Narrow" w:cs="Times New Roman"/>
                <w:bCs/>
                <w:strike/>
                <w:sz w:val="20"/>
                <w:szCs w:val="20"/>
              </w:rPr>
            </w:pPr>
            <w:r w:rsidRPr="00697E8D">
              <w:rPr>
                <w:rFonts w:ascii="Arial Narrow" w:hAnsi="Arial Narrow"/>
                <w:bCs/>
                <w:strike/>
                <w:sz w:val="20"/>
                <w:szCs w:val="20"/>
                <w:u w:val="single"/>
              </w:rPr>
              <w:t>Note</w:t>
            </w:r>
          </w:p>
          <w:p w14:paraId="7375EA0B"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Any queries concerning the arrangements to prescribe may be directed to Services Australia on 1800 700 270 (hours of operation 8 a.m. to 5 p.m. EST Monday to Friday).</w:t>
            </w:r>
          </w:p>
          <w:p w14:paraId="0DA0A1D5"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666D2957"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Applications for authority to prescribe should be submitted online using the form upload facility in Health Professional Online Services (HPOS) at www.servicesaustralia.gov.au/hpos</w:t>
            </w:r>
          </w:p>
          <w:p w14:paraId="04D7DAF5"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Or mailed to:</w:t>
            </w:r>
          </w:p>
          <w:p w14:paraId="67F78F24"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Services Australia</w:t>
            </w:r>
          </w:p>
          <w:p w14:paraId="1F3B4361"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Complex Drugs</w:t>
            </w:r>
          </w:p>
          <w:p w14:paraId="3F9497E9"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Reply Paid 9826</w:t>
            </w:r>
          </w:p>
          <w:p w14:paraId="42949DE9" w14:textId="77777777" w:rsidR="00705137" w:rsidRPr="00697E8D" w:rsidRDefault="00705137" w:rsidP="0010205D">
            <w:pPr>
              <w:rPr>
                <w:rFonts w:ascii="Arial Narrow" w:hAnsi="Arial Narrow"/>
                <w:bCs/>
                <w:strike/>
                <w:color w:val="333333"/>
              </w:rPr>
            </w:pPr>
            <w:r w:rsidRPr="00697E8D">
              <w:rPr>
                <w:rFonts w:ascii="Arial Narrow" w:hAnsi="Arial Narrow"/>
                <w:bCs/>
                <w:strike/>
                <w:sz w:val="20"/>
                <w:szCs w:val="20"/>
              </w:rPr>
              <w:t>HOBART TAS 7001</w:t>
            </w:r>
          </w:p>
        </w:tc>
      </w:tr>
      <w:tr w:rsidR="00697E8D" w:rsidRPr="00697E8D" w14:paraId="1CD27359" w14:textId="77777777" w:rsidTr="00FF1615">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0407C6" w14:textId="77777777" w:rsidR="00697E8D" w:rsidRPr="00697E8D" w:rsidRDefault="00697E8D" w:rsidP="00697E8D">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t>Note</w:t>
            </w:r>
          </w:p>
          <w:p w14:paraId="4DF3CB7E" w14:textId="5CC5DEDF" w:rsidR="00697E8D" w:rsidRPr="00697E8D" w:rsidRDefault="00697E8D" w:rsidP="00697E8D">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6F3D057" w14:textId="01368315" w:rsidR="00705137" w:rsidRDefault="00705137" w:rsidP="0010205D"/>
    <w:tbl>
      <w:tblPr>
        <w:tblStyle w:val="TableGrid"/>
        <w:tblW w:w="9077" w:type="dxa"/>
        <w:tblInd w:w="-5" w:type="dxa"/>
        <w:tblLook w:val="04A0" w:firstRow="1" w:lastRow="0" w:firstColumn="1" w:lastColumn="0" w:noHBand="0" w:noVBand="1"/>
      </w:tblPr>
      <w:tblGrid>
        <w:gridCol w:w="9077"/>
      </w:tblGrid>
      <w:tr w:rsidR="00697E8D" w14:paraId="7DBA46B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477E05" w14:textId="77777777" w:rsidR="00697E8D" w:rsidRDefault="00697E8D" w:rsidP="00E81687">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Pr="00697E8D">
              <w:rPr>
                <w:rFonts w:ascii="Arial Narrow" w:hAnsi="Arial Narrow"/>
                <w:i/>
                <w:iCs/>
                <w:szCs w:val="20"/>
              </w:rPr>
              <w:t>Section 85 General Listing</w:t>
            </w:r>
          </w:p>
        </w:tc>
      </w:tr>
      <w:tr w:rsidR="00697E8D" w14:paraId="5A88F24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374CC4" w14:textId="77777777" w:rsidR="00697E8D" w:rsidRDefault="00697E8D" w:rsidP="00E81687">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697E8D" w:rsidRPr="0011725F" w14:paraId="62F613CA" w14:textId="77777777" w:rsidTr="00697E8D">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C2E64E" w14:textId="77777777" w:rsidR="00697E8D" w:rsidRDefault="00697E8D" w:rsidP="00E81687">
            <w:pPr>
              <w:pStyle w:val="Table"/>
              <w:rPr>
                <w:rFonts w:ascii="Arial Narrow" w:hAnsi="Arial Narrow"/>
                <w:b/>
                <w:szCs w:val="20"/>
              </w:rPr>
            </w:pPr>
            <w:r>
              <w:rPr>
                <w:rFonts w:ascii="Arial Narrow" w:hAnsi="Arial Narrow"/>
                <w:b/>
                <w:szCs w:val="20"/>
              </w:rPr>
              <w:t xml:space="preserve">Restriction type: </w:t>
            </w:r>
          </w:p>
          <w:p w14:paraId="1A0A22BE" w14:textId="77777777" w:rsidR="00697E8D" w:rsidRPr="00697E8D" w:rsidRDefault="00697E8D" w:rsidP="00E81687">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1A1E7C">
              <w:rPr>
                <w:strike/>
              </w:rPr>
            </w:r>
            <w:r w:rsidR="001A1E7C">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11E395CA" w14:textId="7420C9F7" w:rsidR="00697E8D" w:rsidRPr="00697E8D" w:rsidRDefault="00697E8D" w:rsidP="00E81687">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1A1E7C">
              <w:rPr>
                <w:i/>
                <w:iCs/>
              </w:rPr>
            </w:r>
            <w:r w:rsidR="001A1E7C">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0771CEF9" w14:textId="77777777" w:rsidTr="00697E8D">
        <w:trPr>
          <w:trHeight w:val="70"/>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4A0C9FD" w14:textId="77777777" w:rsidR="00705137" w:rsidRDefault="00705137" w:rsidP="0010205D">
            <w:pPr>
              <w:pStyle w:val="Table"/>
              <w:rPr>
                <w:rFonts w:ascii="Arial Narrow" w:hAnsi="Arial Narrow"/>
                <w:szCs w:val="20"/>
                <w:lang w:val="en-US"/>
              </w:rPr>
            </w:pPr>
            <w:r>
              <w:rPr>
                <w:rFonts w:ascii="Arial Narrow" w:hAnsi="Arial Narrow"/>
                <w:b/>
                <w:szCs w:val="20"/>
              </w:rPr>
              <w:t xml:space="preserve">Episodicity: </w:t>
            </w:r>
            <w:r w:rsidRPr="00DE0458">
              <w:rPr>
                <w:rFonts w:ascii="Arial Narrow" w:hAnsi="Arial Narrow"/>
                <w:strike/>
                <w:szCs w:val="20"/>
              </w:rPr>
              <w:t>Chronic</w:t>
            </w:r>
            <w:r>
              <w:rPr>
                <w:rFonts w:ascii="Arial Narrow" w:hAnsi="Arial Narrow"/>
                <w:szCs w:val="20"/>
              </w:rPr>
              <w:t xml:space="preserve"> [blank]</w:t>
            </w:r>
          </w:p>
        </w:tc>
      </w:tr>
      <w:tr w:rsidR="00705137" w14:paraId="7775408C" w14:textId="77777777" w:rsidTr="00697E8D">
        <w:trPr>
          <w:trHeight w:val="181"/>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1DD4B0" w14:textId="77777777" w:rsidR="00705137" w:rsidRDefault="00705137" w:rsidP="0010205D">
            <w:pPr>
              <w:pStyle w:val="Table"/>
              <w:rPr>
                <w:rFonts w:ascii="Arial Narrow" w:hAnsi="Arial Narrow"/>
                <w:szCs w:val="20"/>
                <w:lang w:val="en-US"/>
              </w:rPr>
            </w:pPr>
            <w:r>
              <w:rPr>
                <w:rFonts w:ascii="Arial Narrow" w:hAnsi="Arial Narrow"/>
                <w:b/>
                <w:szCs w:val="20"/>
              </w:rPr>
              <w:t xml:space="preserve">Severity: </w:t>
            </w:r>
            <w:r w:rsidRPr="00DE0458">
              <w:rPr>
                <w:rFonts w:ascii="Arial Narrow" w:hAnsi="Arial Narrow"/>
                <w:strike/>
                <w:szCs w:val="20"/>
              </w:rPr>
              <w:t>NA</w:t>
            </w:r>
            <w:r>
              <w:rPr>
                <w:rFonts w:ascii="Arial Narrow" w:hAnsi="Arial Narrow"/>
                <w:szCs w:val="20"/>
              </w:rPr>
              <w:t xml:space="preserve"> [blank]</w:t>
            </w:r>
          </w:p>
        </w:tc>
      </w:tr>
      <w:tr w:rsidR="00705137" w14:paraId="1A244727" w14:textId="77777777" w:rsidTr="00697E8D">
        <w:trPr>
          <w:trHeight w:val="72"/>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3A282D" w14:textId="77777777" w:rsidR="00705137" w:rsidRDefault="00705137" w:rsidP="0010205D">
            <w:pPr>
              <w:pStyle w:val="Table"/>
              <w:rPr>
                <w:rFonts w:ascii="Arial Narrow" w:hAnsi="Arial Narrow"/>
                <w:szCs w:val="20"/>
                <w:lang w:val="en-US"/>
              </w:rPr>
            </w:pPr>
            <w:r>
              <w:rPr>
                <w:rFonts w:ascii="Arial Narrow" w:hAnsi="Arial Narrow"/>
                <w:b/>
                <w:szCs w:val="20"/>
              </w:rPr>
              <w:t xml:space="preserve">Condition: </w:t>
            </w:r>
            <w:r>
              <w:rPr>
                <w:rFonts w:ascii="Arial Narrow" w:hAnsi="Arial Narrow"/>
                <w:szCs w:val="20"/>
              </w:rPr>
              <w:t>X-linked hypophosphataemia</w:t>
            </w:r>
          </w:p>
        </w:tc>
      </w:tr>
      <w:tr w:rsidR="00705137" w14:paraId="7ACC59B4" w14:textId="77777777" w:rsidTr="00697E8D">
        <w:trPr>
          <w:trHeight w:val="70"/>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CCA5FDB" w14:textId="77777777" w:rsidR="00705137" w:rsidRDefault="00705137" w:rsidP="0010205D">
            <w:pPr>
              <w:pStyle w:val="Table"/>
              <w:rPr>
                <w:rFonts w:ascii="Arial Narrow" w:hAnsi="Arial Narrow"/>
                <w:szCs w:val="20"/>
                <w:lang w:val="en-US"/>
              </w:rPr>
            </w:pPr>
            <w:r>
              <w:rPr>
                <w:rFonts w:ascii="Arial Narrow" w:hAnsi="Arial Narrow"/>
                <w:b/>
                <w:szCs w:val="20"/>
              </w:rPr>
              <w:t xml:space="preserve">PBS Indication: </w:t>
            </w:r>
            <w:r>
              <w:rPr>
                <w:rFonts w:ascii="Arial Narrow" w:hAnsi="Arial Narrow"/>
                <w:szCs w:val="20"/>
              </w:rPr>
              <w:t>X-linked hypophosphataemia</w:t>
            </w:r>
          </w:p>
        </w:tc>
      </w:tr>
      <w:tr w:rsidR="00705137" w14:paraId="157E3DB6" w14:textId="77777777" w:rsidTr="00697E8D">
        <w:trPr>
          <w:trHeight w:val="136"/>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C9A460E" w14:textId="77777777" w:rsidR="00705137" w:rsidRDefault="00705137" w:rsidP="0010205D">
            <w:pPr>
              <w:pStyle w:val="Table"/>
              <w:rPr>
                <w:rFonts w:ascii="Arial Narrow" w:hAnsi="Arial Narrow"/>
                <w:szCs w:val="20"/>
                <w:lang w:val="en-US"/>
              </w:rPr>
            </w:pPr>
            <w:r>
              <w:rPr>
                <w:rFonts w:ascii="Arial Narrow" w:hAnsi="Arial Narrow"/>
                <w:b/>
                <w:szCs w:val="20"/>
              </w:rPr>
              <w:t>Treatment phase:</w:t>
            </w:r>
            <w:r>
              <w:rPr>
                <w:rFonts w:ascii="Arial Narrow" w:hAnsi="Arial Narrow"/>
                <w:szCs w:val="20"/>
              </w:rPr>
              <w:t xml:space="preserve"> Continuing</w:t>
            </w:r>
          </w:p>
        </w:tc>
      </w:tr>
      <w:tr w:rsidR="00705137" w14:paraId="002A3759" w14:textId="77777777" w:rsidTr="00697E8D">
        <w:trPr>
          <w:trHeight w:val="136"/>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2712328E" w14:textId="77777777" w:rsidR="00705137" w:rsidRDefault="00705137" w:rsidP="0010205D">
            <w:pPr>
              <w:pStyle w:val="Table"/>
              <w:rPr>
                <w:rFonts w:ascii="Arial Narrow" w:hAnsi="Arial Narrow"/>
                <w:b/>
                <w:szCs w:val="20"/>
              </w:rPr>
            </w:pPr>
          </w:p>
        </w:tc>
      </w:tr>
      <w:tr w:rsidR="00705137" w14:paraId="265563C3"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E9A08ED" w14:textId="77777777" w:rsidR="00705137" w:rsidRDefault="00705137" w:rsidP="0010205D">
            <w:pPr>
              <w:pStyle w:val="Table"/>
              <w:rPr>
                <w:rFonts w:ascii="Arial Narrow" w:hAnsi="Arial Narrow"/>
                <w:szCs w:val="20"/>
                <w:lang w:val="en-US"/>
              </w:rPr>
            </w:pPr>
            <w:r>
              <w:rPr>
                <w:rFonts w:ascii="Arial Narrow" w:hAnsi="Arial Narrow"/>
                <w:b/>
                <w:szCs w:val="20"/>
              </w:rPr>
              <w:t xml:space="preserve">Clinical criteria: </w:t>
            </w:r>
          </w:p>
        </w:tc>
      </w:tr>
      <w:tr w:rsidR="00705137" w14:paraId="351E0DD6"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E0F4DA" w14:textId="77777777" w:rsidR="00705137" w:rsidRDefault="00705137" w:rsidP="0010205D">
            <w:pPr>
              <w:pStyle w:val="Table"/>
              <w:rPr>
                <w:rFonts w:ascii="Arial Narrow" w:hAnsi="Arial Narrow"/>
                <w:szCs w:val="20"/>
                <w:lang w:val="en-US"/>
              </w:rPr>
            </w:pPr>
            <w:r>
              <w:rPr>
                <w:rFonts w:ascii="Arial Narrow" w:hAnsi="Arial Narrow"/>
                <w:szCs w:val="20"/>
              </w:rPr>
              <w:t>Patient must have previously received PBS-subsidised treatment with this drug for this condition</w:t>
            </w:r>
          </w:p>
        </w:tc>
      </w:tr>
      <w:tr w:rsidR="00705137" w14:paraId="3BAD43A1"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D059EE3" w14:textId="77777777" w:rsidR="00705137" w:rsidRDefault="00705137" w:rsidP="0010205D">
            <w:pPr>
              <w:pStyle w:val="Table"/>
              <w:rPr>
                <w:rFonts w:ascii="Arial Narrow" w:hAnsi="Arial Narrow"/>
                <w:szCs w:val="20"/>
                <w:lang w:val="en-US"/>
              </w:rPr>
            </w:pPr>
            <w:r>
              <w:rPr>
                <w:rFonts w:ascii="Arial Narrow" w:hAnsi="Arial Narrow"/>
                <w:szCs w:val="20"/>
              </w:rPr>
              <w:t>AND</w:t>
            </w:r>
          </w:p>
        </w:tc>
      </w:tr>
      <w:tr w:rsidR="00705137" w14:paraId="38050B1A"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108572D" w14:textId="77777777" w:rsidR="00705137" w:rsidRDefault="00705137" w:rsidP="0010205D">
            <w:pPr>
              <w:pStyle w:val="Table"/>
              <w:rPr>
                <w:rFonts w:ascii="Arial Narrow" w:hAnsi="Arial Narrow"/>
                <w:szCs w:val="20"/>
                <w:lang w:val="en-US"/>
              </w:rPr>
            </w:pPr>
            <w:r>
              <w:rPr>
                <w:rFonts w:ascii="Arial Narrow" w:hAnsi="Arial Narrow"/>
                <w:b/>
                <w:szCs w:val="20"/>
              </w:rPr>
              <w:t>Clinical criteria:</w:t>
            </w:r>
          </w:p>
        </w:tc>
      </w:tr>
      <w:tr w:rsidR="00705137" w14:paraId="545CED85"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487AF4D" w14:textId="77777777" w:rsidR="00705137" w:rsidRDefault="00705137" w:rsidP="0010205D">
            <w:pPr>
              <w:pStyle w:val="Table"/>
              <w:rPr>
                <w:rFonts w:ascii="Arial Narrow" w:hAnsi="Arial Narrow"/>
                <w:szCs w:val="20"/>
                <w:lang w:val="en-US"/>
              </w:rPr>
            </w:pPr>
            <w:r>
              <w:rPr>
                <w:rFonts w:ascii="Arial Narrow" w:hAnsi="Arial Narrow"/>
                <w:szCs w:val="20"/>
              </w:rPr>
              <w:t xml:space="preserve">Patient must have </w:t>
            </w:r>
            <w:r w:rsidRPr="00B90732">
              <w:rPr>
                <w:rFonts w:ascii="Arial Narrow" w:hAnsi="Arial Narrow"/>
                <w:strike/>
                <w:szCs w:val="20"/>
              </w:rPr>
              <w:t>demonstrated an adequate response to this drug for the treatment of this condition</w:t>
            </w:r>
            <w:r>
              <w:rPr>
                <w:rFonts w:ascii="Arial Narrow" w:hAnsi="Arial Narrow"/>
                <w:strike/>
                <w:szCs w:val="20"/>
              </w:rPr>
              <w:t xml:space="preserve"> </w:t>
            </w:r>
            <w:r w:rsidRPr="00B90732">
              <w:rPr>
                <w:rFonts w:ascii="Arial Narrow" w:hAnsi="Arial Narrow"/>
                <w:szCs w:val="20"/>
              </w:rPr>
              <w:t xml:space="preserve">achieved </w:t>
            </w:r>
            <w:r w:rsidRPr="00B552DF">
              <w:rPr>
                <w:rFonts w:ascii="Arial Narrow" w:hAnsi="Arial Narrow"/>
                <w:strike/>
                <w:szCs w:val="20"/>
              </w:rPr>
              <w:t>(i)</w:t>
            </w:r>
            <w:r>
              <w:rPr>
                <w:rFonts w:ascii="Arial Narrow" w:hAnsi="Arial Narrow"/>
                <w:szCs w:val="20"/>
              </w:rPr>
              <w:t xml:space="preserve"> normalisation in serum phosphate levels</w:t>
            </w:r>
            <w:r w:rsidRPr="00B552DF">
              <w:rPr>
                <w:rFonts w:ascii="Arial Narrow" w:hAnsi="Arial Narrow"/>
                <w:strike/>
                <w:szCs w:val="20"/>
              </w:rPr>
              <w:t>; or (ii) a greater than 30% improvement from pre-treatment baseline in serum phosphate levels</w:t>
            </w:r>
          </w:p>
        </w:tc>
      </w:tr>
      <w:tr w:rsidR="00705137" w14:paraId="001E9BC0"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C10EB46" w14:textId="77777777" w:rsidR="00705137" w:rsidRPr="00705137" w:rsidRDefault="00705137" w:rsidP="0010205D">
            <w:pPr>
              <w:pStyle w:val="Table"/>
              <w:rPr>
                <w:rFonts w:ascii="Arial Narrow" w:hAnsi="Arial Narrow"/>
                <w:b/>
                <w:i/>
                <w:iCs/>
                <w:szCs w:val="20"/>
              </w:rPr>
            </w:pPr>
            <w:r w:rsidRPr="00705137">
              <w:rPr>
                <w:rFonts w:ascii="Arial Narrow" w:hAnsi="Arial Narrow"/>
                <w:b/>
                <w:i/>
                <w:iCs/>
                <w:szCs w:val="20"/>
              </w:rPr>
              <w:t>AND</w:t>
            </w:r>
          </w:p>
        </w:tc>
      </w:tr>
      <w:tr w:rsidR="00705137" w14:paraId="739F2CC1"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3149B485" w14:textId="77777777" w:rsidR="00705137" w:rsidRPr="00705137" w:rsidRDefault="00705137" w:rsidP="0010205D">
            <w:pPr>
              <w:pStyle w:val="Table"/>
              <w:rPr>
                <w:rFonts w:ascii="Arial Narrow" w:hAnsi="Arial Narrow"/>
                <w:b/>
                <w:i/>
                <w:iCs/>
                <w:szCs w:val="20"/>
              </w:rPr>
            </w:pPr>
            <w:r w:rsidRPr="00705137">
              <w:rPr>
                <w:rFonts w:ascii="Arial Narrow" w:hAnsi="Arial Narrow"/>
                <w:b/>
                <w:i/>
                <w:iCs/>
                <w:szCs w:val="20"/>
              </w:rPr>
              <w:lastRenderedPageBreak/>
              <w:t>Clinical criteria</w:t>
            </w:r>
          </w:p>
        </w:tc>
      </w:tr>
      <w:tr w:rsidR="00705137" w14:paraId="4F9AF6B9"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3C84D98E" w14:textId="77777777" w:rsidR="00705137" w:rsidRPr="00705137" w:rsidRDefault="00705137" w:rsidP="0010205D">
            <w:pPr>
              <w:pStyle w:val="Table"/>
              <w:rPr>
                <w:rFonts w:ascii="Arial Narrow" w:hAnsi="Arial Narrow"/>
                <w:bCs/>
                <w:i/>
                <w:iCs/>
                <w:szCs w:val="20"/>
              </w:rPr>
            </w:pPr>
            <w:r w:rsidRPr="00705137">
              <w:rPr>
                <w:rFonts w:ascii="Arial Narrow" w:hAnsi="Arial Narrow"/>
                <w:bCs/>
                <w:i/>
                <w:iCs/>
                <w:szCs w:val="20"/>
              </w:rPr>
              <w:t>Patient must have radiographical evidence of stabilisation or improvement in rickets in patients withou</w:t>
            </w:r>
            <w:r>
              <w:rPr>
                <w:rFonts w:ascii="Arial Narrow" w:hAnsi="Arial Narrow"/>
                <w:bCs/>
                <w:i/>
                <w:iCs/>
                <w:szCs w:val="20"/>
              </w:rPr>
              <w:t>t</w:t>
            </w:r>
            <w:r w:rsidRPr="00705137">
              <w:rPr>
                <w:rFonts w:ascii="Arial Narrow" w:hAnsi="Arial Narrow"/>
                <w:bCs/>
                <w:i/>
                <w:iCs/>
                <w:szCs w:val="20"/>
              </w:rPr>
              <w:t xml:space="preserve"> growth plate fusion</w:t>
            </w:r>
          </w:p>
        </w:tc>
      </w:tr>
      <w:tr w:rsidR="00705137" w14:paraId="73DB290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6F804C2" w14:textId="77777777" w:rsidR="00705137" w:rsidRDefault="00705137" w:rsidP="0010205D">
            <w:pPr>
              <w:pStyle w:val="Table"/>
              <w:rPr>
                <w:rFonts w:ascii="Arial Narrow" w:hAnsi="Arial Narrow"/>
                <w:b/>
                <w:szCs w:val="20"/>
              </w:rPr>
            </w:pPr>
          </w:p>
        </w:tc>
      </w:tr>
      <w:tr w:rsidR="00705137" w14:paraId="4DA0B629"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9C1748A" w14:textId="77777777" w:rsidR="00705137" w:rsidRDefault="00705137" w:rsidP="0010205D">
            <w:pPr>
              <w:pStyle w:val="Table"/>
              <w:rPr>
                <w:rFonts w:ascii="Arial Narrow" w:hAnsi="Arial Narrow"/>
                <w:b/>
                <w:szCs w:val="20"/>
                <w:lang w:val="en-US"/>
              </w:rPr>
            </w:pPr>
            <w:r>
              <w:rPr>
                <w:rFonts w:ascii="Arial Narrow" w:hAnsi="Arial Narrow"/>
                <w:b/>
                <w:szCs w:val="20"/>
              </w:rPr>
              <w:t>Treatment criteria:</w:t>
            </w:r>
          </w:p>
        </w:tc>
      </w:tr>
      <w:tr w:rsidR="00705137" w14:paraId="2921A982"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9792F8B" w14:textId="77777777" w:rsidR="00705137" w:rsidRDefault="00705137" w:rsidP="0010205D">
            <w:pPr>
              <w:pStyle w:val="Table"/>
              <w:rPr>
                <w:rFonts w:ascii="Arial Narrow" w:hAnsi="Arial Narrow"/>
                <w:szCs w:val="20"/>
                <w:lang w:val="en-US"/>
              </w:rPr>
            </w:pPr>
            <w:r>
              <w:rPr>
                <w:rFonts w:ascii="Arial Narrow" w:hAnsi="Arial Narrow"/>
                <w:szCs w:val="20"/>
              </w:rPr>
              <w:t>Patient must be treated by one of the following specialists: (i) paediatric endocrinologist, (ii) paediatric nephrologist, (iii) endocrinologist, or (iv) nephrologist</w:t>
            </w:r>
          </w:p>
        </w:tc>
      </w:tr>
      <w:tr w:rsidR="00705137" w14:paraId="7EC44E2A"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0B70BB0B" w14:textId="77777777" w:rsidR="00705137" w:rsidRDefault="00705137" w:rsidP="0010205D">
            <w:pPr>
              <w:pStyle w:val="Table"/>
              <w:rPr>
                <w:rFonts w:ascii="Arial Narrow" w:hAnsi="Arial Narrow"/>
                <w:b/>
                <w:szCs w:val="20"/>
              </w:rPr>
            </w:pPr>
          </w:p>
        </w:tc>
      </w:tr>
      <w:tr w:rsidR="00705137" w14:paraId="73A138B7"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4BF791CD" w14:textId="77777777" w:rsidR="00705137" w:rsidRDefault="00705137" w:rsidP="0010205D">
            <w:pPr>
              <w:pStyle w:val="Table"/>
              <w:rPr>
                <w:rFonts w:ascii="Arial Narrow" w:hAnsi="Arial Narrow"/>
                <w:b/>
                <w:szCs w:val="20"/>
              </w:rPr>
            </w:pPr>
            <w:r>
              <w:rPr>
                <w:rFonts w:ascii="Arial Narrow" w:hAnsi="Arial Narrow"/>
                <w:b/>
                <w:szCs w:val="20"/>
              </w:rPr>
              <w:t>Prescriber instructions:</w:t>
            </w:r>
          </w:p>
        </w:tc>
      </w:tr>
      <w:tr w:rsidR="00705137" w14:paraId="0FA8EC76"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B09BD1E" w14:textId="77777777" w:rsidR="00705137" w:rsidRPr="00705137" w:rsidRDefault="00705137" w:rsidP="0010205D">
            <w:pPr>
              <w:pStyle w:val="Table"/>
              <w:rPr>
                <w:rFonts w:ascii="Arial Narrow" w:hAnsi="Arial Narrow"/>
                <w:strike/>
                <w:szCs w:val="20"/>
                <w:lang w:val="en-US"/>
              </w:rPr>
            </w:pPr>
            <w:r w:rsidRPr="00705137">
              <w:rPr>
                <w:rFonts w:ascii="Arial Narrow" w:hAnsi="Arial Narrow"/>
                <w:strike/>
                <w:szCs w:val="20"/>
              </w:rPr>
              <w:t xml:space="preserve">For the purposes of administering this restriction, an adequate response to treatment with burosumab includes (i) normalisation or greater than 30% improvement from pre-treatment baseline in serum phosphate levels; and (ii) radiological evidence of stabilization or improvement in rickets in patients without growth plate fusion.  </w:t>
            </w:r>
          </w:p>
        </w:tc>
      </w:tr>
      <w:tr w:rsidR="00705137" w14:paraId="0EB4FA53"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E84260F" w14:textId="5C9FD2F3" w:rsidR="00705137" w:rsidRDefault="00705137" w:rsidP="0010205D">
            <w:pPr>
              <w:pStyle w:val="Table"/>
              <w:rPr>
                <w:rFonts w:ascii="Arial Narrow" w:hAnsi="Arial Narrow"/>
                <w:szCs w:val="20"/>
                <w:lang w:val="en-US"/>
              </w:rPr>
            </w:pPr>
            <w:r>
              <w:rPr>
                <w:rFonts w:ascii="Arial Narrow" w:hAnsi="Arial Narrow"/>
                <w:szCs w:val="20"/>
              </w:rPr>
              <w:t xml:space="preserve">Where adequate response to treatment with burosumab cannot be demonstrated, evidence that consideration of continuing therapy has been determined to be clinically required by a second specialist physician with expertise in the treatment of X-linked hypophosphataemia.  </w:t>
            </w:r>
          </w:p>
        </w:tc>
      </w:tr>
      <w:tr w:rsidR="00705137" w14:paraId="5CB2D83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FF3F2B5" w14:textId="77777777" w:rsidR="00705137" w:rsidRPr="00705137" w:rsidRDefault="00705137" w:rsidP="0010205D">
            <w:pPr>
              <w:pStyle w:val="Table"/>
              <w:rPr>
                <w:rFonts w:ascii="Arial Narrow" w:hAnsi="Arial Narrow"/>
                <w:strike/>
                <w:szCs w:val="20"/>
                <w:lang w:val="en-US"/>
              </w:rPr>
            </w:pPr>
            <w:r w:rsidRPr="00705137">
              <w:rPr>
                <w:rFonts w:ascii="Arial Narrow" w:hAnsi="Arial Narrow"/>
                <w:strike/>
                <w:szCs w:val="20"/>
              </w:rPr>
              <w:t>At the time of authority application, medical practitioners must request the appropriate number of vials of appropriate strength</w:t>
            </w:r>
            <w:r w:rsidRPr="00705137">
              <w:rPr>
                <w:rFonts w:ascii="Arial Narrow" w:hAnsi="Arial Narrow"/>
                <w:i/>
                <w:strike/>
                <w:szCs w:val="20"/>
              </w:rPr>
              <w:t>(s)</w:t>
            </w:r>
            <w:r w:rsidRPr="00705137">
              <w:rPr>
                <w:rFonts w:ascii="Arial Narrow" w:hAnsi="Arial Narrow"/>
                <w:strike/>
                <w:szCs w:val="20"/>
              </w:rPr>
              <w:t xml:space="preserve"> to provide sufficient drug, based on the weight of the patient, adequate for one month’s supply. A separate authority prescription form must be completed for each strength requested. Up to a maximum of 3 items will be authorised for any 1 administration.</w:t>
            </w:r>
          </w:p>
        </w:tc>
      </w:tr>
      <w:tr w:rsidR="00705137" w:rsidRPr="00697E8D" w14:paraId="577265B4"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541D238C" w14:textId="77777777" w:rsidR="00705137" w:rsidRPr="00697E8D" w:rsidRDefault="00705137" w:rsidP="0010205D">
            <w:pPr>
              <w:pStyle w:val="Table"/>
              <w:rPr>
                <w:rFonts w:ascii="Arial Narrow" w:hAnsi="Arial Narrow"/>
                <w:strike/>
                <w:szCs w:val="20"/>
                <w:lang w:val="en-US"/>
              </w:rPr>
            </w:pPr>
            <w:r w:rsidRPr="00697E8D">
              <w:rPr>
                <w:rFonts w:ascii="Arial Narrow" w:hAnsi="Arial Narrow"/>
                <w:strike/>
                <w:szCs w:val="20"/>
              </w:rPr>
              <w:t>Applications for authorisation of initial treatment must be in writing and must include:</w:t>
            </w:r>
          </w:p>
          <w:p w14:paraId="7CE997D5" w14:textId="77777777" w:rsidR="00705137" w:rsidRPr="00697E8D" w:rsidRDefault="00705137" w:rsidP="0010205D">
            <w:pPr>
              <w:pStyle w:val="Table"/>
              <w:numPr>
                <w:ilvl w:val="0"/>
                <w:numId w:val="15"/>
              </w:numPr>
              <w:rPr>
                <w:rFonts w:ascii="Arial Narrow" w:hAnsi="Arial Narrow"/>
                <w:strike/>
                <w:szCs w:val="20"/>
              </w:rPr>
            </w:pPr>
            <w:r w:rsidRPr="00697E8D">
              <w:rPr>
                <w:rFonts w:ascii="Arial Narrow" w:hAnsi="Arial Narrow"/>
                <w:strike/>
                <w:szCs w:val="20"/>
              </w:rPr>
              <w:t xml:space="preserve">A completed authority prescription form; and </w:t>
            </w:r>
          </w:p>
          <w:p w14:paraId="2872CEC0" w14:textId="77777777" w:rsidR="00705137" w:rsidRPr="00697E8D" w:rsidRDefault="00705137" w:rsidP="0010205D">
            <w:pPr>
              <w:pStyle w:val="Table"/>
              <w:numPr>
                <w:ilvl w:val="0"/>
                <w:numId w:val="15"/>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14:paraId="5BDCAA9C"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5AB48EF1" w14:textId="77777777" w:rsidR="00705137" w:rsidRDefault="00705137" w:rsidP="0010205D">
            <w:pPr>
              <w:pStyle w:val="Table"/>
              <w:rPr>
                <w:rFonts w:ascii="Arial Narrow" w:hAnsi="Arial Narrow"/>
                <w:szCs w:val="20"/>
              </w:rPr>
            </w:pPr>
          </w:p>
        </w:tc>
      </w:tr>
      <w:tr w:rsidR="00705137" w14:paraId="3B43B5C0"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8A1490" w14:textId="77777777" w:rsidR="00705137" w:rsidRDefault="00705137" w:rsidP="0010205D">
            <w:pPr>
              <w:pStyle w:val="Table"/>
              <w:rPr>
                <w:rFonts w:ascii="Arial Narrow" w:hAnsi="Arial Narrow"/>
                <w:szCs w:val="20"/>
                <w:lang w:val="en-US"/>
              </w:rPr>
            </w:pPr>
            <w:r>
              <w:rPr>
                <w:rFonts w:ascii="Arial Narrow" w:hAnsi="Arial Narrow"/>
                <w:b/>
                <w:szCs w:val="20"/>
              </w:rPr>
              <w:t xml:space="preserve">Administrative advice: </w:t>
            </w:r>
            <w:r>
              <w:rPr>
                <w:rFonts w:ascii="Arial Narrow" w:hAnsi="Arial Narrow"/>
                <w:szCs w:val="20"/>
              </w:rPr>
              <w:t>Special Pricing Arrangements apply</w:t>
            </w:r>
          </w:p>
        </w:tc>
      </w:tr>
      <w:tr w:rsidR="00705137" w14:paraId="33CF133F"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tcPr>
          <w:p w14:paraId="2FA04DA2" w14:textId="77777777" w:rsidR="00705137" w:rsidRDefault="00705137" w:rsidP="0010205D">
            <w:pPr>
              <w:pStyle w:val="Table"/>
              <w:rPr>
                <w:rFonts w:ascii="Arial Narrow" w:hAnsi="Arial Narrow"/>
                <w:b/>
                <w:szCs w:val="20"/>
              </w:rPr>
            </w:pPr>
          </w:p>
        </w:tc>
      </w:tr>
      <w:tr w:rsidR="00705137" w:rsidRPr="00697E8D" w14:paraId="37DBB77F" w14:textId="77777777" w:rsidTr="00697E8D">
        <w:trPr>
          <w:trHeight w:val="225"/>
          <w:tblHeader/>
        </w:trPr>
        <w:tc>
          <w:tcPr>
            <w:tcW w:w="90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A223819"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u w:val="single"/>
              </w:rPr>
              <w:t>Note</w:t>
            </w:r>
          </w:p>
          <w:p w14:paraId="7DCED33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Any queries concerning the arrangements to prescribe may be directed to Services Australia on 1800 700 270 (hours of operation 8 a.m. to 5 p.m. EST Monday to Friday).</w:t>
            </w:r>
          </w:p>
          <w:p w14:paraId="028B12A0"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2C56259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Applications for authority to prescribe should be submitted online using the form upload facility in Health Professional Online Services (HPOS) at www.servicesaustralia.gov.au/hpos</w:t>
            </w:r>
          </w:p>
          <w:p w14:paraId="7FEDFFA7"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Or mailed to:</w:t>
            </w:r>
          </w:p>
          <w:p w14:paraId="6875B808"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Services Australia</w:t>
            </w:r>
          </w:p>
          <w:p w14:paraId="0721E93F"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Complex Drugs</w:t>
            </w:r>
          </w:p>
          <w:p w14:paraId="3AFDBD4D" w14:textId="77777777" w:rsidR="00705137" w:rsidRPr="00697E8D" w:rsidRDefault="00705137" w:rsidP="0010205D">
            <w:pPr>
              <w:rPr>
                <w:rFonts w:ascii="Arial Narrow" w:hAnsi="Arial Narrow"/>
                <w:bCs/>
                <w:strike/>
                <w:sz w:val="20"/>
                <w:szCs w:val="20"/>
              </w:rPr>
            </w:pPr>
            <w:r w:rsidRPr="00697E8D">
              <w:rPr>
                <w:rFonts w:ascii="Arial Narrow" w:hAnsi="Arial Narrow"/>
                <w:bCs/>
                <w:strike/>
                <w:sz w:val="20"/>
                <w:szCs w:val="20"/>
              </w:rPr>
              <w:t>Reply Paid 9826</w:t>
            </w:r>
          </w:p>
          <w:p w14:paraId="3353FB48" w14:textId="77777777" w:rsidR="00705137" w:rsidRPr="00697E8D" w:rsidRDefault="00705137" w:rsidP="0010205D">
            <w:pPr>
              <w:rPr>
                <w:rFonts w:ascii="Arial Narrow" w:hAnsi="Arial Narrow"/>
                <w:bCs/>
                <w:strike/>
              </w:rPr>
            </w:pPr>
            <w:r w:rsidRPr="00697E8D">
              <w:rPr>
                <w:rFonts w:ascii="Arial Narrow" w:hAnsi="Arial Narrow"/>
                <w:bCs/>
                <w:strike/>
                <w:sz w:val="20"/>
                <w:szCs w:val="20"/>
              </w:rPr>
              <w:t>HOBART TAS 7001</w:t>
            </w:r>
          </w:p>
        </w:tc>
      </w:tr>
      <w:tr w:rsidR="00697E8D" w:rsidRPr="00697E8D" w14:paraId="562D2846"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B844EA" w14:textId="77777777" w:rsidR="00697E8D" w:rsidRPr="00697E8D" w:rsidRDefault="00697E8D" w:rsidP="00E81687">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t>Note</w:t>
            </w:r>
          </w:p>
          <w:p w14:paraId="40389807" w14:textId="77777777" w:rsidR="00697E8D" w:rsidRPr="00697E8D" w:rsidRDefault="00697E8D" w:rsidP="00E81687">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31B61C6" w14:textId="77777777" w:rsidR="00705137" w:rsidRDefault="00705137" w:rsidP="00705137"/>
    <w:tbl>
      <w:tblPr>
        <w:tblStyle w:val="TableGrid"/>
        <w:tblW w:w="9077" w:type="dxa"/>
        <w:tblInd w:w="-5" w:type="dxa"/>
        <w:tblLook w:val="04A0" w:firstRow="1" w:lastRow="0" w:firstColumn="1" w:lastColumn="0" w:noHBand="0" w:noVBand="1"/>
      </w:tblPr>
      <w:tblGrid>
        <w:gridCol w:w="9077"/>
      </w:tblGrid>
      <w:tr w:rsidR="00697E8D" w14:paraId="06DFEC1D"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5F2A20" w14:textId="77777777" w:rsidR="00697E8D" w:rsidRDefault="00697E8D" w:rsidP="00E81687">
            <w:pPr>
              <w:pStyle w:val="Table"/>
              <w:rPr>
                <w:rFonts w:ascii="Arial Narrow" w:hAnsi="Arial Narrow"/>
                <w:strike/>
                <w:szCs w:val="20"/>
              </w:rPr>
            </w:pPr>
            <w:r>
              <w:rPr>
                <w:rFonts w:ascii="Arial Narrow" w:hAnsi="Arial Narrow"/>
                <w:b/>
                <w:szCs w:val="20"/>
              </w:rPr>
              <w:t xml:space="preserve">Category / program: </w:t>
            </w:r>
            <w:r w:rsidRPr="00697E8D">
              <w:rPr>
                <w:rFonts w:ascii="Arial Narrow" w:hAnsi="Arial Narrow"/>
                <w:strike/>
                <w:szCs w:val="20"/>
              </w:rPr>
              <w:t>Section 100 (Highly Specialised Drugs Program)</w:t>
            </w:r>
            <w:r>
              <w:rPr>
                <w:rFonts w:ascii="Arial Narrow" w:hAnsi="Arial Narrow"/>
                <w:szCs w:val="20"/>
              </w:rPr>
              <w:t xml:space="preserve"> </w:t>
            </w:r>
            <w:r w:rsidRPr="00697E8D">
              <w:rPr>
                <w:rFonts w:ascii="Arial Narrow" w:hAnsi="Arial Narrow"/>
                <w:i/>
                <w:iCs/>
                <w:szCs w:val="20"/>
              </w:rPr>
              <w:t>Section 85 General Listing</w:t>
            </w:r>
          </w:p>
        </w:tc>
      </w:tr>
      <w:tr w:rsidR="00697E8D" w14:paraId="435AC987"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71C9E2" w14:textId="77777777" w:rsidR="00697E8D" w:rsidRDefault="00697E8D" w:rsidP="00E81687">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697E8D" w:rsidRPr="0011725F" w14:paraId="279ADC72" w14:textId="77777777" w:rsidTr="00697E8D">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F22580" w14:textId="77777777" w:rsidR="00697E8D" w:rsidRDefault="00697E8D" w:rsidP="00E81687">
            <w:pPr>
              <w:pStyle w:val="Table"/>
              <w:rPr>
                <w:rFonts w:ascii="Arial Narrow" w:hAnsi="Arial Narrow"/>
                <w:b/>
                <w:szCs w:val="20"/>
              </w:rPr>
            </w:pPr>
            <w:r>
              <w:rPr>
                <w:rFonts w:ascii="Arial Narrow" w:hAnsi="Arial Narrow"/>
                <w:b/>
                <w:szCs w:val="20"/>
              </w:rPr>
              <w:t xml:space="preserve">Restriction type: </w:t>
            </w:r>
          </w:p>
          <w:p w14:paraId="409550BA" w14:textId="77777777" w:rsidR="00697E8D" w:rsidRPr="00697E8D" w:rsidRDefault="00697E8D" w:rsidP="00E81687">
            <w:pPr>
              <w:pStyle w:val="Table"/>
              <w:rPr>
                <w:rFonts w:ascii="Arial Narrow" w:hAnsi="Arial Narrow"/>
                <w:strike/>
                <w:szCs w:val="20"/>
              </w:rPr>
            </w:pPr>
            <w:r w:rsidRPr="00697E8D">
              <w:rPr>
                <w:strike/>
              </w:rPr>
              <w:fldChar w:fldCharType="begin">
                <w:ffData>
                  <w:name w:val="Check5"/>
                  <w:enabled/>
                  <w:calcOnExit w:val="0"/>
                  <w:checkBox>
                    <w:sizeAuto/>
                    <w:default w:val="1"/>
                  </w:checkBox>
                </w:ffData>
              </w:fldChar>
            </w:r>
            <w:r w:rsidRPr="00697E8D">
              <w:rPr>
                <w:rFonts w:ascii="Arial Narrow" w:hAnsi="Arial Narrow"/>
                <w:strike/>
                <w:szCs w:val="20"/>
              </w:rPr>
              <w:instrText xml:space="preserve"> FORMCHECKBOX </w:instrText>
            </w:r>
            <w:r w:rsidR="001A1E7C">
              <w:rPr>
                <w:strike/>
              </w:rPr>
            </w:r>
            <w:r w:rsidR="001A1E7C">
              <w:rPr>
                <w:strike/>
              </w:rPr>
              <w:fldChar w:fldCharType="separate"/>
            </w:r>
            <w:r w:rsidRPr="00697E8D">
              <w:rPr>
                <w:strike/>
              </w:rPr>
              <w:fldChar w:fldCharType="end"/>
            </w:r>
            <w:r w:rsidRPr="00697E8D">
              <w:rPr>
                <w:rFonts w:ascii="Arial Narrow" w:hAnsi="Arial Narrow"/>
                <w:strike/>
                <w:szCs w:val="20"/>
              </w:rPr>
              <w:t xml:space="preserve"> Authority Required - In Writing (Full Assessment – Pended)</w:t>
            </w:r>
          </w:p>
          <w:p w14:paraId="3B46D65F" w14:textId="3F89663F" w:rsidR="00697E8D" w:rsidRPr="00697E8D" w:rsidRDefault="00697E8D" w:rsidP="00E81687">
            <w:pPr>
              <w:pStyle w:val="Table"/>
              <w:rPr>
                <w:rFonts w:ascii="Arial Narrow" w:hAnsi="Arial Narrow"/>
                <w:i/>
                <w:iCs/>
                <w:szCs w:val="20"/>
              </w:rPr>
            </w:pPr>
            <w:r w:rsidRPr="00697E8D">
              <w:rPr>
                <w:i/>
                <w:iCs/>
              </w:rPr>
              <w:fldChar w:fldCharType="begin">
                <w:ffData>
                  <w:name w:val="Check5"/>
                  <w:enabled/>
                  <w:calcOnExit w:val="0"/>
                  <w:checkBox>
                    <w:sizeAuto/>
                    <w:default w:val="1"/>
                  </w:checkBox>
                </w:ffData>
              </w:fldChar>
            </w:r>
            <w:r w:rsidRPr="00697E8D">
              <w:rPr>
                <w:rFonts w:ascii="Arial Narrow" w:hAnsi="Arial Narrow"/>
                <w:i/>
                <w:iCs/>
                <w:szCs w:val="20"/>
              </w:rPr>
              <w:instrText xml:space="preserve"> FORMCHECKBOX </w:instrText>
            </w:r>
            <w:r w:rsidR="001A1E7C">
              <w:rPr>
                <w:i/>
                <w:iCs/>
              </w:rPr>
            </w:r>
            <w:r w:rsidR="001A1E7C">
              <w:rPr>
                <w:i/>
                <w:iCs/>
              </w:rPr>
              <w:fldChar w:fldCharType="separate"/>
            </w:r>
            <w:r w:rsidRPr="00697E8D">
              <w:rPr>
                <w:i/>
                <w:iCs/>
              </w:rPr>
              <w:fldChar w:fldCharType="end"/>
            </w:r>
            <w:r w:rsidRPr="00697E8D">
              <w:rPr>
                <w:rFonts w:ascii="Arial Narrow" w:hAnsi="Arial Narrow"/>
                <w:i/>
                <w:iCs/>
                <w:szCs w:val="20"/>
              </w:rPr>
              <w:t xml:space="preserve"> Authority Required – </w:t>
            </w:r>
            <w:r w:rsidR="00C47542">
              <w:rPr>
                <w:rFonts w:ascii="Arial Narrow" w:hAnsi="Arial Narrow"/>
                <w:i/>
                <w:iCs/>
                <w:szCs w:val="20"/>
              </w:rPr>
              <w:t>telephone/online PBS Authorities system</w:t>
            </w:r>
          </w:p>
        </w:tc>
      </w:tr>
      <w:tr w:rsidR="00705137" w14:paraId="247E95D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415C4B" w14:textId="77777777" w:rsidR="00705137" w:rsidRDefault="00705137" w:rsidP="00FF1615">
            <w:pPr>
              <w:pStyle w:val="Table"/>
              <w:rPr>
                <w:rFonts w:ascii="Arial Narrow" w:hAnsi="Arial Narrow"/>
                <w:szCs w:val="20"/>
              </w:rPr>
            </w:pPr>
            <w:r>
              <w:rPr>
                <w:rFonts w:ascii="Arial Narrow" w:hAnsi="Arial Narrow"/>
                <w:b/>
                <w:szCs w:val="20"/>
              </w:rPr>
              <w:t xml:space="preserve">Episodicity: </w:t>
            </w:r>
            <w:r>
              <w:rPr>
                <w:rFonts w:ascii="Arial Narrow" w:hAnsi="Arial Narrow"/>
                <w:strike/>
                <w:szCs w:val="20"/>
              </w:rPr>
              <w:t xml:space="preserve">Chronic </w:t>
            </w:r>
            <w:r>
              <w:rPr>
                <w:rFonts w:ascii="Arial Narrow" w:hAnsi="Arial Narrow"/>
                <w:szCs w:val="20"/>
              </w:rPr>
              <w:t>[blank]</w:t>
            </w:r>
          </w:p>
        </w:tc>
      </w:tr>
      <w:tr w:rsidR="00705137" w14:paraId="501E1FD0" w14:textId="77777777" w:rsidTr="00697E8D">
        <w:trPr>
          <w:trHeight w:val="18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465456" w14:textId="77777777" w:rsidR="00705137" w:rsidRDefault="00705137" w:rsidP="00FF1615">
            <w:pPr>
              <w:pStyle w:val="Table"/>
              <w:rPr>
                <w:rFonts w:ascii="Arial Narrow" w:hAnsi="Arial Narrow"/>
                <w:szCs w:val="20"/>
              </w:rPr>
            </w:pPr>
            <w:r>
              <w:rPr>
                <w:rFonts w:ascii="Arial Narrow" w:hAnsi="Arial Narrow"/>
                <w:b/>
                <w:szCs w:val="20"/>
              </w:rPr>
              <w:t xml:space="preserve">Severity: </w:t>
            </w:r>
            <w:r>
              <w:rPr>
                <w:rFonts w:ascii="Arial Narrow" w:hAnsi="Arial Narrow"/>
                <w:strike/>
                <w:szCs w:val="20"/>
              </w:rPr>
              <w:t>NA</w:t>
            </w:r>
            <w:r>
              <w:rPr>
                <w:rFonts w:ascii="Arial Narrow" w:hAnsi="Arial Narrow"/>
                <w:szCs w:val="20"/>
              </w:rPr>
              <w:t xml:space="preserve"> [blank]</w:t>
            </w:r>
          </w:p>
        </w:tc>
      </w:tr>
      <w:tr w:rsidR="00705137" w14:paraId="492D7FE8" w14:textId="77777777" w:rsidTr="00697E8D">
        <w:trPr>
          <w:trHeight w:val="72"/>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B74DB9" w14:textId="77777777" w:rsidR="00705137" w:rsidRDefault="00705137" w:rsidP="00FF1615">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X-linked hypophosphataemia</w:t>
            </w:r>
          </w:p>
        </w:tc>
      </w:tr>
      <w:tr w:rsidR="00705137" w14:paraId="5B615C0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90CEFB" w14:textId="77777777" w:rsidR="00705137" w:rsidRDefault="00705137" w:rsidP="00FF1615">
            <w:pPr>
              <w:pStyle w:val="Table"/>
              <w:rPr>
                <w:rFonts w:ascii="Arial Narrow" w:hAnsi="Arial Narrow"/>
                <w:szCs w:val="20"/>
              </w:rPr>
            </w:pPr>
            <w:r>
              <w:rPr>
                <w:rFonts w:ascii="Arial Narrow" w:hAnsi="Arial Narrow"/>
                <w:b/>
                <w:szCs w:val="20"/>
              </w:rPr>
              <w:t xml:space="preserve">PBS Indication: </w:t>
            </w:r>
            <w:r>
              <w:rPr>
                <w:rFonts w:ascii="Arial Narrow" w:hAnsi="Arial Narrow"/>
                <w:szCs w:val="20"/>
              </w:rPr>
              <w:t>X-linked hypophosphataemia</w:t>
            </w:r>
          </w:p>
        </w:tc>
      </w:tr>
      <w:tr w:rsidR="00705137" w14:paraId="27970E97" w14:textId="77777777" w:rsidTr="00697E8D">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139710" w14:textId="77777777" w:rsidR="00705137" w:rsidRDefault="00705137" w:rsidP="00FF1615">
            <w:pPr>
              <w:pStyle w:val="Table"/>
              <w:rPr>
                <w:rFonts w:ascii="Arial Narrow" w:hAnsi="Arial Narrow"/>
                <w:szCs w:val="20"/>
              </w:rPr>
            </w:pPr>
            <w:r>
              <w:rPr>
                <w:rFonts w:ascii="Arial Narrow" w:hAnsi="Arial Narrow"/>
                <w:b/>
                <w:szCs w:val="20"/>
              </w:rPr>
              <w:t xml:space="preserve">Treatment phase: </w:t>
            </w:r>
            <w:r>
              <w:rPr>
                <w:rFonts w:ascii="Arial Narrow" w:hAnsi="Arial Narrow"/>
                <w:szCs w:val="20"/>
              </w:rPr>
              <w:t>Grandfather</w:t>
            </w:r>
          </w:p>
        </w:tc>
      </w:tr>
      <w:tr w:rsidR="00705137" w14:paraId="45762C99" w14:textId="77777777" w:rsidTr="00697E8D">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177F29" w14:textId="77777777" w:rsidR="00705137" w:rsidRDefault="00705137" w:rsidP="00FF1615">
            <w:pPr>
              <w:pStyle w:val="Table"/>
              <w:rPr>
                <w:rFonts w:ascii="Arial Narrow" w:hAnsi="Arial Narrow"/>
                <w:b/>
                <w:szCs w:val="20"/>
              </w:rPr>
            </w:pPr>
          </w:p>
        </w:tc>
      </w:tr>
      <w:tr w:rsidR="00705137" w14:paraId="63A2CFA1"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99C837" w14:textId="77777777" w:rsidR="00705137" w:rsidRDefault="00705137" w:rsidP="00FF1615">
            <w:pPr>
              <w:pStyle w:val="Table"/>
              <w:rPr>
                <w:rFonts w:ascii="Arial Narrow" w:hAnsi="Arial Narrow"/>
                <w:szCs w:val="20"/>
              </w:rPr>
            </w:pPr>
            <w:r>
              <w:rPr>
                <w:rFonts w:ascii="Arial Narrow" w:hAnsi="Arial Narrow"/>
                <w:b/>
                <w:szCs w:val="20"/>
              </w:rPr>
              <w:t xml:space="preserve">Clinical criteria: </w:t>
            </w:r>
          </w:p>
        </w:tc>
      </w:tr>
      <w:tr w:rsidR="00705137" w14:paraId="53F279B0"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0431AC" w14:textId="4AB26FE9" w:rsidR="00705137" w:rsidRDefault="00705137" w:rsidP="00FF1615">
            <w:pPr>
              <w:pStyle w:val="Table"/>
              <w:rPr>
                <w:rFonts w:ascii="Arial Narrow" w:hAnsi="Arial Narrow"/>
                <w:b/>
                <w:szCs w:val="20"/>
              </w:rPr>
            </w:pPr>
            <w:r>
              <w:rPr>
                <w:rFonts w:ascii="Arial Narrow" w:hAnsi="Arial Narrow"/>
                <w:szCs w:val="20"/>
              </w:rPr>
              <w:t xml:space="preserve">Patient must have </w:t>
            </w:r>
            <w:r w:rsidR="0010205D" w:rsidRPr="0010205D">
              <w:rPr>
                <w:rFonts w:ascii="Arial Narrow" w:hAnsi="Arial Narrow"/>
                <w:i/>
                <w:iCs/>
                <w:szCs w:val="20"/>
              </w:rPr>
              <w:t xml:space="preserve">a documented </w:t>
            </w:r>
            <w:r>
              <w:rPr>
                <w:rFonts w:ascii="Arial Narrow" w:hAnsi="Arial Narrow"/>
                <w:szCs w:val="20"/>
              </w:rPr>
              <w:t xml:space="preserve">confirmation of PHEX pathogenic variant </w:t>
            </w:r>
            <w:r w:rsidRPr="0010205D">
              <w:rPr>
                <w:rFonts w:ascii="Arial Narrow" w:hAnsi="Arial Narrow"/>
                <w:strike/>
                <w:szCs w:val="20"/>
              </w:rPr>
              <w:t>documented in their medical records</w:t>
            </w:r>
            <w:r>
              <w:rPr>
                <w:rFonts w:ascii="Arial Narrow" w:hAnsi="Arial Narrow"/>
                <w:szCs w:val="20"/>
              </w:rPr>
              <w:t>; OR</w:t>
            </w:r>
          </w:p>
        </w:tc>
      </w:tr>
      <w:tr w:rsidR="00705137" w14:paraId="7D31E9FF"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33257D" w14:textId="77777777" w:rsidR="00705137" w:rsidRDefault="00705137" w:rsidP="00FF1615">
            <w:pPr>
              <w:pStyle w:val="Table"/>
              <w:rPr>
                <w:rFonts w:ascii="Arial Narrow" w:hAnsi="Arial Narrow"/>
                <w:szCs w:val="20"/>
              </w:rPr>
            </w:pPr>
            <w:r>
              <w:rPr>
                <w:rFonts w:ascii="Arial Narrow" w:hAnsi="Arial Narrow"/>
                <w:szCs w:val="20"/>
              </w:rPr>
              <w:t xml:space="preserve">Patient must have a </w:t>
            </w:r>
            <w:r w:rsidRPr="00705137">
              <w:rPr>
                <w:rFonts w:ascii="Arial Narrow" w:hAnsi="Arial Narrow"/>
                <w:i/>
                <w:iCs/>
                <w:szCs w:val="20"/>
              </w:rPr>
              <w:t xml:space="preserve">confirmed </w:t>
            </w:r>
            <w:r>
              <w:rPr>
                <w:rFonts w:ascii="Arial Narrow" w:hAnsi="Arial Narrow"/>
                <w:szCs w:val="20"/>
              </w:rPr>
              <w:t xml:space="preserve">diagnosis of X-Linked hypophosphataemia </w:t>
            </w:r>
            <w:r w:rsidRPr="00705137">
              <w:rPr>
                <w:rFonts w:ascii="Arial Narrow" w:hAnsi="Arial Narrow"/>
                <w:strike/>
                <w:szCs w:val="20"/>
              </w:rPr>
              <w:t>confirmed, and documented in their medical records,</w:t>
            </w:r>
            <w:r>
              <w:rPr>
                <w:rFonts w:ascii="Arial Narrow" w:hAnsi="Arial Narrow"/>
                <w:szCs w:val="20"/>
              </w:rPr>
              <w:t xml:space="preserve"> by the presence of all of the following: (i) </w:t>
            </w:r>
            <w:r w:rsidRPr="00705137">
              <w:rPr>
                <w:rFonts w:ascii="Arial Narrow" w:hAnsi="Arial Narrow"/>
                <w:strike/>
                <w:szCs w:val="20"/>
              </w:rPr>
              <w:t>hypophosphataemia</w:t>
            </w:r>
            <w:r>
              <w:rPr>
                <w:rFonts w:ascii="Arial Narrow" w:hAnsi="Arial Narrow"/>
                <w:szCs w:val="20"/>
              </w:rPr>
              <w:t xml:space="preserve"> </w:t>
            </w:r>
            <w:r w:rsidRPr="00705137">
              <w:rPr>
                <w:rFonts w:ascii="Arial Narrow" w:hAnsi="Arial Narrow"/>
                <w:i/>
                <w:iCs/>
                <w:szCs w:val="20"/>
              </w:rPr>
              <w:t>a serum phosphate concentration below the age adjusted lower limit of normal</w:t>
            </w:r>
            <w:r>
              <w:rPr>
                <w:rFonts w:ascii="Arial Narrow" w:hAnsi="Arial Narrow"/>
                <w:szCs w:val="20"/>
              </w:rPr>
              <w:t xml:space="preserve">; (ii) current or historical (for those with growth plate fusion) radiographic evidence of rickets; (iii) elevated (or inappropriately normal) serum or plasma FGF-23 levels </w:t>
            </w:r>
            <w:r w:rsidRPr="00705137">
              <w:rPr>
                <w:rFonts w:ascii="Arial Narrow" w:hAnsi="Arial Narrow"/>
                <w:i/>
                <w:iCs/>
                <w:szCs w:val="20"/>
              </w:rPr>
              <w:t>of above the mean of the assay-specific reference range</w:t>
            </w:r>
            <w:r>
              <w:rPr>
                <w:rFonts w:ascii="Arial Narrow" w:hAnsi="Arial Narrow"/>
                <w:szCs w:val="20"/>
              </w:rPr>
              <w:t xml:space="preserve">; (iv) renal phosphate wasting </w:t>
            </w:r>
            <w:r w:rsidRPr="00705137">
              <w:rPr>
                <w:rFonts w:ascii="Arial Narrow" w:hAnsi="Arial Narrow"/>
                <w:i/>
                <w:iCs/>
                <w:szCs w:val="20"/>
              </w:rPr>
              <w:t>demonstrated by a ratio of tubular maximum reabsorption rate of phosphate to glomerular filtration rate (TmP/GFR) according to age specific normal ranges using the second morning urine void and paired serum sample measuring phosphate and creatinine</w:t>
            </w:r>
          </w:p>
        </w:tc>
      </w:tr>
      <w:tr w:rsidR="00705137" w14:paraId="14C6C46C"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EAE7AD" w14:textId="77777777" w:rsidR="00705137" w:rsidRPr="00705137" w:rsidRDefault="00705137" w:rsidP="00FF1615">
            <w:pPr>
              <w:pStyle w:val="Table"/>
              <w:rPr>
                <w:rFonts w:ascii="Arial Narrow" w:hAnsi="Arial Narrow"/>
                <w:b/>
                <w:bCs/>
                <w:szCs w:val="20"/>
              </w:rPr>
            </w:pPr>
            <w:r w:rsidRPr="00705137">
              <w:rPr>
                <w:rFonts w:ascii="Arial Narrow" w:hAnsi="Arial Narrow"/>
                <w:b/>
                <w:bCs/>
                <w:szCs w:val="20"/>
              </w:rPr>
              <w:t>AND</w:t>
            </w:r>
          </w:p>
        </w:tc>
      </w:tr>
      <w:tr w:rsidR="00705137" w:rsidRPr="00E65D64" w14:paraId="0A1B489A"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6A1E5B" w14:textId="77777777" w:rsidR="00705137" w:rsidRPr="00E65D64" w:rsidRDefault="00705137" w:rsidP="00FF1615">
            <w:pPr>
              <w:pStyle w:val="Table"/>
              <w:rPr>
                <w:rFonts w:ascii="Arial Narrow" w:hAnsi="Arial Narrow"/>
                <w:b/>
                <w:bCs/>
                <w:i/>
                <w:iCs/>
                <w:szCs w:val="20"/>
              </w:rPr>
            </w:pPr>
            <w:r w:rsidRPr="00E65D64">
              <w:rPr>
                <w:rFonts w:ascii="Arial Narrow" w:hAnsi="Arial Narrow"/>
                <w:b/>
                <w:bCs/>
                <w:i/>
                <w:iCs/>
                <w:szCs w:val="20"/>
              </w:rPr>
              <w:t>Clinical criteria:</w:t>
            </w:r>
          </w:p>
        </w:tc>
      </w:tr>
      <w:tr w:rsidR="00705137" w:rsidRPr="00E65D64" w14:paraId="1267D1D7"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BCF09E" w14:textId="77777777" w:rsidR="00705137" w:rsidRPr="00E65D64" w:rsidRDefault="00705137" w:rsidP="00FF1615">
            <w:pPr>
              <w:pStyle w:val="Table"/>
              <w:rPr>
                <w:rFonts w:ascii="Arial Narrow" w:hAnsi="Arial Narrow"/>
                <w:i/>
                <w:iCs/>
                <w:szCs w:val="20"/>
              </w:rPr>
            </w:pPr>
            <w:r w:rsidRPr="00E65D64">
              <w:rPr>
                <w:rFonts w:ascii="Arial Narrow" w:hAnsi="Arial Narrow"/>
                <w:i/>
                <w:iCs/>
                <w:szCs w:val="20"/>
              </w:rPr>
              <w:t xml:space="preserve">Patient must have </w:t>
            </w:r>
            <w:r>
              <w:rPr>
                <w:rFonts w:ascii="Arial Narrow" w:hAnsi="Arial Narrow"/>
                <w:i/>
                <w:iCs/>
                <w:szCs w:val="20"/>
              </w:rPr>
              <w:t>demonstrated an adequate response to non-PBS-subsidised treatment with this drug for this condition</w:t>
            </w:r>
          </w:p>
        </w:tc>
      </w:tr>
      <w:tr w:rsidR="00705137" w14:paraId="2EB34BF5"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E9E2EC" w14:textId="77777777" w:rsidR="00705137" w:rsidRPr="00705137" w:rsidRDefault="00705137" w:rsidP="00FF1615">
            <w:pPr>
              <w:pStyle w:val="Table"/>
              <w:rPr>
                <w:rFonts w:ascii="Arial Narrow" w:hAnsi="Arial Narrow"/>
                <w:b/>
                <w:bCs/>
                <w:szCs w:val="20"/>
              </w:rPr>
            </w:pPr>
            <w:r w:rsidRPr="00705137">
              <w:rPr>
                <w:rFonts w:ascii="Arial Narrow" w:hAnsi="Arial Narrow"/>
                <w:b/>
                <w:bCs/>
                <w:szCs w:val="20"/>
              </w:rPr>
              <w:t>AND</w:t>
            </w:r>
          </w:p>
        </w:tc>
      </w:tr>
      <w:tr w:rsidR="00705137" w:rsidRPr="00E65D64" w14:paraId="50E51A7E"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5AFC6" w14:textId="77777777" w:rsidR="00705137" w:rsidRPr="00E65D64" w:rsidRDefault="00705137" w:rsidP="00FF1615">
            <w:pPr>
              <w:pStyle w:val="Table"/>
              <w:rPr>
                <w:rFonts w:ascii="Arial Narrow" w:hAnsi="Arial Narrow"/>
                <w:b/>
                <w:bCs/>
                <w:i/>
                <w:iCs/>
                <w:szCs w:val="20"/>
              </w:rPr>
            </w:pPr>
            <w:r w:rsidRPr="00E65D64">
              <w:rPr>
                <w:rFonts w:ascii="Arial Narrow" w:hAnsi="Arial Narrow"/>
                <w:b/>
                <w:bCs/>
                <w:i/>
                <w:iCs/>
                <w:szCs w:val="20"/>
              </w:rPr>
              <w:t>Clinical criteria:</w:t>
            </w:r>
          </w:p>
        </w:tc>
      </w:tr>
      <w:tr w:rsidR="00705137" w:rsidRPr="00E65D64" w14:paraId="394CF409"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362C45" w14:textId="77777777" w:rsidR="00705137" w:rsidRPr="00E65D64" w:rsidRDefault="00705137" w:rsidP="00FF1615">
            <w:pPr>
              <w:pStyle w:val="Table"/>
              <w:rPr>
                <w:rFonts w:ascii="Arial Narrow" w:hAnsi="Arial Narrow"/>
                <w:i/>
                <w:iCs/>
                <w:szCs w:val="20"/>
              </w:rPr>
            </w:pPr>
            <w:r w:rsidRPr="00E65D64">
              <w:rPr>
                <w:rFonts w:ascii="Arial Narrow" w:hAnsi="Arial Narrow"/>
                <w:i/>
                <w:iCs/>
                <w:szCs w:val="20"/>
              </w:rPr>
              <w:t>Patient must have previously received non-PBS subsidised treatment with this drug for this condition prior to [listing date]</w:t>
            </w:r>
          </w:p>
        </w:tc>
      </w:tr>
      <w:tr w:rsidR="00705137" w:rsidRPr="00E65D64" w14:paraId="63E83267"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3AD41D" w14:textId="77777777" w:rsidR="00705137" w:rsidRPr="00705137" w:rsidRDefault="00705137" w:rsidP="00FF1615">
            <w:pPr>
              <w:pStyle w:val="Table"/>
              <w:rPr>
                <w:rFonts w:ascii="Arial Narrow" w:hAnsi="Arial Narrow"/>
                <w:i/>
                <w:iCs/>
                <w:strike/>
                <w:szCs w:val="20"/>
              </w:rPr>
            </w:pPr>
            <w:r w:rsidRPr="00705137">
              <w:rPr>
                <w:rFonts w:ascii="Arial Narrow" w:hAnsi="Arial Narrow"/>
                <w:i/>
                <w:iCs/>
                <w:strike/>
                <w:szCs w:val="20"/>
              </w:rPr>
              <w:t>AND</w:t>
            </w:r>
          </w:p>
        </w:tc>
      </w:tr>
      <w:tr w:rsidR="00705137" w:rsidRPr="00E65D64" w14:paraId="5458320B"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27966" w14:textId="77777777" w:rsidR="00705137" w:rsidRPr="00705137" w:rsidRDefault="00705137" w:rsidP="00FF1615">
            <w:pPr>
              <w:pStyle w:val="Table"/>
              <w:rPr>
                <w:rFonts w:ascii="Arial Narrow" w:hAnsi="Arial Narrow"/>
                <w:b/>
                <w:bCs/>
                <w:strike/>
                <w:szCs w:val="20"/>
              </w:rPr>
            </w:pPr>
            <w:r w:rsidRPr="00705137">
              <w:rPr>
                <w:rFonts w:ascii="Arial Narrow" w:hAnsi="Arial Narrow"/>
                <w:b/>
                <w:bCs/>
                <w:strike/>
                <w:szCs w:val="20"/>
              </w:rPr>
              <w:t>Clinical criteria:</w:t>
            </w:r>
          </w:p>
        </w:tc>
      </w:tr>
      <w:tr w:rsidR="00705137" w14:paraId="3B7CBC84"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84B0BA"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Patient may only qualify under this treatment phase once</w:t>
            </w:r>
          </w:p>
        </w:tc>
      </w:tr>
      <w:tr w:rsidR="00705137" w14:paraId="5E428F6F" w14:textId="77777777" w:rsidTr="00697E8D">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58F1D7" w14:textId="77777777" w:rsidR="00705137" w:rsidRDefault="00705137" w:rsidP="00FF1615">
            <w:pPr>
              <w:pStyle w:val="Table"/>
              <w:rPr>
                <w:rFonts w:ascii="Arial Narrow" w:hAnsi="Arial Narrow"/>
                <w:szCs w:val="20"/>
              </w:rPr>
            </w:pPr>
          </w:p>
        </w:tc>
      </w:tr>
      <w:tr w:rsidR="00705137" w14:paraId="2D1A6384" w14:textId="77777777" w:rsidTr="00697E8D">
        <w:trPr>
          <w:trHeight w:val="22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85765B" w14:textId="77777777" w:rsidR="00705137" w:rsidRDefault="00705137" w:rsidP="00FF1615">
            <w:pPr>
              <w:pStyle w:val="Table"/>
              <w:rPr>
                <w:rFonts w:ascii="Arial Narrow" w:hAnsi="Arial Narrow"/>
                <w:b/>
                <w:szCs w:val="20"/>
              </w:rPr>
            </w:pPr>
            <w:r>
              <w:rPr>
                <w:rFonts w:ascii="Arial Narrow" w:hAnsi="Arial Narrow"/>
                <w:b/>
                <w:szCs w:val="20"/>
              </w:rPr>
              <w:t>Treatment criteria:</w:t>
            </w:r>
          </w:p>
        </w:tc>
      </w:tr>
      <w:tr w:rsidR="00705137" w14:paraId="0DDD4AE4" w14:textId="77777777" w:rsidTr="00697E8D">
        <w:trPr>
          <w:trHeight w:val="1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688C5A" w14:textId="77777777" w:rsidR="00705137" w:rsidRDefault="00705137" w:rsidP="00FF1615">
            <w:pPr>
              <w:pStyle w:val="Table"/>
              <w:rPr>
                <w:rFonts w:ascii="Arial Narrow" w:hAnsi="Arial Narrow"/>
                <w:szCs w:val="20"/>
              </w:rPr>
            </w:pPr>
            <w:r>
              <w:rPr>
                <w:rFonts w:ascii="Arial Narrow" w:hAnsi="Arial Narrow"/>
                <w:szCs w:val="20"/>
              </w:rPr>
              <w:t>Patient must be treated by one of the following specialists: (i) paediatric endocrinologist, (ii) paediatric nephrologist, (iii) endocrinologist, or (iv) nephrologist</w:t>
            </w:r>
          </w:p>
        </w:tc>
      </w:tr>
      <w:tr w:rsidR="00705137" w14:paraId="676BCDE7"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8EB968" w14:textId="77777777" w:rsidR="00705137" w:rsidRDefault="00705137" w:rsidP="00FF1615">
            <w:pPr>
              <w:pStyle w:val="Table"/>
              <w:rPr>
                <w:rFonts w:ascii="Arial Narrow" w:hAnsi="Arial Narrow"/>
                <w:b/>
                <w:szCs w:val="20"/>
              </w:rPr>
            </w:pPr>
          </w:p>
        </w:tc>
      </w:tr>
      <w:tr w:rsidR="00705137" w14:paraId="4916DA36"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C71254" w14:textId="77777777" w:rsidR="00705137" w:rsidRDefault="00705137" w:rsidP="00FF1615">
            <w:pPr>
              <w:pStyle w:val="Table"/>
              <w:rPr>
                <w:rFonts w:ascii="Arial Narrow" w:hAnsi="Arial Narrow"/>
                <w:szCs w:val="20"/>
              </w:rPr>
            </w:pPr>
            <w:r>
              <w:rPr>
                <w:rFonts w:ascii="Arial Narrow" w:hAnsi="Arial Narrow"/>
                <w:b/>
                <w:szCs w:val="20"/>
              </w:rPr>
              <w:t xml:space="preserve">Prescriber instructions: </w:t>
            </w:r>
          </w:p>
        </w:tc>
      </w:tr>
      <w:tr w:rsidR="00705137" w14:paraId="7499DA3A"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BE1E37" w14:textId="77777777" w:rsidR="00705137" w:rsidRPr="00705137" w:rsidRDefault="00705137" w:rsidP="00FF1615">
            <w:pPr>
              <w:pStyle w:val="Table"/>
              <w:rPr>
                <w:rFonts w:ascii="Arial Narrow" w:hAnsi="Arial Narrow"/>
                <w:i/>
                <w:strike/>
                <w:szCs w:val="20"/>
              </w:rPr>
            </w:pPr>
            <w:r w:rsidRPr="00705137">
              <w:rPr>
                <w:rFonts w:ascii="Arial Narrow" w:hAnsi="Arial Narrow"/>
                <w:strike/>
                <w:szCs w:val="20"/>
              </w:rPr>
              <w:t>For the purposes of administering this restriction hypophosphataemia is defined as a serum phosphate concentration below the age adjusted lower limit of normal</w:t>
            </w:r>
          </w:p>
        </w:tc>
      </w:tr>
      <w:tr w:rsidR="00705137" w14:paraId="702866C4"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5D064" w14:textId="77777777" w:rsidR="00705137" w:rsidRPr="00705137" w:rsidRDefault="00705137" w:rsidP="00FF1615">
            <w:pPr>
              <w:pStyle w:val="Table"/>
              <w:rPr>
                <w:rFonts w:ascii="Arial Narrow" w:hAnsi="Arial Narrow"/>
                <w:b/>
                <w:strike/>
                <w:szCs w:val="20"/>
              </w:rPr>
            </w:pPr>
            <w:r w:rsidRPr="00705137">
              <w:rPr>
                <w:rFonts w:ascii="Arial Narrow" w:hAnsi="Arial Narrow"/>
                <w:strike/>
                <w:szCs w:val="20"/>
              </w:rPr>
              <w:t>For the purposes of administering this restriction radiographic evidence of rickets requires a x-ray demonstrating evidence of rickets</w:t>
            </w:r>
          </w:p>
        </w:tc>
      </w:tr>
      <w:tr w:rsidR="00705137" w14:paraId="3C42D2E9"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FB5042"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For the purposes of administering this restriction an elevated (or inappropriately normal) serum or plasma FGF-23 levels are defined as above the mean of the assay-specific reference range</w:t>
            </w:r>
          </w:p>
        </w:tc>
      </w:tr>
      <w:tr w:rsidR="00705137" w14:paraId="66DE9389"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213CD"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For the purposes of administering this restriction renal phosphate wasting is the ratio of tubular maximum reabsorption rate of phosphate to glomerular filtration rate (TmP/GFR) according to age specific normal ranges using ideally the second morning urine void and paired serum sample measuring phosphate and creatinine</w:t>
            </w:r>
          </w:p>
        </w:tc>
      </w:tr>
      <w:tr w:rsidR="00705137" w14:paraId="3106A26B"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CED679" w14:textId="77777777" w:rsidR="00705137" w:rsidRPr="00705137" w:rsidRDefault="00705137" w:rsidP="00FF1615">
            <w:pPr>
              <w:pStyle w:val="Table"/>
              <w:rPr>
                <w:rFonts w:ascii="Arial Narrow" w:hAnsi="Arial Narrow"/>
                <w:strike/>
                <w:szCs w:val="20"/>
              </w:rPr>
            </w:pPr>
            <w:r w:rsidRPr="00705137">
              <w:rPr>
                <w:rFonts w:ascii="Arial Narrow" w:hAnsi="Arial Narrow"/>
                <w:strike/>
                <w:szCs w:val="20"/>
              </w:rPr>
              <w:t>At the time of authority application, medical practitioners must request the appropriate number of vials of appropriate strength</w:t>
            </w:r>
            <w:r w:rsidRPr="00705137">
              <w:rPr>
                <w:rFonts w:ascii="Arial Narrow" w:hAnsi="Arial Narrow"/>
                <w:i/>
                <w:strike/>
                <w:szCs w:val="20"/>
              </w:rPr>
              <w:t>(s)</w:t>
            </w:r>
            <w:r w:rsidRPr="00705137">
              <w:rPr>
                <w:rFonts w:ascii="Arial Narrow" w:hAnsi="Arial Narrow"/>
                <w:strike/>
                <w:szCs w:val="20"/>
              </w:rPr>
              <w:t xml:space="preserve"> to provide sufficient drug, based on the weight of the patient, for </w:t>
            </w:r>
            <w:r w:rsidRPr="00705137">
              <w:rPr>
                <w:rFonts w:ascii="Arial Narrow" w:hAnsi="Arial Narrow"/>
                <w:i/>
                <w:strike/>
                <w:szCs w:val="20"/>
              </w:rPr>
              <w:t>two</w:t>
            </w:r>
            <w:r w:rsidRPr="00705137">
              <w:rPr>
                <w:rFonts w:ascii="Arial Narrow" w:hAnsi="Arial Narrow"/>
                <w:strike/>
                <w:szCs w:val="20"/>
              </w:rPr>
              <w:t xml:space="preserve"> administration</w:t>
            </w:r>
            <w:r w:rsidRPr="00705137">
              <w:rPr>
                <w:rFonts w:ascii="Arial Narrow" w:hAnsi="Arial Narrow"/>
                <w:i/>
                <w:strike/>
                <w:szCs w:val="20"/>
              </w:rPr>
              <w:t>s</w:t>
            </w:r>
            <w:r w:rsidRPr="00705137">
              <w:rPr>
                <w:rFonts w:ascii="Arial Narrow" w:hAnsi="Arial Narrow"/>
                <w:strike/>
                <w:szCs w:val="20"/>
              </w:rPr>
              <w:t>. A separate authority prescription form must be completed for each strength requested. Up to a maximum of 3 items will be authorised for any 1 administration.</w:t>
            </w:r>
          </w:p>
        </w:tc>
      </w:tr>
      <w:tr w:rsidR="00705137" w:rsidRPr="00697E8D" w14:paraId="070C971F"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91C121" w14:textId="77777777" w:rsidR="00705137" w:rsidRPr="00697E8D" w:rsidRDefault="00705137" w:rsidP="00FF1615">
            <w:pPr>
              <w:pStyle w:val="Table"/>
              <w:rPr>
                <w:rFonts w:ascii="Arial Narrow" w:hAnsi="Arial Narrow"/>
                <w:strike/>
                <w:szCs w:val="20"/>
              </w:rPr>
            </w:pPr>
            <w:r w:rsidRPr="00697E8D">
              <w:rPr>
                <w:rFonts w:ascii="Arial Narrow" w:hAnsi="Arial Narrow"/>
                <w:strike/>
                <w:szCs w:val="20"/>
              </w:rPr>
              <w:t>Applications for authorisation of initial treatment must be in writing and must include:</w:t>
            </w:r>
          </w:p>
          <w:p w14:paraId="00AAFC2A" w14:textId="77777777" w:rsidR="00705137" w:rsidRPr="00697E8D" w:rsidRDefault="00705137" w:rsidP="00FF1615">
            <w:pPr>
              <w:pStyle w:val="Table"/>
              <w:numPr>
                <w:ilvl w:val="0"/>
                <w:numId w:val="16"/>
              </w:numPr>
              <w:rPr>
                <w:rFonts w:ascii="Arial Narrow" w:hAnsi="Arial Narrow"/>
                <w:strike/>
                <w:szCs w:val="20"/>
              </w:rPr>
            </w:pPr>
            <w:r w:rsidRPr="00697E8D">
              <w:rPr>
                <w:rFonts w:ascii="Arial Narrow" w:hAnsi="Arial Narrow"/>
                <w:strike/>
                <w:szCs w:val="20"/>
              </w:rPr>
              <w:t xml:space="preserve">A completed authority prescription form; and </w:t>
            </w:r>
          </w:p>
          <w:p w14:paraId="3A987D52" w14:textId="77777777" w:rsidR="00705137" w:rsidRPr="00697E8D" w:rsidRDefault="00705137" w:rsidP="00FF1615">
            <w:pPr>
              <w:pStyle w:val="Table"/>
              <w:numPr>
                <w:ilvl w:val="0"/>
                <w:numId w:val="16"/>
              </w:numPr>
              <w:rPr>
                <w:rFonts w:ascii="Arial Narrow" w:hAnsi="Arial Narrow"/>
                <w:strike/>
                <w:szCs w:val="20"/>
              </w:rPr>
            </w:pPr>
            <w:r w:rsidRPr="00697E8D">
              <w:rPr>
                <w:rFonts w:ascii="Arial Narrow" w:hAnsi="Arial Narrow"/>
                <w:strike/>
                <w:szCs w:val="20"/>
              </w:rPr>
              <w:t>A completed PBS authority application form relevant to the indication and treatment phase (the latest version is located at the website mentioned in the administrative note.</w:t>
            </w:r>
          </w:p>
        </w:tc>
      </w:tr>
      <w:tr w:rsidR="00705137" w14:paraId="03DA8932"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0E4786" w14:textId="77777777" w:rsidR="00705137" w:rsidRPr="0011725F" w:rsidRDefault="00705137" w:rsidP="00FF1615">
            <w:pPr>
              <w:pStyle w:val="Table"/>
              <w:rPr>
                <w:rFonts w:ascii="Arial Narrow" w:hAnsi="Arial Narrow"/>
                <w:szCs w:val="20"/>
              </w:rPr>
            </w:pPr>
          </w:p>
        </w:tc>
      </w:tr>
      <w:tr w:rsidR="00705137" w14:paraId="03599BD3" w14:textId="77777777" w:rsidTr="00697E8D">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CDE867" w14:textId="77777777" w:rsidR="00705137" w:rsidRDefault="00705137" w:rsidP="00FF1615">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705137" w:rsidRPr="00162954" w14:paraId="7E6BA646"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BBB06A" w14:textId="77777777" w:rsidR="00705137" w:rsidRPr="00705137" w:rsidRDefault="00705137" w:rsidP="00FF1615">
            <w:pPr>
              <w:rPr>
                <w:rFonts w:ascii="Arial Narrow" w:hAnsi="Arial Narrow"/>
                <w:bCs/>
                <w:i/>
                <w:iCs/>
                <w:sz w:val="20"/>
                <w:szCs w:val="20"/>
              </w:rPr>
            </w:pPr>
            <w:r w:rsidRPr="00705137">
              <w:rPr>
                <w:rFonts w:ascii="Arial Narrow" w:hAnsi="Arial Narrow"/>
                <w:b/>
                <w:i/>
                <w:iCs/>
                <w:sz w:val="20"/>
                <w:szCs w:val="20"/>
              </w:rPr>
              <w:t xml:space="preserve">Administrative advice: </w:t>
            </w:r>
            <w:r w:rsidRPr="00705137">
              <w:rPr>
                <w:rFonts w:ascii="Arial Narrow" w:hAnsi="Arial Narrow"/>
                <w:bCs/>
                <w:i/>
                <w:iCs/>
                <w:sz w:val="20"/>
                <w:szCs w:val="20"/>
              </w:rPr>
              <w:t>This grandfather restriction will cease to operate from 12 months after the date specified in the clinical criteria</w:t>
            </w:r>
          </w:p>
        </w:tc>
      </w:tr>
      <w:tr w:rsidR="00705137" w14:paraId="05BC12B0"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D6CE7C" w14:textId="77777777" w:rsidR="00705137" w:rsidRDefault="00705137" w:rsidP="00FF1615">
            <w:pPr>
              <w:rPr>
                <w:rFonts w:ascii="Arial Narrow" w:hAnsi="Arial Narrow"/>
                <w:bCs/>
                <w:u w:val="single"/>
              </w:rPr>
            </w:pPr>
          </w:p>
        </w:tc>
      </w:tr>
      <w:tr w:rsidR="00705137" w:rsidRPr="00697E8D" w14:paraId="3195211B"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25A0CA" w14:textId="77777777" w:rsidR="00705137" w:rsidRPr="00697E8D" w:rsidRDefault="00705137" w:rsidP="00FF1615">
            <w:pPr>
              <w:rPr>
                <w:rFonts w:ascii="Arial Narrow" w:hAnsi="Arial Narrow" w:cs="Times New Roman"/>
                <w:bCs/>
                <w:strike/>
                <w:sz w:val="20"/>
                <w:szCs w:val="20"/>
              </w:rPr>
            </w:pPr>
            <w:r w:rsidRPr="00697E8D">
              <w:rPr>
                <w:rFonts w:ascii="Arial Narrow" w:hAnsi="Arial Narrow"/>
                <w:bCs/>
                <w:strike/>
                <w:sz w:val="20"/>
                <w:szCs w:val="20"/>
                <w:u w:val="single"/>
              </w:rPr>
              <w:t>Note</w:t>
            </w:r>
          </w:p>
          <w:p w14:paraId="0D962E5B"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Any queries concerning the arrangements to prescribe may be directed to Services Australia on 1800 700 270 (hours of operation 8 a.m. to 5 p.m. EST Monday to Friday).</w:t>
            </w:r>
          </w:p>
          <w:p w14:paraId="557D2080"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Prescribing information (including Authority Application forms and other relevant documentation as applicable) is available on the Services Australia website at www.servicesaustralia.gov.au</w:t>
            </w:r>
          </w:p>
          <w:p w14:paraId="3C54C2FA"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lastRenderedPageBreak/>
              <w:t>Applications for authority to prescribe should be submitted online using the form upload facility in Health Professional Online Services (HPOS) at www.servicesaustralia.gov.au/hpos</w:t>
            </w:r>
          </w:p>
          <w:p w14:paraId="1AC8C558"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Or mailed to:</w:t>
            </w:r>
          </w:p>
          <w:p w14:paraId="23477040"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Services Australia</w:t>
            </w:r>
          </w:p>
          <w:p w14:paraId="06AA1255"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Complex Drugs</w:t>
            </w:r>
          </w:p>
          <w:p w14:paraId="458DFA81" w14:textId="77777777" w:rsidR="00705137" w:rsidRPr="00697E8D" w:rsidRDefault="00705137" w:rsidP="00FF1615">
            <w:pPr>
              <w:rPr>
                <w:rFonts w:ascii="Arial Narrow" w:hAnsi="Arial Narrow"/>
                <w:bCs/>
                <w:strike/>
                <w:sz w:val="20"/>
                <w:szCs w:val="20"/>
              </w:rPr>
            </w:pPr>
            <w:r w:rsidRPr="00697E8D">
              <w:rPr>
                <w:rFonts w:ascii="Arial Narrow" w:hAnsi="Arial Narrow"/>
                <w:bCs/>
                <w:strike/>
                <w:sz w:val="20"/>
                <w:szCs w:val="20"/>
              </w:rPr>
              <w:t>Reply Paid 9826</w:t>
            </w:r>
          </w:p>
          <w:p w14:paraId="72D00678" w14:textId="77777777" w:rsidR="00705137" w:rsidRPr="00697E8D" w:rsidRDefault="00705137" w:rsidP="00FF1615">
            <w:pPr>
              <w:rPr>
                <w:rFonts w:ascii="Arial Narrow" w:hAnsi="Arial Narrow"/>
                <w:bCs/>
                <w:strike/>
                <w:color w:val="333333"/>
              </w:rPr>
            </w:pPr>
            <w:r w:rsidRPr="00697E8D">
              <w:rPr>
                <w:rFonts w:ascii="Arial Narrow" w:hAnsi="Arial Narrow"/>
                <w:bCs/>
                <w:strike/>
                <w:sz w:val="20"/>
                <w:szCs w:val="20"/>
              </w:rPr>
              <w:t>HOBART TAS 7001</w:t>
            </w:r>
          </w:p>
        </w:tc>
      </w:tr>
      <w:tr w:rsidR="00697E8D" w:rsidRPr="00697E8D" w14:paraId="1687B435" w14:textId="77777777" w:rsidTr="00697E8D">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92976A" w14:textId="77777777" w:rsidR="00697E8D" w:rsidRPr="00697E8D" w:rsidRDefault="00697E8D" w:rsidP="00E81687">
            <w:pPr>
              <w:rPr>
                <w:rFonts w:ascii="Arial Narrow" w:hAnsi="Arial Narrow"/>
                <w:bCs/>
                <w:i/>
                <w:iCs/>
                <w:color w:val="333333"/>
                <w:sz w:val="20"/>
                <w:szCs w:val="20"/>
                <w:u w:val="single"/>
              </w:rPr>
            </w:pPr>
            <w:r w:rsidRPr="00697E8D">
              <w:rPr>
                <w:rFonts w:ascii="Arial Narrow" w:hAnsi="Arial Narrow"/>
                <w:bCs/>
                <w:i/>
                <w:iCs/>
                <w:color w:val="333333"/>
                <w:sz w:val="20"/>
                <w:szCs w:val="20"/>
                <w:u w:val="single"/>
              </w:rPr>
              <w:lastRenderedPageBreak/>
              <w:t>Note</w:t>
            </w:r>
          </w:p>
          <w:p w14:paraId="24C78D62" w14:textId="77777777" w:rsidR="00697E8D" w:rsidRPr="00697E8D" w:rsidRDefault="00697E8D" w:rsidP="00E81687">
            <w:pPr>
              <w:rPr>
                <w:rFonts w:ascii="Arial Narrow" w:hAnsi="Arial Narrow"/>
                <w:bCs/>
                <w:i/>
                <w:iCs/>
                <w:sz w:val="20"/>
                <w:szCs w:val="20"/>
                <w:u w:val="single"/>
              </w:rPr>
            </w:pPr>
            <w:r w:rsidRPr="00697E8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081C945" w14:textId="77777777" w:rsidR="00705137" w:rsidRPr="00882085" w:rsidRDefault="00705137" w:rsidP="004B1CB4"/>
    <w:p w14:paraId="7BAAAF81" w14:textId="4A65323C" w:rsidR="00EC2D5E" w:rsidRPr="001A2C4E" w:rsidRDefault="00EC2D5E" w:rsidP="0073079A">
      <w:pPr>
        <w:pStyle w:val="3-BodyText"/>
      </w:pPr>
      <w:bookmarkStart w:id="20" w:name="_Hlk92696886"/>
      <w:r w:rsidRPr="001A2C4E">
        <w:t xml:space="preserve">The resubmission proposed a reduction in the effective ex-manufacturer prices (AEMPs) of each dose form of burosumab, representing a </w:t>
      </w:r>
      <w:r w:rsidR="00B355AE" w:rsidRPr="00676539">
        <w:rPr>
          <w:color w:val="000000"/>
          <w:w w:val="15"/>
          <w:shd w:val="solid" w:color="000000" w:fill="000000"/>
          <w:fitText w:val="-20" w:id="-1504471032"/>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32"/>
          <w14:textFill>
            <w14:solidFill>
              <w14:srgbClr w14:val="000000">
                <w14:alpha w14:val="100000"/>
              </w14:srgbClr>
            </w14:solidFill>
          </w14:textFill>
        </w:rPr>
        <w:t>|</w:t>
      </w:r>
      <w:r w:rsidRPr="003C231F">
        <w:t>%</w:t>
      </w:r>
      <w:r w:rsidRPr="001A2C4E">
        <w:t xml:space="preserve"> reduction on the effective AEMP requested in the March 2021 submission. </w:t>
      </w:r>
      <w:r w:rsidR="000976A0">
        <w:t xml:space="preserve">The pre-PBAC response offered a further </w:t>
      </w:r>
      <w:r w:rsidR="00B355AE" w:rsidRPr="00676539">
        <w:rPr>
          <w:color w:val="000000"/>
          <w:w w:val="15"/>
          <w:shd w:val="solid" w:color="000000" w:fill="000000"/>
          <w:fitText w:val="-20" w:id="-1504471031"/>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31"/>
          <w14:textFill>
            <w14:solidFill>
              <w14:srgbClr w14:val="000000">
                <w14:alpha w14:val="100000"/>
              </w14:srgbClr>
            </w14:solidFill>
          </w14:textFill>
        </w:rPr>
        <w:t>|</w:t>
      </w:r>
      <w:r w:rsidR="000976A0" w:rsidRPr="003C231F">
        <w:t>%</w:t>
      </w:r>
      <w:r w:rsidR="000976A0">
        <w:t xml:space="preserve"> reduction in the effective AEMP.</w:t>
      </w:r>
    </w:p>
    <w:p w14:paraId="70AB1A06" w14:textId="798AD9A3" w:rsidR="00EC2D5E" w:rsidRPr="001A2C4E" w:rsidRDefault="007757C4" w:rsidP="0073079A">
      <w:pPr>
        <w:pStyle w:val="3-BodyText"/>
        <w:snapToGrid w:val="0"/>
      </w:pPr>
      <w:r w:rsidRPr="001A2C4E">
        <w:t xml:space="preserve"> </w:t>
      </w:r>
      <w:bookmarkEnd w:id="20"/>
      <w:r w:rsidR="00EC2D5E" w:rsidRPr="001A2C4E">
        <w:t>The requested restrictions in the resubmission w</w:t>
      </w:r>
      <w:r w:rsidR="00FF1C6A" w:rsidRPr="001A2C4E">
        <w:t>ere</w:t>
      </w:r>
      <w:r w:rsidR="00EC2D5E" w:rsidRPr="001A2C4E">
        <w:t xml:space="preserve"> amended from the March 2021 submission based on </w:t>
      </w:r>
      <w:r w:rsidR="00FF1C6A" w:rsidRPr="001A2C4E">
        <w:t xml:space="preserve">the </w:t>
      </w:r>
      <w:r w:rsidR="00EC2D5E" w:rsidRPr="001A2C4E">
        <w:t xml:space="preserve">outcomes of the PBAC convened </w:t>
      </w:r>
      <w:r w:rsidR="00226C40" w:rsidRPr="001A2C4E">
        <w:t>C</w:t>
      </w:r>
      <w:r w:rsidR="00EC2D5E" w:rsidRPr="001A2C4E">
        <w:t xml:space="preserve">linical </w:t>
      </w:r>
      <w:r w:rsidR="00226C40" w:rsidRPr="001A2C4E">
        <w:t>E</w:t>
      </w:r>
      <w:r w:rsidR="00EC2D5E" w:rsidRPr="001A2C4E">
        <w:t xml:space="preserve">xpert </w:t>
      </w:r>
      <w:r w:rsidR="00226C40" w:rsidRPr="001A2C4E">
        <w:t>C</w:t>
      </w:r>
      <w:r w:rsidR="00EC2D5E" w:rsidRPr="001A2C4E">
        <w:t xml:space="preserve">onsultation (CEC) meeting in May 2021. The </w:t>
      </w:r>
      <w:r w:rsidR="002C140A">
        <w:t>revised</w:t>
      </w:r>
      <w:r w:rsidR="002C140A" w:rsidRPr="001A2C4E">
        <w:t xml:space="preserve"> </w:t>
      </w:r>
      <w:r w:rsidR="00EC2D5E" w:rsidRPr="001A2C4E">
        <w:t xml:space="preserve">requested listing was age agnostic. Compared to the March 2021 restrictions more clinically orientated initiation and continuation criteria were </w:t>
      </w:r>
      <w:r w:rsidR="002C140A">
        <w:t>proposed</w:t>
      </w:r>
      <w:r w:rsidR="00EC2D5E" w:rsidRPr="001A2C4E">
        <w:t xml:space="preserve">. A grandfathering restriction was also </w:t>
      </w:r>
      <w:r w:rsidR="002C140A">
        <w:t>requested</w:t>
      </w:r>
      <w:r w:rsidR="002C140A" w:rsidRPr="001A2C4E">
        <w:t xml:space="preserve"> </w:t>
      </w:r>
      <w:r w:rsidR="00EC2D5E" w:rsidRPr="001A2C4E">
        <w:t>to allow eligible patients from a burosumab early access program (EAP) to continue treatment on PBS.</w:t>
      </w:r>
    </w:p>
    <w:p w14:paraId="6F123D08" w14:textId="0D236EA4" w:rsidR="00EC2D5E" w:rsidRPr="001A2C4E" w:rsidRDefault="00EC2D5E" w:rsidP="0073079A">
      <w:pPr>
        <w:pStyle w:val="3-BodyText"/>
        <w:snapToGrid w:val="0"/>
      </w:pPr>
      <w:r w:rsidRPr="001A2C4E">
        <w:t xml:space="preserve">The requested restrictions were consistent with outcomes of the CEC meeting with the exception of a proposal to change one </w:t>
      </w:r>
      <w:r w:rsidR="002C140A">
        <w:t xml:space="preserve">of the </w:t>
      </w:r>
      <w:r w:rsidRPr="001A2C4E">
        <w:t xml:space="preserve">continuation criteria from “normalisation of serum phosphate levels” to “normalisation or greater than 30% improvement from pre-treatment baseline in serum phosphate levels”. This change may not be appropriate. Given normal range for serum phosphate varies with age, </w:t>
      </w:r>
      <w:r w:rsidR="002C140A">
        <w:t xml:space="preserve">a </w:t>
      </w:r>
      <w:r w:rsidRPr="001A2C4E">
        <w:t>‘</w:t>
      </w:r>
      <w:r w:rsidRPr="001A2C4E">
        <w:rPr>
          <w:rFonts w:cs="Calibri"/>
        </w:rPr>
        <w:t>≥</w:t>
      </w:r>
      <w:r w:rsidRPr="001A2C4E">
        <w:t xml:space="preserve">30% improvement on pre-treatment baseline phosphate levels’ may be uninformative for some patients. For example, adolescents and adults who initiated burosumab as paediatric patients would have had their pre-treatment baseline serum phosphate measured </w:t>
      </w:r>
      <w:r w:rsidR="002C140A">
        <w:t>many years prior</w:t>
      </w:r>
      <w:r w:rsidRPr="001A2C4E">
        <w:t xml:space="preserve">, so referring to historical baselines would not help </w:t>
      </w:r>
      <w:r w:rsidR="00690A43" w:rsidRPr="001A2C4E">
        <w:t xml:space="preserve">determine </w:t>
      </w:r>
      <w:r w:rsidRPr="001A2C4E">
        <w:t>how well these patients are responding to present treatment with burosumab. Therefore, it may be more appropriate to refer to an age-appropriate reference range and allow clinicians to apply judgement. The CEC meeting noted that phosphate levels do commonly decrease when a child is growing and the child ‘out-grows’ their current burosumab dose. This is an indication that the dose should be increased, not that burosumab has become an ineffective treatment.</w:t>
      </w:r>
    </w:p>
    <w:p w14:paraId="352A43BB" w14:textId="01F64FD6" w:rsidR="009C5C77" w:rsidRPr="001A2C4E" w:rsidRDefault="00912C35" w:rsidP="0073079A">
      <w:pPr>
        <w:pStyle w:val="3-BodyText"/>
        <w:snapToGrid w:val="0"/>
      </w:pPr>
      <w:r w:rsidRPr="001A2C4E">
        <w:lastRenderedPageBreak/>
        <w:t xml:space="preserve">The </w:t>
      </w:r>
      <w:r w:rsidR="001A1E7C">
        <w:t>Pre-Sub-Committee Response (</w:t>
      </w:r>
      <w:r w:rsidRPr="001A2C4E">
        <w:t>PSCR</w:t>
      </w:r>
      <w:r w:rsidR="001A1E7C">
        <w:t>)</w:t>
      </w:r>
      <w:r w:rsidRPr="001A2C4E">
        <w:t xml:space="preserve"> stated that the proposed 30% threshold was based on a post-hoc analysis of data from the CL303 study, Brandi 2020</w:t>
      </w:r>
      <w:r w:rsidRPr="001A2C4E">
        <w:rPr>
          <w:rStyle w:val="FootnoteReference"/>
        </w:rPr>
        <w:footnoteReference w:id="1"/>
      </w:r>
      <w:r w:rsidRPr="001A2C4E">
        <w:t xml:space="preserve">. The PSCR also noted </w:t>
      </w:r>
      <w:r w:rsidR="009C5C77" w:rsidRPr="001A2C4E">
        <w:t>that since the resubmission was finalised, an international expert review</w:t>
      </w:r>
      <w:r w:rsidR="009C5C77" w:rsidRPr="001A2C4E">
        <w:rPr>
          <w:rStyle w:val="FootnoteReference"/>
        </w:rPr>
        <w:footnoteReference w:id="2"/>
      </w:r>
      <w:r w:rsidR="009C5C77" w:rsidRPr="001A2C4E">
        <w:t xml:space="preserve"> has been published</w:t>
      </w:r>
      <w:r w:rsidR="00F00DD2" w:rsidRPr="001A2C4E">
        <w:t xml:space="preserve"> which provided further pragmatic response criteria, stating “In general, we consider the following to be useful indication of a good response </w:t>
      </w:r>
      <w:r w:rsidR="008179D9" w:rsidRPr="001A2C4E">
        <w:t xml:space="preserve">to burosumab therapy in patients with XLH, as has been shown in clinical trials when analysed at the midpoint between doses: a 50% increase from baseline in serum phosphate concentration (even if LLN is not achieved); a 50% decline from baseline in fractional excretion of phosphate; and/or a 50% increase in TmP/GFR. Assessment of total alkaline phosphatase (ALP) in children or bone-specific ALP in adults, can also be used to monitor response.” The PSCR stated that either </w:t>
      </w:r>
      <w:r w:rsidR="00CB7BF5" w:rsidRPr="001A2C4E">
        <w:t xml:space="preserve">a 30% or 50% improvement </w:t>
      </w:r>
      <w:r w:rsidR="008179D9" w:rsidRPr="001A2C4E">
        <w:t>would limit the number of instances where a second specialist physician opinion would be required.</w:t>
      </w:r>
      <w:r w:rsidRPr="001A2C4E">
        <w:t xml:space="preserve"> The ESC noted that the proposed continuation criterion in the restriction applied to all eligible patients (i.e. paediatric and adult); however, the 30% threshold </w:t>
      </w:r>
      <w:r w:rsidR="008D38A4" w:rsidRPr="001A2C4E">
        <w:t>was based on CL303 which enrolled only adults. In addition, the ESC noted that the international expert review highlighted the need to consider age-, and sex-specific reference values when monitoring serum phosphate responses to treatment, including consideration of menopause and puberty influencing target serum levels.</w:t>
      </w:r>
    </w:p>
    <w:p w14:paraId="29BC48A1" w14:textId="0C86E41D" w:rsidR="00EC2D5E" w:rsidRPr="001A2C4E" w:rsidRDefault="00EC2D5E" w:rsidP="0073079A">
      <w:pPr>
        <w:pStyle w:val="3-BodyText"/>
        <w:snapToGrid w:val="0"/>
      </w:pPr>
      <w:r w:rsidRPr="001A2C4E">
        <w:t>The requested restrictions did not clear</w:t>
      </w:r>
      <w:r w:rsidR="002C140A">
        <w:t>ly define</w:t>
      </w:r>
      <w:r w:rsidRPr="001A2C4E">
        <w:t xml:space="preserve"> when a patient should be assessed for response to burosumab to ascertain eligibility for continued PBS treatment. It was noted that the quantities requested for initiation and continuation therapy, would provide for 1 month of initial treatment and up to 6 months of continuing treatment, but these may be inadequate durations to assess response. Also, as response in paediatric and adult patients </w:t>
      </w:r>
      <w:r w:rsidR="004C0043" w:rsidRPr="001A2C4E">
        <w:t xml:space="preserve">are </w:t>
      </w:r>
      <w:r w:rsidRPr="001A2C4E">
        <w:t xml:space="preserve">to be measured differently (i.e., based on serum phosphate levels and radiographic evidence of rickets in children </w:t>
      </w:r>
      <w:r w:rsidR="00D83DBC">
        <w:t>versus</w:t>
      </w:r>
      <w:r w:rsidRPr="001A2C4E">
        <w:t xml:space="preserve"> serum phosphate levels</w:t>
      </w:r>
      <w:r w:rsidR="00D83DBC">
        <w:t xml:space="preserve"> only</w:t>
      </w:r>
      <w:r w:rsidRPr="001A2C4E">
        <w:t xml:space="preserve"> in adults) different </w:t>
      </w:r>
      <w:r w:rsidR="00D83DBC">
        <w:t xml:space="preserve">assessment </w:t>
      </w:r>
      <w:r w:rsidRPr="001A2C4E">
        <w:t xml:space="preserve">time frames may be necessary for the two populations. It was noted that change in serum phosphate levels was measured between Week 40-64 in CL301 (the main paediatric trial) and </w:t>
      </w:r>
      <w:r w:rsidR="00AD53C9" w:rsidRPr="001A2C4E">
        <w:t xml:space="preserve">at </w:t>
      </w:r>
      <w:r w:rsidRPr="001A2C4E">
        <w:t xml:space="preserve">Week 24 in CL303 (the main adult trial). Radiographic evidence of rickets was assessed between Week 40-64 in the paediatric trial only. In clinical practice, all patients on burosumab treatment are likely to require regular serum phosphate monitoring (i.e., every 2 or 4 weeks within the first 3 months of treatment then periodically thereafter) and less </w:t>
      </w:r>
      <w:r w:rsidRPr="001A2C4E">
        <w:lastRenderedPageBreak/>
        <w:t>frequent radiographic monitoring in children (e.g., 6 months after initiating treatment and every 1 to 2 years to guide treatment adjustment</w:t>
      </w:r>
      <w:r w:rsidRPr="001A2C4E">
        <w:rPr>
          <w:vertAlign w:val="superscript"/>
        </w:rPr>
        <w:footnoteReference w:id="3"/>
      </w:r>
      <w:r w:rsidR="008179D9" w:rsidRPr="001A2C4E">
        <w:rPr>
          <w:vertAlign w:val="superscript"/>
        </w:rPr>
        <w:t>,</w:t>
      </w:r>
      <w:r w:rsidRPr="001A2C4E">
        <w:rPr>
          <w:vertAlign w:val="superscript"/>
        </w:rPr>
        <w:footnoteReference w:id="4"/>
      </w:r>
      <w:r w:rsidR="008179D9" w:rsidRPr="001A2C4E">
        <w:rPr>
          <w:vertAlign w:val="superscript"/>
        </w:rPr>
        <w:t>,</w:t>
      </w:r>
      <w:r w:rsidRPr="001A2C4E">
        <w:rPr>
          <w:vertAlign w:val="superscript"/>
        </w:rPr>
        <w:footnoteReference w:id="5"/>
      </w:r>
      <w:r w:rsidRPr="001A2C4E">
        <w:t>).</w:t>
      </w:r>
    </w:p>
    <w:p w14:paraId="3D4433FF" w14:textId="2DE9DFA3" w:rsidR="001A2C4E" w:rsidRDefault="005468FB" w:rsidP="0073079A">
      <w:pPr>
        <w:pStyle w:val="3-BodyText"/>
        <w:snapToGrid w:val="0"/>
      </w:pPr>
      <w:r w:rsidRPr="001A2C4E">
        <w:t xml:space="preserve">The PSCR </w:t>
      </w:r>
      <w:r w:rsidR="002C140A">
        <w:t>acknowledged</w:t>
      </w:r>
      <w:r w:rsidR="002C140A" w:rsidRPr="001A2C4E">
        <w:t xml:space="preserve"> </w:t>
      </w:r>
      <w:r w:rsidRPr="001A2C4E">
        <w:t>that the resubmission did not formally propose a duration of initial treatment or specify any number of repeats. The PSCR stated that a six</w:t>
      </w:r>
      <w:r w:rsidR="00411DBB" w:rsidRPr="001A2C4E">
        <w:t>-</w:t>
      </w:r>
      <w:r w:rsidRPr="001A2C4E">
        <w:t>month</w:t>
      </w:r>
      <w:r w:rsidR="00751DA4" w:rsidRPr="001A2C4E">
        <w:t>ly</w:t>
      </w:r>
      <w:r w:rsidRPr="001A2C4E">
        <w:t xml:space="preserve"> assessment of serum phosphate response was likely appropriate for both paediatric and adult populations, but the radiographic assessment of rickets improvement in children would be more reasonably conducted after 12 months of treatment. Ongoing assessments of response, for continuation of treatment beyond 12 months could reasonably conducted annually, with emphasis on maintenance of improvements in serum phosphate levels and/or rickets severity, as continuous change in these outcomes beyond one year was unlikely.</w:t>
      </w:r>
    </w:p>
    <w:p w14:paraId="1E0AD541" w14:textId="5D69C1FF" w:rsidR="001A2C4E" w:rsidRPr="001A2C4E" w:rsidRDefault="001A2C4E" w:rsidP="001A2C4E">
      <w:pPr>
        <w:pStyle w:val="3-BodyText"/>
        <w:numPr>
          <w:ilvl w:val="0"/>
          <w:numId w:val="0"/>
        </w:numPr>
        <w:snapToGrid w:val="0"/>
        <w:ind w:left="720"/>
      </w:pPr>
      <w:r w:rsidRPr="001A2C4E">
        <w:rPr>
          <w:i/>
          <w:iCs/>
        </w:rPr>
        <w:t>For more detail on PBAC’s view, see section 7 PBAC outcome.</w:t>
      </w:r>
    </w:p>
    <w:p w14:paraId="701CDF27" w14:textId="77777777" w:rsidR="00EC2D5E" w:rsidRDefault="00EC2D5E" w:rsidP="0073079A">
      <w:pPr>
        <w:pStyle w:val="2-SectionHeading"/>
        <w:snapToGrid w:val="0"/>
      </w:pPr>
      <w:bookmarkStart w:id="21" w:name="_Toc92386476"/>
      <w:bookmarkStart w:id="22" w:name="_Toc93406126"/>
      <w:r>
        <w:t>Population and disease</w:t>
      </w:r>
      <w:bookmarkEnd w:id="21"/>
      <w:bookmarkEnd w:id="22"/>
    </w:p>
    <w:p w14:paraId="1EA9DD52" w14:textId="422C9C00" w:rsidR="00EC2D5E" w:rsidRDefault="00EC2D5E" w:rsidP="0073079A">
      <w:pPr>
        <w:pStyle w:val="3-BodyText"/>
        <w:snapToGrid w:val="0"/>
      </w:pPr>
      <w:r>
        <w:t xml:space="preserve">XLH is a rare, lifelong and progressive, X-linked inherited disorder characterised by low levels of phosphate in the blood. XLH is caused by mutations on the X chromosome (PHEX) gene. Excess levels of circulating fibroblast growth factor 23 (FGF23) result in reduced renal phosphate reabsorption and decreased production of active vitamin D leading to chronic hypophosphataemia. Clinical manifestations of XLH in children lead to impaired mobility and physical function. Skeletal abnormalities and short stature acquired in childhood become irreversible after the completion of growth. The presence of skeletal deformities along with persistent hypophosphataemia in adulthood drives the ongoing evolution and progression of disease (as bones require phosphate for ongoing development). </w:t>
      </w:r>
      <w:bookmarkStart w:id="23" w:name="_Hlk92279500"/>
      <w:r>
        <w:t xml:space="preserve">The population targeted in the resubmission </w:t>
      </w:r>
      <w:r w:rsidR="009D391C">
        <w:t xml:space="preserve">is </w:t>
      </w:r>
      <w:r>
        <w:t>all patients</w:t>
      </w:r>
      <w:r w:rsidR="002C140A">
        <w:t xml:space="preserve"> regardless of age</w:t>
      </w:r>
      <w:r>
        <w:t xml:space="preserve"> with XLH. </w:t>
      </w:r>
      <w:bookmarkEnd w:id="23"/>
      <w:r>
        <w:t>Burosumab is expected to improve rickets and growth (height) in children and adolescents with growing skeletons; these effects diminish once growth plates are closed (epiphyseal closure), although there are other benefits of burosumab in adults such as normalisation of serum phosphate levels, improving physical functioning and reducing pain and stiffness.</w:t>
      </w:r>
    </w:p>
    <w:p w14:paraId="759C59E5" w14:textId="77777777" w:rsidR="00EC2D5E" w:rsidRDefault="00EC2D5E" w:rsidP="0073079A">
      <w:pPr>
        <w:pStyle w:val="3-BodyText"/>
        <w:snapToGrid w:val="0"/>
      </w:pPr>
      <w:r>
        <w:t xml:space="preserve">Burosumab is a recombinant human monoclonal antibody (immunoglobulin G subclass (IgG1)) that binds to and inhibits the activity of FGF23. By blocking FGF23 activity, there is increased renal tubular reabsorption of phosphate and serum concentration of 1,25 dihydroxy-Vitamin D, which has shown to lead to improvements </w:t>
      </w:r>
      <w:r>
        <w:lastRenderedPageBreak/>
        <w:t>in bone mineral metabolism and healing of rickets, thereby increasing growth, mobility, and physical functioning.</w:t>
      </w:r>
    </w:p>
    <w:p w14:paraId="0A318E7F" w14:textId="1D04FC94" w:rsidR="00EC2D5E" w:rsidRPr="008E65F1" w:rsidRDefault="00EC2D5E" w:rsidP="0073079A">
      <w:pPr>
        <w:pStyle w:val="3-BodyText"/>
        <w:snapToGrid w:val="0"/>
        <w:rPr>
          <w:iCs/>
        </w:rPr>
      </w:pPr>
      <w:r w:rsidRPr="008E65F1">
        <w:rPr>
          <w:iCs/>
        </w:rPr>
        <w:t xml:space="preserve">There is no clinical data on burosumab treatment for </w:t>
      </w:r>
      <w:r w:rsidR="00B43A10">
        <w:rPr>
          <w:iCs/>
        </w:rPr>
        <w:t xml:space="preserve">(i) </w:t>
      </w:r>
      <w:r w:rsidRPr="008E65F1">
        <w:rPr>
          <w:iCs/>
        </w:rPr>
        <w:t xml:space="preserve">children as they transition to adults </w:t>
      </w:r>
      <w:r w:rsidR="00AD53C9" w:rsidRPr="008E65F1">
        <w:rPr>
          <w:iCs/>
        </w:rPr>
        <w:t>(and change from two weekly dosing to four weekly dosing)</w:t>
      </w:r>
      <w:r w:rsidR="00B43A10">
        <w:rPr>
          <w:iCs/>
        </w:rPr>
        <w:t>;</w:t>
      </w:r>
      <w:r w:rsidR="00AD53C9" w:rsidRPr="008E65F1">
        <w:rPr>
          <w:iCs/>
        </w:rPr>
        <w:t xml:space="preserve"> </w:t>
      </w:r>
      <w:r w:rsidR="00B43A10">
        <w:rPr>
          <w:iCs/>
        </w:rPr>
        <w:t>or</w:t>
      </w:r>
      <w:r w:rsidRPr="008E65F1">
        <w:rPr>
          <w:iCs/>
        </w:rPr>
        <w:t xml:space="preserve"> </w:t>
      </w:r>
      <w:r w:rsidR="00B43A10">
        <w:rPr>
          <w:iCs/>
        </w:rPr>
        <w:t xml:space="preserve">(ii) patients who </w:t>
      </w:r>
      <w:r w:rsidRPr="008E65F1">
        <w:rPr>
          <w:iCs/>
        </w:rPr>
        <w:t>recommenc</w:t>
      </w:r>
      <w:r w:rsidR="00B43A10">
        <w:rPr>
          <w:iCs/>
        </w:rPr>
        <w:t>e</w:t>
      </w:r>
      <w:r w:rsidRPr="008E65F1">
        <w:rPr>
          <w:iCs/>
        </w:rPr>
        <w:t xml:space="preserve"> burosumab therapy as adults</w:t>
      </w:r>
      <w:r w:rsidR="009D391C">
        <w:rPr>
          <w:iCs/>
        </w:rPr>
        <w:t xml:space="preserve"> following treatment as a child</w:t>
      </w:r>
      <w:r w:rsidRPr="008E65F1">
        <w:rPr>
          <w:iCs/>
        </w:rPr>
        <w:t>. The TGA Delegate’s Overview also noted that the clinical trial data in adolescents (aged 13 to 17 years) remain lacking, despite the importance of the pubertal growth spurt. Nevertheless, the TGA indication support</w:t>
      </w:r>
      <w:r w:rsidR="00AD53C9" w:rsidRPr="008E65F1">
        <w:rPr>
          <w:iCs/>
        </w:rPr>
        <w:t>ed</w:t>
      </w:r>
      <w:r w:rsidRPr="008E65F1">
        <w:rPr>
          <w:iCs/>
        </w:rPr>
        <w:t xml:space="preserve"> continued use in adolescents when clinically indicated. It was noted that the FDA also recently approved burosumab for treatment of XLH in paediatrics aged from 6 months.</w:t>
      </w:r>
    </w:p>
    <w:p w14:paraId="1B37865B" w14:textId="77777777" w:rsidR="001A2C4E" w:rsidRDefault="00EC2D5E" w:rsidP="0073079A">
      <w:pPr>
        <w:pStyle w:val="3-BodyText"/>
        <w:snapToGrid w:val="0"/>
        <w:rPr>
          <w:iCs/>
        </w:rPr>
      </w:pPr>
      <w:r w:rsidRPr="008E65F1">
        <w:rPr>
          <w:iCs/>
        </w:rPr>
        <w:t>If listed on the PBS, it was anticipated that burosumab would replace 100% of conventional therapy in children and adolescent</w:t>
      </w:r>
      <w:r w:rsidR="00F4629F" w:rsidRPr="008E65F1">
        <w:rPr>
          <w:iCs/>
        </w:rPr>
        <w:t>s</w:t>
      </w:r>
      <w:r w:rsidRPr="008E65F1">
        <w:rPr>
          <w:iCs/>
        </w:rPr>
        <w:t xml:space="preserve"> and 40-70% in adults, although no data was available to inform current treatment patterns among prevalent Australian adult XLH patients. The key differences between the current and proposed clinical management algorithms in the resubmission was the inclusion of burosumab as a treatment option for all Australian XLH patients (paediatrics and adults), with burosumab expected to replace conventional therapy in eligible patients.</w:t>
      </w:r>
    </w:p>
    <w:p w14:paraId="248C63D0" w14:textId="588902A6" w:rsidR="001A2C4E" w:rsidRPr="001A2C4E" w:rsidRDefault="001A2C4E" w:rsidP="001A2C4E">
      <w:pPr>
        <w:pStyle w:val="3-BodyText"/>
        <w:numPr>
          <w:ilvl w:val="0"/>
          <w:numId w:val="0"/>
        </w:numPr>
        <w:snapToGrid w:val="0"/>
        <w:ind w:left="720"/>
        <w:rPr>
          <w:iCs/>
        </w:rPr>
      </w:pPr>
      <w:r w:rsidRPr="001A2C4E">
        <w:rPr>
          <w:i/>
          <w:iCs/>
        </w:rPr>
        <w:t>For more detail on PBAC’s view, see section 7 PBAC outcome.</w:t>
      </w:r>
    </w:p>
    <w:p w14:paraId="3345D00E" w14:textId="77777777" w:rsidR="00EC2D5E" w:rsidRDefault="00EC2D5E" w:rsidP="0073079A">
      <w:pPr>
        <w:pStyle w:val="2-SectionHeading"/>
        <w:snapToGrid w:val="0"/>
      </w:pPr>
      <w:bookmarkStart w:id="24" w:name="_Toc92386477"/>
      <w:bookmarkStart w:id="25" w:name="_Toc93406127"/>
      <w:r>
        <w:t>Comparator</w:t>
      </w:r>
      <w:bookmarkEnd w:id="24"/>
      <w:bookmarkEnd w:id="25"/>
    </w:p>
    <w:p w14:paraId="05D0931E" w14:textId="77777777" w:rsidR="001A2C4E" w:rsidRDefault="00EC2D5E" w:rsidP="001A2C4E">
      <w:pPr>
        <w:pStyle w:val="3-BodyText"/>
        <w:rPr>
          <w:rFonts w:cstheme="minorHAnsi"/>
        </w:rPr>
      </w:pPr>
      <w:r w:rsidRPr="008E65F1">
        <w:rPr>
          <w:lang w:val="en-US"/>
        </w:rPr>
        <w:t xml:space="preserve">The resubmission </w:t>
      </w:r>
      <w:r w:rsidR="00751DA4">
        <w:rPr>
          <w:lang w:val="en-US"/>
        </w:rPr>
        <w:t xml:space="preserve">again </w:t>
      </w:r>
      <w:r w:rsidRPr="008E65F1">
        <w:rPr>
          <w:lang w:val="en-US"/>
        </w:rPr>
        <w:t>nominated conventional therapy (oral phosphorus and calcitriol) as the appropriate comparator. The main clinical evidence for the adult population, however, was based on a comparison of burosumab and placebo. The modelled economic evaluation and financial estimates assumed 70.1% of the adult population are treated with conventional therapy.</w:t>
      </w:r>
      <w:r w:rsidRPr="008E65F1">
        <w:rPr>
          <w:rFonts w:ascii="Times New Roman" w:hAnsi="Times New Roman" w:cs="Times New Roman"/>
        </w:rPr>
        <w:t xml:space="preserve"> </w:t>
      </w:r>
      <w:r w:rsidR="00751DA4" w:rsidRPr="001A2C4E">
        <w:rPr>
          <w:rFonts w:cstheme="minorHAnsi"/>
        </w:rPr>
        <w:t>The ESC considered that the nominated comparator was appropriate.</w:t>
      </w:r>
    </w:p>
    <w:p w14:paraId="58352986" w14:textId="59CC1864" w:rsidR="001A2C4E" w:rsidRPr="001A2C4E" w:rsidRDefault="001A2C4E" w:rsidP="001A2C4E">
      <w:pPr>
        <w:pStyle w:val="3-BodyText"/>
        <w:numPr>
          <w:ilvl w:val="0"/>
          <w:numId w:val="0"/>
        </w:numPr>
        <w:ind w:left="720"/>
        <w:rPr>
          <w:rFonts w:cstheme="minorHAnsi"/>
          <w:i/>
          <w:iCs/>
        </w:rPr>
      </w:pPr>
      <w:r w:rsidRPr="001A2C4E">
        <w:rPr>
          <w:i/>
          <w:iCs/>
        </w:rPr>
        <w:t>For more detail on PBAC’s view, see section 7 PBAC outcome.</w:t>
      </w:r>
    </w:p>
    <w:p w14:paraId="54F289A1" w14:textId="77777777" w:rsidR="00CE76B8" w:rsidRPr="00407F2D" w:rsidRDefault="00CE76B8" w:rsidP="00223D5A">
      <w:pPr>
        <w:pStyle w:val="2-SectionHeading"/>
      </w:pPr>
      <w:bookmarkStart w:id="26" w:name="_Toc92386478"/>
      <w:bookmarkStart w:id="27" w:name="_Toc93406128"/>
      <w:bookmarkStart w:id="28" w:name="_Toc22897640"/>
      <w:r>
        <w:t>C</w:t>
      </w:r>
      <w:r w:rsidRPr="00407F2D">
        <w:t>onsideration of the evidence</w:t>
      </w:r>
      <w:bookmarkEnd w:id="26"/>
      <w:bookmarkEnd w:id="27"/>
    </w:p>
    <w:p w14:paraId="35193C19" w14:textId="77777777" w:rsidR="001A2C4E" w:rsidRPr="006E1229" w:rsidRDefault="001A2C4E" w:rsidP="001A2C4E">
      <w:pPr>
        <w:pStyle w:val="4-SubsectionHeading"/>
      </w:pPr>
      <w:bookmarkStart w:id="29" w:name="_Hlk76375935"/>
      <w:bookmarkStart w:id="30" w:name="_Toc92386479"/>
      <w:bookmarkStart w:id="31" w:name="_Toc93406129"/>
      <w:r w:rsidRPr="006E1229">
        <w:t>Sponsor hearing</w:t>
      </w:r>
    </w:p>
    <w:p w14:paraId="474D0ADB" w14:textId="05A9954A" w:rsidR="001A2C4E" w:rsidRPr="00F05724" w:rsidRDefault="001A2C4E" w:rsidP="00F05724">
      <w:pPr>
        <w:widowControl w:val="0"/>
        <w:numPr>
          <w:ilvl w:val="1"/>
          <w:numId w:val="1"/>
        </w:numPr>
        <w:spacing w:after="120"/>
        <w:rPr>
          <w:rFonts w:cs="Calibri"/>
          <w:bCs/>
          <w:snapToGrid w:val="0"/>
        </w:rPr>
      </w:pPr>
      <w:r w:rsidRPr="00F91542">
        <w:rPr>
          <w:rFonts w:cs="Calibri"/>
          <w:bCs/>
          <w:snapToGrid w:val="0"/>
        </w:rPr>
        <w:t>There was no hearing for this item.</w:t>
      </w:r>
    </w:p>
    <w:p w14:paraId="71A63CC3" w14:textId="77777777" w:rsidR="001A2C4E" w:rsidRPr="006E1229" w:rsidRDefault="001A2C4E" w:rsidP="001A2C4E">
      <w:pPr>
        <w:pStyle w:val="4-SubsectionHeading"/>
      </w:pPr>
      <w:r w:rsidRPr="006E1229">
        <w:t>Consumer comments</w:t>
      </w:r>
    </w:p>
    <w:p w14:paraId="7ACDB62A" w14:textId="0D7017BC" w:rsidR="004738C0" w:rsidRPr="00CA768E" w:rsidRDefault="001A2C4E" w:rsidP="004738C0">
      <w:pPr>
        <w:widowControl w:val="0"/>
        <w:numPr>
          <w:ilvl w:val="1"/>
          <w:numId w:val="1"/>
        </w:numPr>
        <w:spacing w:after="120"/>
        <w:rPr>
          <w:rFonts w:asciiTheme="minorHAnsi" w:hAnsiTheme="minorHAnsi"/>
          <w:bCs/>
          <w:snapToGrid w:val="0"/>
        </w:rPr>
      </w:pPr>
      <w:bookmarkStart w:id="32" w:name="_Hlk76382618"/>
      <w:r w:rsidRPr="00836F75">
        <w:rPr>
          <w:rFonts w:asciiTheme="minorHAnsi" w:hAnsiTheme="minorHAnsi"/>
          <w:bCs/>
          <w:snapToGrid w:val="0"/>
        </w:rPr>
        <w:t>The PBAC noted and welcomed the input from individuals (</w:t>
      </w:r>
      <w:r w:rsidR="004738C0">
        <w:rPr>
          <w:rFonts w:asciiTheme="minorHAnsi" w:hAnsiTheme="minorHAnsi"/>
          <w:bCs/>
          <w:snapToGrid w:val="0"/>
        </w:rPr>
        <w:t>175</w:t>
      </w:r>
      <w:r w:rsidRPr="00836F75">
        <w:rPr>
          <w:rFonts w:asciiTheme="minorHAnsi" w:hAnsiTheme="minorHAnsi"/>
          <w:bCs/>
          <w:snapToGrid w:val="0"/>
        </w:rPr>
        <w:t>), health care professionals (</w:t>
      </w:r>
      <w:r w:rsidR="004738C0">
        <w:rPr>
          <w:rFonts w:asciiTheme="minorHAnsi" w:hAnsiTheme="minorHAnsi"/>
          <w:bCs/>
          <w:snapToGrid w:val="0"/>
        </w:rPr>
        <w:t>12)</w:t>
      </w:r>
      <w:r w:rsidRPr="00836F75">
        <w:rPr>
          <w:rFonts w:asciiTheme="minorHAnsi" w:hAnsiTheme="minorHAnsi"/>
          <w:bCs/>
          <w:snapToGrid w:val="0"/>
        </w:rPr>
        <w:t xml:space="preserve"> and organisations (</w:t>
      </w:r>
      <w:r w:rsidR="001F1734">
        <w:rPr>
          <w:rFonts w:asciiTheme="minorHAnsi" w:hAnsiTheme="minorHAnsi"/>
          <w:bCs/>
          <w:snapToGrid w:val="0"/>
        </w:rPr>
        <w:t>2</w:t>
      </w:r>
      <w:r w:rsidRPr="00836F75">
        <w:rPr>
          <w:rFonts w:asciiTheme="minorHAnsi" w:hAnsiTheme="minorHAnsi"/>
          <w:bCs/>
          <w:snapToGrid w:val="0"/>
        </w:rPr>
        <w:t xml:space="preserve">) via the Consumer Comments facility on the PBS website.  </w:t>
      </w:r>
      <w:r w:rsidR="004738C0" w:rsidRPr="00EF02F3">
        <w:rPr>
          <w:iCs/>
          <w:lang w:val="en-US"/>
        </w:rPr>
        <w:t xml:space="preserve">Of the comments from individuals, the PBAC noted several were from individuals living with XLH, or supporting someone with XLH, who had direct experience of using </w:t>
      </w:r>
      <w:r w:rsidR="004738C0" w:rsidRPr="00EF02F3">
        <w:rPr>
          <w:iCs/>
          <w:snapToGrid w:val="0"/>
          <w:lang w:val="en-US"/>
        </w:rPr>
        <w:t>burosumab</w:t>
      </w:r>
      <w:r w:rsidR="004738C0" w:rsidRPr="00EF02F3">
        <w:rPr>
          <w:lang w:val="en-US"/>
        </w:rPr>
        <w:t xml:space="preserve">. </w:t>
      </w:r>
      <w:r w:rsidR="004738C0" w:rsidRPr="00EF02F3">
        <w:rPr>
          <w:snapToGrid w:val="0"/>
          <w:lang w:val="en-US"/>
        </w:rPr>
        <w:t xml:space="preserve">The comments described </w:t>
      </w:r>
      <w:r w:rsidR="00C33A4D">
        <w:rPr>
          <w:snapToGrid w:val="0"/>
          <w:lang w:val="en-US"/>
        </w:rPr>
        <w:t>the disabling nature of XLH, the</w:t>
      </w:r>
      <w:r w:rsidR="004738C0" w:rsidRPr="00EF02F3">
        <w:rPr>
          <w:snapToGrid w:val="0"/>
          <w:lang w:val="en-US"/>
        </w:rPr>
        <w:t xml:space="preserve"> range of benefits of treatment with burosumab </w:t>
      </w:r>
      <w:r w:rsidR="001F1734">
        <w:rPr>
          <w:snapToGrid w:val="0"/>
          <w:lang w:val="en-US"/>
        </w:rPr>
        <w:t xml:space="preserve">for both paediatric and adult </w:t>
      </w:r>
      <w:r w:rsidR="001F1734">
        <w:rPr>
          <w:snapToGrid w:val="0"/>
          <w:lang w:val="en-US"/>
        </w:rPr>
        <w:lastRenderedPageBreak/>
        <w:t xml:space="preserve">patients </w:t>
      </w:r>
      <w:r w:rsidR="004738C0" w:rsidRPr="00EF02F3">
        <w:rPr>
          <w:snapToGrid w:val="0"/>
          <w:lang w:val="en-US"/>
        </w:rPr>
        <w:t xml:space="preserve">including the ease of administration compared to currently available therapies, the effectiveness of the treatment, the tolerability of the treatment and the improved quality of life associated with the treatment. </w:t>
      </w:r>
      <w:r w:rsidR="004738C0">
        <w:rPr>
          <w:snapToGrid w:val="0"/>
          <w:lang w:val="en-US"/>
        </w:rPr>
        <w:t>Health professionals described the clinical and quality of life improvements in patients receiving burosumab.</w:t>
      </w:r>
    </w:p>
    <w:p w14:paraId="4C0E97FA" w14:textId="5DADAB3B" w:rsidR="001F1734" w:rsidRPr="001F1734" w:rsidRDefault="004738C0" w:rsidP="001F1734">
      <w:pPr>
        <w:widowControl w:val="0"/>
        <w:numPr>
          <w:ilvl w:val="1"/>
          <w:numId w:val="1"/>
        </w:numPr>
        <w:spacing w:after="120"/>
      </w:pPr>
      <w:r w:rsidRPr="00300B45">
        <w:rPr>
          <w:rFonts w:asciiTheme="minorHAnsi" w:hAnsiTheme="minorHAnsi"/>
          <w:bCs/>
          <w:snapToGrid w:val="0"/>
        </w:rPr>
        <w:t xml:space="preserve">The PBAC noted the advice received from the Australian and New Zealand Bone and Mineral Society (ANZBMS) and the Australasian Paediatric Endocrine Group (APEG) strongly supporting the use of burosumab in clinical practice.  The PBAC specifically noted the advice that the use of burosumab may reverse the serious disabilities associated with XLH and significantly improve quality of life.  The PBAC noted that this advice </w:t>
      </w:r>
      <w:r>
        <w:rPr>
          <w:rFonts w:asciiTheme="minorHAnsi" w:hAnsiTheme="minorHAnsi"/>
          <w:bCs/>
          <w:snapToGrid w:val="0"/>
        </w:rPr>
        <w:t>complemented the evidence provided in the submission</w:t>
      </w:r>
      <w:r w:rsidR="001F1734">
        <w:rPr>
          <w:rFonts w:asciiTheme="minorHAnsi" w:hAnsiTheme="minorHAnsi"/>
          <w:bCs/>
          <w:snapToGrid w:val="0"/>
        </w:rPr>
        <w:t xml:space="preserve"> for paediatric and adult patients. </w:t>
      </w:r>
      <w:bookmarkEnd w:id="29"/>
      <w:bookmarkEnd w:id="32"/>
    </w:p>
    <w:p w14:paraId="7796CB9D" w14:textId="50BBB4A9" w:rsidR="00CE76B8" w:rsidRPr="00C9624D" w:rsidRDefault="00CE76B8" w:rsidP="001F1734">
      <w:pPr>
        <w:pStyle w:val="4-SubsectionHeading"/>
      </w:pPr>
      <w:r w:rsidRPr="00C9624D">
        <w:t xml:space="preserve">Clinical </w:t>
      </w:r>
      <w:r>
        <w:t>studies</w:t>
      </w:r>
      <w:bookmarkEnd w:id="28"/>
      <w:bookmarkEnd w:id="30"/>
      <w:bookmarkEnd w:id="31"/>
    </w:p>
    <w:p w14:paraId="201D51B6" w14:textId="77777777" w:rsidR="00EC2D5E" w:rsidRPr="001A2C4E" w:rsidRDefault="00EC2D5E" w:rsidP="0073079A">
      <w:pPr>
        <w:pStyle w:val="3-BodyText"/>
        <w:snapToGrid w:val="0"/>
      </w:pPr>
      <w:bookmarkStart w:id="33" w:name="_Toc22897644"/>
      <w:bookmarkStart w:id="34" w:name="_Toc92386483"/>
      <w:r w:rsidRPr="001A2C4E">
        <w:t>For the paediatric population, the clinical data was based on one head-to-head randomised trial (CL301) comparing burosumab to conventional therapy (oral phosphorus plus calcitriol) and three non-comparative studies (CL201, CL205 and KRN23-003) as supportive evidence. Data was only available for children aged 1 to 12 years.</w:t>
      </w:r>
    </w:p>
    <w:p w14:paraId="1FD482EB" w14:textId="4C7467FD" w:rsidR="00EC2D5E" w:rsidRPr="001A2C4E" w:rsidRDefault="00EC2D5E" w:rsidP="0073079A">
      <w:pPr>
        <w:pStyle w:val="3-BodyText"/>
        <w:snapToGrid w:val="0"/>
      </w:pPr>
      <w:r w:rsidRPr="001A2C4E">
        <w:t>For the adult population, the resubmission was based on one randomised trial (CL303) comparing burosumab to placebo and six non-comparative studies (BUR02, CL304, KRN-INT-001, KRN-INT-002</w:t>
      </w:r>
      <w:r w:rsidR="005661ED">
        <w:t xml:space="preserve">, </w:t>
      </w:r>
      <w:r w:rsidRPr="001A2C4E">
        <w:t>KRN-US-02</w:t>
      </w:r>
      <w:r w:rsidR="005661ED">
        <w:t xml:space="preserve"> and</w:t>
      </w:r>
      <w:r w:rsidRPr="001A2C4E">
        <w:t xml:space="preserve"> CL203) as supportive evidence. CL303 included a double-blind placebo-controlled period and </w:t>
      </w:r>
      <w:r w:rsidR="00E812EB" w:rsidRPr="001A2C4E">
        <w:t>two open-label</w:t>
      </w:r>
      <w:r w:rsidRPr="001A2C4E">
        <w:t xml:space="preserve"> treatment extension</w:t>
      </w:r>
      <w:r w:rsidR="00E812EB" w:rsidRPr="001A2C4E">
        <w:t xml:space="preserve"> periods</w:t>
      </w:r>
      <w:r w:rsidRPr="001A2C4E">
        <w:t>. BUR02 was an extension study which enrolled a subset of patients that completed the initial treatment extension period in CL303. CL304 was a single-arm study evaluating the effect of burosumab on XLH-related osteomalacia in adults who have not received conventional therapy in the past 2 years. As</w:t>
      </w:r>
      <w:r w:rsidRPr="001A2C4E">
        <w:rPr>
          <w:bCs/>
        </w:rPr>
        <w:t xml:space="preserve"> KRN23-US-02, KRN23-INT-001 and KRN23-INT-002 were dose-finding, dose-escalation or dose-extension studies and the burosumab dose regimen</w:t>
      </w:r>
      <w:r w:rsidR="00AD53C9" w:rsidRPr="001A2C4E">
        <w:rPr>
          <w:bCs/>
        </w:rPr>
        <w:t>s</w:t>
      </w:r>
      <w:r w:rsidRPr="001A2C4E">
        <w:rPr>
          <w:bCs/>
        </w:rPr>
        <w:t xml:space="preserve"> used were inconsistent with the TGA approved dose of burosumab 1.0 mg/kg SC Q4W</w:t>
      </w:r>
      <w:r w:rsidR="00751DA4" w:rsidRPr="001A2C4E">
        <w:rPr>
          <w:bCs/>
        </w:rPr>
        <w:t xml:space="preserve"> their results are not presented below</w:t>
      </w:r>
      <w:r w:rsidRPr="001A2C4E">
        <w:rPr>
          <w:bCs/>
        </w:rPr>
        <w:t xml:space="preserve">. In CL203, although a subgroup of 10 (50%) patients received the TGA approved dose of burosumab during the study, the </w:t>
      </w:r>
      <w:r w:rsidR="00A6488C" w:rsidRPr="001A2C4E">
        <w:rPr>
          <w:bCs/>
        </w:rPr>
        <w:t xml:space="preserve">ESC noted that the </w:t>
      </w:r>
      <w:r w:rsidRPr="001A2C4E">
        <w:rPr>
          <w:bCs/>
        </w:rPr>
        <w:t>results for this relevant subgroup were not provided in the resubmission.</w:t>
      </w:r>
    </w:p>
    <w:p w14:paraId="36AF3602" w14:textId="77777777" w:rsidR="00EC2D5E" w:rsidRPr="001A2C4E" w:rsidRDefault="00EC2D5E" w:rsidP="0073079A">
      <w:pPr>
        <w:pStyle w:val="3-BodyText"/>
        <w:snapToGrid w:val="0"/>
      </w:pPr>
      <w:r w:rsidRPr="001A2C4E">
        <w:t>Details of the studies presented in the submission are provided in Table 4 below.</w:t>
      </w:r>
    </w:p>
    <w:p w14:paraId="7AB7ACE3" w14:textId="51AFEB07" w:rsidR="00EC2D5E" w:rsidRDefault="00EC2D5E" w:rsidP="00AD53C9">
      <w:pPr>
        <w:pStyle w:val="TableFigureHeading"/>
      </w:pPr>
      <w:r>
        <w:lastRenderedPageBreak/>
        <w:t xml:space="preserve">Table </w:t>
      </w:r>
      <w:r w:rsidR="00BA0129">
        <w:rPr>
          <w:noProof/>
        </w:rPr>
        <w:fldChar w:fldCharType="begin"/>
      </w:r>
      <w:r w:rsidR="00BA0129">
        <w:rPr>
          <w:noProof/>
        </w:rPr>
        <w:instrText xml:space="preserve"> SEQ Table \* ARABIC </w:instrText>
      </w:r>
      <w:r w:rsidR="00BA0129">
        <w:rPr>
          <w:noProof/>
        </w:rPr>
        <w:fldChar w:fldCharType="separate"/>
      </w:r>
      <w:r w:rsidR="00676539">
        <w:rPr>
          <w:noProof/>
        </w:rPr>
        <w:t>4</w:t>
      </w:r>
      <w:r w:rsidR="00BA0129">
        <w:rPr>
          <w:noProof/>
        </w:rPr>
        <w:fldChar w:fldCharType="end"/>
      </w:r>
      <w:r>
        <w:t xml:space="preserve">: </w:t>
      </w:r>
      <w:r>
        <w:rPr>
          <w:rStyle w:val="CommentReference"/>
          <w:b/>
          <w:bCs w:val="0"/>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Studies and associated reports presented in the submission"/>
      </w:tblPr>
      <w:tblGrid>
        <w:gridCol w:w="1271"/>
        <w:gridCol w:w="5953"/>
        <w:gridCol w:w="1793"/>
      </w:tblGrid>
      <w:tr w:rsidR="00EC2D5E" w14:paraId="6117FB20" w14:textId="77777777" w:rsidTr="00AD53C9">
        <w:trPr>
          <w:cantSplit/>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73706936" w14:textId="77777777" w:rsidR="00EC2D5E" w:rsidRDefault="00EC2D5E" w:rsidP="00AD53C9">
            <w:pPr>
              <w:pStyle w:val="In-tableHeading"/>
              <w:rPr>
                <w:lang w:val="en-AU"/>
              </w:rPr>
            </w:pPr>
            <w:r>
              <w:rPr>
                <w:lang w:val="en-AU"/>
              </w:rPr>
              <w:t>Trial ID</w:t>
            </w:r>
          </w:p>
        </w:tc>
        <w:tc>
          <w:tcPr>
            <w:tcW w:w="3301" w:type="pct"/>
            <w:tcBorders>
              <w:top w:val="single" w:sz="4" w:space="0" w:color="auto"/>
              <w:left w:val="single" w:sz="4" w:space="0" w:color="auto"/>
              <w:bottom w:val="single" w:sz="4" w:space="0" w:color="auto"/>
              <w:right w:val="single" w:sz="4" w:space="0" w:color="auto"/>
            </w:tcBorders>
            <w:vAlign w:val="center"/>
            <w:hideMark/>
          </w:tcPr>
          <w:p w14:paraId="3A813A6C" w14:textId="77777777" w:rsidR="00EC2D5E" w:rsidRDefault="00EC2D5E" w:rsidP="00AD53C9">
            <w:pPr>
              <w:pStyle w:val="In-tableHeading"/>
              <w:rPr>
                <w:lang w:val="en-AU"/>
              </w:rPr>
            </w:pPr>
            <w:r>
              <w:rPr>
                <w:lang w:val="en-AU"/>
              </w:rPr>
              <w:t>Protocol title/ Publication title</w:t>
            </w:r>
          </w:p>
        </w:tc>
        <w:tc>
          <w:tcPr>
            <w:tcW w:w="994" w:type="pct"/>
            <w:tcBorders>
              <w:top w:val="single" w:sz="4" w:space="0" w:color="auto"/>
              <w:left w:val="single" w:sz="4" w:space="0" w:color="auto"/>
              <w:bottom w:val="single" w:sz="4" w:space="0" w:color="auto"/>
              <w:right w:val="single" w:sz="4" w:space="0" w:color="auto"/>
            </w:tcBorders>
            <w:vAlign w:val="center"/>
            <w:hideMark/>
          </w:tcPr>
          <w:p w14:paraId="0AAB1A2E" w14:textId="77777777" w:rsidR="00EC2D5E" w:rsidRDefault="00EC2D5E" w:rsidP="00AD53C9">
            <w:pPr>
              <w:pStyle w:val="In-tableHeading"/>
              <w:rPr>
                <w:lang w:val="en-AU"/>
              </w:rPr>
            </w:pPr>
            <w:r>
              <w:rPr>
                <w:lang w:val="en-AU"/>
              </w:rPr>
              <w:t>Publication citation</w:t>
            </w:r>
          </w:p>
        </w:tc>
      </w:tr>
      <w:tr w:rsidR="00EC2D5E" w14:paraId="45C0D88A" w14:textId="77777777" w:rsidTr="00EC2D5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09DF1A" w14:textId="77777777" w:rsidR="00EC2D5E" w:rsidRDefault="00EC2D5E" w:rsidP="00AD53C9">
            <w:pPr>
              <w:pStyle w:val="In-tableHeading"/>
              <w:rPr>
                <w:lang w:val="en-AU"/>
              </w:rPr>
            </w:pPr>
            <w:r>
              <w:rPr>
                <w:lang w:val="en-AU"/>
              </w:rPr>
              <w:t>Paediatric studies</w:t>
            </w:r>
          </w:p>
        </w:tc>
      </w:tr>
      <w:tr w:rsidR="00EC2D5E" w14:paraId="14BF0DCD"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3FF5C9" w14:textId="77777777" w:rsidR="00EC2D5E" w:rsidRDefault="00EC2D5E" w:rsidP="00F00DD2">
            <w:pPr>
              <w:pStyle w:val="TableText0"/>
            </w:pPr>
            <w:r>
              <w:t>CL301</w:t>
            </w:r>
          </w:p>
          <w:p w14:paraId="3AC4D6B8" w14:textId="77777777" w:rsidR="00EC2D5E" w:rsidRDefault="00EC2D5E" w:rsidP="00F00DD2">
            <w:pPr>
              <w:pStyle w:val="TableText0"/>
            </w:pPr>
            <w:r>
              <w:t>NCT02915705</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2C6E1B40" w14:textId="77777777" w:rsidR="00EC2D5E" w:rsidRDefault="00EC2D5E" w:rsidP="00F00DD2">
            <w:pPr>
              <w:pStyle w:val="TableText0"/>
              <w:rPr>
                <w:szCs w:val="18"/>
              </w:rPr>
            </w:pPr>
            <w:r>
              <w:rPr>
                <w:szCs w:val="18"/>
              </w:rPr>
              <w:t>UX023-CL301 Clinical Study Report (End of Study (EOS); up to 124 weeks) A Randomized, Open-Label, Phase 3 Study to Assess the Efficacy and Safety of KRN23 Versus Oral Phosphate and Active Vitamin D Treatment in Pediatric Patients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171827E4" w14:textId="77777777" w:rsidR="00EC2D5E" w:rsidRDefault="00EC2D5E" w:rsidP="00F00DD2">
            <w:pPr>
              <w:pStyle w:val="TableText0"/>
            </w:pPr>
            <w:r>
              <w:rPr>
                <w:szCs w:val="18"/>
              </w:rPr>
              <w:t>16 December 2019</w:t>
            </w:r>
          </w:p>
        </w:tc>
      </w:tr>
      <w:tr w:rsidR="00EC2D5E" w14:paraId="1B7BCF0F" w14:textId="77777777" w:rsidTr="00F00DD2">
        <w:trPr>
          <w:cantSplit/>
          <w:trHeight w:val="682"/>
        </w:trPr>
        <w:tc>
          <w:tcPr>
            <w:tcW w:w="0" w:type="auto"/>
            <w:vMerge/>
            <w:tcBorders>
              <w:top w:val="single" w:sz="4" w:space="0" w:color="auto"/>
              <w:left w:val="single" w:sz="4" w:space="0" w:color="auto"/>
              <w:bottom w:val="single" w:sz="4" w:space="0" w:color="auto"/>
              <w:right w:val="single" w:sz="4" w:space="0" w:color="auto"/>
            </w:tcBorders>
            <w:hideMark/>
          </w:tcPr>
          <w:p w14:paraId="00813F41" w14:textId="77777777" w:rsidR="00EC2D5E" w:rsidRDefault="00EC2D5E" w:rsidP="00F00DD2">
            <w:pPr>
              <w:keepNext/>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7964428D" w14:textId="326C6D98" w:rsidR="00EC2D5E" w:rsidRDefault="00EC2D5E" w:rsidP="00F00DD2">
            <w:pPr>
              <w:pStyle w:val="TableText0"/>
              <w:rPr>
                <w:szCs w:val="18"/>
              </w:rPr>
            </w:pPr>
            <w:r>
              <w:rPr>
                <w:szCs w:val="18"/>
              </w:rPr>
              <w:t xml:space="preserve">Imel E, Glorieux FH, Whyte MP, </w:t>
            </w:r>
            <w:r w:rsidR="00F00DD2">
              <w:rPr>
                <w:szCs w:val="18"/>
              </w:rPr>
              <w:t>et al</w:t>
            </w:r>
            <w:r>
              <w:rPr>
                <w:szCs w:val="18"/>
              </w:rPr>
              <w:t>. Burosumab versus conventional therapy in children with X-linked hypophosphataemia: a randomised, active-controlled, open-label, phase 3 trial.</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165A264B" w14:textId="77777777" w:rsidR="00EC2D5E" w:rsidRDefault="00EC2D5E" w:rsidP="00F00DD2">
            <w:pPr>
              <w:pStyle w:val="TableText0"/>
              <w:rPr>
                <w:szCs w:val="18"/>
              </w:rPr>
            </w:pPr>
            <w:r>
              <w:rPr>
                <w:szCs w:val="18"/>
              </w:rPr>
              <w:t>The Lancet 2019; 393(10189):2416-2427</w:t>
            </w:r>
          </w:p>
        </w:tc>
      </w:tr>
      <w:tr w:rsidR="00EC2D5E" w14:paraId="5F14C5C4"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C334AF" w14:textId="77777777" w:rsidR="00EC2D5E" w:rsidRDefault="00EC2D5E" w:rsidP="00F00DD2">
            <w:pPr>
              <w:pStyle w:val="TableText0"/>
            </w:pPr>
            <w:r>
              <w:t>CL201</w:t>
            </w:r>
          </w:p>
          <w:p w14:paraId="16C90D4C" w14:textId="77777777" w:rsidR="00EC2D5E" w:rsidRDefault="00EC2D5E" w:rsidP="00F00DD2">
            <w:pPr>
              <w:pStyle w:val="TableText0"/>
            </w:pPr>
            <w:r>
              <w:t>NCT02163577</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3A0FC97E" w14:textId="77777777" w:rsidR="00EC2D5E" w:rsidRDefault="00EC2D5E" w:rsidP="00F00DD2">
            <w:pPr>
              <w:pStyle w:val="TableText0"/>
              <w:keepNext w:val="0"/>
            </w:pPr>
            <w:r>
              <w:t>UX023-CL201 Clinical Study Report (EOS, Week 160): A Randomized, Open-Label, Dose Finding, Phase 2 Study to Assess the Pharmacodynamics and Safety of the anti-FGF23 Antibody, KRN23, in Pediatric Patients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0AB1B90C" w14:textId="77777777" w:rsidR="00EC2D5E" w:rsidRDefault="00EC2D5E" w:rsidP="00F00DD2">
            <w:pPr>
              <w:pStyle w:val="TableText0"/>
              <w:keepNext w:val="0"/>
            </w:pPr>
            <w:r>
              <w:t>5 April 2019</w:t>
            </w:r>
          </w:p>
        </w:tc>
      </w:tr>
      <w:tr w:rsidR="00EC2D5E" w14:paraId="04BC2CCE" w14:textId="77777777" w:rsidTr="00F00DD2">
        <w:trPr>
          <w:cantSplit/>
          <w:trHeight w:val="383"/>
        </w:trPr>
        <w:tc>
          <w:tcPr>
            <w:tcW w:w="0" w:type="auto"/>
            <w:vMerge/>
            <w:tcBorders>
              <w:top w:val="single" w:sz="4" w:space="0" w:color="auto"/>
              <w:left w:val="single" w:sz="4" w:space="0" w:color="auto"/>
              <w:bottom w:val="single" w:sz="4" w:space="0" w:color="auto"/>
              <w:right w:val="single" w:sz="4" w:space="0" w:color="auto"/>
            </w:tcBorders>
            <w:hideMark/>
          </w:tcPr>
          <w:p w14:paraId="3AF3EA30"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3A6C0230" w14:textId="38524592" w:rsidR="00EC2D5E" w:rsidRDefault="00EC2D5E" w:rsidP="00F00DD2">
            <w:pPr>
              <w:pStyle w:val="TableText0"/>
              <w:keepNext w:val="0"/>
              <w:rPr>
                <w:szCs w:val="18"/>
              </w:rPr>
            </w:pPr>
            <w:r>
              <w:rPr>
                <w:szCs w:val="18"/>
              </w:rPr>
              <w:t xml:space="preserve">Carpenter T, Whyte M, Imel E, </w:t>
            </w:r>
            <w:r w:rsidR="00F00DD2">
              <w:rPr>
                <w:szCs w:val="18"/>
              </w:rPr>
              <w:t>et al</w:t>
            </w:r>
            <w:r>
              <w:rPr>
                <w:szCs w:val="18"/>
              </w:rPr>
              <w:t>. Burosumab Therapy in Children with X-Linked Hypophosphatemia.</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5C9CC19B" w14:textId="77777777" w:rsidR="00EC2D5E" w:rsidRDefault="00EC2D5E" w:rsidP="00F00DD2">
            <w:pPr>
              <w:pStyle w:val="TableText0"/>
              <w:keepNext w:val="0"/>
              <w:rPr>
                <w:i/>
              </w:rPr>
            </w:pPr>
            <w:r>
              <w:rPr>
                <w:szCs w:val="18"/>
              </w:rPr>
              <w:t>New England Journal of Medicine 2018; 378(21):1987-1998</w:t>
            </w:r>
          </w:p>
        </w:tc>
      </w:tr>
      <w:tr w:rsidR="00EC2D5E" w14:paraId="1A5BF46E"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0F97FA" w14:textId="77777777" w:rsidR="00EC2D5E" w:rsidRDefault="00EC2D5E" w:rsidP="00F00DD2">
            <w:pPr>
              <w:pStyle w:val="TableText0"/>
            </w:pPr>
            <w:r>
              <w:t>CL205</w:t>
            </w:r>
          </w:p>
          <w:p w14:paraId="6B46340D" w14:textId="77777777" w:rsidR="00EC2D5E" w:rsidRDefault="00EC2D5E" w:rsidP="00F00DD2">
            <w:pPr>
              <w:pStyle w:val="TableText0"/>
            </w:pPr>
            <w:r>
              <w:t>NCT02750618</w:t>
            </w:r>
          </w:p>
        </w:tc>
        <w:tc>
          <w:tcPr>
            <w:tcW w:w="3301" w:type="pct"/>
            <w:tcBorders>
              <w:top w:val="single" w:sz="4" w:space="0" w:color="auto"/>
              <w:left w:val="single" w:sz="4" w:space="0" w:color="auto"/>
              <w:bottom w:val="nil"/>
              <w:right w:val="single" w:sz="4" w:space="0" w:color="auto"/>
            </w:tcBorders>
            <w:shd w:val="clear" w:color="auto" w:fill="C6D9F1" w:themeFill="text2" w:themeFillTint="33"/>
            <w:hideMark/>
          </w:tcPr>
          <w:p w14:paraId="7F47B594" w14:textId="77777777" w:rsidR="00EC2D5E" w:rsidRDefault="00EC2D5E" w:rsidP="00F00DD2">
            <w:pPr>
              <w:pStyle w:val="TableText0"/>
              <w:keepNext w:val="0"/>
            </w:pPr>
            <w:r>
              <w:t>UX023-CL205 Clinical Study Report (Week 64, EOS): An Open-Label, Phase 2 Study to Assess the Safety, Pharmacodynamics, and Efficacy of KRN23 in Children from 1 to 4 Years Old with X-linked Hypophosphatemia (XLH).</w:t>
            </w:r>
          </w:p>
        </w:tc>
        <w:tc>
          <w:tcPr>
            <w:tcW w:w="994" w:type="pct"/>
            <w:tcBorders>
              <w:top w:val="single" w:sz="4" w:space="0" w:color="auto"/>
              <w:left w:val="single" w:sz="4" w:space="0" w:color="auto"/>
              <w:bottom w:val="nil"/>
              <w:right w:val="single" w:sz="4" w:space="0" w:color="auto"/>
            </w:tcBorders>
            <w:shd w:val="clear" w:color="auto" w:fill="C6D9F1" w:themeFill="text2" w:themeFillTint="33"/>
            <w:hideMark/>
          </w:tcPr>
          <w:p w14:paraId="7D0DED77" w14:textId="77777777" w:rsidR="00EC2D5E" w:rsidRDefault="00EC2D5E" w:rsidP="00F00DD2">
            <w:pPr>
              <w:pStyle w:val="TableText0"/>
              <w:keepNext w:val="0"/>
            </w:pPr>
            <w:r>
              <w:t>24 January 2020</w:t>
            </w:r>
          </w:p>
        </w:tc>
      </w:tr>
      <w:tr w:rsidR="00EC2D5E" w14:paraId="25403E1E"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54BCDFB9"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shd w:val="clear" w:color="auto" w:fill="C6D9F1" w:themeFill="text2" w:themeFillTint="33"/>
            <w:hideMark/>
          </w:tcPr>
          <w:p w14:paraId="6CDFAC26" w14:textId="28B74F61" w:rsidR="00EC2D5E" w:rsidRDefault="00EC2D5E" w:rsidP="00F00DD2">
            <w:pPr>
              <w:pStyle w:val="TableText0"/>
              <w:keepNext w:val="0"/>
              <w:rPr>
                <w:szCs w:val="18"/>
              </w:rPr>
            </w:pPr>
            <w:r>
              <w:rPr>
                <w:szCs w:val="18"/>
              </w:rPr>
              <w:t xml:space="preserve">Whyte M, Carpenter T, Gottesman G, </w:t>
            </w:r>
            <w:r w:rsidR="00F00DD2">
              <w:rPr>
                <w:szCs w:val="18"/>
              </w:rPr>
              <w:t>et al</w:t>
            </w:r>
            <w:r>
              <w:rPr>
                <w:szCs w:val="18"/>
              </w:rPr>
              <w:t>. Efficacy and safety of burosumab in children aged 1–4 years with X-linked hypophosphataemia: a multicentre, open-label, phase 2 trial.</w:t>
            </w:r>
          </w:p>
        </w:tc>
        <w:tc>
          <w:tcPr>
            <w:tcW w:w="994" w:type="pct"/>
            <w:tcBorders>
              <w:top w:val="nil"/>
              <w:left w:val="single" w:sz="4" w:space="0" w:color="auto"/>
              <w:bottom w:val="single" w:sz="4" w:space="0" w:color="auto"/>
              <w:right w:val="single" w:sz="4" w:space="0" w:color="auto"/>
            </w:tcBorders>
            <w:shd w:val="clear" w:color="auto" w:fill="C6D9F1" w:themeFill="text2" w:themeFillTint="33"/>
            <w:hideMark/>
          </w:tcPr>
          <w:p w14:paraId="5BDC15E1" w14:textId="77777777" w:rsidR="00EC2D5E" w:rsidRDefault="00EC2D5E" w:rsidP="00F00DD2">
            <w:pPr>
              <w:pStyle w:val="TableText0"/>
              <w:keepNext w:val="0"/>
            </w:pPr>
            <w:r>
              <w:rPr>
                <w:szCs w:val="18"/>
              </w:rPr>
              <w:t>The Lancet Diabetes &amp; Endocrinology 2019; 7(3):189-199.</w:t>
            </w:r>
          </w:p>
        </w:tc>
      </w:tr>
      <w:tr w:rsidR="00EC2D5E" w14:paraId="0111775C" w14:textId="77777777" w:rsidTr="00F00DD2">
        <w:trPr>
          <w:cantSplit/>
        </w:trPr>
        <w:tc>
          <w:tcPr>
            <w:tcW w:w="705" w:type="pct"/>
            <w:tcBorders>
              <w:top w:val="single" w:sz="4" w:space="0" w:color="auto"/>
              <w:left w:val="single" w:sz="4" w:space="0" w:color="auto"/>
              <w:bottom w:val="single" w:sz="4" w:space="0" w:color="auto"/>
              <w:right w:val="single" w:sz="4" w:space="0" w:color="auto"/>
            </w:tcBorders>
            <w:hideMark/>
          </w:tcPr>
          <w:p w14:paraId="2C9BD586" w14:textId="77777777" w:rsidR="00EC2D5E" w:rsidRDefault="00EC2D5E" w:rsidP="00F00DD2">
            <w:pPr>
              <w:pStyle w:val="TableText0"/>
              <w:keepNext w:val="0"/>
            </w:pPr>
            <w:r>
              <w:t>KRN23-003</w:t>
            </w:r>
          </w:p>
          <w:p w14:paraId="715B3A3D" w14:textId="77777777" w:rsidR="00EC2D5E" w:rsidRDefault="00EC2D5E" w:rsidP="00F00DD2">
            <w:pPr>
              <w:pStyle w:val="TableText0"/>
              <w:keepNext w:val="0"/>
            </w:pPr>
            <w:r>
              <w:t>NCT03233126</w:t>
            </w:r>
          </w:p>
        </w:tc>
        <w:tc>
          <w:tcPr>
            <w:tcW w:w="3301" w:type="pct"/>
            <w:tcBorders>
              <w:top w:val="single" w:sz="4" w:space="0" w:color="auto"/>
              <w:left w:val="single" w:sz="4" w:space="0" w:color="auto"/>
              <w:bottom w:val="single" w:sz="4" w:space="0" w:color="auto"/>
              <w:right w:val="single" w:sz="4" w:space="0" w:color="auto"/>
            </w:tcBorders>
            <w:hideMark/>
          </w:tcPr>
          <w:p w14:paraId="53D617B7" w14:textId="77777777" w:rsidR="00EC2D5E" w:rsidRDefault="00EC2D5E" w:rsidP="00F00DD2">
            <w:pPr>
              <w:pStyle w:val="TableText0"/>
              <w:keepNext w:val="0"/>
              <w:rPr>
                <w:szCs w:val="18"/>
              </w:rPr>
            </w:pPr>
            <w:r>
              <w:rPr>
                <w:szCs w:val="18"/>
              </w:rPr>
              <w:t>KRN23-003 EOS CSR. A Phase 3 Open-Label Trial to Assess the Efficacy and Safety of KRN23 in Pediatric Patients with X-linked Hypophosphatemic Rickets/Osteomalacia and a Post-marketing Study of KRN23 Switched from the Phase 3 Trial</w:t>
            </w:r>
          </w:p>
        </w:tc>
        <w:tc>
          <w:tcPr>
            <w:tcW w:w="994" w:type="pct"/>
            <w:tcBorders>
              <w:top w:val="single" w:sz="4" w:space="0" w:color="auto"/>
              <w:left w:val="single" w:sz="4" w:space="0" w:color="auto"/>
              <w:bottom w:val="single" w:sz="4" w:space="0" w:color="auto"/>
              <w:right w:val="single" w:sz="4" w:space="0" w:color="auto"/>
            </w:tcBorders>
            <w:hideMark/>
          </w:tcPr>
          <w:p w14:paraId="5758B480" w14:textId="77777777" w:rsidR="00EC2D5E" w:rsidRDefault="00EC2D5E" w:rsidP="00F00DD2">
            <w:pPr>
              <w:pStyle w:val="TableText0"/>
              <w:keepNext w:val="0"/>
              <w:rPr>
                <w:szCs w:val="18"/>
              </w:rPr>
            </w:pPr>
            <w:r>
              <w:rPr>
                <w:szCs w:val="18"/>
              </w:rPr>
              <w:t>24 September 2020.</w:t>
            </w:r>
          </w:p>
        </w:tc>
      </w:tr>
      <w:tr w:rsidR="00EC2D5E" w14:paraId="63D6A61C" w14:textId="77777777" w:rsidTr="00F00DD2">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161CA445" w14:textId="77777777" w:rsidR="00EC2D5E" w:rsidRDefault="00EC2D5E" w:rsidP="00F00DD2">
            <w:pPr>
              <w:pStyle w:val="TableText0"/>
              <w:keepNext w:val="0"/>
              <w:rPr>
                <w:b/>
                <w:szCs w:val="18"/>
              </w:rPr>
            </w:pPr>
            <w:r>
              <w:rPr>
                <w:b/>
                <w:szCs w:val="18"/>
              </w:rPr>
              <w:t>Adult studies</w:t>
            </w:r>
          </w:p>
        </w:tc>
      </w:tr>
      <w:tr w:rsidR="00EC2D5E" w14:paraId="4064807B"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3CAF6A9C" w14:textId="77777777" w:rsidR="00EC2D5E" w:rsidRDefault="00EC2D5E" w:rsidP="00F00DD2">
            <w:pPr>
              <w:pStyle w:val="TableText0"/>
              <w:keepNext w:val="0"/>
            </w:pPr>
            <w:r>
              <w:t>CL303</w:t>
            </w:r>
          </w:p>
          <w:p w14:paraId="3099AA28" w14:textId="77777777" w:rsidR="00EC2D5E" w:rsidRDefault="00EC2D5E" w:rsidP="00F00DD2">
            <w:pPr>
              <w:pStyle w:val="TableText0"/>
              <w:keepNext w:val="0"/>
            </w:pPr>
            <w:r>
              <w:t>NCT02526160</w:t>
            </w:r>
          </w:p>
        </w:tc>
        <w:tc>
          <w:tcPr>
            <w:tcW w:w="3301" w:type="pct"/>
            <w:tcBorders>
              <w:top w:val="single" w:sz="4" w:space="0" w:color="auto"/>
              <w:left w:val="single" w:sz="4" w:space="0" w:color="auto"/>
              <w:bottom w:val="nil"/>
              <w:right w:val="single" w:sz="4" w:space="0" w:color="auto"/>
            </w:tcBorders>
            <w:hideMark/>
          </w:tcPr>
          <w:p w14:paraId="12217EF3" w14:textId="77777777" w:rsidR="00EC2D5E" w:rsidRDefault="00EC2D5E" w:rsidP="00F00DD2">
            <w:pPr>
              <w:pStyle w:val="TableText0"/>
              <w:keepNext w:val="0"/>
              <w:rPr>
                <w:szCs w:val="18"/>
              </w:rPr>
            </w:pPr>
            <w:r>
              <w:rPr>
                <w:szCs w:val="18"/>
              </w:rPr>
              <w:t>UX023-CL303 EOS, Week 96 CSR. A Randomised, Double-Blind, Placebo-Controlled, Phase 3 Study with Open-Label Extension to Assess the Efficacy and Safety of KRN23 in Adults with X-linked Hypophosphatemia (XLH).</w:t>
            </w:r>
          </w:p>
        </w:tc>
        <w:tc>
          <w:tcPr>
            <w:tcW w:w="994" w:type="pct"/>
            <w:tcBorders>
              <w:top w:val="single" w:sz="4" w:space="0" w:color="auto"/>
              <w:left w:val="single" w:sz="4" w:space="0" w:color="auto"/>
              <w:bottom w:val="nil"/>
              <w:right w:val="single" w:sz="4" w:space="0" w:color="auto"/>
            </w:tcBorders>
            <w:hideMark/>
          </w:tcPr>
          <w:p w14:paraId="2A0FEF85" w14:textId="77777777" w:rsidR="00EC2D5E" w:rsidRDefault="00EC2D5E" w:rsidP="00F00DD2">
            <w:pPr>
              <w:pStyle w:val="TableText0"/>
              <w:keepNext w:val="0"/>
              <w:rPr>
                <w:szCs w:val="18"/>
              </w:rPr>
            </w:pPr>
            <w:r>
              <w:rPr>
                <w:szCs w:val="18"/>
              </w:rPr>
              <w:t>19 September 2019</w:t>
            </w:r>
          </w:p>
        </w:tc>
      </w:tr>
      <w:tr w:rsidR="00EC2D5E" w14:paraId="2E3892FE"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6AA1CD3E"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5C4BA634" w14:textId="7A0D4EFA" w:rsidR="00EC2D5E" w:rsidRDefault="00EC2D5E" w:rsidP="00F00DD2">
            <w:pPr>
              <w:pStyle w:val="TableText0"/>
              <w:keepNext w:val="0"/>
              <w:rPr>
                <w:szCs w:val="18"/>
              </w:rPr>
            </w:pPr>
            <w:r>
              <w:rPr>
                <w:szCs w:val="18"/>
              </w:rPr>
              <w:t>Insogna KL, Briot K, Imel EA,</w:t>
            </w:r>
            <w:r w:rsidR="00F00DD2">
              <w:rPr>
                <w:szCs w:val="18"/>
              </w:rPr>
              <w:t xml:space="preserve"> et al</w:t>
            </w:r>
            <w:r>
              <w:rPr>
                <w:szCs w:val="18"/>
              </w:rPr>
              <w:t xml:space="preserve">. A Randomised, Double-Blind, Placebo- Controlled, Phase 3 Trial Evaluating the Efficacy of Burosumab, an Anti-FGF23 Antibody, in Adults With X-Linked Hypophosphatemia: Week 24 Primary Analysis. </w:t>
            </w:r>
          </w:p>
        </w:tc>
        <w:tc>
          <w:tcPr>
            <w:tcW w:w="994" w:type="pct"/>
            <w:tcBorders>
              <w:top w:val="nil"/>
              <w:left w:val="single" w:sz="4" w:space="0" w:color="auto"/>
              <w:bottom w:val="single" w:sz="4" w:space="0" w:color="auto"/>
              <w:right w:val="single" w:sz="4" w:space="0" w:color="auto"/>
            </w:tcBorders>
            <w:hideMark/>
          </w:tcPr>
          <w:p w14:paraId="5D33FB32" w14:textId="77777777" w:rsidR="00EC2D5E" w:rsidRDefault="00EC2D5E" w:rsidP="00F00DD2">
            <w:pPr>
              <w:pStyle w:val="TableText0"/>
              <w:rPr>
                <w:szCs w:val="18"/>
              </w:rPr>
            </w:pPr>
            <w:r>
              <w:rPr>
                <w:szCs w:val="18"/>
              </w:rPr>
              <w:t>Journal of Bone and Mineral Research 2018; 33(8):1383-1393.</w:t>
            </w:r>
          </w:p>
        </w:tc>
      </w:tr>
      <w:tr w:rsidR="00EC2D5E" w14:paraId="6E6D7DF5" w14:textId="77777777" w:rsidTr="00F00DD2">
        <w:trPr>
          <w:cantSplit/>
        </w:trPr>
        <w:tc>
          <w:tcPr>
            <w:tcW w:w="705" w:type="pct"/>
            <w:tcBorders>
              <w:top w:val="single" w:sz="4" w:space="0" w:color="auto"/>
              <w:left w:val="single" w:sz="4" w:space="0" w:color="auto"/>
              <w:bottom w:val="single" w:sz="4" w:space="0" w:color="auto"/>
              <w:right w:val="single" w:sz="4" w:space="0" w:color="auto"/>
            </w:tcBorders>
            <w:hideMark/>
          </w:tcPr>
          <w:p w14:paraId="4B6BEE58" w14:textId="77777777" w:rsidR="00EC2D5E" w:rsidRDefault="00EC2D5E" w:rsidP="00F00DD2">
            <w:pPr>
              <w:pStyle w:val="TableText0"/>
              <w:keepNext w:val="0"/>
            </w:pPr>
            <w:r>
              <w:t>BUR02</w:t>
            </w:r>
          </w:p>
          <w:p w14:paraId="06A3782B" w14:textId="77777777" w:rsidR="00EC2D5E" w:rsidRDefault="00EC2D5E" w:rsidP="00F00DD2">
            <w:pPr>
              <w:pStyle w:val="TableText0"/>
              <w:keepNext w:val="0"/>
            </w:pPr>
            <w:r>
              <w:t>NCT03920072</w:t>
            </w:r>
          </w:p>
        </w:tc>
        <w:tc>
          <w:tcPr>
            <w:tcW w:w="3301" w:type="pct"/>
            <w:tcBorders>
              <w:top w:val="single" w:sz="4" w:space="0" w:color="auto"/>
              <w:left w:val="single" w:sz="4" w:space="0" w:color="auto"/>
              <w:bottom w:val="single" w:sz="4" w:space="0" w:color="auto"/>
              <w:right w:val="single" w:sz="4" w:space="0" w:color="auto"/>
            </w:tcBorders>
            <w:hideMark/>
          </w:tcPr>
          <w:p w14:paraId="4845C710" w14:textId="77777777" w:rsidR="00EC2D5E" w:rsidRDefault="00EC2D5E" w:rsidP="00F00DD2">
            <w:pPr>
              <w:pStyle w:val="TableText0"/>
              <w:rPr>
                <w:szCs w:val="18"/>
              </w:rPr>
            </w:pPr>
            <w:r>
              <w:rPr>
                <w:szCs w:val="18"/>
              </w:rPr>
              <w:t>BUR02 CSR. A Pre-specified Analysis of the Maintenance of Effect of Burosumab Treatment Across all Time Points Collected from the 96-week Phase 3 UX023-CL303 Study through to Week 48 of the Phase 3b BUR02 Study in 31 Adults with X-linked Hypophosphataemia (XLH).</w:t>
            </w:r>
          </w:p>
        </w:tc>
        <w:tc>
          <w:tcPr>
            <w:tcW w:w="994" w:type="pct"/>
            <w:tcBorders>
              <w:top w:val="single" w:sz="4" w:space="0" w:color="auto"/>
              <w:left w:val="single" w:sz="4" w:space="0" w:color="auto"/>
              <w:bottom w:val="single" w:sz="4" w:space="0" w:color="auto"/>
              <w:right w:val="single" w:sz="4" w:space="0" w:color="auto"/>
            </w:tcBorders>
            <w:hideMark/>
          </w:tcPr>
          <w:p w14:paraId="37F2888E" w14:textId="77777777" w:rsidR="00EC2D5E" w:rsidRDefault="00EC2D5E" w:rsidP="00F00DD2">
            <w:pPr>
              <w:pStyle w:val="TableText0"/>
              <w:keepNext w:val="0"/>
              <w:rPr>
                <w:szCs w:val="18"/>
              </w:rPr>
            </w:pPr>
            <w:r>
              <w:rPr>
                <w:szCs w:val="18"/>
              </w:rPr>
              <w:t>30 April 2021</w:t>
            </w:r>
          </w:p>
        </w:tc>
      </w:tr>
      <w:tr w:rsidR="00EC2D5E" w14:paraId="4B3AF853"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7986200E" w14:textId="77777777" w:rsidR="00EC2D5E" w:rsidRDefault="00EC2D5E" w:rsidP="00F00DD2">
            <w:pPr>
              <w:pStyle w:val="TableText0"/>
              <w:keepNext w:val="0"/>
            </w:pPr>
            <w:r>
              <w:t>CL304</w:t>
            </w:r>
          </w:p>
          <w:p w14:paraId="2988A343" w14:textId="77777777" w:rsidR="00EC2D5E" w:rsidRDefault="00EC2D5E" w:rsidP="00F00DD2">
            <w:pPr>
              <w:pStyle w:val="TableText0"/>
              <w:keepNext w:val="0"/>
            </w:pPr>
            <w:r>
              <w:t>NCT02537431</w:t>
            </w:r>
          </w:p>
        </w:tc>
        <w:tc>
          <w:tcPr>
            <w:tcW w:w="3301" w:type="pct"/>
            <w:tcBorders>
              <w:top w:val="single" w:sz="4" w:space="0" w:color="auto"/>
              <w:left w:val="single" w:sz="4" w:space="0" w:color="auto"/>
              <w:bottom w:val="nil"/>
              <w:right w:val="single" w:sz="4" w:space="0" w:color="auto"/>
            </w:tcBorders>
            <w:hideMark/>
          </w:tcPr>
          <w:p w14:paraId="79EC03A6" w14:textId="77777777" w:rsidR="00EC2D5E" w:rsidRDefault="00EC2D5E" w:rsidP="00F00DD2">
            <w:pPr>
              <w:pStyle w:val="TableText0"/>
              <w:rPr>
                <w:szCs w:val="18"/>
              </w:rPr>
            </w:pPr>
            <w:r>
              <w:rPr>
                <w:szCs w:val="18"/>
              </w:rPr>
              <w:t>UX023-CL304 EOS, Week 96. An Open-Label, Single-Arm, Phase 3 Study to Evaluate the Effects of KRN23 on Osteomalacia in Adults with X-linked Hypophosphatemia (XLH).</w:t>
            </w:r>
          </w:p>
        </w:tc>
        <w:tc>
          <w:tcPr>
            <w:tcW w:w="994" w:type="pct"/>
            <w:tcBorders>
              <w:top w:val="single" w:sz="4" w:space="0" w:color="auto"/>
              <w:left w:val="single" w:sz="4" w:space="0" w:color="auto"/>
              <w:bottom w:val="nil"/>
              <w:right w:val="single" w:sz="4" w:space="0" w:color="auto"/>
            </w:tcBorders>
            <w:hideMark/>
          </w:tcPr>
          <w:p w14:paraId="6E54EDFD" w14:textId="77777777" w:rsidR="00EC2D5E" w:rsidRDefault="00EC2D5E" w:rsidP="00F00DD2">
            <w:pPr>
              <w:pStyle w:val="TableText0"/>
              <w:keepNext w:val="0"/>
              <w:rPr>
                <w:szCs w:val="18"/>
              </w:rPr>
            </w:pPr>
            <w:r>
              <w:rPr>
                <w:szCs w:val="18"/>
              </w:rPr>
              <w:t>13 November 2019</w:t>
            </w:r>
          </w:p>
        </w:tc>
      </w:tr>
      <w:tr w:rsidR="00EC2D5E" w14:paraId="3CB5AF71"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305553E8"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5480B742" w14:textId="39A47969" w:rsidR="00EC2D5E" w:rsidRDefault="00EC2D5E" w:rsidP="00F00DD2">
            <w:pPr>
              <w:pStyle w:val="TableText0"/>
              <w:rPr>
                <w:szCs w:val="18"/>
              </w:rPr>
            </w:pPr>
            <w:r>
              <w:rPr>
                <w:szCs w:val="18"/>
              </w:rPr>
              <w:t>Insogna KL, Rauch F, Kamenický P,</w:t>
            </w:r>
            <w:r w:rsidR="00F00DD2">
              <w:rPr>
                <w:szCs w:val="18"/>
              </w:rPr>
              <w:t xml:space="preserve"> et al</w:t>
            </w:r>
            <w:r>
              <w:rPr>
                <w:szCs w:val="18"/>
              </w:rPr>
              <w:t xml:space="preserve">. Burosumab improved histomorphometric measures of osteomalacia in adults with X-linked hypophosphatemia: a phase 3, single-arm, international trial. </w:t>
            </w:r>
          </w:p>
        </w:tc>
        <w:tc>
          <w:tcPr>
            <w:tcW w:w="994" w:type="pct"/>
            <w:tcBorders>
              <w:top w:val="nil"/>
              <w:left w:val="single" w:sz="4" w:space="0" w:color="auto"/>
              <w:bottom w:val="single" w:sz="4" w:space="0" w:color="auto"/>
              <w:right w:val="single" w:sz="4" w:space="0" w:color="auto"/>
            </w:tcBorders>
            <w:hideMark/>
          </w:tcPr>
          <w:p w14:paraId="69033FDB" w14:textId="77777777" w:rsidR="00EC2D5E" w:rsidRDefault="00EC2D5E" w:rsidP="00F00DD2">
            <w:pPr>
              <w:pStyle w:val="TableText0"/>
              <w:keepNext w:val="0"/>
              <w:rPr>
                <w:szCs w:val="18"/>
              </w:rPr>
            </w:pPr>
            <w:r>
              <w:rPr>
                <w:szCs w:val="18"/>
              </w:rPr>
              <w:t>Journal of Bone and Mineral Research 2019; 34(12):2183-2191.</w:t>
            </w:r>
          </w:p>
        </w:tc>
      </w:tr>
      <w:tr w:rsidR="00EC2D5E" w14:paraId="4D80F32D"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211857B2" w14:textId="77777777" w:rsidR="00EC2D5E" w:rsidRDefault="00EC2D5E" w:rsidP="00F00DD2">
            <w:pPr>
              <w:pStyle w:val="TableText0"/>
              <w:keepNext w:val="0"/>
            </w:pPr>
            <w:r>
              <w:t>KRN23-US-02</w:t>
            </w:r>
          </w:p>
          <w:p w14:paraId="3DE912BE" w14:textId="77777777" w:rsidR="00EC2D5E" w:rsidRDefault="00EC2D5E" w:rsidP="00F00DD2">
            <w:pPr>
              <w:pStyle w:val="TableText0"/>
              <w:keepNext w:val="0"/>
            </w:pPr>
            <w:r>
              <w:t>NCT00830674</w:t>
            </w:r>
          </w:p>
        </w:tc>
        <w:tc>
          <w:tcPr>
            <w:tcW w:w="3301" w:type="pct"/>
            <w:tcBorders>
              <w:top w:val="single" w:sz="4" w:space="0" w:color="auto"/>
              <w:left w:val="single" w:sz="4" w:space="0" w:color="auto"/>
              <w:bottom w:val="nil"/>
              <w:right w:val="single" w:sz="4" w:space="0" w:color="auto"/>
            </w:tcBorders>
            <w:hideMark/>
          </w:tcPr>
          <w:p w14:paraId="3180DD03" w14:textId="77777777" w:rsidR="00EC2D5E" w:rsidRDefault="00EC2D5E" w:rsidP="00F00DD2">
            <w:pPr>
              <w:pStyle w:val="TableText0"/>
              <w:keepNext w:val="0"/>
              <w:rPr>
                <w:szCs w:val="18"/>
              </w:rPr>
            </w:pPr>
            <w:r>
              <w:rPr>
                <w:szCs w:val="18"/>
              </w:rPr>
              <w:t>KRN23-US-02 Final CSR (single dose). A Phase I, Double-blind, Randomised, Placebo-controlled, Single-dose, Dose-escalation Study of KRN23 in X-linked Hypophosphatemia Patients.</w:t>
            </w:r>
          </w:p>
        </w:tc>
        <w:tc>
          <w:tcPr>
            <w:tcW w:w="994" w:type="pct"/>
            <w:tcBorders>
              <w:top w:val="single" w:sz="4" w:space="0" w:color="auto"/>
              <w:left w:val="single" w:sz="4" w:space="0" w:color="auto"/>
              <w:bottom w:val="nil"/>
              <w:right w:val="single" w:sz="4" w:space="0" w:color="auto"/>
            </w:tcBorders>
            <w:hideMark/>
          </w:tcPr>
          <w:p w14:paraId="37AB9BB3" w14:textId="77777777" w:rsidR="00EC2D5E" w:rsidRDefault="00EC2D5E" w:rsidP="00F00DD2">
            <w:pPr>
              <w:pStyle w:val="TableText0"/>
              <w:keepNext w:val="0"/>
              <w:rPr>
                <w:szCs w:val="18"/>
              </w:rPr>
            </w:pPr>
            <w:r>
              <w:rPr>
                <w:szCs w:val="18"/>
              </w:rPr>
              <w:t>2 May 2013</w:t>
            </w:r>
          </w:p>
        </w:tc>
      </w:tr>
      <w:tr w:rsidR="00EC2D5E" w14:paraId="05D6AA24"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66FDD452"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32C738DD" w14:textId="73AA8A30" w:rsidR="00EC2D5E" w:rsidRDefault="00EC2D5E" w:rsidP="00F00DD2">
            <w:pPr>
              <w:pStyle w:val="TableText0"/>
              <w:keepNext w:val="0"/>
              <w:rPr>
                <w:szCs w:val="18"/>
              </w:rPr>
            </w:pPr>
            <w:r>
              <w:rPr>
                <w:szCs w:val="18"/>
              </w:rPr>
              <w:t xml:space="preserve">Carpenter TO, Imel EA, Ruppe MD, </w:t>
            </w:r>
            <w:r w:rsidR="00F00DD2">
              <w:rPr>
                <w:szCs w:val="18"/>
              </w:rPr>
              <w:t>et al</w:t>
            </w:r>
            <w:r>
              <w:rPr>
                <w:szCs w:val="18"/>
              </w:rPr>
              <w:t xml:space="preserve">. Randomised trial of the anti-FGF23 antibody KRN23 in X-linked hypophosphatemia.  </w:t>
            </w:r>
          </w:p>
        </w:tc>
        <w:tc>
          <w:tcPr>
            <w:tcW w:w="994" w:type="pct"/>
            <w:tcBorders>
              <w:top w:val="nil"/>
              <w:left w:val="single" w:sz="4" w:space="0" w:color="auto"/>
              <w:bottom w:val="single" w:sz="4" w:space="0" w:color="auto"/>
              <w:right w:val="single" w:sz="4" w:space="0" w:color="auto"/>
            </w:tcBorders>
            <w:hideMark/>
          </w:tcPr>
          <w:p w14:paraId="1FDD3F6B" w14:textId="4948A29A" w:rsidR="00EC2D5E" w:rsidRDefault="00EC2D5E" w:rsidP="00F00DD2">
            <w:pPr>
              <w:pStyle w:val="TableText0"/>
              <w:keepNext w:val="0"/>
              <w:rPr>
                <w:szCs w:val="18"/>
              </w:rPr>
            </w:pPr>
            <w:r>
              <w:rPr>
                <w:szCs w:val="18"/>
              </w:rPr>
              <w:t xml:space="preserve">Journal of </w:t>
            </w:r>
            <w:r w:rsidR="00F00DD2">
              <w:rPr>
                <w:szCs w:val="18"/>
              </w:rPr>
              <w:t>C</w:t>
            </w:r>
            <w:r>
              <w:rPr>
                <w:szCs w:val="18"/>
              </w:rPr>
              <w:t xml:space="preserve">linical </w:t>
            </w:r>
            <w:r w:rsidR="00F00DD2">
              <w:rPr>
                <w:szCs w:val="18"/>
              </w:rPr>
              <w:t>I</w:t>
            </w:r>
            <w:r>
              <w:rPr>
                <w:szCs w:val="18"/>
              </w:rPr>
              <w:t>nvestigation 2014; 124 (4):1587</w:t>
            </w:r>
            <w:r>
              <w:rPr>
                <w:rFonts w:ascii="Cambria Math" w:hAnsi="Cambria Math" w:cs="Cambria Math"/>
                <w:szCs w:val="18"/>
              </w:rPr>
              <w:t>‐</w:t>
            </w:r>
            <w:r>
              <w:rPr>
                <w:szCs w:val="18"/>
              </w:rPr>
              <w:t>1597.</w:t>
            </w:r>
          </w:p>
        </w:tc>
      </w:tr>
      <w:tr w:rsidR="00EC2D5E" w14:paraId="03167901" w14:textId="77777777" w:rsidTr="00F00DD2">
        <w:trPr>
          <w:cantSplit/>
          <w:trHeight w:val="395"/>
        </w:trPr>
        <w:tc>
          <w:tcPr>
            <w:tcW w:w="705" w:type="pct"/>
            <w:vMerge w:val="restart"/>
            <w:tcBorders>
              <w:top w:val="single" w:sz="4" w:space="0" w:color="auto"/>
              <w:left w:val="single" w:sz="4" w:space="0" w:color="auto"/>
              <w:bottom w:val="single" w:sz="4" w:space="0" w:color="auto"/>
              <w:right w:val="single" w:sz="4" w:space="0" w:color="auto"/>
            </w:tcBorders>
            <w:hideMark/>
          </w:tcPr>
          <w:p w14:paraId="1749D862" w14:textId="77777777" w:rsidR="00EC2D5E" w:rsidRDefault="00EC2D5E" w:rsidP="00F00DD2">
            <w:pPr>
              <w:pStyle w:val="TableText0"/>
              <w:keepNext w:val="0"/>
            </w:pPr>
            <w:r>
              <w:lastRenderedPageBreak/>
              <w:t>KRN23-INT-001</w:t>
            </w:r>
          </w:p>
          <w:p w14:paraId="06FEEF03" w14:textId="77777777" w:rsidR="00EC2D5E" w:rsidRDefault="00EC2D5E" w:rsidP="00F00DD2">
            <w:pPr>
              <w:pStyle w:val="TableText0"/>
              <w:keepNext w:val="0"/>
            </w:pPr>
            <w:r>
              <w:t>NCT01340482</w:t>
            </w:r>
          </w:p>
        </w:tc>
        <w:tc>
          <w:tcPr>
            <w:tcW w:w="3301" w:type="pct"/>
            <w:tcBorders>
              <w:top w:val="single" w:sz="4" w:space="0" w:color="auto"/>
              <w:left w:val="single" w:sz="4" w:space="0" w:color="auto"/>
              <w:bottom w:val="nil"/>
              <w:right w:val="single" w:sz="4" w:space="0" w:color="auto"/>
            </w:tcBorders>
            <w:hideMark/>
          </w:tcPr>
          <w:p w14:paraId="7D23FD89" w14:textId="77777777" w:rsidR="00EC2D5E" w:rsidRDefault="00EC2D5E" w:rsidP="00F00DD2">
            <w:pPr>
              <w:pStyle w:val="TableText0"/>
              <w:keepNext w:val="0"/>
              <w:rPr>
                <w:szCs w:val="18"/>
              </w:rPr>
            </w:pPr>
            <w:r>
              <w:rPr>
                <w:szCs w:val="18"/>
              </w:rPr>
              <w:t>KRN23-INT-001. Final CSR (four doses, 28 day intervals). A Phase 1/2, Open-Label, Repeat-Dose, Dose-Escalation Study of KRN23 in Adult Patients with X-Linked Hypophosphatemia.</w:t>
            </w:r>
          </w:p>
        </w:tc>
        <w:tc>
          <w:tcPr>
            <w:tcW w:w="994" w:type="pct"/>
            <w:tcBorders>
              <w:top w:val="single" w:sz="4" w:space="0" w:color="auto"/>
              <w:left w:val="single" w:sz="4" w:space="0" w:color="auto"/>
              <w:bottom w:val="nil"/>
              <w:right w:val="single" w:sz="4" w:space="0" w:color="auto"/>
            </w:tcBorders>
            <w:hideMark/>
          </w:tcPr>
          <w:p w14:paraId="68C25A7E" w14:textId="77777777" w:rsidR="00EC2D5E" w:rsidRDefault="00EC2D5E" w:rsidP="00F00DD2">
            <w:pPr>
              <w:pStyle w:val="TableText0"/>
              <w:keepNext w:val="0"/>
              <w:rPr>
                <w:szCs w:val="18"/>
              </w:rPr>
            </w:pPr>
            <w:r>
              <w:rPr>
                <w:szCs w:val="18"/>
              </w:rPr>
              <w:t>13 May 2014</w:t>
            </w:r>
          </w:p>
        </w:tc>
      </w:tr>
      <w:tr w:rsidR="00EC2D5E" w14:paraId="58D04F42" w14:textId="77777777" w:rsidTr="00F00DD2">
        <w:trPr>
          <w:cantSplit/>
          <w:trHeight w:val="395"/>
        </w:trPr>
        <w:tc>
          <w:tcPr>
            <w:tcW w:w="0" w:type="auto"/>
            <w:vMerge/>
            <w:tcBorders>
              <w:top w:val="single" w:sz="4" w:space="0" w:color="auto"/>
              <w:left w:val="single" w:sz="4" w:space="0" w:color="auto"/>
              <w:bottom w:val="single" w:sz="4" w:space="0" w:color="auto"/>
              <w:right w:val="single" w:sz="4" w:space="0" w:color="auto"/>
            </w:tcBorders>
            <w:hideMark/>
          </w:tcPr>
          <w:p w14:paraId="102CDE0D"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nil"/>
              <w:right w:val="single" w:sz="4" w:space="0" w:color="auto"/>
            </w:tcBorders>
            <w:hideMark/>
          </w:tcPr>
          <w:p w14:paraId="244F6587" w14:textId="771B890B" w:rsidR="00EC2D5E" w:rsidRDefault="00EC2D5E" w:rsidP="00F00DD2">
            <w:pPr>
              <w:pStyle w:val="TableText0"/>
              <w:keepNext w:val="0"/>
              <w:rPr>
                <w:szCs w:val="18"/>
              </w:rPr>
            </w:pPr>
            <w:r>
              <w:rPr>
                <w:szCs w:val="18"/>
              </w:rPr>
              <w:t xml:space="preserve">Imel EA, Zhang X, Ruppe MD, </w:t>
            </w:r>
            <w:r w:rsidR="00F00DD2">
              <w:rPr>
                <w:szCs w:val="18"/>
              </w:rPr>
              <w:t>et al</w:t>
            </w:r>
            <w:r>
              <w:rPr>
                <w:szCs w:val="18"/>
              </w:rPr>
              <w:t>. Prolonged Correction of Serum Phosphorus in Adults with XLH Using Monthly Doses of KRN23.</w:t>
            </w:r>
          </w:p>
        </w:tc>
        <w:tc>
          <w:tcPr>
            <w:tcW w:w="994" w:type="pct"/>
            <w:tcBorders>
              <w:top w:val="nil"/>
              <w:left w:val="single" w:sz="4" w:space="0" w:color="auto"/>
              <w:bottom w:val="nil"/>
              <w:right w:val="single" w:sz="4" w:space="0" w:color="auto"/>
            </w:tcBorders>
            <w:hideMark/>
          </w:tcPr>
          <w:p w14:paraId="14F6BD7E" w14:textId="77777777" w:rsidR="00EC2D5E" w:rsidRDefault="00EC2D5E" w:rsidP="00F00DD2">
            <w:pPr>
              <w:pStyle w:val="TableText0"/>
              <w:keepNext w:val="0"/>
              <w:rPr>
                <w:szCs w:val="18"/>
              </w:rPr>
            </w:pPr>
            <w:r>
              <w:rPr>
                <w:szCs w:val="18"/>
              </w:rPr>
              <w:t>The Journal of Clinical Endocrinology &amp; Metabolism 2015; 100(7):2565-73.</w:t>
            </w:r>
          </w:p>
        </w:tc>
      </w:tr>
      <w:tr w:rsidR="00EC2D5E" w14:paraId="4609EA2B"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4A7D7191" w14:textId="77777777" w:rsidR="00EC2D5E" w:rsidRDefault="00EC2D5E" w:rsidP="00F00DD2">
            <w:pPr>
              <w:pStyle w:val="TableText0"/>
              <w:keepNext w:val="0"/>
            </w:pPr>
            <w:r>
              <w:t>KRN23-INT-002</w:t>
            </w:r>
          </w:p>
          <w:p w14:paraId="497A924E" w14:textId="77777777" w:rsidR="00EC2D5E" w:rsidRDefault="00EC2D5E" w:rsidP="00F00DD2">
            <w:pPr>
              <w:pStyle w:val="TableText0"/>
              <w:keepNext w:val="0"/>
            </w:pPr>
            <w:r>
              <w:t>NCT01571596</w:t>
            </w:r>
          </w:p>
        </w:tc>
        <w:tc>
          <w:tcPr>
            <w:tcW w:w="3301" w:type="pct"/>
            <w:tcBorders>
              <w:top w:val="single" w:sz="4" w:space="0" w:color="auto"/>
              <w:left w:val="single" w:sz="4" w:space="0" w:color="auto"/>
              <w:bottom w:val="nil"/>
              <w:right w:val="single" w:sz="4" w:space="0" w:color="auto"/>
            </w:tcBorders>
            <w:hideMark/>
          </w:tcPr>
          <w:p w14:paraId="7E4B90E0" w14:textId="77777777" w:rsidR="00EC2D5E" w:rsidRDefault="00EC2D5E" w:rsidP="00F00DD2">
            <w:pPr>
              <w:pStyle w:val="TableText0"/>
              <w:keepNext w:val="0"/>
              <w:rPr>
                <w:szCs w:val="18"/>
              </w:rPr>
            </w:pPr>
            <w:r>
              <w:rPr>
                <w:szCs w:val="18"/>
              </w:rPr>
              <w:t>KRN23-INT-002 Final CSR (extension study of KRN23-INT-001, up to 12 doses, 28 day intervals). An Open-Label, Long-Term, Extension Study to Evaluate the Safety and Efficacy of KRN23 in Adult Patients with X-Linked Hypophosphatemia.</w:t>
            </w:r>
          </w:p>
        </w:tc>
        <w:tc>
          <w:tcPr>
            <w:tcW w:w="994" w:type="pct"/>
            <w:tcBorders>
              <w:top w:val="single" w:sz="4" w:space="0" w:color="auto"/>
              <w:left w:val="single" w:sz="4" w:space="0" w:color="auto"/>
              <w:bottom w:val="nil"/>
              <w:right w:val="single" w:sz="4" w:space="0" w:color="auto"/>
            </w:tcBorders>
            <w:hideMark/>
          </w:tcPr>
          <w:p w14:paraId="3401D9B6" w14:textId="77777777" w:rsidR="00EC2D5E" w:rsidRDefault="00EC2D5E" w:rsidP="00F00DD2">
            <w:pPr>
              <w:pStyle w:val="TableText0"/>
              <w:keepNext w:val="0"/>
              <w:rPr>
                <w:szCs w:val="18"/>
              </w:rPr>
            </w:pPr>
            <w:r>
              <w:rPr>
                <w:szCs w:val="18"/>
              </w:rPr>
              <w:t>10 June 2014</w:t>
            </w:r>
          </w:p>
        </w:tc>
      </w:tr>
      <w:tr w:rsidR="00EC2D5E" w14:paraId="26AAB895"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05693F4D"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31AE31FC" w14:textId="48080B68" w:rsidR="00EC2D5E" w:rsidRDefault="00EC2D5E" w:rsidP="00F00DD2">
            <w:pPr>
              <w:pStyle w:val="TableText0"/>
              <w:keepNext w:val="0"/>
              <w:rPr>
                <w:szCs w:val="18"/>
              </w:rPr>
            </w:pPr>
            <w:r>
              <w:rPr>
                <w:szCs w:val="18"/>
              </w:rPr>
              <w:t xml:space="preserve">Imel EA, Zhang X, Ruppe MD, </w:t>
            </w:r>
            <w:r w:rsidR="00F00DD2">
              <w:rPr>
                <w:szCs w:val="18"/>
              </w:rPr>
              <w:t>et al</w:t>
            </w:r>
            <w:r>
              <w:rPr>
                <w:szCs w:val="18"/>
              </w:rPr>
              <w:t>. Prolonged Correction of Serum Phosphorus in Adults with XLH Using Monthly Doses of KRN23.</w:t>
            </w:r>
          </w:p>
        </w:tc>
        <w:tc>
          <w:tcPr>
            <w:tcW w:w="994" w:type="pct"/>
            <w:tcBorders>
              <w:top w:val="nil"/>
              <w:left w:val="single" w:sz="4" w:space="0" w:color="auto"/>
              <w:bottom w:val="single" w:sz="4" w:space="0" w:color="auto"/>
              <w:right w:val="single" w:sz="4" w:space="0" w:color="auto"/>
            </w:tcBorders>
            <w:hideMark/>
          </w:tcPr>
          <w:p w14:paraId="02C04F31" w14:textId="77777777" w:rsidR="00EC2D5E" w:rsidRDefault="00EC2D5E" w:rsidP="00F00DD2">
            <w:pPr>
              <w:pStyle w:val="TableText0"/>
              <w:keepNext w:val="0"/>
              <w:rPr>
                <w:szCs w:val="18"/>
              </w:rPr>
            </w:pPr>
            <w:r>
              <w:rPr>
                <w:szCs w:val="18"/>
              </w:rPr>
              <w:t>The Journal of Clinical Endocrinology &amp; Metabolism 2015; 100(7):2565-73.</w:t>
            </w:r>
          </w:p>
        </w:tc>
      </w:tr>
      <w:tr w:rsidR="00EC2D5E" w14:paraId="5E949218" w14:textId="77777777" w:rsidTr="00F00DD2">
        <w:trPr>
          <w:cantSplit/>
        </w:trPr>
        <w:tc>
          <w:tcPr>
            <w:tcW w:w="705" w:type="pct"/>
            <w:vMerge w:val="restart"/>
            <w:tcBorders>
              <w:top w:val="single" w:sz="4" w:space="0" w:color="auto"/>
              <w:left w:val="single" w:sz="4" w:space="0" w:color="auto"/>
              <w:bottom w:val="single" w:sz="4" w:space="0" w:color="auto"/>
              <w:right w:val="single" w:sz="4" w:space="0" w:color="auto"/>
            </w:tcBorders>
            <w:hideMark/>
          </w:tcPr>
          <w:p w14:paraId="7E78054B" w14:textId="77777777" w:rsidR="00EC2D5E" w:rsidRDefault="00EC2D5E" w:rsidP="00F00DD2">
            <w:pPr>
              <w:pStyle w:val="TableText0"/>
              <w:keepNext w:val="0"/>
            </w:pPr>
            <w:r>
              <w:t>CL203</w:t>
            </w:r>
          </w:p>
          <w:p w14:paraId="5D7004EE" w14:textId="77777777" w:rsidR="00EC2D5E" w:rsidRDefault="00EC2D5E" w:rsidP="00F00DD2">
            <w:pPr>
              <w:pStyle w:val="TableText0"/>
              <w:keepNext w:val="0"/>
            </w:pPr>
            <w:r>
              <w:t>NCT02312687</w:t>
            </w:r>
          </w:p>
        </w:tc>
        <w:tc>
          <w:tcPr>
            <w:tcW w:w="3301" w:type="pct"/>
            <w:tcBorders>
              <w:top w:val="single" w:sz="4" w:space="0" w:color="auto"/>
              <w:left w:val="single" w:sz="4" w:space="0" w:color="auto"/>
              <w:bottom w:val="nil"/>
              <w:right w:val="single" w:sz="4" w:space="0" w:color="auto"/>
            </w:tcBorders>
            <w:hideMark/>
          </w:tcPr>
          <w:p w14:paraId="2D7A13E0" w14:textId="77777777" w:rsidR="00EC2D5E" w:rsidRDefault="00EC2D5E" w:rsidP="00F00DD2">
            <w:pPr>
              <w:pStyle w:val="TableText0"/>
              <w:keepNext w:val="0"/>
              <w:rPr>
                <w:szCs w:val="18"/>
              </w:rPr>
            </w:pPr>
            <w:r>
              <w:rPr>
                <w:szCs w:val="18"/>
              </w:rPr>
              <w:t>UX023-CL203 EOS, Week 72 CSR. A Phase 2b, Open-Label, Long-Term Extension Study To Evaluate The Safety And Pharmacodynamics Of KRN23 In Adult Patients With X-Linked Hypophosphatemia (XLH).</w:t>
            </w:r>
          </w:p>
        </w:tc>
        <w:tc>
          <w:tcPr>
            <w:tcW w:w="994" w:type="pct"/>
            <w:tcBorders>
              <w:top w:val="single" w:sz="4" w:space="0" w:color="auto"/>
              <w:left w:val="single" w:sz="4" w:space="0" w:color="auto"/>
              <w:bottom w:val="nil"/>
              <w:right w:val="single" w:sz="4" w:space="0" w:color="auto"/>
            </w:tcBorders>
            <w:hideMark/>
          </w:tcPr>
          <w:p w14:paraId="3F59440E" w14:textId="77777777" w:rsidR="00EC2D5E" w:rsidRDefault="00EC2D5E" w:rsidP="00F00DD2">
            <w:pPr>
              <w:pStyle w:val="TableText0"/>
              <w:keepNext w:val="0"/>
              <w:rPr>
                <w:szCs w:val="18"/>
              </w:rPr>
            </w:pPr>
            <w:r>
              <w:rPr>
                <w:szCs w:val="18"/>
              </w:rPr>
              <w:t>20 November 2019</w:t>
            </w:r>
          </w:p>
        </w:tc>
      </w:tr>
      <w:tr w:rsidR="00EC2D5E" w14:paraId="0050109C" w14:textId="77777777" w:rsidTr="00F00DD2">
        <w:trPr>
          <w:cantSplit/>
        </w:trPr>
        <w:tc>
          <w:tcPr>
            <w:tcW w:w="0" w:type="auto"/>
            <w:vMerge/>
            <w:tcBorders>
              <w:top w:val="single" w:sz="4" w:space="0" w:color="auto"/>
              <w:left w:val="single" w:sz="4" w:space="0" w:color="auto"/>
              <w:bottom w:val="single" w:sz="4" w:space="0" w:color="auto"/>
              <w:right w:val="single" w:sz="4" w:space="0" w:color="auto"/>
            </w:tcBorders>
            <w:hideMark/>
          </w:tcPr>
          <w:p w14:paraId="04B587BA" w14:textId="77777777" w:rsidR="00EC2D5E" w:rsidRDefault="00EC2D5E" w:rsidP="00F00DD2">
            <w:pPr>
              <w:jc w:val="left"/>
              <w:rPr>
                <w:rFonts w:ascii="Arial Narrow" w:eastAsiaTheme="majorEastAsia" w:hAnsi="Arial Narrow" w:cstheme="majorBidi"/>
                <w:bCs/>
                <w:sz w:val="20"/>
              </w:rPr>
            </w:pPr>
          </w:p>
        </w:tc>
        <w:tc>
          <w:tcPr>
            <w:tcW w:w="3301" w:type="pct"/>
            <w:tcBorders>
              <w:top w:val="nil"/>
              <w:left w:val="single" w:sz="4" w:space="0" w:color="auto"/>
              <w:bottom w:val="single" w:sz="4" w:space="0" w:color="auto"/>
              <w:right w:val="single" w:sz="4" w:space="0" w:color="auto"/>
            </w:tcBorders>
            <w:hideMark/>
          </w:tcPr>
          <w:p w14:paraId="4324985A" w14:textId="77777777" w:rsidR="00EC2D5E" w:rsidRDefault="00EC2D5E" w:rsidP="00F00DD2">
            <w:pPr>
              <w:pStyle w:val="TableText0"/>
              <w:keepNext w:val="0"/>
              <w:rPr>
                <w:szCs w:val="18"/>
              </w:rPr>
            </w:pPr>
            <w:r>
              <w:rPr>
                <w:szCs w:val="18"/>
              </w:rPr>
              <w:t>Ruppe M, Peacock M, Weber T, et al. Clinical and Radiographic Characteristics of Adult XLH in a Cohort of Patients Treated with KRN23, an Antibody to FGF23 [Abstract]</w:t>
            </w:r>
          </w:p>
        </w:tc>
        <w:tc>
          <w:tcPr>
            <w:tcW w:w="994" w:type="pct"/>
            <w:tcBorders>
              <w:top w:val="nil"/>
              <w:left w:val="single" w:sz="4" w:space="0" w:color="auto"/>
              <w:bottom w:val="single" w:sz="4" w:space="0" w:color="auto"/>
              <w:right w:val="single" w:sz="4" w:space="0" w:color="auto"/>
            </w:tcBorders>
            <w:hideMark/>
          </w:tcPr>
          <w:p w14:paraId="6DF58DDC" w14:textId="77777777" w:rsidR="00EC2D5E" w:rsidRDefault="00EC2D5E" w:rsidP="00F00DD2">
            <w:pPr>
              <w:pStyle w:val="TableText0"/>
              <w:keepNext w:val="0"/>
              <w:rPr>
                <w:szCs w:val="18"/>
              </w:rPr>
            </w:pPr>
            <w:r>
              <w:rPr>
                <w:szCs w:val="18"/>
              </w:rPr>
              <w:t>ASBMR September 16-19, 2016, Atlanta</w:t>
            </w:r>
          </w:p>
        </w:tc>
      </w:tr>
    </w:tbl>
    <w:p w14:paraId="1A99E280" w14:textId="77777777" w:rsidR="00EC2D5E" w:rsidRPr="009408C2" w:rsidRDefault="00EC2D5E" w:rsidP="00EC2D5E">
      <w:pPr>
        <w:pStyle w:val="TableFigureFooter"/>
        <w:spacing w:after="0"/>
        <w:rPr>
          <w:bCs/>
          <w:szCs w:val="18"/>
        </w:rPr>
      </w:pPr>
      <w:r w:rsidRPr="009408C2">
        <w:rPr>
          <w:rStyle w:val="CommentReference"/>
          <w:b w:val="0"/>
          <w:bCs/>
          <w:sz w:val="18"/>
          <w:szCs w:val="18"/>
          <w:shd w:val="clear" w:color="auto" w:fill="C6D9F1" w:themeFill="text2" w:themeFillTint="33"/>
        </w:rPr>
        <w:t>Blue shading</w:t>
      </w:r>
      <w:r w:rsidRPr="009408C2">
        <w:rPr>
          <w:rStyle w:val="CommentReference"/>
          <w:b w:val="0"/>
          <w:bCs/>
          <w:sz w:val="18"/>
          <w:szCs w:val="18"/>
        </w:rPr>
        <w:t xml:space="preserve"> indicates data previously seen by the PBAC. </w:t>
      </w:r>
    </w:p>
    <w:p w14:paraId="1C931A53" w14:textId="0CA19961" w:rsidR="00EC2D5E" w:rsidRDefault="00EC2D5E" w:rsidP="00EC2D5E">
      <w:pPr>
        <w:pStyle w:val="TableFigureFooter"/>
        <w:rPr>
          <w:sz w:val="20"/>
        </w:rPr>
      </w:pPr>
      <w:r>
        <w:t xml:space="preserve">Source: Tables 2-2 and 2.3, pp41-42 of the </w:t>
      </w:r>
      <w:r w:rsidR="00C86DB7">
        <w:t>re</w:t>
      </w:r>
      <w:r>
        <w:t>submission.</w:t>
      </w:r>
    </w:p>
    <w:p w14:paraId="5265B17B" w14:textId="77777777" w:rsidR="00EC2D5E" w:rsidRDefault="00EC2D5E" w:rsidP="00EC2D5E">
      <w:pPr>
        <w:pStyle w:val="3-BodyText"/>
        <w:numPr>
          <w:ilvl w:val="0"/>
          <w:numId w:val="0"/>
        </w:numPr>
        <w:ind w:left="720" w:hanging="720"/>
        <w:rPr>
          <w:b/>
        </w:rPr>
      </w:pPr>
      <w:r>
        <w:rPr>
          <w:b/>
        </w:rPr>
        <w:t>Paediatrics</w:t>
      </w:r>
    </w:p>
    <w:p w14:paraId="2256AB1B" w14:textId="77777777" w:rsidR="00EC2D5E" w:rsidRDefault="00EC2D5E" w:rsidP="0073079A">
      <w:pPr>
        <w:pStyle w:val="3-BodyText"/>
        <w:snapToGrid w:val="0"/>
      </w:pPr>
      <w:r>
        <w:t>The key features of the included paediatric trials are summarised in Table 5.</w:t>
      </w:r>
    </w:p>
    <w:p w14:paraId="71EEE21A" w14:textId="220BAF75" w:rsidR="00EC2D5E" w:rsidRPr="008E65F1" w:rsidRDefault="00EC2D5E" w:rsidP="00EC2D5E">
      <w:pPr>
        <w:pStyle w:val="TableFigureHeading"/>
        <w:keepNext w:val="0"/>
        <w:rPr>
          <w:rStyle w:val="CommentReference"/>
          <w:b/>
          <w:bCs w:val="0"/>
          <w:iCs/>
        </w:rPr>
      </w:pPr>
      <w:r w:rsidRPr="008E65F1">
        <w:rPr>
          <w:iCs/>
        </w:rPr>
        <w:t xml:space="preserve">Table </w:t>
      </w:r>
      <w:r w:rsidRPr="008E65F1">
        <w:rPr>
          <w:iCs/>
        </w:rPr>
        <w:fldChar w:fldCharType="begin"/>
      </w:r>
      <w:r w:rsidRPr="008E65F1">
        <w:rPr>
          <w:iCs/>
        </w:rPr>
        <w:instrText xml:space="preserve"> SEQ Table \* ARABIC </w:instrText>
      </w:r>
      <w:r w:rsidRPr="008E65F1">
        <w:rPr>
          <w:iCs/>
        </w:rPr>
        <w:fldChar w:fldCharType="separate"/>
      </w:r>
      <w:r w:rsidR="00676539">
        <w:rPr>
          <w:iCs/>
          <w:noProof/>
        </w:rPr>
        <w:t>5</w:t>
      </w:r>
      <w:r w:rsidRPr="008E65F1">
        <w:rPr>
          <w:iCs/>
        </w:rPr>
        <w:fldChar w:fldCharType="end"/>
      </w:r>
      <w:r w:rsidRPr="008E65F1">
        <w:rPr>
          <w:iCs/>
        </w:rPr>
        <w:t xml:space="preserve">: </w:t>
      </w:r>
      <w:r w:rsidRPr="008E65F1">
        <w:rPr>
          <w:rStyle w:val="CommentReference"/>
          <w:b/>
          <w:bCs w:val="0"/>
          <w:iCs/>
        </w:rPr>
        <w:t>Key features of the included evidence for paediatrics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for paediatrics"/>
      </w:tblPr>
      <w:tblGrid>
        <w:gridCol w:w="640"/>
        <w:gridCol w:w="429"/>
        <w:gridCol w:w="1968"/>
        <w:gridCol w:w="831"/>
        <w:gridCol w:w="1767"/>
        <w:gridCol w:w="904"/>
        <w:gridCol w:w="1609"/>
        <w:gridCol w:w="869"/>
      </w:tblGrid>
      <w:tr w:rsidR="00EC2D5E" w:rsidRPr="008E65F1" w14:paraId="138D5FA6" w14:textId="77777777" w:rsidTr="00EC2D5E">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650198" w14:textId="77777777" w:rsidR="00EC2D5E" w:rsidRPr="008E65F1" w:rsidRDefault="00EC2D5E">
            <w:pPr>
              <w:pStyle w:val="In-tableHeading"/>
              <w:keepNext w:val="0"/>
              <w:rPr>
                <w:iCs/>
                <w:lang w:val="en-AU"/>
              </w:rPr>
            </w:pPr>
            <w:r w:rsidRPr="008E65F1">
              <w:rPr>
                <w:iCs/>
                <w:lang w:val="en-AU"/>
              </w:rPr>
              <w:t>Trial</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B11B0" w14:textId="77777777" w:rsidR="00EC2D5E" w:rsidRPr="008E65F1" w:rsidRDefault="00EC2D5E">
            <w:pPr>
              <w:pStyle w:val="In-tableHeading"/>
              <w:keepNext w:val="0"/>
              <w:jc w:val="center"/>
              <w:rPr>
                <w:iCs/>
                <w:lang w:val="en-AU"/>
              </w:rPr>
            </w:pPr>
            <w:r w:rsidRPr="008E65F1">
              <w:rPr>
                <w:iCs/>
                <w:lang w:val="en-AU"/>
              </w:rPr>
              <w:t>N</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E2754F" w14:textId="77777777" w:rsidR="00EC2D5E" w:rsidRPr="008E65F1" w:rsidRDefault="00EC2D5E">
            <w:pPr>
              <w:pStyle w:val="In-tableHeading"/>
              <w:keepNext w:val="0"/>
              <w:jc w:val="center"/>
              <w:rPr>
                <w:iCs/>
                <w:lang w:val="en-AU"/>
              </w:rPr>
            </w:pPr>
            <w:r w:rsidRPr="008E65F1">
              <w:rPr>
                <w:iCs/>
                <w:lang w:val="en-AU"/>
              </w:rPr>
              <w:t>Design/ duration</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BB58E0" w14:textId="77777777" w:rsidR="00EC2D5E" w:rsidRPr="008E65F1" w:rsidRDefault="00EC2D5E">
            <w:pPr>
              <w:pStyle w:val="In-tableHeading"/>
              <w:keepNext w:val="0"/>
              <w:jc w:val="center"/>
              <w:rPr>
                <w:iCs/>
                <w:lang w:val="en-AU"/>
              </w:rPr>
            </w:pPr>
            <w:r w:rsidRPr="008E65F1">
              <w:rPr>
                <w:iCs/>
                <w:lang w:val="en-AU"/>
              </w:rPr>
              <w:t>Bias</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4D68E9" w14:textId="77777777" w:rsidR="00EC2D5E" w:rsidRPr="008E65F1" w:rsidRDefault="00EC2D5E">
            <w:pPr>
              <w:pStyle w:val="In-tableHeading"/>
              <w:keepNext w:val="0"/>
              <w:jc w:val="center"/>
              <w:rPr>
                <w:iCs/>
                <w:lang w:val="en-AU"/>
              </w:rPr>
            </w:pPr>
            <w:r w:rsidRPr="008E65F1">
              <w:rPr>
                <w:iCs/>
                <w:lang w:val="en-AU"/>
              </w:rPr>
              <w:t>Treatment arms</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BE7CD4" w14:textId="77777777" w:rsidR="00EC2D5E" w:rsidRPr="008E65F1" w:rsidRDefault="00EC2D5E">
            <w:pPr>
              <w:pStyle w:val="In-tableHeading"/>
              <w:keepNext w:val="0"/>
              <w:jc w:val="center"/>
              <w:rPr>
                <w:iCs/>
                <w:lang w:val="en-AU"/>
              </w:rPr>
            </w:pPr>
            <w:r w:rsidRPr="008E65F1">
              <w:rPr>
                <w:iCs/>
                <w:lang w:val="en-AU"/>
              </w:rPr>
              <w:t>Population</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C77DC0" w14:textId="77777777" w:rsidR="00EC2D5E" w:rsidRPr="008E65F1" w:rsidRDefault="00EC2D5E">
            <w:pPr>
              <w:pStyle w:val="In-tableHeading"/>
              <w:keepNext w:val="0"/>
              <w:jc w:val="center"/>
              <w:rPr>
                <w:iCs/>
                <w:lang w:val="en-AU"/>
              </w:rPr>
            </w:pPr>
            <w:r w:rsidRPr="008E65F1">
              <w:rPr>
                <w:iCs/>
                <w:lang w:val="en-AU"/>
              </w:rPr>
              <w:t>Outcome(s)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2FF315" w14:textId="77777777" w:rsidR="00EC2D5E" w:rsidRPr="008E65F1" w:rsidRDefault="00EC2D5E">
            <w:pPr>
              <w:pStyle w:val="In-tableHeading"/>
              <w:keepNext w:val="0"/>
              <w:jc w:val="center"/>
              <w:rPr>
                <w:iCs/>
                <w:lang w:val="en-AU"/>
              </w:rPr>
            </w:pPr>
            <w:r w:rsidRPr="008E65F1">
              <w:rPr>
                <w:iCs/>
                <w:lang w:val="en-AU"/>
              </w:rPr>
              <w:t>Modelled evaluation</w:t>
            </w:r>
          </w:p>
        </w:tc>
      </w:tr>
      <w:tr w:rsidR="00EC2D5E" w:rsidRPr="008E65F1" w14:paraId="282CECA7"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9B26D1" w14:textId="77777777" w:rsidR="00EC2D5E" w:rsidRPr="008E65F1" w:rsidRDefault="00EC2D5E">
            <w:pPr>
              <w:pStyle w:val="In-tableHeading"/>
              <w:keepNext w:val="0"/>
              <w:rPr>
                <w:iCs/>
                <w:lang w:val="en-AU"/>
              </w:rPr>
            </w:pPr>
            <w:r w:rsidRPr="008E65F1">
              <w:rPr>
                <w:iCs/>
                <w:lang w:val="en-AU"/>
              </w:rPr>
              <w:t>BUR vs conventional therapy (oral phosphorus plus calcitriol)</w:t>
            </w:r>
          </w:p>
        </w:tc>
      </w:tr>
      <w:tr w:rsidR="00EC2D5E" w:rsidRPr="008E65F1" w14:paraId="5D2C566D"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7F9C81" w14:textId="77777777" w:rsidR="00EC2D5E" w:rsidRPr="008E65F1" w:rsidRDefault="00EC2D5E">
            <w:pPr>
              <w:pStyle w:val="TableText0"/>
              <w:keepNext w:val="0"/>
              <w:rPr>
                <w:iCs/>
              </w:rPr>
            </w:pPr>
            <w:r w:rsidRPr="008E65F1">
              <w:rPr>
                <w:iCs/>
              </w:rPr>
              <w:t>CL301</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A3F8E6" w14:textId="77777777" w:rsidR="00EC2D5E" w:rsidRPr="008E65F1" w:rsidRDefault="00EC2D5E">
            <w:pPr>
              <w:pStyle w:val="TableText0"/>
              <w:keepNext w:val="0"/>
              <w:jc w:val="center"/>
              <w:rPr>
                <w:iCs/>
              </w:rPr>
            </w:pPr>
            <w:r w:rsidRPr="008E65F1">
              <w:rPr>
                <w:iCs/>
              </w:rPr>
              <w:t>61</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9068F3" w14:textId="77777777" w:rsidR="00EC2D5E" w:rsidRPr="008E65F1" w:rsidRDefault="00EC2D5E">
            <w:pPr>
              <w:pStyle w:val="TableText0"/>
              <w:keepNext w:val="0"/>
              <w:shd w:val="clear" w:color="auto" w:fill="C6D9F1" w:themeFill="text2" w:themeFillTint="33"/>
              <w:jc w:val="center"/>
              <w:rPr>
                <w:iCs/>
              </w:rPr>
            </w:pPr>
            <w:r w:rsidRPr="008E65F1">
              <w:rPr>
                <w:iCs/>
              </w:rPr>
              <w:t xml:space="preserve">R, MC, OL </w:t>
            </w:r>
          </w:p>
          <w:p w14:paraId="7816DA23" w14:textId="77777777" w:rsidR="00EC2D5E" w:rsidRPr="008E65F1" w:rsidRDefault="00EC2D5E">
            <w:pPr>
              <w:pStyle w:val="TableText0"/>
              <w:keepNext w:val="0"/>
              <w:shd w:val="clear" w:color="auto" w:fill="C6D9F1" w:themeFill="text2" w:themeFillTint="33"/>
              <w:jc w:val="center"/>
              <w:rPr>
                <w:iCs/>
              </w:rPr>
            </w:pPr>
            <w:r w:rsidRPr="008E65F1">
              <w:rPr>
                <w:iCs/>
              </w:rPr>
              <w:t xml:space="preserve">64 wks </w:t>
            </w:r>
          </w:p>
          <w:p w14:paraId="1FBB62D5" w14:textId="77777777" w:rsidR="00EC2D5E" w:rsidRPr="008E65F1" w:rsidRDefault="00EC2D5E">
            <w:pPr>
              <w:pStyle w:val="TableText0"/>
              <w:keepNext w:val="0"/>
              <w:jc w:val="center"/>
              <w:rPr>
                <w:iCs/>
              </w:rPr>
            </w:pPr>
            <w:r w:rsidRPr="008E65F1">
              <w:rPr>
                <w:iCs/>
              </w:rPr>
              <w:t>(OL extension, results up to 88 wks</w:t>
            </w:r>
            <w:r w:rsidRPr="008E65F1">
              <w:rPr>
                <w:iCs/>
                <w:vertAlign w:val="superscript"/>
              </w:rPr>
              <w:t>e</w:t>
            </w:r>
            <w:r w:rsidRPr="008E65F1">
              <w:rPr>
                <w:iCs/>
              </w:rPr>
              <w:t>)</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CB516E"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FFD0CF" w14:textId="77777777" w:rsidR="00EC2D5E" w:rsidRPr="008E65F1" w:rsidRDefault="00EC2D5E">
            <w:pPr>
              <w:pStyle w:val="TableText0"/>
              <w:keepNext w:val="0"/>
              <w:rPr>
                <w:iCs/>
              </w:rPr>
            </w:pPr>
            <w:r w:rsidRPr="008E65F1">
              <w:rPr>
                <w:iCs/>
              </w:rPr>
              <w:t>BUR 0.8 mg/kg Q2W</w:t>
            </w:r>
            <w:r w:rsidRPr="008E65F1">
              <w:rPr>
                <w:iCs/>
                <w:vertAlign w:val="superscript"/>
              </w:rPr>
              <w:t>a</w:t>
            </w:r>
          </w:p>
          <w:p w14:paraId="7CFA8C1B" w14:textId="77777777" w:rsidR="00EC2D5E" w:rsidRPr="008E65F1" w:rsidRDefault="00EC2D5E">
            <w:pPr>
              <w:pStyle w:val="TableText0"/>
              <w:keepNext w:val="0"/>
              <w:rPr>
                <w:iCs/>
              </w:rPr>
            </w:pPr>
            <w:r w:rsidRPr="008E65F1">
              <w:rPr>
                <w:iCs/>
              </w:rPr>
              <w:t>Conventional therapy</w:t>
            </w:r>
            <w:r w:rsidRPr="008E65F1">
              <w:rPr>
                <w:iCs/>
                <w:vertAlign w:val="superscript"/>
              </w:rPr>
              <w:t>b</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DF234" w14:textId="77777777" w:rsidR="00EC2D5E" w:rsidRPr="008E65F1" w:rsidRDefault="00EC2D5E">
            <w:pPr>
              <w:pStyle w:val="TableText0"/>
              <w:keepNext w:val="0"/>
              <w:jc w:val="center"/>
              <w:rPr>
                <w:iCs/>
              </w:rPr>
            </w:pPr>
            <w:r w:rsidRPr="008E65F1">
              <w:rPr>
                <w:iCs/>
              </w:rPr>
              <w:t>Age 1-12;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A17B41" w14:textId="77777777" w:rsidR="00EC2D5E" w:rsidRPr="008E65F1" w:rsidRDefault="00EC2D5E">
            <w:pPr>
              <w:pStyle w:val="TableText0"/>
              <w:keepNext w:val="0"/>
              <w:rPr>
                <w:iCs/>
              </w:rPr>
            </w:pPr>
            <w:r w:rsidRPr="008E65F1">
              <w:rPr>
                <w:iCs/>
              </w:rPr>
              <w:t>1°: RGI-C (Wk 40)</w:t>
            </w:r>
          </w:p>
          <w:p w14:paraId="59020F3B" w14:textId="77777777" w:rsidR="00EC2D5E" w:rsidRPr="008E65F1" w:rsidRDefault="00EC2D5E">
            <w:pPr>
              <w:pStyle w:val="TableText0"/>
              <w:keepNext w:val="0"/>
              <w:rPr>
                <w:iCs/>
              </w:rPr>
            </w:pPr>
            <w:r w:rsidRPr="008E65F1">
              <w:rPr>
                <w:iCs/>
              </w:rPr>
              <w:t>2°: RSS, growth</w:t>
            </w:r>
          </w:p>
          <w:p w14:paraId="3F0F2120" w14:textId="77777777" w:rsidR="00EC2D5E" w:rsidRPr="008E65F1" w:rsidRDefault="00EC2D5E">
            <w:pPr>
              <w:pStyle w:val="TableText0"/>
              <w:keepNext w:val="0"/>
              <w:rPr>
                <w:iCs/>
              </w:rPr>
            </w:pPr>
            <w:r w:rsidRPr="008E65F1">
              <w:rPr>
                <w:iCs/>
              </w:rPr>
              <w:t>Other: 6MWT, PD, QoL,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76A889" w14:textId="77777777" w:rsidR="00EC2D5E" w:rsidRPr="008E65F1" w:rsidRDefault="00EC2D5E">
            <w:pPr>
              <w:pStyle w:val="TableText0"/>
              <w:keepNext w:val="0"/>
              <w:jc w:val="center"/>
              <w:rPr>
                <w:iCs/>
              </w:rPr>
            </w:pPr>
            <w:r w:rsidRPr="008E65F1">
              <w:rPr>
                <w:iCs/>
              </w:rPr>
              <w:t>RSS</w:t>
            </w:r>
          </w:p>
        </w:tc>
      </w:tr>
      <w:tr w:rsidR="00EC2D5E" w:rsidRPr="008E65F1" w14:paraId="58A5C059"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FC7874" w14:textId="77777777" w:rsidR="00EC2D5E" w:rsidRPr="008E65F1" w:rsidRDefault="00EC2D5E">
            <w:pPr>
              <w:pStyle w:val="TableText0"/>
              <w:keepNext w:val="0"/>
              <w:rPr>
                <w:b/>
                <w:iCs/>
              </w:rPr>
            </w:pPr>
            <w:r w:rsidRPr="008E65F1">
              <w:rPr>
                <w:b/>
                <w:iCs/>
              </w:rPr>
              <w:t>Supportive studies</w:t>
            </w:r>
          </w:p>
        </w:tc>
      </w:tr>
      <w:tr w:rsidR="00EC2D5E" w:rsidRPr="008E65F1" w14:paraId="3E6E2294"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D0F7BD" w14:textId="77777777" w:rsidR="00EC2D5E" w:rsidRPr="008E65F1" w:rsidRDefault="00EC2D5E">
            <w:pPr>
              <w:pStyle w:val="TableText0"/>
              <w:keepNext w:val="0"/>
              <w:rPr>
                <w:iCs/>
              </w:rPr>
            </w:pPr>
            <w:r w:rsidRPr="008E65F1">
              <w:rPr>
                <w:iCs/>
              </w:rPr>
              <w:t>CL201</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BCEC99" w14:textId="77777777" w:rsidR="00EC2D5E" w:rsidRPr="008E65F1" w:rsidRDefault="00EC2D5E">
            <w:pPr>
              <w:pStyle w:val="TableText0"/>
              <w:keepNext w:val="0"/>
              <w:jc w:val="center"/>
              <w:rPr>
                <w:iCs/>
              </w:rPr>
            </w:pPr>
            <w:r w:rsidRPr="008E65F1">
              <w:rPr>
                <w:iCs/>
              </w:rPr>
              <w:t>52</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CD6261" w14:textId="77777777" w:rsidR="00EC2D5E" w:rsidRPr="008E65F1" w:rsidRDefault="00EC2D5E">
            <w:pPr>
              <w:pStyle w:val="TableText0"/>
              <w:keepNext w:val="0"/>
              <w:jc w:val="center"/>
              <w:rPr>
                <w:iCs/>
              </w:rPr>
            </w:pPr>
            <w:r w:rsidRPr="008E65F1">
              <w:rPr>
                <w:iCs/>
              </w:rPr>
              <w:t xml:space="preserve">R, MC, OL, parallel 64 wks </w:t>
            </w:r>
          </w:p>
          <w:p w14:paraId="7443F0F0" w14:textId="77777777" w:rsidR="00EC2D5E" w:rsidRPr="008E65F1" w:rsidRDefault="00EC2D5E">
            <w:pPr>
              <w:pStyle w:val="TableText0"/>
              <w:keepNext w:val="0"/>
              <w:jc w:val="center"/>
              <w:rPr>
                <w:iCs/>
              </w:rPr>
            </w:pPr>
            <w:r w:rsidRPr="008E65F1">
              <w:rPr>
                <w:iCs/>
              </w:rPr>
              <w:t>(OL extension, results up to 160 wks for efficacy &amp; 214 wks for safety)</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7F0EE3"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6B034A" w14:textId="77777777" w:rsidR="00EC2D5E" w:rsidRPr="008E65F1" w:rsidRDefault="00EC2D5E">
            <w:pPr>
              <w:pStyle w:val="TableText0"/>
              <w:keepNext w:val="0"/>
              <w:rPr>
                <w:iCs/>
              </w:rPr>
            </w:pPr>
            <w:r w:rsidRPr="008E65F1">
              <w:rPr>
                <w:iCs/>
              </w:rPr>
              <w:t>BUR 0.1/0.2/0.3 mg/kg Q2W</w:t>
            </w:r>
            <w:r w:rsidRPr="008E65F1">
              <w:rPr>
                <w:iCs/>
                <w:vertAlign w:val="superscript"/>
              </w:rPr>
              <w:t>c</w:t>
            </w:r>
          </w:p>
          <w:p w14:paraId="2A6A0C38" w14:textId="77777777" w:rsidR="00EC2D5E" w:rsidRPr="008E65F1" w:rsidRDefault="00EC2D5E">
            <w:pPr>
              <w:pStyle w:val="TableText0"/>
              <w:keepNext w:val="0"/>
              <w:rPr>
                <w:iCs/>
              </w:rPr>
            </w:pPr>
            <w:r w:rsidRPr="008E65F1">
              <w:rPr>
                <w:iCs/>
              </w:rPr>
              <w:t>BUR 0.2/0.4/0.6 mg/kg Q4W</w:t>
            </w:r>
            <w:r w:rsidRPr="008E65F1">
              <w:rPr>
                <w:iCs/>
                <w:vertAlign w:val="superscript"/>
              </w:rPr>
              <w:t>c</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38E1F" w14:textId="77777777" w:rsidR="00EC2D5E" w:rsidRPr="008E65F1" w:rsidRDefault="00EC2D5E">
            <w:pPr>
              <w:pStyle w:val="TableText0"/>
              <w:keepNext w:val="0"/>
              <w:jc w:val="center"/>
              <w:rPr>
                <w:iCs/>
              </w:rPr>
            </w:pPr>
            <w:r w:rsidRPr="008E65F1">
              <w:rPr>
                <w:iCs/>
              </w:rPr>
              <w:t>Age 5-12;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500392" w14:textId="77777777" w:rsidR="00EC2D5E" w:rsidRPr="008E65F1" w:rsidRDefault="00EC2D5E">
            <w:pPr>
              <w:pStyle w:val="TableText0"/>
              <w:keepNext w:val="0"/>
              <w:rPr>
                <w:iCs/>
              </w:rPr>
            </w:pPr>
            <w:r w:rsidRPr="008E65F1">
              <w:rPr>
                <w:iCs/>
              </w:rPr>
              <w:t>1°: RSS (Wk 40)</w:t>
            </w:r>
          </w:p>
          <w:p w14:paraId="4FA5B661" w14:textId="77777777" w:rsidR="00EC2D5E" w:rsidRPr="008E65F1" w:rsidRDefault="00EC2D5E">
            <w:pPr>
              <w:pStyle w:val="TableText0"/>
              <w:keepNext w:val="0"/>
              <w:rPr>
                <w:iCs/>
              </w:rPr>
            </w:pPr>
            <w:r w:rsidRPr="008E65F1">
              <w:rPr>
                <w:iCs/>
              </w:rPr>
              <w:t>2°: RGI-C, growth, 6MWT</w:t>
            </w:r>
          </w:p>
          <w:p w14:paraId="235285E0" w14:textId="77777777" w:rsidR="00EC2D5E" w:rsidRPr="008E65F1" w:rsidRDefault="00EC2D5E">
            <w:pPr>
              <w:pStyle w:val="TableText0"/>
              <w:keepNext w:val="0"/>
              <w:rPr>
                <w:iCs/>
              </w:rPr>
            </w:pPr>
            <w:r w:rsidRPr="008E65F1">
              <w:rPr>
                <w:iCs/>
              </w:rPr>
              <w:t>Other: PD, QoL,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E6A5A9" w14:textId="77777777" w:rsidR="00EC2D5E" w:rsidRPr="008E65F1" w:rsidRDefault="00EC2D5E">
            <w:pPr>
              <w:pStyle w:val="TableText0"/>
              <w:keepNext w:val="0"/>
              <w:jc w:val="center"/>
              <w:rPr>
                <w:iCs/>
              </w:rPr>
            </w:pPr>
            <w:r w:rsidRPr="008E65F1">
              <w:rPr>
                <w:iCs/>
              </w:rPr>
              <w:t>RSS</w:t>
            </w:r>
          </w:p>
        </w:tc>
      </w:tr>
      <w:tr w:rsidR="00EC2D5E" w:rsidRPr="008E65F1" w14:paraId="591FB7C4" w14:textId="77777777" w:rsidTr="00EC2D5E">
        <w:trPr>
          <w:cantSplit/>
        </w:trPr>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316DF8" w14:textId="77777777" w:rsidR="00EC2D5E" w:rsidRPr="008E65F1" w:rsidRDefault="00EC2D5E">
            <w:pPr>
              <w:pStyle w:val="TableText0"/>
              <w:keepNext w:val="0"/>
              <w:rPr>
                <w:iCs/>
              </w:rPr>
            </w:pPr>
            <w:r w:rsidRPr="008E65F1">
              <w:rPr>
                <w:iCs/>
              </w:rPr>
              <w:t>CL205</w:t>
            </w:r>
          </w:p>
        </w:tc>
        <w:tc>
          <w:tcPr>
            <w:tcW w:w="2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5493A4" w14:textId="77777777" w:rsidR="00EC2D5E" w:rsidRPr="008E65F1" w:rsidRDefault="00EC2D5E">
            <w:pPr>
              <w:pStyle w:val="TableText0"/>
              <w:keepNext w:val="0"/>
              <w:jc w:val="center"/>
              <w:rPr>
                <w:iCs/>
              </w:rPr>
            </w:pPr>
            <w:r w:rsidRPr="008E65F1">
              <w:rPr>
                <w:iCs/>
              </w:rPr>
              <w:t>13</w:t>
            </w:r>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B0DE89" w14:textId="77777777" w:rsidR="00EC2D5E" w:rsidRPr="008E65F1" w:rsidRDefault="00EC2D5E">
            <w:pPr>
              <w:pStyle w:val="TableText0"/>
              <w:keepNext w:val="0"/>
              <w:jc w:val="center"/>
              <w:rPr>
                <w:iCs/>
              </w:rPr>
            </w:pPr>
            <w:r w:rsidRPr="008E65F1">
              <w:rPr>
                <w:iCs/>
              </w:rPr>
              <w:t xml:space="preserve">MC, OL </w:t>
            </w:r>
          </w:p>
          <w:p w14:paraId="6C55ED15" w14:textId="77777777" w:rsidR="00EC2D5E" w:rsidRPr="008E65F1" w:rsidRDefault="00EC2D5E">
            <w:pPr>
              <w:pStyle w:val="TableText0"/>
              <w:keepNext w:val="0"/>
              <w:jc w:val="center"/>
              <w:rPr>
                <w:iCs/>
              </w:rPr>
            </w:pPr>
            <w:r w:rsidRPr="008E65F1">
              <w:rPr>
                <w:iCs/>
              </w:rPr>
              <w:t xml:space="preserve">64 wks </w:t>
            </w:r>
          </w:p>
          <w:p w14:paraId="37752B20" w14:textId="77777777" w:rsidR="00EC2D5E" w:rsidRPr="008E65F1" w:rsidRDefault="00EC2D5E">
            <w:pPr>
              <w:pStyle w:val="TableText0"/>
              <w:keepNext w:val="0"/>
              <w:jc w:val="center"/>
              <w:rPr>
                <w:iCs/>
              </w:rPr>
            </w:pPr>
            <w:r w:rsidRPr="008E65F1">
              <w:rPr>
                <w:iCs/>
              </w:rPr>
              <w:t>(OL extension, results up to 160 wks)</w:t>
            </w:r>
          </w:p>
        </w:tc>
        <w:tc>
          <w:tcPr>
            <w:tcW w:w="46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044511"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DA59DE" w14:textId="77777777" w:rsidR="00EC2D5E" w:rsidRPr="008E65F1" w:rsidRDefault="00EC2D5E">
            <w:pPr>
              <w:pStyle w:val="TableText0"/>
              <w:keepNext w:val="0"/>
              <w:rPr>
                <w:iCs/>
              </w:rPr>
            </w:pPr>
            <w:r w:rsidRPr="008E65F1">
              <w:rPr>
                <w:iCs/>
              </w:rPr>
              <w:t>BUR 0.8 mg/kg Q2W</w:t>
            </w:r>
            <w:r w:rsidRPr="008E65F1">
              <w:rPr>
                <w:iCs/>
                <w:vertAlign w:val="superscript"/>
              </w:rPr>
              <w:t>d</w:t>
            </w:r>
          </w:p>
        </w:tc>
        <w:tc>
          <w:tcPr>
            <w:tcW w:w="5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B6786E" w14:textId="77777777" w:rsidR="00EC2D5E" w:rsidRPr="008E65F1" w:rsidRDefault="00EC2D5E">
            <w:pPr>
              <w:pStyle w:val="TableText0"/>
              <w:keepNext w:val="0"/>
              <w:jc w:val="center"/>
              <w:rPr>
                <w:iCs/>
              </w:rPr>
            </w:pPr>
            <w:r w:rsidRPr="008E65F1">
              <w:rPr>
                <w:iCs/>
              </w:rPr>
              <w:t>Age 1-4; XLH</w:t>
            </w:r>
          </w:p>
        </w:tc>
        <w:tc>
          <w:tcPr>
            <w:tcW w:w="8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370B8D" w14:textId="77777777" w:rsidR="00EC2D5E" w:rsidRPr="008E65F1" w:rsidRDefault="00EC2D5E">
            <w:pPr>
              <w:pStyle w:val="TableText0"/>
              <w:keepNext w:val="0"/>
              <w:rPr>
                <w:iCs/>
              </w:rPr>
            </w:pPr>
            <w:r w:rsidRPr="008E65F1">
              <w:rPr>
                <w:iCs/>
              </w:rPr>
              <w:t>1°: serum phosphorus (Wk 40)</w:t>
            </w:r>
          </w:p>
          <w:p w14:paraId="37C2CFCE" w14:textId="77777777" w:rsidR="00EC2D5E" w:rsidRPr="008E65F1" w:rsidRDefault="00EC2D5E">
            <w:pPr>
              <w:pStyle w:val="TableText0"/>
              <w:keepNext w:val="0"/>
              <w:rPr>
                <w:iCs/>
              </w:rPr>
            </w:pPr>
            <w:r w:rsidRPr="008E65F1">
              <w:rPr>
                <w:iCs/>
              </w:rPr>
              <w:t>2°: RGI-C, RSS</w:t>
            </w:r>
          </w:p>
          <w:p w14:paraId="47AAD26D" w14:textId="77777777" w:rsidR="00EC2D5E" w:rsidRPr="008E65F1" w:rsidRDefault="00EC2D5E">
            <w:pPr>
              <w:pStyle w:val="TableText0"/>
              <w:keepNext w:val="0"/>
              <w:rPr>
                <w:iCs/>
              </w:rPr>
            </w:pPr>
            <w:r w:rsidRPr="008E65F1">
              <w:rPr>
                <w:iCs/>
              </w:rPr>
              <w:t>Other: PD, AEs</w:t>
            </w:r>
          </w:p>
        </w:tc>
        <w:tc>
          <w:tcPr>
            <w:tcW w:w="4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577490" w14:textId="77777777" w:rsidR="00EC2D5E" w:rsidRPr="008E65F1" w:rsidRDefault="00EC2D5E">
            <w:pPr>
              <w:pStyle w:val="TableText0"/>
              <w:keepNext w:val="0"/>
              <w:jc w:val="center"/>
              <w:rPr>
                <w:iCs/>
              </w:rPr>
            </w:pPr>
            <w:r w:rsidRPr="008E65F1">
              <w:rPr>
                <w:iCs/>
              </w:rPr>
              <w:t>RSS</w:t>
            </w:r>
          </w:p>
        </w:tc>
      </w:tr>
      <w:tr w:rsidR="00EC2D5E" w:rsidRPr="008E65F1" w14:paraId="2FBB2116" w14:textId="77777777" w:rsidTr="00EC2D5E">
        <w:trPr>
          <w:cantSplit/>
        </w:trPr>
        <w:tc>
          <w:tcPr>
            <w:tcW w:w="355" w:type="pct"/>
            <w:tcBorders>
              <w:top w:val="single" w:sz="4" w:space="0" w:color="auto"/>
              <w:left w:val="single" w:sz="4" w:space="0" w:color="auto"/>
              <w:bottom w:val="single" w:sz="4" w:space="0" w:color="auto"/>
              <w:right w:val="single" w:sz="4" w:space="0" w:color="auto"/>
            </w:tcBorders>
            <w:vAlign w:val="center"/>
            <w:hideMark/>
          </w:tcPr>
          <w:p w14:paraId="30D9B2FF" w14:textId="77777777" w:rsidR="00EC2D5E" w:rsidRPr="008E65F1" w:rsidRDefault="00EC2D5E">
            <w:pPr>
              <w:pStyle w:val="TableText0"/>
              <w:keepNext w:val="0"/>
              <w:rPr>
                <w:iCs/>
              </w:rPr>
            </w:pPr>
            <w:r w:rsidRPr="008E65F1">
              <w:rPr>
                <w:iCs/>
              </w:rPr>
              <w:t>KRN23-003</w:t>
            </w:r>
          </w:p>
        </w:tc>
        <w:tc>
          <w:tcPr>
            <w:tcW w:w="238" w:type="pct"/>
            <w:tcBorders>
              <w:top w:val="single" w:sz="4" w:space="0" w:color="auto"/>
              <w:left w:val="single" w:sz="4" w:space="0" w:color="auto"/>
              <w:bottom w:val="single" w:sz="4" w:space="0" w:color="auto"/>
              <w:right w:val="single" w:sz="4" w:space="0" w:color="auto"/>
            </w:tcBorders>
            <w:vAlign w:val="center"/>
            <w:hideMark/>
          </w:tcPr>
          <w:p w14:paraId="2AB49D7B" w14:textId="77777777" w:rsidR="00EC2D5E" w:rsidRPr="008E65F1" w:rsidRDefault="00EC2D5E">
            <w:pPr>
              <w:pStyle w:val="TableText0"/>
              <w:keepNext w:val="0"/>
              <w:jc w:val="center"/>
              <w:rPr>
                <w:iCs/>
              </w:rPr>
            </w:pPr>
            <w:r w:rsidRPr="008E65F1">
              <w:rPr>
                <w:iCs/>
              </w:rPr>
              <w:t>15</w:t>
            </w:r>
          </w:p>
        </w:tc>
        <w:tc>
          <w:tcPr>
            <w:tcW w:w="1091" w:type="pct"/>
            <w:tcBorders>
              <w:top w:val="single" w:sz="4" w:space="0" w:color="auto"/>
              <w:left w:val="single" w:sz="4" w:space="0" w:color="auto"/>
              <w:bottom w:val="single" w:sz="4" w:space="0" w:color="auto"/>
              <w:right w:val="single" w:sz="4" w:space="0" w:color="auto"/>
            </w:tcBorders>
            <w:vAlign w:val="center"/>
            <w:hideMark/>
          </w:tcPr>
          <w:p w14:paraId="6E0A3E0A" w14:textId="77777777" w:rsidR="00EC2D5E" w:rsidRPr="008E65F1" w:rsidRDefault="00EC2D5E">
            <w:pPr>
              <w:pStyle w:val="TableText0"/>
              <w:keepNext w:val="0"/>
              <w:jc w:val="center"/>
              <w:rPr>
                <w:iCs/>
              </w:rPr>
            </w:pPr>
            <w:r w:rsidRPr="008E65F1">
              <w:rPr>
                <w:iCs/>
              </w:rPr>
              <w:t>MC, OL</w:t>
            </w:r>
          </w:p>
          <w:p w14:paraId="19FAF4FB" w14:textId="77777777" w:rsidR="00EC2D5E" w:rsidRPr="008E65F1" w:rsidRDefault="00EC2D5E">
            <w:pPr>
              <w:pStyle w:val="TableText0"/>
              <w:keepNext w:val="0"/>
              <w:jc w:val="center"/>
              <w:rPr>
                <w:iCs/>
              </w:rPr>
            </w:pPr>
            <w:r w:rsidRPr="008E65F1">
              <w:rPr>
                <w:iCs/>
              </w:rPr>
              <w:t>40 wks</w:t>
            </w:r>
          </w:p>
          <w:p w14:paraId="4B94F1A9" w14:textId="77777777" w:rsidR="00EC2D5E" w:rsidRPr="008E65F1" w:rsidRDefault="00EC2D5E">
            <w:pPr>
              <w:pStyle w:val="TableText0"/>
              <w:keepNext w:val="0"/>
              <w:jc w:val="center"/>
              <w:rPr>
                <w:iCs/>
              </w:rPr>
            </w:pPr>
            <w:r w:rsidRPr="008E65F1">
              <w:rPr>
                <w:iCs/>
              </w:rPr>
              <w:t>(OL extension, results up to 124 wks)</w:t>
            </w:r>
          </w:p>
        </w:tc>
        <w:tc>
          <w:tcPr>
            <w:tcW w:w="461" w:type="pct"/>
            <w:tcBorders>
              <w:top w:val="single" w:sz="4" w:space="0" w:color="auto"/>
              <w:left w:val="single" w:sz="4" w:space="0" w:color="auto"/>
              <w:bottom w:val="single" w:sz="4" w:space="0" w:color="auto"/>
              <w:right w:val="single" w:sz="4" w:space="0" w:color="auto"/>
            </w:tcBorders>
            <w:vAlign w:val="center"/>
            <w:hideMark/>
          </w:tcPr>
          <w:p w14:paraId="2C07CE3E" w14:textId="77777777" w:rsidR="00EC2D5E" w:rsidRPr="008E65F1" w:rsidRDefault="00EC2D5E">
            <w:pPr>
              <w:pStyle w:val="TableText0"/>
              <w:keepNext w:val="0"/>
              <w:jc w:val="center"/>
              <w:rPr>
                <w:iCs/>
              </w:rPr>
            </w:pPr>
            <w:r w:rsidRPr="008E65F1">
              <w:rPr>
                <w:iCs/>
              </w:rPr>
              <w:t>Low-moderate</w:t>
            </w:r>
          </w:p>
        </w:tc>
        <w:tc>
          <w:tcPr>
            <w:tcW w:w="980" w:type="pct"/>
            <w:tcBorders>
              <w:top w:val="single" w:sz="4" w:space="0" w:color="auto"/>
              <w:left w:val="single" w:sz="4" w:space="0" w:color="auto"/>
              <w:bottom w:val="single" w:sz="4" w:space="0" w:color="auto"/>
              <w:right w:val="single" w:sz="4" w:space="0" w:color="auto"/>
            </w:tcBorders>
            <w:vAlign w:val="center"/>
            <w:hideMark/>
          </w:tcPr>
          <w:p w14:paraId="427FDEF0" w14:textId="77777777" w:rsidR="00EC2D5E" w:rsidRPr="008E65F1" w:rsidRDefault="00EC2D5E">
            <w:pPr>
              <w:pStyle w:val="TableText0"/>
              <w:keepNext w:val="0"/>
              <w:rPr>
                <w:iCs/>
              </w:rPr>
            </w:pPr>
            <w:r w:rsidRPr="008E65F1">
              <w:rPr>
                <w:iCs/>
              </w:rPr>
              <w:t>BUR 0.8 mg/kg Q2W (self-administered)</w:t>
            </w:r>
            <w:r w:rsidRPr="008E65F1">
              <w:rPr>
                <w:iCs/>
                <w:vertAlign w:val="superscript"/>
              </w:rPr>
              <w:t>f</w:t>
            </w:r>
          </w:p>
        </w:tc>
        <w:tc>
          <w:tcPr>
            <w:tcW w:w="501" w:type="pct"/>
            <w:tcBorders>
              <w:top w:val="single" w:sz="4" w:space="0" w:color="auto"/>
              <w:left w:val="single" w:sz="4" w:space="0" w:color="auto"/>
              <w:bottom w:val="single" w:sz="4" w:space="0" w:color="auto"/>
              <w:right w:val="single" w:sz="4" w:space="0" w:color="auto"/>
            </w:tcBorders>
            <w:vAlign w:val="center"/>
            <w:hideMark/>
          </w:tcPr>
          <w:p w14:paraId="3E9882CA" w14:textId="77777777" w:rsidR="00EC2D5E" w:rsidRPr="008E65F1" w:rsidRDefault="00EC2D5E">
            <w:pPr>
              <w:pStyle w:val="TableText0"/>
              <w:keepNext w:val="0"/>
              <w:jc w:val="center"/>
              <w:rPr>
                <w:iCs/>
              </w:rPr>
            </w:pPr>
            <w:r w:rsidRPr="008E65F1">
              <w:rPr>
                <w:iCs/>
              </w:rPr>
              <w:t>Age 1-12 XLH</w:t>
            </w:r>
          </w:p>
        </w:tc>
        <w:tc>
          <w:tcPr>
            <w:tcW w:w="892" w:type="pct"/>
            <w:tcBorders>
              <w:top w:val="single" w:sz="4" w:space="0" w:color="auto"/>
              <w:left w:val="single" w:sz="4" w:space="0" w:color="auto"/>
              <w:bottom w:val="single" w:sz="4" w:space="0" w:color="auto"/>
              <w:right w:val="single" w:sz="4" w:space="0" w:color="auto"/>
            </w:tcBorders>
            <w:vAlign w:val="center"/>
            <w:hideMark/>
          </w:tcPr>
          <w:p w14:paraId="7BDE64E8" w14:textId="77777777" w:rsidR="00EC2D5E" w:rsidRPr="008E65F1" w:rsidRDefault="00EC2D5E">
            <w:pPr>
              <w:pStyle w:val="TableText0"/>
              <w:keepNext w:val="0"/>
              <w:rPr>
                <w:iCs/>
              </w:rPr>
            </w:pPr>
            <w:r w:rsidRPr="008E65F1">
              <w:rPr>
                <w:iCs/>
              </w:rPr>
              <w:t>1°: AEs</w:t>
            </w:r>
          </w:p>
          <w:p w14:paraId="1DD21D35" w14:textId="77777777" w:rsidR="00EC2D5E" w:rsidRPr="008E65F1" w:rsidRDefault="00EC2D5E">
            <w:pPr>
              <w:pStyle w:val="TableText0"/>
              <w:keepNext w:val="0"/>
              <w:rPr>
                <w:iCs/>
              </w:rPr>
            </w:pPr>
            <w:r w:rsidRPr="008E65F1">
              <w:rPr>
                <w:iCs/>
              </w:rPr>
              <w:t>2°: RSS, RGI-C, 6MWT, growth</w:t>
            </w:r>
          </w:p>
        </w:tc>
        <w:tc>
          <w:tcPr>
            <w:tcW w:w="482" w:type="pct"/>
            <w:tcBorders>
              <w:top w:val="single" w:sz="4" w:space="0" w:color="auto"/>
              <w:left w:val="single" w:sz="4" w:space="0" w:color="auto"/>
              <w:bottom w:val="single" w:sz="4" w:space="0" w:color="auto"/>
              <w:right w:val="single" w:sz="4" w:space="0" w:color="auto"/>
            </w:tcBorders>
            <w:vAlign w:val="center"/>
            <w:hideMark/>
          </w:tcPr>
          <w:p w14:paraId="20B736B9" w14:textId="77777777" w:rsidR="00EC2D5E" w:rsidRPr="008E65F1" w:rsidRDefault="00EC2D5E">
            <w:pPr>
              <w:pStyle w:val="TableText0"/>
              <w:keepNext w:val="0"/>
              <w:jc w:val="center"/>
              <w:rPr>
                <w:iCs/>
              </w:rPr>
            </w:pPr>
            <w:r w:rsidRPr="008E65F1">
              <w:rPr>
                <w:iCs/>
              </w:rPr>
              <w:t>Not used</w:t>
            </w:r>
          </w:p>
        </w:tc>
      </w:tr>
    </w:tbl>
    <w:p w14:paraId="38F12694" w14:textId="77777777" w:rsidR="00EC2D5E" w:rsidRPr="009408C2" w:rsidRDefault="00EC2D5E" w:rsidP="00EC2D5E">
      <w:pPr>
        <w:pStyle w:val="TableFigureFooter"/>
        <w:spacing w:after="0"/>
        <w:rPr>
          <w:bCs/>
          <w:iCs/>
          <w:szCs w:val="18"/>
        </w:rPr>
      </w:pPr>
      <w:r w:rsidRPr="009408C2">
        <w:rPr>
          <w:rStyle w:val="CommentReference"/>
          <w:b w:val="0"/>
          <w:bCs/>
          <w:iCs/>
          <w:sz w:val="18"/>
          <w:szCs w:val="18"/>
          <w:shd w:val="clear" w:color="auto" w:fill="C6D9F1" w:themeFill="text2" w:themeFillTint="33"/>
        </w:rPr>
        <w:t>Blue shading</w:t>
      </w:r>
      <w:r w:rsidRPr="009408C2">
        <w:rPr>
          <w:rStyle w:val="CommentReference"/>
          <w:b w:val="0"/>
          <w:bCs/>
          <w:iCs/>
          <w:sz w:val="18"/>
          <w:szCs w:val="18"/>
        </w:rPr>
        <w:t xml:space="preserve"> indicates data previously seen by the PBAC. </w:t>
      </w:r>
    </w:p>
    <w:p w14:paraId="1661D096" w14:textId="62128563" w:rsidR="00EC2D5E" w:rsidRPr="008E65F1" w:rsidRDefault="00EC2D5E" w:rsidP="00EC2D5E">
      <w:pPr>
        <w:pStyle w:val="TableFigureFooter"/>
        <w:rPr>
          <w:iCs/>
        </w:rPr>
      </w:pPr>
      <w:r w:rsidRPr="008E65F1">
        <w:rPr>
          <w:iCs/>
        </w:rPr>
        <w:t xml:space="preserve">Source: Sections 2.3.1.1 to 2.3.1.4, pp46-49 of the </w:t>
      </w:r>
      <w:r w:rsidR="00C86DB7" w:rsidRPr="008E65F1">
        <w:rPr>
          <w:iCs/>
        </w:rPr>
        <w:t>re</w:t>
      </w:r>
      <w:r w:rsidRPr="008E65F1">
        <w:rPr>
          <w:iCs/>
        </w:rPr>
        <w:t>submission.</w:t>
      </w:r>
    </w:p>
    <w:p w14:paraId="418BD5A5" w14:textId="77777777" w:rsidR="00EC2D5E" w:rsidRPr="008E65F1" w:rsidRDefault="00EC2D5E" w:rsidP="00EC2D5E">
      <w:pPr>
        <w:pStyle w:val="TableFigureFooter"/>
        <w:shd w:val="clear" w:color="auto" w:fill="C6D9F1" w:themeFill="text2" w:themeFillTint="33"/>
        <w:rPr>
          <w:iCs/>
        </w:rPr>
      </w:pPr>
      <w:r w:rsidRPr="008E65F1">
        <w:rPr>
          <w:iCs/>
        </w:rPr>
        <w:lastRenderedPageBreak/>
        <w:t>AEs=adverse events; BUR=burosumab; DB=double blind; MC=multi-centre; OL=open label; PD=pharmacodynamic; R=randomised; RGI- C=Radiographic Global Impression of Change; RSS=Rickets Severity Score; XLH=X-linked hypophosphataemia; 6MWT=Six-minute Walk Test; Q2W=every 2 weeks; Q4W=every 4 weeks; wk(s)=week(s);</w:t>
      </w:r>
    </w:p>
    <w:p w14:paraId="2C8FFBE6"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a</w:t>
      </w:r>
      <w:r w:rsidRPr="008E65F1">
        <w:rPr>
          <w:iCs/>
        </w:rPr>
        <w:tab/>
        <w:t>BUR initiated at 0·8 mg/kg Q2W injected subcutaneously by a health-care professional at the study site or during a home health visit, and increased to 1·2 mg/kg Q2W if two consecutive pre-dose fasting serum phosphorus concentrations were &lt;1.03 mmol/L (3.2 mg/dL) and serum phosphorus increased by &lt;0.16 mmol/L (0·5 mg/dL) from baseline on a single measurement.</w:t>
      </w:r>
    </w:p>
    <w:p w14:paraId="2ABF820B"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b</w:t>
      </w:r>
      <w:r w:rsidRPr="008E65F1">
        <w:rPr>
          <w:iCs/>
        </w:rPr>
        <w:tab/>
        <w:t>Oral phosphate dose is 20-60 mg/kg per day divided into three to five doses per day, and alfacalcidol 40-60 ng/kg per day or calcitriol 20-30 ng/kg per day. Depending on the formulation, the active vitamin D could be given one to three times a day.</w:t>
      </w:r>
    </w:p>
    <w:p w14:paraId="0FECB185"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c</w:t>
      </w:r>
      <w:r w:rsidRPr="008E65F1">
        <w:rPr>
          <w:iCs/>
        </w:rPr>
        <w:tab/>
        <w:t>Patients were enrolled sequentially into cohorts defined by the initial dose of BUR.  Within each cohort, patients were randomized to Q2W or Q4W regimen i.e. Dose Cohort 1 received initial doses of 0.1 mg/kg Q2W or 0.2 mg/kg Q4W, Dose Cohort 2 received initial doses of 0.2 mg/kg Q2W or 0.4 mg/kg Q4W; Dose Cohort 3 received initial doses of 0.3 mg/kg Q2W or 0.6 mg/kg Q4W. During the titration period (16 week), dose was adjusted every 4 weeks in 0.3mg/kg increments to meet serum phosphorus targets.</w:t>
      </w:r>
    </w:p>
    <w:p w14:paraId="066306C6"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d</w:t>
      </w:r>
      <w:r w:rsidRPr="008E65F1">
        <w:rPr>
          <w:iCs/>
        </w:rPr>
        <w:tab/>
        <w:t>BUR initiated at 0·8 mg/kg Q2W and dose was increased to 1.2 mg/kg at any time during the study when a patient met all the dose-adjustment criteria: 2 consecutive serum phosphorus measurements below the normal range; serum phosphorus increased by &lt;0.5 mg/dL from Baseline; and the patient had not missed a dose of study drug that would have accounted for the decrease in serum phosphorus.</w:t>
      </w:r>
    </w:p>
    <w:p w14:paraId="20078A09" w14:textId="77777777" w:rsidR="00EC2D5E" w:rsidRPr="008E65F1" w:rsidRDefault="00EC2D5E" w:rsidP="00EC2D5E">
      <w:pPr>
        <w:pStyle w:val="TableFigureFooter"/>
        <w:shd w:val="clear" w:color="auto" w:fill="C6D9F1" w:themeFill="text2" w:themeFillTint="33"/>
        <w:tabs>
          <w:tab w:val="left" w:pos="142"/>
        </w:tabs>
        <w:ind w:left="140" w:hanging="140"/>
        <w:rPr>
          <w:iCs/>
        </w:rPr>
      </w:pPr>
      <w:r w:rsidRPr="008E65F1">
        <w:rPr>
          <w:iCs/>
        </w:rPr>
        <w:t>e</w:t>
      </w:r>
      <w:r w:rsidRPr="008E65F1">
        <w:rPr>
          <w:iCs/>
        </w:rPr>
        <w:tab/>
        <w:t>the resubmission reported (p46) that data are now available to a maximum of 124 weeks of treatment and follow up, however results up to only 88 weeks are presented in the submission.</w:t>
      </w:r>
    </w:p>
    <w:p w14:paraId="5C474645" w14:textId="77777777" w:rsidR="00EC2D5E" w:rsidRPr="008E65F1" w:rsidRDefault="00EC2D5E" w:rsidP="00EC2D5E">
      <w:pPr>
        <w:pStyle w:val="TableFigureFooter"/>
        <w:tabs>
          <w:tab w:val="left" w:pos="142"/>
        </w:tabs>
        <w:ind w:left="140" w:hanging="140"/>
        <w:rPr>
          <w:iCs/>
        </w:rPr>
      </w:pPr>
      <w:r w:rsidRPr="008E65F1">
        <w:rPr>
          <w:iCs/>
        </w:rPr>
        <w:t>f</w:t>
      </w:r>
      <w:r w:rsidRPr="008E65F1">
        <w:rPr>
          <w:iCs/>
        </w:rPr>
        <w:tab/>
        <w:t>BUR starting dose was 0.8 mg/kg SC Q2W, which could be increased to 1.2 mg/kg at any time during the study if a subject met specified dose-adjustment criteria. Self-administration (by patient/carer) was permitted from Week 4.</w:t>
      </w:r>
    </w:p>
    <w:p w14:paraId="355FBE74" w14:textId="6D66563D" w:rsidR="00EC2D5E" w:rsidRDefault="00EC2D5E" w:rsidP="0073079A">
      <w:pPr>
        <w:pStyle w:val="3-BodyText"/>
        <w:snapToGrid w:val="0"/>
      </w:pPr>
      <w:r>
        <w:t xml:space="preserve">Details of CL301, CL201 and CL205 were unchanged from </w:t>
      </w:r>
      <w:r w:rsidR="00E812EB">
        <w:t xml:space="preserve">the </w:t>
      </w:r>
      <w:r>
        <w:t>March 2021 submission. In KRN23-003, patients were permitted to self-administer (by patient/carer) burosumab treatment from Week 4. Treatment duration was 40 weeks but patients could continue treatment in the extended treatment period (up to Week 124).</w:t>
      </w:r>
    </w:p>
    <w:p w14:paraId="351A2582" w14:textId="77777777" w:rsidR="00EC2D5E" w:rsidRDefault="00EC2D5E" w:rsidP="00EC2D5E">
      <w:pPr>
        <w:pStyle w:val="3-BodyText"/>
        <w:numPr>
          <w:ilvl w:val="0"/>
          <w:numId w:val="0"/>
        </w:numPr>
        <w:rPr>
          <w:b/>
        </w:rPr>
      </w:pPr>
      <w:r>
        <w:rPr>
          <w:b/>
        </w:rPr>
        <w:t>Adults</w:t>
      </w:r>
    </w:p>
    <w:p w14:paraId="471DBD00" w14:textId="77777777" w:rsidR="00EC2D5E" w:rsidRDefault="00EC2D5E" w:rsidP="0073079A">
      <w:pPr>
        <w:pStyle w:val="3-BodyText"/>
        <w:snapToGrid w:val="0"/>
      </w:pPr>
      <w:r>
        <w:t>The key features of the included adult trials are summarised in Table 6.</w:t>
      </w:r>
    </w:p>
    <w:p w14:paraId="5AE87B7F" w14:textId="509F31FC" w:rsidR="00EC2D5E" w:rsidRPr="0095478A" w:rsidRDefault="00EC2D5E" w:rsidP="0095478A">
      <w:pPr>
        <w:pStyle w:val="TableFigureHeading"/>
        <w:rPr>
          <w:rStyle w:val="CommentReference"/>
          <w:b/>
          <w:bCs w:val="0"/>
          <w:iCs/>
        </w:rPr>
      </w:pPr>
      <w:r w:rsidRPr="0095478A">
        <w:rPr>
          <w:iCs/>
        </w:rPr>
        <w:lastRenderedPageBreak/>
        <w:t xml:space="preserve">Table </w:t>
      </w:r>
      <w:r w:rsidRPr="0095478A">
        <w:rPr>
          <w:iCs/>
        </w:rPr>
        <w:fldChar w:fldCharType="begin"/>
      </w:r>
      <w:r w:rsidRPr="0095478A">
        <w:rPr>
          <w:iCs/>
        </w:rPr>
        <w:instrText xml:space="preserve"> SEQ Table \* ARABIC </w:instrText>
      </w:r>
      <w:r w:rsidRPr="0095478A">
        <w:rPr>
          <w:iCs/>
        </w:rPr>
        <w:fldChar w:fldCharType="separate"/>
      </w:r>
      <w:r w:rsidR="00676539">
        <w:rPr>
          <w:iCs/>
          <w:noProof/>
        </w:rPr>
        <w:t>6</w:t>
      </w:r>
      <w:r w:rsidRPr="0095478A">
        <w:rPr>
          <w:iCs/>
        </w:rPr>
        <w:fldChar w:fldCharType="end"/>
      </w:r>
      <w:r w:rsidRPr="0095478A">
        <w:rPr>
          <w:iCs/>
        </w:rPr>
        <w:t xml:space="preserve">: </w:t>
      </w:r>
      <w:r w:rsidRPr="0095478A">
        <w:rPr>
          <w:rStyle w:val="CommentReference"/>
          <w:b/>
          <w:bCs w:val="0"/>
          <w:iCs/>
        </w:rPr>
        <w:t>Key features of the included evidence for adults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for adults"/>
      </w:tblPr>
      <w:tblGrid>
        <w:gridCol w:w="681"/>
        <w:gridCol w:w="330"/>
        <w:gridCol w:w="1940"/>
        <w:gridCol w:w="749"/>
        <w:gridCol w:w="1937"/>
        <w:gridCol w:w="904"/>
        <w:gridCol w:w="1607"/>
        <w:gridCol w:w="869"/>
      </w:tblGrid>
      <w:tr w:rsidR="00EC2D5E" w:rsidRPr="008E65F1" w14:paraId="1C1C0D41" w14:textId="77777777" w:rsidTr="00EC2D5E">
        <w:trPr>
          <w:cantSplit/>
          <w:tblHeader/>
        </w:trPr>
        <w:tc>
          <w:tcPr>
            <w:tcW w:w="378" w:type="pct"/>
            <w:tcBorders>
              <w:top w:val="single" w:sz="4" w:space="0" w:color="auto"/>
              <w:left w:val="single" w:sz="4" w:space="0" w:color="auto"/>
              <w:bottom w:val="single" w:sz="4" w:space="0" w:color="auto"/>
              <w:right w:val="single" w:sz="4" w:space="0" w:color="auto"/>
            </w:tcBorders>
            <w:vAlign w:val="center"/>
            <w:hideMark/>
          </w:tcPr>
          <w:p w14:paraId="23D69074" w14:textId="77777777" w:rsidR="00EC2D5E" w:rsidRPr="008E65F1" w:rsidRDefault="00EC2D5E" w:rsidP="0095478A">
            <w:pPr>
              <w:pStyle w:val="In-tableHeading"/>
              <w:rPr>
                <w:iCs/>
                <w:lang w:val="en-AU"/>
              </w:rPr>
            </w:pPr>
            <w:r w:rsidRPr="008E65F1">
              <w:rPr>
                <w:iCs/>
                <w:lang w:val="en-AU"/>
              </w:rPr>
              <w:t>Trial</w:t>
            </w:r>
          </w:p>
        </w:tc>
        <w:tc>
          <w:tcPr>
            <w:tcW w:w="183" w:type="pct"/>
            <w:tcBorders>
              <w:top w:val="single" w:sz="4" w:space="0" w:color="auto"/>
              <w:left w:val="single" w:sz="4" w:space="0" w:color="auto"/>
              <w:bottom w:val="single" w:sz="4" w:space="0" w:color="auto"/>
              <w:right w:val="single" w:sz="4" w:space="0" w:color="auto"/>
            </w:tcBorders>
            <w:vAlign w:val="center"/>
            <w:hideMark/>
          </w:tcPr>
          <w:p w14:paraId="79707965" w14:textId="77777777" w:rsidR="00EC2D5E" w:rsidRPr="008E65F1" w:rsidRDefault="00EC2D5E" w:rsidP="0095478A">
            <w:pPr>
              <w:pStyle w:val="In-tableHeading"/>
              <w:jc w:val="center"/>
              <w:rPr>
                <w:iCs/>
                <w:lang w:val="en-AU"/>
              </w:rPr>
            </w:pPr>
            <w:r w:rsidRPr="008E65F1">
              <w:rPr>
                <w:iCs/>
                <w:lang w:val="en-AU"/>
              </w:rPr>
              <w:t>N</w:t>
            </w:r>
          </w:p>
        </w:tc>
        <w:tc>
          <w:tcPr>
            <w:tcW w:w="1076" w:type="pct"/>
            <w:tcBorders>
              <w:top w:val="single" w:sz="4" w:space="0" w:color="auto"/>
              <w:left w:val="single" w:sz="4" w:space="0" w:color="auto"/>
              <w:bottom w:val="single" w:sz="4" w:space="0" w:color="auto"/>
              <w:right w:val="single" w:sz="4" w:space="0" w:color="auto"/>
            </w:tcBorders>
            <w:vAlign w:val="center"/>
            <w:hideMark/>
          </w:tcPr>
          <w:p w14:paraId="6AEE0DED" w14:textId="77777777" w:rsidR="00EC2D5E" w:rsidRPr="008E65F1" w:rsidRDefault="00EC2D5E" w:rsidP="0095478A">
            <w:pPr>
              <w:pStyle w:val="In-tableHeading"/>
              <w:jc w:val="center"/>
              <w:rPr>
                <w:iCs/>
                <w:lang w:val="en-AU"/>
              </w:rPr>
            </w:pPr>
            <w:r w:rsidRPr="008E65F1">
              <w:rPr>
                <w:iCs/>
                <w:lang w:val="en-AU"/>
              </w:rPr>
              <w:t>Design/ duration</w:t>
            </w:r>
          </w:p>
        </w:tc>
        <w:tc>
          <w:tcPr>
            <w:tcW w:w="415" w:type="pct"/>
            <w:tcBorders>
              <w:top w:val="single" w:sz="4" w:space="0" w:color="auto"/>
              <w:left w:val="single" w:sz="4" w:space="0" w:color="auto"/>
              <w:bottom w:val="single" w:sz="4" w:space="0" w:color="auto"/>
              <w:right w:val="single" w:sz="4" w:space="0" w:color="auto"/>
            </w:tcBorders>
            <w:vAlign w:val="center"/>
            <w:hideMark/>
          </w:tcPr>
          <w:p w14:paraId="49992F37" w14:textId="77777777" w:rsidR="00EC2D5E" w:rsidRPr="008E65F1" w:rsidRDefault="00EC2D5E" w:rsidP="0095478A">
            <w:pPr>
              <w:pStyle w:val="In-tableHeading"/>
              <w:jc w:val="center"/>
              <w:rPr>
                <w:iCs/>
                <w:lang w:val="en-AU"/>
              </w:rPr>
            </w:pPr>
            <w:r w:rsidRPr="008E65F1">
              <w:rPr>
                <w:iCs/>
                <w:lang w:val="en-AU"/>
              </w:rPr>
              <w:t>Bias</w:t>
            </w:r>
          </w:p>
        </w:tc>
        <w:tc>
          <w:tcPr>
            <w:tcW w:w="1074" w:type="pct"/>
            <w:tcBorders>
              <w:top w:val="single" w:sz="4" w:space="0" w:color="auto"/>
              <w:left w:val="single" w:sz="4" w:space="0" w:color="auto"/>
              <w:bottom w:val="single" w:sz="4" w:space="0" w:color="auto"/>
              <w:right w:val="single" w:sz="4" w:space="0" w:color="auto"/>
            </w:tcBorders>
            <w:vAlign w:val="center"/>
            <w:hideMark/>
          </w:tcPr>
          <w:p w14:paraId="14B51D09" w14:textId="77777777" w:rsidR="00EC2D5E" w:rsidRPr="008E65F1" w:rsidRDefault="00EC2D5E" w:rsidP="0095478A">
            <w:pPr>
              <w:pStyle w:val="In-tableHeading"/>
              <w:jc w:val="center"/>
              <w:rPr>
                <w:iCs/>
                <w:lang w:val="en-AU"/>
              </w:rPr>
            </w:pPr>
            <w:r w:rsidRPr="008E65F1">
              <w:rPr>
                <w:iCs/>
                <w:lang w:val="en-AU"/>
              </w:rPr>
              <w:t>Treatment arms</w:t>
            </w:r>
          </w:p>
        </w:tc>
        <w:tc>
          <w:tcPr>
            <w:tcW w:w="501" w:type="pct"/>
            <w:tcBorders>
              <w:top w:val="single" w:sz="4" w:space="0" w:color="auto"/>
              <w:left w:val="single" w:sz="4" w:space="0" w:color="auto"/>
              <w:bottom w:val="single" w:sz="4" w:space="0" w:color="auto"/>
              <w:right w:val="single" w:sz="4" w:space="0" w:color="auto"/>
            </w:tcBorders>
            <w:vAlign w:val="center"/>
            <w:hideMark/>
          </w:tcPr>
          <w:p w14:paraId="0327A3C3" w14:textId="77777777" w:rsidR="00EC2D5E" w:rsidRPr="008E65F1" w:rsidRDefault="00EC2D5E" w:rsidP="0095478A">
            <w:pPr>
              <w:pStyle w:val="In-tableHeading"/>
              <w:jc w:val="center"/>
              <w:rPr>
                <w:iCs/>
                <w:lang w:val="en-AU"/>
              </w:rPr>
            </w:pPr>
            <w:r w:rsidRPr="008E65F1">
              <w:rPr>
                <w:iCs/>
                <w:lang w:val="en-AU"/>
              </w:rPr>
              <w:t>Population</w:t>
            </w:r>
          </w:p>
        </w:tc>
        <w:tc>
          <w:tcPr>
            <w:tcW w:w="891" w:type="pct"/>
            <w:tcBorders>
              <w:top w:val="single" w:sz="4" w:space="0" w:color="auto"/>
              <w:left w:val="single" w:sz="4" w:space="0" w:color="auto"/>
              <w:bottom w:val="single" w:sz="4" w:space="0" w:color="auto"/>
              <w:right w:val="single" w:sz="4" w:space="0" w:color="auto"/>
            </w:tcBorders>
            <w:vAlign w:val="center"/>
            <w:hideMark/>
          </w:tcPr>
          <w:p w14:paraId="22C219E0" w14:textId="3E2DBB46" w:rsidR="00EC2D5E" w:rsidRPr="008E65F1" w:rsidRDefault="00EC2D5E" w:rsidP="0095478A">
            <w:pPr>
              <w:pStyle w:val="In-tableHeading"/>
              <w:jc w:val="center"/>
              <w:rPr>
                <w:iCs/>
                <w:lang w:val="en-AU"/>
              </w:rPr>
            </w:pPr>
            <w:r w:rsidRPr="008E65F1">
              <w:rPr>
                <w:iCs/>
                <w:lang w:val="en-AU"/>
              </w:rPr>
              <w:t>Outcomes</w:t>
            </w:r>
          </w:p>
        </w:tc>
        <w:tc>
          <w:tcPr>
            <w:tcW w:w="481" w:type="pct"/>
            <w:tcBorders>
              <w:top w:val="single" w:sz="4" w:space="0" w:color="auto"/>
              <w:left w:val="single" w:sz="4" w:space="0" w:color="auto"/>
              <w:bottom w:val="single" w:sz="4" w:space="0" w:color="auto"/>
              <w:right w:val="single" w:sz="4" w:space="0" w:color="auto"/>
            </w:tcBorders>
            <w:vAlign w:val="center"/>
            <w:hideMark/>
          </w:tcPr>
          <w:p w14:paraId="0B677C66" w14:textId="77777777" w:rsidR="00EC2D5E" w:rsidRPr="008E65F1" w:rsidRDefault="00EC2D5E" w:rsidP="0095478A">
            <w:pPr>
              <w:pStyle w:val="In-tableHeading"/>
              <w:jc w:val="center"/>
              <w:rPr>
                <w:iCs/>
                <w:lang w:val="en-AU"/>
              </w:rPr>
            </w:pPr>
            <w:r w:rsidRPr="008E65F1">
              <w:rPr>
                <w:iCs/>
                <w:lang w:val="en-AU"/>
              </w:rPr>
              <w:t>Modelled evaluation</w:t>
            </w:r>
          </w:p>
        </w:tc>
      </w:tr>
      <w:tr w:rsidR="00EC2D5E" w:rsidRPr="008E65F1" w14:paraId="42EFB6C4"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B3532ED" w14:textId="77777777" w:rsidR="00EC2D5E" w:rsidRPr="008E65F1" w:rsidRDefault="00EC2D5E" w:rsidP="0095478A">
            <w:pPr>
              <w:pStyle w:val="In-tableHeading"/>
              <w:rPr>
                <w:iCs/>
                <w:lang w:val="en-AU"/>
              </w:rPr>
            </w:pPr>
            <w:r w:rsidRPr="008E65F1">
              <w:rPr>
                <w:iCs/>
                <w:lang w:val="en-AU"/>
              </w:rPr>
              <w:t>BUR vs placebo</w:t>
            </w:r>
          </w:p>
        </w:tc>
      </w:tr>
      <w:tr w:rsidR="00EC2D5E" w:rsidRPr="008E65F1" w14:paraId="74CEF8A5"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01436309" w14:textId="77777777" w:rsidR="00EC2D5E" w:rsidRPr="008E65F1" w:rsidRDefault="00EC2D5E" w:rsidP="0095478A">
            <w:pPr>
              <w:pStyle w:val="TableText0"/>
              <w:rPr>
                <w:iCs/>
              </w:rPr>
            </w:pPr>
            <w:r w:rsidRPr="008E65F1">
              <w:rPr>
                <w:iCs/>
              </w:rPr>
              <w:t>CL303</w:t>
            </w:r>
          </w:p>
        </w:tc>
        <w:tc>
          <w:tcPr>
            <w:tcW w:w="183" w:type="pct"/>
            <w:tcBorders>
              <w:top w:val="single" w:sz="4" w:space="0" w:color="auto"/>
              <w:left w:val="single" w:sz="4" w:space="0" w:color="auto"/>
              <w:bottom w:val="single" w:sz="4" w:space="0" w:color="auto"/>
              <w:right w:val="single" w:sz="4" w:space="0" w:color="auto"/>
            </w:tcBorders>
            <w:vAlign w:val="center"/>
            <w:hideMark/>
          </w:tcPr>
          <w:p w14:paraId="113AFDFB" w14:textId="77777777" w:rsidR="00EC2D5E" w:rsidRPr="008E65F1" w:rsidRDefault="00EC2D5E" w:rsidP="0095478A">
            <w:pPr>
              <w:pStyle w:val="TableText0"/>
              <w:jc w:val="center"/>
              <w:rPr>
                <w:iCs/>
              </w:rPr>
            </w:pPr>
            <w:r w:rsidRPr="008E65F1">
              <w:rPr>
                <w:iCs/>
              </w:rPr>
              <w:t>134</w:t>
            </w:r>
          </w:p>
        </w:tc>
        <w:tc>
          <w:tcPr>
            <w:tcW w:w="1076" w:type="pct"/>
            <w:tcBorders>
              <w:top w:val="single" w:sz="4" w:space="0" w:color="auto"/>
              <w:left w:val="single" w:sz="4" w:space="0" w:color="auto"/>
              <w:bottom w:val="single" w:sz="4" w:space="0" w:color="auto"/>
              <w:right w:val="single" w:sz="4" w:space="0" w:color="auto"/>
            </w:tcBorders>
            <w:vAlign w:val="center"/>
            <w:hideMark/>
          </w:tcPr>
          <w:p w14:paraId="1F2E3205" w14:textId="77777777" w:rsidR="00EC2D5E" w:rsidRPr="008E65F1" w:rsidRDefault="00EC2D5E" w:rsidP="0095478A">
            <w:pPr>
              <w:pStyle w:val="TableText0"/>
              <w:jc w:val="center"/>
              <w:rPr>
                <w:iCs/>
              </w:rPr>
            </w:pPr>
            <w:r w:rsidRPr="008E65F1">
              <w:rPr>
                <w:iCs/>
              </w:rPr>
              <w:t xml:space="preserve">R, MC, DB, PC </w:t>
            </w:r>
          </w:p>
          <w:p w14:paraId="4A41B2C2" w14:textId="77777777" w:rsidR="00EC2D5E" w:rsidRPr="008E65F1" w:rsidRDefault="00EC2D5E" w:rsidP="0095478A">
            <w:pPr>
              <w:pStyle w:val="TableText0"/>
              <w:jc w:val="center"/>
              <w:rPr>
                <w:iCs/>
              </w:rPr>
            </w:pPr>
            <w:r w:rsidRPr="008E65F1">
              <w:rPr>
                <w:iCs/>
              </w:rPr>
              <w:t>24 wks</w:t>
            </w:r>
          </w:p>
          <w:p w14:paraId="5573A2DD" w14:textId="77777777" w:rsidR="00EC2D5E" w:rsidRPr="008E65F1" w:rsidRDefault="00EC2D5E" w:rsidP="0095478A">
            <w:pPr>
              <w:pStyle w:val="TableText0"/>
              <w:jc w:val="center"/>
              <w:rPr>
                <w:iCs/>
              </w:rPr>
            </w:pPr>
            <w:r w:rsidRPr="008E65F1">
              <w:rPr>
                <w:iCs/>
              </w:rPr>
              <w:t>(OL extension ≤125 wks)</w:t>
            </w:r>
            <w:r w:rsidRPr="008E65F1">
              <w:rPr>
                <w:iCs/>
                <w:vertAlign w:val="superscript"/>
              </w:rPr>
              <w:t>a</w:t>
            </w:r>
          </w:p>
        </w:tc>
        <w:tc>
          <w:tcPr>
            <w:tcW w:w="415" w:type="pct"/>
            <w:tcBorders>
              <w:top w:val="single" w:sz="4" w:space="0" w:color="auto"/>
              <w:left w:val="single" w:sz="4" w:space="0" w:color="auto"/>
              <w:bottom w:val="single" w:sz="4" w:space="0" w:color="auto"/>
              <w:right w:val="single" w:sz="4" w:space="0" w:color="auto"/>
            </w:tcBorders>
            <w:vAlign w:val="center"/>
            <w:hideMark/>
          </w:tcPr>
          <w:p w14:paraId="503BED79" w14:textId="77777777" w:rsidR="00EC2D5E" w:rsidRPr="008E65F1" w:rsidRDefault="00EC2D5E" w:rsidP="0095478A">
            <w:pPr>
              <w:pStyle w:val="TableText0"/>
              <w:jc w:val="center"/>
              <w:rPr>
                <w:iCs/>
              </w:rPr>
            </w:pPr>
            <w:r w:rsidRPr="008E65F1">
              <w:rPr>
                <w:iCs/>
              </w:rPr>
              <w:t>Low-moderate</w:t>
            </w:r>
          </w:p>
        </w:tc>
        <w:tc>
          <w:tcPr>
            <w:tcW w:w="1074" w:type="pct"/>
            <w:tcBorders>
              <w:top w:val="single" w:sz="4" w:space="0" w:color="auto"/>
              <w:left w:val="single" w:sz="4" w:space="0" w:color="auto"/>
              <w:bottom w:val="single" w:sz="4" w:space="0" w:color="auto"/>
              <w:right w:val="single" w:sz="4" w:space="0" w:color="auto"/>
            </w:tcBorders>
            <w:vAlign w:val="center"/>
            <w:hideMark/>
          </w:tcPr>
          <w:p w14:paraId="26121818" w14:textId="77777777" w:rsidR="00EC2D5E" w:rsidRPr="008E65F1" w:rsidRDefault="00EC2D5E" w:rsidP="0095478A">
            <w:pPr>
              <w:pStyle w:val="TableText0"/>
              <w:rPr>
                <w:iCs/>
              </w:rPr>
            </w:pPr>
            <w:r w:rsidRPr="008E65F1">
              <w:rPr>
                <w:iCs/>
              </w:rPr>
              <w:t>BUR 1 mg/kg SC Q4W</w:t>
            </w:r>
          </w:p>
          <w:p w14:paraId="1F332218" w14:textId="77777777" w:rsidR="00EC2D5E" w:rsidRPr="008E65F1" w:rsidRDefault="00EC2D5E" w:rsidP="0095478A">
            <w:pPr>
              <w:pStyle w:val="TableText0"/>
              <w:rPr>
                <w:iCs/>
              </w:rPr>
            </w:pPr>
            <w:r w:rsidRPr="008E65F1">
              <w:rPr>
                <w:iCs/>
              </w:rPr>
              <w:t>PBO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07AFB03D" w14:textId="77777777" w:rsidR="00EC2D5E" w:rsidRPr="008E65F1" w:rsidRDefault="00EC2D5E" w:rsidP="0095478A">
            <w:pPr>
              <w:pStyle w:val="TableText0"/>
              <w:jc w:val="center"/>
              <w:rPr>
                <w:iCs/>
              </w:rPr>
            </w:pPr>
            <w:r w:rsidRPr="008E65F1">
              <w:rPr>
                <w:iCs/>
              </w:rPr>
              <w:t>Age 18-65;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7A08CC81" w14:textId="77777777" w:rsidR="00EC2D5E" w:rsidRPr="008E65F1" w:rsidRDefault="00EC2D5E" w:rsidP="0095478A">
            <w:pPr>
              <w:pStyle w:val="TableText0"/>
              <w:rPr>
                <w:iCs/>
              </w:rPr>
            </w:pPr>
            <w:r w:rsidRPr="008E65F1">
              <w:rPr>
                <w:iCs/>
              </w:rPr>
              <w:t>1°: serum phosphorus</w:t>
            </w:r>
            <w:r w:rsidRPr="008E65F1">
              <w:rPr>
                <w:iCs/>
                <w:vertAlign w:val="superscript"/>
              </w:rPr>
              <w:t xml:space="preserve">b </w:t>
            </w:r>
            <w:r w:rsidRPr="008E65F1">
              <w:rPr>
                <w:iCs/>
              </w:rPr>
              <w:t>(Wk 24)</w:t>
            </w:r>
          </w:p>
          <w:p w14:paraId="3E9A617B" w14:textId="77777777" w:rsidR="00EC2D5E" w:rsidRPr="008E65F1" w:rsidRDefault="00EC2D5E" w:rsidP="0095478A">
            <w:pPr>
              <w:pStyle w:val="TableText0"/>
              <w:rPr>
                <w:iCs/>
              </w:rPr>
            </w:pPr>
            <w:r w:rsidRPr="008E65F1">
              <w:rPr>
                <w:iCs/>
              </w:rPr>
              <w:t>2°: BPI, WOMAC</w:t>
            </w:r>
          </w:p>
          <w:p w14:paraId="439A85D3" w14:textId="77777777" w:rsidR="00EC2D5E" w:rsidRPr="008E65F1" w:rsidRDefault="00EC2D5E" w:rsidP="0095478A">
            <w:pPr>
              <w:pStyle w:val="TableText0"/>
              <w:rPr>
                <w:iCs/>
              </w:rPr>
            </w:pPr>
            <w:r w:rsidRPr="008E65F1">
              <w:rPr>
                <w:iCs/>
              </w:rPr>
              <w:t>Other: PD, fractures, 6MWT, TUG</w:t>
            </w:r>
          </w:p>
        </w:tc>
        <w:tc>
          <w:tcPr>
            <w:tcW w:w="481" w:type="pct"/>
            <w:tcBorders>
              <w:top w:val="single" w:sz="4" w:space="0" w:color="auto"/>
              <w:left w:val="single" w:sz="4" w:space="0" w:color="auto"/>
              <w:bottom w:val="single" w:sz="4" w:space="0" w:color="auto"/>
              <w:right w:val="single" w:sz="4" w:space="0" w:color="auto"/>
            </w:tcBorders>
            <w:vAlign w:val="center"/>
            <w:hideMark/>
          </w:tcPr>
          <w:p w14:paraId="1A0CB6D6" w14:textId="77777777" w:rsidR="00EC2D5E" w:rsidRPr="008E65F1" w:rsidRDefault="00EC2D5E" w:rsidP="0095478A">
            <w:pPr>
              <w:pStyle w:val="TableText0"/>
              <w:jc w:val="center"/>
              <w:rPr>
                <w:iCs/>
              </w:rPr>
            </w:pPr>
            <w:r w:rsidRPr="008E65F1">
              <w:rPr>
                <w:iCs/>
              </w:rPr>
              <w:t>WOMAC, fractures</w:t>
            </w:r>
          </w:p>
        </w:tc>
      </w:tr>
      <w:tr w:rsidR="00EC2D5E" w:rsidRPr="008E65F1" w14:paraId="1B779893" w14:textId="77777777" w:rsidTr="00EC2D5E">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325C807" w14:textId="77777777" w:rsidR="00EC2D5E" w:rsidRPr="008E65F1" w:rsidRDefault="00EC2D5E" w:rsidP="0095478A">
            <w:pPr>
              <w:pStyle w:val="TableText0"/>
              <w:rPr>
                <w:b/>
                <w:iCs/>
              </w:rPr>
            </w:pPr>
            <w:r w:rsidRPr="008E65F1">
              <w:rPr>
                <w:b/>
                <w:iCs/>
              </w:rPr>
              <w:t>Supportive studies</w:t>
            </w:r>
          </w:p>
        </w:tc>
      </w:tr>
      <w:tr w:rsidR="00EC2D5E" w:rsidRPr="008E65F1" w14:paraId="6127626C"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562505AF" w14:textId="77777777" w:rsidR="00EC2D5E" w:rsidRPr="008E65F1" w:rsidRDefault="00EC2D5E" w:rsidP="0095478A">
            <w:pPr>
              <w:pStyle w:val="TableText0"/>
              <w:rPr>
                <w:iCs/>
              </w:rPr>
            </w:pPr>
            <w:r w:rsidRPr="008E65F1">
              <w:rPr>
                <w:iCs/>
              </w:rPr>
              <w:t>BUR02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6557F2F3" w14:textId="77777777" w:rsidR="00EC2D5E" w:rsidRPr="008E65F1" w:rsidRDefault="00EC2D5E" w:rsidP="0095478A">
            <w:pPr>
              <w:pStyle w:val="TableText0"/>
              <w:jc w:val="center"/>
              <w:rPr>
                <w:iCs/>
              </w:rPr>
            </w:pPr>
            <w:r w:rsidRPr="008E65F1">
              <w:rPr>
                <w:iCs/>
              </w:rPr>
              <w:t>31</w:t>
            </w:r>
            <w:r w:rsidRPr="008E65F1">
              <w:rPr>
                <w:iCs/>
                <w:vertAlign w:val="superscript"/>
              </w:rPr>
              <w:t>c</w:t>
            </w:r>
          </w:p>
        </w:tc>
        <w:tc>
          <w:tcPr>
            <w:tcW w:w="1076" w:type="pct"/>
            <w:tcBorders>
              <w:top w:val="single" w:sz="4" w:space="0" w:color="auto"/>
              <w:left w:val="single" w:sz="4" w:space="0" w:color="auto"/>
              <w:bottom w:val="single" w:sz="4" w:space="0" w:color="auto"/>
              <w:right w:val="single" w:sz="4" w:space="0" w:color="auto"/>
            </w:tcBorders>
            <w:vAlign w:val="center"/>
            <w:hideMark/>
          </w:tcPr>
          <w:p w14:paraId="7A102F16" w14:textId="77777777" w:rsidR="00EC2D5E" w:rsidRPr="008E65F1" w:rsidRDefault="00EC2D5E" w:rsidP="0095478A">
            <w:pPr>
              <w:pStyle w:val="TableText0"/>
              <w:jc w:val="center"/>
              <w:rPr>
                <w:iCs/>
              </w:rPr>
            </w:pPr>
            <w:r w:rsidRPr="008E65F1">
              <w:rPr>
                <w:iCs/>
              </w:rPr>
              <w:t>OL extension 48 wks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9EB64E3"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368A4915" w14:textId="77777777" w:rsidR="00EC2D5E" w:rsidRPr="008E65F1" w:rsidRDefault="00EC2D5E" w:rsidP="0095478A">
            <w:pPr>
              <w:pStyle w:val="TableText0"/>
              <w:rPr>
                <w:iCs/>
              </w:rPr>
            </w:pPr>
            <w:r w:rsidRPr="008E65F1">
              <w:rPr>
                <w:iCs/>
              </w:rPr>
              <w:t>BUR 1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722284B1" w14:textId="77777777" w:rsidR="00EC2D5E" w:rsidRPr="008E65F1" w:rsidRDefault="00EC2D5E" w:rsidP="0095478A">
            <w:pPr>
              <w:pStyle w:val="TableText0"/>
              <w:jc w:val="center"/>
              <w:rPr>
                <w:iCs/>
              </w:rPr>
            </w:pPr>
            <w:r w:rsidRPr="008E65F1">
              <w:rPr>
                <w:iCs/>
              </w:rPr>
              <w:t>Age 18-65;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14960E1" w14:textId="77777777" w:rsidR="00EC2D5E" w:rsidRPr="008E65F1" w:rsidRDefault="00EC2D5E" w:rsidP="0095478A">
            <w:pPr>
              <w:pStyle w:val="TableText0"/>
              <w:rPr>
                <w:iCs/>
              </w:rPr>
            </w:pPr>
            <w:r w:rsidRPr="008E65F1">
              <w:rPr>
                <w:iCs/>
              </w:rPr>
              <w:t>Serum phosphorus</w:t>
            </w:r>
            <w:r w:rsidRPr="008E65F1">
              <w:rPr>
                <w:iCs/>
                <w:vertAlign w:val="superscript"/>
              </w:rPr>
              <w:t>d</w:t>
            </w:r>
            <w:r w:rsidRPr="008E65F1">
              <w:rPr>
                <w:iCs/>
              </w:rPr>
              <w:t>, PRO (WOMAC, BPI), 6MWT, TUG</w:t>
            </w:r>
          </w:p>
        </w:tc>
        <w:tc>
          <w:tcPr>
            <w:tcW w:w="481" w:type="pct"/>
            <w:tcBorders>
              <w:top w:val="single" w:sz="4" w:space="0" w:color="auto"/>
              <w:left w:val="single" w:sz="4" w:space="0" w:color="auto"/>
              <w:bottom w:val="single" w:sz="4" w:space="0" w:color="auto"/>
              <w:right w:val="single" w:sz="4" w:space="0" w:color="auto"/>
            </w:tcBorders>
            <w:vAlign w:val="center"/>
            <w:hideMark/>
          </w:tcPr>
          <w:p w14:paraId="671664D6" w14:textId="77777777" w:rsidR="00EC2D5E" w:rsidRPr="008E65F1" w:rsidRDefault="00EC2D5E" w:rsidP="0095478A">
            <w:pPr>
              <w:pStyle w:val="TableText0"/>
              <w:jc w:val="center"/>
              <w:rPr>
                <w:iCs/>
              </w:rPr>
            </w:pPr>
            <w:r w:rsidRPr="008E65F1">
              <w:rPr>
                <w:iCs/>
              </w:rPr>
              <w:t>Not used</w:t>
            </w:r>
          </w:p>
        </w:tc>
      </w:tr>
      <w:tr w:rsidR="00EC2D5E" w:rsidRPr="008E65F1" w14:paraId="50D4C0F4"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3EF7ACAA" w14:textId="77777777" w:rsidR="00EC2D5E" w:rsidRPr="008E65F1" w:rsidRDefault="00EC2D5E" w:rsidP="0095478A">
            <w:pPr>
              <w:pStyle w:val="TableText0"/>
              <w:rPr>
                <w:iCs/>
              </w:rPr>
            </w:pPr>
            <w:r w:rsidRPr="008E65F1">
              <w:rPr>
                <w:iCs/>
              </w:rPr>
              <w:t>CL304</w:t>
            </w:r>
          </w:p>
        </w:tc>
        <w:tc>
          <w:tcPr>
            <w:tcW w:w="183" w:type="pct"/>
            <w:tcBorders>
              <w:top w:val="single" w:sz="4" w:space="0" w:color="auto"/>
              <w:left w:val="single" w:sz="4" w:space="0" w:color="auto"/>
              <w:bottom w:val="single" w:sz="4" w:space="0" w:color="auto"/>
              <w:right w:val="single" w:sz="4" w:space="0" w:color="auto"/>
            </w:tcBorders>
            <w:vAlign w:val="center"/>
            <w:hideMark/>
          </w:tcPr>
          <w:p w14:paraId="3EA7D105" w14:textId="77777777" w:rsidR="00EC2D5E" w:rsidRPr="008E65F1" w:rsidRDefault="00EC2D5E" w:rsidP="0095478A">
            <w:pPr>
              <w:pStyle w:val="TableText0"/>
              <w:jc w:val="center"/>
              <w:rPr>
                <w:iCs/>
              </w:rPr>
            </w:pPr>
            <w:r w:rsidRPr="008E65F1">
              <w:rPr>
                <w:iCs/>
              </w:rPr>
              <w:t>14</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70A8FCC" w14:textId="77777777" w:rsidR="00EC2D5E" w:rsidRPr="008E65F1" w:rsidRDefault="00EC2D5E" w:rsidP="0095478A">
            <w:pPr>
              <w:pStyle w:val="TableText0"/>
              <w:jc w:val="center"/>
              <w:rPr>
                <w:iCs/>
              </w:rPr>
            </w:pPr>
            <w:r w:rsidRPr="008E65F1">
              <w:rPr>
                <w:iCs/>
              </w:rPr>
              <w:t xml:space="preserve">MC, OL </w:t>
            </w:r>
          </w:p>
          <w:p w14:paraId="7B3B5CEC" w14:textId="77777777" w:rsidR="00EC2D5E" w:rsidRPr="008E65F1" w:rsidRDefault="00EC2D5E" w:rsidP="0095478A">
            <w:pPr>
              <w:pStyle w:val="TableText0"/>
              <w:jc w:val="center"/>
              <w:rPr>
                <w:iCs/>
              </w:rPr>
            </w:pPr>
            <w:r w:rsidRPr="008E65F1">
              <w:rPr>
                <w:iCs/>
              </w:rPr>
              <w:t>48 wks</w:t>
            </w:r>
          </w:p>
          <w:p w14:paraId="2F68C571" w14:textId="77777777" w:rsidR="00EC2D5E" w:rsidRPr="008E65F1" w:rsidRDefault="00EC2D5E" w:rsidP="0095478A">
            <w:pPr>
              <w:pStyle w:val="TableText0"/>
              <w:jc w:val="center"/>
              <w:rPr>
                <w:iCs/>
              </w:rPr>
            </w:pPr>
            <w:r w:rsidRPr="008E65F1">
              <w:rPr>
                <w:iCs/>
              </w:rPr>
              <w:t>(OL extension, results up to 96 wks)</w:t>
            </w:r>
            <w:r w:rsidRPr="008E65F1">
              <w:rPr>
                <w:iCs/>
                <w:vertAlign w:val="superscript"/>
              </w:rPr>
              <w:t>e</w:t>
            </w:r>
          </w:p>
        </w:tc>
        <w:tc>
          <w:tcPr>
            <w:tcW w:w="415" w:type="pct"/>
            <w:tcBorders>
              <w:top w:val="single" w:sz="4" w:space="0" w:color="auto"/>
              <w:left w:val="single" w:sz="4" w:space="0" w:color="auto"/>
              <w:bottom w:val="single" w:sz="4" w:space="0" w:color="auto"/>
              <w:right w:val="single" w:sz="4" w:space="0" w:color="auto"/>
            </w:tcBorders>
            <w:vAlign w:val="center"/>
            <w:hideMark/>
          </w:tcPr>
          <w:p w14:paraId="616B55B1"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6DC358BD" w14:textId="77777777" w:rsidR="00EC2D5E" w:rsidRPr="008E65F1" w:rsidRDefault="00EC2D5E" w:rsidP="0095478A">
            <w:pPr>
              <w:pStyle w:val="TableText0"/>
              <w:rPr>
                <w:iCs/>
              </w:rPr>
            </w:pPr>
            <w:r w:rsidRPr="008E65F1">
              <w:rPr>
                <w:iCs/>
              </w:rPr>
              <w:t>BUR 1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7A304B02" w14:textId="77777777" w:rsidR="00EC2D5E" w:rsidRPr="008E65F1" w:rsidRDefault="00EC2D5E" w:rsidP="0095478A">
            <w:pPr>
              <w:pStyle w:val="TableText0"/>
              <w:jc w:val="center"/>
              <w:rPr>
                <w:iCs/>
              </w:rPr>
            </w:pPr>
            <w:r w:rsidRPr="008E65F1">
              <w:rPr>
                <w:iCs/>
              </w:rPr>
              <w:t>Age 18-65; XLH, no CT past 2y</w:t>
            </w:r>
          </w:p>
        </w:tc>
        <w:tc>
          <w:tcPr>
            <w:tcW w:w="891" w:type="pct"/>
            <w:tcBorders>
              <w:top w:val="single" w:sz="4" w:space="0" w:color="auto"/>
              <w:left w:val="single" w:sz="4" w:space="0" w:color="auto"/>
              <w:bottom w:val="single" w:sz="4" w:space="0" w:color="auto"/>
              <w:right w:val="single" w:sz="4" w:space="0" w:color="auto"/>
            </w:tcBorders>
            <w:vAlign w:val="center"/>
            <w:hideMark/>
          </w:tcPr>
          <w:p w14:paraId="29BA91C6" w14:textId="77777777" w:rsidR="00EC2D5E" w:rsidRPr="008E65F1" w:rsidRDefault="00EC2D5E" w:rsidP="0095478A">
            <w:pPr>
              <w:pStyle w:val="TableText0"/>
              <w:rPr>
                <w:iCs/>
              </w:rPr>
            </w:pPr>
            <w:r w:rsidRPr="008E65F1">
              <w:rPr>
                <w:iCs/>
              </w:rPr>
              <w:t>1°: OV/BV (48 wks)</w:t>
            </w:r>
          </w:p>
          <w:p w14:paraId="7577311E" w14:textId="77777777" w:rsidR="00EC2D5E" w:rsidRPr="008E65F1" w:rsidRDefault="00EC2D5E" w:rsidP="0095478A">
            <w:pPr>
              <w:pStyle w:val="TableText0"/>
              <w:rPr>
                <w:iCs/>
              </w:rPr>
            </w:pPr>
            <w:r w:rsidRPr="008E65F1">
              <w:rPr>
                <w:iCs/>
              </w:rPr>
              <w:t>2°: serum phosphorus, fractures</w:t>
            </w:r>
          </w:p>
        </w:tc>
        <w:tc>
          <w:tcPr>
            <w:tcW w:w="481" w:type="pct"/>
            <w:tcBorders>
              <w:top w:val="single" w:sz="4" w:space="0" w:color="auto"/>
              <w:left w:val="single" w:sz="4" w:space="0" w:color="auto"/>
              <w:bottom w:val="single" w:sz="4" w:space="0" w:color="auto"/>
              <w:right w:val="single" w:sz="4" w:space="0" w:color="auto"/>
            </w:tcBorders>
            <w:vAlign w:val="center"/>
            <w:hideMark/>
          </w:tcPr>
          <w:p w14:paraId="78A44415" w14:textId="77777777" w:rsidR="00EC2D5E" w:rsidRPr="008E65F1" w:rsidRDefault="00EC2D5E" w:rsidP="0095478A">
            <w:pPr>
              <w:pStyle w:val="TableText0"/>
              <w:jc w:val="center"/>
              <w:rPr>
                <w:iCs/>
              </w:rPr>
            </w:pPr>
            <w:r w:rsidRPr="008E65F1">
              <w:rPr>
                <w:iCs/>
              </w:rPr>
              <w:t>Not used</w:t>
            </w:r>
          </w:p>
        </w:tc>
      </w:tr>
      <w:tr w:rsidR="00EC2D5E" w:rsidRPr="008E65F1" w14:paraId="10E63A93"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0CFB3D11" w14:textId="77777777" w:rsidR="00EC2D5E" w:rsidRPr="008E65F1" w:rsidRDefault="00EC2D5E" w:rsidP="0095478A">
            <w:pPr>
              <w:pStyle w:val="TableText0"/>
              <w:rPr>
                <w:iCs/>
              </w:rPr>
            </w:pPr>
            <w:r w:rsidRPr="008E65F1">
              <w:rPr>
                <w:iCs/>
              </w:rPr>
              <w:t>KRN23-US-02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1D626249" w14:textId="77777777" w:rsidR="00EC2D5E" w:rsidRPr="008E65F1" w:rsidRDefault="00EC2D5E" w:rsidP="0095478A">
            <w:pPr>
              <w:pStyle w:val="TableText0"/>
              <w:jc w:val="center"/>
              <w:rPr>
                <w:iCs/>
              </w:rPr>
            </w:pPr>
            <w:r w:rsidRPr="008E65F1">
              <w:rPr>
                <w:iCs/>
              </w:rPr>
              <w:t>38</w:t>
            </w:r>
          </w:p>
        </w:tc>
        <w:tc>
          <w:tcPr>
            <w:tcW w:w="1076" w:type="pct"/>
            <w:tcBorders>
              <w:top w:val="single" w:sz="4" w:space="0" w:color="auto"/>
              <w:left w:val="single" w:sz="4" w:space="0" w:color="auto"/>
              <w:bottom w:val="single" w:sz="4" w:space="0" w:color="auto"/>
              <w:right w:val="single" w:sz="4" w:space="0" w:color="auto"/>
            </w:tcBorders>
            <w:vAlign w:val="center"/>
            <w:hideMark/>
          </w:tcPr>
          <w:p w14:paraId="62614B55" w14:textId="77777777" w:rsidR="00EC2D5E" w:rsidRPr="008E65F1" w:rsidRDefault="00EC2D5E" w:rsidP="0095478A">
            <w:pPr>
              <w:pStyle w:val="TableText0"/>
              <w:jc w:val="center"/>
              <w:rPr>
                <w:iCs/>
              </w:rPr>
            </w:pPr>
            <w:r w:rsidRPr="008E65F1">
              <w:rPr>
                <w:iCs/>
              </w:rPr>
              <w:t>R, DB, PC</w:t>
            </w:r>
          </w:p>
          <w:p w14:paraId="4993DA4A" w14:textId="77777777" w:rsidR="00EC2D5E" w:rsidRPr="008E65F1" w:rsidRDefault="00EC2D5E" w:rsidP="0095478A">
            <w:pPr>
              <w:pStyle w:val="TableText0"/>
              <w:jc w:val="center"/>
              <w:rPr>
                <w:iCs/>
              </w:rPr>
            </w:pPr>
            <w:r w:rsidRPr="008E65F1">
              <w:rPr>
                <w:iCs/>
              </w:rPr>
              <w:t>15 days</w:t>
            </w:r>
            <w:r w:rsidRPr="008E65F1">
              <w:rPr>
                <w:iCs/>
                <w:vertAlign w:val="superscript"/>
              </w:rPr>
              <w:t>f</w:t>
            </w:r>
          </w:p>
          <w:p w14:paraId="482A1DA0" w14:textId="77777777" w:rsidR="00EC2D5E" w:rsidRPr="008E65F1" w:rsidRDefault="00EC2D5E" w:rsidP="0095478A">
            <w:pPr>
              <w:pStyle w:val="TableText0"/>
              <w:jc w:val="center"/>
              <w:rPr>
                <w:iCs/>
              </w:rPr>
            </w:pPr>
            <w:r w:rsidRPr="008E65F1">
              <w:rPr>
                <w:iCs/>
              </w:rPr>
              <w:t>f/up, results up to 50 days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12BF6DAD"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4DF4490" w14:textId="77777777" w:rsidR="00EC2D5E" w:rsidRPr="008E65F1" w:rsidRDefault="00EC2D5E" w:rsidP="0095478A">
            <w:pPr>
              <w:pStyle w:val="TableText0"/>
              <w:rPr>
                <w:iCs/>
              </w:rPr>
            </w:pPr>
            <w:r w:rsidRPr="008E65F1">
              <w:rPr>
                <w:iCs/>
              </w:rPr>
              <w:t>BUR 0.1-1 mg SC</w:t>
            </w:r>
          </w:p>
          <w:p w14:paraId="1456236E" w14:textId="77777777" w:rsidR="00EC2D5E" w:rsidRPr="008E65F1" w:rsidRDefault="00EC2D5E" w:rsidP="0095478A">
            <w:pPr>
              <w:pStyle w:val="TableText0"/>
              <w:rPr>
                <w:iCs/>
              </w:rPr>
            </w:pPr>
            <w:r w:rsidRPr="008E65F1">
              <w:rPr>
                <w:iCs/>
              </w:rPr>
              <w:t>BUR 0.003-0.3 mg/kg IV</w:t>
            </w:r>
          </w:p>
          <w:p w14:paraId="4799E1A4" w14:textId="77777777" w:rsidR="00EC2D5E" w:rsidRPr="008E65F1" w:rsidRDefault="00EC2D5E" w:rsidP="0095478A">
            <w:pPr>
              <w:pStyle w:val="TableText0"/>
              <w:rPr>
                <w:iCs/>
              </w:rPr>
            </w:pPr>
            <w:r w:rsidRPr="008E65F1">
              <w:rPr>
                <w:iCs/>
              </w:rPr>
              <w:t>PBO SC or IV</w:t>
            </w:r>
            <w:r w:rsidRPr="008E65F1">
              <w:rPr>
                <w:iCs/>
                <w:vertAlign w:val="superscript"/>
              </w:rPr>
              <w:t>g</w:t>
            </w:r>
          </w:p>
        </w:tc>
        <w:tc>
          <w:tcPr>
            <w:tcW w:w="501" w:type="pct"/>
            <w:tcBorders>
              <w:top w:val="single" w:sz="4" w:space="0" w:color="auto"/>
              <w:left w:val="single" w:sz="4" w:space="0" w:color="auto"/>
              <w:bottom w:val="single" w:sz="4" w:space="0" w:color="auto"/>
              <w:right w:val="single" w:sz="4" w:space="0" w:color="auto"/>
            </w:tcBorders>
            <w:vAlign w:val="center"/>
            <w:hideMark/>
          </w:tcPr>
          <w:p w14:paraId="757230A2"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8C0B1CF" w14:textId="77777777" w:rsidR="00EC2D5E" w:rsidRPr="008E65F1" w:rsidRDefault="00EC2D5E" w:rsidP="0095478A">
            <w:pPr>
              <w:pStyle w:val="TableText0"/>
              <w:rPr>
                <w:iCs/>
              </w:rPr>
            </w:pPr>
            <w:r w:rsidRPr="008E65F1">
              <w:rPr>
                <w:iCs/>
              </w:rPr>
              <w:t>1°: safety (AEs)</w:t>
            </w:r>
          </w:p>
          <w:p w14:paraId="53722EE2" w14:textId="77777777" w:rsidR="00EC2D5E" w:rsidRPr="008E65F1" w:rsidRDefault="00EC2D5E" w:rsidP="0095478A">
            <w:pPr>
              <w:pStyle w:val="TableText0"/>
              <w:rPr>
                <w:iCs/>
              </w:rPr>
            </w:pPr>
            <w:r w:rsidRPr="008E65F1">
              <w:rPr>
                <w:iCs/>
              </w:rPr>
              <w:t>2°: PD (incl serum phosphorus)</w:t>
            </w:r>
          </w:p>
        </w:tc>
        <w:tc>
          <w:tcPr>
            <w:tcW w:w="481" w:type="pct"/>
            <w:tcBorders>
              <w:top w:val="single" w:sz="4" w:space="0" w:color="auto"/>
              <w:left w:val="single" w:sz="4" w:space="0" w:color="auto"/>
              <w:bottom w:val="single" w:sz="4" w:space="0" w:color="auto"/>
              <w:right w:val="single" w:sz="4" w:space="0" w:color="auto"/>
            </w:tcBorders>
            <w:vAlign w:val="center"/>
            <w:hideMark/>
          </w:tcPr>
          <w:p w14:paraId="5E7D8864" w14:textId="77777777" w:rsidR="00EC2D5E" w:rsidRPr="008E65F1" w:rsidRDefault="00EC2D5E" w:rsidP="0095478A">
            <w:pPr>
              <w:pStyle w:val="TableText0"/>
              <w:jc w:val="center"/>
              <w:rPr>
                <w:iCs/>
              </w:rPr>
            </w:pPr>
            <w:r w:rsidRPr="008E65F1">
              <w:rPr>
                <w:iCs/>
              </w:rPr>
              <w:t>Not used</w:t>
            </w:r>
          </w:p>
        </w:tc>
      </w:tr>
      <w:tr w:rsidR="00EC2D5E" w:rsidRPr="008E65F1" w14:paraId="2E33F723"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6B61CF80" w14:textId="77777777" w:rsidR="00EC2D5E" w:rsidRPr="008E65F1" w:rsidRDefault="00EC2D5E" w:rsidP="0095478A">
            <w:pPr>
              <w:pStyle w:val="TableText0"/>
              <w:rPr>
                <w:iCs/>
              </w:rPr>
            </w:pPr>
            <w:r w:rsidRPr="008E65F1">
              <w:rPr>
                <w:iCs/>
              </w:rPr>
              <w:t>KRN23-INT-001</w:t>
            </w:r>
          </w:p>
        </w:tc>
        <w:tc>
          <w:tcPr>
            <w:tcW w:w="183" w:type="pct"/>
            <w:tcBorders>
              <w:top w:val="single" w:sz="4" w:space="0" w:color="auto"/>
              <w:left w:val="single" w:sz="4" w:space="0" w:color="auto"/>
              <w:bottom w:val="single" w:sz="4" w:space="0" w:color="auto"/>
              <w:right w:val="single" w:sz="4" w:space="0" w:color="auto"/>
            </w:tcBorders>
            <w:vAlign w:val="center"/>
            <w:hideMark/>
          </w:tcPr>
          <w:p w14:paraId="226240E3" w14:textId="3739DAB2" w:rsidR="00EC2D5E" w:rsidRPr="008E65F1" w:rsidRDefault="00EC2D5E" w:rsidP="0095478A">
            <w:pPr>
              <w:pStyle w:val="TableText0"/>
              <w:jc w:val="center"/>
              <w:rPr>
                <w:iCs/>
              </w:rPr>
            </w:pPr>
            <w:r w:rsidRPr="008E65F1">
              <w:rPr>
                <w:iCs/>
              </w:rPr>
              <w:t>28</w:t>
            </w:r>
            <w:r w:rsidR="00F05724">
              <w:rPr>
                <w:iCs/>
                <w:vertAlign w:val="superscript"/>
              </w:rPr>
              <w:t>h</w:t>
            </w:r>
          </w:p>
        </w:tc>
        <w:tc>
          <w:tcPr>
            <w:tcW w:w="1076" w:type="pct"/>
            <w:tcBorders>
              <w:top w:val="single" w:sz="4" w:space="0" w:color="auto"/>
              <w:left w:val="single" w:sz="4" w:space="0" w:color="auto"/>
              <w:bottom w:val="single" w:sz="4" w:space="0" w:color="auto"/>
              <w:right w:val="single" w:sz="4" w:space="0" w:color="auto"/>
            </w:tcBorders>
            <w:vAlign w:val="center"/>
            <w:hideMark/>
          </w:tcPr>
          <w:p w14:paraId="2E6000C9" w14:textId="77777777" w:rsidR="00EC2D5E" w:rsidRPr="008E65F1" w:rsidRDefault="00EC2D5E" w:rsidP="0095478A">
            <w:pPr>
              <w:pStyle w:val="TableText0"/>
              <w:jc w:val="center"/>
              <w:rPr>
                <w:iCs/>
              </w:rPr>
            </w:pPr>
            <w:r w:rsidRPr="008E65F1">
              <w:rPr>
                <w:iCs/>
              </w:rPr>
              <w:t>MC, OL</w:t>
            </w:r>
          </w:p>
          <w:p w14:paraId="340ADAF7" w14:textId="77777777" w:rsidR="00EC2D5E" w:rsidRPr="008E65F1" w:rsidRDefault="00EC2D5E" w:rsidP="0095478A">
            <w:pPr>
              <w:pStyle w:val="TableText0"/>
              <w:jc w:val="center"/>
              <w:rPr>
                <w:iCs/>
              </w:rPr>
            </w:pPr>
            <w:r w:rsidRPr="008E65F1">
              <w:rPr>
                <w:iCs/>
              </w:rPr>
              <w:t>120 days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1F7EF532"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6491533B" w14:textId="4187B056" w:rsidR="00EC2D5E" w:rsidRPr="008E65F1" w:rsidRDefault="00EC2D5E" w:rsidP="0095478A">
            <w:pPr>
              <w:pStyle w:val="TableText0"/>
              <w:rPr>
                <w:iCs/>
              </w:rPr>
            </w:pPr>
            <w:r w:rsidRPr="008E65F1">
              <w:rPr>
                <w:iCs/>
              </w:rPr>
              <w:t>BUR 0.05-0.6 mg/kg SC</w:t>
            </w:r>
            <w:r w:rsidR="00F05724">
              <w:rPr>
                <w:iCs/>
                <w:vertAlign w:val="superscript"/>
              </w:rPr>
              <w:t>i</w:t>
            </w:r>
          </w:p>
        </w:tc>
        <w:tc>
          <w:tcPr>
            <w:tcW w:w="501" w:type="pct"/>
            <w:tcBorders>
              <w:top w:val="single" w:sz="4" w:space="0" w:color="auto"/>
              <w:left w:val="single" w:sz="4" w:space="0" w:color="auto"/>
              <w:bottom w:val="single" w:sz="4" w:space="0" w:color="auto"/>
              <w:right w:val="single" w:sz="4" w:space="0" w:color="auto"/>
            </w:tcBorders>
            <w:vAlign w:val="center"/>
            <w:hideMark/>
          </w:tcPr>
          <w:p w14:paraId="3632F6FE"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5C3A5214" w14:textId="77777777" w:rsidR="00EC2D5E" w:rsidRPr="008E65F1" w:rsidRDefault="00EC2D5E" w:rsidP="0095478A">
            <w:pPr>
              <w:pStyle w:val="TableText0"/>
              <w:rPr>
                <w:iCs/>
              </w:rPr>
            </w:pPr>
            <w:r w:rsidRPr="008E65F1">
              <w:rPr>
                <w:iCs/>
              </w:rPr>
              <w:t>1°: serum phosphorus</w:t>
            </w:r>
          </w:p>
          <w:p w14:paraId="446BA102" w14:textId="77777777" w:rsidR="00EC2D5E" w:rsidRPr="008E65F1" w:rsidRDefault="00EC2D5E" w:rsidP="0095478A">
            <w:pPr>
              <w:pStyle w:val="TableText0"/>
              <w:rPr>
                <w:iCs/>
              </w:rPr>
            </w:pPr>
            <w:r w:rsidRPr="008E65F1">
              <w:rPr>
                <w:iCs/>
              </w:rPr>
              <w:t>2°: PD, WOMAC</w:t>
            </w:r>
          </w:p>
        </w:tc>
        <w:tc>
          <w:tcPr>
            <w:tcW w:w="481" w:type="pct"/>
            <w:tcBorders>
              <w:top w:val="single" w:sz="4" w:space="0" w:color="auto"/>
              <w:left w:val="single" w:sz="4" w:space="0" w:color="auto"/>
              <w:bottom w:val="single" w:sz="4" w:space="0" w:color="auto"/>
              <w:right w:val="single" w:sz="4" w:space="0" w:color="auto"/>
            </w:tcBorders>
            <w:vAlign w:val="center"/>
            <w:hideMark/>
          </w:tcPr>
          <w:p w14:paraId="700C9819" w14:textId="77777777" w:rsidR="00EC2D5E" w:rsidRPr="008E65F1" w:rsidRDefault="00EC2D5E" w:rsidP="0095478A">
            <w:pPr>
              <w:pStyle w:val="TableText0"/>
              <w:jc w:val="center"/>
              <w:rPr>
                <w:iCs/>
              </w:rPr>
            </w:pPr>
            <w:r w:rsidRPr="008E65F1">
              <w:rPr>
                <w:iCs/>
              </w:rPr>
              <w:t>Not used</w:t>
            </w:r>
          </w:p>
        </w:tc>
      </w:tr>
      <w:tr w:rsidR="00EC2D5E" w:rsidRPr="008E65F1" w14:paraId="33472295"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1A9CBD87" w14:textId="77777777" w:rsidR="00EC2D5E" w:rsidRPr="008E65F1" w:rsidRDefault="00EC2D5E" w:rsidP="0095478A">
            <w:pPr>
              <w:pStyle w:val="TableText0"/>
              <w:rPr>
                <w:iCs/>
              </w:rPr>
            </w:pPr>
            <w:r w:rsidRPr="008E65F1">
              <w:rPr>
                <w:iCs/>
              </w:rPr>
              <w:t>KRN23-INT-002</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1FA648" w14:textId="63D2AFBE" w:rsidR="00EC2D5E" w:rsidRPr="008E65F1" w:rsidRDefault="00EC2D5E" w:rsidP="0095478A">
            <w:pPr>
              <w:pStyle w:val="TableText0"/>
              <w:jc w:val="center"/>
              <w:rPr>
                <w:iCs/>
              </w:rPr>
            </w:pPr>
            <w:r w:rsidRPr="008E65F1">
              <w:rPr>
                <w:iCs/>
              </w:rPr>
              <w:t>22</w:t>
            </w:r>
            <w:r w:rsidR="00F05724">
              <w:rPr>
                <w:iCs/>
                <w:vertAlign w:val="superscript"/>
              </w:rPr>
              <w:t>j</w:t>
            </w:r>
          </w:p>
        </w:tc>
        <w:tc>
          <w:tcPr>
            <w:tcW w:w="1076" w:type="pct"/>
            <w:tcBorders>
              <w:top w:val="single" w:sz="4" w:space="0" w:color="auto"/>
              <w:left w:val="single" w:sz="4" w:space="0" w:color="auto"/>
              <w:bottom w:val="single" w:sz="4" w:space="0" w:color="auto"/>
              <w:right w:val="single" w:sz="4" w:space="0" w:color="auto"/>
            </w:tcBorders>
            <w:vAlign w:val="center"/>
            <w:hideMark/>
          </w:tcPr>
          <w:p w14:paraId="7B3AE182" w14:textId="77777777" w:rsidR="00EC2D5E" w:rsidRPr="008E65F1" w:rsidRDefault="00EC2D5E" w:rsidP="0095478A">
            <w:pPr>
              <w:pStyle w:val="TableText0"/>
              <w:jc w:val="center"/>
              <w:rPr>
                <w:iCs/>
              </w:rPr>
            </w:pPr>
            <w:r w:rsidRPr="008E65F1">
              <w:rPr>
                <w:iCs/>
              </w:rPr>
              <w:t>MC, OL</w:t>
            </w:r>
          </w:p>
          <w:p w14:paraId="1CEA31C3" w14:textId="77777777" w:rsidR="00EC2D5E" w:rsidRPr="008E65F1" w:rsidRDefault="00EC2D5E" w:rsidP="0095478A">
            <w:pPr>
              <w:pStyle w:val="TableText0"/>
              <w:jc w:val="center"/>
              <w:rPr>
                <w:iCs/>
              </w:rPr>
            </w:pPr>
            <w:r w:rsidRPr="008E65F1">
              <w:rPr>
                <w:iCs/>
              </w:rPr>
              <w:t>13.5 months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83D14B"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5F0100B6" w14:textId="24ACF9F2" w:rsidR="00EC2D5E" w:rsidRPr="008E65F1" w:rsidRDefault="00EC2D5E" w:rsidP="0095478A">
            <w:pPr>
              <w:pStyle w:val="TableText0"/>
              <w:rPr>
                <w:iCs/>
              </w:rPr>
            </w:pPr>
            <w:r w:rsidRPr="008E65F1">
              <w:rPr>
                <w:iCs/>
              </w:rPr>
              <w:t>BUR</w:t>
            </w:r>
            <w:r w:rsidR="00F05724">
              <w:rPr>
                <w:iCs/>
                <w:vertAlign w:val="superscript"/>
              </w:rPr>
              <w:t>k</w:t>
            </w:r>
            <w:r w:rsidRPr="008E65F1">
              <w:rPr>
                <w:iCs/>
                <w:vertAlign w:val="superscript"/>
              </w:rPr>
              <w:t xml:space="preserve"> </w:t>
            </w:r>
            <w:r w:rsidRPr="008E65F1">
              <w:rPr>
                <w:iCs/>
              </w:rPr>
              <w:t>0.05, 0.1, 0.3, 0.6, or 1.0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4485377C"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45AE6311" w14:textId="77777777" w:rsidR="00EC2D5E" w:rsidRPr="008E65F1" w:rsidRDefault="00EC2D5E" w:rsidP="0095478A">
            <w:pPr>
              <w:pStyle w:val="TableText0"/>
              <w:rPr>
                <w:iCs/>
              </w:rPr>
            </w:pPr>
            <w:r w:rsidRPr="008E65F1">
              <w:rPr>
                <w:iCs/>
              </w:rPr>
              <w:t>1°: serum phosphorus</w:t>
            </w:r>
          </w:p>
          <w:p w14:paraId="4E1B66E8" w14:textId="77777777" w:rsidR="00EC2D5E" w:rsidRPr="008E65F1" w:rsidRDefault="00EC2D5E" w:rsidP="0095478A">
            <w:pPr>
              <w:pStyle w:val="TableText0"/>
              <w:rPr>
                <w:iCs/>
              </w:rPr>
            </w:pPr>
            <w:r w:rsidRPr="008E65F1">
              <w:rPr>
                <w:iCs/>
              </w:rPr>
              <w:t>2°: PD, WOMAC</w:t>
            </w:r>
          </w:p>
        </w:tc>
        <w:tc>
          <w:tcPr>
            <w:tcW w:w="481" w:type="pct"/>
            <w:tcBorders>
              <w:top w:val="single" w:sz="4" w:space="0" w:color="auto"/>
              <w:left w:val="single" w:sz="4" w:space="0" w:color="auto"/>
              <w:bottom w:val="single" w:sz="4" w:space="0" w:color="auto"/>
              <w:right w:val="single" w:sz="4" w:space="0" w:color="auto"/>
            </w:tcBorders>
            <w:vAlign w:val="center"/>
            <w:hideMark/>
          </w:tcPr>
          <w:p w14:paraId="0C47A30F" w14:textId="77777777" w:rsidR="00EC2D5E" w:rsidRPr="008E65F1" w:rsidRDefault="00EC2D5E" w:rsidP="0095478A">
            <w:pPr>
              <w:pStyle w:val="TableText0"/>
              <w:jc w:val="center"/>
              <w:rPr>
                <w:iCs/>
              </w:rPr>
            </w:pPr>
            <w:r w:rsidRPr="008E65F1">
              <w:rPr>
                <w:iCs/>
              </w:rPr>
              <w:t>Not used</w:t>
            </w:r>
          </w:p>
        </w:tc>
      </w:tr>
      <w:tr w:rsidR="00EC2D5E" w:rsidRPr="008E65F1" w14:paraId="34338FB1" w14:textId="77777777" w:rsidTr="00EC2D5E">
        <w:trPr>
          <w:cantSplit/>
        </w:trPr>
        <w:tc>
          <w:tcPr>
            <w:tcW w:w="378" w:type="pct"/>
            <w:tcBorders>
              <w:top w:val="single" w:sz="4" w:space="0" w:color="auto"/>
              <w:left w:val="single" w:sz="4" w:space="0" w:color="auto"/>
              <w:bottom w:val="single" w:sz="4" w:space="0" w:color="auto"/>
              <w:right w:val="single" w:sz="4" w:space="0" w:color="auto"/>
            </w:tcBorders>
            <w:vAlign w:val="center"/>
            <w:hideMark/>
          </w:tcPr>
          <w:p w14:paraId="4B068771" w14:textId="77777777" w:rsidR="00EC2D5E" w:rsidRPr="008E65F1" w:rsidRDefault="00EC2D5E" w:rsidP="0095478A">
            <w:pPr>
              <w:pStyle w:val="TableText0"/>
              <w:rPr>
                <w:iCs/>
              </w:rPr>
            </w:pPr>
            <w:r w:rsidRPr="008E65F1">
              <w:rPr>
                <w:iCs/>
              </w:rPr>
              <w:t>CL203</w:t>
            </w:r>
          </w:p>
        </w:tc>
        <w:tc>
          <w:tcPr>
            <w:tcW w:w="183" w:type="pct"/>
            <w:tcBorders>
              <w:top w:val="single" w:sz="4" w:space="0" w:color="auto"/>
              <w:left w:val="single" w:sz="4" w:space="0" w:color="auto"/>
              <w:bottom w:val="single" w:sz="4" w:space="0" w:color="auto"/>
              <w:right w:val="single" w:sz="4" w:space="0" w:color="auto"/>
            </w:tcBorders>
            <w:vAlign w:val="center"/>
            <w:hideMark/>
          </w:tcPr>
          <w:p w14:paraId="5486E7AC" w14:textId="1AFD7E4D" w:rsidR="00EC2D5E" w:rsidRPr="008E65F1" w:rsidRDefault="00EC2D5E" w:rsidP="0095478A">
            <w:pPr>
              <w:pStyle w:val="TableText0"/>
              <w:jc w:val="center"/>
              <w:rPr>
                <w:iCs/>
              </w:rPr>
            </w:pPr>
            <w:r w:rsidRPr="008E65F1">
              <w:rPr>
                <w:iCs/>
              </w:rPr>
              <w:t>20</w:t>
            </w:r>
            <w:r w:rsidR="00F05724">
              <w:rPr>
                <w:iCs/>
                <w:vertAlign w:val="superscript"/>
              </w:rPr>
              <w:t>l</w:t>
            </w:r>
          </w:p>
        </w:tc>
        <w:tc>
          <w:tcPr>
            <w:tcW w:w="1076" w:type="pct"/>
            <w:tcBorders>
              <w:top w:val="single" w:sz="4" w:space="0" w:color="auto"/>
              <w:left w:val="single" w:sz="4" w:space="0" w:color="auto"/>
              <w:bottom w:val="single" w:sz="4" w:space="0" w:color="auto"/>
              <w:right w:val="single" w:sz="4" w:space="0" w:color="auto"/>
            </w:tcBorders>
            <w:vAlign w:val="center"/>
            <w:hideMark/>
          </w:tcPr>
          <w:p w14:paraId="5672815B" w14:textId="77777777" w:rsidR="00EC2D5E" w:rsidRPr="008E65F1" w:rsidRDefault="00EC2D5E" w:rsidP="0095478A">
            <w:pPr>
              <w:pStyle w:val="TableText0"/>
              <w:jc w:val="center"/>
              <w:rPr>
                <w:iCs/>
              </w:rPr>
            </w:pPr>
            <w:r w:rsidRPr="008E65F1">
              <w:rPr>
                <w:iCs/>
              </w:rPr>
              <w:t>OL extension, results up to 168 wks</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D97207" w14:textId="77777777" w:rsidR="00EC2D5E" w:rsidRPr="008E65F1" w:rsidRDefault="00EC2D5E" w:rsidP="0095478A">
            <w:pPr>
              <w:pStyle w:val="TableText0"/>
              <w:jc w:val="center"/>
              <w:rPr>
                <w:iCs/>
              </w:rPr>
            </w:pPr>
            <w:r w:rsidRPr="008E65F1">
              <w:rPr>
                <w:iCs/>
              </w:rPr>
              <w:t>High</w:t>
            </w:r>
          </w:p>
        </w:tc>
        <w:tc>
          <w:tcPr>
            <w:tcW w:w="1074" w:type="pct"/>
            <w:tcBorders>
              <w:top w:val="single" w:sz="4" w:space="0" w:color="auto"/>
              <w:left w:val="single" w:sz="4" w:space="0" w:color="auto"/>
              <w:bottom w:val="single" w:sz="4" w:space="0" w:color="auto"/>
              <w:right w:val="single" w:sz="4" w:space="0" w:color="auto"/>
            </w:tcBorders>
            <w:vAlign w:val="center"/>
            <w:hideMark/>
          </w:tcPr>
          <w:p w14:paraId="0DF83496" w14:textId="09E30B18" w:rsidR="00EC2D5E" w:rsidRPr="008E65F1" w:rsidRDefault="00EC2D5E" w:rsidP="0095478A">
            <w:pPr>
              <w:pStyle w:val="TableText0"/>
              <w:rPr>
                <w:iCs/>
              </w:rPr>
            </w:pPr>
            <w:r w:rsidRPr="008E65F1">
              <w:rPr>
                <w:iCs/>
              </w:rPr>
              <w:t>BUR</w:t>
            </w:r>
            <w:r w:rsidR="00F05724">
              <w:rPr>
                <w:iCs/>
                <w:vertAlign w:val="superscript"/>
              </w:rPr>
              <w:t>m</w:t>
            </w:r>
            <w:r w:rsidRPr="008E65F1">
              <w:rPr>
                <w:iCs/>
              </w:rPr>
              <w:t xml:space="preserve"> 0.3, 0.6, or 1.0 mg/kg SC Q4W</w:t>
            </w:r>
          </w:p>
        </w:tc>
        <w:tc>
          <w:tcPr>
            <w:tcW w:w="501" w:type="pct"/>
            <w:tcBorders>
              <w:top w:val="single" w:sz="4" w:space="0" w:color="auto"/>
              <w:left w:val="single" w:sz="4" w:space="0" w:color="auto"/>
              <w:bottom w:val="single" w:sz="4" w:space="0" w:color="auto"/>
              <w:right w:val="single" w:sz="4" w:space="0" w:color="auto"/>
            </w:tcBorders>
            <w:vAlign w:val="center"/>
            <w:hideMark/>
          </w:tcPr>
          <w:p w14:paraId="06062142" w14:textId="77777777" w:rsidR="00EC2D5E" w:rsidRPr="008E65F1" w:rsidRDefault="00EC2D5E" w:rsidP="0095478A">
            <w:pPr>
              <w:pStyle w:val="TableText0"/>
              <w:jc w:val="center"/>
              <w:rPr>
                <w:iCs/>
              </w:rPr>
            </w:pPr>
            <w:r w:rsidRPr="008E65F1">
              <w:rPr>
                <w:iCs/>
              </w:rPr>
              <w:t>Age ≥18, XLH</w:t>
            </w:r>
          </w:p>
        </w:tc>
        <w:tc>
          <w:tcPr>
            <w:tcW w:w="891" w:type="pct"/>
            <w:tcBorders>
              <w:top w:val="single" w:sz="4" w:space="0" w:color="auto"/>
              <w:left w:val="single" w:sz="4" w:space="0" w:color="auto"/>
              <w:bottom w:val="single" w:sz="4" w:space="0" w:color="auto"/>
              <w:right w:val="single" w:sz="4" w:space="0" w:color="auto"/>
            </w:tcBorders>
            <w:vAlign w:val="center"/>
            <w:hideMark/>
          </w:tcPr>
          <w:p w14:paraId="3436A563" w14:textId="77777777" w:rsidR="00EC2D5E" w:rsidRPr="008E65F1" w:rsidRDefault="00EC2D5E" w:rsidP="0095478A">
            <w:pPr>
              <w:pStyle w:val="TableText0"/>
              <w:rPr>
                <w:iCs/>
              </w:rPr>
            </w:pPr>
            <w:r w:rsidRPr="008E65F1">
              <w:rPr>
                <w:iCs/>
              </w:rPr>
              <w:t>1°: safety, PD</w:t>
            </w:r>
          </w:p>
          <w:p w14:paraId="2F739A96" w14:textId="77777777" w:rsidR="00EC2D5E" w:rsidRPr="008E65F1" w:rsidRDefault="00EC2D5E" w:rsidP="0095478A">
            <w:pPr>
              <w:pStyle w:val="TableText0"/>
              <w:rPr>
                <w:iCs/>
              </w:rPr>
            </w:pPr>
            <w:r w:rsidRPr="008E65F1">
              <w:rPr>
                <w:iCs/>
              </w:rPr>
              <w:t>Other: fractures, WOMAC, BPI</w:t>
            </w:r>
          </w:p>
        </w:tc>
        <w:tc>
          <w:tcPr>
            <w:tcW w:w="481" w:type="pct"/>
            <w:tcBorders>
              <w:top w:val="single" w:sz="4" w:space="0" w:color="auto"/>
              <w:left w:val="single" w:sz="4" w:space="0" w:color="auto"/>
              <w:bottom w:val="single" w:sz="4" w:space="0" w:color="auto"/>
              <w:right w:val="single" w:sz="4" w:space="0" w:color="auto"/>
            </w:tcBorders>
            <w:vAlign w:val="center"/>
            <w:hideMark/>
          </w:tcPr>
          <w:p w14:paraId="00FE3B3F" w14:textId="77777777" w:rsidR="00EC2D5E" w:rsidRPr="008E65F1" w:rsidRDefault="00EC2D5E" w:rsidP="0095478A">
            <w:pPr>
              <w:pStyle w:val="TableText0"/>
              <w:jc w:val="center"/>
              <w:rPr>
                <w:iCs/>
              </w:rPr>
            </w:pPr>
            <w:r w:rsidRPr="008E65F1">
              <w:rPr>
                <w:iCs/>
              </w:rPr>
              <w:t>Not used</w:t>
            </w:r>
          </w:p>
        </w:tc>
      </w:tr>
    </w:tbl>
    <w:p w14:paraId="391C4ECC" w14:textId="7B81C761" w:rsidR="00EC2D5E" w:rsidRPr="008E65F1" w:rsidRDefault="00EC2D5E" w:rsidP="00EC2D5E">
      <w:pPr>
        <w:pStyle w:val="TableFigureFooter"/>
        <w:rPr>
          <w:iCs/>
        </w:rPr>
      </w:pPr>
      <w:r w:rsidRPr="008E65F1">
        <w:rPr>
          <w:iCs/>
        </w:rPr>
        <w:t xml:space="preserve">Source: compiled during the evaluation based on information presented in Sections 2.3.2 to 2.3.2.6, pp50-55 of the </w:t>
      </w:r>
      <w:r w:rsidR="00C86DB7" w:rsidRPr="008E65F1">
        <w:rPr>
          <w:iCs/>
        </w:rPr>
        <w:t>re</w:t>
      </w:r>
      <w:r w:rsidRPr="008E65F1">
        <w:rPr>
          <w:iCs/>
        </w:rPr>
        <w:t>submission.</w:t>
      </w:r>
    </w:p>
    <w:p w14:paraId="0E07B0C1" w14:textId="77777777" w:rsidR="00EC2D5E" w:rsidRPr="008E65F1" w:rsidRDefault="00EC2D5E" w:rsidP="00EC2D5E">
      <w:pPr>
        <w:pStyle w:val="TableFigureFooter"/>
        <w:rPr>
          <w:iCs/>
        </w:rPr>
      </w:pPr>
      <w:r w:rsidRPr="008E65F1">
        <w:rPr>
          <w:iCs/>
        </w:rPr>
        <w:t>1</w:t>
      </w:r>
      <w:r w:rsidRPr="008E65F1">
        <w:rPr>
          <w:iCs/>
          <w:vertAlign w:val="superscript"/>
        </w:rPr>
        <w:sym w:font="Symbol" w:char="F0B0"/>
      </w:r>
      <w:r w:rsidRPr="008E65F1">
        <w:rPr>
          <w:iCs/>
        </w:rPr>
        <w:t>=primary, 2</w:t>
      </w:r>
      <w:r w:rsidRPr="008E65F1">
        <w:rPr>
          <w:iCs/>
        </w:rPr>
        <w:sym w:font="Symbol" w:char="F0B0"/>
      </w:r>
      <w:r w:rsidRPr="008E65F1">
        <w:rPr>
          <w:iCs/>
        </w:rPr>
        <w:t>=secondary, AEs=adverse events; BPI=Brief Pain Inventory; BUR=burosumab; CT=conventional therapy; DB=double blind; MC=multi-centre; OL=open label; OV/BV=osteoid volume (OV)/ bone volume (BV); PD=pharmacodynamic; PRO=patient reported outcomes; R=randomised; TUG=timed up and go; WOMAC=Western Ontario &amp; McMaster University Osteoarthritis Index; XLH=X-linked hypophosphataemia; 6MWT=Six-minute Walk Test; Q2W=every 2 weeks; Q4W=every 4 weeks; wk(s)=week(s);</w:t>
      </w:r>
    </w:p>
    <w:p w14:paraId="5814A697" w14:textId="77777777" w:rsidR="00EC2D5E" w:rsidRPr="008E65F1" w:rsidRDefault="00EC2D5E" w:rsidP="00EC2D5E">
      <w:pPr>
        <w:pStyle w:val="TableFigureFooter"/>
        <w:tabs>
          <w:tab w:val="left" w:pos="142"/>
        </w:tabs>
        <w:ind w:left="140" w:hanging="140"/>
        <w:rPr>
          <w:iCs/>
        </w:rPr>
      </w:pPr>
      <w:r w:rsidRPr="008E65F1">
        <w:rPr>
          <w:iCs/>
        </w:rPr>
        <w:t>a</w:t>
      </w:r>
      <w:r w:rsidRPr="008E65F1">
        <w:rPr>
          <w:iCs/>
        </w:rPr>
        <w:tab/>
        <w:t>Following placebo-controlled treatment (24 weeks), patients entered OL treatment continuation in which all patients received BUR (Wks 24-48) followed by OL treatment extension period I (Weeks 48–96), and OL treatment extension period II (to Wk 149 for some patients in US and EU). The study has completed; however, results are available to end of treatment extension period I (Wk 96) only due to operational issues.</w:t>
      </w:r>
    </w:p>
    <w:p w14:paraId="2B47DDD3" w14:textId="48C287A5" w:rsidR="00EC2D5E" w:rsidRPr="008E65F1" w:rsidRDefault="00EC2D5E" w:rsidP="00EC2D5E">
      <w:pPr>
        <w:pStyle w:val="TableFigureFooter"/>
        <w:tabs>
          <w:tab w:val="left" w:pos="142"/>
        </w:tabs>
        <w:ind w:left="140" w:hanging="140"/>
        <w:rPr>
          <w:iCs/>
        </w:rPr>
      </w:pPr>
      <w:r w:rsidRPr="008E65F1">
        <w:rPr>
          <w:iCs/>
        </w:rPr>
        <w:t>b</w:t>
      </w:r>
      <w:r w:rsidRPr="008E65F1">
        <w:rPr>
          <w:iCs/>
        </w:rPr>
        <w:tab/>
        <w:t>Primary outcome was the proportion of patients with mean serum phosphorus above the LLN (2.5 mg/dL [0.81 mmol/L]) at the midpoint of the dose interval (</w:t>
      </w:r>
      <w:r w:rsidR="00974F00" w:rsidRPr="008E65F1">
        <w:rPr>
          <w:iCs/>
        </w:rPr>
        <w:t>i.e.</w:t>
      </w:r>
      <w:r w:rsidRPr="008E65F1">
        <w:rPr>
          <w:iCs/>
        </w:rPr>
        <w:t>, Wks 2, 6, 10, 14, 18, and 22), as averaged across dose cycles between Baseline and Wk 24.</w:t>
      </w:r>
    </w:p>
    <w:p w14:paraId="7F15C1DD" w14:textId="77777777" w:rsidR="00EC2D5E" w:rsidRPr="008E65F1" w:rsidRDefault="00EC2D5E" w:rsidP="00EC2D5E">
      <w:pPr>
        <w:pStyle w:val="TableFigureFooter"/>
        <w:tabs>
          <w:tab w:val="left" w:pos="142"/>
        </w:tabs>
        <w:ind w:left="140" w:hanging="140"/>
        <w:rPr>
          <w:iCs/>
        </w:rPr>
      </w:pPr>
      <w:r w:rsidRPr="008E65F1">
        <w:rPr>
          <w:iCs/>
        </w:rPr>
        <w:t>c</w:t>
      </w:r>
      <w:r w:rsidRPr="008E65F1">
        <w:rPr>
          <w:iCs/>
        </w:rPr>
        <w:tab/>
        <w:t>All patients were previously enrolled in CL303. However, not all patients enrolled into BUR02 continued BUR treatment after the final study visit of CL303 before enrolling into BUR02.</w:t>
      </w:r>
    </w:p>
    <w:p w14:paraId="00BB2FCE" w14:textId="77777777" w:rsidR="00EC2D5E" w:rsidRPr="008E65F1" w:rsidRDefault="00EC2D5E" w:rsidP="00EC2D5E">
      <w:pPr>
        <w:pStyle w:val="TableFigureFooter"/>
        <w:tabs>
          <w:tab w:val="left" w:pos="142"/>
        </w:tabs>
        <w:ind w:left="140" w:hanging="140"/>
        <w:rPr>
          <w:iCs/>
        </w:rPr>
      </w:pPr>
      <w:r w:rsidRPr="008E65F1">
        <w:rPr>
          <w:iCs/>
        </w:rPr>
        <w:t>d</w:t>
      </w:r>
      <w:r w:rsidRPr="008E65F1">
        <w:rPr>
          <w:iCs/>
        </w:rPr>
        <w:tab/>
        <w:t>In BUR02 only trough serum phosphate samples measured (secondary outcome in CL303). The samples from the two studies were analysed by different central laboratories, with slightly different LLN (0.81 mmol/L in CL303; 0.74 mmol/L in BUR02).</w:t>
      </w:r>
    </w:p>
    <w:p w14:paraId="28259055" w14:textId="77777777" w:rsidR="00EC2D5E" w:rsidRPr="008E65F1" w:rsidRDefault="00EC2D5E" w:rsidP="00EC2D5E">
      <w:pPr>
        <w:pStyle w:val="TableFigureFooter"/>
        <w:tabs>
          <w:tab w:val="left" w:pos="142"/>
        </w:tabs>
        <w:ind w:left="140" w:hanging="140"/>
        <w:rPr>
          <w:iCs/>
        </w:rPr>
      </w:pPr>
      <w:r w:rsidRPr="008E65F1">
        <w:rPr>
          <w:iCs/>
        </w:rPr>
        <w:t>e</w:t>
      </w:r>
      <w:r w:rsidRPr="008E65F1">
        <w:rPr>
          <w:iCs/>
        </w:rPr>
        <w:tab/>
        <w:t>CL304 comprised 3 treatment periods: OL treatment period, treatment extension I, and treatment extension II. Subjects who completed 48-wk OL treatment period continued into 48-wk treatment extension I (to Wk 96). For subjects at study sites outside US, Wk 96 was the End of Study I (i.e. EOS I) and subjects (n=8) at sites in the US, treatment continued up to an additional 45 wks (i.e. EOS II).</w:t>
      </w:r>
    </w:p>
    <w:p w14:paraId="441EE3F2" w14:textId="77777777" w:rsidR="00EC2D5E" w:rsidRPr="008E65F1" w:rsidRDefault="00EC2D5E" w:rsidP="00EC2D5E">
      <w:pPr>
        <w:pStyle w:val="TableFigureFooter"/>
        <w:tabs>
          <w:tab w:val="left" w:pos="142"/>
        </w:tabs>
        <w:ind w:left="140" w:hanging="140"/>
        <w:rPr>
          <w:iCs/>
        </w:rPr>
      </w:pPr>
      <w:r w:rsidRPr="008E65F1">
        <w:rPr>
          <w:iCs/>
        </w:rPr>
        <w:t>f</w:t>
      </w:r>
      <w:r w:rsidRPr="008E65F1">
        <w:rPr>
          <w:iCs/>
        </w:rPr>
        <w:tab/>
        <w:t xml:space="preserve">Patients were administered a single-dose of study drug on Day 1 and confined to the Clinical Research Unit for 6 nights (Day -2 to Day 5) and returned for non-confined Observation Period (Days 1 to 15) for evaluation and follow-up (Day 16 to 50). </w:t>
      </w:r>
    </w:p>
    <w:p w14:paraId="701BA2CD" w14:textId="77777777" w:rsidR="00EC2D5E" w:rsidRPr="008E65F1" w:rsidRDefault="00EC2D5E" w:rsidP="00EC2D5E">
      <w:pPr>
        <w:pStyle w:val="TableFigureFooter"/>
        <w:tabs>
          <w:tab w:val="left" w:pos="142"/>
        </w:tabs>
        <w:ind w:left="140" w:hanging="140"/>
        <w:rPr>
          <w:iCs/>
        </w:rPr>
      </w:pPr>
      <w:r w:rsidRPr="008E65F1">
        <w:rPr>
          <w:iCs/>
        </w:rPr>
        <w:t>g</w:t>
      </w:r>
      <w:r w:rsidRPr="008E65F1">
        <w:rPr>
          <w:iCs/>
        </w:rPr>
        <w:tab/>
        <w:t>Each BUR treatment arms (IV and SC) had 4 patients randomized 3:1 to receive a single-dose of BUR or placebo. There were 5 dose levels (Cohorts 1-5) in BUR IV arm (0.003, 0.01, 0.03, 0.1, and 0.3 mg/kg) and 4 dose levels (Cohorts 4-7) in BUR SC arm (0.1, 0.3, 0.6 and 1.0 mg/kg). Dose-escalation was based on safety (AEs) and efficacy (serum phosphorus) once all patients in the prior cohort completed the observation period (Day 15).</w:t>
      </w:r>
    </w:p>
    <w:p w14:paraId="117063A5" w14:textId="77777777" w:rsidR="00F05724" w:rsidRDefault="00EC2D5E" w:rsidP="00EC2D5E">
      <w:pPr>
        <w:pStyle w:val="TableFigureFooter"/>
        <w:tabs>
          <w:tab w:val="left" w:pos="142"/>
        </w:tabs>
        <w:ind w:left="140" w:hanging="140"/>
        <w:rPr>
          <w:iCs/>
        </w:rPr>
      </w:pPr>
      <w:r w:rsidRPr="008E65F1">
        <w:rPr>
          <w:iCs/>
        </w:rPr>
        <w:t>h</w:t>
      </w:r>
      <w:r w:rsidRPr="008E65F1">
        <w:rPr>
          <w:iCs/>
        </w:rPr>
        <w:tab/>
      </w:r>
      <w:r w:rsidR="00F05724" w:rsidRPr="008E65F1">
        <w:rPr>
          <w:iCs/>
        </w:rPr>
        <w:t>28 subjects were treated with BUR; 27 in the OL phase and 1 in the bone sub study (randomised single-blind extension study of BUR vs placebo on bone parameters) which was subsequently terminated due to slow accrual after n=2 subjects were randomised.</w:t>
      </w:r>
    </w:p>
    <w:p w14:paraId="6F417992" w14:textId="1249E098" w:rsidR="00EC2D5E" w:rsidRPr="008E65F1" w:rsidRDefault="00F05724" w:rsidP="00EC2D5E">
      <w:pPr>
        <w:pStyle w:val="TableFigureFooter"/>
        <w:tabs>
          <w:tab w:val="left" w:pos="142"/>
        </w:tabs>
        <w:ind w:left="140" w:hanging="140"/>
        <w:rPr>
          <w:iCs/>
        </w:rPr>
      </w:pPr>
      <w:r>
        <w:rPr>
          <w:iCs/>
        </w:rPr>
        <w:t xml:space="preserve">i </w:t>
      </w:r>
      <w:r w:rsidR="00EC2D5E" w:rsidRPr="008E65F1">
        <w:rPr>
          <w:iCs/>
        </w:rPr>
        <w:t>Each subject received 4 doses of BUR (1 every 28 days) in stepwise dose-escalation (0.05-&gt; 0.1-&gt; 0.3-&gt; 0.6 mg/kg SC) over 120 days.</w:t>
      </w:r>
    </w:p>
    <w:p w14:paraId="1B88DE69" w14:textId="538C52DD" w:rsidR="00EC2D5E" w:rsidRPr="008E65F1" w:rsidRDefault="00F05724" w:rsidP="00EC2D5E">
      <w:pPr>
        <w:pStyle w:val="TableFigureFooter"/>
        <w:tabs>
          <w:tab w:val="left" w:pos="142"/>
        </w:tabs>
        <w:ind w:left="140" w:hanging="140"/>
        <w:rPr>
          <w:iCs/>
        </w:rPr>
      </w:pPr>
      <w:r>
        <w:rPr>
          <w:iCs/>
        </w:rPr>
        <w:lastRenderedPageBreak/>
        <w:t>j</w:t>
      </w:r>
      <w:r w:rsidR="00EC2D5E" w:rsidRPr="008E65F1">
        <w:rPr>
          <w:iCs/>
        </w:rPr>
        <w:tab/>
        <w:t>KRN23-INT-002 was a long-term extension study that enrolled subjects who previously completed the OL phase of KRN23-INT-001.</w:t>
      </w:r>
    </w:p>
    <w:p w14:paraId="6CC92CEC" w14:textId="2D0EBA04" w:rsidR="00EC2D5E" w:rsidRPr="008E65F1" w:rsidRDefault="00F05724" w:rsidP="00EC2D5E">
      <w:pPr>
        <w:pStyle w:val="TableFigureFooter"/>
        <w:tabs>
          <w:tab w:val="left" w:pos="142"/>
        </w:tabs>
        <w:ind w:left="140" w:hanging="140"/>
        <w:rPr>
          <w:iCs/>
        </w:rPr>
      </w:pPr>
      <w:r>
        <w:rPr>
          <w:iCs/>
        </w:rPr>
        <w:t xml:space="preserve">k </w:t>
      </w:r>
      <w:r w:rsidR="00EC2D5E" w:rsidRPr="008E65F1">
        <w:rPr>
          <w:iCs/>
        </w:rPr>
        <w:t>Initial BUR dose was selected based on the subject’s serum phosphorus levels on Day 84 (Visits 20) in KRN-INT-001.</w:t>
      </w:r>
    </w:p>
    <w:p w14:paraId="7CCD3E36" w14:textId="2902E84C" w:rsidR="00EC2D5E" w:rsidRPr="008E65F1" w:rsidRDefault="00F05724" w:rsidP="00EC2D5E">
      <w:pPr>
        <w:pStyle w:val="TableFigureFooter"/>
        <w:tabs>
          <w:tab w:val="left" w:pos="142"/>
        </w:tabs>
        <w:ind w:left="140" w:hanging="140"/>
        <w:rPr>
          <w:iCs/>
        </w:rPr>
      </w:pPr>
      <w:r>
        <w:rPr>
          <w:iCs/>
        </w:rPr>
        <w:t>l</w:t>
      </w:r>
      <w:r w:rsidR="00EC2D5E" w:rsidRPr="008E65F1">
        <w:rPr>
          <w:iCs/>
        </w:rPr>
        <w:tab/>
        <w:t>CL203 enrolled patients who had participated in KRN23-INT-001 or KRN23-INT-002 (received at least 2 doses of BUR).</w:t>
      </w:r>
    </w:p>
    <w:p w14:paraId="68D88DC8" w14:textId="6F9671F7" w:rsidR="00EC2D5E" w:rsidRPr="008E65F1" w:rsidRDefault="00F05724" w:rsidP="00EC2D5E">
      <w:pPr>
        <w:pStyle w:val="TableFigureFooter"/>
        <w:tabs>
          <w:tab w:val="left" w:pos="142"/>
        </w:tabs>
        <w:ind w:left="140" w:hanging="140"/>
        <w:rPr>
          <w:iCs/>
        </w:rPr>
      </w:pPr>
      <w:r>
        <w:rPr>
          <w:iCs/>
        </w:rPr>
        <w:t>m</w:t>
      </w:r>
      <w:r w:rsidR="00EC2D5E" w:rsidRPr="008E65F1">
        <w:rPr>
          <w:iCs/>
        </w:rPr>
        <w:tab/>
        <w:t>Starting BUR doses matched the last dose in KRN23-INT-001 or KRN23-INT-002 and based on subjects’ body weight at Day 0.</w:t>
      </w:r>
    </w:p>
    <w:p w14:paraId="56C42EB6" w14:textId="77777777" w:rsidR="00EC2D5E" w:rsidRDefault="00EC2D5E" w:rsidP="00EC2D5E">
      <w:pPr>
        <w:pStyle w:val="TableFigureFooter"/>
        <w:rPr>
          <w:i/>
        </w:rPr>
      </w:pPr>
    </w:p>
    <w:p w14:paraId="3F40DC07" w14:textId="77777777" w:rsidR="00EC2D5E" w:rsidRPr="008E65F1" w:rsidRDefault="00EC2D5E" w:rsidP="0073079A">
      <w:pPr>
        <w:pStyle w:val="3-BodyText"/>
        <w:snapToGrid w:val="0"/>
      </w:pPr>
      <w:r w:rsidRPr="008E65F1">
        <w:t>CL303 was a multicentre, double-blind, randomised trial comparing burosumab with placebo in adult patients with XLH using TGA approved doses for a duration of 24 weeks, followed by open-label extension where all patients received burosumab up to Week 96 (and Week 149 for some patients in the US and EU). The primary outcome was proportion of patients with mean serum phosphorus above the lower limit of normal (LLN) as averaged across dose cycles between baseline and Week 24. For a subset of patients who had previously enrolled in CL303, treatment with open-label BUR was maintained for an additional 48 weeks in the BUR02 extension study. CL303 was conducted in parallel with CL304.</w:t>
      </w:r>
    </w:p>
    <w:p w14:paraId="3645BF34" w14:textId="00DB355A" w:rsidR="00EC2D5E" w:rsidRPr="008E65F1" w:rsidRDefault="00EC2D5E" w:rsidP="0073079A">
      <w:pPr>
        <w:pStyle w:val="3-BodyText"/>
        <w:snapToGrid w:val="0"/>
      </w:pPr>
      <w:r w:rsidRPr="008E65F1">
        <w:t>In CL303 and CL304, patients initiate</w:t>
      </w:r>
      <w:r w:rsidR="009D391C">
        <w:t>d</w:t>
      </w:r>
      <w:r w:rsidRPr="008E65F1">
        <w:t xml:space="preserve"> burosumab 1.0 mg/kg SC Q4W (28 days) based on baseline weight (rounded to the nearest 10 mg) up to a maximum dose of 90 mg. The dosing strategy was based on the three burosumab early phase studies (KRN23-US-02, KRN23-INT-001 and KRN23-INT-002), which found that after the initial dose-titration period, most patients stabilised on an optimal dose of burosumab 1.0 mg/kg and achieved serum phosphorus levels within the normal range. The safety data indicated that repeated monthly doses up to 1.0 mg/kg were well tolerated by adult patients with XLH.</w:t>
      </w:r>
    </w:p>
    <w:p w14:paraId="2CC4EC62" w14:textId="1C3208DA" w:rsidR="00EC2D5E" w:rsidRPr="008E65F1" w:rsidRDefault="00EC2D5E" w:rsidP="0073079A">
      <w:pPr>
        <w:pStyle w:val="3-BodyText"/>
        <w:snapToGrid w:val="0"/>
      </w:pPr>
      <w:r w:rsidRPr="008E65F1">
        <w:t xml:space="preserve">Baseline characteristics were generally balanced between treatment groups in CL303, but there were </w:t>
      </w:r>
      <w:r w:rsidR="00AD53C9" w:rsidRPr="008E65F1">
        <w:t xml:space="preserve">some </w:t>
      </w:r>
      <w:r w:rsidRPr="008E65F1">
        <w:t xml:space="preserve">differences </w:t>
      </w:r>
      <w:r w:rsidR="00AD53C9" w:rsidRPr="008E65F1">
        <w:t xml:space="preserve">in terms of </w:t>
      </w:r>
      <w:r w:rsidRPr="008E65F1">
        <w:t xml:space="preserve">medical history with more patients in </w:t>
      </w:r>
      <w:r w:rsidR="00AD53C9" w:rsidRPr="008E65F1">
        <w:t xml:space="preserve">the </w:t>
      </w:r>
      <w:r w:rsidRPr="008E65F1">
        <w:t xml:space="preserve">burosumab group with </w:t>
      </w:r>
      <w:r w:rsidR="00AD53C9" w:rsidRPr="008E65F1">
        <w:t xml:space="preserve">a </w:t>
      </w:r>
      <w:r w:rsidRPr="008E65F1">
        <w:t>history of osteoarthritis, renal condition</w:t>
      </w:r>
      <w:r w:rsidR="00AD53C9" w:rsidRPr="008E65F1">
        <w:t>s</w:t>
      </w:r>
      <w:r w:rsidRPr="008E65F1">
        <w:t xml:space="preserve"> and dental/oral conditions compared to placebo. Across the studies, there were some differences in the baseline characteristics in terms of the proportion of patients with positive PHEX mutation (higher in CL304), proportion who initiated conventional therapy before age 18 (lower in CL203), active pseudofractures (lower in CL304) and serum phosphorus (higher in BUR02 and CL304).</w:t>
      </w:r>
    </w:p>
    <w:p w14:paraId="19AD31D0" w14:textId="6FB48CCF" w:rsidR="00EC2D5E" w:rsidRPr="008E65F1" w:rsidRDefault="00EC2D5E" w:rsidP="0073079A">
      <w:pPr>
        <w:pStyle w:val="3-BodyText"/>
        <w:snapToGrid w:val="0"/>
      </w:pPr>
      <w:r w:rsidRPr="008E65F1">
        <w:t>The overall risk of bias for the included adult studies (</w:t>
      </w:r>
      <w:r w:rsidR="00994FA7">
        <w:t>apart from</w:t>
      </w:r>
      <w:r w:rsidRPr="008E65F1">
        <w:t xml:space="preserve"> CL303 which was a randomised double blind RCT) was considered high mainly due to the studies being open-label </w:t>
      </w:r>
      <w:r w:rsidR="00FA7DD4" w:rsidRPr="008E65F1">
        <w:t xml:space="preserve">and </w:t>
      </w:r>
      <w:r w:rsidRPr="008E65F1">
        <w:t>non-randomised</w:t>
      </w:r>
      <w:r w:rsidR="00FA7DD4" w:rsidRPr="008E65F1">
        <w:t>. Therefore</w:t>
      </w:r>
      <w:r w:rsidRPr="008E65F1">
        <w:t>, patients were aware of their treatment allocations. While the efficacy outcomes in terms of pharmacodynamic (PD) parameters (serum phosphorus) or osteoid volume were objective measurements, other patient outcomes such as Western Ontario &amp; McMaster University Osteoarthritis Index (WOMAC) or Brief Pain Inventory (BPI) and adverse events (AEs) were subjective outcomes and may be affected by reporting bias, particularly for within-group comparisons to baseline.</w:t>
      </w:r>
    </w:p>
    <w:p w14:paraId="245CB39C" w14:textId="77777777" w:rsidR="00EC2D5E" w:rsidRDefault="00EC2D5E" w:rsidP="00EC2D5E">
      <w:pPr>
        <w:pStyle w:val="4-SubsectionHeading"/>
      </w:pPr>
      <w:bookmarkStart w:id="35" w:name="_Toc92386480"/>
      <w:bookmarkStart w:id="36" w:name="_Toc22897641"/>
      <w:bookmarkStart w:id="37" w:name="_Toc93406130"/>
      <w:r>
        <w:lastRenderedPageBreak/>
        <w:t>Comparative effectiveness</w:t>
      </w:r>
      <w:bookmarkEnd w:id="35"/>
      <w:bookmarkEnd w:id="36"/>
      <w:bookmarkEnd w:id="37"/>
    </w:p>
    <w:p w14:paraId="5CD8C9AE" w14:textId="24998916" w:rsidR="00EC2D5E" w:rsidRPr="008E65F1" w:rsidRDefault="00EC2D5E" w:rsidP="0073079A">
      <w:pPr>
        <w:pStyle w:val="3-BodyText"/>
        <w:snapToGrid w:val="0"/>
        <w:rPr>
          <w:iCs/>
        </w:rPr>
      </w:pPr>
      <w:r w:rsidRPr="008E65F1">
        <w:rPr>
          <w:iCs/>
        </w:rPr>
        <w:t>All the included (paediatric and adult) studies measured serum phosphate/PD biochemical outcomes as primary and secondary outcomes. For the paediatric studies, all patients were enrolled with PHEX mutation or FGF23 level and biochemical findings (including serum phosphorus level and serum 25(OH)D), and radiographic evidence with rickets severity score (RSS). For the adult studies, patients were enrolled with clinical features of XLH (e.g. short stature or bowed legs) and PHEX mutation and/or FGF23 level and biochemical findings that included serum phosphorus and TmP/GFR.</w:t>
      </w:r>
    </w:p>
    <w:p w14:paraId="03BE0C47" w14:textId="77777777" w:rsidR="00EC2D5E" w:rsidRDefault="00EC2D5E" w:rsidP="00EC2D5E">
      <w:pPr>
        <w:pStyle w:val="3-BodyText"/>
        <w:numPr>
          <w:ilvl w:val="0"/>
          <w:numId w:val="0"/>
        </w:numPr>
        <w:rPr>
          <w:b/>
        </w:rPr>
      </w:pPr>
      <w:r>
        <w:rPr>
          <w:b/>
        </w:rPr>
        <w:t>Paediatrics</w:t>
      </w:r>
    </w:p>
    <w:p w14:paraId="2CE9C122" w14:textId="28A9015C" w:rsidR="00EC2D5E" w:rsidRPr="001A2C4E" w:rsidRDefault="00FA7DD4" w:rsidP="0073079A">
      <w:pPr>
        <w:pStyle w:val="3-BodyText"/>
        <w:snapToGrid w:val="0"/>
        <w:spacing w:before="240"/>
        <w:rPr>
          <w:iCs/>
        </w:rPr>
      </w:pPr>
      <w:r w:rsidRPr="008E65F1">
        <w:rPr>
          <w:iCs/>
        </w:rPr>
        <w:t xml:space="preserve">At </w:t>
      </w:r>
      <w:r w:rsidR="00EC2D5E" w:rsidRPr="008E65F1">
        <w:rPr>
          <w:iCs/>
        </w:rPr>
        <w:t>the March 2021 meeting, the PBAC noted that “the primary outcomes presented, and used to quantify the clinical effectiveness of burosumab in children, were the rickets severity score (RSS) and the radiographic global impression of change (RGI-C)</w:t>
      </w:r>
      <w:r w:rsidR="00994FA7">
        <w:rPr>
          <w:iCs/>
        </w:rPr>
        <w:t xml:space="preserve"> and </w:t>
      </w:r>
      <w:r w:rsidR="00EC2D5E" w:rsidRPr="008E65F1">
        <w:rPr>
          <w:iCs/>
        </w:rPr>
        <w:t xml:space="preserve">that these outcomes did not capture aspects of XLH which were important to patients such as changes in gross motor skills, the need for corrective surgery, pain and oral health.” (paragraph 7.6, burosumab </w:t>
      </w:r>
      <w:r w:rsidR="00F451C4" w:rsidRPr="008E65F1">
        <w:rPr>
          <w:iCs/>
        </w:rPr>
        <w:t>Public Summary Document [</w:t>
      </w:r>
      <w:r w:rsidR="00EC2D5E" w:rsidRPr="008E65F1">
        <w:rPr>
          <w:iCs/>
        </w:rPr>
        <w:t>PSD</w:t>
      </w:r>
      <w:r w:rsidR="00F451C4" w:rsidRPr="008E65F1">
        <w:rPr>
          <w:iCs/>
        </w:rPr>
        <w:t>]</w:t>
      </w:r>
      <w:r w:rsidR="00C47542">
        <w:rPr>
          <w:iCs/>
        </w:rPr>
        <w:t>,</w:t>
      </w:r>
      <w:r w:rsidR="00EC2D5E" w:rsidRPr="008E65F1">
        <w:rPr>
          <w:iCs/>
        </w:rPr>
        <w:t xml:space="preserve"> March 2021</w:t>
      </w:r>
      <w:bookmarkStart w:id="38" w:name="_Hlk92697266"/>
      <w:bookmarkEnd w:id="38"/>
      <w:r w:rsidR="00EC2D5E" w:rsidRPr="008E65F1">
        <w:rPr>
          <w:iCs/>
        </w:rPr>
        <w:t xml:space="preserve">). </w:t>
      </w:r>
      <w:r w:rsidR="00994FA7">
        <w:rPr>
          <w:iCs/>
        </w:rPr>
        <w:t>T</w:t>
      </w:r>
      <w:r w:rsidR="00EC2D5E" w:rsidRPr="008E65F1">
        <w:rPr>
          <w:iCs/>
        </w:rPr>
        <w:t>he outcomes presented in the resubmission for the clinical effectiveness of burosumab in paediatrics remain unchanged.</w:t>
      </w:r>
      <w:r w:rsidR="0086042F">
        <w:rPr>
          <w:iCs/>
        </w:rPr>
        <w:t xml:space="preserve"> </w:t>
      </w:r>
      <w:r w:rsidR="0086042F" w:rsidRPr="001A2C4E">
        <w:rPr>
          <w:iCs/>
        </w:rPr>
        <w:t xml:space="preserve">The </w:t>
      </w:r>
      <w:r w:rsidR="007A0395">
        <w:t>Pre-Sub-Committee Response</w:t>
      </w:r>
      <w:r w:rsidR="007A0395" w:rsidRPr="001A2C4E">
        <w:rPr>
          <w:iCs/>
        </w:rPr>
        <w:t xml:space="preserve"> </w:t>
      </w:r>
      <w:r w:rsidR="007A0395">
        <w:rPr>
          <w:iCs/>
        </w:rPr>
        <w:t>(</w:t>
      </w:r>
      <w:r w:rsidR="0086042F" w:rsidRPr="001A2C4E">
        <w:rPr>
          <w:iCs/>
        </w:rPr>
        <w:t>PSCR</w:t>
      </w:r>
      <w:r w:rsidR="007A0395">
        <w:rPr>
          <w:iCs/>
        </w:rPr>
        <w:t>)</w:t>
      </w:r>
      <w:r w:rsidR="0086042F" w:rsidRPr="001A2C4E">
        <w:rPr>
          <w:iCs/>
        </w:rPr>
        <w:t xml:space="preserve"> acknowledged that th</w:t>
      </w:r>
      <w:r w:rsidR="00B872A2" w:rsidRPr="001A2C4E">
        <w:rPr>
          <w:iCs/>
        </w:rPr>
        <w:t>e outcomes presented were</w:t>
      </w:r>
      <w:r w:rsidR="0086042F" w:rsidRPr="001A2C4E">
        <w:rPr>
          <w:iCs/>
        </w:rPr>
        <w:t xml:space="preserve"> a limitation of the available clinical data</w:t>
      </w:r>
      <w:r w:rsidR="00B872A2" w:rsidRPr="001A2C4E">
        <w:rPr>
          <w:iCs/>
        </w:rPr>
        <w:t>, stat</w:t>
      </w:r>
      <w:r w:rsidR="00A11A10" w:rsidRPr="001A2C4E">
        <w:rPr>
          <w:iCs/>
        </w:rPr>
        <w:t>ing</w:t>
      </w:r>
      <w:r w:rsidR="00B872A2" w:rsidRPr="001A2C4E">
        <w:rPr>
          <w:iCs/>
        </w:rPr>
        <w:t xml:space="preserve"> that irrespective of whether the RSS response criterion (defined as </w:t>
      </w:r>
      <w:r w:rsidR="00B872A2" w:rsidRPr="001A2C4E">
        <w:rPr>
          <w:rFonts w:cstheme="minorHAnsi"/>
          <w:iCs/>
        </w:rPr>
        <w:t>≥</w:t>
      </w:r>
      <w:r w:rsidR="00B872A2" w:rsidRPr="001A2C4E">
        <w:rPr>
          <w:iCs/>
        </w:rPr>
        <w:t xml:space="preserve"> 1 point change from baseline) was appropriate, the differences between groups observed were not driven by the response definition, but by the comparative effectiveness of the respective therapies. </w:t>
      </w:r>
    </w:p>
    <w:p w14:paraId="1EA2F7D1" w14:textId="77777777" w:rsidR="00EC2D5E" w:rsidRPr="008E65F1" w:rsidRDefault="00EC2D5E" w:rsidP="0073079A">
      <w:pPr>
        <w:pStyle w:val="3-BodyText"/>
        <w:snapToGrid w:val="0"/>
        <w:rPr>
          <w:iCs/>
        </w:rPr>
      </w:pPr>
      <w:r w:rsidRPr="008E65F1">
        <w:rPr>
          <w:iCs/>
        </w:rPr>
        <w:t>Table 7 summarises the change from baseline in PD parameters (serum phosphorus) at Week 40 and Week 64 in the paediatric studies.</w:t>
      </w:r>
    </w:p>
    <w:p w14:paraId="6D09C4D2" w14:textId="0425D28B" w:rsidR="00EC2D5E" w:rsidRDefault="00EC2D5E" w:rsidP="009408C2">
      <w:pPr>
        <w:keepNext/>
        <w:rPr>
          <w:rFonts w:ascii="Arial Narrow" w:hAnsi="Arial Narrow"/>
          <w:b/>
          <w:sz w:val="20"/>
          <w:szCs w:val="20"/>
        </w:rPr>
      </w:pPr>
      <w:r>
        <w:rPr>
          <w:rFonts w:ascii="Arial Narrow" w:hAnsi="Arial Narrow"/>
          <w:b/>
          <w:sz w:val="20"/>
          <w:szCs w:val="20"/>
        </w:rPr>
        <w:lastRenderedPageBreak/>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676539">
        <w:rPr>
          <w:rFonts w:ascii="Arial Narrow" w:hAnsi="Arial Narrow"/>
          <w:b/>
          <w:noProof/>
          <w:sz w:val="20"/>
          <w:szCs w:val="20"/>
        </w:rPr>
        <w:t>7</w:t>
      </w:r>
      <w:r>
        <w:rPr>
          <w:rFonts w:ascii="Arial Narrow" w:hAnsi="Arial Narrow"/>
          <w:b/>
          <w:sz w:val="20"/>
          <w:szCs w:val="20"/>
        </w:rPr>
        <w:fldChar w:fldCharType="end"/>
      </w:r>
      <w:r>
        <w:rPr>
          <w:rFonts w:ascii="Arial Narrow" w:hAnsi="Arial Narrow"/>
          <w:b/>
          <w:sz w:val="20"/>
          <w:szCs w:val="20"/>
        </w:rPr>
        <w:t>: Change from baseline in PD parameters (serum phosphorus) at Week 40 and Week 64 in the paediatric studies (ITT)</w:t>
      </w:r>
    </w:p>
    <w:tbl>
      <w:tblPr>
        <w:tblStyle w:val="TableGrid"/>
        <w:tblW w:w="9017" w:type="dxa"/>
        <w:tblCellMar>
          <w:left w:w="28" w:type="dxa"/>
          <w:right w:w="28" w:type="dxa"/>
        </w:tblCellMar>
        <w:tblLook w:val="04A0" w:firstRow="1" w:lastRow="0" w:firstColumn="1" w:lastColumn="0" w:noHBand="0" w:noVBand="1"/>
      </w:tblPr>
      <w:tblGrid>
        <w:gridCol w:w="2830"/>
        <w:gridCol w:w="1276"/>
        <w:gridCol w:w="1276"/>
        <w:gridCol w:w="1134"/>
        <w:gridCol w:w="1276"/>
        <w:gridCol w:w="1225"/>
      </w:tblGrid>
      <w:tr w:rsidR="00EC2D5E" w14:paraId="2C06A2F0" w14:textId="77777777" w:rsidTr="00EC2D5E">
        <w:tc>
          <w:tcPr>
            <w:tcW w:w="28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09976" w14:textId="77777777" w:rsidR="00EC2D5E" w:rsidRDefault="00EC2D5E" w:rsidP="009408C2">
            <w:pPr>
              <w:keepNext/>
              <w:jc w:val="center"/>
              <w:rPr>
                <w:rFonts w:ascii="Arial Narrow" w:hAnsi="Arial Narrow"/>
                <w:b/>
                <w:sz w:val="20"/>
                <w:szCs w:val="20"/>
              </w:rPr>
            </w:pPr>
            <w:r>
              <w:rPr>
                <w:rFonts w:ascii="Arial Narrow" w:hAnsi="Arial Narrow"/>
                <w:b/>
                <w:sz w:val="20"/>
                <w:szCs w:val="20"/>
              </w:rPr>
              <w:t>Outcome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9C105F" w14:textId="77777777" w:rsidR="00EC2D5E" w:rsidRDefault="00EC2D5E" w:rsidP="009408C2">
            <w:pPr>
              <w:keepNext/>
              <w:jc w:val="center"/>
              <w:rPr>
                <w:rFonts w:ascii="Arial Narrow" w:hAnsi="Arial Narrow"/>
                <w:b/>
                <w:sz w:val="20"/>
                <w:szCs w:val="20"/>
              </w:rPr>
            </w:pPr>
            <w:r>
              <w:rPr>
                <w:rFonts w:ascii="Arial Narrow" w:hAnsi="Arial Narrow"/>
                <w:b/>
                <w:sz w:val="20"/>
                <w:szCs w:val="20"/>
              </w:rPr>
              <w:t>CL301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2CD172" w14:textId="77777777" w:rsidR="00EC2D5E" w:rsidRDefault="00EC2D5E" w:rsidP="009408C2">
            <w:pPr>
              <w:keepNext/>
              <w:jc w:val="center"/>
              <w:rPr>
                <w:rFonts w:ascii="Arial Narrow" w:hAnsi="Arial Narrow"/>
                <w:b/>
                <w:sz w:val="20"/>
                <w:szCs w:val="20"/>
              </w:rPr>
            </w:pPr>
            <w:r>
              <w:rPr>
                <w:rFonts w:ascii="Arial Narrow" w:hAnsi="Arial Narrow"/>
                <w:b/>
                <w:sz w:val="20"/>
                <w:szCs w:val="20"/>
              </w:rPr>
              <w:t>CL201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6BE072" w14:textId="77777777" w:rsidR="00EC2D5E" w:rsidRDefault="00EC2D5E" w:rsidP="009408C2">
            <w:pPr>
              <w:keepNext/>
              <w:jc w:val="center"/>
              <w:rPr>
                <w:rFonts w:ascii="Arial Narrow" w:hAnsi="Arial Narrow"/>
                <w:b/>
                <w:sz w:val="20"/>
                <w:szCs w:val="20"/>
              </w:rPr>
            </w:pPr>
            <w:r>
              <w:rPr>
                <w:rFonts w:ascii="Arial Narrow" w:hAnsi="Arial Narrow"/>
                <w:b/>
                <w:sz w:val="20"/>
                <w:szCs w:val="20"/>
              </w:rPr>
              <w:t>CL205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88E740C" w14:textId="77777777" w:rsidR="00EC2D5E" w:rsidRDefault="00EC2D5E" w:rsidP="009408C2">
            <w:pPr>
              <w:keepNext/>
              <w:jc w:val="center"/>
              <w:rPr>
                <w:rFonts w:ascii="Arial Narrow" w:hAnsi="Arial Narrow"/>
                <w:b/>
                <w:sz w:val="20"/>
                <w:szCs w:val="20"/>
              </w:rPr>
            </w:pPr>
            <w:r>
              <w:rPr>
                <w:rFonts w:ascii="Arial Narrow" w:hAnsi="Arial Narrow"/>
                <w:b/>
                <w:sz w:val="20"/>
                <w:szCs w:val="20"/>
              </w:rPr>
              <w:t>KRN23-003</w:t>
            </w:r>
          </w:p>
        </w:tc>
      </w:tr>
      <w:tr w:rsidR="00EC2D5E" w14:paraId="38E166E0" w14:textId="77777777" w:rsidTr="00EC2D5E">
        <w:tc>
          <w:tcPr>
            <w:tcW w:w="0" w:type="auto"/>
            <w:vMerge/>
            <w:tcBorders>
              <w:top w:val="single" w:sz="4" w:space="0" w:color="auto"/>
              <w:left w:val="single" w:sz="4" w:space="0" w:color="auto"/>
              <w:bottom w:val="single" w:sz="4" w:space="0" w:color="auto"/>
              <w:right w:val="single" w:sz="4" w:space="0" w:color="auto"/>
            </w:tcBorders>
            <w:vAlign w:val="center"/>
            <w:hideMark/>
          </w:tcPr>
          <w:p w14:paraId="15A59BF8" w14:textId="77777777" w:rsidR="00EC2D5E" w:rsidRDefault="00EC2D5E" w:rsidP="009408C2">
            <w:pPr>
              <w:keepNext/>
              <w:jc w:val="left"/>
              <w:rPr>
                <w:rFonts w:ascii="Arial Narrow" w:hAnsi="Arial Narrow"/>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5D3736"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p>
          <w:p w14:paraId="4C1BDC59" w14:textId="77777777" w:rsidR="00EC2D5E" w:rsidRDefault="00EC2D5E" w:rsidP="009408C2">
            <w:pPr>
              <w:keepNext/>
              <w:jc w:val="center"/>
              <w:rPr>
                <w:rFonts w:ascii="Arial Narrow" w:hAnsi="Arial Narrow"/>
                <w:b/>
                <w:sz w:val="20"/>
                <w:szCs w:val="20"/>
              </w:rPr>
            </w:pPr>
            <w:r>
              <w:rPr>
                <w:rFonts w:ascii="Arial Narrow" w:hAnsi="Arial Narrow"/>
                <w:b/>
                <w:sz w:val="20"/>
                <w:szCs w:val="20"/>
              </w:rPr>
              <w:t>N=29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E111FB" w14:textId="77777777" w:rsidR="00EC2D5E" w:rsidRDefault="00EC2D5E" w:rsidP="009408C2">
            <w:pPr>
              <w:keepNext/>
              <w:jc w:val="center"/>
              <w:rPr>
                <w:rFonts w:ascii="Arial Narrow" w:hAnsi="Arial Narrow"/>
                <w:b/>
                <w:sz w:val="20"/>
                <w:szCs w:val="20"/>
              </w:rPr>
            </w:pPr>
            <w:r>
              <w:rPr>
                <w:rFonts w:ascii="Arial Narrow" w:hAnsi="Arial Narrow"/>
                <w:b/>
                <w:sz w:val="20"/>
                <w:szCs w:val="20"/>
              </w:rPr>
              <w:t>Conventional</w:t>
            </w:r>
          </w:p>
          <w:p w14:paraId="4C7BA73E" w14:textId="77777777" w:rsidR="00EC2D5E" w:rsidRDefault="00EC2D5E" w:rsidP="009408C2">
            <w:pPr>
              <w:keepNext/>
              <w:jc w:val="center"/>
              <w:rPr>
                <w:rFonts w:ascii="Arial Narrow" w:hAnsi="Arial Narrow"/>
                <w:b/>
                <w:sz w:val="20"/>
                <w:szCs w:val="20"/>
              </w:rPr>
            </w:pPr>
            <w:r>
              <w:rPr>
                <w:rFonts w:ascii="Arial Narrow" w:hAnsi="Arial Narrow"/>
                <w:b/>
                <w:sz w:val="20"/>
                <w:szCs w:val="20"/>
              </w:rPr>
              <w:t>N=32</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BE64A"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r>
              <w:rPr>
                <w:rFonts w:ascii="Arial Narrow" w:hAnsi="Arial Narrow"/>
                <w:b/>
                <w:sz w:val="20"/>
                <w:szCs w:val="20"/>
                <w:vertAlign w:val="superscript"/>
              </w:rPr>
              <w:t>a</w:t>
            </w:r>
          </w:p>
          <w:p w14:paraId="2F4E8CE2" w14:textId="77777777" w:rsidR="00EC2D5E" w:rsidRDefault="00EC2D5E" w:rsidP="009408C2">
            <w:pPr>
              <w:keepNext/>
              <w:jc w:val="center"/>
              <w:rPr>
                <w:rFonts w:ascii="Arial Narrow" w:hAnsi="Arial Narrow"/>
                <w:b/>
                <w:sz w:val="20"/>
                <w:szCs w:val="20"/>
              </w:rPr>
            </w:pPr>
            <w:r>
              <w:rPr>
                <w:rFonts w:ascii="Arial Narrow" w:hAnsi="Arial Narrow"/>
                <w:b/>
                <w:sz w:val="20"/>
                <w:szCs w:val="20"/>
              </w:rPr>
              <w:t>N=26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F986F"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 Q2W</w:t>
            </w:r>
          </w:p>
          <w:p w14:paraId="0107CE78" w14:textId="77777777" w:rsidR="00EC2D5E" w:rsidRDefault="00EC2D5E" w:rsidP="009408C2">
            <w:pPr>
              <w:keepNext/>
              <w:jc w:val="center"/>
              <w:rPr>
                <w:rFonts w:ascii="Arial Narrow" w:hAnsi="Arial Narrow"/>
                <w:b/>
                <w:sz w:val="20"/>
                <w:szCs w:val="20"/>
              </w:rPr>
            </w:pPr>
            <w:r>
              <w:rPr>
                <w:rFonts w:ascii="Arial Narrow" w:hAnsi="Arial Narrow"/>
                <w:b/>
                <w:sz w:val="20"/>
                <w:szCs w:val="20"/>
              </w:rPr>
              <w:t>N=13</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38873B0" w14:textId="77777777" w:rsidR="00EC2D5E" w:rsidRDefault="00EC2D5E" w:rsidP="009408C2">
            <w:pPr>
              <w:keepNext/>
              <w:jc w:val="center"/>
              <w:rPr>
                <w:rFonts w:ascii="Arial Narrow" w:hAnsi="Arial Narrow"/>
                <w:b/>
                <w:sz w:val="20"/>
                <w:szCs w:val="20"/>
              </w:rPr>
            </w:pPr>
            <w:r>
              <w:rPr>
                <w:rFonts w:ascii="Arial Narrow" w:hAnsi="Arial Narrow"/>
                <w:b/>
                <w:sz w:val="20"/>
                <w:szCs w:val="20"/>
              </w:rPr>
              <w:t>BURQ2W</w:t>
            </w:r>
            <w:r>
              <w:rPr>
                <w:rFonts w:ascii="Arial Narrow" w:hAnsi="Arial Narrow"/>
                <w:b/>
                <w:sz w:val="20"/>
                <w:szCs w:val="20"/>
                <w:vertAlign w:val="superscript"/>
              </w:rPr>
              <w:t># a</w:t>
            </w:r>
          </w:p>
          <w:p w14:paraId="44CAF337" w14:textId="77777777" w:rsidR="00EC2D5E" w:rsidRDefault="00EC2D5E" w:rsidP="009408C2">
            <w:pPr>
              <w:keepNext/>
              <w:jc w:val="center"/>
              <w:rPr>
                <w:rFonts w:ascii="Arial Narrow" w:hAnsi="Arial Narrow"/>
                <w:b/>
                <w:sz w:val="20"/>
                <w:szCs w:val="20"/>
              </w:rPr>
            </w:pPr>
            <w:r>
              <w:rPr>
                <w:rFonts w:ascii="Arial Narrow" w:hAnsi="Arial Narrow"/>
                <w:b/>
                <w:sz w:val="20"/>
                <w:szCs w:val="20"/>
              </w:rPr>
              <w:t>N=15</w:t>
            </w:r>
          </w:p>
        </w:tc>
      </w:tr>
      <w:tr w:rsidR="00EC2D5E" w14:paraId="0909F0F1" w14:textId="77777777" w:rsidTr="00EC2D5E">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347219" w14:textId="77777777" w:rsidR="00EC2D5E" w:rsidRDefault="00EC2D5E" w:rsidP="009408C2">
            <w:pPr>
              <w:keepNext/>
              <w:jc w:val="left"/>
              <w:rPr>
                <w:rFonts w:ascii="Arial Narrow" w:hAnsi="Arial Narrow"/>
                <w:b/>
                <w:sz w:val="20"/>
                <w:szCs w:val="20"/>
              </w:rPr>
            </w:pPr>
            <w:r>
              <w:rPr>
                <w:rFonts w:ascii="Arial Narrow" w:hAnsi="Arial Narrow"/>
                <w:b/>
                <w:sz w:val="20"/>
                <w:szCs w:val="20"/>
              </w:rPr>
              <w:t>PD markers</w:t>
            </w:r>
          </w:p>
        </w:tc>
      </w:tr>
      <w:tr w:rsidR="00EC2D5E" w14:paraId="3AE9CE6A" w14:textId="77777777" w:rsidTr="00EC2D5E">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6D0871" w14:textId="77777777" w:rsidR="00EC2D5E" w:rsidRDefault="00EC2D5E" w:rsidP="009408C2">
            <w:pPr>
              <w:keepNext/>
              <w:jc w:val="left"/>
              <w:rPr>
                <w:rFonts w:ascii="Arial Narrow" w:hAnsi="Arial Narrow"/>
                <w:b/>
                <w:sz w:val="20"/>
                <w:szCs w:val="20"/>
              </w:rPr>
            </w:pPr>
            <w:r>
              <w:rPr>
                <w:rFonts w:ascii="Arial Narrow" w:hAnsi="Arial Narrow"/>
                <w:b/>
                <w:sz w:val="20"/>
                <w:szCs w:val="20"/>
              </w:rPr>
              <w:t>Serum phosphate (mg/dL)</w:t>
            </w:r>
          </w:p>
        </w:tc>
      </w:tr>
      <w:tr w:rsidR="00EC2D5E" w14:paraId="48D22FD0"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A0798C" w14:textId="77777777" w:rsidR="00EC2D5E" w:rsidRDefault="00EC2D5E" w:rsidP="009408C2">
            <w:pPr>
              <w:keepNext/>
              <w:rPr>
                <w:rFonts w:ascii="Arial Narrow" w:hAnsi="Arial Narrow"/>
                <w:sz w:val="20"/>
                <w:szCs w:val="20"/>
              </w:rPr>
            </w:pPr>
            <w:r>
              <w:rPr>
                <w:rFonts w:ascii="Arial Narrow" w:hAnsi="Arial Narrow"/>
                <w:sz w:val="20"/>
                <w:szCs w:val="20"/>
              </w:rPr>
              <w:t>Baseline,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63BCD0" w14:textId="77777777" w:rsidR="00EC2D5E" w:rsidRDefault="00EC2D5E" w:rsidP="009408C2">
            <w:pPr>
              <w:keepNext/>
              <w:jc w:val="center"/>
              <w:rPr>
                <w:rFonts w:ascii="Arial Narrow" w:hAnsi="Arial Narrow"/>
                <w:sz w:val="20"/>
                <w:szCs w:val="20"/>
              </w:rPr>
            </w:pPr>
            <w:r>
              <w:rPr>
                <w:rFonts w:ascii="Arial Narrow" w:hAnsi="Arial Narrow"/>
                <w:sz w:val="20"/>
                <w:szCs w:val="20"/>
              </w:rPr>
              <w:t>2.42 (0.24)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4F3FF2" w14:textId="77777777" w:rsidR="00EC2D5E" w:rsidRDefault="00EC2D5E" w:rsidP="009408C2">
            <w:pPr>
              <w:keepNext/>
              <w:jc w:val="center"/>
              <w:rPr>
                <w:rFonts w:ascii="Arial Narrow" w:hAnsi="Arial Narrow"/>
                <w:sz w:val="20"/>
                <w:szCs w:val="20"/>
              </w:rPr>
            </w:pPr>
            <w:r>
              <w:rPr>
                <w:rFonts w:ascii="Arial Narrow" w:hAnsi="Arial Narrow"/>
                <w:sz w:val="20"/>
                <w:szCs w:val="20"/>
              </w:rPr>
              <w:t>2.30 (0.26)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54EC39" w14:textId="77777777" w:rsidR="00EC2D5E" w:rsidRDefault="00EC2D5E" w:rsidP="009408C2">
            <w:pPr>
              <w:keepNext/>
              <w:jc w:val="center"/>
              <w:rPr>
                <w:rFonts w:ascii="Arial Narrow" w:hAnsi="Arial Narrow"/>
                <w:sz w:val="20"/>
                <w:szCs w:val="20"/>
              </w:rPr>
            </w:pPr>
            <w:r>
              <w:rPr>
                <w:rFonts w:ascii="Arial Narrow" w:hAnsi="Arial Narrow"/>
                <w:sz w:val="20"/>
                <w:szCs w:val="20"/>
              </w:rPr>
              <w:t>2.38 (0.41)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F72139" w14:textId="77777777" w:rsidR="00EC2D5E" w:rsidRDefault="00EC2D5E" w:rsidP="009408C2">
            <w:pPr>
              <w:keepNext/>
              <w:jc w:val="center"/>
              <w:rPr>
                <w:rFonts w:ascii="Arial Narrow" w:hAnsi="Arial Narrow"/>
                <w:sz w:val="20"/>
                <w:szCs w:val="20"/>
              </w:rPr>
            </w:pPr>
            <w:r>
              <w:rPr>
                <w:rFonts w:ascii="Arial Narrow" w:hAnsi="Arial Narrow"/>
                <w:sz w:val="20"/>
                <w:szCs w:val="20"/>
              </w:rPr>
              <w:t>2.51 (0.28)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0C24B5E" w14:textId="77777777" w:rsidR="00EC2D5E" w:rsidRDefault="00EC2D5E" w:rsidP="009408C2">
            <w:pPr>
              <w:keepNext/>
              <w:jc w:val="center"/>
              <w:rPr>
                <w:rFonts w:ascii="Arial Narrow" w:hAnsi="Arial Narrow"/>
                <w:sz w:val="20"/>
                <w:szCs w:val="20"/>
              </w:rPr>
            </w:pPr>
            <w:r>
              <w:rPr>
                <w:rFonts w:ascii="Arial Narrow" w:hAnsi="Arial Narrow"/>
                <w:sz w:val="20"/>
                <w:szCs w:val="20"/>
              </w:rPr>
              <w:t>2.61 (0.32)</w:t>
            </w:r>
          </w:p>
        </w:tc>
      </w:tr>
      <w:tr w:rsidR="00EC2D5E" w14:paraId="7026D997"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811029" w14:textId="77777777" w:rsidR="00EC2D5E" w:rsidRDefault="00EC2D5E" w:rsidP="009408C2">
            <w:pPr>
              <w:keepNext/>
              <w:rPr>
                <w:rFonts w:ascii="Arial Narrow" w:hAnsi="Arial Narrow"/>
                <w:sz w:val="20"/>
                <w:szCs w:val="20"/>
              </w:rPr>
            </w:pPr>
            <w:r>
              <w:rPr>
                <w:rFonts w:ascii="Arial Narrow" w:hAnsi="Arial Narrow"/>
                <w:sz w:val="20"/>
                <w:szCs w:val="20"/>
              </w:rPr>
              <w:t>Week 40,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55C750" w14:textId="77777777" w:rsidR="00EC2D5E" w:rsidRDefault="00EC2D5E" w:rsidP="009408C2">
            <w:pPr>
              <w:keepNext/>
              <w:jc w:val="center"/>
              <w:rPr>
                <w:rFonts w:ascii="Arial Narrow" w:hAnsi="Arial Narrow"/>
                <w:sz w:val="20"/>
                <w:szCs w:val="20"/>
              </w:rPr>
            </w:pPr>
            <w:r>
              <w:rPr>
                <w:rFonts w:ascii="Arial Narrow" w:hAnsi="Arial Narrow"/>
                <w:sz w:val="20"/>
                <w:szCs w:val="20"/>
              </w:rPr>
              <w:t>3.38 (0.37)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CC40C6" w14:textId="77777777" w:rsidR="00EC2D5E" w:rsidRDefault="00EC2D5E" w:rsidP="009408C2">
            <w:pPr>
              <w:keepNext/>
              <w:jc w:val="center"/>
              <w:rPr>
                <w:rFonts w:ascii="Arial Narrow" w:hAnsi="Arial Narrow"/>
                <w:sz w:val="20"/>
                <w:szCs w:val="20"/>
              </w:rPr>
            </w:pPr>
            <w:r>
              <w:rPr>
                <w:rFonts w:ascii="Arial Narrow" w:hAnsi="Arial Narrow"/>
                <w:sz w:val="20"/>
                <w:szCs w:val="20"/>
              </w:rPr>
              <w:t>2.55 (0.29)</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DDB763" w14:textId="77777777" w:rsidR="00EC2D5E" w:rsidRDefault="00EC2D5E" w:rsidP="009408C2">
            <w:pPr>
              <w:keepNext/>
              <w:jc w:val="center"/>
              <w:rPr>
                <w:rFonts w:ascii="Arial Narrow" w:hAnsi="Arial Narrow"/>
                <w:sz w:val="20"/>
                <w:szCs w:val="20"/>
              </w:rPr>
            </w:pPr>
            <w:r>
              <w:rPr>
                <w:rFonts w:ascii="Arial Narrow" w:hAnsi="Arial Narrow"/>
                <w:sz w:val="20"/>
                <w:szCs w:val="20"/>
              </w:rPr>
              <w:t>3.30 (0.40)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D10111" w14:textId="77777777" w:rsidR="00EC2D5E" w:rsidRDefault="00EC2D5E" w:rsidP="009408C2">
            <w:pPr>
              <w:keepNext/>
              <w:jc w:val="center"/>
              <w:rPr>
                <w:rFonts w:ascii="Arial Narrow" w:hAnsi="Arial Narrow"/>
                <w:sz w:val="20"/>
                <w:szCs w:val="20"/>
              </w:rPr>
            </w:pPr>
            <w:r>
              <w:rPr>
                <w:rFonts w:ascii="Arial Narrow" w:hAnsi="Arial Narrow"/>
                <w:sz w:val="20"/>
                <w:szCs w:val="20"/>
              </w:rPr>
              <w:t>3.47 (0.49)</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C22DA8B" w14:textId="77777777" w:rsidR="00EC2D5E" w:rsidRDefault="00EC2D5E" w:rsidP="009408C2">
            <w:pPr>
              <w:keepNext/>
              <w:jc w:val="center"/>
              <w:rPr>
                <w:rFonts w:ascii="Arial Narrow" w:hAnsi="Arial Narrow"/>
                <w:sz w:val="20"/>
                <w:szCs w:val="20"/>
              </w:rPr>
            </w:pPr>
            <w:r>
              <w:rPr>
                <w:rFonts w:ascii="Arial Narrow" w:hAnsi="Arial Narrow"/>
                <w:sz w:val="20"/>
                <w:szCs w:val="20"/>
              </w:rPr>
              <w:t>3.51 (0.45)</w:t>
            </w:r>
          </w:p>
        </w:tc>
      </w:tr>
      <w:tr w:rsidR="00EC2D5E" w14:paraId="19D85362"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76608E"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 xml:space="preserve">Week 40, LS mean (SE) change from baseline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2F43C" w14:textId="77777777" w:rsidR="00EC2D5E" w:rsidRDefault="00EC2D5E" w:rsidP="009408C2">
            <w:pPr>
              <w:keepNext/>
              <w:jc w:val="center"/>
              <w:rPr>
                <w:rFonts w:ascii="Arial Narrow" w:hAnsi="Arial Narrow"/>
                <w:sz w:val="20"/>
                <w:szCs w:val="20"/>
              </w:rPr>
            </w:pPr>
            <w:r>
              <w:rPr>
                <w:rFonts w:ascii="Arial Narrow" w:hAnsi="Arial Narrow"/>
                <w:sz w:val="20"/>
                <w:szCs w:val="20"/>
              </w:rPr>
              <w:t>+1.00 (0.062)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409B08" w14:textId="77777777" w:rsidR="00EC2D5E" w:rsidRDefault="00EC2D5E" w:rsidP="009408C2">
            <w:pPr>
              <w:keepNext/>
              <w:jc w:val="center"/>
              <w:rPr>
                <w:rFonts w:ascii="Arial Narrow" w:hAnsi="Arial Narrow"/>
                <w:sz w:val="20"/>
                <w:szCs w:val="20"/>
              </w:rPr>
            </w:pPr>
            <w:r>
              <w:rPr>
                <w:rFonts w:ascii="Arial Narrow" w:hAnsi="Arial Narrow"/>
                <w:sz w:val="20"/>
                <w:szCs w:val="20"/>
              </w:rPr>
              <w:t>+0.23 (0.058)</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8857B3" w14:textId="77777777" w:rsidR="00EC2D5E" w:rsidRDefault="00EC2D5E" w:rsidP="009408C2">
            <w:pPr>
              <w:keepNext/>
              <w:jc w:val="center"/>
              <w:rPr>
                <w:rFonts w:ascii="Arial Narrow" w:hAnsi="Arial Narrow"/>
                <w:sz w:val="20"/>
                <w:szCs w:val="20"/>
              </w:rPr>
            </w:pPr>
            <w:r>
              <w:rPr>
                <w:rFonts w:ascii="Arial Narrow" w:hAnsi="Arial Narrow"/>
                <w:sz w:val="20"/>
                <w:szCs w:val="20"/>
              </w:rPr>
              <w:t>+0.92 (0.094)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9470B" w14:textId="77777777" w:rsidR="00EC2D5E" w:rsidRDefault="00EC2D5E" w:rsidP="009408C2">
            <w:pPr>
              <w:keepNext/>
              <w:jc w:val="center"/>
              <w:rPr>
                <w:rFonts w:ascii="Arial Narrow" w:hAnsi="Arial Narrow"/>
                <w:sz w:val="20"/>
                <w:szCs w:val="20"/>
              </w:rPr>
            </w:pPr>
            <w:r>
              <w:rPr>
                <w:rFonts w:ascii="Arial Narrow" w:hAnsi="Arial Narrow"/>
                <w:sz w:val="20"/>
                <w:szCs w:val="20"/>
              </w:rPr>
              <w:t>+0.96 (0.12)</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54742BF" w14:textId="77777777" w:rsidR="00EC2D5E" w:rsidRDefault="00EC2D5E" w:rsidP="009408C2">
            <w:pPr>
              <w:keepNext/>
              <w:jc w:val="center"/>
              <w:rPr>
                <w:rFonts w:ascii="Arial Narrow" w:hAnsi="Arial Narrow"/>
                <w:sz w:val="20"/>
                <w:szCs w:val="20"/>
              </w:rPr>
            </w:pPr>
            <w:r>
              <w:rPr>
                <w:rFonts w:ascii="Arial Narrow" w:hAnsi="Arial Narrow"/>
                <w:sz w:val="20"/>
                <w:szCs w:val="20"/>
              </w:rPr>
              <w:t>+0.90 (0.30)</w:t>
            </w:r>
          </w:p>
        </w:tc>
      </w:tr>
      <w:tr w:rsidR="00EC2D5E" w14:paraId="3D8AD128"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03A0B5"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Difference (95%CI) v conventional</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390BE1" w14:textId="77777777" w:rsidR="00EC2D5E" w:rsidRDefault="00EC2D5E" w:rsidP="009408C2">
            <w:pPr>
              <w:keepNext/>
              <w:jc w:val="center"/>
              <w:rPr>
                <w:rFonts w:ascii="Arial Narrow" w:hAnsi="Arial Narrow"/>
                <w:b/>
                <w:sz w:val="20"/>
                <w:szCs w:val="20"/>
              </w:rPr>
            </w:pPr>
            <w:r>
              <w:rPr>
                <w:rFonts w:ascii="Arial Narrow" w:hAnsi="Arial Narrow"/>
                <w:b/>
                <w:sz w:val="20"/>
                <w:szCs w:val="20"/>
              </w:rPr>
              <w:t>0.77 (0.60, 0.94)</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89A58F"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A12B4D"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9070656" w14:textId="77777777" w:rsidR="00EC2D5E" w:rsidRDefault="00EC2D5E" w:rsidP="009408C2">
            <w:pPr>
              <w:keepNext/>
              <w:jc w:val="center"/>
              <w:rPr>
                <w:rFonts w:ascii="Arial Narrow" w:hAnsi="Arial Narrow"/>
                <w:sz w:val="20"/>
                <w:szCs w:val="20"/>
              </w:rPr>
            </w:pPr>
            <w:r>
              <w:rPr>
                <w:rFonts w:ascii="Arial Narrow" w:hAnsi="Arial Narrow"/>
                <w:sz w:val="20"/>
                <w:szCs w:val="20"/>
              </w:rPr>
              <w:t>-</w:t>
            </w:r>
          </w:p>
        </w:tc>
      </w:tr>
      <w:tr w:rsidR="00EC2D5E" w14:paraId="3FC9DA24"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86C30D" w14:textId="77777777" w:rsidR="00EC2D5E" w:rsidRDefault="00EC2D5E" w:rsidP="009408C2">
            <w:pPr>
              <w:keepNext/>
              <w:rPr>
                <w:rFonts w:ascii="Arial Narrow" w:hAnsi="Arial Narrow"/>
                <w:sz w:val="20"/>
                <w:szCs w:val="20"/>
              </w:rPr>
            </w:pPr>
            <w:r>
              <w:rPr>
                <w:rFonts w:ascii="Arial Narrow" w:hAnsi="Arial Narrow"/>
                <w:sz w:val="20"/>
                <w:szCs w:val="20"/>
              </w:rPr>
              <w:t>Week 64, mean (SD)</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F58330" w14:textId="77777777" w:rsidR="00EC2D5E" w:rsidRDefault="00EC2D5E" w:rsidP="009408C2">
            <w:pPr>
              <w:keepNext/>
              <w:jc w:val="center"/>
              <w:rPr>
                <w:rFonts w:ascii="Arial Narrow" w:hAnsi="Arial Narrow"/>
                <w:sz w:val="20"/>
                <w:szCs w:val="20"/>
              </w:rPr>
            </w:pPr>
            <w:r>
              <w:rPr>
                <w:rFonts w:ascii="Arial Narrow" w:hAnsi="Arial Narrow"/>
                <w:sz w:val="20"/>
                <w:szCs w:val="20"/>
              </w:rPr>
              <w:t>3.36 (0.37)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B6D4DA" w14:textId="77777777" w:rsidR="00EC2D5E" w:rsidRDefault="00EC2D5E" w:rsidP="009408C2">
            <w:pPr>
              <w:keepNext/>
              <w:jc w:val="center"/>
              <w:rPr>
                <w:rFonts w:ascii="Arial Narrow" w:hAnsi="Arial Narrow"/>
                <w:sz w:val="20"/>
                <w:szCs w:val="20"/>
              </w:rPr>
            </w:pPr>
            <w:r>
              <w:rPr>
                <w:rFonts w:ascii="Arial Narrow" w:hAnsi="Arial Narrow"/>
                <w:sz w:val="20"/>
                <w:szCs w:val="20"/>
              </w:rPr>
              <w:t>2.56 (0.30)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109852" w14:textId="77777777" w:rsidR="00EC2D5E" w:rsidRDefault="00EC2D5E" w:rsidP="009408C2">
            <w:pPr>
              <w:keepNext/>
              <w:jc w:val="center"/>
              <w:rPr>
                <w:rFonts w:ascii="Arial Narrow" w:hAnsi="Arial Narrow"/>
                <w:sz w:val="20"/>
                <w:szCs w:val="20"/>
              </w:rPr>
            </w:pPr>
            <w:r>
              <w:rPr>
                <w:rFonts w:ascii="Arial Narrow" w:hAnsi="Arial Narrow"/>
                <w:sz w:val="20"/>
                <w:szCs w:val="20"/>
              </w:rPr>
              <w:t>3.35 (0.45)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B05590" w14:textId="77777777" w:rsidR="00EC2D5E" w:rsidRDefault="00EC2D5E" w:rsidP="009408C2">
            <w:pPr>
              <w:keepNext/>
              <w:jc w:val="center"/>
              <w:rPr>
                <w:rFonts w:ascii="Arial Narrow" w:hAnsi="Arial Narrow"/>
                <w:sz w:val="20"/>
                <w:szCs w:val="20"/>
              </w:rPr>
            </w:pPr>
            <w:r>
              <w:rPr>
                <w:rFonts w:ascii="Arial Narrow" w:hAnsi="Arial Narrow"/>
                <w:sz w:val="20"/>
                <w:szCs w:val="20"/>
              </w:rPr>
              <w:t>3.40 (0.48)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DCF2BA2" w14:textId="77777777" w:rsidR="00EC2D5E" w:rsidRDefault="00EC2D5E" w:rsidP="009408C2">
            <w:pPr>
              <w:keepNext/>
              <w:jc w:val="center"/>
              <w:rPr>
                <w:rFonts w:ascii="Arial Narrow" w:hAnsi="Arial Narrow"/>
                <w:sz w:val="20"/>
                <w:szCs w:val="20"/>
              </w:rPr>
            </w:pPr>
            <w:r>
              <w:rPr>
                <w:rFonts w:ascii="Arial Narrow" w:hAnsi="Arial Narrow"/>
                <w:sz w:val="20"/>
                <w:szCs w:val="20"/>
              </w:rPr>
              <w:t>3.49 (0.46)</w:t>
            </w:r>
          </w:p>
        </w:tc>
      </w:tr>
      <w:tr w:rsidR="00EC2D5E" w14:paraId="09C1F7C9"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C26D52" w14:textId="77777777" w:rsidR="00EC2D5E" w:rsidRDefault="00EC2D5E" w:rsidP="009408C2">
            <w:pPr>
              <w:keepNext/>
              <w:ind w:left="114"/>
              <w:jc w:val="left"/>
              <w:rPr>
                <w:rFonts w:ascii="Arial Narrow" w:hAnsi="Arial Narrow"/>
                <w:sz w:val="20"/>
                <w:szCs w:val="20"/>
              </w:rPr>
            </w:pPr>
            <w:r>
              <w:rPr>
                <w:rFonts w:ascii="Arial Narrow" w:hAnsi="Arial Narrow"/>
                <w:sz w:val="20"/>
                <w:szCs w:val="20"/>
              </w:rPr>
              <w:t xml:space="preserve">Week 64, LS mean (SE) change from baseline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E8BF40" w14:textId="77777777" w:rsidR="00EC2D5E" w:rsidRDefault="00EC2D5E" w:rsidP="009408C2">
            <w:pPr>
              <w:keepNext/>
              <w:jc w:val="center"/>
              <w:rPr>
                <w:rFonts w:ascii="Arial Narrow" w:hAnsi="Arial Narrow"/>
                <w:sz w:val="20"/>
                <w:szCs w:val="20"/>
              </w:rPr>
            </w:pPr>
            <w:r>
              <w:rPr>
                <w:rFonts w:ascii="Arial Narrow" w:hAnsi="Arial Narrow"/>
                <w:sz w:val="20"/>
                <w:szCs w:val="20"/>
              </w:rPr>
              <w:t>+0.98 (0.061)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FDD9A3" w14:textId="77777777" w:rsidR="00EC2D5E" w:rsidRDefault="00EC2D5E" w:rsidP="009408C2">
            <w:pPr>
              <w:keepNext/>
              <w:jc w:val="center"/>
              <w:rPr>
                <w:rFonts w:ascii="Arial Narrow" w:hAnsi="Arial Narrow"/>
                <w:sz w:val="20"/>
                <w:szCs w:val="20"/>
              </w:rPr>
            </w:pPr>
            <w:r>
              <w:rPr>
                <w:rFonts w:ascii="Arial Narrow" w:hAnsi="Arial Narrow"/>
                <w:sz w:val="20"/>
                <w:szCs w:val="20"/>
              </w:rPr>
              <w:t>+0.24 (0.058)</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92FE74" w14:textId="77777777" w:rsidR="00EC2D5E" w:rsidRDefault="00EC2D5E" w:rsidP="009408C2">
            <w:pPr>
              <w:keepNext/>
              <w:jc w:val="center"/>
              <w:rPr>
                <w:rFonts w:ascii="Arial Narrow" w:hAnsi="Arial Narrow"/>
                <w:sz w:val="20"/>
                <w:szCs w:val="20"/>
              </w:rPr>
            </w:pPr>
            <w:r>
              <w:rPr>
                <w:rFonts w:ascii="Arial Narrow" w:hAnsi="Arial Narrow"/>
                <w:sz w:val="20"/>
                <w:szCs w:val="20"/>
              </w:rPr>
              <w:t>+0.99 (0.10)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38A9D8" w14:textId="77777777" w:rsidR="00EC2D5E" w:rsidRDefault="00EC2D5E" w:rsidP="009408C2">
            <w:pPr>
              <w:keepNext/>
              <w:jc w:val="center"/>
              <w:rPr>
                <w:rFonts w:ascii="Arial Narrow" w:hAnsi="Arial Narrow"/>
                <w:sz w:val="20"/>
                <w:szCs w:val="20"/>
              </w:rPr>
            </w:pPr>
            <w:r>
              <w:rPr>
                <w:rFonts w:ascii="Arial Narrow" w:hAnsi="Arial Narrow"/>
                <w:sz w:val="20"/>
                <w:szCs w:val="20"/>
              </w:rPr>
              <w:t>+0.89 (0.11)</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CD8870E" w14:textId="77777777" w:rsidR="00EC2D5E" w:rsidRDefault="00EC2D5E" w:rsidP="009408C2">
            <w:pPr>
              <w:keepNext/>
              <w:jc w:val="center"/>
              <w:rPr>
                <w:rFonts w:ascii="Arial Narrow" w:hAnsi="Arial Narrow"/>
                <w:sz w:val="20"/>
                <w:szCs w:val="20"/>
              </w:rPr>
            </w:pPr>
            <w:r>
              <w:rPr>
                <w:rFonts w:ascii="Arial Narrow" w:hAnsi="Arial Narrow"/>
                <w:sz w:val="20"/>
                <w:szCs w:val="20"/>
              </w:rPr>
              <w:t>+0.88 (0.31)</w:t>
            </w:r>
          </w:p>
        </w:tc>
      </w:tr>
      <w:tr w:rsidR="00EC2D5E" w:rsidRPr="008E65F1" w14:paraId="0B2671C4"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4B895F" w14:textId="77777777" w:rsidR="00EC2D5E" w:rsidRPr="008E65F1" w:rsidRDefault="00EC2D5E" w:rsidP="009408C2">
            <w:pPr>
              <w:keepNext/>
              <w:ind w:left="114"/>
              <w:jc w:val="left"/>
              <w:rPr>
                <w:rFonts w:ascii="Arial Narrow" w:hAnsi="Arial Narrow"/>
                <w:sz w:val="20"/>
                <w:szCs w:val="20"/>
              </w:rPr>
            </w:pPr>
            <w:r w:rsidRPr="008E65F1">
              <w:rPr>
                <w:rFonts w:ascii="Arial Narrow" w:hAnsi="Arial Narrow"/>
                <w:sz w:val="20"/>
                <w:szCs w:val="20"/>
              </w:rPr>
              <w:t>Difference (95%CI) v conventional</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1F9EB" w14:textId="77777777" w:rsidR="00EC2D5E" w:rsidRPr="008E65F1" w:rsidRDefault="00EC2D5E" w:rsidP="009408C2">
            <w:pPr>
              <w:keepNext/>
              <w:jc w:val="center"/>
              <w:rPr>
                <w:rFonts w:ascii="Arial Narrow" w:hAnsi="Arial Narrow"/>
                <w:b/>
                <w:sz w:val="20"/>
                <w:szCs w:val="20"/>
              </w:rPr>
            </w:pPr>
            <w:r w:rsidRPr="008E65F1">
              <w:rPr>
                <w:rFonts w:ascii="Arial Narrow" w:hAnsi="Arial Narrow"/>
                <w:b/>
                <w:sz w:val="20"/>
                <w:szCs w:val="20"/>
              </w:rPr>
              <w:t>0.74 (0.58, 0.91)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3DA8A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7CDBDF"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E0BF0EC"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r>
      <w:tr w:rsidR="00974F00" w:rsidRPr="008E65F1" w14:paraId="52E0E701" w14:textId="77777777" w:rsidTr="00974F00">
        <w:tc>
          <w:tcPr>
            <w:tcW w:w="901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1FAA9B" w14:textId="7B73F6CD" w:rsidR="00974F00" w:rsidRPr="008E65F1" w:rsidRDefault="00974F00" w:rsidP="009408C2">
            <w:pPr>
              <w:keepNext/>
              <w:jc w:val="left"/>
              <w:rPr>
                <w:rFonts w:ascii="Arial Narrow" w:hAnsi="Arial Narrow"/>
                <w:sz w:val="20"/>
                <w:szCs w:val="20"/>
              </w:rPr>
            </w:pPr>
            <w:r w:rsidRPr="008E65F1">
              <w:rPr>
                <w:rFonts w:ascii="Arial Narrow" w:hAnsi="Arial Narrow"/>
                <w:sz w:val="20"/>
                <w:szCs w:val="20"/>
              </w:rPr>
              <w:t>n (%) reach normal range (3.2-6.1 mg/dL)</w:t>
            </w:r>
          </w:p>
        </w:tc>
      </w:tr>
      <w:tr w:rsidR="00EC2D5E" w:rsidRPr="008E65F1" w14:paraId="2A415418"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0B0462" w14:textId="3F7AB69F"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Baseline to end of treatment period</w:t>
            </w:r>
            <w:r w:rsidR="00BD7F7A">
              <w:rPr>
                <w:rFonts w:ascii="Arial Narrow" w:hAnsi="Arial Narrow"/>
                <w:sz w:val="20"/>
                <w:szCs w:val="20"/>
                <w:vertAlign w:val="superscript"/>
              </w:rPr>
              <w:t>b</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3D01C"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28 (96.6)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4397F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24 (75.0)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29B7BE"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24 (92.3)</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7AEC23"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13 (100)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8C1B4C9"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w:t>
            </w:r>
          </w:p>
        </w:tc>
      </w:tr>
      <w:tr w:rsidR="00EC2D5E" w:rsidRPr="008E65F1" w14:paraId="5C16F7A7"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43E4BA" w14:textId="77777777"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Week 40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AA7C66"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18 (62.1)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73442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 (3.1)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0B343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17 (65.4)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DEC87E"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10 (76.9)</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3BE718D"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5 (33.3)</w:t>
            </w:r>
          </w:p>
        </w:tc>
      </w:tr>
      <w:tr w:rsidR="00EC2D5E" w:rsidRPr="008E65F1" w14:paraId="722C672A" w14:textId="77777777" w:rsidTr="00EC2D5E">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279BCE" w14:textId="77777777" w:rsidR="00EC2D5E" w:rsidRPr="008E65F1" w:rsidRDefault="00EC2D5E" w:rsidP="009408C2">
            <w:pPr>
              <w:keepNext/>
              <w:jc w:val="left"/>
              <w:rPr>
                <w:rFonts w:ascii="Arial Narrow" w:hAnsi="Arial Narrow"/>
                <w:sz w:val="20"/>
                <w:szCs w:val="20"/>
              </w:rPr>
            </w:pPr>
            <w:r w:rsidRPr="008E65F1">
              <w:rPr>
                <w:rFonts w:ascii="Arial Narrow" w:hAnsi="Arial Narrow"/>
                <w:sz w:val="20"/>
                <w:szCs w:val="20"/>
              </w:rPr>
              <w:t>Week 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911B62"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19 (65.5)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D447A8"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 (3.1)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CDD5B0"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16 (66.7)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8BC318"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8 (61.5)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C81077" w14:textId="77777777" w:rsidR="00EC2D5E" w:rsidRPr="008E65F1" w:rsidRDefault="00EC2D5E" w:rsidP="009408C2">
            <w:pPr>
              <w:keepNext/>
              <w:jc w:val="center"/>
              <w:rPr>
                <w:rFonts w:ascii="Arial Narrow" w:hAnsi="Arial Narrow"/>
                <w:sz w:val="20"/>
                <w:szCs w:val="20"/>
              </w:rPr>
            </w:pPr>
            <w:r w:rsidRPr="008E65F1">
              <w:rPr>
                <w:rFonts w:ascii="Arial Narrow" w:hAnsi="Arial Narrow"/>
                <w:sz w:val="20"/>
                <w:szCs w:val="20"/>
              </w:rPr>
              <w:t>6 (40.0)</w:t>
            </w:r>
          </w:p>
        </w:tc>
      </w:tr>
    </w:tbl>
    <w:p w14:paraId="2C7EBBF8" w14:textId="77777777" w:rsidR="00EC2D5E" w:rsidRPr="009408C2" w:rsidRDefault="00EC2D5E" w:rsidP="00F451C4">
      <w:pPr>
        <w:pStyle w:val="TableFigureFooter"/>
        <w:rPr>
          <w:szCs w:val="18"/>
        </w:rPr>
      </w:pPr>
      <w:r w:rsidRPr="009408C2">
        <w:rPr>
          <w:rStyle w:val="CommentReference"/>
          <w:b w:val="0"/>
          <w:bCs/>
          <w:sz w:val="18"/>
          <w:szCs w:val="18"/>
          <w:shd w:val="clear" w:color="auto" w:fill="C6D9F1" w:themeFill="text2" w:themeFillTint="33"/>
        </w:rPr>
        <w:t>Blue shading</w:t>
      </w:r>
      <w:r w:rsidRPr="009408C2">
        <w:rPr>
          <w:rStyle w:val="CommentReference"/>
          <w:b w:val="0"/>
          <w:bCs/>
          <w:sz w:val="18"/>
          <w:szCs w:val="18"/>
        </w:rPr>
        <w:t xml:space="preserve"> indicates data previously seen by the PBAC. </w:t>
      </w:r>
    </w:p>
    <w:p w14:paraId="14FDE526" w14:textId="4B47D02E" w:rsidR="00EC2D5E" w:rsidRDefault="00EC2D5E" w:rsidP="00F451C4">
      <w:pPr>
        <w:pStyle w:val="TableFigureFooter"/>
        <w:rPr>
          <w:szCs w:val="18"/>
        </w:rPr>
      </w:pPr>
      <w:r>
        <w:rPr>
          <w:szCs w:val="18"/>
        </w:rPr>
        <w:t xml:space="preserve">Source: Section 2.5.1.1.2.1, pp118-119 of the </w:t>
      </w:r>
      <w:r w:rsidR="00C86DB7">
        <w:rPr>
          <w:szCs w:val="18"/>
        </w:rPr>
        <w:t>re</w:t>
      </w:r>
      <w:r>
        <w:rPr>
          <w:szCs w:val="18"/>
        </w:rPr>
        <w:t>submission, Table 14.2.3.1.1.1.1, pp1410-1446 of CL301_EOS_report-body, Table 14.2.3.1.1, pp2190-2269 of CL201_EOS_report-body, Table 14.2.3.1.1, pp576-614 of CL205_EOS_report-body, Table 14.2.1-1.1, pp139-154, Table 14.3.5-2, pp801-803 of KRN23-03 CSR.</w:t>
      </w:r>
    </w:p>
    <w:p w14:paraId="6B4CA44A" w14:textId="0F88E99E" w:rsidR="00EC2D5E" w:rsidRDefault="00EC2D5E" w:rsidP="00F451C4">
      <w:pPr>
        <w:pStyle w:val="TableFigureFooter"/>
        <w:rPr>
          <w:szCs w:val="18"/>
        </w:rPr>
      </w:pPr>
      <w:r>
        <w:rPr>
          <w:szCs w:val="18"/>
        </w:rPr>
        <w:t>BUR=burosumab; ITT=intention-to-treat; LS=least squares; PD=pharmacodynamic; Q2W=every 2 weeks</w:t>
      </w:r>
    </w:p>
    <w:p w14:paraId="7647A1A4" w14:textId="77777777" w:rsidR="00EC2D5E" w:rsidRDefault="00EC2D5E" w:rsidP="00F451C4">
      <w:pPr>
        <w:pStyle w:val="TableFigureFooter"/>
        <w:rPr>
          <w:szCs w:val="18"/>
        </w:rPr>
      </w:pPr>
      <w:r>
        <w:rPr>
          <w:szCs w:val="18"/>
        </w:rPr>
        <w:t>#</w:t>
      </w:r>
      <w:r>
        <w:rPr>
          <w:szCs w:val="18"/>
        </w:rPr>
        <w:tab/>
        <w:t>Self-administration (by patient/carer) was permitted from Week 4.</w:t>
      </w:r>
    </w:p>
    <w:p w14:paraId="35110D09" w14:textId="77777777" w:rsidR="00EC2D5E" w:rsidRDefault="00EC2D5E" w:rsidP="00F451C4">
      <w:pPr>
        <w:pStyle w:val="TableFigureFooter"/>
        <w:rPr>
          <w:szCs w:val="18"/>
        </w:rPr>
      </w:pPr>
      <w:r>
        <w:rPr>
          <w:szCs w:val="18"/>
        </w:rPr>
        <w:t>a</w:t>
      </w:r>
      <w:r>
        <w:rPr>
          <w:szCs w:val="18"/>
        </w:rPr>
        <w:tab/>
        <w:t>Mean (SE) change from baseline not reported as LS mean (SE) change from baseline.</w:t>
      </w:r>
    </w:p>
    <w:p w14:paraId="7D18933D" w14:textId="724C73EC" w:rsidR="00EC2D5E" w:rsidRDefault="00EC2D5E" w:rsidP="00BD7F7A">
      <w:pPr>
        <w:pStyle w:val="TableFigureFooter"/>
        <w:rPr>
          <w:szCs w:val="18"/>
        </w:rPr>
      </w:pPr>
      <w:r>
        <w:rPr>
          <w:szCs w:val="18"/>
        </w:rPr>
        <w:t>b</w:t>
      </w:r>
      <w:r>
        <w:rPr>
          <w:szCs w:val="18"/>
        </w:rPr>
        <w:tab/>
        <w:t>Proportion of patients that had a serum phosphorus concentration within the normal range (3.2 to 6.1 mg/dL [1.03 to 1.97 mmol/L]) at least once during the treatment period.</w:t>
      </w:r>
    </w:p>
    <w:p w14:paraId="32D58F43" w14:textId="77777777" w:rsidR="00EC2D5E" w:rsidRDefault="00EC2D5E" w:rsidP="00EC2D5E">
      <w:pPr>
        <w:tabs>
          <w:tab w:val="left" w:pos="142"/>
        </w:tabs>
        <w:ind w:left="140" w:hanging="140"/>
        <w:rPr>
          <w:rFonts w:ascii="Arial Narrow" w:hAnsi="Arial Narrow"/>
          <w:sz w:val="18"/>
          <w:szCs w:val="18"/>
        </w:rPr>
      </w:pPr>
    </w:p>
    <w:p w14:paraId="45E5B9CF" w14:textId="7DFDD962" w:rsidR="00EC2D5E" w:rsidRDefault="00EC2D5E" w:rsidP="0073079A">
      <w:pPr>
        <w:pStyle w:val="3-BodyText"/>
        <w:snapToGrid w:val="0"/>
      </w:pPr>
      <w:r>
        <w:t>In CL301, a higher proportion of patients in the burosumab group achieved serum phosphorus within the normal range (3.2-6.1 mg/dL) at least once during the treatment period. The proportion of patients with serum phosphorus level within the normal range at Week 40 and Week 64 were consistent across the studies (except in KRN23-003</w:t>
      </w:r>
      <w:r w:rsidR="00FA7DD4">
        <w:t xml:space="preserve"> which had a lower proportion of patients achieving normal serum phosphorus levels</w:t>
      </w:r>
      <w:r>
        <w:t>).</w:t>
      </w:r>
    </w:p>
    <w:p w14:paraId="19160415" w14:textId="77777777" w:rsidR="00EC2D5E" w:rsidRDefault="00EC2D5E" w:rsidP="00EC2D5E">
      <w:pPr>
        <w:pStyle w:val="3-BodyText"/>
        <w:numPr>
          <w:ilvl w:val="0"/>
          <w:numId w:val="0"/>
        </w:numPr>
        <w:rPr>
          <w:b/>
        </w:rPr>
      </w:pPr>
      <w:r>
        <w:rPr>
          <w:b/>
        </w:rPr>
        <w:t>Adults</w:t>
      </w:r>
    </w:p>
    <w:p w14:paraId="7CA750D9" w14:textId="56BFE734" w:rsidR="00EC2D5E" w:rsidRPr="008E65F1" w:rsidRDefault="00EC2D5E" w:rsidP="0073079A">
      <w:pPr>
        <w:pStyle w:val="3-BodyText"/>
        <w:snapToGrid w:val="0"/>
      </w:pPr>
      <w:r w:rsidRPr="008E65F1">
        <w:t xml:space="preserve">The resubmission stated that in adults with XLH, burosumab was </w:t>
      </w:r>
      <w:r w:rsidR="00FA7DD4" w:rsidRPr="008E65F1">
        <w:t xml:space="preserve">given to </w:t>
      </w:r>
      <w:r w:rsidRPr="008E65F1">
        <w:t>directly treat the underlying pathophysiology of the FGF23-induced hypophosphatemia and improve phosphate homeostasis, skeletal health (i.e. fracture healing), patient reported outcomes including stiffness and pain, and mobility. The resubmission nominated the relevant outcomes as: i) fracture healing, ii) biochemical markers of phosphate homeostasis and bone mineralisation (serum phosphate, serum 1,25(OH)2D and TmP/GFR), iii) markers of bone formation and resorption (procollagen type 1 N-propeptide (P1NP) and carboxy-terminal cross-linked telopeptide of type I collagen (CTx) and bone-specific alkaline phosphatase (BALP), iv) patient reported outcome of stiffness, pain and fatigue (WOMAC, BPI and brief fatigue index (BFI)) and iv) physical function (6MWT and timed up and go (TUG)).</w:t>
      </w:r>
    </w:p>
    <w:p w14:paraId="39D59004" w14:textId="3BD977F3" w:rsidR="00EC2D5E" w:rsidRPr="008E65F1" w:rsidRDefault="00EC2D5E" w:rsidP="0073079A">
      <w:pPr>
        <w:pStyle w:val="3-BodyText"/>
        <w:snapToGrid w:val="0"/>
      </w:pPr>
      <w:r w:rsidRPr="008E65F1">
        <w:lastRenderedPageBreak/>
        <w:t>The nominated outcomes were generally consistent with the recommended clinical, biochemical and radiological follow-up assessment of adults with XLH based on guidance for the diagnosis and management of XLH (Haffner et al 2019)</w:t>
      </w:r>
      <w:r w:rsidRPr="008E65F1">
        <w:rPr>
          <w:rStyle w:val="FootnoteReference"/>
          <w:rFonts w:eastAsiaTheme="majorEastAsia"/>
        </w:rPr>
        <w:t xml:space="preserve"> </w:t>
      </w:r>
      <w:r w:rsidRPr="008E65F1">
        <w:rPr>
          <w:rStyle w:val="FootnoteReference"/>
          <w:rFonts w:eastAsiaTheme="majorEastAsia"/>
        </w:rPr>
        <w:footnoteReference w:id="6"/>
      </w:r>
      <w:r w:rsidRPr="008E65F1">
        <w:t xml:space="preserve">. </w:t>
      </w:r>
      <w:bookmarkStart w:id="39" w:name="_Hlk92284087"/>
      <w:r w:rsidRPr="008E65F1">
        <w:t>However, only the outcomes of fractures healing and WOMAC (stiffness, pain and fatigue) from CL303/BUR02 were used in the modelled economic evaluation for adults with XLH.</w:t>
      </w:r>
      <w:bookmarkEnd w:id="39"/>
    </w:p>
    <w:p w14:paraId="5102B49B" w14:textId="20DB7E85" w:rsidR="00EC2D5E" w:rsidRPr="008E65F1" w:rsidRDefault="00EC2D5E" w:rsidP="0073079A">
      <w:pPr>
        <w:pStyle w:val="3-BodyText"/>
        <w:snapToGrid w:val="0"/>
      </w:pPr>
      <w:r w:rsidRPr="008E65F1">
        <w:t xml:space="preserve">The resubmission did </w:t>
      </w:r>
      <w:r w:rsidR="00954DEA" w:rsidRPr="008E65F1">
        <w:t xml:space="preserve">not </w:t>
      </w:r>
      <w:r w:rsidR="00F11C46">
        <w:t>clearly specify</w:t>
      </w:r>
      <w:r w:rsidRPr="008E65F1">
        <w:t xml:space="preserve"> a</w:t>
      </w:r>
      <w:r w:rsidR="000D7622" w:rsidRPr="008E65F1">
        <w:t xml:space="preserve"> minimally clinically important difference (</w:t>
      </w:r>
      <w:r w:rsidRPr="008E65F1">
        <w:t>MCID</w:t>
      </w:r>
      <w:r w:rsidR="000D7622" w:rsidRPr="008E65F1">
        <w:t>)</w:t>
      </w:r>
      <w:r w:rsidRPr="008E65F1">
        <w:t xml:space="preserve"> for WOMAC. There were small inconsistencies in the meaningful change threshold presented in the resubmission, which was based on the responder definitions for XLH from Skrinar et al 2019. Skrinar et al 2019 defined response as 10-15 point decrease for the stiffness domain, 8-10 point decrease for the physical function domain, 11 point decrease for the pain domain and 10 points for the total score.</w:t>
      </w:r>
    </w:p>
    <w:p w14:paraId="6FD77F43" w14:textId="77777777" w:rsidR="00EC2D5E" w:rsidRPr="008E65F1" w:rsidRDefault="00EC2D5E" w:rsidP="0073079A">
      <w:pPr>
        <w:pStyle w:val="3-BodyText"/>
        <w:snapToGrid w:val="0"/>
      </w:pPr>
      <w:r w:rsidRPr="008E65F1">
        <w:t>Figure 1 illustrates the percentage of healed active fractures and pseudofractures over time in CL303. At baseline 32 patients (47.1%) in burosumab group had a combined total of 65 active fractures (14 fractures and 51 pseudofractures), and 38 (57.6%) patients in the placebo group had 91 active fractures (13 fractures and 78 pseudofractures).</w:t>
      </w:r>
    </w:p>
    <w:p w14:paraId="393A2F31" w14:textId="21700527" w:rsidR="00EC2D5E" w:rsidRDefault="00EC2D5E" w:rsidP="00EC2D5E">
      <w:pPr>
        <w:keepNext/>
        <w:jc w:val="left"/>
        <w:rPr>
          <w:rFonts w:ascii="Arial Narrow" w:hAnsi="Arial Narrow" w:cs="Times New Roman"/>
          <w:b/>
          <w:bCs/>
          <w:sz w:val="20"/>
          <w:szCs w:val="20"/>
          <w:lang w:eastAsia="en-US" w:bidi="en-US"/>
        </w:rPr>
      </w:pPr>
      <w:r>
        <w:rPr>
          <w:rFonts w:ascii="Arial Narrow" w:hAnsi="Arial Narrow" w:cs="Times New Roman"/>
          <w:b/>
          <w:bCs/>
          <w:sz w:val="20"/>
          <w:szCs w:val="20"/>
          <w:lang w:eastAsia="en-US" w:bidi="en-US"/>
        </w:rPr>
        <w:t xml:space="preserve">Figure </w:t>
      </w:r>
      <w:r>
        <w:rPr>
          <w:rFonts w:ascii="Arial Narrow" w:hAnsi="Arial Narrow" w:cs="Times New Roman"/>
          <w:b/>
          <w:bCs/>
          <w:sz w:val="20"/>
          <w:szCs w:val="20"/>
          <w:lang w:eastAsia="en-US" w:bidi="en-US"/>
        </w:rPr>
        <w:fldChar w:fldCharType="begin"/>
      </w:r>
      <w:r>
        <w:rPr>
          <w:rFonts w:ascii="Arial Narrow" w:hAnsi="Arial Narrow" w:cs="Times New Roman"/>
          <w:b/>
          <w:bCs/>
          <w:sz w:val="20"/>
          <w:szCs w:val="20"/>
          <w:lang w:eastAsia="en-US" w:bidi="en-US"/>
        </w:rPr>
        <w:instrText xml:space="preserve"> SEQ Figure \* ARABIC </w:instrText>
      </w:r>
      <w:r>
        <w:rPr>
          <w:rFonts w:ascii="Arial Narrow" w:hAnsi="Arial Narrow" w:cs="Times New Roman"/>
          <w:b/>
          <w:bCs/>
          <w:sz w:val="20"/>
          <w:szCs w:val="20"/>
          <w:lang w:eastAsia="en-US" w:bidi="en-US"/>
        </w:rPr>
        <w:fldChar w:fldCharType="separate"/>
      </w:r>
      <w:r w:rsidR="00676539">
        <w:rPr>
          <w:rFonts w:ascii="Arial Narrow" w:hAnsi="Arial Narrow" w:cs="Times New Roman"/>
          <w:b/>
          <w:bCs/>
          <w:noProof/>
          <w:sz w:val="20"/>
          <w:szCs w:val="20"/>
          <w:lang w:eastAsia="en-US" w:bidi="en-US"/>
        </w:rPr>
        <w:t>1</w:t>
      </w:r>
      <w:r>
        <w:rPr>
          <w:rFonts w:ascii="Arial Narrow" w:hAnsi="Arial Narrow" w:cs="Times New Roman"/>
          <w:b/>
          <w:bCs/>
          <w:sz w:val="20"/>
          <w:szCs w:val="20"/>
          <w:lang w:eastAsia="en-US" w:bidi="en-US"/>
        </w:rPr>
        <w:fldChar w:fldCharType="end"/>
      </w:r>
      <w:r>
        <w:rPr>
          <w:rFonts w:ascii="Arial Narrow" w:hAnsi="Arial Narrow" w:cs="Times New Roman"/>
          <w:b/>
          <w:bCs/>
          <w:sz w:val="20"/>
          <w:szCs w:val="20"/>
          <w:lang w:eastAsia="en-US" w:bidi="en-US"/>
        </w:rPr>
        <w:t>: Percentage of healed active fractures and pseudofractures in CL303</w:t>
      </w:r>
    </w:p>
    <w:p w14:paraId="08313C67" w14:textId="3E165ED7" w:rsidR="00EC2D5E" w:rsidRDefault="00EC2D5E" w:rsidP="00EC2D5E">
      <w:pPr>
        <w:spacing w:line="276" w:lineRule="auto"/>
        <w:jc w:val="left"/>
        <w:rPr>
          <w:rFonts w:ascii="Candara" w:hAnsi="Candara" w:cs="Times New Roman"/>
          <w:szCs w:val="22"/>
          <w:lang w:eastAsia="en-US"/>
        </w:rPr>
      </w:pPr>
      <w:r>
        <w:rPr>
          <w:rFonts w:ascii="Candara" w:hAnsi="Candara" w:cs="Times New Roman"/>
          <w:noProof/>
          <w:szCs w:val="22"/>
        </w:rPr>
        <w:drawing>
          <wp:inline distT="0" distB="0" distL="0" distR="0" wp14:anchorId="4924B414" wp14:editId="50B50399">
            <wp:extent cx="4101084" cy="2724150"/>
            <wp:effectExtent l="0" t="0" r="0" b="0"/>
            <wp:docPr id="19" name="Picture 19" descr="Figure 1: Percentage of healed active fractures and pseudofractures in CL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1: Percentage of healed active fractures and pseudofractures in CL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329" cy="2724977"/>
                    </a:xfrm>
                    <a:prstGeom prst="rect">
                      <a:avLst/>
                    </a:prstGeom>
                    <a:noFill/>
                    <a:ln>
                      <a:noFill/>
                    </a:ln>
                  </pic:spPr>
                </pic:pic>
              </a:graphicData>
            </a:graphic>
          </wp:inline>
        </w:drawing>
      </w:r>
    </w:p>
    <w:p w14:paraId="63E6E779" w14:textId="2D4981DB" w:rsidR="00EC2D5E" w:rsidRDefault="00EC2D5E" w:rsidP="00EC2D5E">
      <w:pPr>
        <w:widowControl w:val="0"/>
        <w:jc w:val="left"/>
        <w:rPr>
          <w:rFonts w:ascii="Arial Narrow" w:hAnsi="Arial Narrow" w:cs="Times New Roman"/>
          <w:bCs/>
          <w:sz w:val="18"/>
          <w:szCs w:val="20"/>
          <w:lang w:eastAsia="en-US" w:bidi="en-US"/>
        </w:rPr>
      </w:pPr>
      <w:r>
        <w:rPr>
          <w:rFonts w:ascii="Arial Narrow" w:hAnsi="Arial Narrow" w:cs="Times New Roman"/>
          <w:bCs/>
          <w:sz w:val="18"/>
          <w:szCs w:val="20"/>
          <w:lang w:eastAsia="en-US" w:bidi="en-US"/>
        </w:rPr>
        <w:t xml:space="preserve">Source: Figure 2-43, p161 of the </w:t>
      </w:r>
      <w:r w:rsidR="00C86DB7">
        <w:rPr>
          <w:rFonts w:ascii="Arial Narrow" w:hAnsi="Arial Narrow" w:cs="Times New Roman"/>
          <w:bCs/>
          <w:sz w:val="18"/>
          <w:szCs w:val="20"/>
          <w:lang w:eastAsia="en-US" w:bidi="en-US"/>
        </w:rPr>
        <w:t>re</w:t>
      </w:r>
      <w:r>
        <w:rPr>
          <w:rFonts w:ascii="Arial Narrow" w:hAnsi="Arial Narrow" w:cs="Times New Roman"/>
          <w:bCs/>
          <w:sz w:val="18"/>
          <w:szCs w:val="20"/>
          <w:lang w:eastAsia="en-US" w:bidi="en-US"/>
        </w:rPr>
        <w:t>submission.</w:t>
      </w:r>
    </w:p>
    <w:p w14:paraId="2C4B05AB" w14:textId="77777777" w:rsidR="00EC2D5E" w:rsidRDefault="00EC2D5E" w:rsidP="00EC2D5E">
      <w:pPr>
        <w:widowControl w:val="0"/>
        <w:jc w:val="left"/>
        <w:rPr>
          <w:rFonts w:ascii="Arial Narrow" w:hAnsi="Arial Narrow" w:cs="Times New Roman"/>
          <w:bCs/>
          <w:sz w:val="18"/>
          <w:szCs w:val="20"/>
          <w:lang w:eastAsia="en-US" w:bidi="en-US"/>
        </w:rPr>
      </w:pPr>
    </w:p>
    <w:p w14:paraId="55253C7F" w14:textId="77777777" w:rsidR="00EC2D5E" w:rsidRPr="008E65F1" w:rsidRDefault="00EC2D5E" w:rsidP="0073079A">
      <w:pPr>
        <w:pStyle w:val="3-BodyText"/>
        <w:snapToGrid w:val="0"/>
      </w:pPr>
      <w:r w:rsidRPr="008E65F1">
        <w:t>The results demonstrated that:</w:t>
      </w:r>
    </w:p>
    <w:p w14:paraId="50E83120" w14:textId="2A33324E" w:rsidR="00EC2D5E" w:rsidRPr="008E65F1" w:rsidRDefault="00EC2D5E" w:rsidP="001A2C4E">
      <w:pPr>
        <w:pStyle w:val="ListParagraph"/>
        <w:numPr>
          <w:ilvl w:val="1"/>
          <w:numId w:val="11"/>
        </w:numPr>
        <w:snapToGrid w:val="0"/>
        <w:ind w:left="1080" w:hanging="360"/>
      </w:pPr>
      <w:r w:rsidRPr="008E65F1">
        <w:lastRenderedPageBreak/>
        <w:t>during the placebo-controlled treatment period, the percentage of baseline active fractures/pseudofractures graded as fully healed at Week 24 was higher in the burosumab group compared to placebo (43.1% v 7.7%). After placebo crossover to burosumab treatment in the open-label treatment continuation period, 63.1% (41/65) fractures in the burosumab group had fully healed compared to 35.2% (32/91) fractures in the placebo-burosumab crossover group at Week 48.</w:t>
      </w:r>
    </w:p>
    <w:p w14:paraId="76B16B45" w14:textId="51656D3D" w:rsidR="00EC2D5E" w:rsidRPr="008E65F1" w:rsidRDefault="00B43A10" w:rsidP="001A2C4E">
      <w:pPr>
        <w:pStyle w:val="ListParagraph"/>
        <w:numPr>
          <w:ilvl w:val="1"/>
          <w:numId w:val="11"/>
        </w:numPr>
        <w:snapToGrid w:val="0"/>
        <w:ind w:left="1080" w:hanging="360"/>
      </w:pPr>
      <w:r>
        <w:t>t</w:t>
      </w:r>
      <w:r w:rsidR="00EC2D5E" w:rsidRPr="008E65F1">
        <w:t>he number of patients with active fractures/pseudofractures graded as fully healed in the burosumab groups increased from baseline at Week 24 (50%) and Week 48 (65.6-75%). The number patients with active fractures/pseudofractures graded as fully healed for the burosumab groups were consistent between CL303 and CL304.</w:t>
      </w:r>
    </w:p>
    <w:p w14:paraId="0F6D1D52" w14:textId="24660604" w:rsidR="00EC2D5E" w:rsidRPr="008E65F1" w:rsidRDefault="00EC2D5E" w:rsidP="00EC2D5E">
      <w:pPr>
        <w:pStyle w:val="3-BodyText"/>
        <w:numPr>
          <w:ilvl w:val="0"/>
          <w:numId w:val="0"/>
        </w:numPr>
        <w:ind w:left="720"/>
      </w:pPr>
      <w:r w:rsidRPr="008E65F1">
        <w:t xml:space="preserve">Fracture healing was an exploratory outcome across the studies and reported up to Week 48. However, </w:t>
      </w:r>
      <w:r w:rsidR="00F11C46">
        <w:t xml:space="preserve">the </w:t>
      </w:r>
      <w:r w:rsidRPr="008E65F1">
        <w:t>CL303 CSR (p181) stated that beyond Week 48, x-ray follow-up was continued only on ‘new findings’ of fractures/pseudofractures identified at Weeks 12 to 48, of which 56% (10/18) were fully healed or partially healed at the end of study I (i.e. last time point imaged on study, Week 96).</w:t>
      </w:r>
    </w:p>
    <w:p w14:paraId="680A91F4" w14:textId="77777777" w:rsidR="00EC2D5E" w:rsidRPr="008E65F1" w:rsidRDefault="00EC2D5E" w:rsidP="0073079A">
      <w:pPr>
        <w:pStyle w:val="3-BodyText"/>
        <w:snapToGrid w:val="0"/>
      </w:pPr>
      <w:r w:rsidRPr="008E65F1">
        <w:t>Table 8 summarises the change from baseline in the PD parameters (serum phosphorus) in the adult studies.</w:t>
      </w:r>
    </w:p>
    <w:p w14:paraId="788E1C32" w14:textId="4B9C8BFC" w:rsidR="00EC2D5E" w:rsidRDefault="00EC2D5E" w:rsidP="00EC2D5E">
      <w:pPr>
        <w:keepNext/>
        <w:rPr>
          <w:rFonts w:ascii="Arial Narrow" w:hAnsi="Arial Narrow"/>
          <w:b/>
          <w:sz w:val="20"/>
          <w:szCs w:val="20"/>
        </w:rPr>
      </w:pPr>
      <w:r>
        <w:rPr>
          <w:rFonts w:ascii="Arial Narrow" w:hAnsi="Arial Narrow"/>
          <w:b/>
          <w:sz w:val="20"/>
          <w:szCs w:val="20"/>
        </w:rPr>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676539">
        <w:rPr>
          <w:rFonts w:ascii="Arial Narrow" w:hAnsi="Arial Narrow"/>
          <w:b/>
          <w:noProof/>
          <w:sz w:val="20"/>
          <w:szCs w:val="20"/>
        </w:rPr>
        <w:t>8</w:t>
      </w:r>
      <w:r>
        <w:rPr>
          <w:rFonts w:ascii="Arial Narrow" w:hAnsi="Arial Narrow"/>
          <w:b/>
          <w:sz w:val="20"/>
          <w:szCs w:val="20"/>
        </w:rPr>
        <w:fldChar w:fldCharType="end"/>
      </w:r>
      <w:r>
        <w:rPr>
          <w:rFonts w:ascii="Arial Narrow" w:hAnsi="Arial Narrow"/>
          <w:b/>
          <w:sz w:val="20"/>
          <w:szCs w:val="20"/>
        </w:rPr>
        <w:t>: change from baseline in PD (serum phosphorus) in the adult studies</w:t>
      </w:r>
    </w:p>
    <w:tbl>
      <w:tblPr>
        <w:tblStyle w:val="TableGrid"/>
        <w:tblW w:w="5000" w:type="pct"/>
        <w:tblCellMar>
          <w:left w:w="28" w:type="dxa"/>
          <w:right w:w="28" w:type="dxa"/>
        </w:tblCellMar>
        <w:tblLook w:val="04A0" w:firstRow="1" w:lastRow="0" w:firstColumn="1" w:lastColumn="0" w:noHBand="0" w:noVBand="1"/>
      </w:tblPr>
      <w:tblGrid>
        <w:gridCol w:w="3681"/>
        <w:gridCol w:w="1277"/>
        <w:gridCol w:w="1275"/>
        <w:gridCol w:w="1417"/>
        <w:gridCol w:w="1367"/>
      </w:tblGrid>
      <w:tr w:rsidR="00EC2D5E" w:rsidRPr="008E65F1" w14:paraId="458016F2" w14:textId="77777777" w:rsidTr="00EC2D5E">
        <w:trPr>
          <w:tblHeader/>
        </w:trPr>
        <w:tc>
          <w:tcPr>
            <w:tcW w:w="2041" w:type="pct"/>
            <w:vMerge w:val="restart"/>
            <w:tcBorders>
              <w:top w:val="single" w:sz="4" w:space="0" w:color="auto"/>
              <w:left w:val="single" w:sz="4" w:space="0" w:color="auto"/>
              <w:bottom w:val="single" w:sz="4" w:space="0" w:color="auto"/>
              <w:right w:val="single" w:sz="4" w:space="0" w:color="auto"/>
            </w:tcBorders>
            <w:vAlign w:val="center"/>
            <w:hideMark/>
          </w:tcPr>
          <w:p w14:paraId="7EDCB334" w14:textId="77777777" w:rsidR="00EC2D5E" w:rsidRPr="008E65F1" w:rsidRDefault="00EC2D5E">
            <w:pPr>
              <w:jc w:val="left"/>
              <w:rPr>
                <w:rFonts w:ascii="Arial Narrow" w:hAnsi="Arial Narrow"/>
                <w:b/>
                <w:sz w:val="20"/>
                <w:szCs w:val="20"/>
              </w:rPr>
            </w:pPr>
            <w:r w:rsidRPr="008E65F1">
              <w:rPr>
                <w:rFonts w:ascii="Arial Narrow" w:hAnsi="Arial Narrow"/>
                <w:b/>
                <w:sz w:val="20"/>
                <w:szCs w:val="20"/>
              </w:rPr>
              <w:t>Outcome</w:t>
            </w:r>
          </w:p>
        </w:tc>
        <w:tc>
          <w:tcPr>
            <w:tcW w:w="1415" w:type="pct"/>
            <w:gridSpan w:val="2"/>
            <w:tcBorders>
              <w:top w:val="single" w:sz="4" w:space="0" w:color="auto"/>
              <w:left w:val="single" w:sz="4" w:space="0" w:color="auto"/>
              <w:bottom w:val="single" w:sz="4" w:space="0" w:color="auto"/>
              <w:right w:val="single" w:sz="4" w:space="0" w:color="auto"/>
            </w:tcBorders>
            <w:vAlign w:val="center"/>
            <w:hideMark/>
          </w:tcPr>
          <w:p w14:paraId="73D3DAA2"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CL303</w:t>
            </w:r>
          </w:p>
        </w:tc>
        <w:tc>
          <w:tcPr>
            <w:tcW w:w="786" w:type="pct"/>
            <w:tcBorders>
              <w:top w:val="single" w:sz="4" w:space="0" w:color="auto"/>
              <w:left w:val="single" w:sz="4" w:space="0" w:color="auto"/>
              <w:bottom w:val="single" w:sz="4" w:space="0" w:color="auto"/>
              <w:right w:val="single" w:sz="4" w:space="0" w:color="auto"/>
            </w:tcBorders>
            <w:vAlign w:val="center"/>
            <w:hideMark/>
          </w:tcPr>
          <w:p w14:paraId="217765B9" w14:textId="05F2DA69" w:rsidR="00EC2D5E" w:rsidRPr="008E65F1" w:rsidRDefault="00EC2D5E">
            <w:pPr>
              <w:jc w:val="center"/>
              <w:rPr>
                <w:rFonts w:ascii="Arial Narrow" w:hAnsi="Arial Narrow"/>
                <w:b/>
                <w:sz w:val="20"/>
                <w:szCs w:val="20"/>
              </w:rPr>
            </w:pPr>
            <w:r w:rsidRPr="008E65F1">
              <w:rPr>
                <w:rFonts w:ascii="Arial Narrow" w:hAnsi="Arial Narrow"/>
                <w:b/>
                <w:sz w:val="20"/>
                <w:szCs w:val="20"/>
              </w:rPr>
              <w:t>BUR02</w:t>
            </w:r>
            <w:r w:rsidRPr="008E65F1">
              <w:rPr>
                <w:rFonts w:ascii="Arial Narrow" w:hAnsi="Arial Narrow"/>
                <w:sz w:val="20"/>
                <w:szCs w:val="20"/>
                <w:vertAlign w:val="superscript"/>
              </w:rPr>
              <w:t xml:space="preserve"> </w:t>
            </w:r>
            <w:r w:rsidR="00BD7F7A">
              <w:rPr>
                <w:rFonts w:ascii="Arial Narrow" w:hAnsi="Arial Narrow"/>
                <w:sz w:val="20"/>
                <w:szCs w:val="20"/>
                <w:vertAlign w:val="superscript"/>
              </w:rPr>
              <w:t>a</w:t>
            </w:r>
          </w:p>
        </w:tc>
        <w:tc>
          <w:tcPr>
            <w:tcW w:w="758" w:type="pct"/>
            <w:tcBorders>
              <w:top w:val="single" w:sz="4" w:space="0" w:color="auto"/>
              <w:left w:val="single" w:sz="4" w:space="0" w:color="auto"/>
              <w:bottom w:val="single" w:sz="4" w:space="0" w:color="auto"/>
              <w:right w:val="single" w:sz="4" w:space="0" w:color="auto"/>
            </w:tcBorders>
            <w:vAlign w:val="center"/>
            <w:hideMark/>
          </w:tcPr>
          <w:p w14:paraId="7C864132"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CL304</w:t>
            </w:r>
          </w:p>
        </w:tc>
      </w:tr>
      <w:tr w:rsidR="00EC2D5E" w:rsidRPr="008E65F1" w14:paraId="61233B08" w14:textId="77777777" w:rsidTr="00EC2D5E">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D1E73" w14:textId="77777777" w:rsidR="00EC2D5E" w:rsidRPr="008E65F1" w:rsidRDefault="00EC2D5E">
            <w:pPr>
              <w:jc w:val="left"/>
              <w:rPr>
                <w:rFonts w:ascii="Arial Narrow" w:hAnsi="Arial Narrow"/>
                <w:b/>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hideMark/>
          </w:tcPr>
          <w:p w14:paraId="52860821"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7AF2B878"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N=68</w:t>
            </w:r>
          </w:p>
        </w:tc>
        <w:tc>
          <w:tcPr>
            <w:tcW w:w="707" w:type="pct"/>
            <w:tcBorders>
              <w:top w:val="single" w:sz="4" w:space="0" w:color="auto"/>
              <w:left w:val="single" w:sz="4" w:space="0" w:color="auto"/>
              <w:bottom w:val="single" w:sz="4" w:space="0" w:color="auto"/>
              <w:right w:val="single" w:sz="4" w:space="0" w:color="auto"/>
            </w:tcBorders>
            <w:vAlign w:val="center"/>
            <w:hideMark/>
          </w:tcPr>
          <w:p w14:paraId="4C9BD5AB"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Placebo</w:t>
            </w:r>
          </w:p>
          <w:p w14:paraId="1160E78D"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N=66</w:t>
            </w:r>
          </w:p>
        </w:tc>
        <w:tc>
          <w:tcPr>
            <w:tcW w:w="786" w:type="pct"/>
            <w:tcBorders>
              <w:top w:val="single" w:sz="4" w:space="0" w:color="auto"/>
              <w:left w:val="single" w:sz="4" w:space="0" w:color="auto"/>
              <w:bottom w:val="single" w:sz="4" w:space="0" w:color="auto"/>
              <w:right w:val="single" w:sz="4" w:space="0" w:color="auto"/>
            </w:tcBorders>
            <w:vAlign w:val="center"/>
            <w:hideMark/>
          </w:tcPr>
          <w:p w14:paraId="4D9FCB50"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064793A8"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N=31</w:t>
            </w:r>
          </w:p>
        </w:tc>
        <w:tc>
          <w:tcPr>
            <w:tcW w:w="758" w:type="pct"/>
            <w:tcBorders>
              <w:top w:val="single" w:sz="4" w:space="0" w:color="auto"/>
              <w:left w:val="single" w:sz="4" w:space="0" w:color="auto"/>
              <w:bottom w:val="single" w:sz="4" w:space="0" w:color="auto"/>
              <w:right w:val="single" w:sz="4" w:space="0" w:color="auto"/>
            </w:tcBorders>
            <w:vAlign w:val="center"/>
            <w:hideMark/>
          </w:tcPr>
          <w:p w14:paraId="02F85479"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BUR Q4W</w:t>
            </w:r>
          </w:p>
          <w:p w14:paraId="0BCD6187"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N=14</w:t>
            </w:r>
          </w:p>
        </w:tc>
      </w:tr>
      <w:tr w:rsidR="00EC2D5E" w:rsidRPr="008E65F1" w14:paraId="167BBB2E" w14:textId="77777777" w:rsidTr="00EC2D5E">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BD7F26B" w14:textId="77777777" w:rsidR="00EC2D5E" w:rsidRPr="008E65F1" w:rsidRDefault="00EC2D5E">
            <w:pPr>
              <w:jc w:val="left"/>
              <w:rPr>
                <w:rFonts w:ascii="Arial Narrow" w:hAnsi="Arial Narrow"/>
                <w:sz w:val="20"/>
                <w:szCs w:val="20"/>
              </w:rPr>
            </w:pPr>
            <w:r w:rsidRPr="008E65F1">
              <w:rPr>
                <w:rFonts w:ascii="Arial Narrow" w:hAnsi="Arial Narrow"/>
                <w:b/>
                <w:sz w:val="20"/>
                <w:szCs w:val="20"/>
              </w:rPr>
              <w:t>Serum phosphate (mg/dL)^#</w:t>
            </w:r>
          </w:p>
        </w:tc>
      </w:tr>
      <w:tr w:rsidR="00EC2D5E" w:rsidRPr="008E65F1" w14:paraId="55D441E0"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3C8920E" w14:textId="77777777" w:rsidR="00EC2D5E" w:rsidRPr="008E65F1" w:rsidRDefault="00EC2D5E">
            <w:pPr>
              <w:jc w:val="left"/>
              <w:rPr>
                <w:rFonts w:ascii="Arial Narrow" w:hAnsi="Arial Narrow"/>
                <w:sz w:val="20"/>
                <w:szCs w:val="20"/>
              </w:rPr>
            </w:pPr>
            <w:r w:rsidRPr="008E65F1">
              <w:rPr>
                <w:rFonts w:ascii="Arial Narrow" w:hAnsi="Arial Narrow"/>
                <w:sz w:val="20"/>
                <w:szCs w:val="20"/>
              </w:rPr>
              <w:t>Baseline,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6097DB5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2.03 (0.30)</w:t>
            </w:r>
          </w:p>
        </w:tc>
        <w:tc>
          <w:tcPr>
            <w:tcW w:w="707" w:type="pct"/>
            <w:tcBorders>
              <w:top w:val="single" w:sz="4" w:space="0" w:color="auto"/>
              <w:left w:val="single" w:sz="4" w:space="0" w:color="auto"/>
              <w:bottom w:val="single" w:sz="4" w:space="0" w:color="auto"/>
              <w:right w:val="single" w:sz="4" w:space="0" w:color="auto"/>
            </w:tcBorders>
            <w:vAlign w:val="center"/>
            <w:hideMark/>
          </w:tcPr>
          <w:p w14:paraId="3CC71BB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1.92 (0.32)</w:t>
            </w:r>
          </w:p>
        </w:tc>
        <w:tc>
          <w:tcPr>
            <w:tcW w:w="786" w:type="pct"/>
            <w:tcBorders>
              <w:top w:val="single" w:sz="4" w:space="0" w:color="auto"/>
              <w:left w:val="single" w:sz="4" w:space="0" w:color="auto"/>
              <w:bottom w:val="single" w:sz="4" w:space="0" w:color="auto"/>
              <w:right w:val="single" w:sz="4" w:space="0" w:color="auto"/>
            </w:tcBorders>
            <w:vAlign w:val="center"/>
            <w:hideMark/>
          </w:tcPr>
          <w:p w14:paraId="3D7ECCF0" w14:textId="50B18F0A" w:rsidR="00EC2D5E" w:rsidRPr="008E65F1" w:rsidRDefault="00EC2D5E">
            <w:pPr>
              <w:jc w:val="center"/>
              <w:rPr>
                <w:rFonts w:ascii="Arial Narrow" w:hAnsi="Arial Narrow"/>
                <w:sz w:val="20"/>
                <w:szCs w:val="20"/>
              </w:rPr>
            </w:pPr>
            <w:r w:rsidRPr="008E65F1">
              <w:rPr>
                <w:rFonts w:ascii="Arial Narrow" w:hAnsi="Arial Narrow"/>
                <w:sz w:val="20"/>
                <w:szCs w:val="20"/>
              </w:rPr>
              <w:t>2.26 (0.12)</w:t>
            </w:r>
            <w:r w:rsidR="00BD7F7A">
              <w:rPr>
                <w:rFonts w:ascii="Arial Narrow" w:hAnsi="Arial Narrow"/>
                <w:sz w:val="20"/>
                <w:szCs w:val="20"/>
                <w:vertAlign w:val="superscript"/>
              </w:rPr>
              <w:t>b</w:t>
            </w:r>
          </w:p>
        </w:tc>
        <w:tc>
          <w:tcPr>
            <w:tcW w:w="758" w:type="pct"/>
            <w:tcBorders>
              <w:top w:val="single" w:sz="4" w:space="0" w:color="auto"/>
              <w:left w:val="single" w:sz="4" w:space="0" w:color="auto"/>
              <w:bottom w:val="single" w:sz="4" w:space="0" w:color="auto"/>
              <w:right w:val="single" w:sz="4" w:space="0" w:color="auto"/>
            </w:tcBorders>
            <w:vAlign w:val="center"/>
            <w:hideMark/>
          </w:tcPr>
          <w:p w14:paraId="4488F96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2.24 (0.40)</w:t>
            </w:r>
          </w:p>
        </w:tc>
      </w:tr>
      <w:tr w:rsidR="00EC2D5E" w:rsidRPr="008E65F1" w14:paraId="3DEB3C4B"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4AF01254"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24,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76FC0631"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2.53 (0.45)</w:t>
            </w:r>
          </w:p>
        </w:tc>
        <w:tc>
          <w:tcPr>
            <w:tcW w:w="707" w:type="pct"/>
            <w:tcBorders>
              <w:top w:val="single" w:sz="4" w:space="0" w:color="auto"/>
              <w:left w:val="single" w:sz="4" w:space="0" w:color="auto"/>
              <w:bottom w:val="single" w:sz="4" w:space="0" w:color="auto"/>
              <w:right w:val="single" w:sz="4" w:space="0" w:color="auto"/>
            </w:tcBorders>
            <w:vAlign w:val="center"/>
            <w:hideMark/>
          </w:tcPr>
          <w:p w14:paraId="3D86724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2.07 (0.34)</w:t>
            </w:r>
          </w:p>
        </w:tc>
        <w:tc>
          <w:tcPr>
            <w:tcW w:w="786" w:type="pct"/>
            <w:tcBorders>
              <w:top w:val="single" w:sz="4" w:space="0" w:color="auto"/>
              <w:left w:val="single" w:sz="4" w:space="0" w:color="auto"/>
              <w:bottom w:val="single" w:sz="4" w:space="0" w:color="auto"/>
              <w:right w:val="single" w:sz="4" w:space="0" w:color="auto"/>
            </w:tcBorders>
            <w:vAlign w:val="center"/>
            <w:hideMark/>
          </w:tcPr>
          <w:p w14:paraId="69DBA80C" w14:textId="46C94282" w:rsidR="00EC2D5E" w:rsidRPr="008E65F1" w:rsidRDefault="00EC2D5E">
            <w:pPr>
              <w:jc w:val="center"/>
              <w:rPr>
                <w:rFonts w:ascii="Arial Narrow" w:hAnsi="Arial Narrow"/>
                <w:sz w:val="20"/>
                <w:szCs w:val="20"/>
              </w:rPr>
            </w:pPr>
            <w:r w:rsidRPr="008E65F1">
              <w:rPr>
                <w:rFonts w:ascii="Arial Narrow" w:hAnsi="Arial Narrow"/>
                <w:sz w:val="20"/>
                <w:szCs w:val="20"/>
              </w:rPr>
              <w:t>2.45 (0.077)</w:t>
            </w:r>
            <w:r w:rsidR="00BD7F7A">
              <w:rPr>
                <w:rFonts w:ascii="Arial Narrow" w:hAnsi="Arial Narrow"/>
                <w:sz w:val="20"/>
                <w:szCs w:val="20"/>
                <w:vertAlign w:val="superscript"/>
              </w:rPr>
              <w:t>b</w:t>
            </w:r>
          </w:p>
        </w:tc>
        <w:tc>
          <w:tcPr>
            <w:tcW w:w="758" w:type="pct"/>
            <w:tcBorders>
              <w:top w:val="single" w:sz="4" w:space="0" w:color="auto"/>
              <w:left w:val="single" w:sz="4" w:space="0" w:color="auto"/>
              <w:bottom w:val="single" w:sz="4" w:space="0" w:color="auto"/>
              <w:right w:val="single" w:sz="4" w:space="0" w:color="auto"/>
            </w:tcBorders>
            <w:vAlign w:val="center"/>
            <w:hideMark/>
          </w:tcPr>
          <w:p w14:paraId="2ACAB76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2.60 (0.33)</w:t>
            </w:r>
          </w:p>
        </w:tc>
      </w:tr>
      <w:tr w:rsidR="00EC2D5E" w:rsidRPr="008E65F1" w14:paraId="3D5D2A14"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0474DA79"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24,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11EE038A"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0.39 (0.081)</w:t>
            </w:r>
          </w:p>
        </w:tc>
        <w:tc>
          <w:tcPr>
            <w:tcW w:w="707" w:type="pct"/>
            <w:tcBorders>
              <w:top w:val="single" w:sz="4" w:space="0" w:color="auto"/>
              <w:left w:val="single" w:sz="4" w:space="0" w:color="auto"/>
              <w:bottom w:val="single" w:sz="4" w:space="0" w:color="auto"/>
              <w:right w:val="single" w:sz="4" w:space="0" w:color="auto"/>
            </w:tcBorders>
            <w:vAlign w:val="center"/>
            <w:hideMark/>
          </w:tcPr>
          <w:p w14:paraId="730A85B8"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-0.01 (0.067)</w:t>
            </w:r>
          </w:p>
        </w:tc>
        <w:tc>
          <w:tcPr>
            <w:tcW w:w="786" w:type="pct"/>
            <w:tcBorders>
              <w:top w:val="single" w:sz="4" w:space="0" w:color="auto"/>
              <w:left w:val="single" w:sz="4" w:space="0" w:color="auto"/>
              <w:bottom w:val="single" w:sz="4" w:space="0" w:color="auto"/>
              <w:right w:val="single" w:sz="4" w:space="0" w:color="auto"/>
            </w:tcBorders>
            <w:vAlign w:val="center"/>
            <w:hideMark/>
          </w:tcPr>
          <w:p w14:paraId="75B8D3B5" w14:textId="320940D5" w:rsidR="00EC2D5E" w:rsidRPr="008E65F1" w:rsidRDefault="00EC2D5E">
            <w:pPr>
              <w:jc w:val="center"/>
              <w:rPr>
                <w:rFonts w:ascii="Arial Narrow" w:hAnsi="Arial Narrow"/>
                <w:sz w:val="20"/>
                <w:szCs w:val="20"/>
              </w:rPr>
            </w:pPr>
            <w:r w:rsidRPr="008E65F1">
              <w:rPr>
                <w:rFonts w:ascii="Arial Narrow" w:hAnsi="Arial Narrow"/>
                <w:sz w:val="20"/>
                <w:szCs w:val="20"/>
              </w:rPr>
              <w:t>0.53 (0.062)</w:t>
            </w:r>
            <w:r w:rsidR="00BD7F7A">
              <w:rPr>
                <w:rFonts w:ascii="Arial Narrow" w:hAnsi="Arial Narrow"/>
                <w:sz w:val="20"/>
                <w:szCs w:val="20"/>
                <w:vertAlign w:val="superscript"/>
              </w:rPr>
              <w:t>c</w:t>
            </w:r>
          </w:p>
        </w:tc>
        <w:tc>
          <w:tcPr>
            <w:tcW w:w="758" w:type="pct"/>
            <w:tcBorders>
              <w:top w:val="single" w:sz="4" w:space="0" w:color="auto"/>
              <w:left w:val="single" w:sz="4" w:space="0" w:color="auto"/>
              <w:bottom w:val="single" w:sz="4" w:space="0" w:color="auto"/>
              <w:right w:val="single" w:sz="4" w:space="0" w:color="auto"/>
            </w:tcBorders>
            <w:vAlign w:val="center"/>
            <w:hideMark/>
          </w:tcPr>
          <w:p w14:paraId="4E9ECE4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0.35 (0.073)</w:t>
            </w:r>
          </w:p>
        </w:tc>
      </w:tr>
      <w:tr w:rsidR="00EC2D5E" w:rsidRPr="008E65F1" w14:paraId="5A9C5837"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A240D65"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Difference (p-value) vs placebo</w:t>
            </w:r>
          </w:p>
        </w:tc>
        <w:tc>
          <w:tcPr>
            <w:tcW w:w="1415" w:type="pct"/>
            <w:gridSpan w:val="2"/>
            <w:tcBorders>
              <w:top w:val="single" w:sz="4" w:space="0" w:color="auto"/>
              <w:left w:val="single" w:sz="4" w:space="0" w:color="auto"/>
              <w:bottom w:val="single" w:sz="4" w:space="0" w:color="auto"/>
              <w:right w:val="single" w:sz="4" w:space="0" w:color="auto"/>
            </w:tcBorders>
            <w:vAlign w:val="center"/>
            <w:hideMark/>
          </w:tcPr>
          <w:p w14:paraId="1422A426" w14:textId="77777777" w:rsidR="00EC2D5E" w:rsidRPr="008E65F1" w:rsidRDefault="00EC2D5E">
            <w:pPr>
              <w:jc w:val="center"/>
              <w:rPr>
                <w:rFonts w:ascii="Arial Narrow" w:hAnsi="Arial Narrow"/>
                <w:b/>
                <w:sz w:val="20"/>
                <w:szCs w:val="20"/>
              </w:rPr>
            </w:pPr>
            <w:r w:rsidRPr="008E65F1">
              <w:rPr>
                <w:rFonts w:ascii="Arial Narrow" w:hAnsi="Arial Narrow"/>
                <w:b/>
                <w:sz w:val="20"/>
                <w:szCs w:val="20"/>
              </w:rPr>
              <w:t>p&lt;0.0001</w:t>
            </w:r>
          </w:p>
        </w:tc>
        <w:tc>
          <w:tcPr>
            <w:tcW w:w="786" w:type="pct"/>
            <w:tcBorders>
              <w:top w:val="single" w:sz="4" w:space="0" w:color="auto"/>
              <w:left w:val="single" w:sz="4" w:space="0" w:color="auto"/>
              <w:bottom w:val="single" w:sz="4" w:space="0" w:color="auto"/>
              <w:right w:val="single" w:sz="4" w:space="0" w:color="auto"/>
            </w:tcBorders>
            <w:vAlign w:val="center"/>
            <w:hideMark/>
          </w:tcPr>
          <w:p w14:paraId="1000121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DC2860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r w:rsidR="00EC2D5E" w:rsidRPr="008E65F1" w14:paraId="5A8069C9"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AF10D1F"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0-24 across midpoints of dose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4C91419E" w14:textId="2808E96C" w:rsidR="00EC2D5E" w:rsidRPr="008E65F1" w:rsidRDefault="00EC2D5E">
            <w:pPr>
              <w:jc w:val="center"/>
              <w:rPr>
                <w:rFonts w:ascii="Arial Narrow" w:hAnsi="Arial Narrow"/>
                <w:sz w:val="20"/>
                <w:szCs w:val="20"/>
              </w:rPr>
            </w:pPr>
            <w:r w:rsidRPr="008E65F1">
              <w:rPr>
                <w:rFonts w:ascii="Arial Narrow" w:hAnsi="Arial Narrow"/>
                <w:sz w:val="20"/>
                <w:szCs w:val="20"/>
              </w:rPr>
              <w:t>63 (92.6)</w:t>
            </w:r>
            <w:r w:rsidR="00BD7F7A">
              <w:rPr>
                <w:rFonts w:ascii="Arial Narrow" w:hAnsi="Arial Narrow"/>
                <w:sz w:val="20"/>
                <w:szCs w:val="20"/>
                <w:vertAlign w:val="superscript"/>
              </w:rPr>
              <w:t>d</w:t>
            </w:r>
          </w:p>
        </w:tc>
        <w:tc>
          <w:tcPr>
            <w:tcW w:w="707" w:type="pct"/>
            <w:tcBorders>
              <w:top w:val="single" w:sz="4" w:space="0" w:color="auto"/>
              <w:left w:val="single" w:sz="4" w:space="0" w:color="auto"/>
              <w:bottom w:val="single" w:sz="4" w:space="0" w:color="auto"/>
              <w:right w:val="single" w:sz="4" w:space="0" w:color="auto"/>
            </w:tcBorders>
            <w:vAlign w:val="center"/>
            <w:hideMark/>
          </w:tcPr>
          <w:p w14:paraId="7B8F1EB1" w14:textId="78EF96FE" w:rsidR="00EC2D5E" w:rsidRPr="008E65F1" w:rsidRDefault="00EC2D5E">
            <w:pPr>
              <w:jc w:val="center"/>
              <w:rPr>
                <w:rFonts w:ascii="Arial Narrow" w:hAnsi="Arial Narrow"/>
                <w:sz w:val="20"/>
                <w:szCs w:val="20"/>
              </w:rPr>
            </w:pPr>
            <w:r w:rsidRPr="008E65F1">
              <w:rPr>
                <w:rFonts w:ascii="Arial Narrow" w:hAnsi="Arial Narrow"/>
                <w:sz w:val="20"/>
                <w:szCs w:val="20"/>
              </w:rPr>
              <w:t>5 (7.6)</w:t>
            </w:r>
            <w:r w:rsidR="00BD7F7A">
              <w:rPr>
                <w:rFonts w:ascii="Arial Narrow" w:hAnsi="Arial Narrow"/>
                <w:sz w:val="20"/>
                <w:szCs w:val="20"/>
                <w:vertAlign w:val="superscript"/>
              </w:rPr>
              <w:t>d</w:t>
            </w:r>
          </w:p>
        </w:tc>
        <w:tc>
          <w:tcPr>
            <w:tcW w:w="786" w:type="pct"/>
            <w:tcBorders>
              <w:top w:val="single" w:sz="4" w:space="0" w:color="auto"/>
              <w:left w:val="single" w:sz="4" w:space="0" w:color="auto"/>
              <w:bottom w:val="single" w:sz="4" w:space="0" w:color="auto"/>
              <w:right w:val="single" w:sz="4" w:space="0" w:color="auto"/>
            </w:tcBorders>
            <w:vAlign w:val="center"/>
            <w:hideMark/>
          </w:tcPr>
          <w:p w14:paraId="3C99536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1216DD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13 (92.9)</w:t>
            </w:r>
          </w:p>
        </w:tc>
      </w:tr>
      <w:tr w:rsidR="00EC2D5E" w:rsidRPr="008E65F1" w14:paraId="745D2347"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0B672E32"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0-24, across ends of dose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1063F66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46 (67.6)</w:t>
            </w:r>
          </w:p>
        </w:tc>
        <w:tc>
          <w:tcPr>
            <w:tcW w:w="707" w:type="pct"/>
            <w:tcBorders>
              <w:top w:val="single" w:sz="4" w:space="0" w:color="auto"/>
              <w:left w:val="single" w:sz="4" w:space="0" w:color="auto"/>
              <w:bottom w:val="single" w:sz="4" w:space="0" w:color="auto"/>
              <w:right w:val="single" w:sz="4" w:space="0" w:color="auto"/>
            </w:tcBorders>
            <w:vAlign w:val="center"/>
            <w:hideMark/>
          </w:tcPr>
          <w:p w14:paraId="65F096C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 (6.1)</w:t>
            </w:r>
          </w:p>
        </w:tc>
        <w:tc>
          <w:tcPr>
            <w:tcW w:w="786" w:type="pct"/>
            <w:tcBorders>
              <w:top w:val="single" w:sz="4" w:space="0" w:color="auto"/>
              <w:left w:val="single" w:sz="4" w:space="0" w:color="auto"/>
              <w:bottom w:val="single" w:sz="4" w:space="0" w:color="auto"/>
              <w:right w:val="single" w:sz="4" w:space="0" w:color="auto"/>
            </w:tcBorders>
            <w:vAlign w:val="center"/>
            <w:hideMark/>
          </w:tcPr>
          <w:p w14:paraId="59D4FD1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5AFE99BF"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11 (78.6)</w:t>
            </w:r>
          </w:p>
        </w:tc>
      </w:tr>
      <w:tr w:rsidR="00EC2D5E" w:rsidRPr="008E65F1" w14:paraId="61024EAE"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41F5467"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48,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0F5C5C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2.48 (0.46)</w:t>
            </w:r>
          </w:p>
        </w:tc>
        <w:tc>
          <w:tcPr>
            <w:tcW w:w="707" w:type="pct"/>
            <w:tcBorders>
              <w:top w:val="single" w:sz="4" w:space="0" w:color="auto"/>
              <w:left w:val="single" w:sz="4" w:space="0" w:color="auto"/>
              <w:bottom w:val="single" w:sz="4" w:space="0" w:color="auto"/>
              <w:right w:val="single" w:sz="4" w:space="0" w:color="auto"/>
            </w:tcBorders>
            <w:vAlign w:val="center"/>
            <w:hideMark/>
          </w:tcPr>
          <w:p w14:paraId="5FB0BB9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2.47 (0.49)</w:t>
            </w:r>
          </w:p>
        </w:tc>
        <w:tc>
          <w:tcPr>
            <w:tcW w:w="786" w:type="pct"/>
            <w:tcBorders>
              <w:top w:val="single" w:sz="4" w:space="0" w:color="auto"/>
              <w:left w:val="single" w:sz="4" w:space="0" w:color="auto"/>
              <w:bottom w:val="single" w:sz="4" w:space="0" w:color="auto"/>
              <w:right w:val="single" w:sz="4" w:space="0" w:color="auto"/>
            </w:tcBorders>
            <w:vAlign w:val="center"/>
            <w:hideMark/>
          </w:tcPr>
          <w:p w14:paraId="1A1912A1" w14:textId="1A808869" w:rsidR="00EC2D5E" w:rsidRPr="008E65F1" w:rsidRDefault="00EC2D5E">
            <w:pPr>
              <w:jc w:val="center"/>
              <w:rPr>
                <w:rFonts w:ascii="Arial Narrow" w:hAnsi="Arial Narrow"/>
                <w:sz w:val="20"/>
                <w:szCs w:val="20"/>
              </w:rPr>
            </w:pPr>
            <w:r w:rsidRPr="008E65F1">
              <w:rPr>
                <w:rFonts w:ascii="Arial Narrow" w:hAnsi="Arial Narrow"/>
                <w:sz w:val="20"/>
                <w:szCs w:val="20"/>
              </w:rPr>
              <w:t>2.45 (0.074)</w:t>
            </w:r>
            <w:r w:rsidR="00BD7F7A">
              <w:rPr>
                <w:rFonts w:ascii="Arial Narrow" w:hAnsi="Arial Narrow"/>
                <w:sz w:val="20"/>
                <w:szCs w:val="20"/>
                <w:vertAlign w:val="superscript"/>
              </w:rPr>
              <w:t>b</w:t>
            </w:r>
          </w:p>
        </w:tc>
        <w:tc>
          <w:tcPr>
            <w:tcW w:w="758" w:type="pct"/>
            <w:tcBorders>
              <w:top w:val="single" w:sz="4" w:space="0" w:color="auto"/>
              <w:left w:val="single" w:sz="4" w:space="0" w:color="auto"/>
              <w:bottom w:val="single" w:sz="4" w:space="0" w:color="auto"/>
              <w:right w:val="single" w:sz="4" w:space="0" w:color="auto"/>
            </w:tcBorders>
            <w:vAlign w:val="center"/>
            <w:hideMark/>
          </w:tcPr>
          <w:p w14:paraId="4EEC799D"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2.43 (0.30)</w:t>
            </w:r>
          </w:p>
        </w:tc>
      </w:tr>
      <w:tr w:rsidR="00EC2D5E" w:rsidRPr="008E65F1" w14:paraId="006B5C72"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0915077"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48,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51C8A43F"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0.34 (0.077)</w:t>
            </w:r>
          </w:p>
        </w:tc>
        <w:tc>
          <w:tcPr>
            <w:tcW w:w="707" w:type="pct"/>
            <w:tcBorders>
              <w:top w:val="single" w:sz="4" w:space="0" w:color="auto"/>
              <w:left w:val="single" w:sz="4" w:space="0" w:color="auto"/>
              <w:bottom w:val="single" w:sz="4" w:space="0" w:color="auto"/>
              <w:right w:val="single" w:sz="4" w:space="0" w:color="auto"/>
            </w:tcBorders>
            <w:vAlign w:val="center"/>
            <w:hideMark/>
          </w:tcPr>
          <w:p w14:paraId="1951D583"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0.39 (0.078)</w:t>
            </w:r>
          </w:p>
        </w:tc>
        <w:tc>
          <w:tcPr>
            <w:tcW w:w="786" w:type="pct"/>
            <w:tcBorders>
              <w:top w:val="single" w:sz="4" w:space="0" w:color="auto"/>
              <w:left w:val="single" w:sz="4" w:space="0" w:color="auto"/>
              <w:bottom w:val="single" w:sz="4" w:space="0" w:color="auto"/>
              <w:right w:val="single" w:sz="4" w:space="0" w:color="auto"/>
            </w:tcBorders>
            <w:vAlign w:val="center"/>
            <w:hideMark/>
          </w:tcPr>
          <w:p w14:paraId="7378C725" w14:textId="4FFDDA9E" w:rsidR="00EC2D5E" w:rsidRPr="008E65F1" w:rsidRDefault="00EC2D5E">
            <w:pPr>
              <w:jc w:val="center"/>
              <w:rPr>
                <w:rFonts w:ascii="Arial Narrow" w:hAnsi="Arial Narrow"/>
                <w:sz w:val="20"/>
                <w:szCs w:val="20"/>
              </w:rPr>
            </w:pPr>
            <w:r w:rsidRPr="008E65F1">
              <w:rPr>
                <w:rFonts w:ascii="Arial Narrow" w:hAnsi="Arial Narrow"/>
                <w:sz w:val="20"/>
                <w:szCs w:val="20"/>
              </w:rPr>
              <w:t>0.53 (0.068)</w:t>
            </w:r>
            <w:r w:rsidR="00BD7F7A">
              <w:rPr>
                <w:rFonts w:ascii="Arial Narrow" w:hAnsi="Arial Narrow"/>
                <w:sz w:val="20"/>
                <w:szCs w:val="20"/>
                <w:vertAlign w:val="superscript"/>
              </w:rPr>
              <w:t>c</w:t>
            </w:r>
          </w:p>
        </w:tc>
        <w:tc>
          <w:tcPr>
            <w:tcW w:w="758" w:type="pct"/>
            <w:tcBorders>
              <w:top w:val="single" w:sz="4" w:space="0" w:color="auto"/>
              <w:left w:val="single" w:sz="4" w:space="0" w:color="auto"/>
              <w:bottom w:val="single" w:sz="4" w:space="0" w:color="auto"/>
              <w:right w:val="single" w:sz="4" w:space="0" w:color="auto"/>
            </w:tcBorders>
            <w:vAlign w:val="center"/>
            <w:hideMark/>
          </w:tcPr>
          <w:p w14:paraId="7B7CDE5C"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0.17 (0.079)</w:t>
            </w:r>
          </w:p>
        </w:tc>
      </w:tr>
      <w:tr w:rsidR="00EC2D5E" w:rsidRPr="008E65F1" w14:paraId="6D09B16C"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31C63FFB"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 xml:space="preserve">n (%) &gt;LLN Week 24-48 across midpoints of dose cycles </w:t>
            </w:r>
          </w:p>
        </w:tc>
        <w:tc>
          <w:tcPr>
            <w:tcW w:w="708" w:type="pct"/>
            <w:tcBorders>
              <w:top w:val="single" w:sz="4" w:space="0" w:color="auto"/>
              <w:left w:val="single" w:sz="4" w:space="0" w:color="auto"/>
              <w:bottom w:val="single" w:sz="4" w:space="0" w:color="auto"/>
              <w:right w:val="single" w:sz="4" w:space="0" w:color="auto"/>
            </w:tcBorders>
            <w:vAlign w:val="center"/>
            <w:hideMark/>
          </w:tcPr>
          <w:p w14:paraId="1D914D5D"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57 (83.8)</w:t>
            </w:r>
          </w:p>
        </w:tc>
        <w:tc>
          <w:tcPr>
            <w:tcW w:w="707" w:type="pct"/>
            <w:tcBorders>
              <w:top w:val="single" w:sz="4" w:space="0" w:color="auto"/>
              <w:left w:val="single" w:sz="4" w:space="0" w:color="auto"/>
              <w:bottom w:val="single" w:sz="4" w:space="0" w:color="auto"/>
              <w:right w:val="single" w:sz="4" w:space="0" w:color="auto"/>
            </w:tcBorders>
            <w:vAlign w:val="center"/>
            <w:hideMark/>
          </w:tcPr>
          <w:p w14:paraId="6A51AB35"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59 (89.4)</w:t>
            </w:r>
          </w:p>
        </w:tc>
        <w:tc>
          <w:tcPr>
            <w:tcW w:w="786" w:type="pct"/>
            <w:tcBorders>
              <w:top w:val="single" w:sz="4" w:space="0" w:color="auto"/>
              <w:left w:val="single" w:sz="4" w:space="0" w:color="auto"/>
              <w:bottom w:val="single" w:sz="4" w:space="0" w:color="auto"/>
              <w:right w:val="single" w:sz="4" w:space="0" w:color="auto"/>
            </w:tcBorders>
            <w:vAlign w:val="center"/>
            <w:hideMark/>
          </w:tcPr>
          <w:p w14:paraId="5A21FE3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52239A1"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r w:rsidR="00EC2D5E" w:rsidRPr="008E65F1" w14:paraId="3A641A83"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7E87791" w14:textId="77777777" w:rsidR="00EC2D5E" w:rsidRPr="008E65F1" w:rsidRDefault="00EC2D5E">
            <w:pPr>
              <w:jc w:val="left"/>
              <w:rPr>
                <w:rFonts w:ascii="Arial Narrow" w:hAnsi="Arial Narrow"/>
                <w:sz w:val="20"/>
                <w:szCs w:val="20"/>
              </w:rPr>
            </w:pPr>
            <w:r w:rsidRPr="008E65F1">
              <w:rPr>
                <w:rFonts w:ascii="Arial Narrow" w:hAnsi="Arial Narrow"/>
                <w:sz w:val="20"/>
                <w:szCs w:val="20"/>
              </w:rPr>
              <w:t>Week 96, mean (SD)</w:t>
            </w:r>
          </w:p>
        </w:tc>
        <w:tc>
          <w:tcPr>
            <w:tcW w:w="708" w:type="pct"/>
            <w:tcBorders>
              <w:top w:val="single" w:sz="4" w:space="0" w:color="auto"/>
              <w:left w:val="single" w:sz="4" w:space="0" w:color="auto"/>
              <w:bottom w:val="single" w:sz="4" w:space="0" w:color="auto"/>
              <w:right w:val="single" w:sz="4" w:space="0" w:color="auto"/>
            </w:tcBorders>
            <w:vAlign w:val="center"/>
            <w:hideMark/>
          </w:tcPr>
          <w:p w14:paraId="1C3FCEEB"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2.52 (0.42)</w:t>
            </w:r>
          </w:p>
        </w:tc>
        <w:tc>
          <w:tcPr>
            <w:tcW w:w="707" w:type="pct"/>
            <w:tcBorders>
              <w:top w:val="single" w:sz="4" w:space="0" w:color="auto"/>
              <w:left w:val="single" w:sz="4" w:space="0" w:color="auto"/>
              <w:bottom w:val="single" w:sz="4" w:space="0" w:color="auto"/>
              <w:right w:val="single" w:sz="4" w:space="0" w:color="auto"/>
            </w:tcBorders>
            <w:vAlign w:val="center"/>
            <w:hideMark/>
          </w:tcPr>
          <w:p w14:paraId="56F1CDA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2.32 (0.48)</w:t>
            </w:r>
          </w:p>
        </w:tc>
        <w:tc>
          <w:tcPr>
            <w:tcW w:w="786" w:type="pct"/>
            <w:tcBorders>
              <w:top w:val="single" w:sz="4" w:space="0" w:color="auto"/>
              <w:left w:val="single" w:sz="4" w:space="0" w:color="auto"/>
              <w:bottom w:val="single" w:sz="4" w:space="0" w:color="auto"/>
              <w:right w:val="single" w:sz="4" w:space="0" w:color="auto"/>
            </w:tcBorders>
            <w:vAlign w:val="center"/>
            <w:hideMark/>
          </w:tcPr>
          <w:p w14:paraId="156BA06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5CF4E78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2.47 (0.32)</w:t>
            </w:r>
          </w:p>
        </w:tc>
      </w:tr>
      <w:tr w:rsidR="00EC2D5E" w:rsidRPr="008E65F1" w14:paraId="5D8EEBED"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2D59EAF5"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Week 96, LS mean (SE) change from baseline</w:t>
            </w:r>
          </w:p>
        </w:tc>
        <w:tc>
          <w:tcPr>
            <w:tcW w:w="708" w:type="pct"/>
            <w:tcBorders>
              <w:top w:val="single" w:sz="4" w:space="0" w:color="auto"/>
              <w:left w:val="single" w:sz="4" w:space="0" w:color="auto"/>
              <w:bottom w:val="single" w:sz="4" w:space="0" w:color="auto"/>
              <w:right w:val="single" w:sz="4" w:space="0" w:color="auto"/>
            </w:tcBorders>
            <w:vAlign w:val="center"/>
            <w:hideMark/>
          </w:tcPr>
          <w:p w14:paraId="6D978AE6"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0.38 (0.074)</w:t>
            </w:r>
          </w:p>
        </w:tc>
        <w:tc>
          <w:tcPr>
            <w:tcW w:w="707" w:type="pct"/>
            <w:tcBorders>
              <w:top w:val="single" w:sz="4" w:space="0" w:color="auto"/>
              <w:left w:val="single" w:sz="4" w:space="0" w:color="auto"/>
              <w:bottom w:val="single" w:sz="4" w:space="0" w:color="auto"/>
              <w:right w:val="single" w:sz="4" w:space="0" w:color="auto"/>
            </w:tcBorders>
            <w:vAlign w:val="center"/>
            <w:hideMark/>
          </w:tcPr>
          <w:p w14:paraId="69B887D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0.24 (0.077)</w:t>
            </w:r>
          </w:p>
        </w:tc>
        <w:tc>
          <w:tcPr>
            <w:tcW w:w="786" w:type="pct"/>
            <w:tcBorders>
              <w:top w:val="single" w:sz="4" w:space="0" w:color="auto"/>
              <w:left w:val="single" w:sz="4" w:space="0" w:color="auto"/>
              <w:bottom w:val="single" w:sz="4" w:space="0" w:color="auto"/>
              <w:right w:val="single" w:sz="4" w:space="0" w:color="auto"/>
            </w:tcBorders>
            <w:vAlign w:val="center"/>
            <w:hideMark/>
          </w:tcPr>
          <w:p w14:paraId="6740780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2F4AA454"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0.20 (0.089)</w:t>
            </w:r>
          </w:p>
        </w:tc>
      </w:tr>
      <w:tr w:rsidR="00EC2D5E" w:rsidRPr="008E65F1" w14:paraId="69BB868F" w14:textId="77777777" w:rsidTr="00EC2D5E">
        <w:tc>
          <w:tcPr>
            <w:tcW w:w="2041" w:type="pct"/>
            <w:tcBorders>
              <w:top w:val="single" w:sz="4" w:space="0" w:color="auto"/>
              <w:left w:val="single" w:sz="4" w:space="0" w:color="auto"/>
              <w:bottom w:val="single" w:sz="4" w:space="0" w:color="auto"/>
              <w:right w:val="single" w:sz="4" w:space="0" w:color="auto"/>
            </w:tcBorders>
            <w:hideMark/>
          </w:tcPr>
          <w:p w14:paraId="4EFDD2E4" w14:textId="77777777" w:rsidR="00EC2D5E" w:rsidRPr="008E65F1" w:rsidRDefault="00EC2D5E">
            <w:pPr>
              <w:ind w:left="112"/>
              <w:jc w:val="left"/>
              <w:rPr>
                <w:rFonts w:ascii="Arial Narrow" w:hAnsi="Arial Narrow"/>
                <w:sz w:val="20"/>
                <w:szCs w:val="20"/>
              </w:rPr>
            </w:pPr>
            <w:r w:rsidRPr="008E65F1">
              <w:rPr>
                <w:rFonts w:ascii="Arial Narrow" w:hAnsi="Arial Narrow"/>
                <w:sz w:val="20"/>
                <w:szCs w:val="20"/>
              </w:rPr>
              <w:t>n (%) &gt;LLN Week 48-96 across midpoints of does cycles</w:t>
            </w:r>
          </w:p>
        </w:tc>
        <w:tc>
          <w:tcPr>
            <w:tcW w:w="708" w:type="pct"/>
            <w:tcBorders>
              <w:top w:val="single" w:sz="4" w:space="0" w:color="auto"/>
              <w:left w:val="single" w:sz="4" w:space="0" w:color="auto"/>
              <w:bottom w:val="single" w:sz="4" w:space="0" w:color="auto"/>
              <w:right w:val="single" w:sz="4" w:space="0" w:color="auto"/>
            </w:tcBorders>
            <w:vAlign w:val="center"/>
            <w:hideMark/>
          </w:tcPr>
          <w:p w14:paraId="7A904EF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56 (82.4)</w:t>
            </w:r>
          </w:p>
        </w:tc>
        <w:tc>
          <w:tcPr>
            <w:tcW w:w="707" w:type="pct"/>
            <w:tcBorders>
              <w:top w:val="single" w:sz="4" w:space="0" w:color="auto"/>
              <w:left w:val="single" w:sz="4" w:space="0" w:color="auto"/>
              <w:bottom w:val="single" w:sz="4" w:space="0" w:color="auto"/>
              <w:right w:val="single" w:sz="4" w:space="0" w:color="auto"/>
            </w:tcBorders>
            <w:vAlign w:val="center"/>
            <w:hideMark/>
          </w:tcPr>
          <w:p w14:paraId="0D324747"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45 (68.2)</w:t>
            </w:r>
          </w:p>
        </w:tc>
        <w:tc>
          <w:tcPr>
            <w:tcW w:w="786" w:type="pct"/>
            <w:tcBorders>
              <w:top w:val="single" w:sz="4" w:space="0" w:color="auto"/>
              <w:left w:val="single" w:sz="4" w:space="0" w:color="auto"/>
              <w:bottom w:val="single" w:sz="4" w:space="0" w:color="auto"/>
              <w:right w:val="single" w:sz="4" w:space="0" w:color="auto"/>
            </w:tcBorders>
            <w:vAlign w:val="center"/>
            <w:hideMark/>
          </w:tcPr>
          <w:p w14:paraId="5CE537D9"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c>
          <w:tcPr>
            <w:tcW w:w="758" w:type="pct"/>
            <w:tcBorders>
              <w:top w:val="single" w:sz="4" w:space="0" w:color="auto"/>
              <w:left w:val="single" w:sz="4" w:space="0" w:color="auto"/>
              <w:bottom w:val="single" w:sz="4" w:space="0" w:color="auto"/>
              <w:right w:val="single" w:sz="4" w:space="0" w:color="auto"/>
            </w:tcBorders>
            <w:vAlign w:val="center"/>
            <w:hideMark/>
          </w:tcPr>
          <w:p w14:paraId="609C5D7E" w14:textId="77777777" w:rsidR="00EC2D5E" w:rsidRPr="008E65F1" w:rsidRDefault="00EC2D5E">
            <w:pPr>
              <w:jc w:val="center"/>
              <w:rPr>
                <w:rFonts w:ascii="Arial Narrow" w:hAnsi="Arial Narrow"/>
                <w:sz w:val="20"/>
                <w:szCs w:val="20"/>
              </w:rPr>
            </w:pPr>
            <w:r w:rsidRPr="008E65F1">
              <w:rPr>
                <w:rFonts w:ascii="Arial Narrow" w:hAnsi="Arial Narrow"/>
                <w:sz w:val="20"/>
                <w:szCs w:val="20"/>
              </w:rPr>
              <w:t>-</w:t>
            </w:r>
          </w:p>
        </w:tc>
      </w:tr>
    </w:tbl>
    <w:p w14:paraId="5A260958" w14:textId="526D7538"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 xml:space="preserve">Source: Tables 2-67 to 2-68, pp154-155, Table 2-74, p169, Table 2-81, p189- of the </w:t>
      </w:r>
      <w:r w:rsidR="00C86DB7">
        <w:rPr>
          <w:rFonts w:ascii="Arial Narrow" w:hAnsi="Arial Narrow"/>
          <w:sz w:val="18"/>
          <w:szCs w:val="18"/>
        </w:rPr>
        <w:t>re</w:t>
      </w:r>
      <w:r>
        <w:rPr>
          <w:rFonts w:ascii="Arial Narrow" w:hAnsi="Arial Narrow"/>
          <w:sz w:val="18"/>
          <w:szCs w:val="18"/>
        </w:rPr>
        <w:t>submission.</w:t>
      </w:r>
    </w:p>
    <w:p w14:paraId="0041564E" w14:textId="77777777" w:rsidR="00EC2D5E" w:rsidRDefault="00EC2D5E" w:rsidP="00EC2D5E">
      <w:pPr>
        <w:rPr>
          <w:rFonts w:ascii="Arial Narrow" w:hAnsi="Arial Narrow"/>
          <w:sz w:val="18"/>
          <w:szCs w:val="18"/>
        </w:rPr>
      </w:pPr>
      <w:r>
        <w:rPr>
          <w:rFonts w:ascii="Arial Narrow" w:hAnsi="Arial Narrow"/>
          <w:sz w:val="18"/>
          <w:szCs w:val="18"/>
        </w:rPr>
        <w:t>BUR=burosumab; LLN=lower limit of normal; LS=least squares; PD=pharmacodynamic; Q4W=every 4 weeks;</w:t>
      </w:r>
    </w:p>
    <w:p w14:paraId="65989FF0"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 xml:space="preserve">serum phosphate LLN was 2.5 mg/dL (0.81 mmol/L) in CL303, CL304, and 2.3 mg/dL (0.74 mmol/L) in BUR02. </w:t>
      </w:r>
    </w:p>
    <w:p w14:paraId="2B3C9D78"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serum phosphorus was assessed at the midpoints (i.e. 2 weeks after each dose of study drug; time of peak PD effect) of the dose cycles and the ends (i.e. 4 weeks after dosing; time of trough PD effect of the dose cycles) in CL303 and CL304. In BUR02, only trough serum phosphate samples were measured.</w:t>
      </w:r>
    </w:p>
    <w:p w14:paraId="4F71E04E" w14:textId="77777777" w:rsidR="00EC2D5E" w:rsidRDefault="00EC2D5E" w:rsidP="00EC2D5E">
      <w:pPr>
        <w:tabs>
          <w:tab w:val="left" w:pos="142"/>
        </w:tabs>
        <w:ind w:left="140" w:hanging="140"/>
        <w:rPr>
          <w:rFonts w:ascii="Arial Narrow" w:hAnsi="Arial Narrow"/>
          <w:sz w:val="18"/>
          <w:szCs w:val="18"/>
        </w:rPr>
      </w:pPr>
      <w:r>
        <w:rPr>
          <w:rFonts w:cs="Calibri"/>
          <w:sz w:val="18"/>
          <w:szCs w:val="18"/>
        </w:rPr>
        <w:t>‡</w:t>
      </w:r>
      <w:r>
        <w:rPr>
          <w:rFonts w:ascii="Arial Narrow" w:hAnsi="Arial Narrow"/>
          <w:sz w:val="18"/>
          <w:szCs w:val="18"/>
        </w:rPr>
        <w:tab/>
        <w:t>end of dose interval and time of trough PD effect.</w:t>
      </w:r>
    </w:p>
    <w:p w14:paraId="033565AC" w14:textId="77777777" w:rsidR="00BD7F7A" w:rsidRDefault="00EC2D5E" w:rsidP="00EC2D5E">
      <w:pPr>
        <w:tabs>
          <w:tab w:val="left" w:pos="142"/>
        </w:tabs>
        <w:ind w:left="140" w:hanging="140"/>
        <w:rPr>
          <w:rFonts w:ascii="Arial Narrow" w:hAnsi="Arial Narrow"/>
          <w:sz w:val="18"/>
          <w:szCs w:val="18"/>
        </w:rPr>
      </w:pPr>
      <w:r>
        <w:rPr>
          <w:rFonts w:ascii="Arial Narrow" w:hAnsi="Arial Narrow"/>
          <w:sz w:val="18"/>
          <w:szCs w:val="18"/>
        </w:rPr>
        <w:t>a</w:t>
      </w:r>
      <w:r>
        <w:rPr>
          <w:rFonts w:ascii="Arial Narrow" w:hAnsi="Arial Narrow"/>
          <w:sz w:val="18"/>
          <w:szCs w:val="18"/>
        </w:rPr>
        <w:tab/>
      </w:r>
      <w:r w:rsidR="00BD7F7A">
        <w:rPr>
          <w:rFonts w:ascii="Arial Narrow" w:hAnsi="Arial Narrow"/>
          <w:sz w:val="18"/>
          <w:szCs w:val="18"/>
        </w:rPr>
        <w:t>Phosphate values reported as mmol/L; 1 mg/dL=0.323 mmol/L.</w:t>
      </w:r>
    </w:p>
    <w:p w14:paraId="46114EA3" w14:textId="3D097DB6" w:rsidR="00BD7F7A" w:rsidRDefault="00BD7F7A" w:rsidP="00EC2D5E">
      <w:pPr>
        <w:tabs>
          <w:tab w:val="left" w:pos="142"/>
        </w:tabs>
        <w:ind w:left="140" w:hanging="140"/>
        <w:rPr>
          <w:rFonts w:ascii="Arial Narrow" w:hAnsi="Arial Narrow"/>
          <w:sz w:val="18"/>
          <w:szCs w:val="18"/>
        </w:rPr>
      </w:pPr>
      <w:r>
        <w:rPr>
          <w:rFonts w:ascii="Arial Narrow" w:hAnsi="Arial Narrow"/>
          <w:sz w:val="18"/>
          <w:szCs w:val="18"/>
        </w:rPr>
        <w:lastRenderedPageBreak/>
        <w:t>b mean (SE) trough serum phosphate level</w:t>
      </w:r>
    </w:p>
    <w:p w14:paraId="302889DB" w14:textId="5D9B3E59" w:rsidR="00BD7F7A" w:rsidRDefault="00BD7F7A" w:rsidP="00EC2D5E">
      <w:pPr>
        <w:tabs>
          <w:tab w:val="left" w:pos="142"/>
        </w:tabs>
        <w:ind w:left="140" w:hanging="140"/>
        <w:rPr>
          <w:rFonts w:ascii="Arial Narrow" w:hAnsi="Arial Narrow"/>
          <w:sz w:val="18"/>
          <w:szCs w:val="18"/>
        </w:rPr>
      </w:pPr>
      <w:r>
        <w:rPr>
          <w:rFonts w:ascii="Arial Narrow" w:hAnsi="Arial Narrow"/>
          <w:sz w:val="18"/>
          <w:szCs w:val="18"/>
        </w:rPr>
        <w:t>c LS mean change from CL303 baseline trough serum phosphate level 1.95 mg/dL [0.63 mmol/L]</w:t>
      </w:r>
    </w:p>
    <w:p w14:paraId="798EEE6D" w14:textId="4746E603" w:rsidR="00EC2D5E" w:rsidRDefault="00EC2D5E" w:rsidP="00BD7F7A">
      <w:pPr>
        <w:tabs>
          <w:tab w:val="left" w:pos="142"/>
        </w:tabs>
        <w:ind w:left="140" w:hanging="140"/>
        <w:rPr>
          <w:rFonts w:ascii="Arial Narrow" w:hAnsi="Arial Narrow"/>
          <w:sz w:val="18"/>
          <w:szCs w:val="18"/>
        </w:rPr>
      </w:pPr>
      <w:r>
        <w:rPr>
          <w:rFonts w:ascii="Arial Narrow" w:hAnsi="Arial Narrow"/>
          <w:sz w:val="18"/>
          <w:szCs w:val="18"/>
        </w:rPr>
        <w:t>d</w:t>
      </w:r>
      <w:r>
        <w:rPr>
          <w:rFonts w:ascii="Arial Narrow" w:hAnsi="Arial Narrow"/>
          <w:sz w:val="18"/>
          <w:szCs w:val="18"/>
        </w:rPr>
        <w:tab/>
      </w:r>
      <w:r w:rsidR="00BD7F7A">
        <w:rPr>
          <w:rFonts w:ascii="Arial Narrow" w:hAnsi="Arial Narrow"/>
          <w:sz w:val="18"/>
          <w:szCs w:val="18"/>
        </w:rPr>
        <w:t>Primary endpoint in CL303 was the proportion of patients achieving mean serum phosphorus above LLN at the midpoint of the dose interval (i.e. Weeks 2, 6, 10, 14, 18, and 22), as averaged across dose cycles between baseline and Week 24.</w:t>
      </w:r>
    </w:p>
    <w:p w14:paraId="7B5DB4F2" w14:textId="77777777" w:rsidR="00EC2D5E" w:rsidRDefault="00EC2D5E" w:rsidP="00EC2D5E">
      <w:pPr>
        <w:tabs>
          <w:tab w:val="left" w:pos="142"/>
        </w:tabs>
        <w:ind w:left="140" w:hanging="140"/>
        <w:rPr>
          <w:rFonts w:ascii="Arial Narrow" w:hAnsi="Arial Narrow"/>
          <w:sz w:val="18"/>
          <w:szCs w:val="18"/>
        </w:rPr>
      </w:pPr>
    </w:p>
    <w:p w14:paraId="54F390BD" w14:textId="77777777" w:rsidR="00EC2D5E" w:rsidRPr="008E65F1" w:rsidRDefault="00EC2D5E" w:rsidP="0073079A">
      <w:pPr>
        <w:pStyle w:val="3-BodyText"/>
        <w:snapToGrid w:val="0"/>
      </w:pPr>
      <w:r w:rsidRPr="008E65F1">
        <w:t>The results demonstrated that:</w:t>
      </w:r>
    </w:p>
    <w:p w14:paraId="1F0480FF" w14:textId="527AD0F0" w:rsidR="00EC2D5E" w:rsidRPr="008E65F1" w:rsidRDefault="00B43A10" w:rsidP="001A2C4E">
      <w:pPr>
        <w:pStyle w:val="ListParagraph"/>
        <w:numPr>
          <w:ilvl w:val="1"/>
          <w:numId w:val="11"/>
        </w:numPr>
        <w:snapToGrid w:val="0"/>
        <w:ind w:left="1080" w:hanging="360"/>
      </w:pPr>
      <w:r>
        <w:t>a</w:t>
      </w:r>
      <w:r w:rsidR="00EC2D5E" w:rsidRPr="008E65F1">
        <w:t xml:space="preserve">ll post-baseline mean levels of serum PD biochemical and bone biomarkers remain above the baseline levels over the duration of the studies in all treatment groups. The mean change from baseline in serum PD biochemical markers at Week 24 for the burosumab group were broadly consistent between CL303 and CL304. Results after Week 24 were varied possibly due to heterogeneity between the studies. </w:t>
      </w:r>
    </w:p>
    <w:p w14:paraId="0AD5846A" w14:textId="5BDDD7E8" w:rsidR="00EC2D5E" w:rsidRPr="008E65F1" w:rsidRDefault="00B43A10" w:rsidP="001A2C4E">
      <w:pPr>
        <w:pStyle w:val="ListParagraph"/>
        <w:numPr>
          <w:ilvl w:val="1"/>
          <w:numId w:val="11"/>
        </w:numPr>
        <w:snapToGrid w:val="0"/>
        <w:ind w:left="1080" w:hanging="360"/>
      </w:pPr>
      <w:r>
        <w:t>i</w:t>
      </w:r>
      <w:r w:rsidR="00EC2D5E" w:rsidRPr="008E65F1">
        <w:t xml:space="preserve">n CL303, during the placebo-controlled treatment period, the mean change from baseline in serum phosphorus, serum 1,25(OH)2D phosphate reabsorption (TmP/GFR), and bone biomarkers (P1NP and CTx) at Week 24 were statistically significantly greater in the burosumab group compared to placebo. </w:t>
      </w:r>
    </w:p>
    <w:p w14:paraId="3C459ED0" w14:textId="62892017" w:rsidR="00EC2D5E" w:rsidRPr="008E65F1" w:rsidRDefault="00B43A10" w:rsidP="001A2C4E">
      <w:pPr>
        <w:pStyle w:val="ListParagraph"/>
        <w:numPr>
          <w:ilvl w:val="1"/>
          <w:numId w:val="11"/>
        </w:numPr>
        <w:snapToGrid w:val="0"/>
        <w:ind w:left="1080" w:hanging="360"/>
      </w:pPr>
      <w:r>
        <w:t>t</w:t>
      </w:r>
      <w:r w:rsidR="00EC2D5E" w:rsidRPr="008E65F1">
        <w:t xml:space="preserve">he proportion of patients that achieved mean serum phosphorus above LLN across the midpoints (and ends) of the dose intervals from baseline to Week 24 was higher in the burosumab group compared to the placebo group. For CL303, pre-specified sensitivity analyses adjusting for the </w:t>
      </w:r>
      <w:r w:rsidR="00975207" w:rsidRPr="008E65F1">
        <w:t xml:space="preserve">actual </w:t>
      </w:r>
      <w:r w:rsidR="00EC2D5E" w:rsidRPr="008E65F1">
        <w:t>randomisation stratification by BPI (Question 5) Average Pain rather than the planned stratification by BPI (Question 3) Worst Pain showed similar results to the primary analysis.</w:t>
      </w:r>
    </w:p>
    <w:p w14:paraId="528B30C4" w14:textId="7F86EF93" w:rsidR="008D38A4" w:rsidRPr="001A2C4E" w:rsidRDefault="008D38A4" w:rsidP="0073079A">
      <w:pPr>
        <w:pStyle w:val="3-BodyText"/>
        <w:snapToGrid w:val="0"/>
      </w:pPr>
      <w:r w:rsidRPr="001A2C4E">
        <w:t xml:space="preserve">Noting that there was no direct evidence comparing burosumab against the nominated comparator (i.e. conventional therapy), the PSCR stated that </w:t>
      </w:r>
      <w:r w:rsidR="00786B0B" w:rsidRPr="001A2C4E">
        <w:t xml:space="preserve">post hoc analyses of screening visit data from the CL303 trial indicated that there was virtually no difference in the proportion of patients with serum phosphate </w:t>
      </w:r>
      <w:r w:rsidR="00786B0B" w:rsidRPr="001A2C4E">
        <w:rPr>
          <w:rFonts w:cstheme="minorHAnsi"/>
        </w:rPr>
        <w:t>≥</w:t>
      </w:r>
      <w:r w:rsidR="00786B0B" w:rsidRPr="001A2C4E">
        <w:t xml:space="preserve"> LLN between patients receiving or not receiving phosphorus supplements at the time of study entry. The PSCR suggested that the effectiveness of conventional therapy on serum phosphate levels in an adult population with established, symptomatic XLH, was probably not different to placebo.</w:t>
      </w:r>
    </w:p>
    <w:p w14:paraId="1EC7ED57" w14:textId="4B5E3B73" w:rsidR="00EC2D5E" w:rsidRPr="008E65F1" w:rsidRDefault="00EC2D5E" w:rsidP="0073079A">
      <w:pPr>
        <w:pStyle w:val="3-BodyText"/>
        <w:snapToGrid w:val="0"/>
      </w:pPr>
      <w:r w:rsidRPr="008E65F1">
        <w:t>Table 9 summarises the patient reported outcomes for WOMAC from the included adult studies</w:t>
      </w:r>
      <w:r w:rsidR="00F11C46">
        <w:t>.</w:t>
      </w:r>
    </w:p>
    <w:p w14:paraId="76E8E5E3" w14:textId="5C732188" w:rsidR="00EC2D5E" w:rsidRDefault="00EC2D5E" w:rsidP="0095478A">
      <w:pPr>
        <w:keepNext/>
        <w:rPr>
          <w:rFonts w:ascii="Arial Narrow" w:hAnsi="Arial Narrow"/>
          <w:b/>
          <w:sz w:val="20"/>
          <w:szCs w:val="20"/>
        </w:rPr>
      </w:pPr>
      <w:r>
        <w:rPr>
          <w:rFonts w:ascii="Arial Narrow" w:hAnsi="Arial Narrow"/>
          <w:b/>
          <w:sz w:val="20"/>
          <w:szCs w:val="20"/>
        </w:rPr>
        <w:lastRenderedPageBreak/>
        <w:t xml:space="preserve">Table </w:t>
      </w:r>
      <w:r>
        <w:rPr>
          <w:rFonts w:ascii="Arial Narrow" w:hAnsi="Arial Narrow"/>
          <w:b/>
          <w:sz w:val="20"/>
          <w:szCs w:val="20"/>
        </w:rPr>
        <w:fldChar w:fldCharType="begin"/>
      </w:r>
      <w:r>
        <w:rPr>
          <w:rFonts w:ascii="Arial Narrow" w:hAnsi="Arial Narrow"/>
          <w:b/>
          <w:sz w:val="20"/>
          <w:szCs w:val="20"/>
        </w:rPr>
        <w:instrText xml:space="preserve"> SEQ Table \* ARABIC </w:instrText>
      </w:r>
      <w:r>
        <w:rPr>
          <w:rFonts w:ascii="Arial Narrow" w:hAnsi="Arial Narrow"/>
          <w:b/>
          <w:sz w:val="20"/>
          <w:szCs w:val="20"/>
        </w:rPr>
        <w:fldChar w:fldCharType="separate"/>
      </w:r>
      <w:r w:rsidR="00676539">
        <w:rPr>
          <w:rFonts w:ascii="Arial Narrow" w:hAnsi="Arial Narrow"/>
          <w:b/>
          <w:noProof/>
          <w:sz w:val="20"/>
          <w:szCs w:val="20"/>
        </w:rPr>
        <w:t>9</w:t>
      </w:r>
      <w:r>
        <w:rPr>
          <w:rFonts w:ascii="Arial Narrow" w:hAnsi="Arial Narrow"/>
          <w:b/>
          <w:sz w:val="20"/>
          <w:szCs w:val="20"/>
        </w:rPr>
        <w:fldChar w:fldCharType="end"/>
      </w:r>
      <w:r>
        <w:rPr>
          <w:rFonts w:ascii="Arial Narrow" w:hAnsi="Arial Narrow"/>
          <w:b/>
          <w:sz w:val="20"/>
          <w:szCs w:val="20"/>
        </w:rPr>
        <w:t xml:space="preserve">: </w:t>
      </w:r>
      <w:r w:rsidR="009408C2">
        <w:rPr>
          <w:rFonts w:ascii="Arial Narrow" w:hAnsi="Arial Narrow"/>
          <w:b/>
          <w:sz w:val="20"/>
          <w:szCs w:val="20"/>
        </w:rPr>
        <w:t>P</w:t>
      </w:r>
      <w:r>
        <w:rPr>
          <w:rFonts w:ascii="Arial Narrow" w:hAnsi="Arial Narrow"/>
          <w:b/>
          <w:sz w:val="20"/>
          <w:szCs w:val="20"/>
        </w:rPr>
        <w:t>atient reported outcomes (WOMAC) in the adult studies</w:t>
      </w:r>
    </w:p>
    <w:tbl>
      <w:tblPr>
        <w:tblStyle w:val="TableGrid"/>
        <w:tblW w:w="5000" w:type="pct"/>
        <w:tblCellMar>
          <w:left w:w="28" w:type="dxa"/>
          <w:right w:w="28" w:type="dxa"/>
        </w:tblCellMar>
        <w:tblLook w:val="04A0" w:firstRow="1" w:lastRow="0" w:firstColumn="1" w:lastColumn="0" w:noHBand="0" w:noVBand="1"/>
      </w:tblPr>
      <w:tblGrid>
        <w:gridCol w:w="4339"/>
        <w:gridCol w:w="1504"/>
        <w:gridCol w:w="1502"/>
        <w:gridCol w:w="1672"/>
      </w:tblGrid>
      <w:tr w:rsidR="00EC2D5E" w14:paraId="0C857598" w14:textId="77777777" w:rsidTr="00EC2D5E">
        <w:tc>
          <w:tcPr>
            <w:tcW w:w="2406" w:type="pct"/>
            <w:vMerge w:val="restart"/>
            <w:tcBorders>
              <w:top w:val="single" w:sz="4" w:space="0" w:color="auto"/>
              <w:left w:val="single" w:sz="4" w:space="0" w:color="auto"/>
              <w:bottom w:val="single" w:sz="4" w:space="0" w:color="auto"/>
              <w:right w:val="single" w:sz="4" w:space="0" w:color="auto"/>
            </w:tcBorders>
            <w:vAlign w:val="center"/>
            <w:hideMark/>
          </w:tcPr>
          <w:p w14:paraId="5FC83A03" w14:textId="77777777" w:rsidR="00EC2D5E" w:rsidRPr="001A2C4E" w:rsidRDefault="00EC2D5E" w:rsidP="0095478A">
            <w:pPr>
              <w:keepNext/>
              <w:jc w:val="left"/>
              <w:rPr>
                <w:rFonts w:ascii="Arial Narrow" w:hAnsi="Arial Narrow"/>
                <w:b/>
                <w:sz w:val="20"/>
                <w:szCs w:val="20"/>
              </w:rPr>
            </w:pPr>
            <w:r w:rsidRPr="001A2C4E">
              <w:rPr>
                <w:rFonts w:ascii="Arial Narrow" w:hAnsi="Arial Narrow"/>
                <w:b/>
                <w:sz w:val="20"/>
                <w:szCs w:val="20"/>
              </w:rPr>
              <w:t>Outcome</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F666B5F"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CL303^</w:t>
            </w:r>
          </w:p>
        </w:tc>
        <w:tc>
          <w:tcPr>
            <w:tcW w:w="927" w:type="pct"/>
            <w:tcBorders>
              <w:top w:val="single" w:sz="4" w:space="0" w:color="auto"/>
              <w:left w:val="single" w:sz="4" w:space="0" w:color="auto"/>
              <w:bottom w:val="single" w:sz="4" w:space="0" w:color="auto"/>
              <w:right w:val="single" w:sz="4" w:space="0" w:color="auto"/>
            </w:tcBorders>
            <w:vAlign w:val="center"/>
            <w:hideMark/>
          </w:tcPr>
          <w:p w14:paraId="3731CCAA"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BUR02</w:t>
            </w:r>
          </w:p>
        </w:tc>
      </w:tr>
      <w:tr w:rsidR="00EC2D5E" w14:paraId="5B2F1AD0" w14:textId="77777777" w:rsidTr="00EC2D5E">
        <w:tc>
          <w:tcPr>
            <w:tcW w:w="0" w:type="auto"/>
            <w:vMerge/>
            <w:tcBorders>
              <w:top w:val="single" w:sz="4" w:space="0" w:color="auto"/>
              <w:left w:val="single" w:sz="4" w:space="0" w:color="auto"/>
              <w:bottom w:val="single" w:sz="4" w:space="0" w:color="auto"/>
              <w:right w:val="single" w:sz="4" w:space="0" w:color="auto"/>
            </w:tcBorders>
            <w:vAlign w:val="center"/>
            <w:hideMark/>
          </w:tcPr>
          <w:p w14:paraId="76FD07E8" w14:textId="77777777" w:rsidR="00EC2D5E" w:rsidRPr="001A2C4E" w:rsidRDefault="00EC2D5E" w:rsidP="0095478A">
            <w:pPr>
              <w:keepNext/>
              <w:jc w:val="left"/>
              <w:rPr>
                <w:rFonts w:ascii="Arial Narrow" w:hAnsi="Arial Narrow"/>
                <w:b/>
                <w:sz w:val="20"/>
                <w:szCs w:val="20"/>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4253841"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BUR Q4W</w:t>
            </w:r>
          </w:p>
          <w:p w14:paraId="02EC01E4"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N=68</w:t>
            </w:r>
          </w:p>
        </w:tc>
        <w:tc>
          <w:tcPr>
            <w:tcW w:w="833" w:type="pct"/>
            <w:tcBorders>
              <w:top w:val="single" w:sz="4" w:space="0" w:color="auto"/>
              <w:left w:val="single" w:sz="4" w:space="0" w:color="auto"/>
              <w:bottom w:val="single" w:sz="4" w:space="0" w:color="auto"/>
              <w:right w:val="single" w:sz="4" w:space="0" w:color="auto"/>
            </w:tcBorders>
            <w:vAlign w:val="center"/>
            <w:hideMark/>
          </w:tcPr>
          <w:p w14:paraId="33112700"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Placebo</w:t>
            </w:r>
          </w:p>
          <w:p w14:paraId="3411F40F"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N=66</w:t>
            </w:r>
          </w:p>
        </w:tc>
        <w:tc>
          <w:tcPr>
            <w:tcW w:w="927" w:type="pct"/>
            <w:tcBorders>
              <w:top w:val="single" w:sz="4" w:space="0" w:color="auto"/>
              <w:left w:val="single" w:sz="4" w:space="0" w:color="auto"/>
              <w:bottom w:val="single" w:sz="4" w:space="0" w:color="auto"/>
              <w:right w:val="single" w:sz="4" w:space="0" w:color="auto"/>
            </w:tcBorders>
            <w:vAlign w:val="center"/>
            <w:hideMark/>
          </w:tcPr>
          <w:p w14:paraId="2FCCB1C0"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BUR Q4W</w:t>
            </w:r>
          </w:p>
          <w:p w14:paraId="5ACBE578" w14:textId="77777777" w:rsidR="00EC2D5E" w:rsidRPr="001A2C4E" w:rsidRDefault="00EC2D5E" w:rsidP="0095478A">
            <w:pPr>
              <w:keepNext/>
              <w:jc w:val="center"/>
              <w:rPr>
                <w:rFonts w:ascii="Arial Narrow" w:hAnsi="Arial Narrow"/>
                <w:sz w:val="20"/>
                <w:szCs w:val="20"/>
              </w:rPr>
            </w:pPr>
            <w:r w:rsidRPr="001A2C4E">
              <w:rPr>
                <w:rFonts w:ascii="Arial Narrow" w:hAnsi="Arial Narrow"/>
                <w:b/>
                <w:sz w:val="20"/>
                <w:szCs w:val="20"/>
              </w:rPr>
              <w:t>N=31</w:t>
            </w:r>
          </w:p>
        </w:tc>
      </w:tr>
      <w:tr w:rsidR="00EC2D5E" w14:paraId="75940CAF"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DB14AEB" w14:textId="77777777" w:rsidR="00EC2D5E" w:rsidRPr="001A2C4E" w:rsidRDefault="00EC2D5E" w:rsidP="0095478A">
            <w:pPr>
              <w:keepNext/>
              <w:jc w:val="left"/>
              <w:rPr>
                <w:rFonts w:ascii="Arial Narrow" w:hAnsi="Arial Narrow"/>
                <w:sz w:val="20"/>
                <w:szCs w:val="20"/>
              </w:rPr>
            </w:pPr>
            <w:r w:rsidRPr="001A2C4E">
              <w:rPr>
                <w:rFonts w:ascii="Arial Narrow" w:hAnsi="Arial Narrow"/>
                <w:b/>
                <w:sz w:val="20"/>
                <w:szCs w:val="20"/>
              </w:rPr>
              <w:t>WOMAC physical function</w:t>
            </w:r>
          </w:p>
        </w:tc>
      </w:tr>
      <w:tr w:rsidR="00EC2D5E" w14:paraId="110D429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BB78451"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5A5C033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50.79 (19.66)</w:t>
            </w:r>
          </w:p>
        </w:tc>
        <w:tc>
          <w:tcPr>
            <w:tcW w:w="833" w:type="pct"/>
            <w:tcBorders>
              <w:top w:val="single" w:sz="4" w:space="0" w:color="auto"/>
              <w:left w:val="single" w:sz="4" w:space="0" w:color="auto"/>
              <w:bottom w:val="single" w:sz="4" w:space="0" w:color="auto"/>
              <w:right w:val="single" w:sz="4" w:space="0" w:color="auto"/>
            </w:tcBorders>
            <w:vAlign w:val="center"/>
            <w:hideMark/>
          </w:tcPr>
          <w:p w14:paraId="16F5705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43.89 (19.94)</w:t>
            </w:r>
          </w:p>
        </w:tc>
        <w:tc>
          <w:tcPr>
            <w:tcW w:w="927" w:type="pct"/>
            <w:tcBorders>
              <w:top w:val="single" w:sz="4" w:space="0" w:color="auto"/>
              <w:left w:val="single" w:sz="4" w:space="0" w:color="auto"/>
              <w:bottom w:val="single" w:sz="4" w:space="0" w:color="auto"/>
              <w:right w:val="single" w:sz="4" w:space="0" w:color="auto"/>
            </w:tcBorders>
            <w:vAlign w:val="center"/>
            <w:hideMark/>
          </w:tcPr>
          <w:p w14:paraId="60E37506"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43.75 (3.23)</w:t>
            </w:r>
            <w:r w:rsidRPr="001A2C4E">
              <w:rPr>
                <w:rFonts w:ascii="Arial Narrow" w:hAnsi="Arial Narrow"/>
                <w:sz w:val="20"/>
                <w:szCs w:val="20"/>
                <w:vertAlign w:val="superscript"/>
              </w:rPr>
              <w:t>a</w:t>
            </w:r>
          </w:p>
        </w:tc>
      </w:tr>
      <w:tr w:rsidR="00EC2D5E" w14:paraId="492A4FAB"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4C08BC6"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29BEFA8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43.43 (19.51)</w:t>
            </w:r>
          </w:p>
        </w:tc>
        <w:tc>
          <w:tcPr>
            <w:tcW w:w="833" w:type="pct"/>
            <w:tcBorders>
              <w:top w:val="single" w:sz="4" w:space="0" w:color="auto"/>
              <w:left w:val="single" w:sz="4" w:space="0" w:color="auto"/>
              <w:bottom w:val="single" w:sz="4" w:space="0" w:color="auto"/>
              <w:right w:val="single" w:sz="4" w:space="0" w:color="auto"/>
            </w:tcBorders>
            <w:vAlign w:val="center"/>
            <w:hideMark/>
          </w:tcPr>
          <w:p w14:paraId="1E9CFCF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42.65 (22.76)</w:t>
            </w:r>
          </w:p>
        </w:tc>
        <w:tc>
          <w:tcPr>
            <w:tcW w:w="927" w:type="pct"/>
            <w:tcBorders>
              <w:top w:val="single" w:sz="4" w:space="0" w:color="auto"/>
              <w:left w:val="single" w:sz="4" w:space="0" w:color="auto"/>
              <w:bottom w:val="single" w:sz="4" w:space="0" w:color="auto"/>
              <w:right w:val="single" w:sz="4" w:space="0" w:color="auto"/>
            </w:tcBorders>
            <w:vAlign w:val="center"/>
            <w:hideMark/>
          </w:tcPr>
          <w:p w14:paraId="07A1118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38.50 (3.35)</w:t>
            </w:r>
            <w:r w:rsidRPr="001A2C4E">
              <w:rPr>
                <w:rFonts w:ascii="Arial Narrow" w:hAnsi="Arial Narrow"/>
                <w:sz w:val="20"/>
                <w:szCs w:val="20"/>
                <w:vertAlign w:val="superscript"/>
              </w:rPr>
              <w:t>a</w:t>
            </w:r>
          </w:p>
        </w:tc>
      </w:tr>
      <w:tr w:rsidR="00EC2D5E" w14:paraId="433F6BE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73F34F9"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EE03D3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-3.11 (2.55)</w:t>
            </w:r>
          </w:p>
        </w:tc>
        <w:tc>
          <w:tcPr>
            <w:tcW w:w="833" w:type="pct"/>
            <w:tcBorders>
              <w:top w:val="single" w:sz="4" w:space="0" w:color="auto"/>
              <w:left w:val="single" w:sz="4" w:space="0" w:color="auto"/>
              <w:bottom w:val="single" w:sz="4" w:space="0" w:color="auto"/>
              <w:right w:val="single" w:sz="4" w:space="0" w:color="auto"/>
            </w:tcBorders>
            <w:vAlign w:val="center"/>
            <w:hideMark/>
          </w:tcPr>
          <w:p w14:paraId="0B98BA6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+1.79 (2.72)</w:t>
            </w:r>
          </w:p>
        </w:tc>
        <w:tc>
          <w:tcPr>
            <w:tcW w:w="927" w:type="pct"/>
            <w:tcBorders>
              <w:top w:val="single" w:sz="4" w:space="0" w:color="auto"/>
              <w:left w:val="single" w:sz="4" w:space="0" w:color="auto"/>
              <w:bottom w:val="single" w:sz="4" w:space="0" w:color="auto"/>
              <w:right w:val="single" w:sz="4" w:space="0" w:color="auto"/>
            </w:tcBorders>
            <w:vAlign w:val="center"/>
            <w:hideMark/>
          </w:tcPr>
          <w:p w14:paraId="7D33B1F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−15.84 (2.69)</w:t>
            </w:r>
            <w:r w:rsidRPr="001A2C4E">
              <w:rPr>
                <w:rFonts w:ascii="Arial Narrow" w:hAnsi="Arial Narrow"/>
                <w:sz w:val="20"/>
                <w:szCs w:val="20"/>
                <w:vertAlign w:val="superscript"/>
              </w:rPr>
              <w:t>b</w:t>
            </w:r>
          </w:p>
        </w:tc>
      </w:tr>
      <w:tr w:rsidR="00EC2D5E" w14:paraId="5376779A"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31B8403"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 xml:space="preserve">Difference (SE) vs placebo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01A4540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-4.90 (2.48)</w:t>
            </w:r>
          </w:p>
        </w:tc>
        <w:tc>
          <w:tcPr>
            <w:tcW w:w="927" w:type="pct"/>
            <w:tcBorders>
              <w:top w:val="single" w:sz="4" w:space="0" w:color="auto"/>
              <w:left w:val="single" w:sz="4" w:space="0" w:color="auto"/>
              <w:bottom w:val="single" w:sz="4" w:space="0" w:color="auto"/>
              <w:right w:val="single" w:sz="4" w:space="0" w:color="auto"/>
            </w:tcBorders>
            <w:vAlign w:val="center"/>
            <w:hideMark/>
          </w:tcPr>
          <w:p w14:paraId="1838BB4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3AC3762B"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2D7333E"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14D576B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38.35 (18.61)</w:t>
            </w:r>
          </w:p>
        </w:tc>
        <w:tc>
          <w:tcPr>
            <w:tcW w:w="833" w:type="pct"/>
            <w:tcBorders>
              <w:top w:val="single" w:sz="4" w:space="0" w:color="auto"/>
              <w:left w:val="single" w:sz="4" w:space="0" w:color="auto"/>
              <w:bottom w:val="single" w:sz="4" w:space="0" w:color="auto"/>
              <w:right w:val="single" w:sz="4" w:space="0" w:color="auto"/>
            </w:tcBorders>
            <w:vAlign w:val="center"/>
            <w:hideMark/>
          </w:tcPr>
          <w:p w14:paraId="5C371B6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34.74 (22.62)</w:t>
            </w:r>
          </w:p>
        </w:tc>
        <w:tc>
          <w:tcPr>
            <w:tcW w:w="927" w:type="pct"/>
            <w:tcBorders>
              <w:top w:val="single" w:sz="4" w:space="0" w:color="auto"/>
              <w:left w:val="single" w:sz="4" w:space="0" w:color="auto"/>
              <w:bottom w:val="single" w:sz="4" w:space="0" w:color="auto"/>
              <w:right w:val="single" w:sz="4" w:space="0" w:color="auto"/>
            </w:tcBorders>
            <w:vAlign w:val="center"/>
            <w:hideMark/>
          </w:tcPr>
          <w:p w14:paraId="49220FC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35.86 (3.29)</w:t>
            </w:r>
            <w:r w:rsidRPr="001A2C4E">
              <w:rPr>
                <w:rFonts w:ascii="Arial Narrow" w:hAnsi="Arial Narrow"/>
                <w:sz w:val="20"/>
                <w:szCs w:val="20"/>
                <w:vertAlign w:val="superscript"/>
              </w:rPr>
              <w:t>a</w:t>
            </w:r>
          </w:p>
        </w:tc>
      </w:tr>
      <w:tr w:rsidR="00EC2D5E" w14:paraId="36AB393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79930A6"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AEC592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-8.42 (2.06)</w:t>
            </w:r>
          </w:p>
        </w:tc>
        <w:tc>
          <w:tcPr>
            <w:tcW w:w="833" w:type="pct"/>
            <w:tcBorders>
              <w:top w:val="single" w:sz="4" w:space="0" w:color="auto"/>
              <w:left w:val="single" w:sz="4" w:space="0" w:color="auto"/>
              <w:bottom w:val="single" w:sz="4" w:space="0" w:color="auto"/>
              <w:right w:val="single" w:sz="4" w:space="0" w:color="auto"/>
            </w:tcBorders>
            <w:vAlign w:val="center"/>
            <w:hideMark/>
          </w:tcPr>
          <w:p w14:paraId="6823EE2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-7.15 (2.80)</w:t>
            </w:r>
          </w:p>
        </w:tc>
        <w:tc>
          <w:tcPr>
            <w:tcW w:w="927" w:type="pct"/>
            <w:tcBorders>
              <w:top w:val="single" w:sz="4" w:space="0" w:color="auto"/>
              <w:left w:val="single" w:sz="4" w:space="0" w:color="auto"/>
              <w:bottom w:val="single" w:sz="4" w:space="0" w:color="auto"/>
              <w:right w:val="single" w:sz="4" w:space="0" w:color="auto"/>
            </w:tcBorders>
            <w:vAlign w:val="center"/>
            <w:hideMark/>
          </w:tcPr>
          <w:p w14:paraId="45750E1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−18.03 (2.69)</w:t>
            </w:r>
            <w:r w:rsidRPr="001A2C4E">
              <w:rPr>
                <w:rFonts w:ascii="Arial Narrow" w:hAnsi="Arial Narrow"/>
                <w:sz w:val="20"/>
                <w:szCs w:val="20"/>
                <w:vertAlign w:val="superscript"/>
              </w:rPr>
              <w:t>b</w:t>
            </w:r>
          </w:p>
        </w:tc>
      </w:tr>
      <w:tr w:rsidR="00EC2D5E" w14:paraId="33A3AAC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1BFB6AB" w14:textId="77777777" w:rsidR="00EC2D5E" w:rsidRPr="001A2C4E" w:rsidRDefault="00EC2D5E" w:rsidP="0095478A">
            <w:pPr>
              <w:keepNext/>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12CFB25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38.51 (20.62)</w:t>
            </w:r>
          </w:p>
        </w:tc>
        <w:tc>
          <w:tcPr>
            <w:tcW w:w="833" w:type="pct"/>
            <w:tcBorders>
              <w:top w:val="single" w:sz="4" w:space="0" w:color="auto"/>
              <w:left w:val="single" w:sz="4" w:space="0" w:color="auto"/>
              <w:bottom w:val="single" w:sz="4" w:space="0" w:color="auto"/>
              <w:right w:val="single" w:sz="4" w:space="0" w:color="auto"/>
            </w:tcBorders>
            <w:vAlign w:val="center"/>
            <w:hideMark/>
          </w:tcPr>
          <w:p w14:paraId="44F95C8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34.02 (22.70)</w:t>
            </w:r>
          </w:p>
        </w:tc>
        <w:tc>
          <w:tcPr>
            <w:tcW w:w="927" w:type="pct"/>
            <w:tcBorders>
              <w:top w:val="single" w:sz="4" w:space="0" w:color="auto"/>
              <w:left w:val="single" w:sz="4" w:space="0" w:color="auto"/>
              <w:bottom w:val="single" w:sz="4" w:space="0" w:color="auto"/>
              <w:right w:val="single" w:sz="4" w:space="0" w:color="auto"/>
            </w:tcBorders>
            <w:vAlign w:val="center"/>
            <w:hideMark/>
          </w:tcPr>
          <w:p w14:paraId="2D5F148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0912DEF9"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28DB7A6C"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06F44AD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-9.02 (2.27)</w:t>
            </w:r>
          </w:p>
        </w:tc>
        <w:tc>
          <w:tcPr>
            <w:tcW w:w="833" w:type="pct"/>
            <w:tcBorders>
              <w:top w:val="single" w:sz="4" w:space="0" w:color="auto"/>
              <w:left w:val="single" w:sz="4" w:space="0" w:color="auto"/>
              <w:bottom w:val="single" w:sz="4" w:space="0" w:color="auto"/>
              <w:right w:val="single" w:sz="4" w:space="0" w:color="auto"/>
            </w:tcBorders>
            <w:vAlign w:val="center"/>
            <w:hideMark/>
          </w:tcPr>
          <w:p w14:paraId="64E6F5A3"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-8.41 (2.75)</w:t>
            </w:r>
          </w:p>
        </w:tc>
        <w:tc>
          <w:tcPr>
            <w:tcW w:w="927" w:type="pct"/>
            <w:tcBorders>
              <w:top w:val="single" w:sz="4" w:space="0" w:color="auto"/>
              <w:left w:val="single" w:sz="4" w:space="0" w:color="auto"/>
              <w:bottom w:val="single" w:sz="4" w:space="0" w:color="auto"/>
              <w:right w:val="single" w:sz="4" w:space="0" w:color="auto"/>
            </w:tcBorders>
            <w:vAlign w:val="center"/>
            <w:hideMark/>
          </w:tcPr>
          <w:p w14:paraId="0B6A538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1BB182E6"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400BF23" w14:textId="77777777" w:rsidR="00EC2D5E" w:rsidRPr="001A2C4E" w:rsidRDefault="00EC2D5E" w:rsidP="0095478A">
            <w:pPr>
              <w:keepNext/>
              <w:jc w:val="left"/>
              <w:rPr>
                <w:rFonts w:ascii="Arial Narrow" w:hAnsi="Arial Narrow"/>
                <w:sz w:val="20"/>
                <w:szCs w:val="20"/>
              </w:rPr>
            </w:pPr>
            <w:r w:rsidRPr="001A2C4E">
              <w:rPr>
                <w:rFonts w:ascii="Arial Narrow" w:hAnsi="Arial Narrow"/>
                <w:b/>
                <w:sz w:val="20"/>
                <w:szCs w:val="20"/>
              </w:rPr>
              <w:t>WOMAC Stiffness</w:t>
            </w:r>
          </w:p>
        </w:tc>
      </w:tr>
      <w:tr w:rsidR="00EC2D5E" w14:paraId="17113C4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3F77B96"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84CEEA7"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64.71 (20.25)</w:t>
            </w:r>
          </w:p>
        </w:tc>
        <w:tc>
          <w:tcPr>
            <w:tcW w:w="833" w:type="pct"/>
            <w:tcBorders>
              <w:top w:val="single" w:sz="4" w:space="0" w:color="auto"/>
              <w:left w:val="single" w:sz="4" w:space="0" w:color="auto"/>
              <w:bottom w:val="single" w:sz="4" w:space="0" w:color="auto"/>
              <w:right w:val="single" w:sz="4" w:space="0" w:color="auto"/>
            </w:tcBorders>
            <w:vAlign w:val="center"/>
            <w:hideMark/>
          </w:tcPr>
          <w:p w14:paraId="4A6C493F"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61.36 (20.77)</w:t>
            </w:r>
          </w:p>
        </w:tc>
        <w:tc>
          <w:tcPr>
            <w:tcW w:w="927" w:type="pct"/>
            <w:tcBorders>
              <w:top w:val="single" w:sz="4" w:space="0" w:color="auto"/>
              <w:left w:val="single" w:sz="4" w:space="0" w:color="auto"/>
              <w:bottom w:val="single" w:sz="4" w:space="0" w:color="auto"/>
              <w:right w:val="single" w:sz="4" w:space="0" w:color="auto"/>
            </w:tcBorders>
            <w:vAlign w:val="center"/>
            <w:hideMark/>
          </w:tcPr>
          <w:p w14:paraId="3742C1C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53.33 (3.49)</w:t>
            </w:r>
            <w:r w:rsidRPr="001A2C4E">
              <w:rPr>
                <w:rFonts w:ascii="Arial Narrow" w:hAnsi="Arial Narrow"/>
                <w:sz w:val="20"/>
                <w:szCs w:val="20"/>
                <w:vertAlign w:val="superscript"/>
              </w:rPr>
              <w:t>a</w:t>
            </w:r>
          </w:p>
        </w:tc>
      </w:tr>
      <w:tr w:rsidR="00EC2D5E" w14:paraId="10AED4A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B430841"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25A0548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53.73 (20.76)</w:t>
            </w:r>
          </w:p>
        </w:tc>
        <w:tc>
          <w:tcPr>
            <w:tcW w:w="833" w:type="pct"/>
            <w:tcBorders>
              <w:top w:val="single" w:sz="4" w:space="0" w:color="auto"/>
              <w:left w:val="single" w:sz="4" w:space="0" w:color="auto"/>
              <w:bottom w:val="single" w:sz="4" w:space="0" w:color="auto"/>
              <w:right w:val="single" w:sz="4" w:space="0" w:color="auto"/>
            </w:tcBorders>
            <w:vAlign w:val="center"/>
            <w:hideMark/>
          </w:tcPr>
          <w:p w14:paraId="12D740EB"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60.38 (21.83)</w:t>
            </w:r>
          </w:p>
        </w:tc>
        <w:tc>
          <w:tcPr>
            <w:tcW w:w="927" w:type="pct"/>
            <w:tcBorders>
              <w:top w:val="single" w:sz="4" w:space="0" w:color="auto"/>
              <w:left w:val="single" w:sz="4" w:space="0" w:color="auto"/>
              <w:bottom w:val="single" w:sz="4" w:space="0" w:color="auto"/>
              <w:right w:val="single" w:sz="4" w:space="0" w:color="auto"/>
            </w:tcBorders>
            <w:vAlign w:val="center"/>
            <w:hideMark/>
          </w:tcPr>
          <w:p w14:paraId="66E23F9A"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45.56 (3.87)</w:t>
            </w:r>
            <w:r w:rsidRPr="001A2C4E">
              <w:rPr>
                <w:rFonts w:ascii="Arial Narrow" w:hAnsi="Arial Narrow"/>
                <w:sz w:val="20"/>
                <w:szCs w:val="20"/>
                <w:vertAlign w:val="superscript"/>
              </w:rPr>
              <w:t>a</w:t>
            </w:r>
          </w:p>
        </w:tc>
      </w:tr>
      <w:tr w:rsidR="00EC2D5E" w14:paraId="56EA723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E21F9F8"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187F6202"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-7.85 (3.03)</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DFA211"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+0.46 (3.14)</w:t>
            </w:r>
          </w:p>
        </w:tc>
        <w:tc>
          <w:tcPr>
            <w:tcW w:w="927" w:type="pct"/>
            <w:tcBorders>
              <w:top w:val="single" w:sz="4" w:space="0" w:color="auto"/>
              <w:left w:val="single" w:sz="4" w:space="0" w:color="auto"/>
              <w:bottom w:val="single" w:sz="4" w:space="0" w:color="auto"/>
              <w:right w:val="single" w:sz="4" w:space="0" w:color="auto"/>
            </w:tcBorders>
            <w:vAlign w:val="center"/>
            <w:hideMark/>
          </w:tcPr>
          <w:p w14:paraId="435960F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−19.93 (3.92)</w:t>
            </w:r>
            <w:r w:rsidRPr="001A2C4E">
              <w:rPr>
                <w:rFonts w:ascii="Arial Narrow" w:hAnsi="Arial Narrow"/>
                <w:sz w:val="20"/>
                <w:szCs w:val="20"/>
                <w:vertAlign w:val="superscript"/>
              </w:rPr>
              <w:t>b</w:t>
            </w:r>
          </w:p>
        </w:tc>
      </w:tr>
      <w:tr w:rsidR="00EC2D5E" w14:paraId="387A279E"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B2CC3E7"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 xml:space="preserve">Difference (SE) vs placebo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7F6474E4" w14:textId="77777777" w:rsidR="00EC2D5E" w:rsidRPr="001A2C4E" w:rsidRDefault="00EC2D5E" w:rsidP="0095478A">
            <w:pPr>
              <w:keepNext/>
              <w:jc w:val="center"/>
              <w:rPr>
                <w:rFonts w:ascii="Arial Narrow" w:hAnsi="Arial Narrow"/>
                <w:b/>
                <w:sz w:val="20"/>
                <w:szCs w:val="20"/>
              </w:rPr>
            </w:pPr>
            <w:r w:rsidRPr="001A2C4E">
              <w:rPr>
                <w:rFonts w:ascii="Arial Narrow" w:hAnsi="Arial Narrow"/>
                <w:b/>
                <w:sz w:val="20"/>
                <w:szCs w:val="20"/>
              </w:rPr>
              <w:t>-8.31 (3.25)</w:t>
            </w:r>
          </w:p>
        </w:tc>
        <w:tc>
          <w:tcPr>
            <w:tcW w:w="927" w:type="pct"/>
            <w:tcBorders>
              <w:top w:val="single" w:sz="4" w:space="0" w:color="auto"/>
              <w:left w:val="single" w:sz="4" w:space="0" w:color="auto"/>
              <w:bottom w:val="single" w:sz="4" w:space="0" w:color="auto"/>
              <w:right w:val="single" w:sz="4" w:space="0" w:color="auto"/>
            </w:tcBorders>
            <w:vAlign w:val="center"/>
          </w:tcPr>
          <w:p w14:paraId="4BE55852" w14:textId="77777777" w:rsidR="00EC2D5E" w:rsidRPr="001A2C4E" w:rsidRDefault="00EC2D5E" w:rsidP="0095478A">
            <w:pPr>
              <w:keepNext/>
              <w:jc w:val="center"/>
              <w:rPr>
                <w:rFonts w:ascii="Arial Narrow" w:hAnsi="Arial Narrow"/>
                <w:sz w:val="20"/>
                <w:szCs w:val="20"/>
              </w:rPr>
            </w:pPr>
          </w:p>
        </w:tc>
      </w:tr>
      <w:tr w:rsidR="00EC2D5E" w14:paraId="3B09AD17"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14EAC78" w14:textId="77777777" w:rsidR="00EC2D5E" w:rsidRPr="001A2C4E" w:rsidRDefault="00EC2D5E" w:rsidP="0095478A">
            <w:pPr>
              <w:keepNext/>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023B49CB"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45.27 (21.90)</w:t>
            </w:r>
          </w:p>
        </w:tc>
        <w:tc>
          <w:tcPr>
            <w:tcW w:w="833" w:type="pct"/>
            <w:tcBorders>
              <w:top w:val="single" w:sz="4" w:space="0" w:color="auto"/>
              <w:left w:val="single" w:sz="4" w:space="0" w:color="auto"/>
              <w:bottom w:val="single" w:sz="4" w:space="0" w:color="auto"/>
              <w:right w:val="single" w:sz="4" w:space="0" w:color="auto"/>
            </w:tcBorders>
            <w:vAlign w:val="center"/>
            <w:hideMark/>
          </w:tcPr>
          <w:p w14:paraId="378AAE30"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44.70 (22.47)</w:t>
            </w:r>
          </w:p>
        </w:tc>
        <w:tc>
          <w:tcPr>
            <w:tcW w:w="927" w:type="pct"/>
            <w:tcBorders>
              <w:top w:val="single" w:sz="4" w:space="0" w:color="auto"/>
              <w:left w:val="single" w:sz="4" w:space="0" w:color="auto"/>
              <w:bottom w:val="single" w:sz="4" w:space="0" w:color="auto"/>
              <w:right w:val="single" w:sz="4" w:space="0" w:color="auto"/>
            </w:tcBorders>
            <w:vAlign w:val="center"/>
            <w:hideMark/>
          </w:tcPr>
          <w:p w14:paraId="5E493F2E"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43.75 (3.37)</w:t>
            </w:r>
            <w:r w:rsidRPr="00BD7F7A">
              <w:rPr>
                <w:rFonts w:ascii="Arial Narrow" w:hAnsi="Arial Narrow"/>
                <w:sz w:val="20"/>
                <w:szCs w:val="20"/>
                <w:vertAlign w:val="superscript"/>
              </w:rPr>
              <w:t>a</w:t>
            </w:r>
          </w:p>
        </w:tc>
      </w:tr>
      <w:tr w:rsidR="00EC2D5E" w14:paraId="2E8D99E5"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7D421BFA"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6C3830BE"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-16.63 (3.30)</w:t>
            </w:r>
          </w:p>
        </w:tc>
        <w:tc>
          <w:tcPr>
            <w:tcW w:w="833" w:type="pct"/>
            <w:tcBorders>
              <w:top w:val="single" w:sz="4" w:space="0" w:color="auto"/>
              <w:left w:val="single" w:sz="4" w:space="0" w:color="auto"/>
              <w:bottom w:val="single" w:sz="4" w:space="0" w:color="auto"/>
              <w:right w:val="single" w:sz="4" w:space="0" w:color="auto"/>
            </w:tcBorders>
            <w:vAlign w:val="center"/>
            <w:hideMark/>
          </w:tcPr>
          <w:p w14:paraId="42B2CAA8"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-15.83 (3.49)</w:t>
            </w:r>
          </w:p>
        </w:tc>
        <w:tc>
          <w:tcPr>
            <w:tcW w:w="927" w:type="pct"/>
            <w:tcBorders>
              <w:top w:val="single" w:sz="4" w:space="0" w:color="auto"/>
              <w:left w:val="single" w:sz="4" w:space="0" w:color="auto"/>
              <w:bottom w:val="single" w:sz="4" w:space="0" w:color="auto"/>
              <w:right w:val="single" w:sz="4" w:space="0" w:color="auto"/>
            </w:tcBorders>
            <w:vAlign w:val="center"/>
            <w:hideMark/>
          </w:tcPr>
          <w:p w14:paraId="60155C95"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−22.93 (3.54)</w:t>
            </w:r>
            <w:r w:rsidRPr="001A2C4E">
              <w:rPr>
                <w:rFonts w:ascii="Arial Narrow" w:hAnsi="Arial Narrow"/>
                <w:sz w:val="20"/>
                <w:szCs w:val="20"/>
                <w:vertAlign w:val="superscript"/>
              </w:rPr>
              <w:t>b</w:t>
            </w:r>
          </w:p>
        </w:tc>
      </w:tr>
      <w:tr w:rsidR="00EC2D5E" w14:paraId="49AF5CB1"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0955B0E6" w14:textId="77777777" w:rsidR="00EC2D5E" w:rsidRPr="001A2C4E" w:rsidRDefault="00EC2D5E" w:rsidP="0095478A">
            <w:pPr>
              <w:keepNext/>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37701EB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47.25 (24.79)</w:t>
            </w:r>
          </w:p>
        </w:tc>
        <w:tc>
          <w:tcPr>
            <w:tcW w:w="833" w:type="pct"/>
            <w:tcBorders>
              <w:top w:val="single" w:sz="4" w:space="0" w:color="auto"/>
              <w:left w:val="single" w:sz="4" w:space="0" w:color="auto"/>
              <w:bottom w:val="single" w:sz="4" w:space="0" w:color="auto"/>
              <w:right w:val="single" w:sz="4" w:space="0" w:color="auto"/>
            </w:tcBorders>
            <w:vAlign w:val="center"/>
            <w:hideMark/>
          </w:tcPr>
          <w:p w14:paraId="6356AD3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42.58 (24.02)</w:t>
            </w:r>
          </w:p>
        </w:tc>
        <w:tc>
          <w:tcPr>
            <w:tcW w:w="927" w:type="pct"/>
            <w:tcBorders>
              <w:top w:val="single" w:sz="4" w:space="0" w:color="auto"/>
              <w:left w:val="single" w:sz="4" w:space="0" w:color="auto"/>
              <w:bottom w:val="single" w:sz="4" w:space="0" w:color="auto"/>
              <w:right w:val="single" w:sz="4" w:space="0" w:color="auto"/>
            </w:tcBorders>
            <w:vAlign w:val="center"/>
            <w:hideMark/>
          </w:tcPr>
          <w:p w14:paraId="0F40F2CD"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69EA808C"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783D14F" w14:textId="77777777" w:rsidR="00EC2D5E" w:rsidRPr="001A2C4E" w:rsidRDefault="00EC2D5E" w:rsidP="0095478A">
            <w:pPr>
              <w:keepNext/>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4701A9D4"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-15.32 (3.58)</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DCF399"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-17.67 (3.74)</w:t>
            </w:r>
          </w:p>
        </w:tc>
        <w:tc>
          <w:tcPr>
            <w:tcW w:w="927" w:type="pct"/>
            <w:tcBorders>
              <w:top w:val="single" w:sz="4" w:space="0" w:color="auto"/>
              <w:left w:val="single" w:sz="4" w:space="0" w:color="auto"/>
              <w:bottom w:val="single" w:sz="4" w:space="0" w:color="auto"/>
              <w:right w:val="single" w:sz="4" w:space="0" w:color="auto"/>
            </w:tcBorders>
            <w:vAlign w:val="center"/>
            <w:hideMark/>
          </w:tcPr>
          <w:p w14:paraId="2879F64C" w14:textId="77777777" w:rsidR="00EC2D5E" w:rsidRPr="001A2C4E" w:rsidRDefault="00EC2D5E" w:rsidP="0095478A">
            <w:pPr>
              <w:keepNext/>
              <w:jc w:val="center"/>
              <w:rPr>
                <w:rFonts w:ascii="Arial Narrow" w:hAnsi="Arial Narrow"/>
                <w:sz w:val="20"/>
                <w:szCs w:val="20"/>
              </w:rPr>
            </w:pPr>
            <w:r w:rsidRPr="001A2C4E">
              <w:rPr>
                <w:rFonts w:ascii="Arial Narrow" w:hAnsi="Arial Narrow"/>
                <w:sz w:val="20"/>
                <w:szCs w:val="20"/>
              </w:rPr>
              <w:t>-</w:t>
            </w:r>
          </w:p>
        </w:tc>
      </w:tr>
      <w:tr w:rsidR="00EC2D5E" w14:paraId="48DB026B"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4526AE0" w14:textId="77777777" w:rsidR="00EC2D5E" w:rsidRPr="001A2C4E" w:rsidRDefault="00EC2D5E">
            <w:pPr>
              <w:jc w:val="left"/>
              <w:rPr>
                <w:rFonts w:ascii="Arial Narrow" w:hAnsi="Arial Narrow"/>
                <w:b/>
                <w:sz w:val="20"/>
                <w:szCs w:val="20"/>
              </w:rPr>
            </w:pPr>
            <w:r w:rsidRPr="001A2C4E">
              <w:rPr>
                <w:rFonts w:ascii="Arial Narrow" w:hAnsi="Arial Narrow"/>
                <w:b/>
                <w:sz w:val="20"/>
                <w:szCs w:val="20"/>
              </w:rPr>
              <w:t>WOMAC Stiffness response (reduction in WOMAC stiffness score ≥ 10.0)</w:t>
            </w:r>
          </w:p>
        </w:tc>
      </w:tr>
      <w:tr w:rsidR="00EC2D5E" w14:paraId="51ABEB72"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4F8A40E"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24,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21BA771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40 (59)</w:t>
            </w:r>
          </w:p>
        </w:tc>
        <w:tc>
          <w:tcPr>
            <w:tcW w:w="833" w:type="pct"/>
            <w:tcBorders>
              <w:top w:val="single" w:sz="4" w:space="0" w:color="auto"/>
              <w:left w:val="single" w:sz="4" w:space="0" w:color="auto"/>
              <w:bottom w:val="single" w:sz="4" w:space="0" w:color="auto"/>
              <w:right w:val="single" w:sz="4" w:space="0" w:color="auto"/>
            </w:tcBorders>
            <w:vAlign w:val="center"/>
            <w:hideMark/>
          </w:tcPr>
          <w:p w14:paraId="09787F1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30 (45.5)</w:t>
            </w:r>
          </w:p>
        </w:tc>
        <w:tc>
          <w:tcPr>
            <w:tcW w:w="927" w:type="pct"/>
            <w:tcBorders>
              <w:top w:val="single" w:sz="4" w:space="0" w:color="auto"/>
              <w:left w:val="single" w:sz="4" w:space="0" w:color="auto"/>
              <w:bottom w:val="single" w:sz="4" w:space="0" w:color="auto"/>
              <w:right w:val="single" w:sz="4" w:space="0" w:color="auto"/>
            </w:tcBorders>
            <w:vAlign w:val="center"/>
            <w:hideMark/>
          </w:tcPr>
          <w:p w14:paraId="6EAF2F0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13A607A8"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B744E67"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48,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47F0A507"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46 (68.2)</w:t>
            </w:r>
          </w:p>
        </w:tc>
        <w:tc>
          <w:tcPr>
            <w:tcW w:w="833" w:type="pct"/>
            <w:tcBorders>
              <w:top w:val="single" w:sz="4" w:space="0" w:color="auto"/>
              <w:left w:val="single" w:sz="4" w:space="0" w:color="auto"/>
              <w:bottom w:val="single" w:sz="4" w:space="0" w:color="auto"/>
              <w:right w:val="single" w:sz="4" w:space="0" w:color="auto"/>
            </w:tcBorders>
            <w:vAlign w:val="center"/>
            <w:hideMark/>
          </w:tcPr>
          <w:p w14:paraId="75F7CEB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45 (68.2)</w:t>
            </w:r>
          </w:p>
        </w:tc>
        <w:tc>
          <w:tcPr>
            <w:tcW w:w="927" w:type="pct"/>
            <w:tcBorders>
              <w:top w:val="single" w:sz="4" w:space="0" w:color="auto"/>
              <w:left w:val="single" w:sz="4" w:space="0" w:color="auto"/>
              <w:bottom w:val="single" w:sz="4" w:space="0" w:color="auto"/>
              <w:right w:val="single" w:sz="4" w:space="0" w:color="auto"/>
            </w:tcBorders>
            <w:vAlign w:val="center"/>
            <w:hideMark/>
          </w:tcPr>
          <w:p w14:paraId="3EC12B47"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736E412D"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38068BC"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96, n (%)</w:t>
            </w:r>
          </w:p>
        </w:tc>
        <w:tc>
          <w:tcPr>
            <w:tcW w:w="834" w:type="pct"/>
            <w:tcBorders>
              <w:top w:val="single" w:sz="4" w:space="0" w:color="auto"/>
              <w:left w:val="single" w:sz="4" w:space="0" w:color="auto"/>
              <w:bottom w:val="single" w:sz="4" w:space="0" w:color="auto"/>
              <w:right w:val="single" w:sz="4" w:space="0" w:color="auto"/>
            </w:tcBorders>
            <w:vAlign w:val="center"/>
            <w:hideMark/>
          </w:tcPr>
          <w:p w14:paraId="503ED0AF"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38 (64.4)</w:t>
            </w:r>
          </w:p>
        </w:tc>
        <w:tc>
          <w:tcPr>
            <w:tcW w:w="833" w:type="pct"/>
            <w:tcBorders>
              <w:top w:val="single" w:sz="4" w:space="0" w:color="auto"/>
              <w:left w:val="single" w:sz="4" w:space="0" w:color="auto"/>
              <w:bottom w:val="single" w:sz="4" w:space="0" w:color="auto"/>
              <w:right w:val="single" w:sz="4" w:space="0" w:color="auto"/>
            </w:tcBorders>
            <w:vAlign w:val="center"/>
            <w:hideMark/>
          </w:tcPr>
          <w:p w14:paraId="14D8A1F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40 (67.8)</w:t>
            </w:r>
          </w:p>
        </w:tc>
        <w:tc>
          <w:tcPr>
            <w:tcW w:w="927" w:type="pct"/>
            <w:tcBorders>
              <w:top w:val="single" w:sz="4" w:space="0" w:color="auto"/>
              <w:left w:val="single" w:sz="4" w:space="0" w:color="auto"/>
              <w:bottom w:val="single" w:sz="4" w:space="0" w:color="auto"/>
              <w:right w:val="single" w:sz="4" w:space="0" w:color="auto"/>
            </w:tcBorders>
            <w:vAlign w:val="center"/>
            <w:hideMark/>
          </w:tcPr>
          <w:p w14:paraId="55CB4DA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6341624D" w14:textId="77777777" w:rsidTr="00EC2D5E">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7C748D1" w14:textId="77777777" w:rsidR="00EC2D5E" w:rsidRPr="001A2C4E" w:rsidRDefault="00EC2D5E">
            <w:pPr>
              <w:jc w:val="left"/>
              <w:rPr>
                <w:rFonts w:ascii="Arial Narrow" w:hAnsi="Arial Narrow"/>
                <w:sz w:val="20"/>
                <w:szCs w:val="20"/>
              </w:rPr>
            </w:pPr>
            <w:r w:rsidRPr="001A2C4E">
              <w:rPr>
                <w:rFonts w:ascii="Arial Narrow" w:hAnsi="Arial Narrow"/>
                <w:b/>
                <w:sz w:val="20"/>
                <w:szCs w:val="20"/>
              </w:rPr>
              <w:t>WOMAC pain</w:t>
            </w:r>
          </w:p>
        </w:tc>
      </w:tr>
      <w:tr w:rsidR="00EC2D5E" w14:paraId="4B11254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E64FEC9" w14:textId="77777777" w:rsidR="00EC2D5E" w:rsidRPr="001A2C4E" w:rsidRDefault="00EC2D5E">
            <w:pPr>
              <w:rPr>
                <w:rFonts w:ascii="Arial Narrow" w:hAnsi="Arial Narrow"/>
                <w:sz w:val="20"/>
                <w:szCs w:val="20"/>
              </w:rPr>
            </w:pPr>
            <w:r w:rsidRPr="001A2C4E">
              <w:rPr>
                <w:rFonts w:ascii="Arial Narrow" w:hAnsi="Arial Narrow"/>
                <w:sz w:val="20"/>
                <w:szCs w:val="20"/>
              </w:rPr>
              <w:t>Baseline,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638F448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50.67 (18.01)</w:t>
            </w:r>
          </w:p>
        </w:tc>
        <w:tc>
          <w:tcPr>
            <w:tcW w:w="833" w:type="pct"/>
            <w:tcBorders>
              <w:top w:val="single" w:sz="4" w:space="0" w:color="auto"/>
              <w:left w:val="single" w:sz="4" w:space="0" w:color="auto"/>
              <w:bottom w:val="single" w:sz="4" w:space="0" w:color="auto"/>
              <w:right w:val="single" w:sz="4" w:space="0" w:color="auto"/>
            </w:tcBorders>
            <w:vAlign w:val="center"/>
            <w:hideMark/>
          </w:tcPr>
          <w:p w14:paraId="0A45C5C5"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47.95 (15.54)</w:t>
            </w:r>
          </w:p>
        </w:tc>
        <w:tc>
          <w:tcPr>
            <w:tcW w:w="927" w:type="pct"/>
            <w:tcBorders>
              <w:top w:val="single" w:sz="4" w:space="0" w:color="auto"/>
              <w:left w:val="single" w:sz="4" w:space="0" w:color="auto"/>
              <w:bottom w:val="single" w:sz="4" w:space="0" w:color="auto"/>
              <w:right w:val="single" w:sz="4" w:space="0" w:color="auto"/>
            </w:tcBorders>
            <w:vAlign w:val="center"/>
            <w:hideMark/>
          </w:tcPr>
          <w:p w14:paraId="31C0C34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41.00 (2.65)</w:t>
            </w:r>
            <w:r w:rsidRPr="00BD7F7A">
              <w:rPr>
                <w:rFonts w:ascii="Arial Narrow" w:hAnsi="Arial Narrow"/>
                <w:sz w:val="20"/>
                <w:szCs w:val="20"/>
                <w:vertAlign w:val="superscript"/>
              </w:rPr>
              <w:t>a</w:t>
            </w:r>
          </w:p>
        </w:tc>
      </w:tr>
      <w:tr w:rsidR="00EC2D5E" w14:paraId="7EC7F932"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BD11459" w14:textId="77777777" w:rsidR="00EC2D5E" w:rsidRPr="001A2C4E" w:rsidRDefault="00EC2D5E">
            <w:pPr>
              <w:rPr>
                <w:rFonts w:ascii="Arial Narrow" w:hAnsi="Arial Narrow"/>
                <w:sz w:val="20"/>
                <w:szCs w:val="20"/>
              </w:rPr>
            </w:pPr>
            <w:r w:rsidRPr="001A2C4E">
              <w:rPr>
                <w:rFonts w:ascii="Arial Narrow" w:hAnsi="Arial Narrow"/>
                <w:sz w:val="20"/>
                <w:szCs w:val="20"/>
              </w:rPr>
              <w:t>Week 24,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F06939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43.36 (17.11)</w:t>
            </w:r>
          </w:p>
        </w:tc>
        <w:tc>
          <w:tcPr>
            <w:tcW w:w="833" w:type="pct"/>
            <w:tcBorders>
              <w:top w:val="single" w:sz="4" w:space="0" w:color="auto"/>
              <w:left w:val="single" w:sz="4" w:space="0" w:color="auto"/>
              <w:bottom w:val="single" w:sz="4" w:space="0" w:color="auto"/>
              <w:right w:val="single" w:sz="4" w:space="0" w:color="auto"/>
            </w:tcBorders>
            <w:vAlign w:val="center"/>
            <w:hideMark/>
          </w:tcPr>
          <w:p w14:paraId="4A57F79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45.23 (18.38)</w:t>
            </w:r>
          </w:p>
        </w:tc>
        <w:tc>
          <w:tcPr>
            <w:tcW w:w="927" w:type="pct"/>
            <w:tcBorders>
              <w:top w:val="single" w:sz="4" w:space="0" w:color="auto"/>
              <w:left w:val="single" w:sz="4" w:space="0" w:color="auto"/>
              <w:bottom w:val="single" w:sz="4" w:space="0" w:color="auto"/>
              <w:right w:val="single" w:sz="4" w:space="0" w:color="auto"/>
            </w:tcBorders>
            <w:vAlign w:val="center"/>
            <w:hideMark/>
          </w:tcPr>
          <w:p w14:paraId="2BC34F5A"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35.00 (3.24)</w:t>
            </w:r>
            <w:r w:rsidRPr="00BD7F7A">
              <w:rPr>
                <w:rFonts w:ascii="Arial Narrow" w:hAnsi="Arial Narrow"/>
                <w:sz w:val="20"/>
                <w:szCs w:val="20"/>
                <w:vertAlign w:val="superscript"/>
              </w:rPr>
              <w:t>a</w:t>
            </w:r>
          </w:p>
        </w:tc>
      </w:tr>
      <w:tr w:rsidR="00EC2D5E" w14:paraId="409C2AF9"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8AFFAA2"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24,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722F024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1077271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4622D04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−14.38 (3.09)</w:t>
            </w:r>
            <w:r w:rsidRPr="00BD7F7A">
              <w:rPr>
                <w:rFonts w:ascii="Arial Narrow" w:hAnsi="Arial Narrow"/>
                <w:sz w:val="20"/>
                <w:szCs w:val="20"/>
                <w:vertAlign w:val="superscript"/>
              </w:rPr>
              <w:t>b</w:t>
            </w:r>
          </w:p>
        </w:tc>
      </w:tr>
      <w:tr w:rsidR="00EC2D5E" w14:paraId="6A83F3FF"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422978BC" w14:textId="77777777" w:rsidR="00EC2D5E" w:rsidRPr="001A2C4E" w:rsidRDefault="00EC2D5E">
            <w:pPr>
              <w:rPr>
                <w:rFonts w:ascii="Arial Narrow" w:hAnsi="Arial Narrow"/>
                <w:sz w:val="20"/>
                <w:szCs w:val="20"/>
              </w:rPr>
            </w:pPr>
            <w:r w:rsidRPr="001A2C4E">
              <w:rPr>
                <w:rFonts w:ascii="Arial Narrow" w:hAnsi="Arial Narrow"/>
                <w:sz w:val="20"/>
                <w:szCs w:val="20"/>
              </w:rPr>
              <w:t>Week 48,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C099BD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37.50 (16.53)</w:t>
            </w:r>
          </w:p>
        </w:tc>
        <w:tc>
          <w:tcPr>
            <w:tcW w:w="833" w:type="pct"/>
            <w:tcBorders>
              <w:top w:val="single" w:sz="4" w:space="0" w:color="auto"/>
              <w:left w:val="single" w:sz="4" w:space="0" w:color="auto"/>
              <w:bottom w:val="single" w:sz="4" w:space="0" w:color="auto"/>
              <w:right w:val="single" w:sz="4" w:space="0" w:color="auto"/>
            </w:tcBorders>
            <w:vAlign w:val="center"/>
            <w:hideMark/>
          </w:tcPr>
          <w:p w14:paraId="27AB5A66"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36.21 (20.34)</w:t>
            </w:r>
          </w:p>
        </w:tc>
        <w:tc>
          <w:tcPr>
            <w:tcW w:w="927" w:type="pct"/>
            <w:tcBorders>
              <w:top w:val="single" w:sz="4" w:space="0" w:color="auto"/>
              <w:left w:val="single" w:sz="4" w:space="0" w:color="auto"/>
              <w:bottom w:val="single" w:sz="4" w:space="0" w:color="auto"/>
              <w:right w:val="single" w:sz="4" w:space="0" w:color="auto"/>
            </w:tcBorders>
            <w:vAlign w:val="center"/>
            <w:hideMark/>
          </w:tcPr>
          <w:p w14:paraId="73B7BABE"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35.36 (3.0)</w:t>
            </w:r>
          </w:p>
        </w:tc>
      </w:tr>
      <w:tr w:rsidR="00EC2D5E" w14:paraId="2813A405"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633469E8"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48,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6CCFD52D"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7C320EC3"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276D52F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−13.84 (3.13)</w:t>
            </w:r>
          </w:p>
        </w:tc>
      </w:tr>
      <w:tr w:rsidR="00EC2D5E" w14:paraId="730CFB41"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14881DB3" w14:textId="77777777" w:rsidR="00EC2D5E" w:rsidRPr="001A2C4E" w:rsidRDefault="00EC2D5E">
            <w:pPr>
              <w:jc w:val="left"/>
              <w:rPr>
                <w:rFonts w:ascii="Arial Narrow" w:hAnsi="Arial Narrow"/>
                <w:sz w:val="20"/>
                <w:szCs w:val="20"/>
              </w:rPr>
            </w:pPr>
            <w:r w:rsidRPr="001A2C4E">
              <w:rPr>
                <w:rFonts w:ascii="Arial Narrow" w:hAnsi="Arial Narrow"/>
                <w:sz w:val="20"/>
                <w:szCs w:val="20"/>
              </w:rPr>
              <w:t>Week 96, mean (SD)</w:t>
            </w:r>
          </w:p>
        </w:tc>
        <w:tc>
          <w:tcPr>
            <w:tcW w:w="834" w:type="pct"/>
            <w:tcBorders>
              <w:top w:val="single" w:sz="4" w:space="0" w:color="auto"/>
              <w:left w:val="single" w:sz="4" w:space="0" w:color="auto"/>
              <w:bottom w:val="single" w:sz="4" w:space="0" w:color="auto"/>
              <w:right w:val="single" w:sz="4" w:space="0" w:color="auto"/>
            </w:tcBorders>
            <w:vAlign w:val="center"/>
            <w:hideMark/>
          </w:tcPr>
          <w:p w14:paraId="44E8134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35.59 (17.59)</w:t>
            </w:r>
          </w:p>
        </w:tc>
        <w:tc>
          <w:tcPr>
            <w:tcW w:w="833" w:type="pct"/>
            <w:tcBorders>
              <w:top w:val="single" w:sz="4" w:space="0" w:color="auto"/>
              <w:left w:val="single" w:sz="4" w:space="0" w:color="auto"/>
              <w:bottom w:val="single" w:sz="4" w:space="0" w:color="auto"/>
              <w:right w:val="single" w:sz="4" w:space="0" w:color="auto"/>
            </w:tcBorders>
            <w:vAlign w:val="center"/>
            <w:hideMark/>
          </w:tcPr>
          <w:p w14:paraId="16375312"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36.36 (20.80)</w:t>
            </w:r>
          </w:p>
        </w:tc>
        <w:tc>
          <w:tcPr>
            <w:tcW w:w="927" w:type="pct"/>
            <w:tcBorders>
              <w:top w:val="single" w:sz="4" w:space="0" w:color="auto"/>
              <w:left w:val="single" w:sz="4" w:space="0" w:color="auto"/>
              <w:bottom w:val="single" w:sz="4" w:space="0" w:color="auto"/>
              <w:right w:val="single" w:sz="4" w:space="0" w:color="auto"/>
            </w:tcBorders>
            <w:vAlign w:val="center"/>
            <w:hideMark/>
          </w:tcPr>
          <w:p w14:paraId="637AA4B1"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r w:rsidR="00EC2D5E" w14:paraId="595BA5A6" w14:textId="77777777" w:rsidTr="00EC2D5E">
        <w:tc>
          <w:tcPr>
            <w:tcW w:w="2406" w:type="pct"/>
            <w:tcBorders>
              <w:top w:val="single" w:sz="4" w:space="0" w:color="auto"/>
              <w:left w:val="single" w:sz="4" w:space="0" w:color="auto"/>
              <w:bottom w:val="single" w:sz="4" w:space="0" w:color="auto"/>
              <w:right w:val="single" w:sz="4" w:space="0" w:color="auto"/>
            </w:tcBorders>
            <w:hideMark/>
          </w:tcPr>
          <w:p w14:paraId="540FEE77" w14:textId="77777777" w:rsidR="00EC2D5E" w:rsidRPr="001A2C4E" w:rsidRDefault="00EC2D5E">
            <w:pPr>
              <w:ind w:left="112"/>
              <w:jc w:val="left"/>
              <w:rPr>
                <w:rFonts w:ascii="Arial Narrow" w:hAnsi="Arial Narrow"/>
                <w:sz w:val="20"/>
                <w:szCs w:val="20"/>
              </w:rPr>
            </w:pPr>
            <w:r w:rsidRPr="001A2C4E">
              <w:rPr>
                <w:rFonts w:ascii="Arial Narrow" w:hAnsi="Arial Narrow"/>
                <w:sz w:val="20"/>
                <w:szCs w:val="20"/>
              </w:rPr>
              <w:t>Week 96, LS mean (SE) change from baseline</w:t>
            </w:r>
          </w:p>
        </w:tc>
        <w:tc>
          <w:tcPr>
            <w:tcW w:w="834" w:type="pct"/>
            <w:tcBorders>
              <w:top w:val="single" w:sz="4" w:space="0" w:color="auto"/>
              <w:left w:val="single" w:sz="4" w:space="0" w:color="auto"/>
              <w:bottom w:val="single" w:sz="4" w:space="0" w:color="auto"/>
              <w:right w:val="single" w:sz="4" w:space="0" w:color="auto"/>
            </w:tcBorders>
            <w:vAlign w:val="center"/>
            <w:hideMark/>
          </w:tcPr>
          <w:p w14:paraId="023C1CD5"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572AC370"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1E98720A" w14:textId="77777777" w:rsidR="00EC2D5E" w:rsidRPr="001A2C4E" w:rsidRDefault="00EC2D5E">
            <w:pPr>
              <w:jc w:val="center"/>
              <w:rPr>
                <w:rFonts w:ascii="Arial Narrow" w:hAnsi="Arial Narrow"/>
                <w:sz w:val="20"/>
                <w:szCs w:val="20"/>
              </w:rPr>
            </w:pPr>
            <w:r w:rsidRPr="001A2C4E">
              <w:rPr>
                <w:rFonts w:ascii="Arial Narrow" w:hAnsi="Arial Narrow"/>
                <w:sz w:val="20"/>
                <w:szCs w:val="20"/>
              </w:rPr>
              <w:t>-</w:t>
            </w:r>
          </w:p>
        </w:tc>
      </w:tr>
    </w:tbl>
    <w:p w14:paraId="2BEEBE1A" w14:textId="6D56A877" w:rsidR="00EC2D5E" w:rsidRDefault="00EC2D5E" w:rsidP="00EC2D5E">
      <w:pPr>
        <w:rPr>
          <w:rFonts w:ascii="Arial Narrow" w:hAnsi="Arial Narrow"/>
          <w:sz w:val="18"/>
          <w:szCs w:val="18"/>
        </w:rPr>
      </w:pPr>
      <w:r>
        <w:rPr>
          <w:rFonts w:ascii="Arial Narrow" w:hAnsi="Arial Narrow"/>
          <w:sz w:val="18"/>
          <w:szCs w:val="18"/>
        </w:rPr>
        <w:t xml:space="preserve">Source: Table 2-73, p162 and Table 2-75, p171 of the </w:t>
      </w:r>
      <w:r w:rsidR="00C86DB7">
        <w:rPr>
          <w:rFonts w:ascii="Arial Narrow" w:hAnsi="Arial Narrow"/>
          <w:sz w:val="18"/>
          <w:szCs w:val="18"/>
        </w:rPr>
        <w:t>re</w:t>
      </w:r>
      <w:r>
        <w:rPr>
          <w:rFonts w:ascii="Arial Narrow" w:hAnsi="Arial Narrow"/>
          <w:sz w:val="18"/>
          <w:szCs w:val="18"/>
        </w:rPr>
        <w:t>submission, Table 14.2.1.2.3.1.99, pp1885-1929, Table 14.2.1.2.3.1 of CL303 CSR, p1930-1938.</w:t>
      </w:r>
    </w:p>
    <w:p w14:paraId="00FFBB66" w14:textId="77777777" w:rsidR="00EC2D5E" w:rsidRDefault="00EC2D5E" w:rsidP="00EC2D5E">
      <w:pPr>
        <w:rPr>
          <w:rFonts w:ascii="Arial Narrow" w:hAnsi="Arial Narrow"/>
          <w:sz w:val="18"/>
          <w:szCs w:val="18"/>
        </w:rPr>
      </w:pPr>
      <w:r>
        <w:rPr>
          <w:rFonts w:ascii="Arial Narrow" w:hAnsi="Arial Narrow"/>
          <w:sz w:val="18"/>
          <w:szCs w:val="18"/>
        </w:rPr>
        <w:t>BUR=burosumab; LS=least squares; WOMAC=Western Ontario and McMaster Universities Osteoarthritis Index; Q4W=every 4 weeks;</w:t>
      </w:r>
    </w:p>
    <w:p w14:paraId="6DC4E443" w14:textId="0B958183"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w:t>
      </w:r>
      <w:r>
        <w:rPr>
          <w:rFonts w:ascii="Arial Narrow" w:hAnsi="Arial Narrow"/>
          <w:sz w:val="18"/>
          <w:szCs w:val="18"/>
        </w:rPr>
        <w:tab/>
        <w:t xml:space="preserve">LS means and p-values estimated from GEE model, which included the change from </w:t>
      </w:r>
      <w:r w:rsidR="00974F00">
        <w:rPr>
          <w:rFonts w:ascii="Arial Narrow" w:hAnsi="Arial Narrow"/>
          <w:sz w:val="18"/>
          <w:szCs w:val="18"/>
        </w:rPr>
        <w:t>b</w:t>
      </w:r>
      <w:r>
        <w:rPr>
          <w:rFonts w:ascii="Arial Narrow" w:hAnsi="Arial Narrow"/>
          <w:sz w:val="18"/>
          <w:szCs w:val="18"/>
        </w:rPr>
        <w:t>aseline for the endpoint of interest as the dependent variable; region, visit, treatment, actual randomization stratification (not included for analysis of BPI Worst Pain), and visit by treatment as fixed factors; and baseline value for the endpoint of interest as a covariate, with compound symmetry covariance structure.</w:t>
      </w:r>
    </w:p>
    <w:p w14:paraId="3575BEA0"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a</w:t>
      </w:r>
      <w:r>
        <w:rPr>
          <w:rFonts w:ascii="Arial Narrow" w:hAnsi="Arial Narrow"/>
          <w:sz w:val="18"/>
          <w:szCs w:val="18"/>
        </w:rPr>
        <w:tab/>
        <w:t>mean (SE) score.</w:t>
      </w:r>
    </w:p>
    <w:p w14:paraId="011ECEE1" w14:textId="77777777" w:rsidR="00EC2D5E" w:rsidRDefault="00EC2D5E" w:rsidP="00EC2D5E">
      <w:pPr>
        <w:tabs>
          <w:tab w:val="left" w:pos="142"/>
        </w:tabs>
        <w:ind w:left="140" w:hanging="140"/>
        <w:rPr>
          <w:rFonts w:ascii="Arial Narrow" w:hAnsi="Arial Narrow"/>
          <w:sz w:val="18"/>
          <w:szCs w:val="18"/>
        </w:rPr>
      </w:pPr>
      <w:r>
        <w:rPr>
          <w:rFonts w:ascii="Arial Narrow" w:hAnsi="Arial Narrow"/>
          <w:sz w:val="18"/>
          <w:szCs w:val="18"/>
        </w:rPr>
        <w:t>b</w:t>
      </w:r>
      <w:r>
        <w:rPr>
          <w:rFonts w:ascii="Arial Narrow" w:hAnsi="Arial Narrow"/>
          <w:sz w:val="18"/>
          <w:szCs w:val="18"/>
        </w:rPr>
        <w:tab/>
        <w:t>LS mean (SE) change from CL303 baseline WOMAC physical function score: 51.94 (2.73), WOMAC stiffness score: 64.11 (2.44) or WOMAC pain score: 48.23 (2.38).</w:t>
      </w:r>
    </w:p>
    <w:p w14:paraId="15F33D8C" w14:textId="77777777" w:rsidR="00EC2D5E" w:rsidRDefault="00EC2D5E" w:rsidP="00EC2D5E">
      <w:pPr>
        <w:tabs>
          <w:tab w:val="left" w:pos="142"/>
        </w:tabs>
        <w:ind w:left="140" w:hanging="140"/>
        <w:rPr>
          <w:rFonts w:ascii="Arial Narrow" w:hAnsi="Arial Narrow"/>
          <w:sz w:val="18"/>
          <w:szCs w:val="18"/>
        </w:rPr>
      </w:pPr>
    </w:p>
    <w:p w14:paraId="2F8CD2FE" w14:textId="77777777" w:rsidR="00EC2D5E" w:rsidRPr="008E65F1" w:rsidRDefault="00EC2D5E" w:rsidP="0073079A">
      <w:pPr>
        <w:pStyle w:val="3-BodyText"/>
        <w:snapToGrid w:val="0"/>
      </w:pPr>
      <w:r w:rsidRPr="008E65F1">
        <w:t>The results demonstrated that:</w:t>
      </w:r>
    </w:p>
    <w:p w14:paraId="488722EB" w14:textId="15741C19" w:rsidR="00EC2D5E" w:rsidRPr="001A2C4E" w:rsidRDefault="00B43A10" w:rsidP="001A2C4E">
      <w:pPr>
        <w:pStyle w:val="ListParagraph"/>
        <w:numPr>
          <w:ilvl w:val="1"/>
          <w:numId w:val="11"/>
        </w:numPr>
        <w:snapToGrid w:val="0"/>
        <w:ind w:left="1080" w:hanging="360"/>
      </w:pPr>
      <w:r>
        <w:t>t</w:t>
      </w:r>
      <w:r w:rsidR="00EC2D5E" w:rsidRPr="001A2C4E">
        <w:t>here was improved patient reported outcomes in terms of WOMAC (pain, stiffness and physical functioning) domains and BPI (worst pain and pain severity) at Weeks 24 to the end of study (Week 149 in CL303 and Week 48 in BUR02) in all treatment groups compared to baseline.</w:t>
      </w:r>
    </w:p>
    <w:p w14:paraId="03535BE4" w14:textId="5913C0A2" w:rsidR="00EC2D5E" w:rsidRPr="001A2C4E" w:rsidRDefault="00B43A10" w:rsidP="001A2C4E">
      <w:pPr>
        <w:pStyle w:val="ListParagraph"/>
        <w:numPr>
          <w:ilvl w:val="1"/>
          <w:numId w:val="11"/>
        </w:numPr>
        <w:snapToGrid w:val="0"/>
        <w:ind w:left="1080" w:hanging="360"/>
      </w:pPr>
      <w:r>
        <w:lastRenderedPageBreak/>
        <w:t>i</w:t>
      </w:r>
      <w:r w:rsidR="00EC2D5E" w:rsidRPr="001A2C4E">
        <w:t xml:space="preserve">n CL303, during the placebo-controlled treatment period, the mean change from baseline in WOMAC stiffness at Week 24 was statistically significantly greater in the burosumab group compared to placebo. The mean difference in WOMAC stiffness at Week 24 </w:t>
      </w:r>
      <w:r w:rsidR="00975207" w:rsidRPr="001A2C4E">
        <w:t xml:space="preserve">potentially </w:t>
      </w:r>
      <w:r w:rsidR="00EC2D5E" w:rsidRPr="001A2C4E">
        <w:t xml:space="preserve">may not be clinically meaningful given the point estimate was below the estimated MCID for WOMAC stiffness of 10 points. </w:t>
      </w:r>
      <w:r w:rsidR="00DD1E57" w:rsidRPr="001A2C4E">
        <w:t>The PSCR noted that the randomised phase of the study (24 weeks) was insufficient to detect the full impact of burosumab on WOMAC scores.</w:t>
      </w:r>
    </w:p>
    <w:p w14:paraId="2FF8F2C6" w14:textId="412CA662" w:rsidR="00EC2D5E" w:rsidRPr="001A2C4E" w:rsidRDefault="00B43A10" w:rsidP="001A2C4E">
      <w:pPr>
        <w:pStyle w:val="ListParagraph"/>
        <w:numPr>
          <w:ilvl w:val="1"/>
          <w:numId w:val="11"/>
        </w:numPr>
        <w:snapToGrid w:val="0"/>
        <w:ind w:left="1080" w:hanging="360"/>
      </w:pPr>
      <w:r>
        <w:t>t</w:t>
      </w:r>
      <w:r w:rsidR="00EC2D5E" w:rsidRPr="001A2C4E">
        <w:t>he proportion of WOMAC responders (physical function and stiffness) and BPI responders (worst pain) at Week 24 in the burosumab group was numerically higher than in placebo. After placebo crossover to burosumab treatment in the open-label treatment continuation period to Week 96, the proportion of responders were comparable in both treatment groups.</w:t>
      </w:r>
    </w:p>
    <w:p w14:paraId="7C867191" w14:textId="36388CF3" w:rsidR="00EC2D5E" w:rsidRPr="001A2C4E" w:rsidRDefault="00EC2D5E" w:rsidP="0073079A">
      <w:pPr>
        <w:pStyle w:val="3-BodyText"/>
        <w:snapToGrid w:val="0"/>
      </w:pPr>
      <w:r w:rsidRPr="001A2C4E">
        <w:t xml:space="preserve">The resubmission presented the results of mobility outcomes (6MWT and TUG) from CL303 and BUR02. In CL303, there were increases from baseline in 6MWT distance walked with a statistically significant difference between treatment groups at Week 24. The improvement in 6MWT distance walked was generally maintained during the open-label treatment continuation period in CL303 and through study extension </w:t>
      </w:r>
      <w:r w:rsidR="00975207" w:rsidRPr="001A2C4E">
        <w:t xml:space="preserve">in </w:t>
      </w:r>
      <w:r w:rsidRPr="001A2C4E">
        <w:t>BUR02. In CL303, the TUG outcome was added as a protocol amendment and first administered at Week 36. The results showed TUG time was generally maintained to the end of the study (Week 96 for CL303 and Week 48 for BUR02).</w:t>
      </w:r>
    </w:p>
    <w:p w14:paraId="72EE254B" w14:textId="71D1A3F7" w:rsidR="00EC2D5E" w:rsidRPr="001A2C4E" w:rsidRDefault="00EC2D5E" w:rsidP="0073079A">
      <w:pPr>
        <w:pStyle w:val="3-BodyText"/>
        <w:snapToGrid w:val="0"/>
      </w:pPr>
      <w:r w:rsidRPr="001A2C4E">
        <w:t>The resubmission presented a summary of observational studies with conventional therapy and other treatments for XLH in paediatrics and adults. There were no studies evaluating the optimal dose for conventional therapy. For adults, Sullivan et al 1992 reported a small observational study (n=16) in symptomatic patients with XLH followed up for 4.2 years and showed that after treatment with conventional therapy there were statistically significant improvement in bone or joint pain and serum phosphate compared to before therapy. Conventional therapy also decreased but not normalise osteomalacia-related parameters (osteoid thickness and volume). Connor et al 2015 showed in a cross-sectional study (n=52) that conventional therapy in adults with XLH was not associated with the number of sites of enthesopathy and there was no improvement in calcifications of tendons and ligaments, however extended use of conventional therapy for a greater proportion of adulthood was associated with a reduced risk of severe dental disease.</w:t>
      </w:r>
    </w:p>
    <w:p w14:paraId="3519B39F" w14:textId="77777777" w:rsidR="00EC2D5E" w:rsidRDefault="00EC2D5E" w:rsidP="0095478A">
      <w:pPr>
        <w:pStyle w:val="4-SubsectionHeading"/>
      </w:pPr>
      <w:bookmarkStart w:id="40" w:name="_Toc92386481"/>
      <w:bookmarkStart w:id="41" w:name="_Toc22897642"/>
      <w:bookmarkStart w:id="42" w:name="_Toc93406131"/>
      <w:r>
        <w:t>Comparative harms</w:t>
      </w:r>
      <w:bookmarkEnd w:id="40"/>
      <w:bookmarkEnd w:id="41"/>
      <w:bookmarkEnd w:id="42"/>
    </w:p>
    <w:p w14:paraId="360C9A87" w14:textId="77777777" w:rsidR="00EC2D5E" w:rsidRDefault="00EC2D5E" w:rsidP="0095478A">
      <w:pPr>
        <w:pStyle w:val="3-BodyText"/>
        <w:keepNext/>
        <w:numPr>
          <w:ilvl w:val="0"/>
          <w:numId w:val="0"/>
        </w:numPr>
        <w:ind w:left="720" w:hanging="720"/>
        <w:rPr>
          <w:b/>
        </w:rPr>
      </w:pPr>
      <w:r>
        <w:rPr>
          <w:b/>
        </w:rPr>
        <w:t>Paediatrics</w:t>
      </w:r>
    </w:p>
    <w:p w14:paraId="68B60C0B" w14:textId="000F19BC" w:rsidR="00EC2D5E" w:rsidRPr="008E65F1" w:rsidRDefault="00EC2D5E" w:rsidP="0073079A">
      <w:pPr>
        <w:pStyle w:val="3-BodyText"/>
        <w:snapToGrid w:val="0"/>
      </w:pPr>
      <w:r w:rsidRPr="008E65F1">
        <w:t>In CL301, a higher proportion of patients treated with burosumab compared to conventional therapy experienced any AEs, treatment-related AEs and injection site reactions. Across the treatment arms, the incidence of serious AEs was low, most AEs were</w:t>
      </w:r>
      <w:r w:rsidR="001460C9" w:rsidRPr="008E65F1">
        <w:t xml:space="preserve"> of</w:t>
      </w:r>
      <w:r w:rsidRPr="008E65F1">
        <w:t xml:space="preserve"> mild intensity, no patient experienced AEs leading to discontinuation and no </w:t>
      </w:r>
      <w:r w:rsidRPr="008E65F1">
        <w:lastRenderedPageBreak/>
        <w:t>deaths were reported. In KRN23-003, after the start of self-administration of burosumab (at Week 4) all patients experienced TEAEs. The proportion of patients experiencing AEs in the burosumab group were generally similar across the studies.</w:t>
      </w:r>
    </w:p>
    <w:p w14:paraId="2AF8F204" w14:textId="77777777" w:rsidR="00EC2D5E" w:rsidRDefault="00EC2D5E" w:rsidP="00EC2D5E">
      <w:pPr>
        <w:pStyle w:val="3-BodyText"/>
        <w:numPr>
          <w:ilvl w:val="0"/>
          <w:numId w:val="0"/>
        </w:numPr>
        <w:ind w:left="720" w:hanging="720"/>
        <w:rPr>
          <w:b/>
        </w:rPr>
      </w:pPr>
      <w:r>
        <w:rPr>
          <w:b/>
        </w:rPr>
        <w:t>Adults</w:t>
      </w:r>
    </w:p>
    <w:p w14:paraId="03C27CB5" w14:textId="77777777" w:rsidR="00EC2D5E" w:rsidRPr="008E65F1" w:rsidRDefault="00EC2D5E" w:rsidP="0073079A">
      <w:pPr>
        <w:pStyle w:val="3-BodyText"/>
        <w:snapToGrid w:val="0"/>
      </w:pPr>
      <w:r w:rsidRPr="008E65F1">
        <w:t>In CL303, during the placebo-controlled treatment period the incidence of any AEs, serious AEs and treatment-related AEs were similar between burosumab and placebo groups. The total incidence of AEs to the end of the study (including the open label treatment continuation period) was higher in the burosumab group compared to placebo-burosumab crossover group, however the exposure-adjusted rate of AEs were similar between the treatment groups.</w:t>
      </w:r>
    </w:p>
    <w:p w14:paraId="5736DDCE" w14:textId="77777777" w:rsidR="00EC2D5E" w:rsidRPr="008E65F1" w:rsidRDefault="00EC2D5E" w:rsidP="0073079A">
      <w:pPr>
        <w:pStyle w:val="3-BodyText"/>
        <w:snapToGrid w:val="0"/>
      </w:pPr>
      <w:r w:rsidRPr="008E65F1">
        <w:t>The most commonly reported AEs for the burosumab group included nasopharyngitis, back pain, headache and tooth abscess, and for the placebo group included arthralgia, pain in extremity and oropharyngeal pain. Pre-defined AEs of special interest included injection site reactions, hypersensitivity and restless leg syndrome, which were similar between groups, however noting injection site reactions for the placebo group was a result of sham injections for blinding of treatment assignment and would not be observed normally.</w:t>
      </w:r>
    </w:p>
    <w:p w14:paraId="6EE80E8F" w14:textId="77777777" w:rsidR="00EC2D5E" w:rsidRDefault="00EC2D5E" w:rsidP="00EC2D5E">
      <w:pPr>
        <w:pStyle w:val="4-SubsectionHeading"/>
      </w:pPr>
      <w:bookmarkStart w:id="43" w:name="_Toc92386482"/>
      <w:bookmarkStart w:id="44" w:name="_Toc22897643"/>
      <w:bookmarkStart w:id="45" w:name="_Toc93406132"/>
      <w:r>
        <w:t>Benefits/harms</w:t>
      </w:r>
      <w:bookmarkEnd w:id="43"/>
      <w:bookmarkEnd w:id="44"/>
      <w:bookmarkEnd w:id="45"/>
    </w:p>
    <w:p w14:paraId="57838546" w14:textId="7224F743" w:rsidR="00EC2D5E" w:rsidRDefault="00EC2D5E" w:rsidP="0073079A">
      <w:pPr>
        <w:pStyle w:val="3-BodyText"/>
        <w:snapToGrid w:val="0"/>
      </w:pPr>
      <w:r>
        <w:t xml:space="preserve">A summary of the comparative benefits and harms for burosumab versus conventional therapy in paediatric patients is presented in Table 10 below. All clinically relevant results are </w:t>
      </w:r>
      <w:r w:rsidR="001460C9">
        <w:t>summarised;</w:t>
      </w:r>
      <w:r>
        <w:t xml:space="preserve"> </w:t>
      </w:r>
      <w:r w:rsidR="001460C9">
        <w:t>however,</w:t>
      </w:r>
      <w:r>
        <w:t xml:space="preserve"> the modelled economic evaluation was based solely on RSS results at Week 64 in paediatrics.</w:t>
      </w:r>
    </w:p>
    <w:p w14:paraId="6B9CBC0C" w14:textId="35E40E87" w:rsidR="00EC2D5E" w:rsidRDefault="00EC2D5E" w:rsidP="00052ED2">
      <w:pPr>
        <w:pStyle w:val="TableFigureHeading"/>
        <w:rPr>
          <w:rStyle w:val="CommentReference"/>
          <w:b/>
          <w:bCs w:val="0"/>
        </w:rPr>
      </w:pPr>
      <w:r>
        <w:lastRenderedPageBreak/>
        <w:t xml:space="preserve">Table </w:t>
      </w:r>
      <w:r w:rsidR="00BA0129">
        <w:rPr>
          <w:noProof/>
        </w:rPr>
        <w:fldChar w:fldCharType="begin"/>
      </w:r>
      <w:r w:rsidR="00BA0129">
        <w:rPr>
          <w:noProof/>
        </w:rPr>
        <w:instrText xml:space="preserve"> SEQ Table \* ARABIC </w:instrText>
      </w:r>
      <w:r w:rsidR="00BA0129">
        <w:rPr>
          <w:noProof/>
        </w:rPr>
        <w:fldChar w:fldCharType="separate"/>
      </w:r>
      <w:r w:rsidR="00676539">
        <w:rPr>
          <w:noProof/>
        </w:rPr>
        <w:t>10</w:t>
      </w:r>
      <w:r w:rsidR="00BA0129">
        <w:rPr>
          <w:noProof/>
        </w:rPr>
        <w:fldChar w:fldCharType="end"/>
      </w:r>
      <w:r>
        <w:t xml:space="preserve">: </w:t>
      </w:r>
      <w:r>
        <w:rPr>
          <w:rStyle w:val="CommentReference"/>
          <w:b/>
          <w:bCs w:val="0"/>
        </w:rPr>
        <w:t>Summary of comparative benefits and harms for BUR Q2W and conventional therapy in paediatrics</w:t>
      </w:r>
    </w:p>
    <w:tbl>
      <w:tblPr>
        <w:tblW w:w="5000" w:type="pct"/>
        <w:tblCellMar>
          <w:left w:w="28" w:type="dxa"/>
          <w:right w:w="28" w:type="dxa"/>
        </w:tblCellMar>
        <w:tblLook w:val="04A0" w:firstRow="1" w:lastRow="0" w:firstColumn="1" w:lastColumn="0" w:noHBand="0" w:noVBand="1"/>
        <w:tblCaption w:val="Table 10: Summary of comparative benefits and harms for BUR Q2W and conventional therapy in paediatrics"/>
      </w:tblPr>
      <w:tblGrid>
        <w:gridCol w:w="2109"/>
        <w:gridCol w:w="704"/>
        <w:gridCol w:w="280"/>
        <w:gridCol w:w="282"/>
        <w:gridCol w:w="845"/>
        <w:gridCol w:w="706"/>
        <w:gridCol w:w="701"/>
        <w:gridCol w:w="716"/>
        <w:gridCol w:w="279"/>
        <w:gridCol w:w="424"/>
        <w:gridCol w:w="703"/>
        <w:gridCol w:w="1268"/>
      </w:tblGrid>
      <w:tr w:rsidR="00EC2D5E" w14:paraId="1927CF56" w14:textId="77777777" w:rsidTr="00EC2D5E">
        <w:trPr>
          <w:cantSplit/>
        </w:trPr>
        <w:tc>
          <w:tcPr>
            <w:tcW w:w="5000" w:type="pct"/>
            <w:gridSpan w:val="1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76E70E98" w14:textId="77777777" w:rsidR="00EC2D5E" w:rsidRDefault="00EC2D5E" w:rsidP="00052ED2">
            <w:pPr>
              <w:pStyle w:val="In-tableHeading"/>
              <w:rPr>
                <w:lang w:val="en-AU"/>
              </w:rPr>
            </w:pPr>
            <w:r>
              <w:rPr>
                <w:lang w:val="en-AU"/>
              </w:rPr>
              <w:t>Benefits</w:t>
            </w:r>
          </w:p>
        </w:tc>
      </w:tr>
      <w:tr w:rsidR="00EC2D5E" w14:paraId="587B3F18" w14:textId="77777777" w:rsidTr="00EC2D5E">
        <w:trPr>
          <w:cantSplit/>
        </w:trPr>
        <w:tc>
          <w:tcPr>
            <w:tcW w:w="5000" w:type="pct"/>
            <w:gridSpan w:val="12"/>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49E24C" w14:textId="77777777" w:rsidR="00EC2D5E" w:rsidRDefault="00EC2D5E" w:rsidP="00052ED2">
            <w:pPr>
              <w:pStyle w:val="In-tableHeading"/>
              <w:rPr>
                <w:lang w:val="en-AU"/>
              </w:rPr>
            </w:pPr>
            <w:r>
              <w:rPr>
                <w:lang w:val="en-AU"/>
              </w:rPr>
              <w:t>LS mean change from baseline</w:t>
            </w:r>
          </w:p>
        </w:tc>
      </w:tr>
      <w:tr w:rsidR="00EC2D5E" w14:paraId="151B6DE1" w14:textId="77777777" w:rsidTr="00EC2D5E">
        <w:trPr>
          <w:cantSplit/>
          <w:trHeight w:val="225"/>
        </w:trPr>
        <w:tc>
          <w:tcPr>
            <w:tcW w:w="1561"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30727C" w14:textId="77777777" w:rsidR="00EC2D5E" w:rsidRDefault="00EC2D5E" w:rsidP="00052ED2">
            <w:pPr>
              <w:pStyle w:val="TableText0"/>
            </w:pPr>
            <w:r>
              <w:t>CL301^</w:t>
            </w:r>
          </w:p>
        </w:tc>
        <w:tc>
          <w:tcPr>
            <w:tcW w:w="1174"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A4AEB3" w14:textId="77777777" w:rsidR="00EC2D5E" w:rsidRDefault="00EC2D5E" w:rsidP="00052ED2">
            <w:pPr>
              <w:pStyle w:val="In-tableHeading"/>
              <w:jc w:val="center"/>
              <w:rPr>
                <w:lang w:val="en-AU"/>
              </w:rPr>
            </w:pPr>
            <w:r>
              <w:rPr>
                <w:lang w:val="en-AU"/>
              </w:rPr>
              <w:t>Burosumab</w:t>
            </w:r>
          </w:p>
        </w:tc>
        <w:tc>
          <w:tcPr>
            <w:tcW w:w="117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CEF6F3" w14:textId="77777777" w:rsidR="00EC2D5E" w:rsidRDefault="00EC2D5E" w:rsidP="00052ED2">
            <w:pPr>
              <w:pStyle w:val="In-tableHeading"/>
              <w:jc w:val="center"/>
              <w:rPr>
                <w:lang w:val="en-AU"/>
              </w:rPr>
            </w:pPr>
            <w:r>
              <w:rPr>
                <w:lang w:val="en-AU"/>
              </w:rPr>
              <w:t>Conventional</w:t>
            </w:r>
          </w:p>
        </w:tc>
        <w:tc>
          <w:tcPr>
            <w:tcW w:w="1093"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E48DAA" w14:textId="77777777" w:rsidR="00EC2D5E" w:rsidRDefault="00EC2D5E" w:rsidP="00052ED2">
            <w:pPr>
              <w:pStyle w:val="In-tableHeading"/>
              <w:jc w:val="center"/>
              <w:rPr>
                <w:lang w:val="en-AU"/>
              </w:rPr>
            </w:pPr>
            <w:r>
              <w:rPr>
                <w:lang w:val="en-AU"/>
              </w:rPr>
              <w:t>Mean difference</w:t>
            </w:r>
            <w:r>
              <w:rPr>
                <w:szCs w:val="18"/>
                <w:lang w:val="en-AU"/>
              </w:rPr>
              <w:t xml:space="preserve"> </w:t>
            </w:r>
            <w:r>
              <w:rPr>
                <w:szCs w:val="18"/>
                <w:lang w:val="en-AU"/>
              </w:rPr>
              <w:br/>
              <w:t>(95% CI)</w:t>
            </w:r>
          </w:p>
        </w:tc>
      </w:tr>
      <w:tr w:rsidR="00EC2D5E" w14:paraId="7C26B7DB" w14:textId="77777777" w:rsidTr="00EC2D5E">
        <w:trPr>
          <w:cantSplit/>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531047" w14:textId="77777777" w:rsidR="00EC2D5E" w:rsidRDefault="00EC2D5E" w:rsidP="00052ED2">
            <w:pPr>
              <w:keepNext/>
              <w:jc w:val="left"/>
              <w:rPr>
                <w:rFonts w:ascii="Arial Narrow" w:eastAsiaTheme="majorEastAsia" w:hAnsi="Arial Narrow" w:cstheme="majorBidi"/>
                <w:bCs/>
                <w:sz w:val="20"/>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A465D6" w14:textId="77777777" w:rsidR="00EC2D5E" w:rsidRDefault="00EC2D5E" w:rsidP="00052ED2">
            <w:pPr>
              <w:pStyle w:val="In-tableHeading"/>
              <w:jc w:val="center"/>
              <w:rPr>
                <w:lang w:val="en-AU"/>
              </w:rPr>
            </w:pPr>
            <w:r>
              <w:rPr>
                <w:lang w:val="en-AU"/>
              </w:rPr>
              <w:t>N</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E387C1" w14:textId="77777777" w:rsidR="00EC2D5E" w:rsidRDefault="00EC2D5E" w:rsidP="00052ED2">
            <w:pPr>
              <w:pStyle w:val="In-tableHeading"/>
              <w:jc w:val="center"/>
              <w:rPr>
                <w:lang w:val="en-AU"/>
              </w:rPr>
            </w:pPr>
            <w:r>
              <w:rPr>
                <w:lang w:val="en-AU"/>
              </w:rPr>
              <w:t>Mean ∆ baseline</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DBB5C1" w14:textId="77777777" w:rsidR="00EC2D5E" w:rsidRDefault="00EC2D5E" w:rsidP="00052ED2">
            <w:pPr>
              <w:pStyle w:val="In-tableHeading"/>
              <w:jc w:val="center"/>
              <w:rPr>
                <w:lang w:val="en-AU"/>
              </w:rPr>
            </w:pPr>
            <w:r>
              <w:rPr>
                <w:lang w:val="en-AU"/>
              </w:rPr>
              <w:t>SE</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D88143" w14:textId="77777777" w:rsidR="00EC2D5E" w:rsidRDefault="00EC2D5E" w:rsidP="00052ED2">
            <w:pPr>
              <w:pStyle w:val="In-tableHeading"/>
              <w:jc w:val="center"/>
              <w:rPr>
                <w:lang w:val="en-AU"/>
              </w:rPr>
            </w:pPr>
            <w:r>
              <w:rPr>
                <w:lang w:val="en-AU"/>
              </w:rPr>
              <w:t>N</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E39A24" w14:textId="77777777" w:rsidR="00EC2D5E" w:rsidRDefault="00EC2D5E" w:rsidP="00052ED2">
            <w:pPr>
              <w:pStyle w:val="In-tableHeading"/>
              <w:jc w:val="center"/>
              <w:rPr>
                <w:lang w:val="en-AU"/>
              </w:rPr>
            </w:pPr>
            <w:r>
              <w:rPr>
                <w:lang w:val="en-AU"/>
              </w:rPr>
              <w:t>Mean ∆ baseline</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9D36C2" w14:textId="77777777" w:rsidR="00EC2D5E" w:rsidRDefault="00EC2D5E" w:rsidP="00052ED2">
            <w:pPr>
              <w:pStyle w:val="In-tableHeading"/>
              <w:jc w:val="center"/>
              <w:rPr>
                <w:lang w:val="en-AU"/>
              </w:rPr>
            </w:pPr>
            <w:r>
              <w:rPr>
                <w:lang w:val="en-AU"/>
              </w:rPr>
              <w:t>SE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4AAEF4" w14:textId="77777777" w:rsidR="00EC2D5E" w:rsidRDefault="00EC2D5E" w:rsidP="00052ED2">
            <w:pPr>
              <w:keepNext/>
              <w:jc w:val="left"/>
              <w:rPr>
                <w:rFonts w:ascii="Arial Narrow" w:eastAsiaTheme="majorEastAsia" w:hAnsi="Arial Narrow" w:cs="Times New Roman"/>
                <w:b/>
                <w:sz w:val="20"/>
              </w:rPr>
            </w:pPr>
          </w:p>
        </w:tc>
      </w:tr>
      <w:tr w:rsidR="00EC2D5E" w14:paraId="0070EEAE" w14:textId="77777777" w:rsidTr="00EC2D5E">
        <w:trPr>
          <w:cantSplit/>
          <w:trHeight w:val="225"/>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683814" w14:textId="77777777" w:rsidR="00EC2D5E" w:rsidRDefault="00EC2D5E" w:rsidP="00052ED2">
            <w:pPr>
              <w:keepNext/>
              <w:rPr>
                <w:rFonts w:ascii="Arial Narrow" w:hAnsi="Arial Narrow"/>
                <w:color w:val="000000"/>
                <w:sz w:val="20"/>
                <w:szCs w:val="18"/>
              </w:rPr>
            </w:pPr>
            <w:r>
              <w:rPr>
                <w:rFonts w:ascii="Arial Narrow" w:hAnsi="Arial Narrow"/>
                <w:color w:val="000000"/>
                <w:sz w:val="20"/>
                <w:szCs w:val="18"/>
              </w:rPr>
              <w:t>RGI-C, Wk 40^</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3C4A47" w14:textId="77777777" w:rsidR="00EC2D5E" w:rsidRDefault="00EC2D5E" w:rsidP="00052ED2">
            <w:pPr>
              <w:pStyle w:val="In-tableHeading"/>
              <w:jc w:val="center"/>
              <w:rPr>
                <w:b w:val="0"/>
                <w:lang w:val="en-AU"/>
              </w:rPr>
            </w:pPr>
            <w:r>
              <w:rPr>
                <w:b w:val="0"/>
                <w:lang w:val="en-AU"/>
              </w:rP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FA7F19" w14:textId="77777777" w:rsidR="00EC2D5E" w:rsidRDefault="00EC2D5E" w:rsidP="00052ED2">
            <w:pPr>
              <w:pStyle w:val="In-tableHeading"/>
              <w:jc w:val="center"/>
              <w:rPr>
                <w:b w:val="0"/>
                <w:lang w:val="en-AU"/>
              </w:rPr>
            </w:pPr>
            <w:r>
              <w:rPr>
                <w:b w:val="0"/>
                <w:lang w:val="en-AU"/>
              </w:rPr>
              <w:t>+1.92</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EAE534" w14:textId="77777777" w:rsidR="00EC2D5E" w:rsidRDefault="00EC2D5E" w:rsidP="00052ED2">
            <w:pPr>
              <w:pStyle w:val="In-tableHeading"/>
              <w:jc w:val="center"/>
              <w:rPr>
                <w:b w:val="0"/>
                <w:lang w:val="en-AU"/>
              </w:rPr>
            </w:pPr>
            <w:r>
              <w:rPr>
                <w:b w:val="0"/>
                <w:lang w:val="en-AU"/>
              </w:rPr>
              <w:t>0.11</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67F74D" w14:textId="77777777" w:rsidR="00EC2D5E" w:rsidRDefault="00EC2D5E" w:rsidP="00052ED2">
            <w:pPr>
              <w:pStyle w:val="In-tableHeading"/>
              <w:jc w:val="center"/>
              <w:rPr>
                <w:b w:val="0"/>
                <w:lang w:val="en-AU"/>
              </w:rPr>
            </w:pPr>
            <w:r>
              <w:rPr>
                <w:b w:val="0"/>
                <w:lang w:val="en-AU"/>
              </w:rP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86FEAA" w14:textId="77777777" w:rsidR="00EC2D5E" w:rsidRDefault="00EC2D5E" w:rsidP="00052ED2">
            <w:pPr>
              <w:pStyle w:val="In-tableHeading"/>
              <w:jc w:val="center"/>
              <w:rPr>
                <w:b w:val="0"/>
                <w:lang w:val="en-AU"/>
              </w:rPr>
            </w:pPr>
            <w:r>
              <w:rPr>
                <w:b w:val="0"/>
                <w:lang w:val="en-AU"/>
              </w:rPr>
              <w:t>+0.77</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E4BAB8" w14:textId="77777777" w:rsidR="00EC2D5E" w:rsidRDefault="00EC2D5E" w:rsidP="00052ED2">
            <w:pPr>
              <w:pStyle w:val="In-tableHeading"/>
              <w:jc w:val="center"/>
              <w:rPr>
                <w:b w:val="0"/>
                <w:lang w:val="en-AU"/>
              </w:rPr>
            </w:pPr>
            <w:r>
              <w:rPr>
                <w:b w:val="0"/>
                <w:lang w:val="en-AU"/>
              </w:rPr>
              <w:t>0.11</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DBDB18" w14:textId="77777777" w:rsidR="00EC2D5E" w:rsidRDefault="00EC2D5E" w:rsidP="00052ED2">
            <w:pPr>
              <w:keepNext/>
              <w:jc w:val="center"/>
              <w:rPr>
                <w:rFonts w:ascii="Arial Narrow" w:hAnsi="Arial Narrow"/>
                <w:sz w:val="20"/>
                <w:szCs w:val="18"/>
              </w:rPr>
            </w:pPr>
            <w:r>
              <w:rPr>
                <w:rFonts w:ascii="Arial Narrow" w:hAnsi="Arial Narrow"/>
                <w:b/>
                <w:sz w:val="20"/>
                <w:szCs w:val="20"/>
              </w:rPr>
              <w:t>1.14 (0.83, 1.45)</w:t>
            </w:r>
          </w:p>
        </w:tc>
      </w:tr>
      <w:tr w:rsidR="00EC2D5E" w14:paraId="03C8C4FC" w14:textId="77777777" w:rsidTr="00EC2D5E">
        <w:trPr>
          <w:cantSplit/>
          <w:trHeight w:val="225"/>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813D37" w14:textId="77777777" w:rsidR="00EC2D5E" w:rsidRDefault="00EC2D5E" w:rsidP="00052ED2">
            <w:pPr>
              <w:keepNext/>
              <w:rPr>
                <w:rFonts w:ascii="Arial Narrow" w:hAnsi="Arial Narrow"/>
                <w:color w:val="000000"/>
                <w:sz w:val="20"/>
                <w:szCs w:val="18"/>
              </w:rPr>
            </w:pPr>
            <w:r>
              <w:rPr>
                <w:rFonts w:ascii="Arial Narrow" w:hAnsi="Arial Narrow"/>
                <w:color w:val="000000"/>
                <w:sz w:val="20"/>
                <w:szCs w:val="18"/>
              </w:rPr>
              <w:t>RGI-C,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161CB6" w14:textId="77777777" w:rsidR="00EC2D5E" w:rsidRDefault="00EC2D5E" w:rsidP="00052ED2">
            <w:pPr>
              <w:pStyle w:val="In-tableHeading"/>
              <w:jc w:val="center"/>
              <w:rPr>
                <w:b w:val="0"/>
                <w:lang w:val="en-AU"/>
              </w:rPr>
            </w:pPr>
            <w:r>
              <w:rPr>
                <w:b w:val="0"/>
                <w:lang w:val="en-AU"/>
              </w:rP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5813CC" w14:textId="77777777" w:rsidR="00EC2D5E" w:rsidRDefault="00EC2D5E" w:rsidP="00052ED2">
            <w:pPr>
              <w:pStyle w:val="In-tableHeading"/>
              <w:jc w:val="center"/>
              <w:rPr>
                <w:b w:val="0"/>
                <w:lang w:val="en-AU"/>
              </w:rPr>
            </w:pPr>
            <w:r>
              <w:rPr>
                <w:b w:val="0"/>
                <w:lang w:val="en-AU"/>
              </w:rPr>
              <w:t>+2.06</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FC589B" w14:textId="77777777" w:rsidR="00EC2D5E" w:rsidRDefault="00EC2D5E" w:rsidP="00052ED2">
            <w:pPr>
              <w:pStyle w:val="In-tableHeading"/>
              <w:jc w:val="center"/>
              <w:rPr>
                <w:b w:val="0"/>
                <w:lang w:val="en-AU"/>
              </w:rPr>
            </w:pPr>
            <w:r>
              <w:rPr>
                <w:b w:val="0"/>
                <w:lang w:val="en-AU"/>
              </w:rPr>
              <w:t>0.072</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00C38" w14:textId="77777777" w:rsidR="00EC2D5E" w:rsidRDefault="00EC2D5E" w:rsidP="00052ED2">
            <w:pPr>
              <w:pStyle w:val="In-tableHeading"/>
              <w:jc w:val="center"/>
              <w:rPr>
                <w:b w:val="0"/>
                <w:lang w:val="en-AU"/>
              </w:rPr>
            </w:pPr>
            <w:r>
              <w:rPr>
                <w:b w:val="0"/>
                <w:lang w:val="en-AU"/>
              </w:rP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41BF59" w14:textId="77777777" w:rsidR="00EC2D5E" w:rsidRDefault="00EC2D5E" w:rsidP="00052ED2">
            <w:pPr>
              <w:pStyle w:val="In-tableHeading"/>
              <w:jc w:val="center"/>
              <w:rPr>
                <w:b w:val="0"/>
                <w:lang w:val="en-AU"/>
              </w:rPr>
            </w:pPr>
            <w:r>
              <w:rPr>
                <w:b w:val="0"/>
                <w:lang w:val="en-AU"/>
              </w:rPr>
              <w:t>+1.03</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568EAD" w14:textId="77777777" w:rsidR="00EC2D5E" w:rsidRDefault="00EC2D5E" w:rsidP="00052ED2">
            <w:pPr>
              <w:pStyle w:val="In-tableHeading"/>
              <w:jc w:val="center"/>
              <w:rPr>
                <w:b w:val="0"/>
                <w:lang w:val="en-AU"/>
              </w:rPr>
            </w:pPr>
            <w:r>
              <w:rPr>
                <w:b w:val="0"/>
                <w:lang w:val="en-AU"/>
              </w:rPr>
              <w:t>0.14</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AC586B" w14:textId="77777777" w:rsidR="00EC2D5E" w:rsidRDefault="00EC2D5E" w:rsidP="00052ED2">
            <w:pPr>
              <w:keepNext/>
              <w:jc w:val="center"/>
              <w:rPr>
                <w:rFonts w:ascii="Arial Narrow" w:hAnsi="Arial Narrow"/>
                <w:sz w:val="20"/>
                <w:szCs w:val="18"/>
              </w:rPr>
            </w:pPr>
            <w:r>
              <w:rPr>
                <w:rFonts w:ascii="Arial Narrow" w:hAnsi="Arial Narrow"/>
                <w:b/>
                <w:sz w:val="20"/>
                <w:szCs w:val="20"/>
              </w:rPr>
              <w:t>1.02 (0.72, 1.33)</w:t>
            </w:r>
          </w:p>
        </w:tc>
      </w:tr>
      <w:tr w:rsidR="00EC2D5E" w14:paraId="1E674D6B"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39AF4B" w14:textId="77777777" w:rsidR="00EC2D5E" w:rsidRDefault="00EC2D5E" w:rsidP="00052ED2">
            <w:pPr>
              <w:pStyle w:val="TableText0"/>
            </w:pPr>
            <w:r>
              <w:t>RSS, Wk 40</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06AF7A"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6D65A" w14:textId="77777777" w:rsidR="00EC2D5E" w:rsidRDefault="00EC2D5E" w:rsidP="00052ED2">
            <w:pPr>
              <w:pStyle w:val="TableText0"/>
              <w:jc w:val="center"/>
            </w:pPr>
            <w:r>
              <w:t>-2.04</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DA1E46" w14:textId="77777777" w:rsidR="00EC2D5E" w:rsidRDefault="00EC2D5E" w:rsidP="00052ED2">
            <w:pPr>
              <w:pStyle w:val="TableText0"/>
              <w:jc w:val="center"/>
            </w:pPr>
            <w:r>
              <w:t>0.15</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C84CA1"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309739" w14:textId="77777777" w:rsidR="00EC2D5E" w:rsidRDefault="00EC2D5E" w:rsidP="00052ED2">
            <w:pPr>
              <w:pStyle w:val="TableText0"/>
              <w:jc w:val="center"/>
            </w:pPr>
            <w:r>
              <w:t>-0.71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2664A3" w14:textId="77777777" w:rsidR="00EC2D5E" w:rsidRDefault="00EC2D5E" w:rsidP="00052ED2">
            <w:pPr>
              <w:pStyle w:val="TableText0"/>
              <w:jc w:val="center"/>
            </w:pPr>
            <w:r>
              <w:t>0.14</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EF8FAA" w14:textId="77777777" w:rsidR="00EC2D5E" w:rsidRDefault="00EC2D5E" w:rsidP="00052ED2">
            <w:pPr>
              <w:pStyle w:val="TableText0"/>
              <w:jc w:val="center"/>
              <w:rPr>
                <w:b/>
              </w:rPr>
            </w:pPr>
            <w:r>
              <w:rPr>
                <w:b/>
              </w:rPr>
              <w:t>-1.34 (-1.74, -0.94)</w:t>
            </w:r>
          </w:p>
        </w:tc>
      </w:tr>
      <w:tr w:rsidR="00EC2D5E" w14:paraId="23EB54A6"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11C17B" w14:textId="77777777" w:rsidR="00EC2D5E" w:rsidRDefault="00EC2D5E" w:rsidP="00052ED2">
            <w:pPr>
              <w:pStyle w:val="TableText0"/>
            </w:pPr>
            <w:r>
              <w:t>RSS,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38940D"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94A70B" w14:textId="77777777" w:rsidR="00EC2D5E" w:rsidRDefault="00EC2D5E" w:rsidP="00052ED2">
            <w:pPr>
              <w:pStyle w:val="TableText0"/>
              <w:jc w:val="center"/>
            </w:pPr>
            <w:r>
              <w:rPr>
                <w:szCs w:val="20"/>
              </w:rPr>
              <w:t>-2.23</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D90F30" w14:textId="77777777" w:rsidR="00EC2D5E" w:rsidRDefault="00EC2D5E" w:rsidP="00052ED2">
            <w:pPr>
              <w:pStyle w:val="TableText0"/>
              <w:jc w:val="center"/>
            </w:pPr>
            <w:r>
              <w:rPr>
                <w:szCs w:val="20"/>
              </w:rPr>
              <w:t>0.12</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287522"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228B3E" w14:textId="77777777" w:rsidR="00EC2D5E" w:rsidRDefault="00EC2D5E" w:rsidP="00052ED2">
            <w:pPr>
              <w:pStyle w:val="TableText0"/>
              <w:jc w:val="center"/>
            </w:pPr>
            <w:r>
              <w:rPr>
                <w:szCs w:val="20"/>
              </w:rPr>
              <w:t>-1.01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44A6F6" w14:textId="77777777" w:rsidR="00EC2D5E" w:rsidRDefault="00EC2D5E" w:rsidP="00052ED2">
            <w:pPr>
              <w:pStyle w:val="TableText0"/>
              <w:jc w:val="center"/>
            </w:pPr>
            <w:r>
              <w:rPr>
                <w:szCs w:val="20"/>
              </w:rPr>
              <w:t>0.15</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C5F23F" w14:textId="77777777" w:rsidR="00EC2D5E" w:rsidRDefault="00EC2D5E" w:rsidP="00052ED2">
            <w:pPr>
              <w:pStyle w:val="TableText0"/>
              <w:jc w:val="center"/>
            </w:pPr>
            <w:r>
              <w:rPr>
                <w:b/>
                <w:szCs w:val="20"/>
              </w:rPr>
              <w:t>-1.21 (-1.59, -0.83)</w:t>
            </w:r>
          </w:p>
        </w:tc>
      </w:tr>
      <w:tr w:rsidR="00EC2D5E" w14:paraId="5CE58BC3"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1B1E3A" w14:textId="77777777" w:rsidR="00EC2D5E" w:rsidRDefault="00EC2D5E" w:rsidP="00052ED2">
            <w:pPr>
              <w:pStyle w:val="TableText0"/>
            </w:pPr>
            <w:r>
              <w:t>Standing height/ recumbent length Z Score,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635A35"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87380" w14:textId="77777777" w:rsidR="00EC2D5E" w:rsidRDefault="00EC2D5E" w:rsidP="00052ED2">
            <w:pPr>
              <w:pStyle w:val="TableText0"/>
              <w:jc w:val="center"/>
              <w:rPr>
                <w:szCs w:val="20"/>
              </w:rPr>
            </w:pPr>
            <w:r>
              <w:rPr>
                <w:szCs w:val="20"/>
              </w:rPr>
              <w:t>+0.17</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3E3F3" w14:textId="77777777" w:rsidR="00EC2D5E" w:rsidRDefault="00EC2D5E" w:rsidP="00052ED2">
            <w:pPr>
              <w:pStyle w:val="TableText0"/>
              <w:jc w:val="center"/>
              <w:rPr>
                <w:szCs w:val="20"/>
              </w:rPr>
            </w:pPr>
            <w:r>
              <w:rPr>
                <w:szCs w:val="20"/>
              </w:rPr>
              <w:t>0.066</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0C8AB6"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32531C" w14:textId="77777777" w:rsidR="00EC2D5E" w:rsidRDefault="00EC2D5E" w:rsidP="00052ED2">
            <w:pPr>
              <w:pStyle w:val="TableText0"/>
              <w:jc w:val="center"/>
              <w:rPr>
                <w:szCs w:val="20"/>
              </w:rPr>
            </w:pPr>
            <w:r>
              <w:rPr>
                <w:szCs w:val="20"/>
              </w:rPr>
              <w:t>+0.02</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AB680F" w14:textId="77777777" w:rsidR="00EC2D5E" w:rsidRDefault="00EC2D5E" w:rsidP="00052ED2">
            <w:pPr>
              <w:pStyle w:val="TableText0"/>
              <w:jc w:val="center"/>
              <w:rPr>
                <w:szCs w:val="20"/>
              </w:rPr>
            </w:pPr>
            <w:r>
              <w:rPr>
                <w:szCs w:val="20"/>
              </w:rPr>
              <w:t>0.035</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C3F047" w14:textId="77777777" w:rsidR="00EC2D5E" w:rsidRDefault="00EC2D5E" w:rsidP="00052ED2">
            <w:pPr>
              <w:pStyle w:val="TableText0"/>
              <w:jc w:val="center"/>
              <w:rPr>
                <w:b/>
                <w:szCs w:val="20"/>
              </w:rPr>
            </w:pPr>
            <w:r>
              <w:rPr>
                <w:b/>
                <w:szCs w:val="20"/>
              </w:rPr>
              <w:t>+0.14 (+0.00, +0.29)</w:t>
            </w:r>
          </w:p>
        </w:tc>
      </w:tr>
      <w:tr w:rsidR="00EC2D5E" w14:paraId="55D2060C"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2FABFA" w14:textId="77777777" w:rsidR="00EC2D5E" w:rsidRDefault="00EC2D5E" w:rsidP="00052ED2">
            <w:pPr>
              <w:pStyle w:val="TableText0"/>
            </w:pPr>
            <w:r>
              <w:t>Growth velocity of standing height/ recumbent length (Z Score),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E5847D"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189430" w14:textId="77777777" w:rsidR="00EC2D5E" w:rsidRDefault="00EC2D5E" w:rsidP="00052ED2">
            <w:pPr>
              <w:pStyle w:val="TableText0"/>
              <w:jc w:val="center"/>
              <w:rPr>
                <w:szCs w:val="20"/>
              </w:rPr>
            </w:pPr>
            <w:r>
              <w:rPr>
                <w:szCs w:val="20"/>
              </w:rPr>
              <w:t>+1.53</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9DB0A" w14:textId="77777777" w:rsidR="00EC2D5E" w:rsidRDefault="00EC2D5E" w:rsidP="00052ED2">
            <w:pPr>
              <w:pStyle w:val="TableText0"/>
              <w:jc w:val="center"/>
              <w:rPr>
                <w:szCs w:val="20"/>
              </w:rPr>
            </w:pPr>
            <w:r>
              <w:rPr>
                <w:szCs w:val="20"/>
              </w:rPr>
              <w:t>0.26</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54F429"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27A774" w14:textId="77777777" w:rsidR="00EC2D5E" w:rsidRDefault="00EC2D5E" w:rsidP="00052ED2">
            <w:pPr>
              <w:pStyle w:val="TableText0"/>
              <w:jc w:val="center"/>
              <w:rPr>
                <w:szCs w:val="20"/>
              </w:rPr>
            </w:pPr>
            <w:r>
              <w:rPr>
                <w:szCs w:val="20"/>
              </w:rPr>
              <w:t>+0.41</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4FEFD3" w14:textId="77777777" w:rsidR="00EC2D5E" w:rsidRDefault="00EC2D5E" w:rsidP="00052ED2">
            <w:pPr>
              <w:pStyle w:val="TableText0"/>
              <w:jc w:val="center"/>
              <w:rPr>
                <w:szCs w:val="20"/>
              </w:rPr>
            </w:pPr>
            <w:r>
              <w:rPr>
                <w:szCs w:val="20"/>
              </w:rPr>
              <w:t>0.27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B02D98" w14:textId="77777777" w:rsidR="00EC2D5E" w:rsidRDefault="00EC2D5E" w:rsidP="00052ED2">
            <w:pPr>
              <w:pStyle w:val="TableText0"/>
              <w:jc w:val="center"/>
              <w:rPr>
                <w:b/>
                <w:szCs w:val="20"/>
              </w:rPr>
            </w:pPr>
            <w:r>
              <w:rPr>
                <w:b/>
                <w:szCs w:val="20"/>
              </w:rPr>
              <w:t>+1.12 (0.37, 1.88)</w:t>
            </w:r>
          </w:p>
        </w:tc>
      </w:tr>
      <w:tr w:rsidR="00EC2D5E" w14:paraId="7432286A"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3ECE6D" w14:textId="08B17FAC" w:rsidR="00EC2D5E" w:rsidRDefault="00EC2D5E" w:rsidP="00052ED2">
            <w:pPr>
              <w:pStyle w:val="TableText0"/>
            </w:pPr>
            <w:r>
              <w:t>6MWT</w:t>
            </w:r>
            <w:r w:rsidR="00E77687">
              <w:t xml:space="preserve"> (m)</w:t>
            </w:r>
            <w:r>
              <w:t>,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822429"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B1F669" w14:textId="77777777" w:rsidR="00EC2D5E" w:rsidRDefault="00EC2D5E" w:rsidP="00052ED2">
            <w:pPr>
              <w:pStyle w:val="TableText0"/>
              <w:jc w:val="center"/>
              <w:rPr>
                <w:szCs w:val="20"/>
              </w:rPr>
            </w:pPr>
            <w:r>
              <w:rPr>
                <w:szCs w:val="20"/>
              </w:rPr>
              <w:t>+75</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46F8DC" w14:textId="77777777" w:rsidR="00EC2D5E" w:rsidRDefault="00EC2D5E" w:rsidP="00052ED2">
            <w:pPr>
              <w:pStyle w:val="TableText0"/>
              <w:jc w:val="center"/>
              <w:rPr>
                <w:szCs w:val="20"/>
              </w:rPr>
            </w:pPr>
            <w:r>
              <w:rPr>
                <w:szCs w:val="20"/>
              </w:rPr>
              <w:t>13</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5B3CF"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900CA0" w14:textId="77777777" w:rsidR="00EC2D5E" w:rsidRDefault="00EC2D5E" w:rsidP="00052ED2">
            <w:pPr>
              <w:pStyle w:val="TableText0"/>
              <w:jc w:val="center"/>
              <w:rPr>
                <w:szCs w:val="20"/>
              </w:rPr>
            </w:pPr>
            <w:r>
              <w:rPr>
                <w:szCs w:val="20"/>
              </w:rPr>
              <w:t>+29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4153C8" w14:textId="77777777" w:rsidR="00EC2D5E" w:rsidRDefault="00EC2D5E" w:rsidP="00052ED2">
            <w:pPr>
              <w:pStyle w:val="TableText0"/>
              <w:jc w:val="center"/>
              <w:rPr>
                <w:szCs w:val="20"/>
              </w:rPr>
            </w:pPr>
            <w:r>
              <w:rPr>
                <w:szCs w:val="20"/>
              </w:rPr>
              <w:t>17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37EAA9" w14:textId="77777777" w:rsidR="00EC2D5E" w:rsidRDefault="00EC2D5E" w:rsidP="00052ED2">
            <w:pPr>
              <w:pStyle w:val="TableText0"/>
              <w:jc w:val="center"/>
              <w:rPr>
                <w:b/>
                <w:szCs w:val="20"/>
              </w:rPr>
            </w:pPr>
            <w:r>
              <w:rPr>
                <w:b/>
                <w:szCs w:val="20"/>
              </w:rPr>
              <w:t>+46 (2, 89)</w:t>
            </w:r>
          </w:p>
        </w:tc>
      </w:tr>
      <w:tr w:rsidR="00EC2D5E" w14:paraId="1332C261"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454E3D" w14:textId="77777777" w:rsidR="00EC2D5E" w:rsidRDefault="00EC2D5E" w:rsidP="00052ED2">
            <w:pPr>
              <w:pStyle w:val="TableText0"/>
              <w:rPr>
                <w:lang w:val="de-DE"/>
              </w:rPr>
            </w:pPr>
            <w:r>
              <w:rPr>
                <w:lang w:val="de-DE"/>
              </w:rPr>
              <w:t>Serum phosphate (mg/dL),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D74B02"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656530" w14:textId="77777777" w:rsidR="00EC2D5E" w:rsidRDefault="00EC2D5E" w:rsidP="00052ED2">
            <w:pPr>
              <w:pStyle w:val="TableText0"/>
              <w:jc w:val="center"/>
              <w:rPr>
                <w:szCs w:val="20"/>
              </w:rPr>
            </w:pPr>
            <w:r>
              <w:rPr>
                <w:szCs w:val="20"/>
              </w:rPr>
              <w:t>+0.98</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E7DDFE" w14:textId="77777777" w:rsidR="00EC2D5E" w:rsidRDefault="00EC2D5E" w:rsidP="00052ED2">
            <w:pPr>
              <w:pStyle w:val="TableText0"/>
              <w:jc w:val="center"/>
              <w:rPr>
                <w:szCs w:val="20"/>
              </w:rPr>
            </w:pPr>
            <w:r>
              <w:rPr>
                <w:szCs w:val="20"/>
              </w:rPr>
              <w:t>0.061</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3C4744"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86EE6A" w14:textId="77777777" w:rsidR="00EC2D5E" w:rsidRDefault="00EC2D5E" w:rsidP="00052ED2">
            <w:pPr>
              <w:pStyle w:val="TableText0"/>
              <w:jc w:val="center"/>
              <w:rPr>
                <w:szCs w:val="20"/>
              </w:rPr>
            </w:pPr>
            <w:r>
              <w:rPr>
                <w:szCs w:val="20"/>
              </w:rPr>
              <w:t>+0.24</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55C3C" w14:textId="77777777" w:rsidR="00EC2D5E" w:rsidRDefault="00EC2D5E" w:rsidP="00052ED2">
            <w:pPr>
              <w:pStyle w:val="TableText0"/>
              <w:jc w:val="center"/>
              <w:rPr>
                <w:szCs w:val="20"/>
              </w:rPr>
            </w:pPr>
            <w:r>
              <w:rPr>
                <w:szCs w:val="20"/>
              </w:rPr>
              <w:t>0.058</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6029DC" w14:textId="77777777" w:rsidR="00EC2D5E" w:rsidRDefault="00EC2D5E" w:rsidP="00052ED2">
            <w:pPr>
              <w:pStyle w:val="TableText0"/>
              <w:jc w:val="center"/>
              <w:rPr>
                <w:b/>
                <w:szCs w:val="20"/>
              </w:rPr>
            </w:pPr>
            <w:r>
              <w:rPr>
                <w:b/>
                <w:szCs w:val="20"/>
              </w:rPr>
              <w:t>0.74 (0.58, 0.91)</w:t>
            </w:r>
          </w:p>
        </w:tc>
      </w:tr>
      <w:tr w:rsidR="00EC2D5E" w14:paraId="381B2795"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57B478" w14:textId="77777777" w:rsidR="00EC2D5E" w:rsidRDefault="00EC2D5E" w:rsidP="00052ED2">
            <w:pPr>
              <w:pStyle w:val="TableText0"/>
            </w:pPr>
            <w:r>
              <w:t>1,25(OH)2D (pg/mL),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B32008"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E0B4D7" w14:textId="77777777" w:rsidR="00EC2D5E" w:rsidRDefault="00EC2D5E" w:rsidP="00052ED2">
            <w:pPr>
              <w:pStyle w:val="TableText0"/>
              <w:jc w:val="center"/>
              <w:rPr>
                <w:szCs w:val="20"/>
              </w:rPr>
            </w:pPr>
            <w:r>
              <w:rPr>
                <w:szCs w:val="20"/>
              </w:rPr>
              <w:t>9.89</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865F18" w14:textId="77777777" w:rsidR="00EC2D5E" w:rsidRDefault="00EC2D5E" w:rsidP="00052ED2">
            <w:pPr>
              <w:pStyle w:val="TableText0"/>
              <w:jc w:val="center"/>
              <w:rPr>
                <w:szCs w:val="20"/>
              </w:rPr>
            </w:pPr>
            <w:r>
              <w:rPr>
                <w:szCs w:val="20"/>
              </w:rPr>
              <w:t>2.24</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FADE07"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24A93B" w14:textId="77777777" w:rsidR="00EC2D5E" w:rsidRDefault="00EC2D5E" w:rsidP="00052ED2">
            <w:pPr>
              <w:pStyle w:val="TableText0"/>
              <w:jc w:val="center"/>
              <w:rPr>
                <w:szCs w:val="20"/>
              </w:rPr>
            </w:pPr>
            <w:r>
              <w:rPr>
                <w:szCs w:val="20"/>
              </w:rPr>
              <w:t>1.19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7D0B7C" w14:textId="77777777" w:rsidR="00EC2D5E" w:rsidRDefault="00EC2D5E" w:rsidP="00052ED2">
            <w:pPr>
              <w:pStyle w:val="TableText0"/>
              <w:jc w:val="center"/>
              <w:rPr>
                <w:szCs w:val="20"/>
              </w:rPr>
            </w:pPr>
            <w:r>
              <w:rPr>
                <w:szCs w:val="20"/>
              </w:rPr>
              <w:t>2.79</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2E5FBA" w14:textId="77777777" w:rsidR="00EC2D5E" w:rsidRDefault="00EC2D5E" w:rsidP="00052ED2">
            <w:pPr>
              <w:pStyle w:val="TableText0"/>
              <w:jc w:val="center"/>
              <w:rPr>
                <w:b/>
                <w:szCs w:val="20"/>
              </w:rPr>
            </w:pPr>
            <w:r>
              <w:rPr>
                <w:b/>
                <w:szCs w:val="20"/>
              </w:rPr>
              <w:t>8.70 (1.72, 15.68)</w:t>
            </w:r>
          </w:p>
        </w:tc>
      </w:tr>
      <w:tr w:rsidR="00EC2D5E" w14:paraId="16DC1FC9" w14:textId="77777777" w:rsidTr="00EC2D5E">
        <w:trPr>
          <w:cantSplit/>
        </w:trPr>
        <w:tc>
          <w:tcPr>
            <w:tcW w:w="156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A3DC6" w14:textId="77777777" w:rsidR="00EC2D5E" w:rsidRDefault="00EC2D5E" w:rsidP="00052ED2">
            <w:pPr>
              <w:pStyle w:val="TableText0"/>
            </w:pPr>
            <w:r>
              <w:t>TmP/GFR (mg/dL), Wk 64</w:t>
            </w:r>
          </w:p>
        </w:tc>
        <w:tc>
          <w:tcPr>
            <w:tcW w:w="31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B082B6" w14:textId="77777777" w:rsidR="00EC2D5E" w:rsidRDefault="00EC2D5E" w:rsidP="00052ED2">
            <w:pPr>
              <w:pStyle w:val="TableText0"/>
              <w:jc w:val="center"/>
            </w:pPr>
            <w:r>
              <w:t>29</w:t>
            </w:r>
          </w:p>
        </w:tc>
        <w:tc>
          <w:tcPr>
            <w:tcW w:w="4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935948" w14:textId="77777777" w:rsidR="00EC2D5E" w:rsidRDefault="00EC2D5E" w:rsidP="00052ED2">
            <w:pPr>
              <w:pStyle w:val="TableText0"/>
              <w:jc w:val="center"/>
              <w:rPr>
                <w:szCs w:val="20"/>
              </w:rPr>
            </w:pPr>
            <w:r>
              <w:rPr>
                <w:szCs w:val="20"/>
              </w:rPr>
              <w:t>1.16</w:t>
            </w:r>
          </w:p>
        </w:tc>
        <w:tc>
          <w:tcPr>
            <w:tcW w:w="3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D4FED7" w14:textId="77777777" w:rsidR="00EC2D5E" w:rsidRDefault="00EC2D5E" w:rsidP="00052ED2">
            <w:pPr>
              <w:pStyle w:val="TableText0"/>
              <w:jc w:val="center"/>
              <w:rPr>
                <w:szCs w:val="20"/>
              </w:rPr>
            </w:pPr>
            <w:r>
              <w:rPr>
                <w:szCs w:val="20"/>
              </w:rPr>
              <w:t>0.13</w:t>
            </w:r>
          </w:p>
        </w:tc>
        <w:tc>
          <w:tcPr>
            <w:tcW w:w="3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415638" w14:textId="77777777" w:rsidR="00EC2D5E" w:rsidRDefault="00EC2D5E" w:rsidP="00052ED2">
            <w:pPr>
              <w:pStyle w:val="TableText0"/>
              <w:jc w:val="center"/>
            </w:pPr>
            <w:r>
              <w:t>32</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959390" w14:textId="77777777" w:rsidR="00EC2D5E" w:rsidRDefault="00EC2D5E" w:rsidP="00052ED2">
            <w:pPr>
              <w:pStyle w:val="TableText0"/>
              <w:jc w:val="center"/>
              <w:rPr>
                <w:szCs w:val="20"/>
              </w:rPr>
            </w:pPr>
            <w:r>
              <w:rPr>
                <w:szCs w:val="20"/>
              </w:rPr>
              <w:t>-0.09</w:t>
            </w:r>
          </w:p>
        </w:tc>
        <w:tc>
          <w:tcPr>
            <w:tcW w:w="39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4AC065" w14:textId="77777777" w:rsidR="00EC2D5E" w:rsidRDefault="00EC2D5E" w:rsidP="00052ED2">
            <w:pPr>
              <w:pStyle w:val="TableText0"/>
              <w:jc w:val="center"/>
              <w:rPr>
                <w:szCs w:val="20"/>
              </w:rPr>
            </w:pPr>
            <w:r>
              <w:rPr>
                <w:szCs w:val="20"/>
              </w:rPr>
              <w:t>0.07</w:t>
            </w:r>
          </w:p>
        </w:tc>
        <w:tc>
          <w:tcPr>
            <w:tcW w:w="109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C3CEA9" w14:textId="77777777" w:rsidR="00EC2D5E" w:rsidRDefault="00EC2D5E" w:rsidP="00052ED2">
            <w:pPr>
              <w:pStyle w:val="TableText0"/>
              <w:jc w:val="center"/>
              <w:rPr>
                <w:b/>
                <w:szCs w:val="20"/>
              </w:rPr>
            </w:pPr>
            <w:r>
              <w:rPr>
                <w:b/>
                <w:szCs w:val="20"/>
              </w:rPr>
              <w:t>1.25 (0.96, 1.54)</w:t>
            </w:r>
          </w:p>
        </w:tc>
      </w:tr>
      <w:tr w:rsidR="00EC2D5E" w14:paraId="0C911D04" w14:textId="77777777" w:rsidTr="00EC2D5E">
        <w:trPr>
          <w:cantSplit/>
        </w:trPr>
        <w:tc>
          <w:tcPr>
            <w:tcW w:w="1561"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5BC1533" w14:textId="77777777" w:rsidR="00EC2D5E" w:rsidRDefault="00EC2D5E" w:rsidP="00052ED2">
            <w:pPr>
              <w:pStyle w:val="TableText0"/>
            </w:pPr>
            <w:r>
              <w:t>ALP (U/L), Wk 64</w:t>
            </w:r>
          </w:p>
        </w:tc>
        <w:tc>
          <w:tcPr>
            <w:tcW w:w="313"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6B85FB53" w14:textId="77777777" w:rsidR="00EC2D5E" w:rsidRDefault="00EC2D5E" w:rsidP="00052ED2">
            <w:pPr>
              <w:pStyle w:val="TableText0"/>
              <w:jc w:val="center"/>
            </w:pPr>
            <w:r>
              <w:t>29</w:t>
            </w:r>
          </w:p>
        </w:tc>
        <w:tc>
          <w:tcPr>
            <w:tcW w:w="469"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E078908" w14:textId="77777777" w:rsidR="00EC2D5E" w:rsidRDefault="00EC2D5E" w:rsidP="00052ED2">
            <w:pPr>
              <w:pStyle w:val="TableText0"/>
              <w:jc w:val="center"/>
              <w:rPr>
                <w:szCs w:val="20"/>
              </w:rPr>
            </w:pPr>
            <w:r>
              <w:rPr>
                <w:szCs w:val="20"/>
              </w:rPr>
              <w:t>-174.62</w:t>
            </w:r>
          </w:p>
        </w:tc>
        <w:tc>
          <w:tcPr>
            <w:tcW w:w="392"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2209E58" w14:textId="77777777" w:rsidR="00EC2D5E" w:rsidRDefault="00EC2D5E" w:rsidP="00052ED2">
            <w:pPr>
              <w:pStyle w:val="TableText0"/>
              <w:jc w:val="center"/>
              <w:rPr>
                <w:szCs w:val="20"/>
              </w:rPr>
            </w:pPr>
            <w:r>
              <w:rPr>
                <w:szCs w:val="20"/>
              </w:rPr>
              <w:t>13.43</w:t>
            </w:r>
          </w:p>
        </w:tc>
        <w:tc>
          <w:tcPr>
            <w:tcW w:w="389"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486776C7" w14:textId="77777777" w:rsidR="00EC2D5E" w:rsidRDefault="00EC2D5E" w:rsidP="00052ED2">
            <w:pPr>
              <w:pStyle w:val="TableText0"/>
              <w:jc w:val="center"/>
            </w:pPr>
            <w:r>
              <w:t>32</w:t>
            </w:r>
          </w:p>
        </w:tc>
        <w:tc>
          <w:tcPr>
            <w:tcW w:w="393" w:type="pct"/>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44447DD8" w14:textId="77777777" w:rsidR="00EC2D5E" w:rsidRDefault="00EC2D5E" w:rsidP="00052ED2">
            <w:pPr>
              <w:pStyle w:val="TableText0"/>
              <w:jc w:val="center"/>
              <w:rPr>
                <w:szCs w:val="20"/>
              </w:rPr>
            </w:pPr>
            <w:r>
              <w:rPr>
                <w:szCs w:val="20"/>
              </w:rPr>
              <w:t>-28.06</w:t>
            </w:r>
          </w:p>
        </w:tc>
        <w:tc>
          <w:tcPr>
            <w:tcW w:w="390"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29CA13C" w14:textId="77777777" w:rsidR="00EC2D5E" w:rsidRDefault="00EC2D5E" w:rsidP="00052ED2">
            <w:pPr>
              <w:pStyle w:val="TableText0"/>
              <w:jc w:val="center"/>
              <w:rPr>
                <w:szCs w:val="20"/>
              </w:rPr>
            </w:pPr>
            <w:r>
              <w:rPr>
                <w:szCs w:val="20"/>
              </w:rPr>
              <w:t>19.98</w:t>
            </w:r>
          </w:p>
        </w:tc>
        <w:tc>
          <w:tcPr>
            <w:tcW w:w="1093" w:type="pct"/>
            <w:gridSpan w:val="2"/>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DE24581" w14:textId="77777777" w:rsidR="00EC2D5E" w:rsidRDefault="00EC2D5E" w:rsidP="00052ED2">
            <w:pPr>
              <w:pStyle w:val="TableText0"/>
              <w:jc w:val="center"/>
              <w:rPr>
                <w:b/>
                <w:szCs w:val="20"/>
              </w:rPr>
            </w:pPr>
            <w:r>
              <w:rPr>
                <w:b/>
                <w:szCs w:val="20"/>
              </w:rPr>
              <w:t>-146.56 (-191.61, 101.52)</w:t>
            </w:r>
          </w:p>
        </w:tc>
      </w:tr>
      <w:tr w:rsidR="00EC2D5E" w14:paraId="09D9F1D4" w14:textId="77777777" w:rsidTr="00EC2D5E">
        <w:tc>
          <w:tcPr>
            <w:tcW w:w="5000" w:type="pct"/>
            <w:gridSpan w:val="12"/>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2C9F1" w14:textId="77777777" w:rsidR="00EC2D5E" w:rsidRDefault="00EC2D5E" w:rsidP="00052ED2">
            <w:pPr>
              <w:pStyle w:val="In-tableHeading"/>
              <w:rPr>
                <w:lang w:val="en-AU"/>
              </w:rPr>
            </w:pPr>
            <w:r>
              <w:rPr>
                <w:lang w:val="en-AU"/>
              </w:rPr>
              <w:t>Harms (Wk 64)</w:t>
            </w:r>
          </w:p>
        </w:tc>
      </w:tr>
      <w:tr w:rsidR="00EC2D5E" w14:paraId="29734FF1" w14:textId="77777777" w:rsidTr="00EC2D5E">
        <w:trPr>
          <w:trHeight w:val="70"/>
        </w:trPr>
        <w:tc>
          <w:tcPr>
            <w:tcW w:w="117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1F0C3D" w14:textId="77777777" w:rsidR="00EC2D5E" w:rsidRDefault="00EC2D5E" w:rsidP="00052ED2">
            <w:pPr>
              <w:pStyle w:val="In-tableHeading"/>
              <w:rPr>
                <w:b w:val="0"/>
                <w:lang w:val="en-AU"/>
              </w:rPr>
            </w:pPr>
            <w:r>
              <w:rPr>
                <w:b w:val="0"/>
                <w:lang w:val="en-AU"/>
              </w:rPr>
              <w:t>CL301</w:t>
            </w:r>
          </w:p>
        </w:tc>
        <w:tc>
          <w:tcPr>
            <w:tcW w:w="547"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2538CF" w14:textId="77777777" w:rsidR="00EC2D5E" w:rsidRDefault="00EC2D5E" w:rsidP="00052ED2">
            <w:pPr>
              <w:pStyle w:val="In-tableHeading"/>
              <w:jc w:val="center"/>
              <w:rPr>
                <w:lang w:val="en-AU"/>
              </w:rPr>
            </w:pPr>
            <w:r>
              <w:rPr>
                <w:lang w:val="en-AU"/>
              </w:rPr>
              <w:t xml:space="preserve">Burosumab </w:t>
            </w:r>
          </w:p>
          <w:p w14:paraId="3A011CF7" w14:textId="77777777" w:rsidR="00EC2D5E" w:rsidRDefault="00EC2D5E" w:rsidP="00052ED2">
            <w:pPr>
              <w:pStyle w:val="In-tableHeading"/>
              <w:jc w:val="center"/>
              <w:rPr>
                <w:lang w:val="en-AU"/>
              </w:rPr>
            </w:pPr>
            <w:r>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C0F94F" w14:textId="77777777" w:rsidR="00EC2D5E" w:rsidRDefault="00EC2D5E" w:rsidP="00052ED2">
            <w:pPr>
              <w:pStyle w:val="In-tableHeading"/>
              <w:jc w:val="center"/>
              <w:rPr>
                <w:lang w:val="en-AU"/>
              </w:rPr>
            </w:pPr>
            <w:r>
              <w:rPr>
                <w:lang w:val="en-AU"/>
              </w:rPr>
              <w:t>Conventional</w:t>
            </w:r>
          </w:p>
          <w:p w14:paraId="212933C7" w14:textId="77777777" w:rsidR="00EC2D5E" w:rsidRDefault="00EC2D5E" w:rsidP="00052ED2">
            <w:pPr>
              <w:pStyle w:val="In-tableHeading"/>
              <w:jc w:val="center"/>
              <w:rPr>
                <w:lang w:val="en-AU"/>
              </w:rPr>
            </w:pPr>
            <w:r>
              <w:rPr>
                <w:lang w:val="en-AU"/>
              </w:rPr>
              <w:t>n/N</w:t>
            </w:r>
          </w:p>
        </w:tc>
        <w:tc>
          <w:tcPr>
            <w:tcW w:w="781"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B4183C" w14:textId="77777777" w:rsidR="00EC2D5E" w:rsidRDefault="00EC2D5E" w:rsidP="00052ED2">
            <w:pPr>
              <w:pStyle w:val="In-tableHeading"/>
              <w:jc w:val="center"/>
              <w:rPr>
                <w:lang w:val="en-AU"/>
              </w:rPr>
            </w:pPr>
            <w:r>
              <w:rPr>
                <w:lang w:val="en-AU"/>
              </w:rPr>
              <w:t>RR</w:t>
            </w:r>
          </w:p>
          <w:p w14:paraId="4C127F73" w14:textId="77777777" w:rsidR="00EC2D5E" w:rsidRDefault="00EC2D5E" w:rsidP="00052ED2">
            <w:pPr>
              <w:pStyle w:val="In-tableHeading"/>
              <w:jc w:val="center"/>
              <w:rPr>
                <w:lang w:val="en-AU"/>
              </w:rPr>
            </w:pPr>
            <w:r>
              <w:rPr>
                <w:lang w:val="en-AU"/>
              </w:rPr>
              <w:t>(95% CI)</w:t>
            </w:r>
          </w:p>
        </w:tc>
        <w:tc>
          <w:tcPr>
            <w:tcW w:w="1173"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B04DD1" w14:textId="77777777" w:rsidR="00EC2D5E" w:rsidRDefault="00EC2D5E" w:rsidP="00052ED2">
            <w:pPr>
              <w:pStyle w:val="In-tableHeading"/>
              <w:jc w:val="center"/>
              <w:rPr>
                <w:lang w:val="en-AU"/>
              </w:rPr>
            </w:pPr>
            <w:r>
              <w:rPr>
                <w:lang w:val="en-AU"/>
              </w:rPr>
              <w:t>Event rate/100 patients*</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A65279" w14:textId="77777777" w:rsidR="00EC2D5E" w:rsidRDefault="00EC2D5E" w:rsidP="00052ED2">
            <w:pPr>
              <w:pStyle w:val="In-tableHeading"/>
              <w:jc w:val="center"/>
              <w:rPr>
                <w:lang w:val="en-AU"/>
              </w:rPr>
            </w:pPr>
            <w:r>
              <w:rPr>
                <w:lang w:val="en-AU"/>
              </w:rPr>
              <w:t>RD</w:t>
            </w:r>
          </w:p>
          <w:p w14:paraId="11B6B610" w14:textId="77777777" w:rsidR="00EC2D5E" w:rsidRDefault="00EC2D5E" w:rsidP="00052ED2">
            <w:pPr>
              <w:pStyle w:val="In-tableHeading"/>
              <w:jc w:val="center"/>
              <w:rPr>
                <w:lang w:val="en-AU"/>
              </w:rPr>
            </w:pPr>
            <w:r>
              <w:rPr>
                <w:lang w:val="en-AU"/>
              </w:rPr>
              <w:t>(95% CI)</w:t>
            </w:r>
          </w:p>
        </w:tc>
      </w:tr>
      <w:tr w:rsidR="00EC2D5E" w14:paraId="34444D73" w14:textId="77777777" w:rsidTr="00052ED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E9902" w14:textId="77777777" w:rsidR="00EC2D5E"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D0AE01" w14:textId="77777777" w:rsidR="00EC2D5E"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B032C1" w14:textId="77777777" w:rsidR="00EC2D5E"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980083" w14:textId="77777777" w:rsidR="00EC2D5E" w:rsidRDefault="00EC2D5E" w:rsidP="00052ED2">
            <w:pPr>
              <w:keepNext/>
              <w:jc w:val="left"/>
              <w:rPr>
                <w:rFonts w:ascii="Arial Narrow" w:eastAsiaTheme="majorEastAsia" w:hAnsi="Arial Narrow" w:cs="Times New Roman"/>
                <w:b/>
                <w:sz w:val="20"/>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5878BB" w14:textId="77777777" w:rsidR="00EC2D5E" w:rsidRDefault="00EC2D5E" w:rsidP="00052ED2">
            <w:pPr>
              <w:pStyle w:val="In-tableHeading"/>
              <w:jc w:val="center"/>
              <w:rPr>
                <w:lang w:val="en-AU"/>
              </w:rPr>
            </w:pPr>
            <w:r>
              <w:rPr>
                <w:lang w:val="en-AU"/>
              </w:rPr>
              <w:t xml:space="preserve">Burosumab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1C814A" w14:textId="77777777" w:rsidR="00EC2D5E" w:rsidRDefault="00EC2D5E" w:rsidP="00052ED2">
            <w:pPr>
              <w:pStyle w:val="In-tableHeading"/>
              <w:jc w:val="center"/>
              <w:rPr>
                <w:lang w:val="en-AU"/>
              </w:rPr>
            </w:pPr>
            <w:r>
              <w:rPr>
                <w:lang w:val="en-AU"/>
              </w:rPr>
              <w:t>Conventional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8C82D" w14:textId="77777777" w:rsidR="00EC2D5E" w:rsidRDefault="00EC2D5E" w:rsidP="00052ED2">
            <w:pPr>
              <w:keepNext/>
              <w:jc w:val="left"/>
              <w:rPr>
                <w:rFonts w:ascii="Arial Narrow" w:eastAsiaTheme="majorEastAsia" w:hAnsi="Arial Narrow" w:cs="Times New Roman"/>
                <w:b/>
                <w:sz w:val="20"/>
              </w:rPr>
            </w:pPr>
          </w:p>
        </w:tc>
      </w:tr>
      <w:tr w:rsidR="00EC2D5E" w14:paraId="4A50EEDE"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5C0C38" w14:textId="77777777" w:rsidR="00EC2D5E" w:rsidRDefault="00EC2D5E" w:rsidP="00052ED2">
            <w:pPr>
              <w:pStyle w:val="TableText0"/>
            </w:pPr>
            <w:r>
              <w:t>Any 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4D9935" w14:textId="77777777" w:rsidR="00EC2D5E" w:rsidRDefault="00EC2D5E" w:rsidP="00052ED2">
            <w:pPr>
              <w:pStyle w:val="TableText0"/>
              <w:jc w:val="center"/>
            </w:pPr>
            <w:r>
              <w:t>29/29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FB706E" w14:textId="77777777" w:rsidR="00EC2D5E" w:rsidRDefault="00EC2D5E" w:rsidP="00052ED2">
            <w:pPr>
              <w:pStyle w:val="TableText0"/>
              <w:jc w:val="center"/>
            </w:pPr>
            <w:r>
              <w:t>27/32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14EE32" w14:textId="77777777" w:rsidR="00EC2D5E" w:rsidRDefault="00EC2D5E" w:rsidP="00052ED2">
            <w:pPr>
              <w:pStyle w:val="TableText0"/>
              <w:jc w:val="center"/>
              <w:rPr>
                <w:b/>
              </w:rPr>
            </w:pPr>
            <w:r>
              <w:rPr>
                <w:b/>
              </w:rPr>
              <w:t>1.18 (1.01, 1.38)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02E3E2" w14:textId="77777777" w:rsidR="00EC2D5E" w:rsidRDefault="00EC2D5E" w:rsidP="00052ED2">
            <w:pPr>
              <w:pStyle w:val="TableText0"/>
              <w:jc w:val="center"/>
            </w:pPr>
            <w:r>
              <w:t>100</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ED2858" w14:textId="77777777" w:rsidR="00EC2D5E" w:rsidRDefault="00EC2D5E" w:rsidP="00052ED2">
            <w:pPr>
              <w:pStyle w:val="TableText0"/>
              <w:jc w:val="center"/>
            </w:pPr>
            <w:r>
              <w:t>84.4</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31B09A" w14:textId="77777777" w:rsidR="00EC2D5E" w:rsidRDefault="00EC2D5E" w:rsidP="00052ED2">
            <w:pPr>
              <w:pStyle w:val="TableText0"/>
              <w:jc w:val="center"/>
              <w:rPr>
                <w:b/>
              </w:rPr>
            </w:pPr>
            <w:r>
              <w:rPr>
                <w:b/>
              </w:rPr>
              <w:t>0.16 (0.02, 0.29)</w:t>
            </w:r>
          </w:p>
        </w:tc>
      </w:tr>
      <w:tr w:rsidR="00EC2D5E" w14:paraId="0AA581BE"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E89C35" w14:textId="77777777" w:rsidR="00EC2D5E" w:rsidRDefault="00EC2D5E" w:rsidP="00052ED2">
            <w:pPr>
              <w:pStyle w:val="TableText0"/>
            </w:pPr>
            <w:r>
              <w:rPr>
                <w:szCs w:val="20"/>
              </w:rPr>
              <w:t>Treatment related 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BD63C2" w14:textId="77777777" w:rsidR="00EC2D5E" w:rsidRDefault="00EC2D5E" w:rsidP="00052ED2">
            <w:pPr>
              <w:pStyle w:val="TableText0"/>
              <w:jc w:val="center"/>
            </w:pPr>
            <w:r>
              <w:t>17/29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A906C2" w14:textId="77777777" w:rsidR="00EC2D5E" w:rsidRDefault="00EC2D5E" w:rsidP="00052ED2">
            <w:pPr>
              <w:pStyle w:val="TableText0"/>
              <w:jc w:val="center"/>
            </w:pPr>
            <w:r>
              <w:t>8/32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50EED" w14:textId="77777777" w:rsidR="00EC2D5E" w:rsidRDefault="00EC2D5E" w:rsidP="00052ED2">
            <w:pPr>
              <w:pStyle w:val="TableText0"/>
              <w:jc w:val="center"/>
              <w:rPr>
                <w:b/>
              </w:rPr>
            </w:pPr>
            <w:r>
              <w:rPr>
                <w:b/>
              </w:rPr>
              <w:t>2.34 (1.20, 4.60)</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CA7AC1" w14:textId="77777777" w:rsidR="00EC2D5E" w:rsidRDefault="00EC2D5E" w:rsidP="00052ED2">
            <w:pPr>
              <w:pStyle w:val="TableText0"/>
              <w:jc w:val="center"/>
            </w:pPr>
            <w:r>
              <w:t>58.6</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D42418" w14:textId="77777777" w:rsidR="00EC2D5E" w:rsidRDefault="00EC2D5E" w:rsidP="00052ED2">
            <w:pPr>
              <w:pStyle w:val="TableText0"/>
              <w:jc w:val="center"/>
            </w:pPr>
            <w:r>
              <w:t>25.0</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79685C" w14:textId="77777777" w:rsidR="00EC2D5E" w:rsidRDefault="00EC2D5E" w:rsidP="00052ED2">
            <w:pPr>
              <w:pStyle w:val="TableText0"/>
              <w:jc w:val="center"/>
              <w:rPr>
                <w:b/>
              </w:rPr>
            </w:pPr>
            <w:r>
              <w:rPr>
                <w:b/>
              </w:rPr>
              <w:t>0.34 (0.10, 0.57)</w:t>
            </w:r>
          </w:p>
        </w:tc>
      </w:tr>
      <w:tr w:rsidR="00EC2D5E" w14:paraId="034BC0A4"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F1438" w14:textId="77777777" w:rsidR="00EC2D5E" w:rsidRDefault="00EC2D5E" w:rsidP="00052ED2">
            <w:pPr>
              <w:pStyle w:val="TableText0"/>
            </w:pPr>
            <w:r>
              <w:rPr>
                <w:szCs w:val="20"/>
              </w:rPr>
              <w:t>General disorders and administration site conditions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6752AD" w14:textId="77777777" w:rsidR="00EC2D5E" w:rsidRDefault="00EC2D5E" w:rsidP="00052ED2">
            <w:pPr>
              <w:pStyle w:val="TableText0"/>
              <w:jc w:val="center"/>
            </w:pPr>
            <w:r>
              <w:t>25/29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DBA8BD" w14:textId="77777777" w:rsidR="00EC2D5E" w:rsidRDefault="00EC2D5E" w:rsidP="00052ED2">
            <w:pPr>
              <w:pStyle w:val="TableText0"/>
              <w:jc w:val="center"/>
            </w:pPr>
            <w:r>
              <w:t>9/32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E53818" w14:textId="77777777" w:rsidR="00EC2D5E" w:rsidRDefault="00EC2D5E" w:rsidP="00052ED2">
            <w:pPr>
              <w:pStyle w:val="TableText0"/>
              <w:jc w:val="center"/>
              <w:rPr>
                <w:b/>
              </w:rPr>
            </w:pPr>
            <w:r>
              <w:rPr>
                <w:b/>
              </w:rPr>
              <w:t>3.07 (1.73, 5.43)</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A5DDF6" w14:textId="77777777" w:rsidR="00EC2D5E" w:rsidRDefault="00EC2D5E" w:rsidP="00052ED2">
            <w:pPr>
              <w:pStyle w:val="TableText0"/>
              <w:jc w:val="center"/>
            </w:pPr>
            <w:r>
              <w:t>86.2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412046" w14:textId="77777777" w:rsidR="00EC2D5E" w:rsidRDefault="00EC2D5E" w:rsidP="00052ED2">
            <w:pPr>
              <w:pStyle w:val="TableText0"/>
              <w:jc w:val="center"/>
            </w:pPr>
            <w:r>
              <w:t>28.1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800BA7" w14:textId="77777777" w:rsidR="00EC2D5E" w:rsidRDefault="00EC2D5E" w:rsidP="00052ED2">
            <w:pPr>
              <w:pStyle w:val="TableText0"/>
              <w:jc w:val="center"/>
              <w:rPr>
                <w:b/>
              </w:rPr>
            </w:pPr>
            <w:r>
              <w:rPr>
                <w:b/>
              </w:rPr>
              <w:t>0.58 (0.38, 0.78)</w:t>
            </w:r>
          </w:p>
        </w:tc>
      </w:tr>
      <w:tr w:rsidR="00EC2D5E" w14:paraId="492153A1"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2A052F" w14:textId="77777777" w:rsidR="00EC2D5E" w:rsidRDefault="00EC2D5E" w:rsidP="00052ED2">
            <w:pPr>
              <w:pStyle w:val="TableText0"/>
              <w:rPr>
                <w:szCs w:val="20"/>
              </w:rPr>
            </w:pPr>
            <w:r>
              <w:rPr>
                <w:szCs w:val="20"/>
              </w:rPr>
              <w:t>Gastrointestinal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1598FE" w14:textId="77777777" w:rsidR="00EC2D5E" w:rsidRDefault="00EC2D5E" w:rsidP="00052ED2">
            <w:pPr>
              <w:pStyle w:val="TableText0"/>
              <w:jc w:val="center"/>
            </w:pPr>
            <w:r>
              <w:t>23/29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9B2C98" w14:textId="77777777" w:rsidR="00EC2D5E" w:rsidRDefault="00EC2D5E" w:rsidP="00052ED2">
            <w:pPr>
              <w:pStyle w:val="TableText0"/>
              <w:jc w:val="center"/>
            </w:pPr>
            <w:r>
              <w:t>17/32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A9618" w14:textId="77777777" w:rsidR="00EC2D5E" w:rsidRDefault="00EC2D5E" w:rsidP="00052ED2">
            <w:pPr>
              <w:pStyle w:val="TableText0"/>
              <w:jc w:val="center"/>
              <w:rPr>
                <w:b/>
              </w:rPr>
            </w:pPr>
            <w:r>
              <w:rPr>
                <w:b/>
              </w:rPr>
              <w:t>1.49 (1.03, 2.17)</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2CC626" w14:textId="77777777" w:rsidR="00EC2D5E" w:rsidRDefault="00EC2D5E" w:rsidP="00052ED2">
            <w:pPr>
              <w:pStyle w:val="TableText0"/>
              <w:jc w:val="center"/>
            </w:pPr>
            <w:r>
              <w:t>79.3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BA78D2" w14:textId="77777777" w:rsidR="00EC2D5E" w:rsidRDefault="00EC2D5E" w:rsidP="00052ED2">
            <w:pPr>
              <w:pStyle w:val="TableText0"/>
              <w:jc w:val="center"/>
            </w:pPr>
            <w:r>
              <w:t>53.1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B9E209" w14:textId="77777777" w:rsidR="00EC2D5E" w:rsidRDefault="00EC2D5E" w:rsidP="00052ED2">
            <w:pPr>
              <w:pStyle w:val="TableText0"/>
              <w:jc w:val="center"/>
              <w:rPr>
                <w:b/>
              </w:rPr>
            </w:pPr>
            <w:r>
              <w:rPr>
                <w:b/>
              </w:rPr>
              <w:t>0.26 (0.03, 0.49)</w:t>
            </w:r>
          </w:p>
        </w:tc>
      </w:tr>
      <w:tr w:rsidR="00EC2D5E" w14:paraId="1579554B"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9211BF" w14:textId="77777777" w:rsidR="00EC2D5E" w:rsidRDefault="00EC2D5E" w:rsidP="00052ED2">
            <w:pPr>
              <w:pStyle w:val="TableText0"/>
              <w:rPr>
                <w:szCs w:val="20"/>
              </w:rPr>
            </w:pPr>
            <w:r>
              <w:rPr>
                <w:szCs w:val="20"/>
              </w:rPr>
              <w:t>Respiratory, thoracic and mediastinal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BF8016" w14:textId="77777777" w:rsidR="00EC2D5E" w:rsidRDefault="00EC2D5E" w:rsidP="00052ED2">
            <w:pPr>
              <w:pStyle w:val="TableText0"/>
              <w:jc w:val="center"/>
            </w:pPr>
            <w:r>
              <w:t>21/29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A1B292" w14:textId="77777777" w:rsidR="00EC2D5E" w:rsidRDefault="00EC2D5E" w:rsidP="00052ED2">
            <w:pPr>
              <w:pStyle w:val="TableText0"/>
              <w:jc w:val="center"/>
            </w:pPr>
            <w:r>
              <w:t>9/32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C5811" w14:textId="77777777" w:rsidR="00EC2D5E" w:rsidRDefault="00EC2D5E" w:rsidP="00052ED2">
            <w:pPr>
              <w:pStyle w:val="TableText0"/>
              <w:jc w:val="center"/>
              <w:rPr>
                <w:b/>
              </w:rPr>
            </w:pPr>
            <w:r>
              <w:rPr>
                <w:b/>
              </w:rPr>
              <w:t>2.57 (1.42, 4.68)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B5387" w14:textId="77777777" w:rsidR="00EC2D5E" w:rsidRDefault="00EC2D5E" w:rsidP="00052ED2">
            <w:pPr>
              <w:pStyle w:val="TableText0"/>
              <w:jc w:val="center"/>
            </w:pPr>
            <w:r>
              <w:t>72.4</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20233C" w14:textId="77777777" w:rsidR="00EC2D5E" w:rsidRDefault="00EC2D5E" w:rsidP="00052ED2">
            <w:pPr>
              <w:pStyle w:val="TableText0"/>
              <w:jc w:val="center"/>
            </w:pPr>
            <w:r>
              <w:t>28.1</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F46953" w14:textId="77777777" w:rsidR="00EC2D5E" w:rsidRDefault="00EC2D5E" w:rsidP="00052ED2">
            <w:pPr>
              <w:pStyle w:val="TableText0"/>
              <w:jc w:val="center"/>
              <w:rPr>
                <w:b/>
              </w:rPr>
            </w:pPr>
            <w:r>
              <w:rPr>
                <w:b/>
              </w:rPr>
              <w:t>0.44 (0.22, 0.67)</w:t>
            </w:r>
          </w:p>
        </w:tc>
      </w:tr>
      <w:tr w:rsidR="00EC2D5E" w14:paraId="29B28353"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C9E44D" w14:textId="77777777" w:rsidR="00EC2D5E" w:rsidRDefault="00EC2D5E" w:rsidP="00052ED2">
            <w:pPr>
              <w:pStyle w:val="TableText0"/>
              <w:rPr>
                <w:szCs w:val="20"/>
              </w:rPr>
            </w:pPr>
            <w:r>
              <w:rPr>
                <w:szCs w:val="20"/>
              </w:rPr>
              <w:t>Skin and subcutaneous tissue disorders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4857CE" w14:textId="77777777" w:rsidR="00EC2D5E" w:rsidRDefault="00EC2D5E" w:rsidP="00052ED2">
            <w:pPr>
              <w:pStyle w:val="TableText0"/>
              <w:jc w:val="center"/>
            </w:pPr>
            <w:r>
              <w:t>11/29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5D612A" w14:textId="77777777" w:rsidR="00EC2D5E" w:rsidRDefault="00EC2D5E" w:rsidP="00052ED2">
            <w:pPr>
              <w:pStyle w:val="TableText0"/>
              <w:jc w:val="center"/>
            </w:pPr>
            <w:r>
              <w:t>4/32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654E3D" w14:textId="77777777" w:rsidR="00EC2D5E" w:rsidRDefault="00EC2D5E" w:rsidP="00052ED2">
            <w:pPr>
              <w:pStyle w:val="TableText0"/>
              <w:jc w:val="center"/>
              <w:rPr>
                <w:b/>
              </w:rPr>
            </w:pPr>
            <w:r>
              <w:rPr>
                <w:b/>
              </w:rPr>
              <w:t>3.03 (1.09, 8.48)</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776D07" w14:textId="77777777" w:rsidR="00EC2D5E" w:rsidRDefault="00EC2D5E" w:rsidP="00052ED2">
            <w:pPr>
              <w:pStyle w:val="TableText0"/>
              <w:jc w:val="center"/>
            </w:pPr>
            <w:r>
              <w:t>37.9</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9E6A7B" w14:textId="77777777" w:rsidR="00EC2D5E" w:rsidRDefault="00EC2D5E" w:rsidP="00052ED2">
            <w:pPr>
              <w:pStyle w:val="TableText0"/>
              <w:jc w:val="center"/>
            </w:pPr>
            <w:r>
              <w:t>12.5</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67A85B" w14:textId="77777777" w:rsidR="00EC2D5E" w:rsidRDefault="00EC2D5E" w:rsidP="00052ED2">
            <w:pPr>
              <w:pStyle w:val="TableText0"/>
              <w:jc w:val="center"/>
              <w:rPr>
                <w:b/>
              </w:rPr>
            </w:pPr>
            <w:r>
              <w:rPr>
                <w:b/>
              </w:rPr>
              <w:t>0.25 (0.04, 0.46)</w:t>
            </w:r>
          </w:p>
        </w:tc>
      </w:tr>
      <w:tr w:rsidR="00EC2D5E" w14:paraId="5C6A66B0"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64DFF1" w14:textId="77777777" w:rsidR="00EC2D5E" w:rsidRDefault="00EC2D5E" w:rsidP="00052ED2">
            <w:pPr>
              <w:pStyle w:val="TableText0"/>
              <w:rPr>
                <w:szCs w:val="20"/>
              </w:rPr>
            </w:pPr>
            <w:r>
              <w:rPr>
                <w:szCs w:val="20"/>
              </w:rPr>
              <w:t>Injury, poisoning and procedural complications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003C1" w14:textId="77777777" w:rsidR="00EC2D5E" w:rsidRDefault="00EC2D5E" w:rsidP="00052ED2">
            <w:pPr>
              <w:pStyle w:val="TableText0"/>
              <w:jc w:val="center"/>
            </w:pPr>
            <w:r>
              <w:t>10/29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CCEFD6" w14:textId="77777777" w:rsidR="00EC2D5E" w:rsidRDefault="00EC2D5E" w:rsidP="00052ED2">
            <w:pPr>
              <w:pStyle w:val="TableText0"/>
              <w:jc w:val="center"/>
            </w:pPr>
            <w:r>
              <w:t>2/32</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19ADCD" w14:textId="77777777" w:rsidR="00EC2D5E" w:rsidRDefault="00EC2D5E" w:rsidP="00052ED2">
            <w:pPr>
              <w:pStyle w:val="TableText0"/>
              <w:jc w:val="center"/>
              <w:rPr>
                <w:b/>
              </w:rPr>
            </w:pPr>
            <w:r>
              <w:rPr>
                <w:b/>
              </w:rPr>
              <w:t>5.52 (1.32, 23.12)</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2D48C5" w14:textId="77777777" w:rsidR="00EC2D5E" w:rsidRDefault="00EC2D5E" w:rsidP="00052ED2">
            <w:pPr>
              <w:pStyle w:val="TableText0"/>
              <w:jc w:val="center"/>
            </w:pPr>
            <w:r>
              <w:t>34.5</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4D895A" w14:textId="77777777" w:rsidR="00EC2D5E" w:rsidRDefault="00EC2D5E" w:rsidP="00052ED2">
            <w:pPr>
              <w:pStyle w:val="TableText0"/>
              <w:jc w:val="center"/>
            </w:pPr>
            <w:r>
              <w:t>6.3</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9B2F18" w14:textId="77777777" w:rsidR="00EC2D5E" w:rsidRDefault="00EC2D5E" w:rsidP="00052ED2">
            <w:pPr>
              <w:pStyle w:val="TableText0"/>
              <w:jc w:val="center"/>
              <w:rPr>
                <w:b/>
              </w:rPr>
            </w:pPr>
            <w:r>
              <w:rPr>
                <w:b/>
              </w:rPr>
              <w:t>0.28 (0.09, 0.47)</w:t>
            </w:r>
          </w:p>
        </w:tc>
      </w:tr>
      <w:tr w:rsidR="00EC2D5E" w14:paraId="10BDE320" w14:textId="77777777" w:rsidTr="00EC2D5E">
        <w:tc>
          <w:tcPr>
            <w:tcW w:w="11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F245E7" w14:textId="77777777" w:rsidR="00EC2D5E" w:rsidRDefault="00EC2D5E" w:rsidP="00052ED2">
            <w:pPr>
              <w:pStyle w:val="TableText0"/>
              <w:rPr>
                <w:szCs w:val="20"/>
              </w:rPr>
            </w:pPr>
            <w:r>
              <w:rPr>
                <w:szCs w:val="20"/>
              </w:rPr>
              <w:t>Predefined injection site reaction TEAEs</w:t>
            </w:r>
          </w:p>
        </w:tc>
        <w:tc>
          <w:tcPr>
            <w:tcW w:w="54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709DAB" w14:textId="77777777" w:rsidR="00EC2D5E" w:rsidRDefault="00EC2D5E" w:rsidP="00052ED2">
            <w:pPr>
              <w:pStyle w:val="TableText0"/>
              <w:jc w:val="center"/>
            </w:pPr>
            <w:r>
              <w:t>15/29</w:t>
            </w:r>
          </w:p>
        </w:tc>
        <w:tc>
          <w:tcPr>
            <w:tcW w:w="626"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D4837" w14:textId="77777777" w:rsidR="00EC2D5E" w:rsidRDefault="00EC2D5E" w:rsidP="00052ED2">
            <w:pPr>
              <w:pStyle w:val="TableText0"/>
              <w:jc w:val="center"/>
            </w:pPr>
            <w:r>
              <w:t>0</w:t>
            </w:r>
          </w:p>
        </w:tc>
        <w:tc>
          <w:tcPr>
            <w:tcW w:w="78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A84E6F" w14:textId="77777777" w:rsidR="00EC2D5E" w:rsidRDefault="00EC2D5E" w:rsidP="00052ED2">
            <w:pPr>
              <w:pStyle w:val="TableText0"/>
              <w:jc w:val="center"/>
              <w:rPr>
                <w:b/>
              </w:rPr>
            </w:pPr>
            <w:r>
              <w:rPr>
                <w:b/>
              </w:rPr>
              <w:t xml:space="preserve">34.10 </w:t>
            </w:r>
            <w:r>
              <w:rPr>
                <w:b/>
              </w:rPr>
              <w:br/>
              <w:t>(2.13, 545.51)</w:t>
            </w:r>
          </w:p>
        </w:tc>
        <w:tc>
          <w:tcPr>
            <w:tcW w:w="54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D5BF36" w14:textId="77777777" w:rsidR="00EC2D5E" w:rsidRDefault="00EC2D5E" w:rsidP="00052ED2">
            <w:pPr>
              <w:pStyle w:val="TableText0"/>
              <w:jc w:val="center"/>
            </w:pPr>
            <w:r>
              <w:t>51.7</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1527A5" w14:textId="77777777" w:rsidR="00EC2D5E" w:rsidRDefault="00EC2D5E" w:rsidP="00052ED2">
            <w:pPr>
              <w:pStyle w:val="TableText0"/>
              <w:jc w:val="center"/>
            </w:pPr>
            <w:r>
              <w:t>0</w:t>
            </w:r>
          </w:p>
        </w:tc>
        <w:tc>
          <w:tcPr>
            <w:tcW w:w="7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9EEB83" w14:textId="77777777" w:rsidR="00EC2D5E" w:rsidRDefault="00EC2D5E" w:rsidP="00052ED2">
            <w:pPr>
              <w:pStyle w:val="TableText0"/>
              <w:jc w:val="center"/>
              <w:rPr>
                <w:b/>
              </w:rPr>
            </w:pPr>
            <w:r>
              <w:rPr>
                <w:b/>
              </w:rPr>
              <w:t>0.52 (0.33, 0.70)</w:t>
            </w:r>
          </w:p>
        </w:tc>
      </w:tr>
    </w:tbl>
    <w:p w14:paraId="5FBEF0A1" w14:textId="32011418" w:rsidR="00EC2D5E" w:rsidRDefault="00EC2D5E" w:rsidP="00EC2D5E">
      <w:pPr>
        <w:pStyle w:val="TableFigureFooter"/>
        <w:rPr>
          <w:sz w:val="20"/>
        </w:rPr>
      </w:pPr>
      <w:r>
        <w:t xml:space="preserve">Source: Compiled during the evaluation from Tables 2-46 and 2-51, pp112-116, Tables 2-52 to 2-53, pp123-125, Tables 2-104 to 2-109, pp211-216 of the </w:t>
      </w:r>
      <w:r w:rsidR="00C86DB7">
        <w:t>re</w:t>
      </w:r>
      <w:r>
        <w:t>submission.</w:t>
      </w:r>
    </w:p>
    <w:p w14:paraId="3B223E8F" w14:textId="4D09EE4D" w:rsidR="00EC2D5E" w:rsidRDefault="00EC2D5E" w:rsidP="00EC2D5E">
      <w:pPr>
        <w:pStyle w:val="TableFigureFooter"/>
        <w:shd w:val="clear" w:color="auto" w:fill="C6D9F1" w:themeFill="text2" w:themeFillTint="33"/>
      </w:pPr>
      <w:r>
        <w:t xml:space="preserve">AE=adverse events; ALP=alkaline phosphatase; </w:t>
      </w:r>
      <w:r>
        <w:rPr>
          <w:szCs w:val="18"/>
        </w:rPr>
        <w:t xml:space="preserve">LS=least squares; </w:t>
      </w:r>
      <w:r>
        <w:t>RGI-C=Radiographic Global Impression of Change; RSS=Rickets Severity Score; RD=risk difference; RR=risk ratio; TEAE=treatment emergent adverse event; TmP/GFR=ratio of renal tubular maximum reabsorption rate of phosphate (TmP) to glomerular filtration rate (GFR); 25(OH)2D=1,25 dihydroxy-Vitamin D; 6MWT=Six-minute Walk Test; Q2W=every 2 weeks</w:t>
      </w:r>
    </w:p>
    <w:p w14:paraId="2BC6C745" w14:textId="77777777" w:rsidR="00EC2D5E" w:rsidRDefault="00EC2D5E" w:rsidP="00EC2D5E">
      <w:pPr>
        <w:pStyle w:val="TableFigureFooter"/>
        <w:shd w:val="clear" w:color="auto" w:fill="C6D9F1" w:themeFill="text2" w:themeFillTint="33"/>
        <w:ind w:left="165" w:hanging="165"/>
      </w:pPr>
      <w:r>
        <w:rPr>
          <w:szCs w:val="18"/>
        </w:rPr>
        <w:t>^</w:t>
      </w:r>
      <w:r>
        <w:rPr>
          <w:szCs w:val="18"/>
        </w:rPr>
        <w:tab/>
        <w:t>Primary outcome of the trial.  Main timepoints for trial assessments were Wk 40 (primary outcome, safety), Wk64 (additional efficacy outcomes and safety).</w:t>
      </w:r>
    </w:p>
    <w:p w14:paraId="03D77B4F" w14:textId="77777777" w:rsidR="00EC2D5E" w:rsidRDefault="00EC2D5E" w:rsidP="00EC2D5E">
      <w:pPr>
        <w:pStyle w:val="TableFigureFooter"/>
        <w:shd w:val="clear" w:color="auto" w:fill="C6D9F1" w:themeFill="text2" w:themeFillTint="33"/>
        <w:ind w:left="165" w:hanging="165"/>
        <w:rPr>
          <w:szCs w:val="18"/>
        </w:rPr>
      </w:pPr>
      <w:r>
        <w:t>*</w:t>
      </w:r>
      <w:r>
        <w:tab/>
      </w:r>
      <w:r>
        <w:rPr>
          <w:szCs w:val="18"/>
        </w:rPr>
        <w:t>Safety data for the treatment period (Weeks 0 to 64).</w:t>
      </w:r>
    </w:p>
    <w:p w14:paraId="7CA245FC" w14:textId="77777777" w:rsidR="00EC2D5E" w:rsidRPr="008E65F1" w:rsidRDefault="00EC2D5E" w:rsidP="0073079A">
      <w:pPr>
        <w:pStyle w:val="3-BodyText"/>
        <w:snapToGrid w:val="0"/>
      </w:pPr>
      <w:r w:rsidRPr="008E65F1">
        <w:t xml:space="preserve">On the basis of direct evidence presented in the resubmission in children between ages 1 and 12 years, for every 100 patients treated with burosumab Q2W versus conventional therapy would result in: </w:t>
      </w:r>
    </w:p>
    <w:p w14:paraId="7863CEE7" w14:textId="77777777" w:rsidR="00EC2D5E" w:rsidRPr="008E65F1" w:rsidRDefault="00EC2D5E" w:rsidP="001A2C4E">
      <w:pPr>
        <w:pStyle w:val="ListParagraph"/>
        <w:numPr>
          <w:ilvl w:val="0"/>
          <w:numId w:val="9"/>
        </w:numPr>
        <w:snapToGrid w:val="0"/>
        <w:ind w:left="1080"/>
      </w:pPr>
      <w:r w:rsidRPr="008E65F1">
        <w:t xml:space="preserve">an approximate 1.14 and 1.02 improvement in RGI-C score and 1.34 and 1.21 improvement (reduction) in RSS score at Week 40 and Week 64, respectively. </w:t>
      </w:r>
      <w:r w:rsidRPr="008E65F1">
        <w:lastRenderedPageBreak/>
        <w:t>However, it was not known whether these differences in RGI-C are clinically meaningful.</w:t>
      </w:r>
    </w:p>
    <w:p w14:paraId="28056596" w14:textId="77777777" w:rsidR="00EC2D5E" w:rsidRPr="008E65F1" w:rsidRDefault="00EC2D5E" w:rsidP="001A2C4E">
      <w:pPr>
        <w:pStyle w:val="ListParagraph"/>
        <w:numPr>
          <w:ilvl w:val="0"/>
          <w:numId w:val="9"/>
        </w:numPr>
        <w:snapToGrid w:val="0"/>
        <w:ind w:left="1080"/>
      </w:pPr>
      <w:r w:rsidRPr="008E65F1">
        <w:t>an approximate +0.14 improvement in standing height/recumbent length (Z score) and +1.12 improvement in growth velocity of standing height/recumbent length (Z score) at Week 64. However, it was not known whether these differences in standing height/recumbent length and growth velocity are clinically meaningful.</w:t>
      </w:r>
    </w:p>
    <w:p w14:paraId="7216F418" w14:textId="096B1CE5" w:rsidR="00EC2D5E" w:rsidRPr="008E65F1" w:rsidRDefault="00EC2D5E" w:rsidP="001A2C4E">
      <w:pPr>
        <w:pStyle w:val="ListParagraph"/>
        <w:numPr>
          <w:ilvl w:val="0"/>
          <w:numId w:val="9"/>
        </w:numPr>
        <w:snapToGrid w:val="0"/>
        <w:ind w:left="1080"/>
      </w:pPr>
      <w:r w:rsidRPr="008E65F1">
        <w:t xml:space="preserve">an approximate +46 </w:t>
      </w:r>
      <w:r w:rsidR="00E77687">
        <w:t xml:space="preserve">metre </w:t>
      </w:r>
      <w:r w:rsidRPr="008E65F1">
        <w:t xml:space="preserve">improvement in 6MWT at Week 64. The mean difference in </w:t>
      </w:r>
      <w:r w:rsidR="000D7622" w:rsidRPr="008E65F1">
        <w:t xml:space="preserve">6MWT </w:t>
      </w:r>
      <w:r w:rsidRPr="008E65F1">
        <w:t>may potentially be clinically relevant given the estimate was higher than the MCID for 6MWT of 31 metres for children.</w:t>
      </w:r>
    </w:p>
    <w:p w14:paraId="759F3D4B" w14:textId="68F7E5F9" w:rsidR="00EC2D5E" w:rsidRPr="008E65F1" w:rsidRDefault="00EC2D5E" w:rsidP="001A2C4E">
      <w:pPr>
        <w:pStyle w:val="ListParagraph"/>
        <w:numPr>
          <w:ilvl w:val="0"/>
          <w:numId w:val="9"/>
        </w:numPr>
        <w:snapToGrid w:val="0"/>
        <w:ind w:left="1080"/>
      </w:pPr>
      <w:r w:rsidRPr="008E65F1">
        <w:t xml:space="preserve">an approximate 0.74 mg/dL, 8.70 pg/mL, 1.25mg/dL and -146.56 U/L improvement in serum phosphorus, serum 1,25(OH)2D, phosphate reabsorption (TmP/GFR) and ALP respectively and at Week 64. However, it was not known whether these differences in </w:t>
      </w:r>
      <w:r w:rsidR="00C8585A">
        <w:t>biochemical</w:t>
      </w:r>
      <w:r w:rsidR="00C8585A" w:rsidRPr="008E65F1">
        <w:t xml:space="preserve"> </w:t>
      </w:r>
      <w:r w:rsidRPr="008E65F1">
        <w:t>outcomes are clinically meaningful.</w:t>
      </w:r>
    </w:p>
    <w:p w14:paraId="78FF5AC2" w14:textId="77777777" w:rsidR="00EC2D5E" w:rsidRPr="008E65F1" w:rsidRDefault="00EC2D5E" w:rsidP="001A2C4E">
      <w:pPr>
        <w:pStyle w:val="ListParagraph"/>
        <w:numPr>
          <w:ilvl w:val="0"/>
          <w:numId w:val="9"/>
        </w:numPr>
        <w:snapToGrid w:val="0"/>
        <w:ind w:left="1080"/>
      </w:pPr>
      <w:r w:rsidRPr="008E65F1">
        <w:t>approximately 16 more patients experiencing any AE, 34 more patients experience treatment related AEs over 64 weeks.</w:t>
      </w:r>
    </w:p>
    <w:p w14:paraId="7749AFB2" w14:textId="77777777" w:rsidR="00EC2D5E" w:rsidRPr="008E65F1" w:rsidRDefault="00EC2D5E" w:rsidP="001A2C4E">
      <w:pPr>
        <w:pStyle w:val="ListParagraph"/>
        <w:numPr>
          <w:ilvl w:val="0"/>
          <w:numId w:val="9"/>
        </w:numPr>
        <w:snapToGrid w:val="0"/>
        <w:ind w:left="1080"/>
      </w:pPr>
      <w:r w:rsidRPr="008E65F1">
        <w:t>approximately 58 more patients experiencing general disorders and administration site condition, 26 more patients experiencing gastrointestinal disorders, 44 more patients experiencing respiratory, thoracic and mediastinal disorders, 25 more patients experiencing skin and subcutaneous tissue disorders, 28 more patients experiencing injury, poisoning and procedural complication and 52 more patients experiencing predefined injection site reaction TEAEs over 64 weeks.</w:t>
      </w:r>
    </w:p>
    <w:p w14:paraId="1DA9CDF9" w14:textId="4F113A34" w:rsidR="001460C9" w:rsidRPr="008E65F1" w:rsidRDefault="00EC2D5E" w:rsidP="0073079A">
      <w:pPr>
        <w:pStyle w:val="3-BodyText"/>
      </w:pPr>
      <w:r w:rsidRPr="008E65F1">
        <w:t>A summary of the comparative benefits and harms for burosumab versus placebo in adult patients is presented in Table 11 below.</w:t>
      </w:r>
      <w:r w:rsidR="001460C9" w:rsidRPr="008E65F1">
        <w:t xml:space="preserve"> Clinically relevant results are summarised; however, the modelled economic evaluation was based on fracture healing and WOMAC at Week 24 for adults.</w:t>
      </w:r>
    </w:p>
    <w:p w14:paraId="7BC57E0C" w14:textId="4C8916BC" w:rsidR="00EC2D5E" w:rsidRDefault="00EC2D5E" w:rsidP="00052ED2">
      <w:pPr>
        <w:pStyle w:val="TableFigureHeading"/>
        <w:rPr>
          <w:rStyle w:val="CommentReference"/>
          <w:b/>
          <w:bCs w:val="0"/>
        </w:rPr>
      </w:pPr>
      <w:r>
        <w:rPr>
          <w:rStyle w:val="CommentReference"/>
          <w:b/>
          <w:bCs w:val="0"/>
        </w:rPr>
        <w:lastRenderedPageBreak/>
        <w:t xml:space="preserve">Table </w:t>
      </w:r>
      <w:r>
        <w:rPr>
          <w:rStyle w:val="CommentReference"/>
          <w:b/>
          <w:bCs w:val="0"/>
        </w:rPr>
        <w:fldChar w:fldCharType="begin"/>
      </w:r>
      <w:r>
        <w:rPr>
          <w:rStyle w:val="CommentReference"/>
          <w:b/>
          <w:bCs w:val="0"/>
        </w:rPr>
        <w:instrText xml:space="preserve"> SEQ Table \* ARABIC </w:instrText>
      </w:r>
      <w:r>
        <w:rPr>
          <w:rStyle w:val="CommentReference"/>
          <w:b/>
          <w:bCs w:val="0"/>
        </w:rPr>
        <w:fldChar w:fldCharType="separate"/>
      </w:r>
      <w:r w:rsidR="00676539">
        <w:rPr>
          <w:rStyle w:val="CommentReference"/>
          <w:b/>
          <w:bCs w:val="0"/>
          <w:noProof/>
        </w:rPr>
        <w:t>11</w:t>
      </w:r>
      <w:r>
        <w:rPr>
          <w:rStyle w:val="CommentReference"/>
          <w:b/>
          <w:bCs w:val="0"/>
        </w:rPr>
        <w:fldChar w:fldCharType="end"/>
      </w:r>
      <w:r>
        <w:rPr>
          <w:rStyle w:val="CommentReference"/>
          <w:b/>
          <w:bCs w:val="0"/>
        </w:rPr>
        <w:t>: Summary of comparative benefits and harms for BUR Q4W and placebo in adults</w:t>
      </w:r>
    </w:p>
    <w:tbl>
      <w:tblPr>
        <w:tblW w:w="5000" w:type="pct"/>
        <w:tblCellMar>
          <w:left w:w="28" w:type="dxa"/>
          <w:right w:w="28" w:type="dxa"/>
        </w:tblCellMar>
        <w:tblLook w:val="04A0" w:firstRow="1" w:lastRow="0" w:firstColumn="1" w:lastColumn="0" w:noHBand="0" w:noVBand="1"/>
        <w:tblCaption w:val="Table 11: Summary of comparative benefits and harms for BUR Q4W and placebo in adults"/>
      </w:tblPr>
      <w:tblGrid>
        <w:gridCol w:w="2113"/>
        <w:gridCol w:w="705"/>
        <w:gridCol w:w="281"/>
        <w:gridCol w:w="283"/>
        <w:gridCol w:w="846"/>
        <w:gridCol w:w="707"/>
        <w:gridCol w:w="700"/>
        <w:gridCol w:w="988"/>
        <w:gridCol w:w="566"/>
        <w:gridCol w:w="281"/>
        <w:gridCol w:w="1547"/>
      </w:tblGrid>
      <w:tr w:rsidR="00EC2D5E" w:rsidRPr="008E65F1" w14:paraId="20170DAE" w14:textId="77777777" w:rsidTr="0035108E">
        <w:tc>
          <w:tcPr>
            <w:tcW w:w="5000" w:type="pct"/>
            <w:gridSpan w:val="11"/>
            <w:tcBorders>
              <w:top w:val="single" w:sz="4" w:space="0" w:color="auto"/>
              <w:left w:val="single" w:sz="4" w:space="0" w:color="auto"/>
              <w:bottom w:val="double" w:sz="4" w:space="0" w:color="auto"/>
              <w:right w:val="single" w:sz="4" w:space="0" w:color="auto"/>
            </w:tcBorders>
            <w:vAlign w:val="center"/>
            <w:hideMark/>
          </w:tcPr>
          <w:p w14:paraId="628193FC" w14:textId="77777777" w:rsidR="00EC2D5E" w:rsidRPr="008E65F1" w:rsidRDefault="00EC2D5E" w:rsidP="00052ED2">
            <w:pPr>
              <w:pStyle w:val="In-tableHeading"/>
              <w:rPr>
                <w:lang w:val="en-AU"/>
              </w:rPr>
            </w:pPr>
            <w:r w:rsidRPr="008E65F1">
              <w:rPr>
                <w:lang w:val="en-AU"/>
              </w:rPr>
              <w:t>Benefits</w:t>
            </w:r>
          </w:p>
        </w:tc>
      </w:tr>
      <w:tr w:rsidR="00EC2D5E" w:rsidRPr="008E65F1" w14:paraId="251C600C" w14:textId="77777777" w:rsidTr="0035108E">
        <w:tc>
          <w:tcPr>
            <w:tcW w:w="5000" w:type="pct"/>
            <w:gridSpan w:val="11"/>
            <w:tcBorders>
              <w:top w:val="double" w:sz="4" w:space="0" w:color="auto"/>
              <w:left w:val="single" w:sz="4" w:space="0" w:color="auto"/>
              <w:bottom w:val="single" w:sz="4" w:space="0" w:color="auto"/>
              <w:right w:val="single" w:sz="4" w:space="0" w:color="auto"/>
            </w:tcBorders>
            <w:vAlign w:val="center"/>
            <w:hideMark/>
          </w:tcPr>
          <w:p w14:paraId="2F748B9A" w14:textId="77777777" w:rsidR="00EC2D5E" w:rsidRPr="008E65F1" w:rsidRDefault="00EC2D5E" w:rsidP="00052ED2">
            <w:pPr>
              <w:pStyle w:val="In-tableHeading"/>
              <w:rPr>
                <w:lang w:val="en-AU"/>
              </w:rPr>
            </w:pPr>
            <w:r w:rsidRPr="008E65F1">
              <w:rPr>
                <w:lang w:val="en-AU"/>
              </w:rPr>
              <w:t>LS mean change from baseline</w:t>
            </w:r>
          </w:p>
        </w:tc>
      </w:tr>
      <w:tr w:rsidR="00EC2D5E" w:rsidRPr="008E65F1" w14:paraId="7E45D8FD" w14:textId="77777777" w:rsidTr="0035108E">
        <w:trPr>
          <w:trHeight w:val="225"/>
        </w:trPr>
        <w:tc>
          <w:tcPr>
            <w:tcW w:w="15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C9D82AD" w14:textId="77777777" w:rsidR="00EC2D5E" w:rsidRPr="008E65F1" w:rsidRDefault="00EC2D5E" w:rsidP="00052ED2">
            <w:pPr>
              <w:pStyle w:val="TableText0"/>
            </w:pPr>
            <w:r w:rsidRPr="008E65F1">
              <w:t>CL303^</w:t>
            </w:r>
          </w:p>
        </w:tc>
        <w:tc>
          <w:tcPr>
            <w:tcW w:w="1174" w:type="pct"/>
            <w:gridSpan w:val="4"/>
            <w:tcBorders>
              <w:top w:val="single" w:sz="4" w:space="0" w:color="auto"/>
              <w:left w:val="single" w:sz="4" w:space="0" w:color="auto"/>
              <w:bottom w:val="single" w:sz="4" w:space="0" w:color="auto"/>
              <w:right w:val="single" w:sz="4" w:space="0" w:color="auto"/>
            </w:tcBorders>
            <w:vAlign w:val="center"/>
            <w:hideMark/>
          </w:tcPr>
          <w:p w14:paraId="51AB0A47" w14:textId="77777777" w:rsidR="00EC2D5E" w:rsidRPr="008E65F1" w:rsidRDefault="00EC2D5E" w:rsidP="00052ED2">
            <w:pPr>
              <w:pStyle w:val="In-tableHeading"/>
              <w:jc w:val="center"/>
              <w:rPr>
                <w:lang w:val="en-AU"/>
              </w:rPr>
            </w:pPr>
            <w:r w:rsidRPr="008E65F1">
              <w:rPr>
                <w:lang w:val="en-AU"/>
              </w:rPr>
              <w:t>Burosumab</w:t>
            </w:r>
          </w:p>
        </w:tc>
        <w:tc>
          <w:tcPr>
            <w:tcW w:w="1250" w:type="pct"/>
            <w:gridSpan w:val="3"/>
            <w:tcBorders>
              <w:top w:val="single" w:sz="4" w:space="0" w:color="auto"/>
              <w:left w:val="single" w:sz="4" w:space="0" w:color="auto"/>
              <w:bottom w:val="single" w:sz="4" w:space="0" w:color="auto"/>
              <w:right w:val="single" w:sz="4" w:space="0" w:color="auto"/>
            </w:tcBorders>
            <w:vAlign w:val="center"/>
            <w:hideMark/>
          </w:tcPr>
          <w:p w14:paraId="29B6210F" w14:textId="77777777" w:rsidR="00EC2D5E" w:rsidRPr="008E65F1" w:rsidRDefault="00EC2D5E" w:rsidP="00052ED2">
            <w:pPr>
              <w:pStyle w:val="In-tableHeading"/>
              <w:jc w:val="center"/>
              <w:rPr>
                <w:lang w:val="en-AU"/>
              </w:rPr>
            </w:pPr>
            <w:r w:rsidRPr="008E65F1">
              <w:rPr>
                <w:lang w:val="en-AU"/>
              </w:rPr>
              <w:t>placebo</w:t>
            </w:r>
          </w:p>
        </w:tc>
        <w:tc>
          <w:tcPr>
            <w:tcW w:w="101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B1EF911" w14:textId="77777777" w:rsidR="00EC2D5E" w:rsidRPr="008E65F1" w:rsidRDefault="00EC2D5E" w:rsidP="00052ED2">
            <w:pPr>
              <w:pStyle w:val="In-tableHeading"/>
              <w:jc w:val="center"/>
              <w:rPr>
                <w:lang w:val="en-AU"/>
              </w:rPr>
            </w:pPr>
            <w:r w:rsidRPr="008E65F1">
              <w:rPr>
                <w:lang w:val="en-AU"/>
              </w:rPr>
              <w:t>Mean difference</w:t>
            </w:r>
            <w:r w:rsidRPr="008E65F1">
              <w:rPr>
                <w:szCs w:val="18"/>
                <w:lang w:val="en-AU"/>
              </w:rPr>
              <w:t xml:space="preserve"> </w:t>
            </w:r>
            <w:r w:rsidRPr="008E65F1">
              <w:rPr>
                <w:szCs w:val="18"/>
                <w:lang w:val="en-AU"/>
              </w:rPr>
              <w:br/>
              <w:t>(95% CI)^</w:t>
            </w:r>
          </w:p>
        </w:tc>
      </w:tr>
      <w:tr w:rsidR="00EC2D5E" w:rsidRPr="008E65F1" w14:paraId="6351C1B7" w14:textId="77777777" w:rsidTr="0035108E">
        <w:trPr>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A25D9E" w14:textId="77777777" w:rsidR="00EC2D5E" w:rsidRPr="008E65F1" w:rsidRDefault="00EC2D5E" w:rsidP="00052ED2">
            <w:pPr>
              <w:keepNext/>
              <w:jc w:val="left"/>
              <w:rPr>
                <w:rFonts w:ascii="Arial Narrow" w:eastAsiaTheme="majorEastAsia" w:hAnsi="Arial Narrow" w:cstheme="majorBidi"/>
                <w:bCs/>
                <w:sz w:val="20"/>
              </w:rPr>
            </w:pP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7EE4C0A" w14:textId="77777777" w:rsidR="00EC2D5E" w:rsidRPr="008E65F1" w:rsidRDefault="00EC2D5E" w:rsidP="00052ED2">
            <w:pPr>
              <w:pStyle w:val="In-tableHeading"/>
              <w:jc w:val="center"/>
              <w:rPr>
                <w:lang w:val="en-AU"/>
              </w:rPr>
            </w:pPr>
            <w:r w:rsidRPr="008E65F1">
              <w:rPr>
                <w:lang w:val="en-AU"/>
              </w:rPr>
              <w:t>N</w:t>
            </w:r>
          </w:p>
        </w:tc>
        <w:tc>
          <w:tcPr>
            <w:tcW w:w="469" w:type="pct"/>
            <w:tcBorders>
              <w:top w:val="single" w:sz="4" w:space="0" w:color="auto"/>
              <w:left w:val="single" w:sz="4" w:space="0" w:color="auto"/>
              <w:bottom w:val="single" w:sz="4" w:space="0" w:color="auto"/>
              <w:right w:val="single" w:sz="4" w:space="0" w:color="auto"/>
            </w:tcBorders>
            <w:vAlign w:val="center"/>
            <w:hideMark/>
          </w:tcPr>
          <w:p w14:paraId="3BE80D13" w14:textId="77777777" w:rsidR="00EC2D5E" w:rsidRPr="008E65F1" w:rsidRDefault="00EC2D5E" w:rsidP="00052ED2">
            <w:pPr>
              <w:pStyle w:val="In-tableHeading"/>
              <w:jc w:val="center"/>
              <w:rPr>
                <w:lang w:val="en-AU"/>
              </w:rPr>
            </w:pPr>
            <w:r w:rsidRPr="008E65F1">
              <w:rPr>
                <w:lang w:val="en-AU"/>
              </w:rPr>
              <w:t>Mean ∆ baseline</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4A6BE4" w14:textId="77777777" w:rsidR="00EC2D5E" w:rsidRPr="008E65F1" w:rsidRDefault="00EC2D5E" w:rsidP="00052ED2">
            <w:pPr>
              <w:pStyle w:val="In-tableHeading"/>
              <w:jc w:val="center"/>
              <w:rPr>
                <w:lang w:val="en-AU"/>
              </w:rPr>
            </w:pPr>
            <w:r w:rsidRPr="008E65F1">
              <w:rPr>
                <w:lang w:val="en-AU"/>
              </w:rPr>
              <w:t>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5219E970" w14:textId="77777777" w:rsidR="00EC2D5E" w:rsidRPr="008E65F1" w:rsidRDefault="00EC2D5E" w:rsidP="00052ED2">
            <w:pPr>
              <w:pStyle w:val="In-tableHeading"/>
              <w:jc w:val="center"/>
              <w:rPr>
                <w:lang w:val="en-AU"/>
              </w:rPr>
            </w:pPr>
            <w:r w:rsidRPr="008E65F1">
              <w:rPr>
                <w:lang w:val="en-AU"/>
              </w:rPr>
              <w:t>N</w:t>
            </w:r>
          </w:p>
        </w:tc>
        <w:tc>
          <w:tcPr>
            <w:tcW w:w="548" w:type="pct"/>
            <w:tcBorders>
              <w:top w:val="single" w:sz="4" w:space="0" w:color="auto"/>
              <w:left w:val="single" w:sz="4" w:space="0" w:color="auto"/>
              <w:bottom w:val="single" w:sz="4" w:space="0" w:color="auto"/>
              <w:right w:val="single" w:sz="4" w:space="0" w:color="auto"/>
            </w:tcBorders>
            <w:vAlign w:val="center"/>
            <w:hideMark/>
          </w:tcPr>
          <w:p w14:paraId="471D3ED6" w14:textId="77777777" w:rsidR="00EC2D5E" w:rsidRPr="008E65F1" w:rsidRDefault="00EC2D5E" w:rsidP="00052ED2">
            <w:pPr>
              <w:pStyle w:val="In-tableHeading"/>
              <w:jc w:val="center"/>
              <w:rPr>
                <w:lang w:val="en-AU"/>
              </w:rPr>
            </w:pPr>
            <w:r w:rsidRPr="008E65F1">
              <w:rPr>
                <w:lang w:val="en-AU"/>
              </w:rPr>
              <w:t>Mean ∆ baseline</w:t>
            </w:r>
          </w:p>
        </w:tc>
        <w:tc>
          <w:tcPr>
            <w:tcW w:w="314" w:type="pct"/>
            <w:tcBorders>
              <w:top w:val="single" w:sz="4" w:space="0" w:color="auto"/>
              <w:left w:val="single" w:sz="4" w:space="0" w:color="auto"/>
              <w:bottom w:val="single" w:sz="4" w:space="0" w:color="auto"/>
              <w:right w:val="single" w:sz="4" w:space="0" w:color="auto"/>
            </w:tcBorders>
            <w:vAlign w:val="center"/>
            <w:hideMark/>
          </w:tcPr>
          <w:p w14:paraId="480066B7" w14:textId="77777777" w:rsidR="00EC2D5E" w:rsidRPr="008E65F1" w:rsidRDefault="00EC2D5E" w:rsidP="00052ED2">
            <w:pPr>
              <w:pStyle w:val="In-tableHeading"/>
              <w:jc w:val="center"/>
              <w:rPr>
                <w:lang w:val="en-AU"/>
              </w:rPr>
            </w:pPr>
            <w:r w:rsidRPr="008E65F1">
              <w:rPr>
                <w:lang w:val="en-AU"/>
              </w:rPr>
              <w:t>SE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71658D"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26FAADE2" w14:textId="77777777" w:rsidTr="0035108E">
        <w:trPr>
          <w:trHeight w:val="225"/>
        </w:trPr>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52816E1C" w14:textId="34A93A68" w:rsidR="00EC2D5E" w:rsidRPr="008E65F1" w:rsidRDefault="00EC2D5E" w:rsidP="00052ED2">
            <w:pPr>
              <w:keepNext/>
              <w:keepLines/>
              <w:rPr>
                <w:rFonts w:ascii="Arial Narrow" w:hAnsi="Arial Narrow"/>
                <w:color w:val="000000"/>
                <w:sz w:val="20"/>
                <w:szCs w:val="18"/>
              </w:rPr>
            </w:pPr>
            <w:r w:rsidRPr="008E65F1">
              <w:rPr>
                <w:rFonts w:ascii="Arial Narrow" w:hAnsi="Arial Narrow"/>
                <w:color w:val="000000"/>
                <w:sz w:val="20"/>
                <w:szCs w:val="18"/>
              </w:rPr>
              <w:t>6MWT</w:t>
            </w:r>
            <w:r w:rsidR="00E77687">
              <w:rPr>
                <w:rFonts w:ascii="Arial Narrow" w:hAnsi="Arial Narrow"/>
                <w:color w:val="000000"/>
                <w:sz w:val="20"/>
                <w:szCs w:val="18"/>
              </w:rPr>
              <w:t xml:space="preserve"> (m)</w:t>
            </w:r>
            <w:r w:rsidRPr="008E65F1">
              <w:rPr>
                <w:rFonts w:ascii="Arial Narrow" w:hAnsi="Arial Narrow"/>
                <w:color w:val="000000"/>
                <w:sz w:val="20"/>
                <w:szCs w:val="18"/>
              </w:rPr>
              <w:t>,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A69FFD6" w14:textId="77777777" w:rsidR="00EC2D5E" w:rsidRPr="008E65F1" w:rsidRDefault="00EC2D5E" w:rsidP="00052ED2">
            <w:pPr>
              <w:pStyle w:val="In-tableHeading"/>
              <w:jc w:val="center"/>
              <w:rPr>
                <w:b w:val="0"/>
                <w:lang w:val="en-AU"/>
              </w:rPr>
            </w:pPr>
            <w:r w:rsidRPr="008E65F1">
              <w:rPr>
                <w:b w:val="0"/>
                <w:lang w:val="en-AU"/>
              </w:rPr>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5F88A283" w14:textId="77777777" w:rsidR="00EC2D5E" w:rsidRPr="008E65F1" w:rsidRDefault="00EC2D5E" w:rsidP="00052ED2">
            <w:pPr>
              <w:pStyle w:val="In-tableHeading"/>
              <w:jc w:val="center"/>
              <w:rPr>
                <w:b w:val="0"/>
                <w:lang w:val="en-AU"/>
              </w:rPr>
            </w:pPr>
            <w:r w:rsidRPr="008E65F1">
              <w:rPr>
                <w:b w:val="0"/>
                <w:lang w:val="en-AU"/>
              </w:rPr>
              <w:t>14.8</w:t>
            </w:r>
          </w:p>
        </w:tc>
        <w:tc>
          <w:tcPr>
            <w:tcW w:w="392" w:type="pct"/>
            <w:tcBorders>
              <w:top w:val="single" w:sz="4" w:space="0" w:color="auto"/>
              <w:left w:val="single" w:sz="4" w:space="0" w:color="auto"/>
              <w:bottom w:val="single" w:sz="4" w:space="0" w:color="auto"/>
              <w:right w:val="single" w:sz="4" w:space="0" w:color="auto"/>
            </w:tcBorders>
            <w:vAlign w:val="center"/>
            <w:hideMark/>
          </w:tcPr>
          <w:p w14:paraId="17CF5967" w14:textId="77777777" w:rsidR="00EC2D5E" w:rsidRPr="008E65F1" w:rsidRDefault="00EC2D5E" w:rsidP="00052ED2">
            <w:pPr>
              <w:pStyle w:val="In-tableHeading"/>
              <w:jc w:val="center"/>
              <w:rPr>
                <w:b w:val="0"/>
                <w:lang w:val="en-AU"/>
              </w:rPr>
            </w:pPr>
            <w:r w:rsidRPr="008E65F1">
              <w:rPr>
                <w:b w:val="0"/>
                <w:lang w:val="en-AU"/>
              </w:rPr>
              <w:t>7.67</w:t>
            </w:r>
          </w:p>
        </w:tc>
        <w:tc>
          <w:tcPr>
            <w:tcW w:w="388" w:type="pct"/>
            <w:tcBorders>
              <w:top w:val="single" w:sz="4" w:space="0" w:color="auto"/>
              <w:left w:val="single" w:sz="4" w:space="0" w:color="auto"/>
              <w:bottom w:val="single" w:sz="4" w:space="0" w:color="auto"/>
              <w:right w:val="single" w:sz="4" w:space="0" w:color="auto"/>
            </w:tcBorders>
            <w:vAlign w:val="center"/>
            <w:hideMark/>
          </w:tcPr>
          <w:p w14:paraId="08A587C8" w14:textId="77777777" w:rsidR="00EC2D5E" w:rsidRPr="008E65F1" w:rsidRDefault="00EC2D5E" w:rsidP="00052ED2">
            <w:pPr>
              <w:pStyle w:val="In-tableHeading"/>
              <w:jc w:val="center"/>
              <w:rPr>
                <w:b w:val="0"/>
                <w:lang w:val="en-AU"/>
              </w:rPr>
            </w:pPr>
            <w:r w:rsidRPr="008E65F1">
              <w:rPr>
                <w:b w:val="0"/>
                <w:lang w:val="en-AU"/>
              </w:rPr>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5156C272" w14:textId="77777777" w:rsidR="00EC2D5E" w:rsidRPr="008E65F1" w:rsidRDefault="00EC2D5E" w:rsidP="00052ED2">
            <w:pPr>
              <w:pStyle w:val="In-tableHeading"/>
              <w:jc w:val="center"/>
              <w:rPr>
                <w:b w:val="0"/>
                <w:lang w:val="en-AU"/>
              </w:rPr>
            </w:pPr>
            <w:r w:rsidRPr="008E65F1">
              <w:rPr>
                <w:b w:val="0"/>
                <w:lang w:val="en-AU"/>
              </w:rPr>
              <w:t>-5.0</w:t>
            </w:r>
          </w:p>
        </w:tc>
        <w:tc>
          <w:tcPr>
            <w:tcW w:w="314" w:type="pct"/>
            <w:tcBorders>
              <w:top w:val="single" w:sz="4" w:space="0" w:color="auto"/>
              <w:left w:val="single" w:sz="4" w:space="0" w:color="auto"/>
              <w:bottom w:val="single" w:sz="4" w:space="0" w:color="auto"/>
              <w:right w:val="single" w:sz="4" w:space="0" w:color="auto"/>
            </w:tcBorders>
            <w:vAlign w:val="center"/>
            <w:hideMark/>
          </w:tcPr>
          <w:p w14:paraId="086E7180" w14:textId="77777777" w:rsidR="00EC2D5E" w:rsidRPr="008E65F1" w:rsidRDefault="00EC2D5E" w:rsidP="00052ED2">
            <w:pPr>
              <w:pStyle w:val="In-tableHeading"/>
              <w:jc w:val="center"/>
              <w:rPr>
                <w:b w:val="0"/>
                <w:lang w:val="en-AU"/>
              </w:rPr>
            </w:pPr>
            <w:r w:rsidRPr="008E65F1">
              <w:rPr>
                <w:b w:val="0"/>
                <w:lang w:val="en-AU"/>
              </w:rPr>
              <w:t>7.54</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1004E610" w14:textId="77777777" w:rsidR="00EC2D5E" w:rsidRPr="008E65F1" w:rsidRDefault="00EC2D5E" w:rsidP="00052ED2">
            <w:pPr>
              <w:keepNext/>
              <w:keepLines/>
              <w:jc w:val="center"/>
              <w:rPr>
                <w:rFonts w:ascii="Arial Narrow" w:hAnsi="Arial Narrow"/>
                <w:sz w:val="20"/>
                <w:szCs w:val="18"/>
              </w:rPr>
            </w:pPr>
            <w:r w:rsidRPr="008E65F1">
              <w:rPr>
                <w:rFonts w:ascii="Arial Narrow" w:hAnsi="Arial Narrow"/>
                <w:sz w:val="20"/>
                <w:szCs w:val="18"/>
              </w:rPr>
              <w:t>19.8 (-1.3, 40.9)</w:t>
            </w:r>
          </w:p>
        </w:tc>
      </w:tr>
      <w:tr w:rsidR="00EC2D5E" w:rsidRPr="008E65F1" w14:paraId="7A26FDCC"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79ED882C" w14:textId="77777777" w:rsidR="00EC2D5E" w:rsidRPr="008E65F1" w:rsidRDefault="00EC2D5E" w:rsidP="00052ED2">
            <w:pPr>
              <w:pStyle w:val="TableText0"/>
            </w:pPr>
            <w:r w:rsidRPr="008E65F1">
              <w:rPr>
                <w:lang w:val="de-DE"/>
              </w:rPr>
              <w:t>Serum phosphate (mg/dL),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288DEE5B"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67FDE1F6" w14:textId="77777777" w:rsidR="00EC2D5E" w:rsidRPr="008E65F1" w:rsidRDefault="00EC2D5E" w:rsidP="00052ED2">
            <w:pPr>
              <w:pStyle w:val="TableText0"/>
              <w:jc w:val="center"/>
            </w:pPr>
            <w:r w:rsidRPr="008E65F1">
              <w:t>0.39</w:t>
            </w:r>
          </w:p>
        </w:tc>
        <w:tc>
          <w:tcPr>
            <w:tcW w:w="392" w:type="pct"/>
            <w:tcBorders>
              <w:top w:val="single" w:sz="4" w:space="0" w:color="auto"/>
              <w:left w:val="single" w:sz="4" w:space="0" w:color="auto"/>
              <w:bottom w:val="single" w:sz="4" w:space="0" w:color="auto"/>
              <w:right w:val="single" w:sz="4" w:space="0" w:color="auto"/>
            </w:tcBorders>
            <w:vAlign w:val="center"/>
            <w:hideMark/>
          </w:tcPr>
          <w:p w14:paraId="11D29075" w14:textId="77777777" w:rsidR="00EC2D5E" w:rsidRPr="008E65F1" w:rsidRDefault="00EC2D5E" w:rsidP="00052ED2">
            <w:pPr>
              <w:pStyle w:val="TableText0"/>
              <w:jc w:val="center"/>
            </w:pPr>
            <w:r w:rsidRPr="008E65F1">
              <w:t>0.081</w:t>
            </w:r>
          </w:p>
        </w:tc>
        <w:tc>
          <w:tcPr>
            <w:tcW w:w="388" w:type="pct"/>
            <w:tcBorders>
              <w:top w:val="single" w:sz="4" w:space="0" w:color="auto"/>
              <w:left w:val="single" w:sz="4" w:space="0" w:color="auto"/>
              <w:bottom w:val="single" w:sz="4" w:space="0" w:color="auto"/>
              <w:right w:val="single" w:sz="4" w:space="0" w:color="auto"/>
            </w:tcBorders>
            <w:vAlign w:val="center"/>
            <w:hideMark/>
          </w:tcPr>
          <w:p w14:paraId="55FC962B"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5619DC44" w14:textId="77777777" w:rsidR="00EC2D5E" w:rsidRPr="008E65F1" w:rsidRDefault="00EC2D5E" w:rsidP="00052ED2">
            <w:pPr>
              <w:pStyle w:val="TableText0"/>
              <w:jc w:val="center"/>
            </w:pPr>
            <w:r w:rsidRPr="008E65F1">
              <w:t xml:space="preserve">-0.01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9240514" w14:textId="77777777" w:rsidR="00EC2D5E" w:rsidRPr="008E65F1" w:rsidRDefault="00EC2D5E" w:rsidP="00052ED2">
            <w:pPr>
              <w:pStyle w:val="TableText0"/>
              <w:jc w:val="center"/>
            </w:pPr>
            <w:r w:rsidRPr="008E65F1">
              <w:t>0.067</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35E3AB14" w14:textId="77777777" w:rsidR="00EC2D5E" w:rsidRPr="008E65F1" w:rsidRDefault="00EC2D5E" w:rsidP="00052ED2">
            <w:pPr>
              <w:pStyle w:val="TableText0"/>
              <w:jc w:val="center"/>
              <w:rPr>
                <w:b/>
              </w:rPr>
            </w:pPr>
            <w:r w:rsidRPr="008E65F1">
              <w:rPr>
                <w:b/>
              </w:rPr>
              <w:t>0.40 (0.19, 0.61)</w:t>
            </w:r>
          </w:p>
        </w:tc>
      </w:tr>
      <w:tr w:rsidR="00EC2D5E" w:rsidRPr="008E65F1" w14:paraId="723E8FD6"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44E36BA7" w14:textId="77777777" w:rsidR="00EC2D5E" w:rsidRPr="008E65F1" w:rsidRDefault="00EC2D5E" w:rsidP="00052ED2">
            <w:pPr>
              <w:pStyle w:val="TableText0"/>
            </w:pPr>
            <w:r w:rsidRPr="008E65F1">
              <w:t>1,25(OH)2D (pg/mL), Wk 20</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3A5B8E9"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67B3BB47" w14:textId="77777777" w:rsidR="00EC2D5E" w:rsidRPr="008E65F1" w:rsidRDefault="00EC2D5E" w:rsidP="00052ED2">
            <w:pPr>
              <w:pStyle w:val="TableText0"/>
              <w:jc w:val="center"/>
            </w:pPr>
            <w:r w:rsidRPr="008E65F1">
              <w:t>7.77</w:t>
            </w:r>
          </w:p>
        </w:tc>
        <w:tc>
          <w:tcPr>
            <w:tcW w:w="392" w:type="pct"/>
            <w:tcBorders>
              <w:top w:val="single" w:sz="4" w:space="0" w:color="auto"/>
              <w:left w:val="single" w:sz="4" w:space="0" w:color="auto"/>
              <w:bottom w:val="single" w:sz="4" w:space="0" w:color="auto"/>
              <w:right w:val="single" w:sz="4" w:space="0" w:color="auto"/>
            </w:tcBorders>
            <w:vAlign w:val="center"/>
            <w:hideMark/>
          </w:tcPr>
          <w:p w14:paraId="75247D90" w14:textId="77777777" w:rsidR="00EC2D5E" w:rsidRPr="008E65F1" w:rsidRDefault="00EC2D5E" w:rsidP="00052ED2">
            <w:pPr>
              <w:pStyle w:val="TableText0"/>
              <w:jc w:val="center"/>
            </w:pPr>
            <w:r w:rsidRPr="008E65F1">
              <w:t>2.92</w:t>
            </w:r>
          </w:p>
        </w:tc>
        <w:tc>
          <w:tcPr>
            <w:tcW w:w="388" w:type="pct"/>
            <w:tcBorders>
              <w:top w:val="single" w:sz="4" w:space="0" w:color="auto"/>
              <w:left w:val="single" w:sz="4" w:space="0" w:color="auto"/>
              <w:bottom w:val="single" w:sz="4" w:space="0" w:color="auto"/>
              <w:right w:val="single" w:sz="4" w:space="0" w:color="auto"/>
            </w:tcBorders>
            <w:vAlign w:val="center"/>
            <w:hideMark/>
          </w:tcPr>
          <w:p w14:paraId="13F1F74C"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44A8ED5C" w14:textId="77777777" w:rsidR="00EC2D5E" w:rsidRPr="008E65F1" w:rsidRDefault="00EC2D5E" w:rsidP="00052ED2">
            <w:pPr>
              <w:pStyle w:val="TableText0"/>
              <w:jc w:val="center"/>
            </w:pPr>
            <w:r w:rsidRPr="008E65F1">
              <w:t>2.12</w:t>
            </w:r>
          </w:p>
        </w:tc>
        <w:tc>
          <w:tcPr>
            <w:tcW w:w="314" w:type="pct"/>
            <w:tcBorders>
              <w:top w:val="single" w:sz="4" w:space="0" w:color="auto"/>
              <w:left w:val="single" w:sz="4" w:space="0" w:color="auto"/>
              <w:bottom w:val="single" w:sz="4" w:space="0" w:color="auto"/>
              <w:right w:val="single" w:sz="4" w:space="0" w:color="auto"/>
            </w:tcBorders>
            <w:vAlign w:val="center"/>
            <w:hideMark/>
          </w:tcPr>
          <w:p w14:paraId="1FA6B897" w14:textId="77777777" w:rsidR="00EC2D5E" w:rsidRPr="008E65F1" w:rsidRDefault="00EC2D5E" w:rsidP="00052ED2">
            <w:pPr>
              <w:pStyle w:val="TableText0"/>
              <w:jc w:val="center"/>
            </w:pPr>
            <w:r w:rsidRPr="008E65F1">
              <w:t>2.71</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5A044E59" w14:textId="77777777" w:rsidR="00EC2D5E" w:rsidRPr="008E65F1" w:rsidRDefault="00EC2D5E" w:rsidP="00052ED2">
            <w:pPr>
              <w:pStyle w:val="TableText0"/>
              <w:jc w:val="center"/>
              <w:rPr>
                <w:b/>
              </w:rPr>
            </w:pPr>
            <w:r w:rsidRPr="008E65F1">
              <w:rPr>
                <w:b/>
              </w:rPr>
              <w:t>5.7 (2.0, 9.3)</w:t>
            </w:r>
          </w:p>
        </w:tc>
      </w:tr>
      <w:tr w:rsidR="00EC2D5E" w:rsidRPr="008E65F1" w14:paraId="240B6E28"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20E6F9" w14:textId="77777777" w:rsidR="00EC2D5E" w:rsidRPr="008E65F1" w:rsidRDefault="00EC2D5E" w:rsidP="00052ED2">
            <w:pPr>
              <w:pStyle w:val="TableText0"/>
            </w:pPr>
            <w:r w:rsidRPr="008E65F1">
              <w:t>TmP/GFR (mg/dL),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3A49BD64"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9F3847D" w14:textId="77777777" w:rsidR="00EC2D5E" w:rsidRPr="008E65F1" w:rsidRDefault="00EC2D5E" w:rsidP="00052ED2">
            <w:pPr>
              <w:pStyle w:val="TableText0"/>
              <w:jc w:val="center"/>
              <w:rPr>
                <w:szCs w:val="20"/>
              </w:rPr>
            </w:pPr>
            <w:r w:rsidRPr="008E65F1">
              <w:rPr>
                <w:szCs w:val="20"/>
              </w:rPr>
              <w:t>0.56</w:t>
            </w:r>
          </w:p>
        </w:tc>
        <w:tc>
          <w:tcPr>
            <w:tcW w:w="392" w:type="pct"/>
            <w:tcBorders>
              <w:top w:val="single" w:sz="4" w:space="0" w:color="auto"/>
              <w:left w:val="single" w:sz="4" w:space="0" w:color="auto"/>
              <w:bottom w:val="single" w:sz="4" w:space="0" w:color="auto"/>
              <w:right w:val="single" w:sz="4" w:space="0" w:color="auto"/>
            </w:tcBorders>
            <w:vAlign w:val="center"/>
            <w:hideMark/>
          </w:tcPr>
          <w:p w14:paraId="4E2E7D1C" w14:textId="77777777" w:rsidR="00EC2D5E" w:rsidRPr="008E65F1" w:rsidRDefault="00EC2D5E" w:rsidP="00052ED2">
            <w:pPr>
              <w:pStyle w:val="TableText0"/>
              <w:jc w:val="center"/>
              <w:rPr>
                <w:szCs w:val="20"/>
              </w:rPr>
            </w:pPr>
            <w:r w:rsidRPr="008E65F1">
              <w:rPr>
                <w:szCs w:val="20"/>
              </w:rPr>
              <w:t>0.11</w:t>
            </w:r>
          </w:p>
        </w:tc>
        <w:tc>
          <w:tcPr>
            <w:tcW w:w="388" w:type="pct"/>
            <w:tcBorders>
              <w:top w:val="single" w:sz="4" w:space="0" w:color="auto"/>
              <w:left w:val="single" w:sz="4" w:space="0" w:color="auto"/>
              <w:bottom w:val="single" w:sz="4" w:space="0" w:color="auto"/>
              <w:right w:val="single" w:sz="4" w:space="0" w:color="auto"/>
            </w:tcBorders>
            <w:vAlign w:val="center"/>
            <w:hideMark/>
          </w:tcPr>
          <w:p w14:paraId="688282DF"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71E38DD5" w14:textId="77777777" w:rsidR="00EC2D5E" w:rsidRPr="008E65F1" w:rsidRDefault="00EC2D5E" w:rsidP="00052ED2">
            <w:pPr>
              <w:pStyle w:val="TableText0"/>
              <w:jc w:val="center"/>
              <w:rPr>
                <w:szCs w:val="20"/>
              </w:rPr>
            </w:pPr>
            <w:r w:rsidRPr="008E65F1">
              <w:rPr>
                <w:szCs w:val="20"/>
              </w:rPr>
              <w:t>0.13</w:t>
            </w:r>
          </w:p>
        </w:tc>
        <w:tc>
          <w:tcPr>
            <w:tcW w:w="314" w:type="pct"/>
            <w:tcBorders>
              <w:top w:val="single" w:sz="4" w:space="0" w:color="auto"/>
              <w:left w:val="single" w:sz="4" w:space="0" w:color="auto"/>
              <w:bottom w:val="single" w:sz="4" w:space="0" w:color="auto"/>
              <w:right w:val="single" w:sz="4" w:space="0" w:color="auto"/>
            </w:tcBorders>
            <w:vAlign w:val="center"/>
            <w:hideMark/>
          </w:tcPr>
          <w:p w14:paraId="41C52901" w14:textId="77777777" w:rsidR="00EC2D5E" w:rsidRPr="008E65F1" w:rsidRDefault="00EC2D5E" w:rsidP="00052ED2">
            <w:pPr>
              <w:pStyle w:val="TableText0"/>
              <w:jc w:val="center"/>
              <w:rPr>
                <w:szCs w:val="20"/>
              </w:rPr>
            </w:pPr>
            <w:r w:rsidRPr="008E65F1">
              <w:rPr>
                <w:szCs w:val="20"/>
              </w:rPr>
              <w:t>0.09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43C2D252" w14:textId="77777777" w:rsidR="00EC2D5E" w:rsidRPr="008E65F1" w:rsidRDefault="00EC2D5E" w:rsidP="00052ED2">
            <w:pPr>
              <w:pStyle w:val="TableText0"/>
              <w:jc w:val="center"/>
              <w:rPr>
                <w:b/>
                <w:szCs w:val="20"/>
              </w:rPr>
            </w:pPr>
            <w:r w:rsidRPr="008E65F1">
              <w:rPr>
                <w:b/>
                <w:szCs w:val="20"/>
              </w:rPr>
              <w:t>0.43 (0.30, 0.56)</w:t>
            </w:r>
          </w:p>
        </w:tc>
      </w:tr>
      <w:tr w:rsidR="00EC2D5E" w:rsidRPr="008E65F1" w14:paraId="524C7473"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8DAA41" w14:textId="77777777" w:rsidR="00EC2D5E" w:rsidRPr="008E65F1" w:rsidRDefault="00EC2D5E" w:rsidP="00052ED2">
            <w:pPr>
              <w:pStyle w:val="TableText0"/>
            </w:pPr>
            <w:r w:rsidRPr="008E65F1">
              <w:t>P1NP (ng/mL,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06C96286"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76D55929" w14:textId="77777777" w:rsidR="00EC2D5E" w:rsidRPr="008E65F1" w:rsidRDefault="00EC2D5E" w:rsidP="00052ED2">
            <w:pPr>
              <w:pStyle w:val="TableText0"/>
              <w:jc w:val="center"/>
              <w:rPr>
                <w:szCs w:val="20"/>
              </w:rPr>
            </w:pPr>
            <w:r w:rsidRPr="008E65F1">
              <w:rPr>
                <w:szCs w:val="20"/>
              </w:rPr>
              <w:t>60.93</w:t>
            </w:r>
          </w:p>
        </w:tc>
        <w:tc>
          <w:tcPr>
            <w:tcW w:w="392" w:type="pct"/>
            <w:tcBorders>
              <w:top w:val="single" w:sz="4" w:space="0" w:color="auto"/>
              <w:left w:val="single" w:sz="4" w:space="0" w:color="auto"/>
              <w:bottom w:val="single" w:sz="4" w:space="0" w:color="auto"/>
              <w:right w:val="single" w:sz="4" w:space="0" w:color="auto"/>
            </w:tcBorders>
            <w:vAlign w:val="center"/>
            <w:hideMark/>
          </w:tcPr>
          <w:p w14:paraId="71CA79B8" w14:textId="77777777" w:rsidR="00EC2D5E" w:rsidRPr="008E65F1" w:rsidRDefault="00EC2D5E" w:rsidP="00052ED2">
            <w:pPr>
              <w:pStyle w:val="TableText0"/>
              <w:jc w:val="center"/>
              <w:rPr>
                <w:szCs w:val="20"/>
              </w:rPr>
            </w:pPr>
            <w:r w:rsidRPr="008E65F1">
              <w:rPr>
                <w:szCs w:val="20"/>
              </w:rPr>
              <w:t>8.62</w:t>
            </w:r>
          </w:p>
        </w:tc>
        <w:tc>
          <w:tcPr>
            <w:tcW w:w="388" w:type="pct"/>
            <w:tcBorders>
              <w:top w:val="single" w:sz="4" w:space="0" w:color="auto"/>
              <w:left w:val="single" w:sz="4" w:space="0" w:color="auto"/>
              <w:bottom w:val="single" w:sz="4" w:space="0" w:color="auto"/>
              <w:right w:val="single" w:sz="4" w:space="0" w:color="auto"/>
            </w:tcBorders>
            <w:vAlign w:val="center"/>
            <w:hideMark/>
          </w:tcPr>
          <w:p w14:paraId="7FAC838C"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183F8DDE" w14:textId="77777777" w:rsidR="00EC2D5E" w:rsidRPr="008E65F1" w:rsidRDefault="00EC2D5E" w:rsidP="00052ED2">
            <w:pPr>
              <w:pStyle w:val="TableText0"/>
              <w:jc w:val="center"/>
              <w:rPr>
                <w:szCs w:val="20"/>
              </w:rPr>
            </w:pPr>
            <w:r w:rsidRPr="008E65F1">
              <w:rPr>
                <w:szCs w:val="20"/>
              </w:rPr>
              <w:t>-1.00</w:t>
            </w:r>
          </w:p>
        </w:tc>
        <w:tc>
          <w:tcPr>
            <w:tcW w:w="314" w:type="pct"/>
            <w:tcBorders>
              <w:top w:val="single" w:sz="4" w:space="0" w:color="auto"/>
              <w:left w:val="single" w:sz="4" w:space="0" w:color="auto"/>
              <w:bottom w:val="single" w:sz="4" w:space="0" w:color="auto"/>
              <w:right w:val="single" w:sz="4" w:space="0" w:color="auto"/>
            </w:tcBorders>
            <w:vAlign w:val="center"/>
            <w:hideMark/>
          </w:tcPr>
          <w:p w14:paraId="593248CD" w14:textId="77777777" w:rsidR="00EC2D5E" w:rsidRPr="008E65F1" w:rsidRDefault="00EC2D5E" w:rsidP="00052ED2">
            <w:pPr>
              <w:pStyle w:val="TableText0"/>
              <w:jc w:val="center"/>
              <w:rPr>
                <w:szCs w:val="20"/>
              </w:rPr>
            </w:pPr>
            <w:r w:rsidRPr="008E65F1">
              <w:rPr>
                <w:szCs w:val="20"/>
              </w:rPr>
              <w:t>8.69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791FC16D" w14:textId="77777777" w:rsidR="00EC2D5E" w:rsidRPr="008E65F1" w:rsidRDefault="00EC2D5E" w:rsidP="00052ED2">
            <w:pPr>
              <w:pStyle w:val="TableText0"/>
              <w:jc w:val="center"/>
              <w:rPr>
                <w:b/>
                <w:szCs w:val="20"/>
              </w:rPr>
            </w:pPr>
            <w:r w:rsidRPr="008E65F1">
              <w:rPr>
                <w:b/>
                <w:szCs w:val="20"/>
              </w:rPr>
              <w:t>61.9 (47.3, 76.6)</w:t>
            </w:r>
          </w:p>
        </w:tc>
      </w:tr>
      <w:tr w:rsidR="00EC2D5E" w:rsidRPr="008E65F1" w14:paraId="1C6B9308"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5A1C315F" w14:textId="77777777" w:rsidR="00EC2D5E" w:rsidRPr="008E65F1" w:rsidRDefault="00EC2D5E" w:rsidP="00052ED2">
            <w:pPr>
              <w:pStyle w:val="TableText0"/>
            </w:pPr>
            <w:r w:rsidRPr="008E65F1">
              <w:t>CTx (pg/mL),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069F024D"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1D27EFF5" w14:textId="77777777" w:rsidR="00EC2D5E" w:rsidRPr="008E65F1" w:rsidRDefault="00EC2D5E" w:rsidP="00052ED2">
            <w:pPr>
              <w:pStyle w:val="TableText0"/>
              <w:jc w:val="center"/>
              <w:rPr>
                <w:szCs w:val="20"/>
              </w:rPr>
            </w:pPr>
            <w:r w:rsidRPr="008E65F1">
              <w:rPr>
                <w:szCs w:val="20"/>
              </w:rPr>
              <w:t>207.58</w:t>
            </w:r>
          </w:p>
        </w:tc>
        <w:tc>
          <w:tcPr>
            <w:tcW w:w="392" w:type="pct"/>
            <w:tcBorders>
              <w:top w:val="single" w:sz="4" w:space="0" w:color="auto"/>
              <w:left w:val="single" w:sz="4" w:space="0" w:color="auto"/>
              <w:bottom w:val="single" w:sz="4" w:space="0" w:color="auto"/>
              <w:right w:val="single" w:sz="4" w:space="0" w:color="auto"/>
            </w:tcBorders>
            <w:vAlign w:val="center"/>
            <w:hideMark/>
          </w:tcPr>
          <w:p w14:paraId="202D5562" w14:textId="77777777" w:rsidR="00EC2D5E" w:rsidRPr="008E65F1" w:rsidRDefault="00EC2D5E" w:rsidP="00052ED2">
            <w:pPr>
              <w:pStyle w:val="TableText0"/>
              <w:jc w:val="center"/>
              <w:rPr>
                <w:szCs w:val="20"/>
              </w:rPr>
            </w:pPr>
            <w:r w:rsidRPr="008E65F1">
              <w:rPr>
                <w:szCs w:val="20"/>
              </w:rPr>
              <w:t>51.36</w:t>
            </w:r>
          </w:p>
        </w:tc>
        <w:tc>
          <w:tcPr>
            <w:tcW w:w="388" w:type="pct"/>
            <w:tcBorders>
              <w:top w:val="single" w:sz="4" w:space="0" w:color="auto"/>
              <w:left w:val="single" w:sz="4" w:space="0" w:color="auto"/>
              <w:bottom w:val="single" w:sz="4" w:space="0" w:color="auto"/>
              <w:right w:val="single" w:sz="4" w:space="0" w:color="auto"/>
            </w:tcBorders>
            <w:vAlign w:val="center"/>
            <w:hideMark/>
          </w:tcPr>
          <w:p w14:paraId="0631601B"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2F409492" w14:textId="77777777" w:rsidR="00EC2D5E" w:rsidRPr="008E65F1" w:rsidRDefault="00EC2D5E" w:rsidP="00052ED2">
            <w:pPr>
              <w:pStyle w:val="TableText0"/>
              <w:jc w:val="center"/>
              <w:rPr>
                <w:szCs w:val="20"/>
              </w:rPr>
            </w:pPr>
            <w:r w:rsidRPr="008E65F1">
              <w:rPr>
                <w:szCs w:val="20"/>
              </w:rPr>
              <w:t>17.33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B9077AF" w14:textId="77777777" w:rsidR="00EC2D5E" w:rsidRPr="008E65F1" w:rsidRDefault="00EC2D5E" w:rsidP="00052ED2">
            <w:pPr>
              <w:pStyle w:val="TableText0"/>
              <w:jc w:val="center"/>
              <w:rPr>
                <w:szCs w:val="20"/>
              </w:rPr>
            </w:pPr>
            <w:r w:rsidRPr="008E65F1">
              <w:rPr>
                <w:szCs w:val="20"/>
              </w:rPr>
              <w:t>47.26</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504C5BD3" w14:textId="77777777" w:rsidR="00EC2D5E" w:rsidRPr="008E65F1" w:rsidRDefault="00EC2D5E" w:rsidP="00052ED2">
            <w:pPr>
              <w:pStyle w:val="TableText0"/>
              <w:jc w:val="center"/>
              <w:rPr>
                <w:b/>
                <w:szCs w:val="20"/>
              </w:rPr>
            </w:pPr>
            <w:r w:rsidRPr="008E65F1">
              <w:rPr>
                <w:b/>
                <w:szCs w:val="20"/>
              </w:rPr>
              <w:t>190.2 (109.5, 271.0)</w:t>
            </w:r>
          </w:p>
        </w:tc>
      </w:tr>
      <w:tr w:rsidR="00EC2D5E" w:rsidRPr="008E65F1" w14:paraId="0FA2AB99"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5F46A87" w14:textId="77777777" w:rsidR="00EC2D5E" w:rsidRPr="008E65F1" w:rsidRDefault="00EC2D5E" w:rsidP="00052ED2">
            <w:pPr>
              <w:pStyle w:val="TableText0"/>
            </w:pPr>
            <w:r w:rsidRPr="008E65F1">
              <w:t>BALP ((µg/L),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CA7A7F7"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76E39049" w14:textId="77777777" w:rsidR="00EC2D5E" w:rsidRPr="008E65F1" w:rsidRDefault="00EC2D5E" w:rsidP="00052ED2">
            <w:pPr>
              <w:pStyle w:val="TableText0"/>
              <w:jc w:val="center"/>
              <w:rPr>
                <w:szCs w:val="20"/>
              </w:rPr>
            </w:pPr>
            <w:r w:rsidRPr="008E65F1">
              <w:rPr>
                <w:szCs w:val="20"/>
              </w:rPr>
              <w:t>5.96</w:t>
            </w:r>
          </w:p>
        </w:tc>
        <w:tc>
          <w:tcPr>
            <w:tcW w:w="392" w:type="pct"/>
            <w:tcBorders>
              <w:top w:val="single" w:sz="4" w:space="0" w:color="auto"/>
              <w:left w:val="single" w:sz="4" w:space="0" w:color="auto"/>
              <w:bottom w:val="single" w:sz="4" w:space="0" w:color="auto"/>
              <w:right w:val="single" w:sz="4" w:space="0" w:color="auto"/>
            </w:tcBorders>
            <w:vAlign w:val="center"/>
            <w:hideMark/>
          </w:tcPr>
          <w:p w14:paraId="13232D8B" w14:textId="77777777" w:rsidR="00EC2D5E" w:rsidRPr="008E65F1" w:rsidRDefault="00EC2D5E" w:rsidP="00052ED2">
            <w:pPr>
              <w:pStyle w:val="TableText0"/>
              <w:jc w:val="center"/>
              <w:rPr>
                <w:szCs w:val="20"/>
              </w:rPr>
            </w:pPr>
            <w:r w:rsidRPr="008E65F1">
              <w:rPr>
                <w:szCs w:val="20"/>
              </w:rPr>
              <w:t>2.34</w:t>
            </w:r>
          </w:p>
        </w:tc>
        <w:tc>
          <w:tcPr>
            <w:tcW w:w="388" w:type="pct"/>
            <w:tcBorders>
              <w:top w:val="single" w:sz="4" w:space="0" w:color="auto"/>
              <w:left w:val="single" w:sz="4" w:space="0" w:color="auto"/>
              <w:bottom w:val="single" w:sz="4" w:space="0" w:color="auto"/>
              <w:right w:val="single" w:sz="4" w:space="0" w:color="auto"/>
            </w:tcBorders>
            <w:vAlign w:val="center"/>
            <w:hideMark/>
          </w:tcPr>
          <w:p w14:paraId="4796EC10"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03EAEEFE" w14:textId="77777777" w:rsidR="00EC2D5E" w:rsidRPr="008E65F1" w:rsidRDefault="00EC2D5E" w:rsidP="00052ED2">
            <w:pPr>
              <w:pStyle w:val="TableText0"/>
              <w:jc w:val="center"/>
              <w:rPr>
                <w:szCs w:val="20"/>
              </w:rPr>
            </w:pPr>
            <w:r w:rsidRPr="008E65F1">
              <w:rPr>
                <w:szCs w:val="20"/>
              </w:rPr>
              <w:t>1.61</w:t>
            </w:r>
          </w:p>
        </w:tc>
        <w:tc>
          <w:tcPr>
            <w:tcW w:w="314" w:type="pct"/>
            <w:tcBorders>
              <w:top w:val="single" w:sz="4" w:space="0" w:color="auto"/>
              <w:left w:val="single" w:sz="4" w:space="0" w:color="auto"/>
              <w:bottom w:val="single" w:sz="4" w:space="0" w:color="auto"/>
              <w:right w:val="single" w:sz="4" w:space="0" w:color="auto"/>
            </w:tcBorders>
            <w:vAlign w:val="center"/>
            <w:hideMark/>
          </w:tcPr>
          <w:p w14:paraId="66DF3D32" w14:textId="77777777" w:rsidR="00EC2D5E" w:rsidRPr="008E65F1" w:rsidRDefault="00EC2D5E" w:rsidP="00052ED2">
            <w:pPr>
              <w:pStyle w:val="TableText0"/>
              <w:jc w:val="center"/>
              <w:rPr>
                <w:szCs w:val="20"/>
              </w:rPr>
            </w:pPr>
            <w:r w:rsidRPr="008E65F1">
              <w:rPr>
                <w:szCs w:val="20"/>
              </w:rPr>
              <w:t>2.39</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1D3B867A" w14:textId="77777777" w:rsidR="00EC2D5E" w:rsidRPr="008E65F1" w:rsidRDefault="00EC2D5E" w:rsidP="00052ED2">
            <w:pPr>
              <w:pStyle w:val="TableText0"/>
              <w:jc w:val="center"/>
              <w:rPr>
                <w:szCs w:val="20"/>
              </w:rPr>
            </w:pPr>
            <w:r w:rsidRPr="008E65F1">
              <w:rPr>
                <w:szCs w:val="20"/>
              </w:rPr>
              <w:t>4.4 (-0.52, 9.2)</w:t>
            </w:r>
          </w:p>
        </w:tc>
      </w:tr>
      <w:tr w:rsidR="00EC2D5E" w:rsidRPr="008E65F1" w14:paraId="4DD048D9"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6E9DC5AD" w14:textId="77777777" w:rsidR="00EC2D5E" w:rsidRPr="008E65F1" w:rsidRDefault="00EC2D5E" w:rsidP="00052ED2">
            <w:pPr>
              <w:pStyle w:val="TableText0"/>
            </w:pPr>
            <w:r w:rsidRPr="008E65F1">
              <w:t>WOMAC physical function,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35B5676C"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0B4D7188" w14:textId="77777777" w:rsidR="00EC2D5E" w:rsidRPr="008E65F1" w:rsidRDefault="00EC2D5E" w:rsidP="00052ED2">
            <w:pPr>
              <w:pStyle w:val="TableText0"/>
              <w:jc w:val="center"/>
              <w:rPr>
                <w:szCs w:val="20"/>
              </w:rPr>
            </w:pPr>
            <w:r w:rsidRPr="008E65F1">
              <w:rPr>
                <w:szCs w:val="20"/>
              </w:rPr>
              <w:t>-3.11</w:t>
            </w:r>
          </w:p>
        </w:tc>
        <w:tc>
          <w:tcPr>
            <w:tcW w:w="392" w:type="pct"/>
            <w:tcBorders>
              <w:top w:val="single" w:sz="4" w:space="0" w:color="auto"/>
              <w:left w:val="single" w:sz="4" w:space="0" w:color="auto"/>
              <w:bottom w:val="single" w:sz="4" w:space="0" w:color="auto"/>
              <w:right w:val="single" w:sz="4" w:space="0" w:color="auto"/>
            </w:tcBorders>
            <w:vAlign w:val="center"/>
            <w:hideMark/>
          </w:tcPr>
          <w:p w14:paraId="350912F9" w14:textId="77777777" w:rsidR="00EC2D5E" w:rsidRPr="008E65F1" w:rsidRDefault="00EC2D5E" w:rsidP="00052ED2">
            <w:pPr>
              <w:pStyle w:val="TableText0"/>
              <w:jc w:val="center"/>
              <w:rPr>
                <w:szCs w:val="20"/>
              </w:rPr>
            </w:pPr>
            <w:r w:rsidRPr="008E65F1">
              <w:rPr>
                <w:szCs w:val="20"/>
              </w:rPr>
              <w:t>2.55</w:t>
            </w:r>
          </w:p>
        </w:tc>
        <w:tc>
          <w:tcPr>
            <w:tcW w:w="388" w:type="pct"/>
            <w:tcBorders>
              <w:top w:val="single" w:sz="4" w:space="0" w:color="auto"/>
              <w:left w:val="single" w:sz="4" w:space="0" w:color="auto"/>
              <w:bottom w:val="single" w:sz="4" w:space="0" w:color="auto"/>
              <w:right w:val="single" w:sz="4" w:space="0" w:color="auto"/>
            </w:tcBorders>
            <w:vAlign w:val="center"/>
            <w:hideMark/>
          </w:tcPr>
          <w:p w14:paraId="3829A683"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30E5B114" w14:textId="77777777" w:rsidR="00EC2D5E" w:rsidRPr="008E65F1" w:rsidRDefault="00EC2D5E" w:rsidP="00052ED2">
            <w:pPr>
              <w:pStyle w:val="TableText0"/>
              <w:jc w:val="center"/>
              <w:rPr>
                <w:szCs w:val="20"/>
              </w:rPr>
            </w:pPr>
            <w:r w:rsidRPr="008E65F1">
              <w:rPr>
                <w:szCs w:val="20"/>
              </w:rPr>
              <w:t>+1.79</w:t>
            </w:r>
          </w:p>
        </w:tc>
        <w:tc>
          <w:tcPr>
            <w:tcW w:w="314" w:type="pct"/>
            <w:tcBorders>
              <w:top w:val="single" w:sz="4" w:space="0" w:color="auto"/>
              <w:left w:val="single" w:sz="4" w:space="0" w:color="auto"/>
              <w:bottom w:val="single" w:sz="4" w:space="0" w:color="auto"/>
              <w:right w:val="single" w:sz="4" w:space="0" w:color="auto"/>
            </w:tcBorders>
            <w:vAlign w:val="center"/>
            <w:hideMark/>
          </w:tcPr>
          <w:p w14:paraId="76C71CA9" w14:textId="77777777" w:rsidR="00EC2D5E" w:rsidRPr="008E65F1" w:rsidRDefault="00EC2D5E" w:rsidP="00052ED2">
            <w:pPr>
              <w:pStyle w:val="TableText0"/>
              <w:jc w:val="center"/>
              <w:rPr>
                <w:szCs w:val="20"/>
              </w:rPr>
            </w:pPr>
            <w:r w:rsidRPr="008E65F1">
              <w:rPr>
                <w:szCs w:val="20"/>
              </w:rPr>
              <w:t>2.72</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4FA37BC6" w14:textId="77777777" w:rsidR="00EC2D5E" w:rsidRPr="008E65F1" w:rsidRDefault="00EC2D5E" w:rsidP="00052ED2">
            <w:pPr>
              <w:pStyle w:val="TableText0"/>
              <w:jc w:val="center"/>
              <w:rPr>
                <w:szCs w:val="20"/>
              </w:rPr>
            </w:pPr>
            <w:r w:rsidRPr="008E65F1">
              <w:rPr>
                <w:szCs w:val="20"/>
              </w:rPr>
              <w:t>-4.90 (-9.8, -0.0)</w:t>
            </w:r>
          </w:p>
        </w:tc>
      </w:tr>
      <w:tr w:rsidR="00EC2D5E" w:rsidRPr="008E65F1" w14:paraId="79B48A2B"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4A879894" w14:textId="77777777" w:rsidR="00EC2D5E" w:rsidRPr="008E65F1" w:rsidRDefault="00EC2D5E" w:rsidP="00052ED2">
            <w:pPr>
              <w:pStyle w:val="TableText0"/>
            </w:pPr>
            <w:r w:rsidRPr="008E65F1">
              <w:t>WOMAC stiffness,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EF5473F"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2BB21CA" w14:textId="77777777" w:rsidR="00EC2D5E" w:rsidRPr="008E65F1" w:rsidRDefault="00EC2D5E" w:rsidP="00052ED2">
            <w:pPr>
              <w:pStyle w:val="TableText0"/>
              <w:jc w:val="center"/>
              <w:rPr>
                <w:szCs w:val="20"/>
              </w:rPr>
            </w:pPr>
            <w:r w:rsidRPr="008E65F1">
              <w:rPr>
                <w:szCs w:val="20"/>
              </w:rPr>
              <w:t>-7.85</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0C1D6C" w14:textId="77777777" w:rsidR="00EC2D5E" w:rsidRPr="008E65F1" w:rsidRDefault="00EC2D5E" w:rsidP="00052ED2">
            <w:pPr>
              <w:pStyle w:val="TableText0"/>
              <w:jc w:val="center"/>
              <w:rPr>
                <w:szCs w:val="20"/>
              </w:rPr>
            </w:pPr>
            <w:r w:rsidRPr="008E65F1">
              <w:rPr>
                <w:szCs w:val="20"/>
              </w:rPr>
              <w:t>3.03</w:t>
            </w:r>
          </w:p>
        </w:tc>
        <w:tc>
          <w:tcPr>
            <w:tcW w:w="388" w:type="pct"/>
            <w:tcBorders>
              <w:top w:val="single" w:sz="4" w:space="0" w:color="auto"/>
              <w:left w:val="single" w:sz="4" w:space="0" w:color="auto"/>
              <w:bottom w:val="single" w:sz="4" w:space="0" w:color="auto"/>
              <w:right w:val="single" w:sz="4" w:space="0" w:color="auto"/>
            </w:tcBorders>
            <w:vAlign w:val="center"/>
            <w:hideMark/>
          </w:tcPr>
          <w:p w14:paraId="7BD1864E"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301A68E1" w14:textId="77777777" w:rsidR="00EC2D5E" w:rsidRPr="008E65F1" w:rsidRDefault="00EC2D5E" w:rsidP="00052ED2">
            <w:pPr>
              <w:pStyle w:val="TableText0"/>
              <w:jc w:val="center"/>
              <w:rPr>
                <w:szCs w:val="20"/>
              </w:rPr>
            </w:pPr>
            <w:r w:rsidRPr="008E65F1">
              <w:rPr>
                <w:szCs w:val="20"/>
              </w:rPr>
              <w:t>+0.46</w:t>
            </w:r>
          </w:p>
        </w:tc>
        <w:tc>
          <w:tcPr>
            <w:tcW w:w="314" w:type="pct"/>
            <w:tcBorders>
              <w:top w:val="single" w:sz="4" w:space="0" w:color="auto"/>
              <w:left w:val="single" w:sz="4" w:space="0" w:color="auto"/>
              <w:bottom w:val="single" w:sz="4" w:space="0" w:color="auto"/>
              <w:right w:val="single" w:sz="4" w:space="0" w:color="auto"/>
            </w:tcBorders>
            <w:vAlign w:val="center"/>
            <w:hideMark/>
          </w:tcPr>
          <w:p w14:paraId="00365409" w14:textId="77777777" w:rsidR="00EC2D5E" w:rsidRPr="008E65F1" w:rsidRDefault="00EC2D5E" w:rsidP="00052ED2">
            <w:pPr>
              <w:pStyle w:val="TableText0"/>
              <w:jc w:val="center"/>
              <w:rPr>
                <w:szCs w:val="20"/>
              </w:rPr>
            </w:pPr>
            <w:r w:rsidRPr="008E65F1">
              <w:rPr>
                <w:szCs w:val="20"/>
              </w:rPr>
              <w:t>3.14</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3F429E02" w14:textId="77777777" w:rsidR="00EC2D5E" w:rsidRPr="008E65F1" w:rsidRDefault="00EC2D5E" w:rsidP="00052ED2">
            <w:pPr>
              <w:pStyle w:val="TableText0"/>
              <w:jc w:val="center"/>
              <w:rPr>
                <w:szCs w:val="20"/>
              </w:rPr>
            </w:pPr>
            <w:r w:rsidRPr="008E65F1">
              <w:rPr>
                <w:b/>
                <w:szCs w:val="20"/>
              </w:rPr>
              <w:t>-8.31 (-14.7, -1.9)</w:t>
            </w:r>
          </w:p>
        </w:tc>
      </w:tr>
      <w:tr w:rsidR="00EC2D5E" w:rsidRPr="008E65F1" w14:paraId="5D509D2F" w14:textId="77777777" w:rsidTr="0035108E">
        <w:tc>
          <w:tcPr>
            <w:tcW w:w="1562" w:type="pct"/>
            <w:gridSpan w:val="2"/>
            <w:tcBorders>
              <w:top w:val="single" w:sz="4" w:space="0" w:color="auto"/>
              <w:left w:val="single" w:sz="4" w:space="0" w:color="auto"/>
              <w:bottom w:val="single" w:sz="4" w:space="0" w:color="auto"/>
              <w:right w:val="single" w:sz="4" w:space="0" w:color="auto"/>
            </w:tcBorders>
            <w:vAlign w:val="center"/>
            <w:hideMark/>
          </w:tcPr>
          <w:p w14:paraId="1E257AE0" w14:textId="77777777" w:rsidR="00EC2D5E" w:rsidRPr="008E65F1" w:rsidRDefault="00EC2D5E" w:rsidP="00052ED2">
            <w:pPr>
              <w:pStyle w:val="TableText0"/>
            </w:pPr>
            <w:r w:rsidRPr="008E65F1">
              <w:t>BPI worst pain, Wk 24</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1EE7A28B" w14:textId="77777777" w:rsidR="00EC2D5E" w:rsidRPr="008E65F1" w:rsidRDefault="00EC2D5E" w:rsidP="00052ED2">
            <w:pPr>
              <w:pStyle w:val="TableText0"/>
              <w:jc w:val="center"/>
            </w:pPr>
            <w:r w:rsidRPr="008E65F1">
              <w:t>68</w:t>
            </w:r>
          </w:p>
        </w:tc>
        <w:tc>
          <w:tcPr>
            <w:tcW w:w="469" w:type="pct"/>
            <w:tcBorders>
              <w:top w:val="single" w:sz="4" w:space="0" w:color="auto"/>
              <w:left w:val="single" w:sz="4" w:space="0" w:color="auto"/>
              <w:bottom w:val="single" w:sz="4" w:space="0" w:color="auto"/>
              <w:right w:val="single" w:sz="4" w:space="0" w:color="auto"/>
            </w:tcBorders>
            <w:vAlign w:val="center"/>
            <w:hideMark/>
          </w:tcPr>
          <w:p w14:paraId="375366B1" w14:textId="77777777" w:rsidR="00EC2D5E" w:rsidRPr="008E65F1" w:rsidRDefault="00EC2D5E" w:rsidP="00052ED2">
            <w:pPr>
              <w:pStyle w:val="TableText0"/>
              <w:jc w:val="center"/>
              <w:rPr>
                <w:szCs w:val="20"/>
              </w:rPr>
            </w:pPr>
            <w:r w:rsidRPr="008E65F1">
              <w:rPr>
                <w:szCs w:val="20"/>
              </w:rPr>
              <w:t>-0.79</w:t>
            </w:r>
          </w:p>
        </w:tc>
        <w:tc>
          <w:tcPr>
            <w:tcW w:w="392" w:type="pct"/>
            <w:tcBorders>
              <w:top w:val="single" w:sz="4" w:space="0" w:color="auto"/>
              <w:left w:val="single" w:sz="4" w:space="0" w:color="auto"/>
              <w:bottom w:val="single" w:sz="4" w:space="0" w:color="auto"/>
              <w:right w:val="single" w:sz="4" w:space="0" w:color="auto"/>
            </w:tcBorders>
            <w:vAlign w:val="center"/>
            <w:hideMark/>
          </w:tcPr>
          <w:p w14:paraId="159776FC" w14:textId="77777777" w:rsidR="00EC2D5E" w:rsidRPr="008E65F1" w:rsidRDefault="00EC2D5E" w:rsidP="00052ED2">
            <w:pPr>
              <w:pStyle w:val="TableText0"/>
              <w:jc w:val="center"/>
              <w:rPr>
                <w:szCs w:val="20"/>
              </w:rPr>
            </w:pPr>
            <w:r w:rsidRPr="008E65F1">
              <w:rPr>
                <w:szCs w:val="20"/>
              </w:rPr>
              <w:t>0.21</w:t>
            </w:r>
          </w:p>
        </w:tc>
        <w:tc>
          <w:tcPr>
            <w:tcW w:w="388" w:type="pct"/>
            <w:tcBorders>
              <w:top w:val="single" w:sz="4" w:space="0" w:color="auto"/>
              <w:left w:val="single" w:sz="4" w:space="0" w:color="auto"/>
              <w:bottom w:val="single" w:sz="4" w:space="0" w:color="auto"/>
              <w:right w:val="single" w:sz="4" w:space="0" w:color="auto"/>
            </w:tcBorders>
            <w:vAlign w:val="center"/>
            <w:hideMark/>
          </w:tcPr>
          <w:p w14:paraId="6EBC5D7D" w14:textId="77777777" w:rsidR="00EC2D5E" w:rsidRPr="008E65F1" w:rsidRDefault="00EC2D5E" w:rsidP="00052ED2">
            <w:pPr>
              <w:pStyle w:val="TableText0"/>
              <w:jc w:val="center"/>
            </w:pPr>
            <w:r w:rsidRPr="008E65F1">
              <w:t>66</w:t>
            </w:r>
          </w:p>
        </w:tc>
        <w:tc>
          <w:tcPr>
            <w:tcW w:w="548" w:type="pct"/>
            <w:tcBorders>
              <w:top w:val="single" w:sz="4" w:space="0" w:color="auto"/>
              <w:left w:val="single" w:sz="4" w:space="0" w:color="auto"/>
              <w:bottom w:val="single" w:sz="4" w:space="0" w:color="auto"/>
              <w:right w:val="single" w:sz="4" w:space="0" w:color="auto"/>
            </w:tcBorders>
            <w:vAlign w:val="center"/>
            <w:hideMark/>
          </w:tcPr>
          <w:p w14:paraId="4B5B6A3D" w14:textId="77777777" w:rsidR="00EC2D5E" w:rsidRPr="008E65F1" w:rsidRDefault="00EC2D5E" w:rsidP="00052ED2">
            <w:pPr>
              <w:pStyle w:val="TableText0"/>
              <w:jc w:val="center"/>
              <w:rPr>
                <w:szCs w:val="20"/>
              </w:rPr>
            </w:pPr>
            <w:r w:rsidRPr="008E65F1">
              <w:rPr>
                <w:szCs w:val="20"/>
              </w:rPr>
              <w:t>-0.32</w:t>
            </w:r>
          </w:p>
        </w:tc>
        <w:tc>
          <w:tcPr>
            <w:tcW w:w="314" w:type="pct"/>
            <w:tcBorders>
              <w:top w:val="single" w:sz="4" w:space="0" w:color="auto"/>
              <w:left w:val="single" w:sz="4" w:space="0" w:color="auto"/>
              <w:bottom w:val="single" w:sz="4" w:space="0" w:color="auto"/>
              <w:right w:val="single" w:sz="4" w:space="0" w:color="auto"/>
            </w:tcBorders>
            <w:vAlign w:val="center"/>
            <w:hideMark/>
          </w:tcPr>
          <w:p w14:paraId="0D077A4F" w14:textId="77777777" w:rsidR="00EC2D5E" w:rsidRPr="008E65F1" w:rsidRDefault="00EC2D5E" w:rsidP="00052ED2">
            <w:pPr>
              <w:pStyle w:val="TableText0"/>
              <w:jc w:val="center"/>
              <w:rPr>
                <w:szCs w:val="20"/>
              </w:rPr>
            </w:pPr>
            <w:r w:rsidRPr="008E65F1">
              <w:rPr>
                <w:szCs w:val="20"/>
              </w:rPr>
              <w:t>0.22</w:t>
            </w:r>
          </w:p>
        </w:tc>
        <w:tc>
          <w:tcPr>
            <w:tcW w:w="1014" w:type="pct"/>
            <w:gridSpan w:val="2"/>
            <w:tcBorders>
              <w:top w:val="single" w:sz="4" w:space="0" w:color="auto"/>
              <w:left w:val="single" w:sz="4" w:space="0" w:color="auto"/>
              <w:bottom w:val="single" w:sz="4" w:space="0" w:color="auto"/>
              <w:right w:val="single" w:sz="4" w:space="0" w:color="auto"/>
            </w:tcBorders>
            <w:vAlign w:val="center"/>
            <w:hideMark/>
          </w:tcPr>
          <w:p w14:paraId="72EBDB7F" w14:textId="77777777" w:rsidR="00EC2D5E" w:rsidRPr="008E65F1" w:rsidRDefault="00EC2D5E" w:rsidP="00052ED2">
            <w:pPr>
              <w:pStyle w:val="TableText0"/>
              <w:jc w:val="center"/>
              <w:rPr>
                <w:szCs w:val="20"/>
              </w:rPr>
            </w:pPr>
            <w:r w:rsidRPr="008E65F1">
              <w:rPr>
                <w:szCs w:val="20"/>
              </w:rPr>
              <w:t>-0.46 (-1.0, 0.08)</w:t>
            </w:r>
          </w:p>
        </w:tc>
      </w:tr>
      <w:tr w:rsidR="00EC2D5E" w:rsidRPr="008E65F1" w14:paraId="5036BE86" w14:textId="77777777" w:rsidTr="0035108E">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78AAEC43" w14:textId="77777777" w:rsidR="00EC2D5E" w:rsidRPr="008E65F1" w:rsidRDefault="00EC2D5E" w:rsidP="00052ED2">
            <w:pPr>
              <w:pStyle w:val="TableText0"/>
              <w:rPr>
                <w:b/>
                <w:szCs w:val="20"/>
              </w:rPr>
            </w:pPr>
            <w:r w:rsidRPr="008E65F1">
              <w:rPr>
                <w:b/>
                <w:szCs w:val="20"/>
              </w:rPr>
              <w:t>Proportion improved from baseline</w:t>
            </w:r>
          </w:p>
        </w:tc>
      </w:tr>
      <w:tr w:rsidR="00EC2D5E" w:rsidRPr="008E65F1" w14:paraId="6B73F0ED" w14:textId="77777777" w:rsidTr="0035108E">
        <w:trPr>
          <w:trHeight w:val="70"/>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5F380201" w14:textId="77777777" w:rsidR="00EC2D5E" w:rsidRPr="008E65F1" w:rsidRDefault="00EC2D5E" w:rsidP="00052ED2">
            <w:pPr>
              <w:pStyle w:val="In-tableHeading"/>
              <w:rPr>
                <w:b w:val="0"/>
                <w:lang w:val="en-AU"/>
              </w:rPr>
            </w:pPr>
            <w:r w:rsidRPr="008E65F1">
              <w:rPr>
                <w:b w:val="0"/>
                <w:lang w:val="en-AU"/>
              </w:rPr>
              <w:t>CL303</w:t>
            </w:r>
          </w:p>
        </w:tc>
        <w:tc>
          <w:tcPr>
            <w:tcW w:w="5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2B1CCB7" w14:textId="77777777" w:rsidR="00EC2D5E" w:rsidRPr="008E65F1" w:rsidRDefault="00EC2D5E" w:rsidP="00052ED2">
            <w:pPr>
              <w:pStyle w:val="In-tableHeading"/>
              <w:jc w:val="center"/>
              <w:rPr>
                <w:lang w:val="en-AU"/>
              </w:rPr>
            </w:pPr>
            <w:r w:rsidRPr="008E65F1">
              <w:rPr>
                <w:lang w:val="en-AU"/>
              </w:rPr>
              <w:t xml:space="preserve">Burosumab </w:t>
            </w:r>
          </w:p>
          <w:p w14:paraId="7A072E9E" w14:textId="77777777" w:rsidR="00EC2D5E" w:rsidRPr="008E65F1" w:rsidRDefault="00EC2D5E" w:rsidP="00052ED2">
            <w:pPr>
              <w:pStyle w:val="In-tableHeading"/>
              <w:jc w:val="center"/>
              <w:rPr>
                <w:lang w:val="en-AU"/>
              </w:rPr>
            </w:pPr>
            <w:r w:rsidRPr="008E65F1">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944EB4" w14:textId="77777777" w:rsidR="00EC2D5E" w:rsidRPr="008E65F1" w:rsidRDefault="00EC2D5E" w:rsidP="00052ED2">
            <w:pPr>
              <w:pStyle w:val="In-tableHeading"/>
              <w:jc w:val="center"/>
              <w:rPr>
                <w:lang w:val="en-AU"/>
              </w:rPr>
            </w:pPr>
            <w:r w:rsidRPr="008E65F1">
              <w:rPr>
                <w:lang w:val="en-AU"/>
              </w:rPr>
              <w:t>Placebo</w:t>
            </w:r>
          </w:p>
          <w:p w14:paraId="549BF7C7" w14:textId="77777777" w:rsidR="00EC2D5E" w:rsidRPr="008E65F1" w:rsidRDefault="00EC2D5E" w:rsidP="00052ED2">
            <w:pPr>
              <w:pStyle w:val="In-tableHeading"/>
              <w:jc w:val="center"/>
              <w:rPr>
                <w:lang w:val="en-AU"/>
              </w:rPr>
            </w:pPr>
            <w:r w:rsidRPr="008E65F1">
              <w:rPr>
                <w:lang w:val="en-AU"/>
              </w:rPr>
              <w:t>n/N</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E7D6375" w14:textId="77777777" w:rsidR="00EC2D5E" w:rsidRPr="008E65F1" w:rsidRDefault="00EC2D5E" w:rsidP="00052ED2">
            <w:pPr>
              <w:pStyle w:val="In-tableHeading"/>
              <w:jc w:val="center"/>
              <w:rPr>
                <w:lang w:val="en-AU"/>
              </w:rPr>
            </w:pPr>
            <w:r w:rsidRPr="008E65F1">
              <w:rPr>
                <w:lang w:val="en-AU"/>
              </w:rPr>
              <w:t>RR</w:t>
            </w:r>
            <w:r w:rsidRPr="008E65F1">
              <w:rPr>
                <w:vertAlign w:val="superscript"/>
                <w:lang w:val="en-AU"/>
              </w:rPr>
              <w:t>#</w:t>
            </w:r>
          </w:p>
          <w:p w14:paraId="2B5D86D3" w14:textId="77777777" w:rsidR="00EC2D5E" w:rsidRPr="008E65F1" w:rsidRDefault="00EC2D5E" w:rsidP="00052ED2">
            <w:pPr>
              <w:pStyle w:val="In-tableHeading"/>
              <w:jc w:val="center"/>
              <w:rPr>
                <w:lang w:val="en-AU"/>
              </w:rPr>
            </w:pPr>
            <w:r w:rsidRPr="008E65F1">
              <w:rPr>
                <w:lang w:val="en-AU"/>
              </w:rPr>
              <w:t>(95% CI)</w:t>
            </w:r>
          </w:p>
        </w:tc>
        <w:tc>
          <w:tcPr>
            <w:tcW w:w="1018" w:type="pct"/>
            <w:gridSpan w:val="3"/>
            <w:tcBorders>
              <w:top w:val="single" w:sz="4" w:space="0" w:color="auto"/>
              <w:left w:val="single" w:sz="4" w:space="0" w:color="auto"/>
              <w:bottom w:val="single" w:sz="4" w:space="0" w:color="auto"/>
              <w:right w:val="single" w:sz="4" w:space="0" w:color="auto"/>
            </w:tcBorders>
            <w:vAlign w:val="center"/>
            <w:hideMark/>
          </w:tcPr>
          <w:p w14:paraId="3E0A284A" w14:textId="77777777" w:rsidR="00EC2D5E" w:rsidRPr="008E65F1" w:rsidRDefault="00EC2D5E" w:rsidP="00052ED2">
            <w:pPr>
              <w:pStyle w:val="In-tableHeading"/>
              <w:jc w:val="center"/>
              <w:rPr>
                <w:lang w:val="en-AU"/>
              </w:rPr>
            </w:pPr>
            <w:r w:rsidRPr="008E65F1">
              <w:rPr>
                <w:lang w:val="en-AU"/>
              </w:rPr>
              <w:t>Event rate/100 patients</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26B87E58" w14:textId="77777777" w:rsidR="00EC2D5E" w:rsidRPr="008E65F1" w:rsidRDefault="00EC2D5E" w:rsidP="00052ED2">
            <w:pPr>
              <w:pStyle w:val="In-tableHeading"/>
              <w:jc w:val="center"/>
              <w:rPr>
                <w:lang w:val="en-AU"/>
              </w:rPr>
            </w:pPr>
            <w:r w:rsidRPr="008E65F1">
              <w:rPr>
                <w:lang w:val="en-AU"/>
              </w:rPr>
              <w:t>RD</w:t>
            </w:r>
            <w:r w:rsidRPr="008E65F1">
              <w:rPr>
                <w:vertAlign w:val="superscript"/>
                <w:lang w:val="en-AU"/>
              </w:rPr>
              <w:t>#</w:t>
            </w:r>
          </w:p>
          <w:p w14:paraId="0ED3B92F" w14:textId="77777777" w:rsidR="00EC2D5E" w:rsidRPr="008E65F1" w:rsidRDefault="00EC2D5E" w:rsidP="00052ED2">
            <w:pPr>
              <w:pStyle w:val="In-tableHeading"/>
              <w:jc w:val="center"/>
              <w:rPr>
                <w:lang w:val="en-AU"/>
              </w:rPr>
            </w:pPr>
            <w:r w:rsidRPr="008E65F1">
              <w:rPr>
                <w:lang w:val="en-AU"/>
              </w:rPr>
              <w:t>(95% CI)</w:t>
            </w:r>
          </w:p>
        </w:tc>
      </w:tr>
      <w:tr w:rsidR="00EC2D5E" w:rsidRPr="008E65F1" w14:paraId="2E71D75F" w14:textId="77777777" w:rsidTr="0035108E">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E9E6B" w14:textId="77777777" w:rsidR="00EC2D5E" w:rsidRPr="008E65F1"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40657C"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820E20"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64D7C9" w14:textId="77777777" w:rsidR="00EC2D5E" w:rsidRPr="008E65F1" w:rsidRDefault="00EC2D5E" w:rsidP="00052ED2">
            <w:pPr>
              <w:keepNext/>
              <w:jc w:val="left"/>
              <w:rPr>
                <w:rFonts w:ascii="Arial Narrow" w:eastAsiaTheme="majorEastAsia" w:hAnsi="Arial Narrow" w:cs="Times New Roman"/>
                <w:b/>
                <w:sz w:val="20"/>
              </w:rPr>
            </w:pPr>
          </w:p>
        </w:tc>
        <w:tc>
          <w:tcPr>
            <w:tcW w:w="548" w:type="pct"/>
            <w:tcBorders>
              <w:top w:val="single" w:sz="4" w:space="0" w:color="auto"/>
              <w:left w:val="single" w:sz="4" w:space="0" w:color="auto"/>
              <w:bottom w:val="single" w:sz="4" w:space="0" w:color="auto"/>
              <w:right w:val="single" w:sz="4" w:space="0" w:color="auto"/>
            </w:tcBorders>
            <w:vAlign w:val="center"/>
            <w:hideMark/>
          </w:tcPr>
          <w:p w14:paraId="72B72517" w14:textId="77777777" w:rsidR="00EC2D5E" w:rsidRPr="008E65F1" w:rsidRDefault="00EC2D5E" w:rsidP="00052ED2">
            <w:pPr>
              <w:pStyle w:val="In-tableHeading"/>
              <w:jc w:val="center"/>
              <w:rPr>
                <w:lang w:val="en-AU"/>
              </w:rPr>
            </w:pPr>
            <w:r w:rsidRPr="008E65F1">
              <w:rPr>
                <w:lang w:val="en-AU"/>
              </w:rPr>
              <w:t xml:space="preserve">Burosumab </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716D2EC" w14:textId="77777777" w:rsidR="00EC2D5E" w:rsidRPr="008E65F1" w:rsidRDefault="00EC2D5E" w:rsidP="00052ED2">
            <w:pPr>
              <w:pStyle w:val="In-tableHeading"/>
              <w:jc w:val="center"/>
              <w:rPr>
                <w:lang w:val="en-AU"/>
              </w:rPr>
            </w:pPr>
            <w:r w:rsidRPr="008E65F1">
              <w:rPr>
                <w:lang w:val="en-AU"/>
              </w:rPr>
              <w:t>Placebo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69368"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02A0E067" w14:textId="77777777" w:rsidTr="0035108E">
        <w:tc>
          <w:tcPr>
            <w:tcW w:w="1171" w:type="pct"/>
            <w:tcBorders>
              <w:top w:val="single" w:sz="4" w:space="0" w:color="auto"/>
              <w:left w:val="single" w:sz="4" w:space="0" w:color="auto"/>
              <w:bottom w:val="single" w:sz="4" w:space="0" w:color="auto"/>
              <w:right w:val="single" w:sz="4" w:space="0" w:color="auto"/>
            </w:tcBorders>
            <w:vAlign w:val="center"/>
            <w:hideMark/>
          </w:tcPr>
          <w:p w14:paraId="60602223" w14:textId="54D146CA" w:rsidR="00EC2D5E" w:rsidRPr="008E65F1" w:rsidRDefault="00EC2D5E" w:rsidP="00052ED2">
            <w:pPr>
              <w:pStyle w:val="TableText0"/>
            </w:pPr>
            <w:r w:rsidRPr="008E65F1">
              <w:t>Active fractures/</w:t>
            </w:r>
            <w:r w:rsidR="00FD1C1E">
              <w:t xml:space="preserve"> </w:t>
            </w:r>
            <w:r w:rsidRPr="008E65F1">
              <w:t>pseudofractures healed, Wk 24</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30A959E" w14:textId="77777777" w:rsidR="00EC2D5E" w:rsidRPr="008E65F1" w:rsidRDefault="00EC2D5E" w:rsidP="00052ED2">
            <w:pPr>
              <w:pStyle w:val="TableText0"/>
              <w:jc w:val="center"/>
            </w:pPr>
            <w:r w:rsidRPr="008E65F1">
              <w:t>16/32</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281AC6BC" w14:textId="77777777" w:rsidR="00EC2D5E" w:rsidRPr="008E65F1" w:rsidRDefault="00EC2D5E" w:rsidP="00052ED2">
            <w:pPr>
              <w:pStyle w:val="TableText0"/>
              <w:jc w:val="center"/>
            </w:pPr>
            <w:r w:rsidRPr="008E65F1">
              <w:t>5/38</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2646E933" w14:textId="77777777" w:rsidR="00EC2D5E" w:rsidRPr="008E65F1" w:rsidRDefault="00EC2D5E" w:rsidP="00052ED2">
            <w:pPr>
              <w:pStyle w:val="TableText0"/>
              <w:jc w:val="center"/>
              <w:rPr>
                <w:b/>
              </w:rPr>
            </w:pPr>
            <w:r w:rsidRPr="008E65F1">
              <w:rPr>
                <w:b/>
              </w:rPr>
              <w:t>6.60 (2.05, 21.23)</w:t>
            </w:r>
          </w:p>
        </w:tc>
        <w:tc>
          <w:tcPr>
            <w:tcW w:w="548" w:type="pct"/>
            <w:tcBorders>
              <w:top w:val="single" w:sz="4" w:space="0" w:color="auto"/>
              <w:left w:val="single" w:sz="4" w:space="0" w:color="auto"/>
              <w:bottom w:val="single" w:sz="4" w:space="0" w:color="auto"/>
              <w:right w:val="single" w:sz="4" w:space="0" w:color="auto"/>
            </w:tcBorders>
            <w:vAlign w:val="center"/>
            <w:hideMark/>
          </w:tcPr>
          <w:p w14:paraId="096D0746" w14:textId="77777777" w:rsidR="00EC2D5E" w:rsidRPr="008E65F1" w:rsidRDefault="00EC2D5E" w:rsidP="00052ED2">
            <w:pPr>
              <w:pStyle w:val="TableText0"/>
              <w:jc w:val="center"/>
            </w:pPr>
            <w:r w:rsidRPr="008E65F1">
              <w:t>50</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36BCAF52" w14:textId="77777777" w:rsidR="00EC2D5E" w:rsidRPr="008E65F1" w:rsidRDefault="00EC2D5E" w:rsidP="00052ED2">
            <w:pPr>
              <w:pStyle w:val="TableText0"/>
              <w:jc w:val="center"/>
            </w:pPr>
            <w:r w:rsidRPr="008E65F1">
              <w:t>13.2</w:t>
            </w:r>
          </w:p>
        </w:tc>
        <w:tc>
          <w:tcPr>
            <w:tcW w:w="858" w:type="pct"/>
            <w:tcBorders>
              <w:top w:val="single" w:sz="4" w:space="0" w:color="auto"/>
              <w:left w:val="single" w:sz="4" w:space="0" w:color="auto"/>
              <w:bottom w:val="single" w:sz="4" w:space="0" w:color="auto"/>
              <w:right w:val="single" w:sz="4" w:space="0" w:color="auto"/>
            </w:tcBorders>
            <w:vAlign w:val="center"/>
            <w:hideMark/>
          </w:tcPr>
          <w:p w14:paraId="7F9E9AAD" w14:textId="77777777" w:rsidR="00EC2D5E" w:rsidRPr="008E65F1" w:rsidRDefault="00EC2D5E" w:rsidP="00052ED2">
            <w:pPr>
              <w:pStyle w:val="TableText0"/>
              <w:jc w:val="center"/>
              <w:rPr>
                <w:b/>
              </w:rPr>
            </w:pPr>
            <w:r w:rsidRPr="008E65F1">
              <w:rPr>
                <w:b/>
              </w:rPr>
              <w:t>0.37 (0.16, 0.57)</w:t>
            </w:r>
          </w:p>
        </w:tc>
      </w:tr>
      <w:tr w:rsidR="00EC2D5E" w:rsidRPr="008E65F1" w14:paraId="177998FD" w14:textId="77777777" w:rsidTr="0035108E">
        <w:tc>
          <w:tcPr>
            <w:tcW w:w="5000" w:type="pct"/>
            <w:gridSpan w:val="11"/>
            <w:tcBorders>
              <w:top w:val="double" w:sz="4" w:space="0" w:color="auto"/>
              <w:left w:val="single" w:sz="4" w:space="0" w:color="auto"/>
              <w:bottom w:val="single" w:sz="4" w:space="0" w:color="auto"/>
              <w:right w:val="single" w:sz="4" w:space="0" w:color="auto"/>
            </w:tcBorders>
            <w:vAlign w:val="center"/>
            <w:hideMark/>
          </w:tcPr>
          <w:p w14:paraId="70CD8524" w14:textId="77777777" w:rsidR="00EC2D5E" w:rsidRPr="008E65F1" w:rsidRDefault="00EC2D5E" w:rsidP="00052ED2">
            <w:pPr>
              <w:pStyle w:val="In-tableHeading"/>
              <w:rPr>
                <w:lang w:val="en-AU"/>
              </w:rPr>
            </w:pPr>
            <w:r w:rsidRPr="008E65F1">
              <w:rPr>
                <w:lang w:val="en-AU"/>
              </w:rPr>
              <w:t>Harms (Wk 24)</w:t>
            </w:r>
          </w:p>
        </w:tc>
      </w:tr>
      <w:tr w:rsidR="00EC2D5E" w:rsidRPr="008E65F1" w14:paraId="12A3269A" w14:textId="77777777" w:rsidTr="0035108E">
        <w:trPr>
          <w:trHeight w:val="70"/>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EEEE379" w14:textId="77777777" w:rsidR="00EC2D5E" w:rsidRPr="008E65F1" w:rsidRDefault="00EC2D5E" w:rsidP="00052ED2">
            <w:pPr>
              <w:pStyle w:val="In-tableHeading"/>
              <w:rPr>
                <w:b w:val="0"/>
                <w:lang w:val="en-AU"/>
              </w:rPr>
            </w:pPr>
            <w:r w:rsidRPr="008E65F1">
              <w:rPr>
                <w:b w:val="0"/>
                <w:lang w:val="en-AU"/>
              </w:rPr>
              <w:t>CL303</w:t>
            </w:r>
          </w:p>
        </w:tc>
        <w:tc>
          <w:tcPr>
            <w:tcW w:w="5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D997053" w14:textId="77777777" w:rsidR="00EC2D5E" w:rsidRPr="008E65F1" w:rsidRDefault="00EC2D5E" w:rsidP="00052ED2">
            <w:pPr>
              <w:pStyle w:val="In-tableHeading"/>
              <w:jc w:val="center"/>
              <w:rPr>
                <w:lang w:val="en-AU"/>
              </w:rPr>
            </w:pPr>
            <w:r w:rsidRPr="008E65F1">
              <w:rPr>
                <w:lang w:val="en-AU"/>
              </w:rPr>
              <w:t xml:space="preserve">Burosumab </w:t>
            </w:r>
          </w:p>
          <w:p w14:paraId="2276F20D" w14:textId="77777777" w:rsidR="00EC2D5E" w:rsidRPr="008E65F1" w:rsidRDefault="00EC2D5E" w:rsidP="00052ED2">
            <w:pPr>
              <w:pStyle w:val="In-tableHeading"/>
              <w:jc w:val="center"/>
              <w:rPr>
                <w:lang w:val="en-AU"/>
              </w:rPr>
            </w:pPr>
            <w:r w:rsidRPr="008E65F1">
              <w:rPr>
                <w:lang w:val="en-AU"/>
              </w:rPr>
              <w:t>n/N</w:t>
            </w:r>
          </w:p>
        </w:tc>
        <w:tc>
          <w:tcPr>
            <w:tcW w:w="62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830A4A7" w14:textId="77777777" w:rsidR="00EC2D5E" w:rsidRPr="008E65F1" w:rsidRDefault="00EC2D5E" w:rsidP="00052ED2">
            <w:pPr>
              <w:pStyle w:val="In-tableHeading"/>
              <w:jc w:val="center"/>
              <w:rPr>
                <w:lang w:val="en-AU"/>
              </w:rPr>
            </w:pPr>
            <w:r w:rsidRPr="008E65F1">
              <w:rPr>
                <w:lang w:val="en-AU"/>
              </w:rPr>
              <w:t>Placebo</w:t>
            </w:r>
          </w:p>
          <w:p w14:paraId="0D2982E6" w14:textId="77777777" w:rsidR="00EC2D5E" w:rsidRPr="008E65F1" w:rsidRDefault="00EC2D5E" w:rsidP="00052ED2">
            <w:pPr>
              <w:pStyle w:val="In-tableHeading"/>
              <w:jc w:val="center"/>
              <w:rPr>
                <w:lang w:val="en-AU"/>
              </w:rPr>
            </w:pPr>
            <w:r w:rsidRPr="008E65F1">
              <w:rPr>
                <w:lang w:val="en-AU"/>
              </w:rPr>
              <w:t>n/N</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C8F5812" w14:textId="77777777" w:rsidR="00EC2D5E" w:rsidRPr="008E65F1" w:rsidRDefault="00EC2D5E" w:rsidP="00052ED2">
            <w:pPr>
              <w:pStyle w:val="In-tableHeading"/>
              <w:jc w:val="center"/>
              <w:rPr>
                <w:lang w:val="en-AU"/>
              </w:rPr>
            </w:pPr>
            <w:r w:rsidRPr="008E65F1">
              <w:rPr>
                <w:lang w:val="en-AU"/>
              </w:rPr>
              <w:t>RR</w:t>
            </w:r>
            <w:r w:rsidRPr="008E65F1">
              <w:rPr>
                <w:vertAlign w:val="superscript"/>
                <w:lang w:val="en-AU"/>
              </w:rPr>
              <w:t>#</w:t>
            </w:r>
          </w:p>
          <w:p w14:paraId="72326BF3" w14:textId="77777777" w:rsidR="00EC2D5E" w:rsidRPr="008E65F1" w:rsidRDefault="00EC2D5E" w:rsidP="00052ED2">
            <w:pPr>
              <w:pStyle w:val="In-tableHeading"/>
              <w:jc w:val="center"/>
              <w:rPr>
                <w:lang w:val="en-AU"/>
              </w:rPr>
            </w:pPr>
            <w:r w:rsidRPr="008E65F1">
              <w:rPr>
                <w:lang w:val="en-AU"/>
              </w:rPr>
              <w:t>(95% CI)</w:t>
            </w:r>
          </w:p>
        </w:tc>
        <w:tc>
          <w:tcPr>
            <w:tcW w:w="1018" w:type="pct"/>
            <w:gridSpan w:val="3"/>
            <w:tcBorders>
              <w:top w:val="single" w:sz="4" w:space="0" w:color="auto"/>
              <w:left w:val="single" w:sz="4" w:space="0" w:color="auto"/>
              <w:bottom w:val="single" w:sz="4" w:space="0" w:color="auto"/>
              <w:right w:val="single" w:sz="4" w:space="0" w:color="auto"/>
            </w:tcBorders>
            <w:vAlign w:val="center"/>
            <w:hideMark/>
          </w:tcPr>
          <w:p w14:paraId="13643913" w14:textId="77777777" w:rsidR="00EC2D5E" w:rsidRPr="008E65F1" w:rsidRDefault="00EC2D5E" w:rsidP="00052ED2">
            <w:pPr>
              <w:pStyle w:val="In-tableHeading"/>
              <w:jc w:val="center"/>
              <w:rPr>
                <w:lang w:val="en-AU"/>
              </w:rPr>
            </w:pPr>
            <w:r w:rsidRPr="008E65F1">
              <w:rPr>
                <w:lang w:val="en-AU"/>
              </w:rPr>
              <w:t>Event rate/100 patients*</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06EE41AE" w14:textId="77777777" w:rsidR="00EC2D5E" w:rsidRPr="008E65F1" w:rsidRDefault="00EC2D5E" w:rsidP="00052ED2">
            <w:pPr>
              <w:pStyle w:val="In-tableHeading"/>
              <w:jc w:val="center"/>
              <w:rPr>
                <w:lang w:val="en-AU"/>
              </w:rPr>
            </w:pPr>
            <w:r w:rsidRPr="008E65F1">
              <w:rPr>
                <w:lang w:val="en-AU"/>
              </w:rPr>
              <w:t>RD</w:t>
            </w:r>
            <w:r w:rsidRPr="008E65F1">
              <w:rPr>
                <w:vertAlign w:val="superscript"/>
                <w:lang w:val="en-AU"/>
              </w:rPr>
              <w:t>#</w:t>
            </w:r>
          </w:p>
          <w:p w14:paraId="7D5A7764" w14:textId="77777777" w:rsidR="00EC2D5E" w:rsidRPr="008E65F1" w:rsidRDefault="00EC2D5E" w:rsidP="00052ED2">
            <w:pPr>
              <w:pStyle w:val="In-tableHeading"/>
              <w:jc w:val="center"/>
              <w:rPr>
                <w:lang w:val="en-AU"/>
              </w:rPr>
            </w:pPr>
            <w:r w:rsidRPr="008E65F1">
              <w:rPr>
                <w:lang w:val="en-AU"/>
              </w:rPr>
              <w:t>(95% CI)</w:t>
            </w:r>
          </w:p>
        </w:tc>
      </w:tr>
      <w:tr w:rsidR="00EC2D5E" w:rsidRPr="008E65F1" w14:paraId="6CE03FA4" w14:textId="77777777" w:rsidTr="0035108E">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C8B62" w14:textId="77777777" w:rsidR="00EC2D5E" w:rsidRPr="008E65F1" w:rsidRDefault="00EC2D5E" w:rsidP="00052ED2">
            <w:pPr>
              <w:keepNext/>
              <w:jc w:val="left"/>
              <w:rPr>
                <w:rFonts w:ascii="Arial Narrow" w:eastAsiaTheme="majorEastAsia" w:hAnsi="Arial Narrow" w:cs="Times New Roman"/>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4BF33D"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BF2D52" w14:textId="77777777" w:rsidR="00EC2D5E" w:rsidRPr="008E65F1" w:rsidRDefault="00EC2D5E" w:rsidP="00052ED2">
            <w:pPr>
              <w:keepNext/>
              <w:jc w:val="left"/>
              <w:rPr>
                <w:rFonts w:ascii="Arial Narrow" w:eastAsiaTheme="majorEastAsia" w:hAnsi="Arial Narrow" w:cs="Times New Roman"/>
                <w:b/>
                <w:sz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3A8B8B" w14:textId="77777777" w:rsidR="00EC2D5E" w:rsidRPr="008E65F1" w:rsidRDefault="00EC2D5E" w:rsidP="00052ED2">
            <w:pPr>
              <w:keepNext/>
              <w:jc w:val="left"/>
              <w:rPr>
                <w:rFonts w:ascii="Arial Narrow" w:eastAsiaTheme="majorEastAsia" w:hAnsi="Arial Narrow" w:cs="Times New Roman"/>
                <w:b/>
                <w:sz w:val="20"/>
              </w:rPr>
            </w:pPr>
          </w:p>
        </w:tc>
        <w:tc>
          <w:tcPr>
            <w:tcW w:w="548" w:type="pct"/>
            <w:tcBorders>
              <w:top w:val="single" w:sz="4" w:space="0" w:color="auto"/>
              <w:left w:val="single" w:sz="4" w:space="0" w:color="auto"/>
              <w:bottom w:val="single" w:sz="4" w:space="0" w:color="auto"/>
              <w:right w:val="single" w:sz="4" w:space="0" w:color="auto"/>
            </w:tcBorders>
            <w:vAlign w:val="center"/>
            <w:hideMark/>
          </w:tcPr>
          <w:p w14:paraId="5E08046C" w14:textId="77777777" w:rsidR="00EC2D5E" w:rsidRPr="008E65F1" w:rsidRDefault="00EC2D5E" w:rsidP="00052ED2">
            <w:pPr>
              <w:pStyle w:val="In-tableHeading"/>
              <w:jc w:val="center"/>
              <w:rPr>
                <w:lang w:val="en-AU"/>
              </w:rPr>
            </w:pPr>
            <w:r w:rsidRPr="008E65F1">
              <w:rPr>
                <w:lang w:val="en-AU"/>
              </w:rPr>
              <w:t xml:space="preserve">Burosumab </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49E9486" w14:textId="77777777" w:rsidR="00EC2D5E" w:rsidRPr="008E65F1" w:rsidRDefault="00EC2D5E" w:rsidP="00052ED2">
            <w:pPr>
              <w:pStyle w:val="In-tableHeading"/>
              <w:jc w:val="center"/>
              <w:rPr>
                <w:lang w:val="en-AU"/>
              </w:rPr>
            </w:pPr>
            <w:r w:rsidRPr="008E65F1">
              <w:rPr>
                <w:lang w:val="en-AU"/>
              </w:rPr>
              <w:t>Placebo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4CB19" w14:textId="77777777" w:rsidR="00EC2D5E" w:rsidRPr="008E65F1" w:rsidRDefault="00EC2D5E" w:rsidP="00052ED2">
            <w:pPr>
              <w:keepNext/>
              <w:jc w:val="left"/>
              <w:rPr>
                <w:rFonts w:ascii="Arial Narrow" w:eastAsiaTheme="majorEastAsia" w:hAnsi="Arial Narrow" w:cs="Times New Roman"/>
                <w:b/>
                <w:sz w:val="20"/>
              </w:rPr>
            </w:pPr>
          </w:p>
        </w:tc>
      </w:tr>
      <w:tr w:rsidR="00EC2D5E" w:rsidRPr="008E65F1" w14:paraId="5E27CBD4" w14:textId="77777777" w:rsidTr="0035108E">
        <w:tc>
          <w:tcPr>
            <w:tcW w:w="1171" w:type="pct"/>
            <w:tcBorders>
              <w:top w:val="single" w:sz="4" w:space="0" w:color="auto"/>
              <w:left w:val="single" w:sz="4" w:space="0" w:color="auto"/>
              <w:bottom w:val="single" w:sz="4" w:space="0" w:color="auto"/>
              <w:right w:val="single" w:sz="4" w:space="0" w:color="auto"/>
            </w:tcBorders>
            <w:vAlign w:val="center"/>
            <w:hideMark/>
          </w:tcPr>
          <w:p w14:paraId="71F6744F" w14:textId="77777777" w:rsidR="00EC2D5E" w:rsidRPr="008E65F1" w:rsidRDefault="00EC2D5E" w:rsidP="00052ED2">
            <w:pPr>
              <w:pStyle w:val="TableText0"/>
            </w:pPr>
            <w:r w:rsidRPr="008E65F1">
              <w:t>Any AEs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16D8E3AD" w14:textId="77777777" w:rsidR="00EC2D5E" w:rsidRPr="008E65F1" w:rsidRDefault="00EC2D5E" w:rsidP="00052ED2">
            <w:pPr>
              <w:pStyle w:val="TableText0"/>
              <w:jc w:val="center"/>
            </w:pPr>
            <w:r w:rsidRPr="008E65F1">
              <w:t>64/68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19A329C2" w14:textId="77777777" w:rsidR="00EC2D5E" w:rsidRPr="008E65F1" w:rsidRDefault="00EC2D5E" w:rsidP="00052ED2">
            <w:pPr>
              <w:pStyle w:val="TableText0"/>
              <w:jc w:val="center"/>
            </w:pPr>
            <w:r w:rsidRPr="008E65F1">
              <w:t>61/66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2385BD03" w14:textId="77777777" w:rsidR="00EC2D5E" w:rsidRPr="008E65F1" w:rsidRDefault="00EC2D5E" w:rsidP="00052ED2">
            <w:pPr>
              <w:pStyle w:val="TableText0"/>
              <w:jc w:val="center"/>
            </w:pPr>
            <w:r w:rsidRPr="008E65F1">
              <w:t>1.02 (0.93, 1.12)</w:t>
            </w:r>
          </w:p>
        </w:tc>
        <w:tc>
          <w:tcPr>
            <w:tcW w:w="548" w:type="pct"/>
            <w:tcBorders>
              <w:top w:val="single" w:sz="4" w:space="0" w:color="auto"/>
              <w:left w:val="single" w:sz="4" w:space="0" w:color="auto"/>
              <w:bottom w:val="single" w:sz="4" w:space="0" w:color="auto"/>
              <w:right w:val="single" w:sz="4" w:space="0" w:color="auto"/>
            </w:tcBorders>
            <w:vAlign w:val="center"/>
            <w:hideMark/>
          </w:tcPr>
          <w:p w14:paraId="5CB0E525" w14:textId="77777777" w:rsidR="00EC2D5E" w:rsidRPr="008E65F1" w:rsidRDefault="00EC2D5E" w:rsidP="00052ED2">
            <w:pPr>
              <w:pStyle w:val="TableText0"/>
              <w:jc w:val="center"/>
            </w:pPr>
            <w:r w:rsidRPr="008E65F1">
              <w:t>94.1</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09539A1B" w14:textId="77777777" w:rsidR="00EC2D5E" w:rsidRPr="008E65F1" w:rsidRDefault="00EC2D5E" w:rsidP="00052ED2">
            <w:pPr>
              <w:pStyle w:val="TableText0"/>
              <w:jc w:val="center"/>
            </w:pPr>
            <w:r w:rsidRPr="008E65F1">
              <w:t>92.4</w:t>
            </w:r>
          </w:p>
        </w:tc>
        <w:tc>
          <w:tcPr>
            <w:tcW w:w="858" w:type="pct"/>
            <w:tcBorders>
              <w:top w:val="single" w:sz="4" w:space="0" w:color="auto"/>
              <w:left w:val="single" w:sz="4" w:space="0" w:color="auto"/>
              <w:bottom w:val="single" w:sz="4" w:space="0" w:color="auto"/>
              <w:right w:val="single" w:sz="4" w:space="0" w:color="auto"/>
            </w:tcBorders>
            <w:vAlign w:val="center"/>
            <w:hideMark/>
          </w:tcPr>
          <w:p w14:paraId="674BB33B" w14:textId="77777777" w:rsidR="00EC2D5E" w:rsidRPr="008E65F1" w:rsidRDefault="00EC2D5E" w:rsidP="00052ED2">
            <w:pPr>
              <w:pStyle w:val="TableText0"/>
              <w:jc w:val="center"/>
            </w:pPr>
            <w:r w:rsidRPr="008E65F1">
              <w:t>0.02 (-0.07, 0.10)</w:t>
            </w:r>
          </w:p>
        </w:tc>
      </w:tr>
      <w:tr w:rsidR="00EC2D5E" w:rsidRPr="008E65F1" w14:paraId="77D36B92" w14:textId="77777777" w:rsidTr="0035108E">
        <w:tc>
          <w:tcPr>
            <w:tcW w:w="1171" w:type="pct"/>
            <w:tcBorders>
              <w:top w:val="single" w:sz="4" w:space="0" w:color="auto"/>
              <w:left w:val="single" w:sz="4" w:space="0" w:color="auto"/>
              <w:bottom w:val="single" w:sz="4" w:space="0" w:color="auto"/>
              <w:right w:val="single" w:sz="4" w:space="0" w:color="auto"/>
            </w:tcBorders>
            <w:vAlign w:val="center"/>
            <w:hideMark/>
          </w:tcPr>
          <w:p w14:paraId="37C36559" w14:textId="77777777" w:rsidR="00EC2D5E" w:rsidRPr="008E65F1" w:rsidRDefault="00EC2D5E" w:rsidP="00052ED2">
            <w:pPr>
              <w:pStyle w:val="TableText0"/>
            </w:pPr>
            <w:r w:rsidRPr="008E65F1">
              <w:rPr>
                <w:szCs w:val="20"/>
              </w:rPr>
              <w:t>Treatment related AEs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5E13DF4C" w14:textId="77777777" w:rsidR="00EC2D5E" w:rsidRPr="008E65F1" w:rsidRDefault="00EC2D5E" w:rsidP="00052ED2">
            <w:pPr>
              <w:pStyle w:val="TableText0"/>
              <w:jc w:val="center"/>
            </w:pPr>
            <w:r w:rsidRPr="008E65F1">
              <w:t>30/68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3B6A49E4" w14:textId="77777777" w:rsidR="00EC2D5E" w:rsidRPr="008E65F1" w:rsidRDefault="00EC2D5E" w:rsidP="00052ED2">
            <w:pPr>
              <w:pStyle w:val="TableText0"/>
              <w:jc w:val="center"/>
            </w:pPr>
            <w:r w:rsidRPr="008E65F1">
              <w:t>27/66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77A17D27" w14:textId="77777777" w:rsidR="00EC2D5E" w:rsidRPr="008E65F1" w:rsidRDefault="00EC2D5E" w:rsidP="00052ED2">
            <w:pPr>
              <w:pStyle w:val="TableText0"/>
              <w:jc w:val="center"/>
            </w:pPr>
            <w:r w:rsidRPr="008E65F1">
              <w:t>1.08 (0.73, 1.60)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94B2C65" w14:textId="77777777" w:rsidR="00EC2D5E" w:rsidRPr="008E65F1" w:rsidRDefault="00EC2D5E" w:rsidP="00052ED2">
            <w:pPr>
              <w:pStyle w:val="TableText0"/>
              <w:jc w:val="center"/>
            </w:pPr>
            <w:r w:rsidRPr="008E65F1">
              <w:t>44.1</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23F2CF79" w14:textId="77777777" w:rsidR="00EC2D5E" w:rsidRPr="008E65F1" w:rsidRDefault="00EC2D5E" w:rsidP="00052ED2">
            <w:pPr>
              <w:pStyle w:val="TableText0"/>
              <w:jc w:val="center"/>
            </w:pPr>
            <w:r w:rsidRPr="008E65F1">
              <w:t>40.9</w:t>
            </w:r>
          </w:p>
        </w:tc>
        <w:tc>
          <w:tcPr>
            <w:tcW w:w="858" w:type="pct"/>
            <w:tcBorders>
              <w:top w:val="single" w:sz="4" w:space="0" w:color="auto"/>
              <w:left w:val="single" w:sz="4" w:space="0" w:color="auto"/>
              <w:bottom w:val="single" w:sz="4" w:space="0" w:color="auto"/>
              <w:right w:val="single" w:sz="4" w:space="0" w:color="auto"/>
            </w:tcBorders>
            <w:vAlign w:val="center"/>
            <w:hideMark/>
          </w:tcPr>
          <w:p w14:paraId="350E11F3" w14:textId="77777777" w:rsidR="00EC2D5E" w:rsidRPr="008E65F1" w:rsidRDefault="00EC2D5E" w:rsidP="00052ED2">
            <w:pPr>
              <w:pStyle w:val="TableText0"/>
              <w:jc w:val="center"/>
            </w:pPr>
            <w:r w:rsidRPr="008E65F1">
              <w:t>0.03 (-0.14, 0.20)</w:t>
            </w:r>
          </w:p>
        </w:tc>
      </w:tr>
      <w:tr w:rsidR="00EC2D5E" w:rsidRPr="008E65F1" w14:paraId="1C09CB41" w14:textId="77777777" w:rsidTr="0035108E">
        <w:tc>
          <w:tcPr>
            <w:tcW w:w="1171" w:type="pct"/>
            <w:tcBorders>
              <w:top w:val="single" w:sz="4" w:space="0" w:color="auto"/>
              <w:left w:val="single" w:sz="4" w:space="0" w:color="auto"/>
              <w:bottom w:val="single" w:sz="4" w:space="0" w:color="auto"/>
              <w:right w:val="single" w:sz="4" w:space="0" w:color="auto"/>
            </w:tcBorders>
            <w:hideMark/>
          </w:tcPr>
          <w:p w14:paraId="04D2A725" w14:textId="77777777" w:rsidR="00EC2D5E" w:rsidRPr="008E65F1" w:rsidRDefault="00EC2D5E" w:rsidP="00052ED2">
            <w:pPr>
              <w:pStyle w:val="TableText0"/>
            </w:pPr>
            <w:r w:rsidRPr="008E65F1">
              <w:rPr>
                <w:szCs w:val="20"/>
              </w:rPr>
              <w:t>Arthralgia</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2062E786" w14:textId="77777777" w:rsidR="00EC2D5E" w:rsidRPr="008E65F1" w:rsidRDefault="00EC2D5E" w:rsidP="00052ED2">
            <w:pPr>
              <w:pStyle w:val="TableText0"/>
              <w:jc w:val="center"/>
            </w:pPr>
            <w:r w:rsidRPr="008E65F1">
              <w:t>6/68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0D58B22F" w14:textId="77777777" w:rsidR="00EC2D5E" w:rsidRPr="008E65F1" w:rsidRDefault="00EC2D5E" w:rsidP="00052ED2">
            <w:pPr>
              <w:pStyle w:val="TableText0"/>
              <w:jc w:val="center"/>
            </w:pPr>
            <w:r w:rsidRPr="008E65F1">
              <w:t>16/66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1EB878E3" w14:textId="77777777" w:rsidR="00EC2D5E" w:rsidRPr="008E65F1" w:rsidRDefault="00EC2D5E" w:rsidP="00052ED2">
            <w:pPr>
              <w:pStyle w:val="TableText0"/>
              <w:jc w:val="center"/>
              <w:rPr>
                <w:b/>
              </w:rPr>
            </w:pPr>
            <w:r w:rsidRPr="008E65F1">
              <w:rPr>
                <w:b/>
              </w:rPr>
              <w:t>0.36 (0.15, 0.87)</w:t>
            </w:r>
          </w:p>
        </w:tc>
        <w:tc>
          <w:tcPr>
            <w:tcW w:w="548" w:type="pct"/>
            <w:tcBorders>
              <w:top w:val="single" w:sz="4" w:space="0" w:color="auto"/>
              <w:left w:val="single" w:sz="4" w:space="0" w:color="auto"/>
              <w:bottom w:val="single" w:sz="4" w:space="0" w:color="auto"/>
              <w:right w:val="single" w:sz="4" w:space="0" w:color="auto"/>
            </w:tcBorders>
            <w:vAlign w:val="center"/>
            <w:hideMark/>
          </w:tcPr>
          <w:p w14:paraId="26025EB4" w14:textId="77777777" w:rsidR="00EC2D5E" w:rsidRPr="008E65F1" w:rsidRDefault="00EC2D5E" w:rsidP="00052ED2">
            <w:pPr>
              <w:pStyle w:val="TableText0"/>
              <w:jc w:val="center"/>
            </w:pPr>
            <w:r w:rsidRPr="008E65F1">
              <w:t>8.8</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43F7E8BF" w14:textId="77777777" w:rsidR="00EC2D5E" w:rsidRPr="008E65F1" w:rsidRDefault="00EC2D5E" w:rsidP="00052ED2">
            <w:pPr>
              <w:pStyle w:val="TableText0"/>
              <w:jc w:val="center"/>
            </w:pPr>
            <w:r w:rsidRPr="008E65F1">
              <w:t>24.2</w:t>
            </w:r>
          </w:p>
        </w:tc>
        <w:tc>
          <w:tcPr>
            <w:tcW w:w="858" w:type="pct"/>
            <w:tcBorders>
              <w:top w:val="single" w:sz="4" w:space="0" w:color="auto"/>
              <w:left w:val="single" w:sz="4" w:space="0" w:color="auto"/>
              <w:bottom w:val="single" w:sz="4" w:space="0" w:color="auto"/>
              <w:right w:val="single" w:sz="4" w:space="0" w:color="auto"/>
            </w:tcBorders>
            <w:vAlign w:val="center"/>
            <w:hideMark/>
          </w:tcPr>
          <w:p w14:paraId="18A8BA8F" w14:textId="77777777" w:rsidR="00EC2D5E" w:rsidRPr="008E65F1" w:rsidRDefault="00EC2D5E" w:rsidP="00052ED2">
            <w:pPr>
              <w:pStyle w:val="TableText0"/>
              <w:jc w:val="center"/>
              <w:rPr>
                <w:b/>
              </w:rPr>
            </w:pPr>
            <w:r w:rsidRPr="008E65F1">
              <w:rPr>
                <w:b/>
              </w:rPr>
              <w:t>-0.15 (-0.28, -0.03)</w:t>
            </w:r>
          </w:p>
        </w:tc>
      </w:tr>
      <w:tr w:rsidR="00EC2D5E" w:rsidRPr="008E65F1" w14:paraId="2414CD6D" w14:textId="77777777" w:rsidTr="0035108E">
        <w:tc>
          <w:tcPr>
            <w:tcW w:w="1171" w:type="pct"/>
            <w:tcBorders>
              <w:top w:val="single" w:sz="4" w:space="0" w:color="auto"/>
              <w:left w:val="single" w:sz="4" w:space="0" w:color="auto"/>
              <w:bottom w:val="single" w:sz="4" w:space="0" w:color="auto"/>
              <w:right w:val="single" w:sz="4" w:space="0" w:color="auto"/>
            </w:tcBorders>
            <w:hideMark/>
          </w:tcPr>
          <w:p w14:paraId="3EC74525" w14:textId="77777777" w:rsidR="00EC2D5E" w:rsidRPr="008E65F1" w:rsidRDefault="00EC2D5E" w:rsidP="00052ED2">
            <w:pPr>
              <w:pStyle w:val="TableText0"/>
              <w:rPr>
                <w:szCs w:val="20"/>
              </w:rPr>
            </w:pPr>
            <w:r w:rsidRPr="008E65F1">
              <w:rPr>
                <w:szCs w:val="20"/>
              </w:rPr>
              <w:t>Nasopharyngitis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7DB46FAF" w14:textId="77777777" w:rsidR="00EC2D5E" w:rsidRPr="008E65F1" w:rsidRDefault="00EC2D5E" w:rsidP="00052ED2">
            <w:pPr>
              <w:pStyle w:val="TableText0"/>
              <w:jc w:val="center"/>
            </w:pPr>
            <w:r w:rsidRPr="008E65F1">
              <w:t>11/68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0E2D8536"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035C2D2E" w14:textId="77777777" w:rsidR="00EC2D5E" w:rsidRPr="008E65F1" w:rsidRDefault="00EC2D5E" w:rsidP="00052ED2">
            <w:pPr>
              <w:pStyle w:val="TableText0"/>
              <w:jc w:val="center"/>
            </w:pPr>
            <w:r w:rsidRPr="008E65F1">
              <w:t>1.78 (0.70, 4.53)</w:t>
            </w:r>
          </w:p>
        </w:tc>
        <w:tc>
          <w:tcPr>
            <w:tcW w:w="548" w:type="pct"/>
            <w:tcBorders>
              <w:top w:val="single" w:sz="4" w:space="0" w:color="auto"/>
              <w:left w:val="single" w:sz="4" w:space="0" w:color="auto"/>
              <w:bottom w:val="single" w:sz="4" w:space="0" w:color="auto"/>
              <w:right w:val="single" w:sz="4" w:space="0" w:color="auto"/>
            </w:tcBorders>
            <w:vAlign w:val="center"/>
            <w:hideMark/>
          </w:tcPr>
          <w:p w14:paraId="023DF8E9" w14:textId="77777777" w:rsidR="00EC2D5E" w:rsidRPr="008E65F1" w:rsidRDefault="00EC2D5E" w:rsidP="00052ED2">
            <w:pPr>
              <w:pStyle w:val="TableText0"/>
              <w:jc w:val="center"/>
            </w:pPr>
            <w:r w:rsidRPr="008E65F1">
              <w:t>16.2</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1E82A2CB"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14ABF64E" w14:textId="77777777" w:rsidR="00EC2D5E" w:rsidRPr="008E65F1" w:rsidRDefault="00EC2D5E" w:rsidP="00052ED2">
            <w:pPr>
              <w:pStyle w:val="TableText0"/>
              <w:jc w:val="center"/>
            </w:pPr>
            <w:r w:rsidRPr="008E65F1">
              <w:t>0.07 (-0.04, 0.18)</w:t>
            </w:r>
          </w:p>
        </w:tc>
      </w:tr>
      <w:tr w:rsidR="00EC2D5E" w:rsidRPr="008E65F1" w14:paraId="7AD02244" w14:textId="77777777" w:rsidTr="0035108E">
        <w:tc>
          <w:tcPr>
            <w:tcW w:w="1171" w:type="pct"/>
            <w:tcBorders>
              <w:top w:val="single" w:sz="4" w:space="0" w:color="auto"/>
              <w:left w:val="single" w:sz="4" w:space="0" w:color="auto"/>
              <w:bottom w:val="single" w:sz="4" w:space="0" w:color="auto"/>
              <w:right w:val="single" w:sz="4" w:space="0" w:color="auto"/>
            </w:tcBorders>
            <w:hideMark/>
          </w:tcPr>
          <w:p w14:paraId="4D19A630" w14:textId="77777777" w:rsidR="00EC2D5E" w:rsidRPr="008E65F1" w:rsidRDefault="00EC2D5E" w:rsidP="00052ED2">
            <w:pPr>
              <w:pStyle w:val="TableText0"/>
              <w:rPr>
                <w:szCs w:val="20"/>
              </w:rPr>
            </w:pPr>
            <w:r w:rsidRPr="008E65F1">
              <w:rPr>
                <w:szCs w:val="20"/>
              </w:rPr>
              <w:t>Tooth Abscess</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C09663D" w14:textId="77777777" w:rsidR="00EC2D5E" w:rsidRPr="008E65F1" w:rsidRDefault="00EC2D5E" w:rsidP="00052ED2">
            <w:pPr>
              <w:pStyle w:val="TableText0"/>
              <w:jc w:val="center"/>
            </w:pPr>
            <w:r w:rsidRPr="008E65F1">
              <w:t>9/68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3FA41417"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14A39FC8" w14:textId="77777777" w:rsidR="00EC2D5E" w:rsidRPr="008E65F1" w:rsidRDefault="00EC2D5E" w:rsidP="00052ED2">
            <w:pPr>
              <w:pStyle w:val="TableText0"/>
              <w:jc w:val="center"/>
            </w:pPr>
            <w:r w:rsidRPr="008E65F1">
              <w:t>1.46 (0.55, 3.86)</w:t>
            </w:r>
          </w:p>
        </w:tc>
        <w:tc>
          <w:tcPr>
            <w:tcW w:w="548" w:type="pct"/>
            <w:tcBorders>
              <w:top w:val="single" w:sz="4" w:space="0" w:color="auto"/>
              <w:left w:val="single" w:sz="4" w:space="0" w:color="auto"/>
              <w:bottom w:val="single" w:sz="4" w:space="0" w:color="auto"/>
              <w:right w:val="single" w:sz="4" w:space="0" w:color="auto"/>
            </w:tcBorders>
            <w:vAlign w:val="center"/>
            <w:hideMark/>
          </w:tcPr>
          <w:p w14:paraId="643584EF" w14:textId="77777777" w:rsidR="00EC2D5E" w:rsidRPr="008E65F1" w:rsidRDefault="00EC2D5E" w:rsidP="00052ED2">
            <w:pPr>
              <w:pStyle w:val="TableText0"/>
              <w:jc w:val="center"/>
            </w:pPr>
            <w:r w:rsidRPr="008E65F1">
              <w:t>13.2</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7439B763"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653D46C0" w14:textId="77777777" w:rsidR="00EC2D5E" w:rsidRPr="008E65F1" w:rsidRDefault="00EC2D5E" w:rsidP="00052ED2">
            <w:pPr>
              <w:pStyle w:val="TableText0"/>
              <w:jc w:val="center"/>
            </w:pPr>
            <w:r w:rsidRPr="008E65F1">
              <w:t>0.04 (-0.06, 0.15)</w:t>
            </w:r>
          </w:p>
        </w:tc>
      </w:tr>
      <w:tr w:rsidR="00EC2D5E" w:rsidRPr="008E65F1" w14:paraId="732B0FE6" w14:textId="77777777" w:rsidTr="0035108E">
        <w:tc>
          <w:tcPr>
            <w:tcW w:w="1171" w:type="pct"/>
            <w:tcBorders>
              <w:top w:val="single" w:sz="4" w:space="0" w:color="auto"/>
              <w:left w:val="single" w:sz="4" w:space="0" w:color="auto"/>
              <w:bottom w:val="single" w:sz="4" w:space="0" w:color="auto"/>
              <w:right w:val="single" w:sz="4" w:space="0" w:color="auto"/>
            </w:tcBorders>
            <w:hideMark/>
          </w:tcPr>
          <w:p w14:paraId="1DBF87D6" w14:textId="77777777" w:rsidR="00EC2D5E" w:rsidRPr="008E65F1" w:rsidRDefault="00EC2D5E" w:rsidP="00052ED2">
            <w:pPr>
              <w:pStyle w:val="TableText0"/>
              <w:rPr>
                <w:szCs w:val="20"/>
              </w:rPr>
            </w:pPr>
            <w:r w:rsidRPr="008E65F1">
              <w:rPr>
                <w:szCs w:val="20"/>
              </w:rPr>
              <w:t>Back pain</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57CADD67" w14:textId="77777777" w:rsidR="00EC2D5E" w:rsidRPr="008E65F1" w:rsidRDefault="00EC2D5E" w:rsidP="00052ED2">
            <w:pPr>
              <w:pStyle w:val="TableText0"/>
              <w:jc w:val="center"/>
            </w:pPr>
            <w:r w:rsidRPr="008E65F1">
              <w:t>10/68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1C9CAF42" w14:textId="77777777" w:rsidR="00EC2D5E" w:rsidRPr="008E65F1" w:rsidRDefault="00EC2D5E" w:rsidP="00052ED2">
            <w:pPr>
              <w:pStyle w:val="TableText0"/>
              <w:jc w:val="center"/>
            </w:pPr>
            <w:r w:rsidRPr="008E65F1">
              <w:t>6/66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41FC2D99" w14:textId="77777777" w:rsidR="00EC2D5E" w:rsidRPr="008E65F1" w:rsidRDefault="00EC2D5E" w:rsidP="00052ED2">
            <w:pPr>
              <w:pStyle w:val="TableText0"/>
              <w:jc w:val="center"/>
            </w:pPr>
            <w:r w:rsidRPr="008E65F1">
              <w:t>1.62 (0.62, 4.20)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26E3063" w14:textId="77777777" w:rsidR="00EC2D5E" w:rsidRPr="008E65F1" w:rsidRDefault="00EC2D5E" w:rsidP="00052ED2">
            <w:pPr>
              <w:pStyle w:val="TableText0"/>
              <w:jc w:val="center"/>
            </w:pPr>
            <w:r w:rsidRPr="008E65F1">
              <w:t>14.7</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5842E55C" w14:textId="77777777" w:rsidR="00EC2D5E" w:rsidRPr="008E65F1" w:rsidRDefault="00EC2D5E" w:rsidP="00052ED2">
            <w:pPr>
              <w:pStyle w:val="TableText0"/>
              <w:jc w:val="center"/>
            </w:pPr>
            <w:r w:rsidRPr="008E65F1">
              <w:t>9.1</w:t>
            </w:r>
          </w:p>
        </w:tc>
        <w:tc>
          <w:tcPr>
            <w:tcW w:w="858" w:type="pct"/>
            <w:tcBorders>
              <w:top w:val="single" w:sz="4" w:space="0" w:color="auto"/>
              <w:left w:val="single" w:sz="4" w:space="0" w:color="auto"/>
              <w:bottom w:val="single" w:sz="4" w:space="0" w:color="auto"/>
              <w:right w:val="single" w:sz="4" w:space="0" w:color="auto"/>
            </w:tcBorders>
            <w:vAlign w:val="center"/>
            <w:hideMark/>
          </w:tcPr>
          <w:p w14:paraId="1965D863" w14:textId="77777777" w:rsidR="00EC2D5E" w:rsidRPr="008E65F1" w:rsidRDefault="00EC2D5E" w:rsidP="00052ED2">
            <w:pPr>
              <w:pStyle w:val="TableText0"/>
              <w:jc w:val="center"/>
            </w:pPr>
            <w:r w:rsidRPr="008E65F1">
              <w:t>0.06 (-0.05, 0.17)</w:t>
            </w:r>
          </w:p>
        </w:tc>
      </w:tr>
      <w:tr w:rsidR="00EC2D5E" w:rsidRPr="008E65F1" w14:paraId="3AF6B25D" w14:textId="77777777" w:rsidTr="0035108E">
        <w:tc>
          <w:tcPr>
            <w:tcW w:w="1171" w:type="pct"/>
            <w:tcBorders>
              <w:top w:val="single" w:sz="4" w:space="0" w:color="auto"/>
              <w:left w:val="single" w:sz="4" w:space="0" w:color="auto"/>
              <w:bottom w:val="single" w:sz="4" w:space="0" w:color="auto"/>
              <w:right w:val="single" w:sz="4" w:space="0" w:color="auto"/>
            </w:tcBorders>
            <w:vAlign w:val="center"/>
            <w:hideMark/>
          </w:tcPr>
          <w:p w14:paraId="560DE4C3" w14:textId="77777777" w:rsidR="00EC2D5E" w:rsidRPr="008E65F1" w:rsidRDefault="00EC2D5E" w:rsidP="00052ED2">
            <w:pPr>
              <w:pStyle w:val="TableText0"/>
              <w:rPr>
                <w:szCs w:val="20"/>
              </w:rPr>
            </w:pPr>
            <w:r w:rsidRPr="008E65F1">
              <w:rPr>
                <w:szCs w:val="20"/>
              </w:rPr>
              <w:t>AEs of interest: injection site reaction</w:t>
            </w: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14:paraId="6E0DF091" w14:textId="77777777" w:rsidR="00EC2D5E" w:rsidRPr="008E65F1" w:rsidRDefault="00EC2D5E" w:rsidP="00052ED2">
            <w:pPr>
              <w:pStyle w:val="TableText0"/>
              <w:jc w:val="center"/>
            </w:pPr>
            <w:r w:rsidRPr="008E65F1">
              <w:t>8/68</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27D2E1D0" w14:textId="77777777" w:rsidR="00EC2D5E" w:rsidRPr="008E65F1" w:rsidRDefault="00EC2D5E" w:rsidP="00052ED2">
            <w:pPr>
              <w:pStyle w:val="TableText0"/>
              <w:jc w:val="center"/>
            </w:pPr>
            <w:r w:rsidRPr="008E65F1">
              <w:t>8/66</w:t>
            </w:r>
          </w:p>
        </w:tc>
        <w:tc>
          <w:tcPr>
            <w:tcW w:w="780" w:type="pct"/>
            <w:gridSpan w:val="2"/>
            <w:tcBorders>
              <w:top w:val="single" w:sz="4" w:space="0" w:color="auto"/>
              <w:left w:val="single" w:sz="4" w:space="0" w:color="auto"/>
              <w:bottom w:val="single" w:sz="4" w:space="0" w:color="auto"/>
              <w:right w:val="single" w:sz="4" w:space="0" w:color="auto"/>
            </w:tcBorders>
            <w:vAlign w:val="center"/>
            <w:hideMark/>
          </w:tcPr>
          <w:p w14:paraId="602DBB35" w14:textId="77777777" w:rsidR="00EC2D5E" w:rsidRPr="008E65F1" w:rsidRDefault="00EC2D5E" w:rsidP="00052ED2">
            <w:pPr>
              <w:pStyle w:val="TableText0"/>
              <w:jc w:val="center"/>
            </w:pPr>
            <w:r w:rsidRPr="008E65F1">
              <w:t>0.97 (0.39, 2.43)</w:t>
            </w:r>
          </w:p>
        </w:tc>
        <w:tc>
          <w:tcPr>
            <w:tcW w:w="548" w:type="pct"/>
            <w:tcBorders>
              <w:top w:val="single" w:sz="4" w:space="0" w:color="auto"/>
              <w:left w:val="single" w:sz="4" w:space="0" w:color="auto"/>
              <w:bottom w:val="single" w:sz="4" w:space="0" w:color="auto"/>
              <w:right w:val="single" w:sz="4" w:space="0" w:color="auto"/>
            </w:tcBorders>
            <w:vAlign w:val="center"/>
            <w:hideMark/>
          </w:tcPr>
          <w:p w14:paraId="5573C781" w14:textId="77777777" w:rsidR="00EC2D5E" w:rsidRPr="008E65F1" w:rsidRDefault="00EC2D5E" w:rsidP="00052ED2">
            <w:pPr>
              <w:pStyle w:val="TableText0"/>
              <w:jc w:val="center"/>
            </w:pPr>
            <w:r w:rsidRPr="008E65F1">
              <w:t>11.8</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14:paraId="55B9853E" w14:textId="77777777" w:rsidR="00EC2D5E" w:rsidRPr="008E65F1" w:rsidRDefault="00EC2D5E" w:rsidP="00052ED2">
            <w:pPr>
              <w:pStyle w:val="TableText0"/>
              <w:jc w:val="center"/>
            </w:pPr>
            <w:r w:rsidRPr="008E65F1">
              <w:t>12.1</w:t>
            </w:r>
          </w:p>
        </w:tc>
        <w:tc>
          <w:tcPr>
            <w:tcW w:w="858" w:type="pct"/>
            <w:tcBorders>
              <w:top w:val="single" w:sz="4" w:space="0" w:color="auto"/>
              <w:left w:val="single" w:sz="4" w:space="0" w:color="auto"/>
              <w:bottom w:val="single" w:sz="4" w:space="0" w:color="auto"/>
              <w:right w:val="single" w:sz="4" w:space="0" w:color="auto"/>
            </w:tcBorders>
            <w:vAlign w:val="center"/>
            <w:hideMark/>
          </w:tcPr>
          <w:p w14:paraId="49396C25" w14:textId="77777777" w:rsidR="00EC2D5E" w:rsidRPr="008E65F1" w:rsidRDefault="00EC2D5E" w:rsidP="00052ED2">
            <w:pPr>
              <w:pStyle w:val="TableText0"/>
              <w:jc w:val="center"/>
            </w:pPr>
            <w:r w:rsidRPr="008E65F1">
              <w:t>-0.00 (-0.11, 0.11)</w:t>
            </w:r>
          </w:p>
        </w:tc>
      </w:tr>
    </w:tbl>
    <w:p w14:paraId="25257B58" w14:textId="5790EC91" w:rsidR="00EC2D5E" w:rsidRDefault="00EC2D5E" w:rsidP="00EC2D5E">
      <w:pPr>
        <w:pStyle w:val="TableFigureFooter"/>
        <w:rPr>
          <w:sz w:val="20"/>
        </w:rPr>
      </w:pPr>
      <w:r w:rsidRPr="008E65F1">
        <w:t>Source: Compiled during the evaluation from Table 2-26, p153, Tables 2-70 to 2-73, pp158-162, Table 2-116, p229, Table 2-118, p230 and</w:t>
      </w:r>
      <w:r>
        <w:t xml:space="preserve"> Table 2-120, p233 of the </w:t>
      </w:r>
      <w:r w:rsidR="00C86DB7">
        <w:t>re</w:t>
      </w:r>
      <w:r>
        <w:t>submission.</w:t>
      </w:r>
    </w:p>
    <w:p w14:paraId="29F9A57A" w14:textId="77777777" w:rsidR="00EC2D5E" w:rsidRDefault="00EC2D5E" w:rsidP="00EC2D5E">
      <w:pPr>
        <w:pStyle w:val="TableFigureFooter"/>
      </w:pPr>
      <w:r>
        <w:t xml:space="preserve">AE=adverse events; BALP=bone specific alkaline phosphatase; BPI=brief pain inventory; CTx=carboxy-terminal cross-linked telopeptide of type I collagen; </w:t>
      </w:r>
      <w:r>
        <w:rPr>
          <w:szCs w:val="18"/>
        </w:rPr>
        <w:t>LS=least squares; P1NP=procollagen type 1 N-propeptide;</w:t>
      </w:r>
      <w:r>
        <w:t xml:space="preserve"> </w:t>
      </w:r>
      <w:r>
        <w:rPr>
          <w:szCs w:val="18"/>
        </w:rPr>
        <w:t xml:space="preserve">PD=pharmacodynamic; </w:t>
      </w:r>
      <w:r>
        <w:t>RD=risk difference; RR=risk ratio; TEAE=treatment emergent adverse event; TmP/GFR=ratio of renal tubular maximum reabsorption rate of phosphate (TmP) to glomerular filtration rate (GFR); WOMAC=Western Ontario and McMaster Universities Osteoarthritis Index; 25(OH)2D=1,25 dihydroxy-Vitamin D; 6MWT=Six-minute Walk Test; Q4W=every 4 weeks;</w:t>
      </w:r>
    </w:p>
    <w:p w14:paraId="403FF360" w14:textId="77777777" w:rsidR="00BD7F7A" w:rsidRPr="008E65F1" w:rsidRDefault="00BD7F7A" w:rsidP="00BD7F7A">
      <w:pPr>
        <w:pStyle w:val="TableFigureFooter"/>
        <w:ind w:left="165" w:hanging="165"/>
        <w:rPr>
          <w:szCs w:val="18"/>
        </w:rPr>
      </w:pPr>
      <w:r w:rsidRPr="008E65F1">
        <w:rPr>
          <w:szCs w:val="18"/>
        </w:rPr>
        <w:t>^</w:t>
      </w:r>
      <w:r w:rsidRPr="008E65F1">
        <w:rPr>
          <w:szCs w:val="18"/>
        </w:rPr>
        <w:tab/>
        <w:t>The resubmission presented the results as LS mean (SE) difference.</w:t>
      </w:r>
    </w:p>
    <w:p w14:paraId="694E103C" w14:textId="12C1CB77" w:rsidR="00EC2D5E" w:rsidRDefault="00EC2D5E" w:rsidP="00EC2D5E">
      <w:pPr>
        <w:pStyle w:val="TableFigureFooter"/>
        <w:ind w:left="165" w:hanging="165"/>
        <w:rPr>
          <w:szCs w:val="18"/>
        </w:rPr>
      </w:pPr>
      <w:r>
        <w:rPr>
          <w:szCs w:val="18"/>
        </w:rPr>
        <w:t>*</w:t>
      </w:r>
      <w:r>
        <w:rPr>
          <w:szCs w:val="18"/>
        </w:rPr>
        <w:tab/>
        <w:t>CL303 included three treatment periods: placebo-controlled treatment period (Weeks 0 to 24) and open-label treatment extension period I (to Week 96) and open-label treatment extension period II (to 149 weeks for some patients in US and EU). All patients received BUR Q4W after Week 24 to Week 96 EOS I (or Week 149 EOS II)).</w:t>
      </w:r>
    </w:p>
    <w:p w14:paraId="7423BB54" w14:textId="3EB15776" w:rsidR="00EC2D5E" w:rsidRPr="008E65F1" w:rsidRDefault="00EC2D5E" w:rsidP="00EC2D5E">
      <w:pPr>
        <w:pStyle w:val="TableFigureFooter"/>
        <w:ind w:left="165" w:hanging="165"/>
      </w:pPr>
      <w:r w:rsidRPr="008E65F1">
        <w:t>#</w:t>
      </w:r>
      <w:r w:rsidRPr="008E65F1">
        <w:tab/>
      </w:r>
      <w:r w:rsidR="00BD7F7A">
        <w:t>E</w:t>
      </w:r>
      <w:r w:rsidRPr="008E65F1">
        <w:t>stimated during the evaluation using RevMan version 5.</w:t>
      </w:r>
    </w:p>
    <w:p w14:paraId="19D66BA5" w14:textId="77777777" w:rsidR="00EC2D5E" w:rsidRDefault="00EC2D5E" w:rsidP="00EC2D5E">
      <w:pPr>
        <w:pStyle w:val="TableFigureFooter"/>
        <w:ind w:left="165" w:hanging="165"/>
        <w:rPr>
          <w:szCs w:val="18"/>
        </w:rPr>
      </w:pPr>
    </w:p>
    <w:p w14:paraId="51EC6298" w14:textId="77777777" w:rsidR="00EC2D5E" w:rsidRPr="008E65F1" w:rsidRDefault="00EC2D5E" w:rsidP="0073079A">
      <w:pPr>
        <w:pStyle w:val="3-BodyText"/>
        <w:snapToGrid w:val="0"/>
      </w:pPr>
      <w:r w:rsidRPr="008E65F1">
        <w:t>On the basis of direct evidence presented in the resubmission in adults between ages 18 and 65 years, for every 100 patients treated with burosumab Q4W versus placebo would result in:</w:t>
      </w:r>
    </w:p>
    <w:p w14:paraId="748F5042" w14:textId="072F018E" w:rsidR="00EC2D5E" w:rsidRPr="008E65F1" w:rsidRDefault="00EC2D5E" w:rsidP="001A2C4E">
      <w:pPr>
        <w:pStyle w:val="ListParagraph"/>
        <w:numPr>
          <w:ilvl w:val="0"/>
          <w:numId w:val="9"/>
        </w:numPr>
        <w:snapToGrid w:val="0"/>
        <w:ind w:left="1080"/>
      </w:pPr>
      <w:r w:rsidRPr="008E65F1">
        <w:lastRenderedPageBreak/>
        <w:t>an approximate +19.8</w:t>
      </w:r>
      <w:r w:rsidR="00E77687">
        <w:t xml:space="preserve"> metre</w:t>
      </w:r>
      <w:r w:rsidRPr="008E65F1">
        <w:t xml:space="preserve"> improvement in 6MWT at Week 24. However, the difference may not be clinically relevant given the estimate was below the MCID for 6MWT of 31 metres in adults.</w:t>
      </w:r>
    </w:p>
    <w:p w14:paraId="3906FB86" w14:textId="315B475B" w:rsidR="00EC2D5E" w:rsidRPr="008E65F1" w:rsidRDefault="00EC2D5E" w:rsidP="001A2C4E">
      <w:pPr>
        <w:pStyle w:val="ListParagraph"/>
        <w:numPr>
          <w:ilvl w:val="0"/>
          <w:numId w:val="9"/>
        </w:numPr>
        <w:snapToGrid w:val="0"/>
        <w:ind w:left="1080"/>
      </w:pPr>
      <w:r w:rsidRPr="008E65F1">
        <w:t xml:space="preserve">an approximate 0.40 mg/dL, 5.7 pg/mL and 0.43 mg/dL improvement in serum phosphorus, serum 1,25(OH)2D and phosphate reabsorption (TmP/GFR) respectively at Week 24. However, it was not known whether these differences in </w:t>
      </w:r>
      <w:r w:rsidR="00C8585A">
        <w:t>biochemical</w:t>
      </w:r>
      <w:r w:rsidR="00C8585A" w:rsidRPr="008E65F1">
        <w:t xml:space="preserve"> </w:t>
      </w:r>
      <w:r w:rsidRPr="008E65F1">
        <w:t>outcomes are clinically meaningful.</w:t>
      </w:r>
    </w:p>
    <w:p w14:paraId="5BEC0DC8" w14:textId="77777777" w:rsidR="00EC2D5E" w:rsidRPr="008E65F1" w:rsidRDefault="00EC2D5E" w:rsidP="001A2C4E">
      <w:pPr>
        <w:pStyle w:val="ListParagraph"/>
        <w:numPr>
          <w:ilvl w:val="0"/>
          <w:numId w:val="9"/>
        </w:numPr>
        <w:snapToGrid w:val="0"/>
        <w:ind w:left="1080"/>
      </w:pPr>
      <w:r w:rsidRPr="008E65F1">
        <w:t xml:space="preserve">an approximate 61.9 ng/mL, 190.2 pg/mL and 4.4 </w:t>
      </w:r>
      <w:r w:rsidRPr="008E65F1">
        <w:rPr>
          <w:rFonts w:ascii="Arial Narrow" w:hAnsi="Arial Narrow"/>
        </w:rPr>
        <w:t>µ</w:t>
      </w:r>
      <w:r w:rsidRPr="008E65F1">
        <w:t>g/L improvement in P1NP, CTx and BALP respectively at Week 24. However, it was not known whether these differences in bone biomarkers are clinically meaningful.</w:t>
      </w:r>
    </w:p>
    <w:p w14:paraId="09D9A426" w14:textId="76EBBE5C" w:rsidR="00EC2D5E" w:rsidRPr="008E65F1" w:rsidRDefault="00EC2D5E" w:rsidP="001A2C4E">
      <w:pPr>
        <w:pStyle w:val="ListParagraph"/>
        <w:numPr>
          <w:ilvl w:val="0"/>
          <w:numId w:val="9"/>
        </w:numPr>
        <w:snapToGrid w:val="0"/>
        <w:ind w:left="1080"/>
      </w:pPr>
      <w:r w:rsidRPr="008E65F1">
        <w:t>an approximate -4.90, -8.31 and -0.46 improvement in WOMAC physical function, WOMAC stiffness and BPI worst pain score respectively at Week 24. The mean difference in WOMAC stiffness may not be clinically meaningful given the point estimate was below the estimated MCID for WOMAC stiffness</w:t>
      </w:r>
      <w:r w:rsidR="00C8585A">
        <w:t xml:space="preserve"> score</w:t>
      </w:r>
      <w:r w:rsidRPr="008E65F1">
        <w:t xml:space="preserve"> of 10 points.</w:t>
      </w:r>
    </w:p>
    <w:p w14:paraId="7D7B0E42" w14:textId="77777777" w:rsidR="00EC2D5E" w:rsidRPr="008E65F1" w:rsidRDefault="00EC2D5E" w:rsidP="001A2C4E">
      <w:pPr>
        <w:pStyle w:val="ListParagraph"/>
        <w:numPr>
          <w:ilvl w:val="0"/>
          <w:numId w:val="9"/>
        </w:numPr>
        <w:snapToGrid w:val="0"/>
        <w:ind w:left="1080"/>
      </w:pPr>
      <w:r w:rsidRPr="008E65F1">
        <w:t>approximately 2 more patients experiencing any AE, 3 more patients experience treatment related AEs over 24 weeks.</w:t>
      </w:r>
    </w:p>
    <w:p w14:paraId="27283FF1" w14:textId="36A65DD8" w:rsidR="00EC2D5E" w:rsidRPr="008E65F1" w:rsidRDefault="00EC2D5E" w:rsidP="001A2C4E">
      <w:pPr>
        <w:pStyle w:val="ListParagraph"/>
        <w:numPr>
          <w:ilvl w:val="0"/>
          <w:numId w:val="9"/>
        </w:numPr>
        <w:snapToGrid w:val="0"/>
        <w:ind w:left="1080"/>
      </w:pPr>
      <w:r w:rsidRPr="008E65F1">
        <w:t>approximately 15 fewer patients experiencing arthralgia, 7 more patients experiencing nasopharyngitis, 4 more patients tooth abscess, 6 more patients experiencing back pain, and 0 patients experiencing injection site reaction AEs over 24 weeks.</w:t>
      </w:r>
    </w:p>
    <w:p w14:paraId="7EA8419A" w14:textId="51E53BFA" w:rsidR="00CE76B8" w:rsidRPr="00C9624D" w:rsidRDefault="00CE76B8" w:rsidP="00E9094A">
      <w:pPr>
        <w:pStyle w:val="4-SubsectionHeading"/>
      </w:pPr>
      <w:bookmarkStart w:id="46" w:name="_Toc93406133"/>
      <w:r w:rsidRPr="00C9624D">
        <w:t>Clinical claim</w:t>
      </w:r>
      <w:bookmarkEnd w:id="33"/>
      <w:bookmarkEnd w:id="34"/>
      <w:bookmarkEnd w:id="46"/>
    </w:p>
    <w:p w14:paraId="468B8ACC" w14:textId="77777777" w:rsidR="00A15C7C" w:rsidRPr="00C02677" w:rsidRDefault="00A15C7C" w:rsidP="00A15C7C">
      <w:pPr>
        <w:pStyle w:val="3-BodyText"/>
        <w:numPr>
          <w:ilvl w:val="0"/>
          <w:numId w:val="0"/>
        </w:numPr>
        <w:rPr>
          <w:b/>
          <w:bCs/>
        </w:rPr>
      </w:pPr>
      <w:r w:rsidRPr="00C02677">
        <w:rPr>
          <w:b/>
          <w:bCs/>
        </w:rPr>
        <w:t>Paediatrics</w:t>
      </w:r>
    </w:p>
    <w:p w14:paraId="5F5780B9" w14:textId="4E5428DC" w:rsidR="00EC2D5E" w:rsidRPr="001A2C4E" w:rsidRDefault="00EC2D5E" w:rsidP="0073079A">
      <w:pPr>
        <w:pStyle w:val="3-BodyText"/>
        <w:snapToGrid w:val="0"/>
      </w:pPr>
      <w:r w:rsidRPr="001A2C4E">
        <w:t xml:space="preserve">In paediatric patients with XLH, the resubmission described burosumab as superior in terms of effectiveness and superior (and different) in terms of safety compared to conventional therapy comprising oral phosphate and active vitamin D. </w:t>
      </w:r>
      <w:r w:rsidR="00A15C7C">
        <w:t>A</w:t>
      </w:r>
      <w:r w:rsidRPr="001A2C4E">
        <w:t>t the March 2021 meeting, the PBAC considered the clinical claim of superior effectiveness was reasonable</w:t>
      </w:r>
      <w:r w:rsidR="00A15C7C">
        <w:t>;</w:t>
      </w:r>
      <w:r w:rsidRPr="001A2C4E">
        <w:t xml:space="preserve"> however</w:t>
      </w:r>
      <w:r w:rsidR="00A15C7C">
        <w:t>,</w:t>
      </w:r>
      <w:r w:rsidRPr="001A2C4E">
        <w:t xml:space="preserve"> the claim of superior (and different) comparative safety was not adequately supported by the data (paragraphs 6.37 and 6.39, burosumab PSD</w:t>
      </w:r>
      <w:r w:rsidR="00C47542">
        <w:t>,</w:t>
      </w:r>
      <w:r w:rsidRPr="001A2C4E">
        <w:t xml:space="preserve"> March 2021).</w:t>
      </w:r>
    </w:p>
    <w:p w14:paraId="3AF2348A" w14:textId="093E82A3" w:rsidR="00EC2D5E" w:rsidRPr="001A2C4E" w:rsidRDefault="00A6488C" w:rsidP="0073079A">
      <w:pPr>
        <w:pStyle w:val="3-BodyText"/>
        <w:snapToGrid w:val="0"/>
      </w:pPr>
      <w:r w:rsidRPr="001A2C4E">
        <w:t xml:space="preserve">Overall, the </w:t>
      </w:r>
      <w:r w:rsidR="00833499">
        <w:t>PBAC</w:t>
      </w:r>
      <w:r w:rsidR="00833499" w:rsidRPr="001A2C4E">
        <w:t xml:space="preserve"> </w:t>
      </w:r>
      <w:r w:rsidR="00A15C7C">
        <w:t xml:space="preserve">again </w:t>
      </w:r>
      <w:r w:rsidRPr="001A2C4E">
        <w:t xml:space="preserve">considered that </w:t>
      </w:r>
      <w:r w:rsidR="00EC2D5E" w:rsidRPr="001A2C4E">
        <w:t>the clinical claim for effectiveness of burosumab in children was supported by the clinical evidence</w:t>
      </w:r>
      <w:r w:rsidRPr="001A2C4E">
        <w:t>, but noted</w:t>
      </w:r>
      <w:r w:rsidR="00EC2D5E" w:rsidRPr="001A2C4E">
        <w:t xml:space="preserve"> the following issues:</w:t>
      </w:r>
    </w:p>
    <w:p w14:paraId="78D66B38" w14:textId="35858E76" w:rsidR="00EC2D5E" w:rsidRPr="001A2C4E" w:rsidRDefault="00A15C7C" w:rsidP="001A2C4E">
      <w:pPr>
        <w:pStyle w:val="ListParagraph"/>
        <w:numPr>
          <w:ilvl w:val="0"/>
          <w:numId w:val="9"/>
        </w:numPr>
        <w:snapToGrid w:val="0"/>
        <w:ind w:left="1080"/>
      </w:pPr>
      <w:r>
        <w:t>t</w:t>
      </w:r>
      <w:r w:rsidR="00EC2D5E" w:rsidRPr="001A2C4E">
        <w:t>he studies were small and were limited to children aged 1-12 years, with XLH by RSS (≥ 1.5) who have received prior conventional therapy. The proposed population included paediatrics under the age of 18 years.</w:t>
      </w:r>
    </w:p>
    <w:p w14:paraId="54DC426C" w14:textId="76D43106" w:rsidR="00EC2D5E" w:rsidRPr="001A2C4E" w:rsidRDefault="00762FEA" w:rsidP="001A2C4E">
      <w:pPr>
        <w:pStyle w:val="ListParagraph"/>
        <w:numPr>
          <w:ilvl w:val="0"/>
          <w:numId w:val="9"/>
        </w:numPr>
        <w:snapToGrid w:val="0"/>
        <w:ind w:left="1080"/>
      </w:pPr>
      <w:r w:rsidRPr="001A2C4E">
        <w:t>a</w:t>
      </w:r>
      <w:r w:rsidR="00EC2D5E" w:rsidRPr="001A2C4E">
        <w:t xml:space="preserve">lthough the mean difference in RGI-C and RSS at Weeks 40 and 64 were statistically significant for burosumab Q2W compared to conventional therapy, </w:t>
      </w:r>
      <w:r w:rsidR="00EC2D5E" w:rsidRPr="001A2C4E">
        <w:lastRenderedPageBreak/>
        <w:t>the differences may not be clinically meaningful given the lack of established MCIDs. Patient relevant outcomes (e.g. growth, function, pain and quality of life) were secondary outcomes.</w:t>
      </w:r>
    </w:p>
    <w:p w14:paraId="34A4AD9D" w14:textId="0DB0600F" w:rsidR="00CE76B8" w:rsidRPr="001A2C4E" w:rsidRDefault="00EC2D5E" w:rsidP="00CE76B8">
      <w:pPr>
        <w:pStyle w:val="3-BodyText"/>
      </w:pPr>
      <w:r w:rsidRPr="001A2C4E">
        <w:t xml:space="preserve">In terms of </w:t>
      </w:r>
      <w:r w:rsidR="00F4629F" w:rsidRPr="001A2C4E">
        <w:t xml:space="preserve">the </w:t>
      </w:r>
      <w:r w:rsidRPr="001A2C4E">
        <w:t xml:space="preserve">safety claim for paediatric patients, the PBAC </w:t>
      </w:r>
      <w:r w:rsidR="00FF1C6A" w:rsidRPr="001A2C4E">
        <w:t xml:space="preserve">previously </w:t>
      </w:r>
      <w:r w:rsidRPr="001A2C4E">
        <w:t>noted that although the rate of serious AEs and Grade 3 or 4 AEs were similar between burosumab and conventional therapy, burosumab was associated with more dental caries, tooth abscesses, diarrhoea and cough as well as administration site conditions such as pyrexia and that long-term use of conventional therapy is associated with nephrocalcinosis and secondary hyperparathyroidism. “Overall, the PBAC considered that burosumab had a different safety profile compared to conventional therapy with more appreciable short-term side-effects” (</w:t>
      </w:r>
      <w:r w:rsidR="00561427" w:rsidRPr="001A2C4E">
        <w:t>paragraph</w:t>
      </w:r>
      <w:r w:rsidRPr="001A2C4E">
        <w:t xml:space="preserve"> 7.9, burosumab PSD</w:t>
      </w:r>
      <w:r w:rsidR="00C47542">
        <w:t>,</w:t>
      </w:r>
      <w:r w:rsidRPr="001A2C4E">
        <w:t xml:space="preserve"> March 2021).</w:t>
      </w:r>
      <w:r w:rsidR="00FF1C6A" w:rsidRPr="001A2C4E">
        <w:t xml:space="preserve"> Noting that no significant new safety data were presented, the </w:t>
      </w:r>
      <w:r w:rsidR="00833499">
        <w:t>PBAC</w:t>
      </w:r>
      <w:r w:rsidR="00833499" w:rsidRPr="001A2C4E">
        <w:t xml:space="preserve"> </w:t>
      </w:r>
      <w:r w:rsidR="00FF1C6A" w:rsidRPr="001A2C4E">
        <w:t xml:space="preserve">considered that the claim of superior safety in children </w:t>
      </w:r>
      <w:r w:rsidR="00F719D6">
        <w:t>was</w:t>
      </w:r>
      <w:r w:rsidR="00F719D6" w:rsidRPr="001A2C4E">
        <w:t xml:space="preserve"> </w:t>
      </w:r>
      <w:r w:rsidR="00FF1C6A" w:rsidRPr="001A2C4E">
        <w:t>not supported.</w:t>
      </w:r>
    </w:p>
    <w:p w14:paraId="79CB19BB" w14:textId="13FD19F5" w:rsidR="00A15C7C" w:rsidRPr="004765A2" w:rsidRDefault="00A15C7C" w:rsidP="004765A2">
      <w:pPr>
        <w:rPr>
          <w:b/>
          <w:bCs/>
        </w:rPr>
      </w:pPr>
      <w:r w:rsidRPr="004765A2">
        <w:rPr>
          <w:b/>
          <w:bCs/>
        </w:rPr>
        <w:t>Adults</w:t>
      </w:r>
    </w:p>
    <w:p w14:paraId="454165BB" w14:textId="4C587D48" w:rsidR="00A15C7C" w:rsidRDefault="00A15C7C" w:rsidP="00A15C7C">
      <w:pPr>
        <w:pStyle w:val="3-BodyText"/>
      </w:pPr>
      <w:r w:rsidRPr="001A2C4E">
        <w:t xml:space="preserve">In adult patients with XLH, the resubmission described burosumab as superior in terms of effectiveness and inferior (and acceptable) in terms of safety compared to placebo (and probably conventional therapy). </w:t>
      </w:r>
    </w:p>
    <w:p w14:paraId="70D86AA9" w14:textId="094D6791" w:rsidR="00A15C7C" w:rsidRPr="001A2C4E" w:rsidRDefault="00A15C7C" w:rsidP="00A15C7C">
      <w:pPr>
        <w:pStyle w:val="3-BodyText"/>
      </w:pPr>
      <w:r w:rsidRPr="001A2C4E">
        <w:t xml:space="preserve">Overall, the </w:t>
      </w:r>
      <w:r>
        <w:t>PBAC</w:t>
      </w:r>
      <w:r w:rsidRPr="001A2C4E">
        <w:t xml:space="preserve"> considered that the clinical claim for effectiveness of burosumab in </w:t>
      </w:r>
      <w:r>
        <w:t>adults</w:t>
      </w:r>
      <w:r w:rsidRPr="001A2C4E">
        <w:t xml:space="preserve"> was supported by the clinical evidence, but noted the following issues:</w:t>
      </w:r>
    </w:p>
    <w:p w14:paraId="43399315" w14:textId="454D693C" w:rsidR="00B43A10" w:rsidRDefault="00B43A10" w:rsidP="00A15C7C">
      <w:pPr>
        <w:pStyle w:val="3-BodyText"/>
        <w:numPr>
          <w:ilvl w:val="1"/>
          <w:numId w:val="34"/>
        </w:numPr>
        <w:ind w:left="1077" w:hanging="357"/>
      </w:pPr>
      <w:r>
        <w:t>t</w:t>
      </w:r>
      <w:r w:rsidR="00A15C7C" w:rsidRPr="001A2C4E">
        <w:t>he studies were limited to patients with significant morbidity associated with XLH (e.g. BPI worst pain ≥4) who have received prior conventional therapy and were initiating burosumab treatment in adulthood. The proposed population included adults aged 18 years and above.</w:t>
      </w:r>
      <w:r w:rsidR="00A15C7C">
        <w:t xml:space="preserve"> </w:t>
      </w:r>
    </w:p>
    <w:p w14:paraId="44DFC65D" w14:textId="14EF260C" w:rsidR="00A15C7C" w:rsidRPr="00A15C7C" w:rsidRDefault="00B43A10" w:rsidP="00A15C7C">
      <w:pPr>
        <w:pStyle w:val="3-BodyText"/>
        <w:numPr>
          <w:ilvl w:val="1"/>
          <w:numId w:val="34"/>
        </w:numPr>
        <w:ind w:left="1077" w:hanging="357"/>
      </w:pPr>
      <w:r>
        <w:t>a</w:t>
      </w:r>
      <w:r w:rsidR="00A15C7C" w:rsidRPr="001A2C4E">
        <w:t xml:space="preserve">lthough mean difference in serum PD and bone biomarkers and patient reported outcomes (WOMAC stiffness) were statistically significant at Week 24 for burosumab Q4W compared to placebo, the differences may not </w:t>
      </w:r>
      <w:r w:rsidR="00A15C7C" w:rsidRPr="00A15C7C">
        <w:t xml:space="preserve">be clinically meaningful due to the lack of established MCIDs on PD outcomes and </w:t>
      </w:r>
      <w:r w:rsidR="00F719D6">
        <w:t xml:space="preserve">being </w:t>
      </w:r>
      <w:r w:rsidR="00A15C7C" w:rsidRPr="00A15C7C">
        <w:t xml:space="preserve">below the estimated MCID for WOMAC stiffness. Improvement in fracture healing was an exploratory outcome. There </w:t>
      </w:r>
      <w:r w:rsidR="00F719D6">
        <w:t>was</w:t>
      </w:r>
      <w:r w:rsidR="00F719D6" w:rsidRPr="00A15C7C">
        <w:t xml:space="preserve"> </w:t>
      </w:r>
      <w:r w:rsidR="00A15C7C" w:rsidRPr="00A15C7C">
        <w:t>no direct evidence comparing burosumab to conventional therapy.</w:t>
      </w:r>
    </w:p>
    <w:p w14:paraId="01D73704" w14:textId="0A818040" w:rsidR="001A2C4E" w:rsidRPr="00A15C7C" w:rsidRDefault="00EC2D5E" w:rsidP="00A15C7C">
      <w:pPr>
        <w:pStyle w:val="3-BodyText"/>
        <w:rPr>
          <w:szCs w:val="20"/>
        </w:rPr>
      </w:pPr>
      <w:r w:rsidRPr="00A15C7C">
        <w:t xml:space="preserve">The </w:t>
      </w:r>
      <w:r w:rsidR="00833499" w:rsidRPr="00A15C7C">
        <w:t xml:space="preserve">PBAC </w:t>
      </w:r>
      <w:r w:rsidR="00FF1C6A" w:rsidRPr="00A15C7C">
        <w:t xml:space="preserve">considered that the </w:t>
      </w:r>
      <w:r w:rsidRPr="00A15C7C">
        <w:t xml:space="preserve">claim of inferior (but acceptable) safety of burosumab compared to placebo (and probably conventional therapy) </w:t>
      </w:r>
      <w:r w:rsidR="00FF1C6A" w:rsidRPr="00A15C7C">
        <w:t xml:space="preserve">for adults </w:t>
      </w:r>
      <w:r w:rsidRPr="00A15C7C">
        <w:t>was reasonable</w:t>
      </w:r>
      <w:r w:rsidR="00052ED2" w:rsidRPr="00A15C7C">
        <w:t>. T</w:t>
      </w:r>
      <w:r w:rsidRPr="00A15C7C">
        <w:t>reatment with burosumab in adults was associated with higher incidence of nasopharyngitis, back pain, headache and tooth abscesses as well as injection site reactions in the clinical studies.</w:t>
      </w:r>
      <w:bookmarkStart w:id="47" w:name="_Hlk76376200"/>
    </w:p>
    <w:p w14:paraId="5776B165" w14:textId="77777777" w:rsidR="00CE76B8" w:rsidRPr="00A15C7C" w:rsidRDefault="00CE76B8" w:rsidP="00E9094A">
      <w:pPr>
        <w:pStyle w:val="4-SubsectionHeading"/>
      </w:pPr>
      <w:bookmarkStart w:id="48" w:name="_Toc22897645"/>
      <w:bookmarkStart w:id="49" w:name="_Toc92386484"/>
      <w:bookmarkStart w:id="50" w:name="_Toc93406134"/>
      <w:bookmarkEnd w:id="47"/>
      <w:r w:rsidRPr="00A15C7C">
        <w:t>Economic analysis</w:t>
      </w:r>
      <w:bookmarkEnd w:id="48"/>
      <w:bookmarkEnd w:id="49"/>
      <w:bookmarkEnd w:id="50"/>
      <w:r w:rsidRPr="00A15C7C">
        <w:t xml:space="preserve"> </w:t>
      </w:r>
    </w:p>
    <w:p w14:paraId="13D06B41" w14:textId="309FFD99" w:rsidR="00D70057" w:rsidRDefault="00D70057" w:rsidP="00CE76B8">
      <w:pPr>
        <w:pStyle w:val="3-BodyText"/>
      </w:pPr>
      <w:r w:rsidRPr="00A15C7C">
        <w:t>The resubmission presented two separate cost utility analyses comparing burosumab and conventional therapy (oral phosphorus and calcitriol) for the treatment of XLH in children and</w:t>
      </w:r>
      <w:r w:rsidRPr="00D70057">
        <w:t xml:space="preserve"> adults. </w:t>
      </w:r>
      <w:r w:rsidR="0018236E" w:rsidRPr="00D70057">
        <w:t xml:space="preserve">The paediatric model considered treatment of paediatric patients </w:t>
      </w:r>
      <w:r w:rsidR="0018236E">
        <w:lastRenderedPageBreak/>
        <w:t xml:space="preserve">who </w:t>
      </w:r>
      <w:r w:rsidR="0018236E" w:rsidRPr="00D70057">
        <w:t>continu</w:t>
      </w:r>
      <w:r w:rsidR="0018236E">
        <w:t>e to receive</w:t>
      </w:r>
      <w:r w:rsidR="0018236E" w:rsidRPr="00D70057">
        <w:t xml:space="preserve"> treatment into adulthood whereas the adult model considered treatment of prevalent adult patients with established XLH. </w:t>
      </w:r>
      <w:r w:rsidRPr="00D70057">
        <w:t>While both were Markov models, they differed in the events measured. The paediatric model</w:t>
      </w:r>
      <w:r w:rsidR="0018236E">
        <w:t xml:space="preserve"> (an update of the </w:t>
      </w:r>
      <w:r w:rsidRPr="00D70057">
        <w:t>economic model presented in the March 2021 submission</w:t>
      </w:r>
      <w:r w:rsidR="0018236E">
        <w:t>)</w:t>
      </w:r>
      <w:r w:rsidRPr="00D70057">
        <w:t xml:space="preserve"> was based on achievement of RSS scores, whereas the adult model (new for this resubmission) focused on clinical events such as a reduction of fractures. </w:t>
      </w:r>
    </w:p>
    <w:p w14:paraId="506610C3" w14:textId="2CAB9983" w:rsidR="00C02677" w:rsidRPr="00C02677" w:rsidRDefault="00C02677" w:rsidP="00C02677">
      <w:pPr>
        <w:pStyle w:val="3-BodyText"/>
        <w:numPr>
          <w:ilvl w:val="0"/>
          <w:numId w:val="0"/>
        </w:numPr>
        <w:rPr>
          <w:b/>
          <w:bCs/>
        </w:rPr>
      </w:pPr>
      <w:r w:rsidRPr="00C02677">
        <w:rPr>
          <w:b/>
          <w:bCs/>
        </w:rPr>
        <w:t>Paediatrics</w:t>
      </w:r>
    </w:p>
    <w:p w14:paraId="7F804B2D" w14:textId="7D1F88FC" w:rsidR="00CE76B8" w:rsidRPr="008E65F1" w:rsidRDefault="00A00427" w:rsidP="00CE76B8">
      <w:pPr>
        <w:pStyle w:val="3-BodyText"/>
        <w:rPr>
          <w:b/>
          <w:bCs/>
        </w:rPr>
      </w:pPr>
      <w:r w:rsidRPr="008E65F1">
        <w:t xml:space="preserve">The resubmission presented an updated modelled economic evaluation comparing burosumab and conventional therapy for the treatment of XLH in children. </w:t>
      </w:r>
      <w:r w:rsidR="00CE76B8" w:rsidRPr="008E65F1">
        <w:t xml:space="preserve">The </w:t>
      </w:r>
      <w:r w:rsidRPr="008E65F1">
        <w:t xml:space="preserve">structure of the model was as for the </w:t>
      </w:r>
      <w:r w:rsidR="00CE76B8" w:rsidRPr="008E65F1">
        <w:t xml:space="preserve">March 2021 submission </w:t>
      </w:r>
      <w:r w:rsidRPr="008E65F1">
        <w:t xml:space="preserve">which was </w:t>
      </w:r>
      <w:r w:rsidR="00CE76B8" w:rsidRPr="008E65F1">
        <w:t>a Markov state transition model with four health states defined by RSS: Mild (RSS of 0.5 or 1.0), Moderate (RSS of 1.5 or 2.0), Severe (RSS of 2.5 or more), Healed (RSS of 0) and Death (to capture background mortality). The PBAC</w:t>
      </w:r>
      <w:r w:rsidR="00DB564B" w:rsidRPr="008E65F1">
        <w:t xml:space="preserve"> had previously expressed concern about the model structure</w:t>
      </w:r>
      <w:r w:rsidR="00721E1F" w:rsidRPr="008E65F1">
        <w:t xml:space="preserve">, </w:t>
      </w:r>
      <w:r w:rsidR="00DB564B" w:rsidRPr="008E65F1">
        <w:t>transition probabilities and</w:t>
      </w:r>
      <w:r w:rsidR="00721E1F" w:rsidRPr="008E65F1">
        <w:t xml:space="preserve"> RSS being the only modelled outcome </w:t>
      </w:r>
      <w:r w:rsidR="00DB564B" w:rsidRPr="008E65F1">
        <w:t xml:space="preserve">and </w:t>
      </w:r>
      <w:r w:rsidR="00CE76B8" w:rsidRPr="008E65F1">
        <w:t xml:space="preserve">considered the </w:t>
      </w:r>
      <w:r w:rsidRPr="008E65F1">
        <w:t xml:space="preserve">base case </w:t>
      </w:r>
      <w:r w:rsidR="00A15C7C">
        <w:t>incremental cost effectiveness ratio (</w:t>
      </w:r>
      <w:r w:rsidR="00CE76B8" w:rsidRPr="008E65F1">
        <w:t>ICER</w:t>
      </w:r>
      <w:r w:rsidR="00A15C7C">
        <w:t xml:space="preserve">; </w:t>
      </w:r>
      <w:r w:rsidRPr="008E65F1">
        <w:t>$</w:t>
      </w:r>
      <w:r w:rsidR="00E26DBF" w:rsidRPr="004801E5">
        <w:rPr>
          <w:rFonts w:ascii="Calibri" w:hAnsi="Calibri"/>
          <w:color w:val="333333"/>
          <w:szCs w:val="21"/>
        </w:rPr>
        <w:t>655,000 to &lt; $755,000</w:t>
      </w:r>
      <w:r w:rsidRPr="008E65F1">
        <w:t xml:space="preserve">per additional </w:t>
      </w:r>
      <w:r w:rsidR="00A15C7C">
        <w:t>quality adjusted life year (</w:t>
      </w:r>
      <w:r w:rsidRPr="008E65F1">
        <w:t>QALY</w:t>
      </w:r>
      <w:r w:rsidR="00A15C7C">
        <w:t>)</w:t>
      </w:r>
      <w:r w:rsidRPr="008E65F1">
        <w:t xml:space="preserve"> gained) </w:t>
      </w:r>
      <w:r w:rsidR="00CE76B8" w:rsidRPr="008E65F1">
        <w:t>highly uncertain and likely optimistic (paragraph 7.11, burosumab PSD, March 2021).</w:t>
      </w:r>
      <w:r w:rsidR="00721E1F" w:rsidRPr="008E65F1">
        <w:t xml:space="preserve"> </w:t>
      </w:r>
    </w:p>
    <w:p w14:paraId="77D0F53B" w14:textId="52076032" w:rsidR="00CE76B8" w:rsidRPr="008E65F1" w:rsidRDefault="007942F6" w:rsidP="00CE76B8">
      <w:pPr>
        <w:pStyle w:val="3-BodyText"/>
      </w:pPr>
      <w:r w:rsidRPr="008E65F1">
        <w:t>The PBAC’s ke</w:t>
      </w:r>
      <w:r w:rsidR="00B17CA7" w:rsidRPr="008E65F1">
        <w:t>y</w:t>
      </w:r>
      <w:r w:rsidR="005E1720" w:rsidRPr="008E65F1">
        <w:t xml:space="preserve"> concerns of </w:t>
      </w:r>
      <w:r w:rsidR="00A00427" w:rsidRPr="008E65F1">
        <w:t>the March 2021</w:t>
      </w:r>
      <w:r w:rsidR="00CE76B8" w:rsidRPr="008E65F1">
        <w:t xml:space="preserve"> economic </w:t>
      </w:r>
      <w:r w:rsidR="00A00427" w:rsidRPr="008E65F1">
        <w:t xml:space="preserve">evaluation </w:t>
      </w:r>
      <w:r w:rsidR="00CE76B8" w:rsidRPr="008E65F1">
        <w:t>(paragraph 7.11, burosumab PSD, March 2021)</w:t>
      </w:r>
      <w:r w:rsidR="00B17CA7" w:rsidRPr="008E65F1">
        <w:t xml:space="preserve"> and how the resubmission addressed them are provided below</w:t>
      </w:r>
      <w:r w:rsidR="00CE76B8" w:rsidRPr="008E65F1">
        <w:t>:</w:t>
      </w:r>
    </w:p>
    <w:p w14:paraId="265CCA40" w14:textId="6CCEA941" w:rsidR="00CE76B8" w:rsidRPr="001A2C4E" w:rsidRDefault="00CE76B8" w:rsidP="009408C2">
      <w:pPr>
        <w:pStyle w:val="ListParagraph"/>
        <w:numPr>
          <w:ilvl w:val="0"/>
          <w:numId w:val="3"/>
        </w:numPr>
        <w:ind w:left="1077" w:hanging="357"/>
      </w:pPr>
      <w:r w:rsidRPr="001A2C4E">
        <w:rPr>
          <w:b/>
        </w:rPr>
        <w:t>Change in RSS as the only modelled outcome</w:t>
      </w:r>
      <w:r w:rsidRPr="001A2C4E">
        <w:t xml:space="preserve">. The PBAC </w:t>
      </w:r>
      <w:r w:rsidR="00072C74" w:rsidRPr="001A2C4E">
        <w:t xml:space="preserve">previously </w:t>
      </w:r>
      <w:r w:rsidRPr="001A2C4E">
        <w:t xml:space="preserve">considered that RSS was unlikely to capture all relevant outcomes and the inclusion of a ‘healed’ state was inconsistent with </w:t>
      </w:r>
      <w:r w:rsidR="00721CB2" w:rsidRPr="001A2C4E">
        <w:t>trial-based</w:t>
      </w:r>
      <w:r w:rsidRPr="001A2C4E">
        <w:t xml:space="preserve"> patient reported outcomes. </w:t>
      </w:r>
      <w:r w:rsidR="00072C74" w:rsidRPr="001A2C4E">
        <w:t xml:space="preserve">The resubmission included </w:t>
      </w:r>
      <w:r w:rsidR="00072C74" w:rsidRPr="001A2C4E">
        <w:rPr>
          <w:szCs w:val="18"/>
        </w:rPr>
        <w:t xml:space="preserve">a small survival difference between the two model arms by applying a decrement </w:t>
      </w:r>
      <w:r w:rsidR="009D0213" w:rsidRPr="001A2C4E">
        <w:rPr>
          <w:szCs w:val="18"/>
        </w:rPr>
        <w:t>to</w:t>
      </w:r>
      <w:r w:rsidR="00072C74" w:rsidRPr="001A2C4E">
        <w:rPr>
          <w:szCs w:val="18"/>
        </w:rPr>
        <w:t xml:space="preserve"> patients receiving conventional therapy (mortality HR = 2.93 versus general population). Those receiving burosumab were assumed to follow general population mortality (which was unchanged from the March 2021 submission). This resulted in a very small difference in survival between the treatment arms</w:t>
      </w:r>
      <w:r w:rsidR="009D0213" w:rsidRPr="001A2C4E">
        <w:rPr>
          <w:szCs w:val="18"/>
        </w:rPr>
        <w:t xml:space="preserve"> and</w:t>
      </w:r>
      <w:r w:rsidR="00072C74" w:rsidRPr="001A2C4E">
        <w:rPr>
          <w:szCs w:val="18"/>
        </w:rPr>
        <w:t xml:space="preserve"> had little impact on the ICER</w:t>
      </w:r>
      <w:r w:rsidR="009D0213" w:rsidRPr="001A2C4E">
        <w:rPr>
          <w:szCs w:val="18"/>
        </w:rPr>
        <w:t xml:space="preserve"> as it occurred late in the model time horizon and therefore the effect was heavily discounted</w:t>
      </w:r>
      <w:r w:rsidR="00072C74" w:rsidRPr="001A2C4E">
        <w:rPr>
          <w:szCs w:val="18"/>
        </w:rPr>
        <w:t>.</w:t>
      </w:r>
      <w:r w:rsidR="00D129CB" w:rsidRPr="001A2C4E">
        <w:t xml:space="preserve"> </w:t>
      </w:r>
    </w:p>
    <w:p w14:paraId="50C7CFCB" w14:textId="0549838D" w:rsidR="00CE76B8" w:rsidRPr="001A2C4E" w:rsidRDefault="00CE76B8" w:rsidP="009408C2">
      <w:pPr>
        <w:pStyle w:val="ListParagraph"/>
        <w:numPr>
          <w:ilvl w:val="0"/>
          <w:numId w:val="3"/>
        </w:numPr>
        <w:ind w:left="1077" w:hanging="357"/>
      </w:pPr>
      <w:r w:rsidRPr="001A2C4E">
        <w:rPr>
          <w:b/>
        </w:rPr>
        <w:t>Average dose</w:t>
      </w:r>
      <w:r w:rsidRPr="001A2C4E">
        <w:t xml:space="preserve"> was modelled as 0.86</w:t>
      </w:r>
      <w:r w:rsidR="00052ED2" w:rsidRPr="001A2C4E">
        <w:t xml:space="preserve"> </w:t>
      </w:r>
      <w:r w:rsidRPr="001A2C4E">
        <w:t xml:space="preserve">mg/kg, which PBAC </w:t>
      </w:r>
      <w:r w:rsidR="00072C74" w:rsidRPr="001A2C4E">
        <w:t xml:space="preserve">previously </w:t>
      </w:r>
      <w:r w:rsidRPr="001A2C4E">
        <w:t>considered was likely to be low. In the resubmission, mean dose for children was increased to 0.91</w:t>
      </w:r>
      <w:r w:rsidR="00052ED2" w:rsidRPr="001A2C4E">
        <w:t xml:space="preserve"> </w:t>
      </w:r>
      <w:r w:rsidRPr="001A2C4E">
        <w:t>mg/kg based on unpublished data from the North American Disease Monitoring Program. Th</w:t>
      </w:r>
      <w:r w:rsidR="00C4636A" w:rsidRPr="001A2C4E">
        <w:t>e E</w:t>
      </w:r>
      <w:r w:rsidR="003E6578">
        <w:t>S</w:t>
      </w:r>
      <w:r w:rsidR="00C4636A" w:rsidRPr="001A2C4E">
        <w:t>C noted that th</w:t>
      </w:r>
      <w:r w:rsidRPr="001A2C4E">
        <w:t>is was lower than the mean dose received in the Early Access Program (EAP) of 1.05</w:t>
      </w:r>
      <w:r w:rsidR="00052ED2" w:rsidRPr="001A2C4E">
        <w:t xml:space="preserve"> </w:t>
      </w:r>
      <w:r w:rsidRPr="001A2C4E">
        <w:t>mg/kg and the maximum dose in the product information (2</w:t>
      </w:r>
      <w:r w:rsidR="00052ED2" w:rsidRPr="001A2C4E">
        <w:t xml:space="preserve"> </w:t>
      </w:r>
      <w:r w:rsidRPr="001A2C4E">
        <w:t xml:space="preserve">mg/kg). </w:t>
      </w:r>
    </w:p>
    <w:p w14:paraId="1C7B70B8" w14:textId="47F9CAD3" w:rsidR="00CE76B8" w:rsidRPr="001A2C4E" w:rsidRDefault="00CE76B8" w:rsidP="009408C2">
      <w:pPr>
        <w:pStyle w:val="ListParagraph"/>
        <w:numPr>
          <w:ilvl w:val="0"/>
          <w:numId w:val="3"/>
        </w:numPr>
        <w:ind w:left="1077" w:hanging="357"/>
      </w:pPr>
      <w:r w:rsidRPr="001A2C4E">
        <w:rPr>
          <w:b/>
        </w:rPr>
        <w:t>Annualised transition probabilities</w:t>
      </w:r>
      <w:r w:rsidRPr="001A2C4E">
        <w:t xml:space="preserve"> were constant to age 18 years, with stabilisation of disease severity from age 18, resulting in nearly all burosumab patients entering the ‘healed’ state by Year 10 and continuing to accrue these benefits until death. While the extrapolation of the transition probabilities </w:t>
      </w:r>
      <w:r w:rsidRPr="001A2C4E">
        <w:lastRenderedPageBreak/>
        <w:t>remained unchanged</w:t>
      </w:r>
      <w:r w:rsidR="00DB564B" w:rsidRPr="001A2C4E">
        <w:t xml:space="preserve"> in the resubmission</w:t>
      </w:r>
      <w:r w:rsidRPr="001A2C4E">
        <w:t>, the cost of burosumab treatment into adulthood</w:t>
      </w:r>
      <w:r w:rsidR="00DB564B" w:rsidRPr="001A2C4E">
        <w:t xml:space="preserve"> was included</w:t>
      </w:r>
      <w:r w:rsidRPr="001A2C4E">
        <w:t xml:space="preserve">, with </w:t>
      </w:r>
      <w:r w:rsidR="00DB564B" w:rsidRPr="001A2C4E">
        <w:t xml:space="preserve">reduced </w:t>
      </w:r>
      <w:r w:rsidRPr="001A2C4E">
        <w:t>utilisation decreasing from 100% (80% from age 18 years, 60% from</w:t>
      </w:r>
      <w:r w:rsidRPr="008E65F1">
        <w:t xml:space="preserve"> age 20 years, 50% from age 30-50 years</w:t>
      </w:r>
      <w:r w:rsidR="003E6578">
        <w:t>)</w:t>
      </w:r>
      <w:r w:rsidR="00B872A2">
        <w:t xml:space="preserve">. </w:t>
      </w:r>
      <w:r w:rsidR="009D0213" w:rsidRPr="008E65F1">
        <w:t xml:space="preserve">While it may be appropriate to assume treatment discontinuation over time, no evidence was </w:t>
      </w:r>
      <w:r w:rsidR="009D0213" w:rsidRPr="001A2C4E">
        <w:t xml:space="preserve">provided to support the rate of discontinuation. </w:t>
      </w:r>
      <w:fldSimple w:instr=" REF _Ref92386737  \* MERGEFORMAT ">
        <w:r w:rsidR="00676539" w:rsidRPr="00676539">
          <w:t xml:space="preserve">Figure </w:t>
        </w:r>
      </w:fldSimple>
      <w:r w:rsidR="009408C2" w:rsidRPr="001A2C4E">
        <w:t>2</w:t>
      </w:r>
      <w:r w:rsidR="009D0213" w:rsidRPr="001A2C4E">
        <w:t xml:space="preserve"> demonstrates the modelled time on treatment with burosumab. In contrast to the March 2021 submission, patients who discontinued burosumab did not receive subsequent treatment with conventional therapy. If patients are likely to require conventional therapy after discontinuing burosumab, then long-term costs in the burosumab arm would be underestimated, but as the cost of conventional therapy is small compared to burosumab, the effect on the ICER would be minimal. </w:t>
      </w:r>
      <w:r w:rsidR="00B872A2" w:rsidRPr="001A2C4E">
        <w:t>The PSCR provided a revised base case in which u</w:t>
      </w:r>
      <w:r w:rsidR="005F6A31" w:rsidRPr="001A2C4E">
        <w:t>tilisation in adulthood</w:t>
      </w:r>
      <w:r w:rsidR="00B872A2" w:rsidRPr="001A2C4E">
        <w:t xml:space="preserve"> was </w:t>
      </w:r>
      <w:r w:rsidR="009D0213" w:rsidRPr="001A2C4E">
        <w:t xml:space="preserve">assumed to be </w:t>
      </w:r>
      <w:r w:rsidR="00B872A2" w:rsidRPr="001A2C4E">
        <w:t>90% at 18, 80% at 20 and 70% at 30 years of age</w:t>
      </w:r>
      <w:r w:rsidRPr="001A2C4E">
        <w:t>).</w:t>
      </w:r>
      <w:r w:rsidR="009D0213" w:rsidRPr="001A2C4E">
        <w:t xml:space="preserve"> </w:t>
      </w:r>
    </w:p>
    <w:p w14:paraId="0B655D2D" w14:textId="5CEE69EE" w:rsidR="009D0213" w:rsidRPr="009D0213" w:rsidRDefault="009D0213" w:rsidP="009D0213">
      <w:pPr>
        <w:keepNext/>
        <w:keepLines/>
        <w:widowControl w:val="0"/>
        <w:rPr>
          <w:rFonts w:ascii="Arial Narrow" w:eastAsiaTheme="minorHAnsi" w:hAnsi="Arial Narrow"/>
          <w:b/>
          <w:bCs/>
          <w:snapToGrid w:val="0"/>
          <w:sz w:val="20"/>
          <w:szCs w:val="20"/>
          <w:lang w:eastAsia="en-US"/>
        </w:rPr>
      </w:pPr>
      <w:bookmarkStart w:id="51" w:name="_Ref92386737"/>
      <w:r w:rsidRPr="009D0213">
        <w:rPr>
          <w:rFonts w:ascii="Arial Narrow" w:eastAsiaTheme="minorHAnsi" w:hAnsi="Arial Narrow"/>
          <w:b/>
          <w:bCs/>
          <w:snapToGrid w:val="0"/>
          <w:sz w:val="20"/>
          <w:szCs w:val="20"/>
          <w:lang w:eastAsia="en-US"/>
        </w:rPr>
        <w:t xml:space="preserve">Figure </w:t>
      </w:r>
      <w:bookmarkEnd w:id="51"/>
      <w:r w:rsidR="009408C2">
        <w:rPr>
          <w:rFonts w:ascii="Arial Narrow" w:eastAsiaTheme="minorHAnsi" w:hAnsi="Arial Narrow"/>
          <w:b/>
          <w:bCs/>
          <w:snapToGrid w:val="0"/>
          <w:sz w:val="20"/>
          <w:szCs w:val="20"/>
          <w:lang w:eastAsia="en-US"/>
        </w:rPr>
        <w:t>2</w:t>
      </w:r>
      <w:r w:rsidRPr="009D0213">
        <w:rPr>
          <w:rFonts w:ascii="Arial Narrow" w:eastAsiaTheme="minorHAnsi" w:hAnsi="Arial Narrow"/>
          <w:b/>
          <w:bCs/>
          <w:snapToGrid w:val="0"/>
          <w:sz w:val="20"/>
          <w:szCs w:val="20"/>
          <w:lang w:eastAsia="en-US"/>
        </w:rPr>
        <w:t>: Modelled time on treatment with burosumab in the paediatric model</w:t>
      </w:r>
      <w:r w:rsidR="00BD2E9D">
        <w:rPr>
          <w:rFonts w:ascii="Arial Narrow" w:eastAsiaTheme="minorHAnsi" w:hAnsi="Arial Narrow"/>
          <w:b/>
          <w:bCs/>
          <w:snapToGrid w:val="0"/>
          <w:sz w:val="20"/>
          <w:szCs w:val="20"/>
          <w:lang w:eastAsia="en-US"/>
        </w:rPr>
        <w:t xml:space="preserve"> (as per resubmission)</w:t>
      </w:r>
    </w:p>
    <w:p w14:paraId="4AB44A7C" w14:textId="77777777" w:rsidR="009D0213" w:rsidRPr="009D0213" w:rsidRDefault="009D0213" w:rsidP="009D0213">
      <w:pPr>
        <w:rPr>
          <w:i/>
        </w:rPr>
      </w:pPr>
      <w:r w:rsidRPr="00B61721">
        <w:rPr>
          <w:noProof/>
        </w:rPr>
        <w:drawing>
          <wp:inline distT="0" distB="0" distL="0" distR="0" wp14:anchorId="2ADDB41A" wp14:editId="1080FF53">
            <wp:extent cx="5715000" cy="3733800"/>
            <wp:effectExtent l="0" t="0" r="0" b="0"/>
            <wp:docPr id="1" name="Picture 1" descr="Figure 2: Modelled time on treatment with burosumab in the paediatric model (as per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Modelled time on treatment with burosumab in the paediatric model (as per resub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956" cy="3746838"/>
                    </a:xfrm>
                    <a:prstGeom prst="rect">
                      <a:avLst/>
                    </a:prstGeom>
                    <a:noFill/>
                    <a:ln>
                      <a:noFill/>
                    </a:ln>
                  </pic:spPr>
                </pic:pic>
              </a:graphicData>
            </a:graphic>
          </wp:inline>
        </w:drawing>
      </w:r>
    </w:p>
    <w:p w14:paraId="019A474D" w14:textId="77777777" w:rsidR="009D0213" w:rsidRDefault="009D0213" w:rsidP="009D0213">
      <w:pPr>
        <w:pStyle w:val="TableFigureFooter"/>
      </w:pPr>
      <w:r>
        <w:t>Note: Treatment duration adjusted for survival</w:t>
      </w:r>
    </w:p>
    <w:p w14:paraId="16ADF6B1" w14:textId="77777777" w:rsidR="009D0213" w:rsidRDefault="009D0213" w:rsidP="009D0213">
      <w:pPr>
        <w:pStyle w:val="TableFigureFooter"/>
      </w:pPr>
      <w:r>
        <w:t>Source: compiled during the evaluation using the submitted model.</w:t>
      </w:r>
    </w:p>
    <w:p w14:paraId="18E45A35" w14:textId="77777777" w:rsidR="009D0213" w:rsidRPr="009D0213" w:rsidRDefault="009D0213" w:rsidP="009D0213">
      <w:pPr>
        <w:pStyle w:val="ListBullet"/>
        <w:numPr>
          <w:ilvl w:val="0"/>
          <w:numId w:val="0"/>
        </w:numPr>
        <w:ind w:left="360"/>
      </w:pPr>
    </w:p>
    <w:p w14:paraId="46A011BE" w14:textId="16E19223" w:rsidR="00CE76B8" w:rsidRPr="001A2C4E" w:rsidRDefault="00CE76B8" w:rsidP="009408C2">
      <w:pPr>
        <w:pStyle w:val="ListParagraph"/>
        <w:numPr>
          <w:ilvl w:val="0"/>
          <w:numId w:val="3"/>
        </w:numPr>
        <w:ind w:left="1077" w:hanging="357"/>
      </w:pPr>
      <w:r w:rsidRPr="001A2C4E">
        <w:t xml:space="preserve">The uncertainty in the extrapolation of benefits was also addressed through a reduction in the </w:t>
      </w:r>
      <w:r w:rsidRPr="001A2C4E">
        <w:rPr>
          <w:b/>
        </w:rPr>
        <w:t>time horizon</w:t>
      </w:r>
      <w:r w:rsidRPr="001A2C4E">
        <w:t xml:space="preserve"> from 100 years in the March 2021 submission to 50 years in the resubmission</w:t>
      </w:r>
      <w:r w:rsidR="009D0213" w:rsidRPr="001A2C4E">
        <w:t xml:space="preserve"> versus 64 weeks of follow up data reported among CL201, CL205 and CL301</w:t>
      </w:r>
      <w:r w:rsidRPr="001A2C4E">
        <w:t xml:space="preserve">. Though this </w:t>
      </w:r>
      <w:r w:rsidR="001A0EDC" w:rsidRPr="001A2C4E">
        <w:t>was a large</w:t>
      </w:r>
      <w:r w:rsidRPr="001A2C4E">
        <w:t xml:space="preserve"> reduction, </w:t>
      </w:r>
      <w:r w:rsidR="00DB564B" w:rsidRPr="001A2C4E">
        <w:t xml:space="preserve">given </w:t>
      </w:r>
      <w:r w:rsidR="007942F6" w:rsidRPr="001A2C4E">
        <w:t xml:space="preserve">limited clinical data, the model still </w:t>
      </w:r>
      <w:r w:rsidR="00133345" w:rsidRPr="001A2C4E">
        <w:t>required</w:t>
      </w:r>
      <w:r w:rsidRPr="001A2C4E">
        <w:t xml:space="preserve"> significant extrapolation and the ICER remained very </w:t>
      </w:r>
      <w:r w:rsidRPr="001A2C4E">
        <w:lastRenderedPageBreak/>
        <w:t>sensitive to time horizon.</w:t>
      </w:r>
      <w:r w:rsidR="00072C74" w:rsidRPr="001A2C4E">
        <w:t xml:space="preserve"> </w:t>
      </w:r>
      <w:r w:rsidR="00C4636A" w:rsidRPr="001A2C4E">
        <w:t>As</w:t>
      </w:r>
      <w:r w:rsidR="005F6A31" w:rsidRPr="001A2C4E">
        <w:t xml:space="preserve"> </w:t>
      </w:r>
      <w:r w:rsidR="00301CF7">
        <w:t>most</w:t>
      </w:r>
      <w:r w:rsidR="009D0213" w:rsidRPr="001A2C4E">
        <w:t xml:space="preserve"> patients in the burosumab arm still transitioned into healed rickets by Year 10 and continued to benefit until death</w:t>
      </w:r>
      <w:r w:rsidR="00301CF7">
        <w:t xml:space="preserve">, the </w:t>
      </w:r>
      <w:r w:rsidR="009D0213" w:rsidRPr="001A2C4E">
        <w:t>long</w:t>
      </w:r>
      <w:r w:rsidR="00301CF7">
        <w:t xml:space="preserve"> </w:t>
      </w:r>
      <w:r w:rsidR="009D0213" w:rsidRPr="001A2C4E">
        <w:t xml:space="preserve">time horizon therefore still exaggerated this uncertain transition and strongly favoured burosumab. </w:t>
      </w:r>
      <w:r w:rsidR="00072C74" w:rsidRPr="001A2C4E">
        <w:t>The time horizon was further reduced to 25 years in the revised base case presented in the PSCR.</w:t>
      </w:r>
      <w:r w:rsidR="002568EB" w:rsidRPr="001A2C4E">
        <w:t xml:space="preserve"> The ESC considered that the revised </w:t>
      </w:r>
      <w:r w:rsidR="00301CF7">
        <w:t xml:space="preserve">25 year </w:t>
      </w:r>
      <w:r w:rsidR="002568EB" w:rsidRPr="001A2C4E">
        <w:t>time horizon rem</w:t>
      </w:r>
      <w:r w:rsidR="00BF3934" w:rsidRPr="001A2C4E">
        <w:t>ai</w:t>
      </w:r>
      <w:r w:rsidR="002568EB" w:rsidRPr="001A2C4E">
        <w:t>ned long compared to the trial data and that this introduced considerable uncertainty into the model results.</w:t>
      </w:r>
    </w:p>
    <w:p w14:paraId="6BC40CD3" w14:textId="155F05A1" w:rsidR="006F2145" w:rsidRPr="001A2C4E" w:rsidRDefault="007942F6" w:rsidP="009408C2">
      <w:pPr>
        <w:pStyle w:val="ListParagraph"/>
        <w:numPr>
          <w:ilvl w:val="0"/>
          <w:numId w:val="3"/>
        </w:numPr>
        <w:ind w:left="1077" w:hanging="357"/>
      </w:pPr>
      <w:r w:rsidRPr="001A2C4E">
        <w:t xml:space="preserve">The PBAC </w:t>
      </w:r>
      <w:r w:rsidR="00072C74" w:rsidRPr="001A2C4E">
        <w:t xml:space="preserve">previously </w:t>
      </w:r>
      <w:r w:rsidRPr="001A2C4E">
        <w:t xml:space="preserve">considered that </w:t>
      </w:r>
      <w:r w:rsidR="00CE76B8" w:rsidRPr="001A2C4E">
        <w:rPr>
          <w:b/>
        </w:rPr>
        <w:t>burosumab</w:t>
      </w:r>
      <w:r w:rsidRPr="001A2C4E">
        <w:rPr>
          <w:b/>
        </w:rPr>
        <w:t>’s</w:t>
      </w:r>
      <w:r w:rsidR="00CE76B8" w:rsidRPr="001A2C4E">
        <w:rPr>
          <w:b/>
        </w:rPr>
        <w:t xml:space="preserve"> price</w:t>
      </w:r>
      <w:r w:rsidR="00CE76B8" w:rsidRPr="001A2C4E">
        <w:t xml:space="preserve"> would need to be reduced to address the numerous uncertainties and achieve a reasonable ICER (paragraph 7.14, bur</w:t>
      </w:r>
      <w:r w:rsidR="005E1720" w:rsidRPr="001A2C4E">
        <w:t>o</w:t>
      </w:r>
      <w:r w:rsidR="00CE76B8" w:rsidRPr="001A2C4E">
        <w:t xml:space="preserve">sumab PSD, March 2021). The resubmission reduced the effective DPMQ of burosumab by </w:t>
      </w:r>
      <w:r w:rsidR="00B355AE" w:rsidRPr="00676539">
        <w:rPr>
          <w:color w:val="000000"/>
          <w:w w:val="15"/>
          <w:shd w:val="solid" w:color="000000" w:fill="000000"/>
          <w:fitText w:val="-20" w:id="-1504471030"/>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30"/>
          <w14:textFill>
            <w14:solidFill>
              <w14:srgbClr w14:val="000000">
                <w14:alpha w14:val="100000"/>
              </w14:srgbClr>
            </w14:solidFill>
          </w14:textFill>
        </w:rPr>
        <w:t>|</w:t>
      </w:r>
      <w:r w:rsidR="00CE76B8" w:rsidRPr="003C231F">
        <w:t>%,</w:t>
      </w:r>
      <w:r w:rsidR="00CE76B8" w:rsidRPr="001A2C4E">
        <w:t xml:space="preserve"> equivalent to an effective </w:t>
      </w:r>
      <w:r w:rsidR="00072C74" w:rsidRPr="001A2C4E">
        <w:t xml:space="preserve">AEMP </w:t>
      </w:r>
      <w:r w:rsidR="00CE76B8" w:rsidRPr="001A2C4E">
        <w:t>of $</w:t>
      </w:r>
      <w:r w:rsidR="00B355AE" w:rsidRPr="00676539">
        <w:rPr>
          <w:color w:val="000000"/>
          <w:w w:val="15"/>
          <w:shd w:val="solid" w:color="000000" w:fill="000000"/>
          <w:fitText w:val="-20" w:id="-1504471029"/>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29"/>
          <w14:textFill>
            <w14:solidFill>
              <w14:srgbClr w14:val="000000">
                <w14:alpha w14:val="100000"/>
              </w14:srgbClr>
            </w14:solidFill>
          </w14:textFill>
        </w:rPr>
        <w:t>|</w:t>
      </w:r>
      <w:r w:rsidR="00CE76B8" w:rsidRPr="001A2C4E">
        <w:t xml:space="preserve"> per 10</w:t>
      </w:r>
      <w:r w:rsidR="00052ED2" w:rsidRPr="001A2C4E">
        <w:t xml:space="preserve"> </w:t>
      </w:r>
      <w:r w:rsidR="00CE76B8" w:rsidRPr="001A2C4E">
        <w:t>mg vial, $</w:t>
      </w:r>
      <w:r w:rsidR="00B355AE" w:rsidRPr="00676539">
        <w:rPr>
          <w:color w:val="000000"/>
          <w:w w:val="15"/>
          <w:shd w:val="solid" w:color="000000" w:fill="000000"/>
          <w:fitText w:val="-20" w:id="-1504471028"/>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28"/>
          <w14:textFill>
            <w14:solidFill>
              <w14:srgbClr w14:val="000000">
                <w14:alpha w14:val="100000"/>
              </w14:srgbClr>
            </w14:solidFill>
          </w14:textFill>
        </w:rPr>
        <w:t>|</w:t>
      </w:r>
      <w:r w:rsidR="00CE76B8" w:rsidRPr="001A2C4E">
        <w:t xml:space="preserve"> per 20</w:t>
      </w:r>
      <w:r w:rsidR="00052ED2" w:rsidRPr="001A2C4E">
        <w:t xml:space="preserve"> </w:t>
      </w:r>
      <w:r w:rsidR="00CE76B8" w:rsidRPr="001A2C4E">
        <w:t>mg vial and $</w:t>
      </w:r>
      <w:r w:rsidR="00B355AE" w:rsidRPr="00676539">
        <w:rPr>
          <w:color w:val="000000"/>
          <w:w w:val="15"/>
          <w:shd w:val="solid" w:color="000000" w:fill="000000"/>
          <w:fitText w:val="-20" w:id="-1504471027"/>
          <w14:textFill>
            <w14:solidFill>
              <w14:srgbClr w14:val="000000">
                <w14:alpha w14:val="100000"/>
              </w14:srgbClr>
            </w14:solidFill>
          </w14:textFill>
        </w:rPr>
        <w:t xml:space="preserve">|  </w:t>
      </w:r>
      <w:r w:rsidR="00B355AE" w:rsidRPr="00676539">
        <w:rPr>
          <w:color w:val="000000"/>
          <w:spacing w:val="-69"/>
          <w:w w:val="15"/>
          <w:shd w:val="solid" w:color="000000" w:fill="000000"/>
          <w:fitText w:val="-20" w:id="-1504471027"/>
          <w14:textFill>
            <w14:solidFill>
              <w14:srgbClr w14:val="000000">
                <w14:alpha w14:val="100000"/>
              </w14:srgbClr>
            </w14:solidFill>
          </w14:textFill>
        </w:rPr>
        <w:t>|</w:t>
      </w:r>
      <w:r w:rsidR="00CE76B8" w:rsidRPr="001A2C4E">
        <w:t xml:space="preserve"> per 30</w:t>
      </w:r>
      <w:r w:rsidR="00052ED2" w:rsidRPr="001A2C4E">
        <w:t xml:space="preserve"> </w:t>
      </w:r>
      <w:r w:rsidR="00CE76B8" w:rsidRPr="001A2C4E">
        <w:t xml:space="preserve">mg vial. </w:t>
      </w:r>
      <w:r w:rsidR="00301CF7">
        <w:t>The price was further reduced in the pre-PBAC response.</w:t>
      </w:r>
    </w:p>
    <w:p w14:paraId="446DC56A" w14:textId="6A9E4CF5" w:rsidR="00CE76B8" w:rsidRPr="001A2C4E" w:rsidRDefault="006F2145" w:rsidP="00CE76B8">
      <w:pPr>
        <w:pStyle w:val="3-BodyText"/>
      </w:pPr>
      <w:r w:rsidRPr="001A2C4E">
        <w:t>Key concerns</w:t>
      </w:r>
      <w:r w:rsidR="00CE76B8" w:rsidRPr="001A2C4E">
        <w:t xml:space="preserve"> of the economic </w:t>
      </w:r>
      <w:r w:rsidRPr="001A2C4E">
        <w:t xml:space="preserve">evaluation </w:t>
      </w:r>
      <w:r w:rsidR="00973D67" w:rsidRPr="001A2C4E">
        <w:t xml:space="preserve">(paragraph 7.11, burosumab PSD, March 2021) not addressed </w:t>
      </w:r>
      <w:r w:rsidRPr="001A2C4E">
        <w:t xml:space="preserve">by the resubmission </w:t>
      </w:r>
      <w:r w:rsidR="00973D67" w:rsidRPr="001A2C4E">
        <w:t>include</w:t>
      </w:r>
      <w:r w:rsidRPr="001A2C4E">
        <w:t>d</w:t>
      </w:r>
      <w:r w:rsidR="00973D67" w:rsidRPr="001A2C4E">
        <w:t>:</w:t>
      </w:r>
    </w:p>
    <w:p w14:paraId="423B4ED8" w14:textId="52CFF649" w:rsidR="00CE76B8" w:rsidRPr="001A2C4E" w:rsidRDefault="00CE76B8" w:rsidP="00C02677">
      <w:pPr>
        <w:pStyle w:val="ListParagraph"/>
        <w:numPr>
          <w:ilvl w:val="0"/>
          <w:numId w:val="3"/>
        </w:numPr>
        <w:ind w:left="1134"/>
      </w:pPr>
      <w:r w:rsidRPr="001A2C4E">
        <w:rPr>
          <w:b/>
        </w:rPr>
        <w:t>Limited effectiveness data</w:t>
      </w:r>
      <w:r w:rsidR="006F2145" w:rsidRPr="001A2C4E">
        <w:t>: c</w:t>
      </w:r>
      <w:r w:rsidRPr="001A2C4E">
        <w:t xml:space="preserve">omparative data </w:t>
      </w:r>
      <w:r w:rsidR="00973D67" w:rsidRPr="001A2C4E">
        <w:t xml:space="preserve">used in the </w:t>
      </w:r>
      <w:r w:rsidR="006F2145" w:rsidRPr="001A2C4E">
        <w:t xml:space="preserve">resubmission’s model </w:t>
      </w:r>
      <w:r w:rsidRPr="001A2C4E">
        <w:t>w</w:t>
      </w:r>
      <w:r w:rsidR="006F2145" w:rsidRPr="001A2C4E">
        <w:t xml:space="preserve">ere </w:t>
      </w:r>
      <w:r w:rsidR="00973D67" w:rsidRPr="001A2C4E">
        <w:t xml:space="preserve">again </w:t>
      </w:r>
      <w:r w:rsidR="006F2145" w:rsidRPr="001A2C4E">
        <w:t xml:space="preserve">obtained </w:t>
      </w:r>
      <w:r w:rsidRPr="001A2C4E">
        <w:t xml:space="preserve">from heterogeneous sources </w:t>
      </w:r>
      <w:r w:rsidR="00973D67" w:rsidRPr="001A2C4E">
        <w:t xml:space="preserve">with no </w:t>
      </w:r>
      <w:r w:rsidRPr="001A2C4E">
        <w:t xml:space="preserve">data </w:t>
      </w:r>
      <w:r w:rsidR="00973D67" w:rsidRPr="001A2C4E">
        <w:t xml:space="preserve">provided </w:t>
      </w:r>
      <w:r w:rsidRPr="001A2C4E">
        <w:t xml:space="preserve">for children aged 13 to 17 years. </w:t>
      </w:r>
      <w:r w:rsidR="006C13C5" w:rsidRPr="001A2C4E">
        <w:t xml:space="preserve">Although the </w:t>
      </w:r>
      <w:r w:rsidR="006F2145" w:rsidRPr="001A2C4E">
        <w:t xml:space="preserve">ESC </w:t>
      </w:r>
      <w:r w:rsidR="006C13C5" w:rsidRPr="001A2C4E">
        <w:t xml:space="preserve">had previously acknowledged </w:t>
      </w:r>
      <w:r w:rsidR="006F2145" w:rsidRPr="001A2C4E">
        <w:t xml:space="preserve">that </w:t>
      </w:r>
      <w:r w:rsidRPr="001A2C4E">
        <w:t>use of pooled data may have been reasonable considering the data available (paragraph 6.50, burosumab PSD, March 2021)</w:t>
      </w:r>
      <w:r w:rsidR="006C13C5" w:rsidRPr="001A2C4E">
        <w:t xml:space="preserve">, </w:t>
      </w:r>
      <w:r w:rsidR="00E20E11" w:rsidRPr="001A2C4E">
        <w:t xml:space="preserve">ESC noted that it </w:t>
      </w:r>
      <w:r w:rsidR="006C13C5" w:rsidRPr="001A2C4E">
        <w:t>added considerable uncertainty to the modelling</w:t>
      </w:r>
      <w:r w:rsidR="00E20E11" w:rsidRPr="001A2C4E">
        <w:t>. Th</w:t>
      </w:r>
      <w:r w:rsidR="00C4636A" w:rsidRPr="001A2C4E">
        <w:t>e ESC noted that th</w:t>
      </w:r>
      <w:r w:rsidR="00E20E11" w:rsidRPr="001A2C4E">
        <w:t xml:space="preserve">is </w:t>
      </w:r>
      <w:r w:rsidR="006C13C5" w:rsidRPr="001A2C4E">
        <w:t>issue remained unresolved in this resubmission.</w:t>
      </w:r>
    </w:p>
    <w:p w14:paraId="784C9E6A" w14:textId="4E48C817" w:rsidR="00CE76B8" w:rsidRPr="001A2C4E" w:rsidRDefault="00CE76B8" w:rsidP="00C02677">
      <w:pPr>
        <w:pStyle w:val="ListParagraph"/>
        <w:numPr>
          <w:ilvl w:val="0"/>
          <w:numId w:val="3"/>
        </w:numPr>
        <w:ind w:left="1134"/>
      </w:pPr>
      <w:r w:rsidRPr="001A2C4E">
        <w:rPr>
          <w:b/>
        </w:rPr>
        <w:t>Cost of harms</w:t>
      </w:r>
      <w:r w:rsidRPr="001A2C4E">
        <w:t xml:space="preserve"> </w:t>
      </w:r>
      <w:r w:rsidR="00E20E11" w:rsidRPr="001A2C4E">
        <w:t xml:space="preserve">was again </w:t>
      </w:r>
      <w:r w:rsidR="00973D67" w:rsidRPr="001A2C4E">
        <w:t xml:space="preserve">not </w:t>
      </w:r>
      <w:r w:rsidRPr="001A2C4E">
        <w:t xml:space="preserve">included </w:t>
      </w:r>
      <w:r w:rsidR="00973D67" w:rsidRPr="001A2C4E">
        <w:t xml:space="preserve">in the </w:t>
      </w:r>
      <w:r w:rsidR="006C13C5" w:rsidRPr="001A2C4E">
        <w:t xml:space="preserve">resubmission’s </w:t>
      </w:r>
      <w:r w:rsidR="00973D67" w:rsidRPr="001A2C4E">
        <w:t>model</w:t>
      </w:r>
      <w:r w:rsidR="00D807A2" w:rsidRPr="001A2C4E">
        <w:t>.</w:t>
      </w:r>
      <w:r w:rsidR="00052ED2" w:rsidRPr="001A2C4E">
        <w:t xml:space="preserve"> T</w:t>
      </w:r>
      <w:r w:rsidR="006C13C5" w:rsidRPr="001A2C4E">
        <w:t>h</w:t>
      </w:r>
      <w:r w:rsidR="00C4636A" w:rsidRPr="001A2C4E">
        <w:t>e ESC noted that th</w:t>
      </w:r>
      <w:r w:rsidR="006C13C5" w:rsidRPr="001A2C4E">
        <w:t>is issue remained unresolved.</w:t>
      </w:r>
    </w:p>
    <w:p w14:paraId="24148A79" w14:textId="43B0928D" w:rsidR="00CE76B8" w:rsidRPr="001A2C4E" w:rsidRDefault="00CE76B8" w:rsidP="00CE76B8">
      <w:pPr>
        <w:pStyle w:val="3-BodyText"/>
      </w:pPr>
      <w:r w:rsidRPr="001A2C4E">
        <w:t>A summary of the key components of the paediatric model</w:t>
      </w:r>
      <w:r w:rsidR="00BE0DB6" w:rsidRPr="001A2C4E">
        <w:t xml:space="preserve"> and how it compared to the </w:t>
      </w:r>
      <w:r w:rsidRPr="001A2C4E">
        <w:t xml:space="preserve">March 2021 submission </w:t>
      </w:r>
      <w:r w:rsidR="00BE0DB6" w:rsidRPr="001A2C4E">
        <w:t xml:space="preserve">is </w:t>
      </w:r>
      <w:r w:rsidRPr="001A2C4E">
        <w:t>presented in the following table.</w:t>
      </w:r>
    </w:p>
    <w:p w14:paraId="4310F69C" w14:textId="1C098514" w:rsidR="00CE76B8" w:rsidRDefault="00CE76B8" w:rsidP="00B03783">
      <w:pPr>
        <w:pStyle w:val="TableFigureHeading"/>
        <w:widowControl w:val="0"/>
        <w:rPr>
          <w:rStyle w:val="CommentReference"/>
          <w:b/>
          <w:szCs w:val="24"/>
        </w:rPr>
      </w:pPr>
      <w:r w:rsidRPr="00834293">
        <w:rPr>
          <w:rStyle w:val="CommentReference"/>
          <w:b/>
          <w:szCs w:val="24"/>
        </w:rPr>
        <w:lastRenderedPageBreak/>
        <w:t xml:space="preserve">Table </w:t>
      </w:r>
      <w:r w:rsidRPr="00834293">
        <w:rPr>
          <w:rStyle w:val="CommentReference"/>
          <w:b/>
          <w:szCs w:val="24"/>
        </w:rPr>
        <w:fldChar w:fldCharType="begin"/>
      </w:r>
      <w:r w:rsidRPr="00834293">
        <w:rPr>
          <w:rStyle w:val="CommentReference"/>
          <w:b/>
          <w:szCs w:val="24"/>
        </w:rPr>
        <w:instrText xml:space="preserve"> SEQ Table \* ARABIC </w:instrText>
      </w:r>
      <w:r w:rsidRPr="00834293">
        <w:rPr>
          <w:rStyle w:val="CommentReference"/>
          <w:b/>
          <w:szCs w:val="24"/>
        </w:rPr>
        <w:fldChar w:fldCharType="separate"/>
      </w:r>
      <w:r w:rsidR="00676539">
        <w:rPr>
          <w:rStyle w:val="CommentReference"/>
          <w:b/>
          <w:noProof/>
          <w:szCs w:val="24"/>
        </w:rPr>
        <w:t>12</w:t>
      </w:r>
      <w:r w:rsidRPr="00834293">
        <w:rPr>
          <w:rStyle w:val="CommentReference"/>
          <w:b/>
          <w:szCs w:val="24"/>
        </w:rPr>
        <w:fldChar w:fldCharType="end"/>
      </w:r>
      <w:r w:rsidRPr="00834293">
        <w:rPr>
          <w:rStyle w:val="CommentReference"/>
          <w:b/>
          <w:szCs w:val="24"/>
        </w:rPr>
        <w:t xml:space="preserve">: Key components of the </w:t>
      </w:r>
      <w:r w:rsidR="00B17CA7">
        <w:rPr>
          <w:rStyle w:val="CommentReference"/>
          <w:b/>
          <w:szCs w:val="24"/>
        </w:rPr>
        <w:t xml:space="preserve">revised </w:t>
      </w:r>
      <w:r w:rsidR="00C53B8D">
        <w:rPr>
          <w:rStyle w:val="CommentReference"/>
          <w:b/>
          <w:szCs w:val="24"/>
        </w:rPr>
        <w:t>p</w:t>
      </w:r>
      <w:r>
        <w:rPr>
          <w:rStyle w:val="CommentReference"/>
          <w:b/>
          <w:szCs w:val="24"/>
        </w:rPr>
        <w:t xml:space="preserve">aediatric </w:t>
      </w:r>
      <w:r w:rsidRPr="00834293">
        <w:rPr>
          <w:rStyle w:val="CommentReference"/>
          <w:b/>
          <w:szCs w:val="24"/>
        </w:rPr>
        <w:t>economic evaluation</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Key components of the revised paediatric economic evaluation"/>
      </w:tblPr>
      <w:tblGrid>
        <w:gridCol w:w="1413"/>
        <w:gridCol w:w="3117"/>
        <w:gridCol w:w="4537"/>
      </w:tblGrid>
      <w:tr w:rsidR="00B17CA7" w:rsidRPr="001A2C4E" w14:paraId="1F115E8A" w14:textId="77777777" w:rsidTr="00603151">
        <w:trPr>
          <w:cantSplit/>
          <w:tblHeader/>
        </w:trPr>
        <w:tc>
          <w:tcPr>
            <w:tcW w:w="779" w:type="pct"/>
            <w:tcBorders>
              <w:bottom w:val="single" w:sz="4" w:space="0" w:color="auto"/>
            </w:tcBorders>
            <w:vAlign w:val="center"/>
          </w:tcPr>
          <w:p w14:paraId="5A0CA4F6" w14:textId="77777777" w:rsidR="00B17CA7" w:rsidRPr="001A2C4E" w:rsidRDefault="00B17CA7" w:rsidP="00B03783">
            <w:pPr>
              <w:pStyle w:val="In-tableHeading"/>
              <w:widowControl w:val="0"/>
              <w:jc w:val="center"/>
            </w:pPr>
            <w:r w:rsidRPr="001A2C4E">
              <w:t>Component</w:t>
            </w:r>
          </w:p>
        </w:tc>
        <w:tc>
          <w:tcPr>
            <w:tcW w:w="1719" w:type="pct"/>
            <w:vAlign w:val="center"/>
          </w:tcPr>
          <w:p w14:paraId="32215207" w14:textId="77777777" w:rsidR="00B17CA7" w:rsidRPr="001A2C4E" w:rsidRDefault="00B17CA7" w:rsidP="00B03783">
            <w:pPr>
              <w:pStyle w:val="In-tableHeading"/>
              <w:widowControl w:val="0"/>
              <w:jc w:val="center"/>
            </w:pPr>
            <w:r w:rsidRPr="001A2C4E">
              <w:t>March 2021 model</w:t>
            </w:r>
          </w:p>
        </w:tc>
        <w:tc>
          <w:tcPr>
            <w:tcW w:w="2502" w:type="pct"/>
            <w:vAlign w:val="center"/>
          </w:tcPr>
          <w:p w14:paraId="43549628" w14:textId="67F313BF" w:rsidR="00B17CA7" w:rsidRPr="001A2C4E" w:rsidRDefault="000E04D7" w:rsidP="00B03783">
            <w:pPr>
              <w:pStyle w:val="In-tableHeading"/>
              <w:widowControl w:val="0"/>
            </w:pPr>
            <w:r w:rsidRPr="001A2C4E">
              <w:t>Resubmission</w:t>
            </w:r>
          </w:p>
        </w:tc>
      </w:tr>
      <w:tr w:rsidR="00B17CA7" w:rsidRPr="001A2C4E" w14:paraId="2D1D7E38" w14:textId="77777777" w:rsidTr="00603151">
        <w:trPr>
          <w:cantSplit/>
        </w:trPr>
        <w:tc>
          <w:tcPr>
            <w:tcW w:w="779" w:type="pct"/>
            <w:shd w:val="clear" w:color="auto" w:fill="C6D9F1" w:themeFill="text2" w:themeFillTint="33"/>
            <w:vAlign w:val="center"/>
          </w:tcPr>
          <w:p w14:paraId="78649E15" w14:textId="77777777" w:rsidR="00B17CA7" w:rsidRPr="001A2C4E" w:rsidRDefault="00B17CA7" w:rsidP="00B03783">
            <w:pPr>
              <w:pStyle w:val="TableText0"/>
              <w:widowControl w:val="0"/>
            </w:pPr>
            <w:r w:rsidRPr="001A2C4E">
              <w:t xml:space="preserve">Treatments </w:t>
            </w:r>
          </w:p>
        </w:tc>
        <w:tc>
          <w:tcPr>
            <w:tcW w:w="1719" w:type="pct"/>
            <w:shd w:val="clear" w:color="auto" w:fill="C6D9F1" w:themeFill="text2" w:themeFillTint="33"/>
            <w:vAlign w:val="center"/>
          </w:tcPr>
          <w:p w14:paraId="4711968C" w14:textId="77777777" w:rsidR="00B17CA7" w:rsidRPr="001A2C4E" w:rsidRDefault="00B17CA7" w:rsidP="00B03783">
            <w:pPr>
              <w:pStyle w:val="TableText0"/>
              <w:widowControl w:val="0"/>
            </w:pPr>
            <w:r w:rsidRPr="001A2C4E">
              <w:t>BUR vs conventional therapy</w:t>
            </w:r>
          </w:p>
        </w:tc>
        <w:tc>
          <w:tcPr>
            <w:tcW w:w="2502" w:type="pct"/>
            <w:shd w:val="clear" w:color="auto" w:fill="C6D9F1" w:themeFill="text2" w:themeFillTint="33"/>
            <w:vAlign w:val="center"/>
          </w:tcPr>
          <w:p w14:paraId="08C949B6" w14:textId="77777777" w:rsidR="00B17CA7" w:rsidRPr="001A2C4E" w:rsidRDefault="00B17CA7" w:rsidP="00B03783">
            <w:pPr>
              <w:pStyle w:val="TableText0"/>
              <w:widowControl w:val="0"/>
            </w:pPr>
            <w:r w:rsidRPr="001A2C4E">
              <w:t>Unchanged. Appropriate</w:t>
            </w:r>
          </w:p>
        </w:tc>
      </w:tr>
      <w:tr w:rsidR="00B17CA7" w:rsidRPr="001A2C4E" w14:paraId="11339BF3" w14:textId="77777777" w:rsidTr="00603151">
        <w:trPr>
          <w:cantSplit/>
        </w:trPr>
        <w:tc>
          <w:tcPr>
            <w:tcW w:w="779" w:type="pct"/>
            <w:shd w:val="clear" w:color="auto" w:fill="C6D9F1" w:themeFill="text2" w:themeFillTint="33"/>
            <w:vAlign w:val="center"/>
          </w:tcPr>
          <w:p w14:paraId="5F7FFF89" w14:textId="77777777" w:rsidR="00B17CA7" w:rsidRPr="001A2C4E" w:rsidRDefault="00B17CA7" w:rsidP="00B03783">
            <w:pPr>
              <w:pStyle w:val="TableText0"/>
              <w:widowControl w:val="0"/>
            </w:pPr>
            <w:r w:rsidRPr="001A2C4E">
              <w:t>Type of analysis</w:t>
            </w:r>
          </w:p>
        </w:tc>
        <w:tc>
          <w:tcPr>
            <w:tcW w:w="1719" w:type="pct"/>
            <w:shd w:val="clear" w:color="auto" w:fill="C6D9F1" w:themeFill="text2" w:themeFillTint="33"/>
            <w:vAlign w:val="center"/>
          </w:tcPr>
          <w:p w14:paraId="4C7B18C4" w14:textId="77777777" w:rsidR="00B17CA7" w:rsidRPr="001A2C4E" w:rsidRDefault="00B17CA7" w:rsidP="00B03783">
            <w:pPr>
              <w:pStyle w:val="TableText0"/>
              <w:widowControl w:val="0"/>
            </w:pPr>
            <w:r w:rsidRPr="001A2C4E">
              <w:t>Cost utility analysis</w:t>
            </w:r>
          </w:p>
        </w:tc>
        <w:tc>
          <w:tcPr>
            <w:tcW w:w="2502" w:type="pct"/>
            <w:shd w:val="clear" w:color="auto" w:fill="C6D9F1" w:themeFill="text2" w:themeFillTint="33"/>
            <w:vAlign w:val="center"/>
          </w:tcPr>
          <w:p w14:paraId="2971E38F" w14:textId="77777777" w:rsidR="00B17CA7" w:rsidRPr="001A2C4E" w:rsidRDefault="00B17CA7" w:rsidP="00B03783">
            <w:pPr>
              <w:pStyle w:val="TableText0"/>
              <w:widowControl w:val="0"/>
            </w:pPr>
            <w:r w:rsidRPr="001A2C4E">
              <w:t>Unchanged. Appropriate</w:t>
            </w:r>
          </w:p>
        </w:tc>
      </w:tr>
      <w:tr w:rsidR="00B17CA7" w:rsidRPr="001A2C4E" w14:paraId="216F2508" w14:textId="77777777" w:rsidTr="00603151">
        <w:trPr>
          <w:cantSplit/>
        </w:trPr>
        <w:tc>
          <w:tcPr>
            <w:tcW w:w="779" w:type="pct"/>
            <w:shd w:val="clear" w:color="auto" w:fill="C6D9F1" w:themeFill="text2" w:themeFillTint="33"/>
            <w:vAlign w:val="center"/>
          </w:tcPr>
          <w:p w14:paraId="03F27932" w14:textId="77777777" w:rsidR="00B17CA7" w:rsidRPr="001A2C4E" w:rsidRDefault="00B17CA7" w:rsidP="00B03783">
            <w:pPr>
              <w:pStyle w:val="TableText0"/>
              <w:widowControl w:val="0"/>
            </w:pPr>
            <w:r w:rsidRPr="001A2C4E">
              <w:t>Outcomes</w:t>
            </w:r>
          </w:p>
        </w:tc>
        <w:tc>
          <w:tcPr>
            <w:tcW w:w="1719" w:type="pct"/>
            <w:shd w:val="clear" w:color="auto" w:fill="C6D9F1" w:themeFill="text2" w:themeFillTint="33"/>
            <w:vAlign w:val="center"/>
          </w:tcPr>
          <w:p w14:paraId="08202452" w14:textId="77777777" w:rsidR="00B17CA7" w:rsidRPr="001A2C4E" w:rsidRDefault="00B17CA7" w:rsidP="00B03783">
            <w:pPr>
              <w:pStyle w:val="TableText0"/>
              <w:widowControl w:val="0"/>
            </w:pPr>
            <w:r w:rsidRPr="001A2C4E">
              <w:t>Quality-adjusted life years (QALYs) gained</w:t>
            </w:r>
          </w:p>
        </w:tc>
        <w:tc>
          <w:tcPr>
            <w:tcW w:w="2502" w:type="pct"/>
            <w:shd w:val="clear" w:color="auto" w:fill="C6D9F1" w:themeFill="text2" w:themeFillTint="33"/>
            <w:vAlign w:val="center"/>
          </w:tcPr>
          <w:p w14:paraId="541E1742" w14:textId="77777777" w:rsidR="00B17CA7" w:rsidRPr="001A2C4E" w:rsidRDefault="00B17CA7" w:rsidP="00B03783">
            <w:pPr>
              <w:pStyle w:val="TableText0"/>
              <w:widowControl w:val="0"/>
            </w:pPr>
            <w:r w:rsidRPr="001A2C4E">
              <w:t>Unchanged. Appropriate</w:t>
            </w:r>
          </w:p>
        </w:tc>
      </w:tr>
      <w:tr w:rsidR="00B17CA7" w:rsidRPr="001A2C4E" w14:paraId="6F9CE41C" w14:textId="77777777" w:rsidTr="0086042F">
        <w:trPr>
          <w:cantSplit/>
        </w:trPr>
        <w:tc>
          <w:tcPr>
            <w:tcW w:w="779" w:type="pct"/>
            <w:vAlign w:val="center"/>
          </w:tcPr>
          <w:p w14:paraId="3FEC6685" w14:textId="77777777" w:rsidR="00B17CA7" w:rsidRPr="001A2C4E" w:rsidRDefault="00B17CA7" w:rsidP="00B03783">
            <w:pPr>
              <w:pStyle w:val="TableText0"/>
              <w:widowControl w:val="0"/>
            </w:pPr>
            <w:r w:rsidRPr="001A2C4E">
              <w:t>Time horizon</w:t>
            </w:r>
          </w:p>
        </w:tc>
        <w:tc>
          <w:tcPr>
            <w:tcW w:w="1719" w:type="pct"/>
            <w:vAlign w:val="center"/>
          </w:tcPr>
          <w:p w14:paraId="6B25C226" w14:textId="77777777" w:rsidR="00B17CA7" w:rsidRPr="001A2C4E" w:rsidRDefault="00B17CA7" w:rsidP="00B03783">
            <w:pPr>
              <w:pStyle w:val="TableText0"/>
              <w:widowControl w:val="0"/>
            </w:pPr>
            <w:r w:rsidRPr="001A2C4E">
              <w:t>100 years, compared with up to 64 weeks in clinical studies.</w:t>
            </w:r>
          </w:p>
        </w:tc>
        <w:tc>
          <w:tcPr>
            <w:tcW w:w="2502" w:type="pct"/>
            <w:shd w:val="clear" w:color="auto" w:fill="auto"/>
            <w:vAlign w:val="center"/>
          </w:tcPr>
          <w:p w14:paraId="720CC98C" w14:textId="6DB98D52" w:rsidR="00B17CA7" w:rsidRPr="001A2C4E" w:rsidRDefault="00FB7E75" w:rsidP="00B03783">
            <w:pPr>
              <w:pStyle w:val="TableText0"/>
              <w:widowControl w:val="0"/>
            </w:pPr>
            <w:r w:rsidRPr="001A2C4E">
              <w:t xml:space="preserve">Reduced to </w:t>
            </w:r>
            <w:r w:rsidR="00B17CA7" w:rsidRPr="001A2C4E">
              <w:t>50 years</w:t>
            </w:r>
            <w:r w:rsidRPr="001A2C4E">
              <w:t xml:space="preserve">. </w:t>
            </w:r>
            <w:r w:rsidR="00B17CA7" w:rsidRPr="001A2C4E">
              <w:t>The model remain</w:t>
            </w:r>
            <w:r w:rsidRPr="001A2C4E">
              <w:t>ed</w:t>
            </w:r>
            <w:r w:rsidR="00B17CA7" w:rsidRPr="001A2C4E">
              <w:t xml:space="preserve"> highly sensitive to time horizon, </w:t>
            </w:r>
            <w:r w:rsidR="00B17CA7" w:rsidRPr="001A2C4E">
              <w:rPr>
                <w:shd w:val="clear" w:color="auto" w:fill="C6D9F1" w:themeFill="text2" w:themeFillTint="33"/>
              </w:rPr>
              <w:t xml:space="preserve">long-term predictions </w:t>
            </w:r>
            <w:r w:rsidR="00036562" w:rsidRPr="001A2C4E">
              <w:rPr>
                <w:shd w:val="clear" w:color="auto" w:fill="C6D9F1" w:themeFill="text2" w:themeFillTint="33"/>
              </w:rPr>
              <w:t xml:space="preserve">were still </w:t>
            </w:r>
            <w:r w:rsidR="00B17CA7" w:rsidRPr="001A2C4E">
              <w:rPr>
                <w:shd w:val="clear" w:color="auto" w:fill="C6D9F1" w:themeFill="text2" w:themeFillTint="33"/>
              </w:rPr>
              <w:t xml:space="preserve">based on relatively short patient follow up (64 weeks). The </w:t>
            </w:r>
            <w:r w:rsidR="00052ED2" w:rsidRPr="001A2C4E">
              <w:rPr>
                <w:shd w:val="clear" w:color="auto" w:fill="C6D9F1" w:themeFill="text2" w:themeFillTint="33"/>
              </w:rPr>
              <w:t xml:space="preserve">50 year </w:t>
            </w:r>
            <w:r w:rsidR="00B17CA7" w:rsidRPr="001A2C4E">
              <w:rPr>
                <w:shd w:val="clear" w:color="auto" w:fill="C6D9F1" w:themeFill="text2" w:themeFillTint="33"/>
              </w:rPr>
              <w:t>time horizon also exaggerat</w:t>
            </w:r>
            <w:r w:rsidR="009B7074" w:rsidRPr="001A2C4E">
              <w:rPr>
                <w:shd w:val="clear" w:color="auto" w:fill="C6D9F1" w:themeFill="text2" w:themeFillTint="33"/>
              </w:rPr>
              <w:t xml:space="preserve">ed the effect of favourable </w:t>
            </w:r>
            <w:r w:rsidR="00B17CA7" w:rsidRPr="001A2C4E">
              <w:rPr>
                <w:shd w:val="clear" w:color="auto" w:fill="C6D9F1" w:themeFill="text2" w:themeFillTint="33"/>
              </w:rPr>
              <w:t xml:space="preserve">transition </w:t>
            </w:r>
            <w:r w:rsidR="009B7074" w:rsidRPr="001A2C4E">
              <w:rPr>
                <w:shd w:val="clear" w:color="auto" w:fill="C6D9F1" w:themeFill="text2" w:themeFillTint="33"/>
              </w:rPr>
              <w:t xml:space="preserve">assumption </w:t>
            </w:r>
            <w:r w:rsidR="00B17CA7" w:rsidRPr="001A2C4E">
              <w:rPr>
                <w:shd w:val="clear" w:color="auto" w:fill="C6D9F1" w:themeFill="text2" w:themeFillTint="33"/>
              </w:rPr>
              <w:t>of BUR treated patients into the healed rickets health state (see also transition probabilities).</w:t>
            </w:r>
            <w:r w:rsidR="0086042F" w:rsidRPr="001A2C4E">
              <w:rPr>
                <w:shd w:val="clear" w:color="auto" w:fill="C6D9F1" w:themeFill="text2" w:themeFillTint="33"/>
              </w:rPr>
              <w:t xml:space="preserve"> </w:t>
            </w:r>
            <w:r w:rsidR="0086042F" w:rsidRPr="001A2C4E">
              <w:t xml:space="preserve">The time horizon was reduced to 25 years in the revised base </w:t>
            </w:r>
            <w:r w:rsidR="005E1AE3" w:rsidRPr="001A2C4E">
              <w:t>c</w:t>
            </w:r>
            <w:r w:rsidR="0086042F" w:rsidRPr="001A2C4E">
              <w:t>ase presented in the PSCR.</w:t>
            </w:r>
          </w:p>
        </w:tc>
      </w:tr>
      <w:tr w:rsidR="00B17CA7" w:rsidRPr="001A2C4E" w14:paraId="4ACDFF75" w14:textId="77777777" w:rsidTr="00603151">
        <w:trPr>
          <w:cantSplit/>
          <w:trHeight w:val="229"/>
        </w:trPr>
        <w:tc>
          <w:tcPr>
            <w:tcW w:w="779" w:type="pct"/>
            <w:vMerge w:val="restart"/>
            <w:vAlign w:val="center"/>
          </w:tcPr>
          <w:p w14:paraId="70E807DF" w14:textId="77777777" w:rsidR="00B17CA7" w:rsidRPr="001A2C4E" w:rsidRDefault="00B17CA7" w:rsidP="00B03783">
            <w:pPr>
              <w:pStyle w:val="TableText0"/>
              <w:widowControl w:val="0"/>
            </w:pPr>
            <w:r w:rsidRPr="001A2C4E">
              <w:t>Patient population</w:t>
            </w:r>
          </w:p>
        </w:tc>
        <w:tc>
          <w:tcPr>
            <w:tcW w:w="1719" w:type="pct"/>
            <w:vMerge w:val="restart"/>
          </w:tcPr>
          <w:p w14:paraId="1082E00A" w14:textId="2E220F8D" w:rsidR="00B17CA7" w:rsidRPr="001A2C4E" w:rsidRDefault="00B17CA7" w:rsidP="00B03783">
            <w:pPr>
              <w:pStyle w:val="TableText0"/>
              <w:widowControl w:val="0"/>
              <w:shd w:val="clear" w:color="auto" w:fill="C6D9F1" w:themeFill="text2" w:themeFillTint="33"/>
            </w:pPr>
            <w:r w:rsidRPr="001A2C4E">
              <w:rPr>
                <w:shd w:val="clear" w:color="auto" w:fill="C6D9F1" w:themeFill="text2" w:themeFillTint="33"/>
              </w:rPr>
              <w:t>Population was assumed to be an average age of 6.8 years at model start</w:t>
            </w:r>
            <w:r w:rsidR="009B7074" w:rsidRPr="001A2C4E">
              <w:rPr>
                <w:shd w:val="clear" w:color="auto" w:fill="C6D9F1" w:themeFill="text2" w:themeFillTint="33"/>
              </w:rPr>
              <w:t xml:space="preserve"> (based on trial data)</w:t>
            </w:r>
            <w:r w:rsidRPr="001A2C4E">
              <w:rPr>
                <w:shd w:val="clear" w:color="auto" w:fill="C6D9F1" w:themeFill="text2" w:themeFillTint="33"/>
              </w:rPr>
              <w:t>.</w:t>
            </w:r>
          </w:p>
          <w:p w14:paraId="07D99403" w14:textId="77777777" w:rsidR="00B17CA7" w:rsidRPr="001A2C4E" w:rsidRDefault="00B17CA7" w:rsidP="00B03783">
            <w:pPr>
              <w:pStyle w:val="TableText0"/>
              <w:widowControl w:val="0"/>
            </w:pPr>
          </w:p>
          <w:p w14:paraId="410FE94B" w14:textId="77777777" w:rsidR="00B17CA7" w:rsidRPr="001A2C4E" w:rsidRDefault="00B17CA7" w:rsidP="00B03783">
            <w:pPr>
              <w:pStyle w:val="TableText0"/>
              <w:widowControl w:val="0"/>
            </w:pPr>
            <w:r w:rsidRPr="001A2C4E">
              <w:t>Patients received BUR or conventional therapy continuously (assuming full compliance and no early discontinuations) until 18 years of age.</w:t>
            </w:r>
          </w:p>
        </w:tc>
        <w:tc>
          <w:tcPr>
            <w:tcW w:w="2502" w:type="pct"/>
            <w:vMerge w:val="restart"/>
            <w:shd w:val="clear" w:color="auto" w:fill="auto"/>
            <w:vAlign w:val="center"/>
          </w:tcPr>
          <w:p w14:paraId="3002BD95" w14:textId="03130A5C" w:rsidR="00B17CA7" w:rsidRPr="001A2C4E" w:rsidRDefault="00B17CA7" w:rsidP="00B03783">
            <w:pPr>
              <w:keepNext/>
              <w:widowControl w:val="0"/>
              <w:shd w:val="clear" w:color="auto" w:fill="C6D9F1" w:themeFill="text2" w:themeFillTint="33"/>
              <w:jc w:val="left"/>
              <w:rPr>
                <w:rFonts w:ascii="Arial Narrow" w:eastAsiaTheme="majorEastAsia" w:hAnsi="Arial Narrow" w:cstheme="majorBidi"/>
                <w:bCs/>
                <w:sz w:val="20"/>
              </w:rPr>
            </w:pPr>
            <w:r w:rsidRPr="001A2C4E">
              <w:rPr>
                <w:rFonts w:ascii="Arial Narrow" w:eastAsiaTheme="majorEastAsia" w:hAnsi="Arial Narrow" w:cstheme="majorBidi"/>
                <w:bCs/>
                <w:sz w:val="20"/>
              </w:rPr>
              <w:t>Average age at model start: unchanged.</w:t>
            </w:r>
            <w:r w:rsidR="009B7074" w:rsidRPr="001A2C4E">
              <w:rPr>
                <w:rFonts w:ascii="Arial Narrow" w:eastAsiaTheme="majorEastAsia" w:hAnsi="Arial Narrow" w:cstheme="majorBidi"/>
                <w:bCs/>
                <w:sz w:val="20"/>
              </w:rPr>
              <w:t xml:space="preserve"> </w:t>
            </w:r>
            <w:r w:rsidR="00CC0B3E" w:rsidRPr="001A2C4E">
              <w:rPr>
                <w:rFonts w:ascii="Arial Narrow" w:eastAsiaTheme="majorEastAsia" w:hAnsi="Arial Narrow" w:cstheme="majorBidi"/>
                <w:bCs/>
                <w:sz w:val="20"/>
              </w:rPr>
              <w:t xml:space="preserve">The TGA indication is for patients ≥1 years. </w:t>
            </w:r>
            <w:r w:rsidR="009B7074" w:rsidRPr="001A2C4E">
              <w:rPr>
                <w:rFonts w:ascii="Arial Narrow" w:eastAsiaTheme="majorEastAsia" w:hAnsi="Arial Narrow" w:cstheme="majorBidi"/>
                <w:bCs/>
                <w:sz w:val="20"/>
              </w:rPr>
              <w:t>Given the requested listing was age agnostic</w:t>
            </w:r>
            <w:r w:rsidR="00CC0B3E" w:rsidRPr="001A2C4E">
              <w:rPr>
                <w:rFonts w:ascii="Arial Narrow" w:eastAsiaTheme="majorEastAsia" w:hAnsi="Arial Narrow" w:cstheme="majorBidi"/>
                <w:bCs/>
                <w:sz w:val="20"/>
              </w:rPr>
              <w:t xml:space="preserve">, </w:t>
            </w:r>
            <w:r w:rsidR="00CC0B3E" w:rsidRPr="001A2C4E">
              <w:rPr>
                <w:rFonts w:ascii="Arial Narrow" w:eastAsiaTheme="majorEastAsia" w:hAnsi="Arial Narrow" w:cstheme="majorBidi"/>
                <w:bCs/>
                <w:sz w:val="20"/>
                <w:shd w:val="clear" w:color="auto" w:fill="C6D9F1" w:themeFill="text2" w:themeFillTint="33"/>
              </w:rPr>
              <w:t>a</w:t>
            </w:r>
            <w:r w:rsidR="008233BA" w:rsidRPr="001A2C4E">
              <w:rPr>
                <w:rFonts w:ascii="Arial Narrow" w:eastAsiaTheme="majorEastAsia" w:hAnsi="Arial Narrow" w:cstheme="majorBidi"/>
                <w:bCs/>
                <w:sz w:val="20"/>
                <w:shd w:val="clear" w:color="auto" w:fill="C6D9F1" w:themeFill="text2" w:themeFillTint="33"/>
              </w:rPr>
              <w:t>s prevalent patients switch to receiving BUR treatment, mean starting age of incident patients is likely to trend towards 1 year of age (or mean age of diagnosis).</w:t>
            </w:r>
          </w:p>
          <w:p w14:paraId="70AB9F81" w14:textId="77777777" w:rsidR="005843F5" w:rsidRPr="001A2C4E" w:rsidRDefault="005843F5" w:rsidP="00B03783">
            <w:pPr>
              <w:keepNext/>
              <w:widowControl w:val="0"/>
              <w:shd w:val="clear" w:color="auto" w:fill="C6D9F1" w:themeFill="text2" w:themeFillTint="33"/>
              <w:jc w:val="left"/>
              <w:rPr>
                <w:rFonts w:ascii="Arial Narrow" w:eastAsiaTheme="majorEastAsia" w:hAnsi="Arial Narrow" w:cstheme="majorBidi"/>
                <w:bCs/>
                <w:sz w:val="20"/>
              </w:rPr>
            </w:pPr>
          </w:p>
          <w:p w14:paraId="7BA38263" w14:textId="08B516A8" w:rsidR="00B17CA7" w:rsidRPr="001A2C4E" w:rsidRDefault="00B17CA7" w:rsidP="00B03783">
            <w:pPr>
              <w:keepNext/>
              <w:widowControl w:val="0"/>
              <w:jc w:val="left"/>
              <w:rPr>
                <w:rFonts w:ascii="Arial Narrow" w:hAnsi="Arial Narrow"/>
                <w:sz w:val="20"/>
                <w:szCs w:val="20"/>
              </w:rPr>
            </w:pPr>
            <w:r w:rsidRPr="001A2C4E">
              <w:rPr>
                <w:rFonts w:ascii="Arial Narrow" w:hAnsi="Arial Narrow"/>
                <w:sz w:val="20"/>
                <w:szCs w:val="20"/>
                <w:shd w:val="clear" w:color="auto" w:fill="C6D9F1" w:themeFill="text2" w:themeFillTint="33"/>
              </w:rPr>
              <w:t>Patients received BUR or conventional therapy continuously (100% compliance and no early discontinuations) until 18 years of age</w:t>
            </w:r>
            <w:r w:rsidR="009B7074" w:rsidRPr="001A2C4E">
              <w:rPr>
                <w:rFonts w:ascii="Arial Narrow" w:hAnsi="Arial Narrow"/>
                <w:sz w:val="20"/>
                <w:szCs w:val="20"/>
                <w:shd w:val="clear" w:color="auto" w:fill="B8CCE4" w:themeFill="accent1" w:themeFillTint="66"/>
              </w:rPr>
              <w:t xml:space="preserve"> </w:t>
            </w:r>
            <w:r w:rsidR="009B7074" w:rsidRPr="001A2C4E">
              <w:rPr>
                <w:rFonts w:ascii="Arial Narrow" w:hAnsi="Arial Narrow"/>
                <w:sz w:val="20"/>
                <w:szCs w:val="20"/>
              </w:rPr>
              <w:t>then continued into adulthood at reduced utilisation rates. For BUR</w:t>
            </w:r>
            <w:r w:rsidR="00CC0B3E" w:rsidRPr="001A2C4E">
              <w:rPr>
                <w:rFonts w:ascii="Arial Narrow" w:hAnsi="Arial Narrow"/>
                <w:sz w:val="20"/>
                <w:szCs w:val="20"/>
              </w:rPr>
              <w:t xml:space="preserve">, </w:t>
            </w:r>
            <w:r w:rsidR="009B7074" w:rsidRPr="001A2C4E">
              <w:rPr>
                <w:rFonts w:ascii="Arial Narrow" w:hAnsi="Arial Narrow"/>
                <w:sz w:val="20"/>
                <w:szCs w:val="20"/>
              </w:rPr>
              <w:t xml:space="preserve">80% from 18 years, 60% from 20 years, 50% from 30-50 years and 0% from 60 years. </w:t>
            </w:r>
            <w:r w:rsidR="005F6A31" w:rsidRPr="001A2C4E">
              <w:rPr>
                <w:rFonts w:ascii="Arial Narrow" w:hAnsi="Arial Narrow"/>
                <w:sz w:val="20"/>
                <w:szCs w:val="20"/>
              </w:rPr>
              <w:t xml:space="preserve">Utilisation rates into adulthood were increased in the </w:t>
            </w:r>
            <w:r w:rsidR="00B872A2" w:rsidRPr="001A2C4E">
              <w:rPr>
                <w:rFonts w:ascii="Arial Narrow" w:hAnsi="Arial Narrow"/>
                <w:sz w:val="20"/>
                <w:szCs w:val="20"/>
              </w:rPr>
              <w:t xml:space="preserve">revised base case presented in the PSCR (90% at 18 years, 80% at 20 years and 70% at 30 years of age). </w:t>
            </w:r>
            <w:r w:rsidR="009B7074" w:rsidRPr="001A2C4E">
              <w:rPr>
                <w:rFonts w:ascii="Arial Narrow" w:hAnsi="Arial Narrow"/>
                <w:sz w:val="20"/>
                <w:szCs w:val="20"/>
              </w:rPr>
              <w:t xml:space="preserve">For conventional therapy, 71% of patients were assumed to continue treatment as adults. Note in the adult model this proportion was slightly different at 70.1%. </w:t>
            </w:r>
            <w:r w:rsidR="008233BA" w:rsidRPr="001A2C4E">
              <w:rPr>
                <w:rFonts w:ascii="Arial Narrow" w:hAnsi="Arial Narrow"/>
                <w:sz w:val="20"/>
                <w:szCs w:val="20"/>
              </w:rPr>
              <w:t>C</w:t>
            </w:r>
            <w:r w:rsidR="008233BA" w:rsidRPr="001A2C4E">
              <w:rPr>
                <w:rFonts w:ascii="Arial Narrow" w:eastAsiaTheme="majorEastAsia" w:hAnsi="Arial Narrow" w:cstheme="majorBidi"/>
                <w:bCs/>
                <w:sz w:val="20"/>
              </w:rPr>
              <w:t>ontinuation</w:t>
            </w:r>
            <w:r w:rsidR="00CC0B3E" w:rsidRPr="001A2C4E">
              <w:rPr>
                <w:rFonts w:ascii="Arial Narrow" w:eastAsiaTheme="majorEastAsia" w:hAnsi="Arial Narrow" w:cstheme="majorBidi"/>
                <w:bCs/>
                <w:sz w:val="20"/>
              </w:rPr>
              <w:t xml:space="preserve"> </w:t>
            </w:r>
            <w:r w:rsidR="008233BA" w:rsidRPr="001A2C4E">
              <w:rPr>
                <w:rFonts w:ascii="Arial Narrow" w:eastAsiaTheme="majorEastAsia" w:hAnsi="Arial Narrow" w:cstheme="majorBidi"/>
                <w:bCs/>
                <w:sz w:val="20"/>
              </w:rPr>
              <w:t xml:space="preserve">however did not impact on the model as </w:t>
            </w:r>
            <w:r w:rsidRPr="001A2C4E">
              <w:rPr>
                <w:rFonts w:ascii="Arial Narrow" w:eastAsiaTheme="majorEastAsia" w:hAnsi="Arial Narrow" w:cstheme="majorBidi"/>
                <w:bCs/>
                <w:sz w:val="20"/>
              </w:rPr>
              <w:t>the model predict</w:t>
            </w:r>
            <w:r w:rsidR="008233BA" w:rsidRPr="001A2C4E">
              <w:rPr>
                <w:rFonts w:ascii="Arial Narrow" w:eastAsiaTheme="majorEastAsia" w:hAnsi="Arial Narrow" w:cstheme="majorBidi"/>
                <w:bCs/>
                <w:sz w:val="20"/>
              </w:rPr>
              <w:t>ed</w:t>
            </w:r>
            <w:r w:rsidRPr="001A2C4E">
              <w:rPr>
                <w:rFonts w:ascii="Arial Narrow" w:eastAsiaTheme="majorEastAsia" w:hAnsi="Arial Narrow" w:cstheme="majorBidi"/>
                <w:bCs/>
                <w:sz w:val="20"/>
              </w:rPr>
              <w:t xml:space="preserve"> almost all BUR treated patients </w:t>
            </w:r>
            <w:r w:rsidR="00CC0B3E" w:rsidRPr="001A2C4E">
              <w:rPr>
                <w:rFonts w:ascii="Arial Narrow" w:eastAsiaTheme="majorEastAsia" w:hAnsi="Arial Narrow" w:cstheme="majorBidi"/>
                <w:bCs/>
                <w:sz w:val="20"/>
              </w:rPr>
              <w:t xml:space="preserve">are </w:t>
            </w:r>
            <w:r w:rsidRPr="001A2C4E">
              <w:rPr>
                <w:rFonts w:ascii="Arial Narrow" w:eastAsiaTheme="majorEastAsia" w:hAnsi="Arial Narrow" w:cstheme="majorBidi"/>
                <w:bCs/>
                <w:sz w:val="20"/>
              </w:rPr>
              <w:t>‘healed’ of rickets by Year 10. See also transition probabilities.</w:t>
            </w:r>
          </w:p>
        </w:tc>
      </w:tr>
      <w:tr w:rsidR="00B17CA7" w:rsidRPr="001A2C4E" w14:paraId="77D53384" w14:textId="77777777" w:rsidTr="00603151">
        <w:trPr>
          <w:cantSplit/>
          <w:trHeight w:val="229"/>
        </w:trPr>
        <w:tc>
          <w:tcPr>
            <w:tcW w:w="779" w:type="pct"/>
            <w:vMerge/>
            <w:vAlign w:val="center"/>
          </w:tcPr>
          <w:p w14:paraId="5BCE1022" w14:textId="77777777" w:rsidR="00B17CA7" w:rsidRPr="001A2C4E" w:rsidRDefault="00B17CA7" w:rsidP="005739FB">
            <w:pPr>
              <w:pStyle w:val="TableText0"/>
              <w:keepNext w:val="0"/>
              <w:widowControl w:val="0"/>
              <w:rPr>
                <w:highlight w:val="yellow"/>
              </w:rPr>
            </w:pPr>
          </w:p>
        </w:tc>
        <w:tc>
          <w:tcPr>
            <w:tcW w:w="1719" w:type="pct"/>
            <w:vMerge/>
          </w:tcPr>
          <w:p w14:paraId="0B4DC005" w14:textId="77777777" w:rsidR="00B17CA7" w:rsidRPr="001A2C4E" w:rsidRDefault="00B17CA7" w:rsidP="005739FB">
            <w:pPr>
              <w:pStyle w:val="TableText0"/>
              <w:keepNext w:val="0"/>
              <w:widowControl w:val="0"/>
            </w:pPr>
          </w:p>
        </w:tc>
        <w:tc>
          <w:tcPr>
            <w:tcW w:w="2502" w:type="pct"/>
            <w:vMerge/>
            <w:shd w:val="clear" w:color="auto" w:fill="auto"/>
            <w:vAlign w:val="center"/>
          </w:tcPr>
          <w:p w14:paraId="40CC4739" w14:textId="77777777" w:rsidR="00B17CA7" w:rsidRPr="001A2C4E" w:rsidRDefault="00B17CA7" w:rsidP="005739FB">
            <w:pPr>
              <w:widowControl w:val="0"/>
              <w:jc w:val="left"/>
              <w:rPr>
                <w:rFonts w:ascii="Arial Narrow" w:eastAsiaTheme="majorEastAsia" w:hAnsi="Arial Narrow" w:cstheme="majorBidi"/>
                <w:bCs/>
                <w:sz w:val="20"/>
              </w:rPr>
            </w:pPr>
          </w:p>
        </w:tc>
      </w:tr>
      <w:tr w:rsidR="00B17CA7" w:rsidRPr="001A2C4E" w14:paraId="60947471" w14:textId="77777777" w:rsidTr="00603151">
        <w:trPr>
          <w:cantSplit/>
        </w:trPr>
        <w:tc>
          <w:tcPr>
            <w:tcW w:w="779" w:type="pct"/>
            <w:shd w:val="clear" w:color="auto" w:fill="C6D9F1" w:themeFill="text2" w:themeFillTint="33"/>
            <w:vAlign w:val="center"/>
          </w:tcPr>
          <w:p w14:paraId="492638AD" w14:textId="77777777" w:rsidR="00B17CA7" w:rsidRPr="001A2C4E" w:rsidRDefault="00B17CA7" w:rsidP="005739FB">
            <w:pPr>
              <w:pStyle w:val="TableText0"/>
              <w:keepNext w:val="0"/>
              <w:widowControl w:val="0"/>
            </w:pPr>
            <w:r w:rsidRPr="001A2C4E">
              <w:t>Methods used to generate results</w:t>
            </w:r>
          </w:p>
        </w:tc>
        <w:tc>
          <w:tcPr>
            <w:tcW w:w="1719" w:type="pct"/>
            <w:shd w:val="clear" w:color="auto" w:fill="C6D9F1" w:themeFill="text2" w:themeFillTint="33"/>
            <w:vAlign w:val="center"/>
          </w:tcPr>
          <w:p w14:paraId="5A592A13" w14:textId="77777777" w:rsidR="00B17CA7" w:rsidRPr="001A2C4E" w:rsidRDefault="00B17CA7" w:rsidP="005739FB">
            <w:pPr>
              <w:pStyle w:val="TableText0"/>
              <w:keepNext w:val="0"/>
              <w:widowControl w:val="0"/>
            </w:pPr>
            <w:r w:rsidRPr="001A2C4E">
              <w:t>Markov state transition model</w:t>
            </w:r>
          </w:p>
        </w:tc>
        <w:tc>
          <w:tcPr>
            <w:tcW w:w="2502" w:type="pct"/>
            <w:shd w:val="clear" w:color="auto" w:fill="C6D9F1" w:themeFill="text2" w:themeFillTint="33"/>
            <w:vAlign w:val="center"/>
          </w:tcPr>
          <w:p w14:paraId="29B003F4" w14:textId="77777777" w:rsidR="00B17CA7" w:rsidRPr="001A2C4E" w:rsidRDefault="00B17CA7" w:rsidP="005739FB">
            <w:pPr>
              <w:pStyle w:val="TableText0"/>
              <w:keepNext w:val="0"/>
              <w:widowControl w:val="0"/>
            </w:pPr>
            <w:r w:rsidRPr="001A2C4E">
              <w:t>Unchanged. Reasonable.</w:t>
            </w:r>
          </w:p>
        </w:tc>
      </w:tr>
      <w:tr w:rsidR="00B17CA7" w:rsidRPr="001A2C4E" w14:paraId="6201AADD" w14:textId="77777777" w:rsidTr="00603151">
        <w:trPr>
          <w:cantSplit/>
        </w:trPr>
        <w:tc>
          <w:tcPr>
            <w:tcW w:w="779" w:type="pct"/>
            <w:shd w:val="clear" w:color="auto" w:fill="C6D9F1" w:themeFill="text2" w:themeFillTint="33"/>
            <w:vAlign w:val="center"/>
          </w:tcPr>
          <w:p w14:paraId="3A43F3DC" w14:textId="77777777" w:rsidR="00B17CA7" w:rsidRPr="001A2C4E" w:rsidRDefault="00B17CA7" w:rsidP="005739FB">
            <w:pPr>
              <w:pStyle w:val="TableText0"/>
              <w:keepNext w:val="0"/>
              <w:widowControl w:val="0"/>
            </w:pPr>
            <w:r w:rsidRPr="001A2C4E">
              <w:t>Health states</w:t>
            </w:r>
          </w:p>
        </w:tc>
        <w:tc>
          <w:tcPr>
            <w:tcW w:w="1719" w:type="pct"/>
            <w:shd w:val="clear" w:color="auto" w:fill="C6D9F1" w:themeFill="text2" w:themeFillTint="33"/>
            <w:vAlign w:val="center"/>
          </w:tcPr>
          <w:p w14:paraId="5BEF0C79" w14:textId="77777777" w:rsidR="00B17CA7" w:rsidRPr="001A2C4E" w:rsidRDefault="00B17CA7" w:rsidP="005843F5">
            <w:pPr>
              <w:widowControl w:val="0"/>
              <w:shd w:val="clear" w:color="auto" w:fill="C6D9F1" w:themeFill="text2" w:themeFillTint="33"/>
              <w:jc w:val="left"/>
              <w:rPr>
                <w:rFonts w:ascii="Arial Narrow" w:eastAsiaTheme="majorEastAsia" w:hAnsi="Arial Narrow" w:cstheme="majorBidi"/>
                <w:bCs/>
                <w:sz w:val="20"/>
              </w:rPr>
            </w:pPr>
            <w:r w:rsidRPr="001A2C4E">
              <w:rPr>
                <w:rFonts w:ascii="Arial Narrow" w:eastAsiaTheme="majorEastAsia" w:hAnsi="Arial Narrow" w:cstheme="majorBidi"/>
                <w:bCs/>
                <w:sz w:val="20"/>
              </w:rPr>
              <w:t>Four chronic health states defined by Rickets Severity Score (RSS):</w:t>
            </w:r>
          </w:p>
          <w:p w14:paraId="7CBE57B8" w14:textId="413FD901"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Mild (RSS of 0.5 or 1.0)</w:t>
            </w:r>
          </w:p>
          <w:p w14:paraId="2D381EE9" w14:textId="1D3CE6C0"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Moderate (RSS of 1.5 or 2.0)</w:t>
            </w:r>
          </w:p>
          <w:p w14:paraId="5D06AE3B" w14:textId="03310162" w:rsidR="00B17CA7" w:rsidRPr="001A2C4E" w:rsidRDefault="00B17CA7" w:rsidP="001A2C4E">
            <w:pPr>
              <w:widowControl w:val="0"/>
              <w:numPr>
                <w:ilvl w:val="0"/>
                <w:numId w:val="7"/>
              </w:numPr>
              <w:shd w:val="clear" w:color="auto" w:fill="C6D9F1" w:themeFill="text2" w:themeFillTint="33"/>
              <w:ind w:left="142" w:hanging="142"/>
              <w:jc w:val="left"/>
              <w:rPr>
                <w:rFonts w:ascii="Arial Narrow" w:eastAsiaTheme="majorEastAsia" w:hAnsi="Arial Narrow" w:cstheme="majorBidi"/>
                <w:bCs/>
                <w:sz w:val="20"/>
              </w:rPr>
            </w:pPr>
            <w:r w:rsidRPr="001A2C4E">
              <w:rPr>
                <w:rFonts w:ascii="Arial Narrow" w:eastAsiaTheme="majorEastAsia" w:hAnsi="Arial Narrow" w:cstheme="majorBidi"/>
                <w:bCs/>
                <w:sz w:val="20"/>
              </w:rPr>
              <w:t>Severe (RSS of 2.5 or more)</w:t>
            </w:r>
          </w:p>
          <w:p w14:paraId="6456E240" w14:textId="1E36ED8D" w:rsidR="00B17CA7" w:rsidRPr="001A2C4E" w:rsidRDefault="00B17CA7" w:rsidP="001A2C4E">
            <w:pPr>
              <w:widowControl w:val="0"/>
              <w:numPr>
                <w:ilvl w:val="0"/>
                <w:numId w:val="7"/>
              </w:numPr>
              <w:shd w:val="clear" w:color="auto" w:fill="C6D9F1" w:themeFill="text2" w:themeFillTint="33"/>
              <w:ind w:left="110" w:hanging="110"/>
              <w:jc w:val="left"/>
              <w:rPr>
                <w:rFonts w:ascii="Arial Narrow" w:eastAsiaTheme="majorEastAsia" w:hAnsi="Arial Narrow" w:cstheme="majorBidi"/>
                <w:bCs/>
                <w:sz w:val="20"/>
              </w:rPr>
            </w:pPr>
            <w:r w:rsidRPr="001A2C4E">
              <w:rPr>
                <w:rFonts w:ascii="Arial Narrow" w:eastAsiaTheme="majorEastAsia" w:hAnsi="Arial Narrow" w:cstheme="majorBidi"/>
                <w:bCs/>
                <w:sz w:val="20"/>
              </w:rPr>
              <w:t>Healed (RSS of 0)</w:t>
            </w:r>
          </w:p>
          <w:p w14:paraId="7432A2C3" w14:textId="77777777" w:rsidR="00B17CA7" w:rsidRPr="001A2C4E" w:rsidRDefault="00B17CA7" w:rsidP="005739FB">
            <w:pPr>
              <w:widowControl w:val="0"/>
              <w:jc w:val="left"/>
              <w:rPr>
                <w:rFonts w:ascii="Arial Narrow" w:eastAsiaTheme="majorEastAsia" w:hAnsi="Arial Narrow" w:cstheme="majorBidi"/>
                <w:bCs/>
                <w:sz w:val="20"/>
              </w:rPr>
            </w:pPr>
            <w:r w:rsidRPr="001A2C4E">
              <w:rPr>
                <w:rFonts w:ascii="Arial Narrow" w:eastAsiaTheme="majorEastAsia" w:hAnsi="Arial Narrow" w:cstheme="majorBidi"/>
                <w:bCs/>
                <w:sz w:val="20"/>
              </w:rPr>
              <w:t xml:space="preserve">An absorbing death state to account for all-cause mortality. </w:t>
            </w:r>
          </w:p>
        </w:tc>
        <w:tc>
          <w:tcPr>
            <w:tcW w:w="2502" w:type="pct"/>
            <w:vAlign w:val="center"/>
          </w:tcPr>
          <w:p w14:paraId="559B1A29" w14:textId="77777777" w:rsidR="00B17CA7" w:rsidRPr="001A2C4E" w:rsidRDefault="00B17CA7" w:rsidP="005843F5">
            <w:pPr>
              <w:pStyle w:val="TableText0"/>
              <w:keepNext w:val="0"/>
              <w:widowControl w:val="0"/>
              <w:shd w:val="clear" w:color="auto" w:fill="C6D9F1" w:themeFill="text2" w:themeFillTint="33"/>
            </w:pPr>
            <w:r w:rsidRPr="001A2C4E">
              <w:t>RSS health states and structure: unchanged.</w:t>
            </w:r>
          </w:p>
          <w:p w14:paraId="3A477288" w14:textId="77777777" w:rsidR="00B17CA7" w:rsidRPr="001A2C4E" w:rsidRDefault="00B17CA7" w:rsidP="005739FB">
            <w:pPr>
              <w:pStyle w:val="TableText0"/>
              <w:keepNext w:val="0"/>
              <w:widowControl w:val="0"/>
            </w:pPr>
            <w:r w:rsidRPr="001A2C4E">
              <w:t>Assumed a proportional reduction in excess XLH-related mortality, applied to patients treated with BUR (extrapolated survival benefit). The survival benefit did not significantly impact results, as it occurred late in the model time horizon and therefore the effect was heavily discounted.</w:t>
            </w:r>
          </w:p>
        </w:tc>
      </w:tr>
      <w:tr w:rsidR="00B17CA7" w:rsidRPr="001A2C4E" w14:paraId="6DA7A8CE" w14:textId="77777777" w:rsidTr="00603151">
        <w:trPr>
          <w:cantSplit/>
        </w:trPr>
        <w:tc>
          <w:tcPr>
            <w:tcW w:w="779" w:type="pct"/>
            <w:shd w:val="clear" w:color="auto" w:fill="C6D9F1" w:themeFill="text2" w:themeFillTint="33"/>
            <w:vAlign w:val="center"/>
          </w:tcPr>
          <w:p w14:paraId="7504C9DB" w14:textId="77777777" w:rsidR="00B17CA7" w:rsidRPr="001A2C4E" w:rsidRDefault="00B17CA7" w:rsidP="005739FB">
            <w:pPr>
              <w:pStyle w:val="TableText0"/>
              <w:keepNext w:val="0"/>
              <w:widowControl w:val="0"/>
            </w:pPr>
            <w:r w:rsidRPr="001A2C4E">
              <w:t>Cycle length</w:t>
            </w:r>
          </w:p>
        </w:tc>
        <w:tc>
          <w:tcPr>
            <w:tcW w:w="1719" w:type="pct"/>
            <w:shd w:val="clear" w:color="auto" w:fill="C6D9F1" w:themeFill="text2" w:themeFillTint="33"/>
            <w:vAlign w:val="center"/>
          </w:tcPr>
          <w:p w14:paraId="53C0D423" w14:textId="77777777" w:rsidR="00B17CA7" w:rsidRPr="001A2C4E" w:rsidRDefault="00B17CA7" w:rsidP="005739FB">
            <w:pPr>
              <w:pStyle w:val="TableText0"/>
              <w:keepNext w:val="0"/>
              <w:widowControl w:val="0"/>
            </w:pPr>
            <w:r w:rsidRPr="001A2C4E">
              <w:t>One year (with half cycle correction applied)</w:t>
            </w:r>
          </w:p>
        </w:tc>
        <w:tc>
          <w:tcPr>
            <w:tcW w:w="2502" w:type="pct"/>
            <w:shd w:val="clear" w:color="auto" w:fill="C6D9F1" w:themeFill="text2" w:themeFillTint="33"/>
            <w:vAlign w:val="center"/>
          </w:tcPr>
          <w:p w14:paraId="27972D0A" w14:textId="77777777" w:rsidR="00B17CA7" w:rsidRPr="001A2C4E" w:rsidRDefault="00B17CA7" w:rsidP="005739FB">
            <w:pPr>
              <w:pStyle w:val="TableText0"/>
              <w:keepNext w:val="0"/>
              <w:widowControl w:val="0"/>
            </w:pPr>
            <w:r w:rsidRPr="001A2C4E">
              <w:t>Unchanged. Reasonable.</w:t>
            </w:r>
          </w:p>
        </w:tc>
      </w:tr>
      <w:tr w:rsidR="00B17CA7" w:rsidRPr="001A2C4E" w14:paraId="2802A8E2" w14:textId="77777777" w:rsidTr="00603151">
        <w:trPr>
          <w:cantSplit/>
        </w:trPr>
        <w:tc>
          <w:tcPr>
            <w:tcW w:w="779" w:type="pct"/>
            <w:shd w:val="clear" w:color="auto" w:fill="auto"/>
            <w:vAlign w:val="center"/>
          </w:tcPr>
          <w:p w14:paraId="5403CE50" w14:textId="77777777" w:rsidR="00B17CA7" w:rsidRPr="001A2C4E" w:rsidRDefault="00B17CA7" w:rsidP="005739FB">
            <w:pPr>
              <w:pStyle w:val="TableText0"/>
              <w:keepNext w:val="0"/>
              <w:widowControl w:val="0"/>
            </w:pPr>
            <w:r w:rsidRPr="001A2C4E">
              <w:lastRenderedPageBreak/>
              <w:t>Transition probabilities</w:t>
            </w:r>
          </w:p>
        </w:tc>
        <w:tc>
          <w:tcPr>
            <w:tcW w:w="1719" w:type="pct"/>
            <w:shd w:val="clear" w:color="auto" w:fill="C6D9F1" w:themeFill="text2" w:themeFillTint="33"/>
            <w:vAlign w:val="center"/>
          </w:tcPr>
          <w:p w14:paraId="310EA70F" w14:textId="680BBA30"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rPr>
                <w:shd w:val="clear" w:color="auto" w:fill="C6D9F1" w:themeFill="text2" w:themeFillTint="33"/>
              </w:rPr>
              <w:t>Baseline distribution of patients between health states was informed by pooled data from CL301, CL201 and</w:t>
            </w:r>
            <w:r w:rsidRPr="001A2C4E">
              <w:t xml:space="preserve"> CL205.  </w:t>
            </w:r>
          </w:p>
          <w:p w14:paraId="19E595C7" w14:textId="5A32B6DC"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Transition probabilities in the BUR arm were also based on pooled data from these three studies reflecting change in RSS between baseline and Week 64.</w:t>
            </w:r>
          </w:p>
          <w:p w14:paraId="483EC981" w14:textId="33B709B5"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Transition probabilities in the conventional therapy arm were informed by pooled data from the control arm of CL301 and a UK chart review.</w:t>
            </w:r>
          </w:p>
        </w:tc>
        <w:tc>
          <w:tcPr>
            <w:tcW w:w="2502" w:type="pct"/>
            <w:shd w:val="clear" w:color="auto" w:fill="C6D9F1" w:themeFill="text2" w:themeFillTint="33"/>
            <w:vAlign w:val="center"/>
          </w:tcPr>
          <w:p w14:paraId="2BC54829" w14:textId="031BCFC3" w:rsidR="00B17CA7" w:rsidRPr="001A2C4E" w:rsidRDefault="00B17CA7" w:rsidP="005843F5">
            <w:pPr>
              <w:pStyle w:val="TableText0"/>
              <w:widowControl w:val="0"/>
              <w:shd w:val="clear" w:color="auto" w:fill="C6D9F1" w:themeFill="text2" w:themeFillTint="33"/>
            </w:pPr>
            <w:r w:rsidRPr="001A2C4E">
              <w:rPr>
                <w:shd w:val="clear" w:color="auto" w:fill="C6D9F1" w:themeFill="text2" w:themeFillTint="33"/>
              </w:rPr>
              <w:t>Unchanged</w:t>
            </w:r>
            <w:r w:rsidR="008233BA" w:rsidRPr="001A2C4E">
              <w:rPr>
                <w:shd w:val="clear" w:color="auto" w:fill="C6D9F1" w:themeFill="text2" w:themeFillTint="33"/>
              </w:rPr>
              <w:t>.</w:t>
            </w:r>
            <w:r w:rsidRPr="001A2C4E">
              <w:t xml:space="preserve"> </w:t>
            </w:r>
          </w:p>
          <w:p w14:paraId="53296578" w14:textId="77777777" w:rsidR="00B17CA7" w:rsidRPr="001A2C4E" w:rsidRDefault="00B17CA7" w:rsidP="00965251">
            <w:pPr>
              <w:pStyle w:val="TableText0"/>
              <w:widowControl w:val="0"/>
              <w:shd w:val="clear" w:color="auto" w:fill="C6D9F1" w:themeFill="text2" w:themeFillTint="33"/>
              <w:ind w:left="142" w:hanging="142"/>
            </w:pPr>
            <w:r w:rsidRPr="001A2C4E">
              <w:rPr>
                <w:shd w:val="clear" w:color="auto" w:fill="C6D9F1" w:themeFill="text2" w:themeFillTint="33"/>
              </w:rPr>
              <w:t>• A single patient informed the transition probability for remaining in the ‘healed’ state for BUR patients, thus all BUR patients who transitioned into a ‘healed’ state were assumed to remain ‘healed’ until death.</w:t>
            </w:r>
            <w:r w:rsidRPr="001A2C4E">
              <w:t xml:space="preserve"> </w:t>
            </w:r>
          </w:p>
          <w:p w14:paraId="76269C75" w14:textId="77777777" w:rsidR="00B17CA7" w:rsidRPr="001A2C4E" w:rsidRDefault="00B17CA7" w:rsidP="00965251">
            <w:pPr>
              <w:pStyle w:val="TableText0"/>
              <w:widowControl w:val="0"/>
              <w:shd w:val="clear" w:color="auto" w:fill="C6D9F1" w:themeFill="text2" w:themeFillTint="33"/>
              <w:ind w:left="142" w:hanging="142"/>
            </w:pPr>
            <w:r w:rsidRPr="001A2C4E">
              <w:rPr>
                <w:shd w:val="clear" w:color="auto" w:fill="C6D9F1" w:themeFill="text2" w:themeFillTint="33"/>
              </w:rPr>
              <w:t>• Transition probabilities were equally applied to children of all ages up to 18 years. No data available from clinical studies to support this.</w:t>
            </w:r>
            <w:r w:rsidRPr="001A2C4E">
              <w:rPr>
                <w:shd w:val="clear" w:color="auto" w:fill="B8CCE4" w:themeFill="accent1" w:themeFillTint="66"/>
              </w:rPr>
              <w:t xml:space="preserve"> </w:t>
            </w:r>
          </w:p>
          <w:p w14:paraId="424D3BF9" w14:textId="77777777" w:rsidR="00B17CA7" w:rsidRPr="001A2C4E" w:rsidRDefault="00B17CA7" w:rsidP="00965251">
            <w:pPr>
              <w:pStyle w:val="TableText0"/>
              <w:keepNext w:val="0"/>
              <w:widowControl w:val="0"/>
              <w:shd w:val="clear" w:color="auto" w:fill="C6D9F1" w:themeFill="text2" w:themeFillTint="33"/>
              <w:ind w:left="142" w:hanging="142"/>
            </w:pPr>
            <w:r w:rsidRPr="001A2C4E">
              <w:rPr>
                <w:shd w:val="clear" w:color="auto" w:fill="C6D9F1" w:themeFill="text2" w:themeFillTint="33"/>
              </w:rPr>
              <w:t>• BUR treated patients can never transition to a worse health state in the model, not supported by long term data, particularly if a patient ceases treatment.</w:t>
            </w:r>
          </w:p>
        </w:tc>
      </w:tr>
      <w:tr w:rsidR="00B17CA7" w:rsidRPr="001A2C4E" w14:paraId="21160CE8" w14:textId="77777777" w:rsidTr="00603151">
        <w:trPr>
          <w:cantSplit/>
        </w:trPr>
        <w:tc>
          <w:tcPr>
            <w:tcW w:w="779" w:type="pct"/>
            <w:shd w:val="clear" w:color="auto" w:fill="C6D9F1" w:themeFill="text2" w:themeFillTint="33"/>
            <w:vAlign w:val="center"/>
          </w:tcPr>
          <w:p w14:paraId="0915AF63" w14:textId="77777777" w:rsidR="00B17CA7" w:rsidRPr="001A2C4E" w:rsidRDefault="00B17CA7" w:rsidP="005739FB">
            <w:pPr>
              <w:pStyle w:val="TableText0"/>
              <w:keepNext w:val="0"/>
              <w:widowControl w:val="0"/>
            </w:pPr>
            <w:r w:rsidRPr="001A2C4E">
              <w:t>Extrapolation</w:t>
            </w:r>
          </w:p>
        </w:tc>
        <w:tc>
          <w:tcPr>
            <w:tcW w:w="1719" w:type="pct"/>
            <w:shd w:val="clear" w:color="auto" w:fill="C6D9F1" w:themeFill="text2" w:themeFillTint="33"/>
            <w:vAlign w:val="center"/>
          </w:tcPr>
          <w:p w14:paraId="1FF60ECE" w14:textId="295CC11F"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Constant annual transition probabilities up to age 18 was assumed based on Week 64 study results.</w:t>
            </w:r>
          </w:p>
          <w:p w14:paraId="3DA2C443" w14:textId="16EA7069" w:rsidR="00B17CA7" w:rsidRPr="001A2C4E" w:rsidRDefault="00B17CA7" w:rsidP="001A2C4E">
            <w:pPr>
              <w:pStyle w:val="TableText0"/>
              <w:widowControl w:val="0"/>
              <w:numPr>
                <w:ilvl w:val="0"/>
                <w:numId w:val="7"/>
              </w:numPr>
              <w:shd w:val="clear" w:color="auto" w:fill="C6D9F1" w:themeFill="text2" w:themeFillTint="33"/>
              <w:ind w:left="142" w:hanging="142"/>
            </w:pPr>
            <w:r w:rsidRPr="001A2C4E">
              <w:t xml:space="preserve">The model also assumed all patients remained in their respective RSS health state beyond age 18, thus assuming the benefit of burosumab is lifelong with a proportion of patients receiving treatment into adulthood. </w:t>
            </w:r>
          </w:p>
        </w:tc>
        <w:tc>
          <w:tcPr>
            <w:tcW w:w="2502" w:type="pct"/>
            <w:shd w:val="clear" w:color="auto" w:fill="C6D9F1" w:themeFill="text2" w:themeFillTint="33"/>
            <w:vAlign w:val="center"/>
          </w:tcPr>
          <w:p w14:paraId="2850067F" w14:textId="017C34DC" w:rsidR="005843F5" w:rsidRPr="001A2C4E" w:rsidRDefault="00B17CA7" w:rsidP="005843F5">
            <w:pPr>
              <w:pStyle w:val="TableText0"/>
              <w:keepNext w:val="0"/>
              <w:widowControl w:val="0"/>
              <w:shd w:val="clear" w:color="auto" w:fill="C6D9F1" w:themeFill="text2" w:themeFillTint="33"/>
            </w:pPr>
            <w:r w:rsidRPr="001A2C4E">
              <w:rPr>
                <w:shd w:val="clear" w:color="auto" w:fill="C6D9F1" w:themeFill="text2" w:themeFillTint="33"/>
              </w:rPr>
              <w:t>Unchanged. No long-term data to support these assumptions, rendering them highly uncertain. Almost all BUR-treated patients were ‘healed’ of rickets by Year 10 and remained healed until death, highly favouring BUR.</w:t>
            </w:r>
          </w:p>
        </w:tc>
      </w:tr>
      <w:tr w:rsidR="00B17CA7" w:rsidRPr="001A2C4E" w14:paraId="476EF2F1" w14:textId="77777777" w:rsidTr="00444DAD">
        <w:trPr>
          <w:cantSplit/>
          <w:trHeight w:val="3438"/>
        </w:trPr>
        <w:tc>
          <w:tcPr>
            <w:tcW w:w="779" w:type="pct"/>
            <w:shd w:val="clear" w:color="auto" w:fill="auto"/>
            <w:vAlign w:val="center"/>
          </w:tcPr>
          <w:p w14:paraId="65F9E0CB" w14:textId="77777777" w:rsidR="00B17CA7" w:rsidRPr="001A2C4E" w:rsidRDefault="00B17CA7" w:rsidP="005739FB">
            <w:pPr>
              <w:pStyle w:val="TableText0"/>
              <w:keepNext w:val="0"/>
              <w:widowControl w:val="0"/>
            </w:pPr>
            <w:r w:rsidRPr="001A2C4E">
              <w:t>Health related quality of life</w:t>
            </w:r>
          </w:p>
        </w:tc>
        <w:tc>
          <w:tcPr>
            <w:tcW w:w="1719" w:type="pct"/>
            <w:shd w:val="clear" w:color="auto" w:fill="auto"/>
            <w:vAlign w:val="center"/>
          </w:tcPr>
          <w:p w14:paraId="3E31B4A5" w14:textId="77777777" w:rsidR="00B17CA7" w:rsidRPr="001A2C4E" w:rsidRDefault="00B17CA7" w:rsidP="005843F5">
            <w:pPr>
              <w:pStyle w:val="TableText0"/>
              <w:keepNext w:val="0"/>
              <w:widowControl w:val="0"/>
              <w:shd w:val="clear" w:color="auto" w:fill="C6D9F1" w:themeFill="text2" w:themeFillTint="33"/>
            </w:pPr>
            <w:r w:rsidRPr="001A2C4E">
              <w:t>Based on a Sponsor-conducted vignette study where six UK clinicians with experience in treating XLH were asked to rate vignettes of patients with XLH at the following ages: 1-4, 5-12, 13+, 18, 40 and 60 years, based on the four RSS (healed, mild, moderate, severe) health states using the EQ-5D-5L questionnaire. Utility weights were then estimated using an established algorithm using UK weights and were applied by the aforementioned age groups and RSS states in the model.</w:t>
            </w:r>
          </w:p>
          <w:p w14:paraId="604271AB" w14:textId="07EE5EAB" w:rsidR="00B17CA7" w:rsidRPr="001A2C4E" w:rsidRDefault="00B17CA7" w:rsidP="005739FB">
            <w:pPr>
              <w:pStyle w:val="TableText0"/>
              <w:keepNext w:val="0"/>
              <w:widowControl w:val="0"/>
            </w:pPr>
            <w:r w:rsidRPr="001A2C4E">
              <w:t xml:space="preserve">No survival differences were assumed between BUR </w:t>
            </w:r>
            <w:r w:rsidR="0000195C" w:rsidRPr="001A2C4E">
              <w:t xml:space="preserve">and </w:t>
            </w:r>
            <w:r w:rsidRPr="001A2C4E">
              <w:t>conventional therapy, therefore, the utility values were the main driver of incremental QALY gains.</w:t>
            </w:r>
          </w:p>
        </w:tc>
        <w:tc>
          <w:tcPr>
            <w:tcW w:w="2502" w:type="pct"/>
            <w:shd w:val="clear" w:color="auto" w:fill="auto"/>
            <w:vAlign w:val="center"/>
          </w:tcPr>
          <w:p w14:paraId="700FA049" w14:textId="77777777" w:rsidR="00B17CA7" w:rsidRPr="001A2C4E" w:rsidRDefault="00B17CA7" w:rsidP="005843F5">
            <w:pPr>
              <w:pStyle w:val="TableText0"/>
              <w:keepNext w:val="0"/>
              <w:widowControl w:val="0"/>
              <w:shd w:val="clear" w:color="auto" w:fill="C6D9F1" w:themeFill="text2" w:themeFillTint="33"/>
            </w:pPr>
            <w:r w:rsidRPr="001A2C4E">
              <w:t xml:space="preserve">Utility values: unchanged. </w:t>
            </w:r>
          </w:p>
          <w:p w14:paraId="2284F154" w14:textId="77777777" w:rsidR="00B17CA7" w:rsidRPr="001A2C4E" w:rsidRDefault="00B17CA7" w:rsidP="005739FB">
            <w:pPr>
              <w:pStyle w:val="TableText0"/>
              <w:keepNext w:val="0"/>
              <w:widowControl w:val="0"/>
            </w:pPr>
          </w:p>
          <w:p w14:paraId="612AF111" w14:textId="77777777" w:rsidR="00B17CA7" w:rsidRPr="001A2C4E" w:rsidRDefault="00B17CA7" w:rsidP="005739FB">
            <w:pPr>
              <w:pStyle w:val="TableText0"/>
              <w:keepNext w:val="0"/>
              <w:widowControl w:val="0"/>
            </w:pPr>
            <w:r w:rsidRPr="001A2C4E">
              <w:t>The current model assumed a small difference in survival outcomes between treatment groups, however, given this difference was minimal, incremental QALY gains were still largely driven by utility values.</w:t>
            </w:r>
          </w:p>
        </w:tc>
      </w:tr>
      <w:tr w:rsidR="00B17CA7" w:rsidRPr="001A2C4E" w14:paraId="518E7998" w14:textId="77777777" w:rsidTr="00603151">
        <w:trPr>
          <w:cantSplit/>
        </w:trPr>
        <w:tc>
          <w:tcPr>
            <w:tcW w:w="779" w:type="pct"/>
            <w:shd w:val="clear" w:color="auto" w:fill="C6D9F1" w:themeFill="text2" w:themeFillTint="33"/>
            <w:vAlign w:val="center"/>
          </w:tcPr>
          <w:p w14:paraId="066AD242" w14:textId="77777777" w:rsidR="00B17CA7" w:rsidRPr="001A2C4E" w:rsidRDefault="00B17CA7" w:rsidP="005739FB">
            <w:pPr>
              <w:pStyle w:val="TableText0"/>
              <w:keepNext w:val="0"/>
              <w:widowControl w:val="0"/>
            </w:pPr>
            <w:r w:rsidRPr="001A2C4E">
              <w:t>Software package</w:t>
            </w:r>
          </w:p>
        </w:tc>
        <w:tc>
          <w:tcPr>
            <w:tcW w:w="1719" w:type="pct"/>
            <w:shd w:val="clear" w:color="auto" w:fill="C6D9F1" w:themeFill="text2" w:themeFillTint="33"/>
            <w:vAlign w:val="center"/>
          </w:tcPr>
          <w:p w14:paraId="4B10E520" w14:textId="77777777" w:rsidR="00B17CA7" w:rsidRPr="001A2C4E" w:rsidRDefault="00B17CA7" w:rsidP="005739FB">
            <w:pPr>
              <w:pStyle w:val="TableText0"/>
              <w:keepNext w:val="0"/>
              <w:widowControl w:val="0"/>
            </w:pPr>
            <w:r w:rsidRPr="001A2C4E">
              <w:t>Microsoft Excel 2019</w:t>
            </w:r>
          </w:p>
        </w:tc>
        <w:tc>
          <w:tcPr>
            <w:tcW w:w="2502" w:type="pct"/>
            <w:shd w:val="clear" w:color="auto" w:fill="C6D9F1" w:themeFill="text2" w:themeFillTint="33"/>
            <w:vAlign w:val="center"/>
          </w:tcPr>
          <w:p w14:paraId="6232CA79" w14:textId="77777777" w:rsidR="00B17CA7" w:rsidRPr="001A2C4E" w:rsidRDefault="00B17CA7" w:rsidP="005739FB">
            <w:pPr>
              <w:pStyle w:val="TableText0"/>
              <w:keepNext w:val="0"/>
              <w:widowControl w:val="0"/>
            </w:pPr>
            <w:r w:rsidRPr="001A2C4E">
              <w:t>Unchanged. Appropriate</w:t>
            </w:r>
          </w:p>
        </w:tc>
      </w:tr>
    </w:tbl>
    <w:p w14:paraId="673E8273" w14:textId="77777777" w:rsidR="00603151" w:rsidRPr="00B03783" w:rsidRDefault="00603151" w:rsidP="00603151">
      <w:pPr>
        <w:pStyle w:val="TableFigureFooter"/>
        <w:spacing w:after="0"/>
        <w:rPr>
          <w:bCs/>
          <w:szCs w:val="18"/>
        </w:rPr>
      </w:pPr>
      <w:r w:rsidRPr="00B03783">
        <w:rPr>
          <w:rStyle w:val="CommentReference"/>
          <w:b w:val="0"/>
          <w:bCs/>
          <w:sz w:val="18"/>
          <w:szCs w:val="18"/>
          <w:shd w:val="clear" w:color="auto" w:fill="C6D9F1" w:themeFill="text2" w:themeFillTint="33"/>
        </w:rPr>
        <w:t>Blue shading</w:t>
      </w:r>
      <w:r w:rsidRPr="00B03783">
        <w:rPr>
          <w:rStyle w:val="CommentReference"/>
          <w:b w:val="0"/>
          <w:bCs/>
          <w:sz w:val="18"/>
          <w:szCs w:val="18"/>
        </w:rPr>
        <w:t xml:space="preserve"> indicates data previously seen by the PBAC. </w:t>
      </w:r>
    </w:p>
    <w:p w14:paraId="621D3970" w14:textId="76C6A296" w:rsidR="00CE76B8" w:rsidRPr="008E65F1" w:rsidRDefault="00CE76B8" w:rsidP="002E1D81">
      <w:pPr>
        <w:pStyle w:val="TableFigureFooter"/>
        <w:widowControl w:val="0"/>
      </w:pPr>
      <w:r w:rsidRPr="008E65F1">
        <w:t xml:space="preserve">Source: Table 3.2, p266 of the </w:t>
      </w:r>
      <w:r w:rsidR="00C73BF1" w:rsidRPr="008E65F1">
        <w:t>re</w:t>
      </w:r>
      <w:r w:rsidRPr="008E65F1">
        <w:t>submission.</w:t>
      </w:r>
    </w:p>
    <w:p w14:paraId="16316B76" w14:textId="0C810D85" w:rsidR="00CE76B8" w:rsidRPr="008E65F1" w:rsidRDefault="00CE76B8" w:rsidP="002E1D81">
      <w:pPr>
        <w:pStyle w:val="TableFigureFooter"/>
        <w:widowControl w:val="0"/>
      </w:pPr>
      <w:r w:rsidRPr="008E65F1">
        <w:t>BUR=burosumab; XLH=X-linked hypophosphataemia; QALY=quality adjusted life year; RSS=Rickets Severity Score.</w:t>
      </w:r>
    </w:p>
    <w:p w14:paraId="4EBBACBD" w14:textId="77777777" w:rsidR="00CE76B8" w:rsidRPr="00811C6C" w:rsidRDefault="00CE76B8" w:rsidP="002E1D81"/>
    <w:p w14:paraId="4918667E" w14:textId="1966DDC3" w:rsidR="00CE76B8" w:rsidRPr="001A2C4E" w:rsidRDefault="00CE76B8" w:rsidP="00CE76B8">
      <w:pPr>
        <w:pStyle w:val="3-BodyText"/>
      </w:pPr>
      <w:r w:rsidRPr="001A2C4E">
        <w:t>Utilisation of conventional therapy was assumed to reduce to 71.0% for patients with persistent rickets in the conventional therapy arm</w:t>
      </w:r>
      <w:r w:rsidR="00FB1BB7" w:rsidRPr="001A2C4E">
        <w:t xml:space="preserve"> from age 18</w:t>
      </w:r>
      <w:r w:rsidR="005F6A31" w:rsidRPr="001A2C4E">
        <w:t xml:space="preserve">. This was </w:t>
      </w:r>
      <w:r w:rsidRPr="001A2C4E">
        <w:t xml:space="preserve">an increase from 59.2% receiving calcitriol and 64.6% receiving phosphorous in the March 2021 submission. </w:t>
      </w:r>
      <w:r w:rsidR="00C4636A" w:rsidRPr="001A2C4E">
        <w:t>The use of conventional therapy was corrected to 70.1% in the revised base case presented in the PSCR.</w:t>
      </w:r>
    </w:p>
    <w:p w14:paraId="4820B9F4" w14:textId="0251AF99" w:rsidR="00CE76B8" w:rsidRPr="001A2C4E" w:rsidRDefault="00CE76B8" w:rsidP="00CE76B8">
      <w:pPr>
        <w:pStyle w:val="3-BodyText"/>
      </w:pPr>
      <w:r w:rsidRPr="001A2C4E">
        <w:t xml:space="preserve">Patients in the ‘healed’ state of the conventional therapy arm received no treatment in adulthood, which was unchanged from the March 2021 submission. Adult patients </w:t>
      </w:r>
      <w:r w:rsidRPr="001A2C4E">
        <w:lastRenderedPageBreak/>
        <w:t>in the ‘healed’ state of the burosumab arm were costed to continue burosumab at the same utilisation rate as all other alive patients. The resubmission did not discuss this inconsistency in treatment in adults across the arms, but conventional therapy use in the ‘healed’ state would not greatly affect the ICER.</w:t>
      </w:r>
    </w:p>
    <w:p w14:paraId="01FF47E9" w14:textId="59D9EB96" w:rsidR="00CE76B8" w:rsidRPr="001A2C4E" w:rsidRDefault="00CE76B8" w:rsidP="00CE76B8">
      <w:pPr>
        <w:pStyle w:val="3-BodyText"/>
      </w:pPr>
      <w:r w:rsidRPr="001A2C4E">
        <w:t xml:space="preserve">As well as the prescribed dose, the resubmission revised the age and gender specific weights used in dosing, which were taken from the Australian Paediatric Endocrine Group (APEG) growth charts for children and Australian Bureau of Statistics (ABS) National Health Survey (2017-2018) averages for adults, compared to ABS averages for both children and adults in the March 2021 submission. </w:t>
      </w:r>
    </w:p>
    <w:p w14:paraId="3976684C" w14:textId="182FB428" w:rsidR="00CE76B8" w:rsidRPr="001A2C4E" w:rsidRDefault="00CE76B8" w:rsidP="00CE76B8">
      <w:pPr>
        <w:pStyle w:val="3-BodyText"/>
      </w:pPr>
      <w:r w:rsidRPr="001A2C4E">
        <w:t xml:space="preserve">Given the small difference in survival between the two treatment arms, the estimated utility values </w:t>
      </w:r>
      <w:r w:rsidR="00301CF7">
        <w:t>again</w:t>
      </w:r>
      <w:r w:rsidR="00301CF7" w:rsidRPr="001A2C4E">
        <w:t xml:space="preserve"> </w:t>
      </w:r>
      <w:r w:rsidRPr="001A2C4E">
        <w:t>dr</w:t>
      </w:r>
      <w:r w:rsidR="00112A6D" w:rsidRPr="001A2C4E">
        <w:t xml:space="preserve">ove </w:t>
      </w:r>
      <w:r w:rsidRPr="001A2C4E">
        <w:t xml:space="preserve">the QALY results. The resubmission did not change the RSS health state utility values from the March 2021 submission. The ESC had </w:t>
      </w:r>
      <w:r w:rsidR="005F6A31" w:rsidRPr="001A2C4E">
        <w:t xml:space="preserve">previously </w:t>
      </w:r>
      <w:r w:rsidRPr="001A2C4E">
        <w:t>considered that more reliable utility values which more appropriately reflected the health states and the likely disease progression would be required (paragraph 6.52, burosumab PSD, March 2021).</w:t>
      </w:r>
    </w:p>
    <w:p w14:paraId="0E8BFD5D" w14:textId="5251C80B" w:rsidR="00CE76B8" w:rsidRPr="008E65F1" w:rsidRDefault="00305B1F" w:rsidP="00CE76B8">
      <w:pPr>
        <w:pStyle w:val="3-BodyText"/>
      </w:pPr>
      <w:fldSimple w:instr=" REF _Ref92385527  \* MERGEFORMAT ">
        <w:r w:rsidR="00676539" w:rsidRPr="00676539">
          <w:t xml:space="preserve">Figure </w:t>
        </w:r>
      </w:fldSimple>
      <w:r w:rsidR="009408C2" w:rsidRPr="001A2C4E">
        <w:t>3</w:t>
      </w:r>
      <w:r w:rsidR="00CE76B8" w:rsidRPr="001A2C4E">
        <w:t xml:space="preserve"> illustrates the Markov traces for burosumab and conventional therapy arms respectively. As with the March 2021 submission, the majority of patients in the burosumab arm achieve</w:t>
      </w:r>
      <w:r w:rsidR="00C90075" w:rsidRPr="001A2C4E">
        <w:t>d</w:t>
      </w:r>
      <w:r w:rsidR="00CE76B8" w:rsidRPr="001A2C4E">
        <w:t xml:space="preserve"> ‘healed’ RSS status by Year 10 of the model (age 17) and remain there until death, compared to conventional therapy where patients </w:t>
      </w:r>
      <w:r w:rsidR="00133345" w:rsidRPr="001A2C4E">
        <w:t>we</w:t>
      </w:r>
      <w:r w:rsidR="00CE76B8" w:rsidRPr="001A2C4E">
        <w:t>re more</w:t>
      </w:r>
      <w:r w:rsidR="00CE76B8" w:rsidRPr="008E65F1">
        <w:t xml:space="preserve"> evenly distributed amongst the RSS states. No external validation was conducted.</w:t>
      </w:r>
    </w:p>
    <w:p w14:paraId="2B83836C" w14:textId="3C4839D9" w:rsidR="00CE76B8" w:rsidRDefault="00CE76B8" w:rsidP="002E1D81">
      <w:pPr>
        <w:keepNext/>
        <w:keepLines/>
        <w:rPr>
          <w:rFonts w:ascii="Arial Narrow" w:hAnsi="Arial Narrow"/>
          <w:b/>
          <w:sz w:val="20"/>
          <w:szCs w:val="20"/>
        </w:rPr>
      </w:pPr>
      <w:bookmarkStart w:id="52" w:name="_Ref92385527"/>
      <w:r w:rsidRPr="003F40BF">
        <w:rPr>
          <w:rFonts w:ascii="Arial Narrow" w:eastAsiaTheme="minorHAnsi" w:hAnsi="Arial Narrow"/>
          <w:b/>
          <w:bCs/>
          <w:snapToGrid w:val="0"/>
          <w:sz w:val="20"/>
          <w:szCs w:val="20"/>
          <w:lang w:eastAsia="en-US"/>
        </w:rPr>
        <w:t xml:space="preserve">Figure </w:t>
      </w:r>
      <w:bookmarkEnd w:id="52"/>
      <w:r w:rsidR="009408C2">
        <w:rPr>
          <w:rFonts w:ascii="Arial Narrow" w:eastAsiaTheme="minorHAnsi" w:hAnsi="Arial Narrow"/>
          <w:b/>
          <w:bCs/>
          <w:snapToGrid w:val="0"/>
          <w:sz w:val="20"/>
          <w:szCs w:val="20"/>
          <w:lang w:eastAsia="en-US"/>
        </w:rPr>
        <w:t>3</w:t>
      </w:r>
      <w:r w:rsidRPr="003F40BF">
        <w:rPr>
          <w:rFonts w:ascii="Arial Narrow" w:eastAsiaTheme="minorHAnsi" w:hAnsi="Arial Narrow"/>
          <w:b/>
          <w:bCs/>
          <w:snapToGrid w:val="0"/>
          <w:sz w:val="20"/>
          <w:szCs w:val="20"/>
          <w:lang w:eastAsia="en-US"/>
        </w:rPr>
        <w:t xml:space="preserve">: </w:t>
      </w:r>
      <w:r w:rsidRPr="00D4558F">
        <w:rPr>
          <w:rFonts w:ascii="Arial Narrow" w:hAnsi="Arial Narrow"/>
          <w:b/>
          <w:sz w:val="20"/>
          <w:szCs w:val="20"/>
        </w:rPr>
        <w:t>Markov trace</w:t>
      </w:r>
      <w:r>
        <w:rPr>
          <w:rFonts w:ascii="Arial Narrow" w:hAnsi="Arial Narrow"/>
          <w:b/>
          <w:sz w:val="20"/>
          <w:szCs w:val="20"/>
        </w:rPr>
        <w:t>s</w:t>
      </w:r>
      <w:r w:rsidRPr="00D4558F">
        <w:rPr>
          <w:rFonts w:ascii="Arial Narrow" w:hAnsi="Arial Narrow"/>
          <w:b/>
          <w:sz w:val="20"/>
          <w:szCs w:val="20"/>
        </w:rPr>
        <w:t xml:space="preserve"> for burosumab</w:t>
      </w:r>
      <w:r>
        <w:rPr>
          <w:rFonts w:ascii="Arial Narrow" w:hAnsi="Arial Narrow"/>
          <w:b/>
          <w:sz w:val="20"/>
          <w:szCs w:val="20"/>
        </w:rPr>
        <w:t xml:space="preserve"> and conventional therapy arms</w:t>
      </w:r>
    </w:p>
    <w:tbl>
      <w:tblPr>
        <w:tblStyle w:val="TableGrid"/>
        <w:tblW w:w="0" w:type="auto"/>
        <w:tblLook w:val="04A0" w:firstRow="1" w:lastRow="0" w:firstColumn="1" w:lastColumn="0" w:noHBand="0" w:noVBand="1"/>
      </w:tblPr>
      <w:tblGrid>
        <w:gridCol w:w="4513"/>
        <w:gridCol w:w="4514"/>
      </w:tblGrid>
      <w:tr w:rsidR="00CE76B8" w14:paraId="2F5F590F" w14:textId="77777777" w:rsidTr="002E1D81">
        <w:tc>
          <w:tcPr>
            <w:tcW w:w="4513" w:type="dxa"/>
            <w:tcBorders>
              <w:top w:val="nil"/>
              <w:left w:val="nil"/>
              <w:bottom w:val="nil"/>
              <w:right w:val="nil"/>
            </w:tcBorders>
          </w:tcPr>
          <w:p w14:paraId="6F558745" w14:textId="77777777" w:rsidR="00CE76B8" w:rsidRDefault="00CE76B8" w:rsidP="002E1D81">
            <w:pPr>
              <w:keepNext/>
              <w:keepLines/>
              <w:jc w:val="center"/>
              <w:rPr>
                <w:rFonts w:ascii="Arial Narrow" w:hAnsi="Arial Narrow"/>
                <w:b/>
                <w:sz w:val="20"/>
                <w:szCs w:val="20"/>
              </w:rPr>
            </w:pPr>
            <w:r>
              <w:rPr>
                <w:rFonts w:ascii="Arial Narrow" w:hAnsi="Arial Narrow"/>
                <w:b/>
                <w:sz w:val="20"/>
                <w:szCs w:val="20"/>
              </w:rPr>
              <w:t>Burosumab</w:t>
            </w:r>
          </w:p>
        </w:tc>
        <w:tc>
          <w:tcPr>
            <w:tcW w:w="4514" w:type="dxa"/>
            <w:tcBorders>
              <w:top w:val="nil"/>
              <w:left w:val="nil"/>
              <w:bottom w:val="nil"/>
              <w:right w:val="nil"/>
            </w:tcBorders>
          </w:tcPr>
          <w:p w14:paraId="3F335562" w14:textId="77777777" w:rsidR="00CE76B8" w:rsidRDefault="00CE76B8" w:rsidP="002E1D81">
            <w:pPr>
              <w:keepNext/>
              <w:keepLines/>
              <w:jc w:val="center"/>
              <w:rPr>
                <w:rFonts w:ascii="Arial Narrow" w:hAnsi="Arial Narrow"/>
                <w:b/>
                <w:sz w:val="20"/>
                <w:szCs w:val="20"/>
              </w:rPr>
            </w:pPr>
            <w:r>
              <w:rPr>
                <w:rFonts w:ascii="Arial Narrow" w:hAnsi="Arial Narrow"/>
                <w:b/>
                <w:sz w:val="20"/>
                <w:szCs w:val="20"/>
              </w:rPr>
              <w:t>Conventional therapy</w:t>
            </w:r>
          </w:p>
        </w:tc>
      </w:tr>
      <w:tr w:rsidR="00CE76B8" w14:paraId="582CE8D7" w14:textId="77777777" w:rsidTr="002E1D81">
        <w:tc>
          <w:tcPr>
            <w:tcW w:w="4513" w:type="dxa"/>
            <w:tcBorders>
              <w:top w:val="nil"/>
              <w:left w:val="nil"/>
              <w:bottom w:val="nil"/>
              <w:right w:val="nil"/>
            </w:tcBorders>
          </w:tcPr>
          <w:p w14:paraId="77E860B9" w14:textId="77777777" w:rsidR="00CE76B8" w:rsidRDefault="00CE76B8" w:rsidP="002E1D81">
            <w:pPr>
              <w:keepNext/>
              <w:keepLines/>
              <w:jc w:val="center"/>
              <w:rPr>
                <w:rFonts w:ascii="Arial Narrow" w:hAnsi="Arial Narrow"/>
                <w:b/>
                <w:sz w:val="20"/>
                <w:szCs w:val="20"/>
              </w:rPr>
            </w:pPr>
            <w:r w:rsidRPr="00C414CC">
              <w:rPr>
                <w:rFonts w:ascii="Arial Narrow" w:hAnsi="Arial Narrow"/>
                <w:b/>
                <w:noProof/>
                <w:sz w:val="20"/>
                <w:szCs w:val="20"/>
              </w:rPr>
              <w:drawing>
                <wp:inline distT="0" distB="0" distL="0" distR="0" wp14:anchorId="45436AAC" wp14:editId="791828B2">
                  <wp:extent cx="2638425" cy="2059900"/>
                  <wp:effectExtent l="0" t="0" r="0" b="0"/>
                  <wp:docPr id="20" name="Picture 20"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3: Markov traces for burosumab and conventional therapy 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8460" cy="2067734"/>
                          </a:xfrm>
                          <a:prstGeom prst="rect">
                            <a:avLst/>
                          </a:prstGeom>
                          <a:noFill/>
                          <a:ln>
                            <a:noFill/>
                          </a:ln>
                        </pic:spPr>
                      </pic:pic>
                    </a:graphicData>
                  </a:graphic>
                </wp:inline>
              </w:drawing>
            </w:r>
          </w:p>
        </w:tc>
        <w:tc>
          <w:tcPr>
            <w:tcW w:w="4514" w:type="dxa"/>
            <w:tcBorders>
              <w:top w:val="nil"/>
              <w:left w:val="nil"/>
              <w:bottom w:val="nil"/>
              <w:right w:val="nil"/>
            </w:tcBorders>
          </w:tcPr>
          <w:p w14:paraId="28D395F7" w14:textId="77777777" w:rsidR="00CE76B8" w:rsidRDefault="00CE76B8" w:rsidP="002E1D81">
            <w:pPr>
              <w:keepNext/>
              <w:keepLines/>
              <w:jc w:val="center"/>
              <w:rPr>
                <w:rFonts w:ascii="Arial Narrow" w:hAnsi="Arial Narrow"/>
                <w:b/>
                <w:sz w:val="20"/>
                <w:szCs w:val="20"/>
              </w:rPr>
            </w:pPr>
            <w:r w:rsidRPr="00C414CC">
              <w:rPr>
                <w:rFonts w:ascii="Arial Narrow" w:hAnsi="Arial Narrow"/>
                <w:b/>
                <w:noProof/>
                <w:sz w:val="20"/>
                <w:szCs w:val="20"/>
              </w:rPr>
              <w:drawing>
                <wp:inline distT="0" distB="0" distL="0" distR="0" wp14:anchorId="73D4BC02" wp14:editId="1681FBE8">
                  <wp:extent cx="2616147" cy="2057400"/>
                  <wp:effectExtent l="0" t="0" r="0" b="0"/>
                  <wp:docPr id="21" name="Picture 21"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3: Markov traces for burosumab and conventional therapy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988" cy="2065926"/>
                          </a:xfrm>
                          <a:prstGeom prst="rect">
                            <a:avLst/>
                          </a:prstGeom>
                          <a:noFill/>
                          <a:ln>
                            <a:noFill/>
                          </a:ln>
                        </pic:spPr>
                      </pic:pic>
                    </a:graphicData>
                  </a:graphic>
                </wp:inline>
              </w:drawing>
            </w:r>
          </w:p>
        </w:tc>
      </w:tr>
      <w:tr w:rsidR="00CE76B8" w14:paraId="26444337" w14:textId="77777777" w:rsidTr="002E1D81">
        <w:tc>
          <w:tcPr>
            <w:tcW w:w="9027" w:type="dxa"/>
            <w:gridSpan w:val="2"/>
            <w:tcBorders>
              <w:top w:val="nil"/>
              <w:left w:val="nil"/>
              <w:bottom w:val="nil"/>
              <w:right w:val="nil"/>
            </w:tcBorders>
          </w:tcPr>
          <w:p w14:paraId="4DED5E37" w14:textId="77777777" w:rsidR="00CE76B8" w:rsidRDefault="00CE76B8" w:rsidP="002E1D81">
            <w:pPr>
              <w:keepNext/>
              <w:keepLines/>
              <w:jc w:val="center"/>
              <w:rPr>
                <w:rFonts w:ascii="Arial Narrow" w:hAnsi="Arial Narrow"/>
                <w:b/>
                <w:sz w:val="20"/>
                <w:szCs w:val="20"/>
              </w:rPr>
            </w:pPr>
            <w:r w:rsidRPr="00415BC0">
              <w:rPr>
                <w:rFonts w:ascii="Arial Narrow" w:hAnsi="Arial Narrow"/>
                <w:b/>
                <w:noProof/>
                <w:sz w:val="20"/>
                <w:szCs w:val="20"/>
              </w:rPr>
              <w:drawing>
                <wp:inline distT="0" distB="0" distL="0" distR="0" wp14:anchorId="2A9CD12E" wp14:editId="3E73431C">
                  <wp:extent cx="3876675" cy="282071"/>
                  <wp:effectExtent l="0" t="0" r="0" b="3810"/>
                  <wp:docPr id="22" name="Picture 22" descr="Figure 3: Markov traces for burosumab and conventional therapy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3: Markov traces for burosumab and conventional therapy arms"/>
                          <pic:cNvPicPr>
                            <a:picLocks noChangeAspect="1" noChangeArrowheads="1"/>
                          </pic:cNvPicPr>
                        </pic:nvPicPr>
                        <pic:blipFill rotWithShape="1">
                          <a:blip r:embed="rId12">
                            <a:extLst>
                              <a:ext uri="{28A0092B-C50C-407E-A947-70E740481C1C}">
                                <a14:useLocalDpi xmlns:a14="http://schemas.microsoft.com/office/drawing/2010/main" val="0"/>
                              </a:ext>
                            </a:extLst>
                          </a:blip>
                          <a:srcRect l="5325" t="90852" r="5491" b="851"/>
                          <a:stretch/>
                        </pic:blipFill>
                        <pic:spPr bwMode="auto">
                          <a:xfrm>
                            <a:off x="0" y="0"/>
                            <a:ext cx="4159210" cy="3026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D369A7" w14:textId="7FB1FEEF" w:rsidR="00CE76B8" w:rsidRDefault="00CE76B8" w:rsidP="002E1D81">
      <w:pPr>
        <w:pStyle w:val="TableFigureFooter"/>
      </w:pPr>
      <w:r w:rsidRPr="009D25EA">
        <w:t xml:space="preserve">Source: Compiled during the evaluation using </w:t>
      </w:r>
      <w:r w:rsidR="000E04D7">
        <w:t>Excel workbook ‘</w:t>
      </w:r>
      <w:r w:rsidRPr="009D25EA">
        <w:t>Section 3.1 Workbook</w:t>
      </w:r>
      <w:r w:rsidR="000E04D7">
        <w:t>.xlsm’, Sheet ‘</w:t>
      </w:r>
      <w:r w:rsidRPr="009D25EA">
        <w:t>Trace figures</w:t>
      </w:r>
      <w:r w:rsidR="000E04D7">
        <w:t>’</w:t>
      </w:r>
      <w:r w:rsidRPr="009D25EA">
        <w:t>.</w:t>
      </w:r>
    </w:p>
    <w:p w14:paraId="0088E8E3" w14:textId="6A8E0125" w:rsidR="00CE76B8" w:rsidRPr="00640D34" w:rsidRDefault="00CE76B8" w:rsidP="00CE76B8">
      <w:pPr>
        <w:pStyle w:val="3-BodyText"/>
      </w:pPr>
      <w:r w:rsidRPr="009D25EA">
        <w:t>Key drivers of the model are presented in the following table</w:t>
      </w:r>
      <w:r w:rsidR="00112A6D">
        <w:t>.</w:t>
      </w:r>
    </w:p>
    <w:p w14:paraId="1F5B0F4E" w14:textId="31878A4D" w:rsidR="00CE76B8" w:rsidRPr="00D3730F" w:rsidRDefault="00CE76B8" w:rsidP="002E1D81">
      <w:pPr>
        <w:keepNext/>
        <w:tabs>
          <w:tab w:val="left" w:pos="1418"/>
        </w:tabs>
        <w:spacing w:before="240" w:line="259" w:lineRule="auto"/>
        <w:contextualSpacing/>
        <w:jc w:val="left"/>
        <w:rPr>
          <w:rFonts w:ascii="Arial Narrow" w:eastAsia="Calibri" w:hAnsi="Arial Narrow"/>
          <w:b/>
          <w:iCs/>
          <w:sz w:val="20"/>
          <w:szCs w:val="18"/>
          <w:lang w:eastAsia="en-US"/>
        </w:rPr>
      </w:pPr>
      <w:bookmarkStart w:id="53" w:name="_Hlk92376117"/>
      <w:r w:rsidRPr="009D25EA">
        <w:rPr>
          <w:rFonts w:ascii="Arial Narrow" w:eastAsia="Calibri" w:hAnsi="Arial Narrow"/>
          <w:b/>
          <w:iCs/>
          <w:sz w:val="20"/>
          <w:szCs w:val="18"/>
          <w:lang w:eastAsia="en-US"/>
        </w:rPr>
        <w:lastRenderedPageBreak/>
        <w:t xml:space="preserve">Table </w:t>
      </w:r>
      <w:r w:rsidRPr="009D25EA">
        <w:rPr>
          <w:rFonts w:ascii="Arial Narrow" w:eastAsia="Calibri" w:hAnsi="Arial Narrow"/>
          <w:b/>
          <w:iCs/>
          <w:sz w:val="20"/>
          <w:szCs w:val="18"/>
          <w:lang w:eastAsia="en-US"/>
        </w:rPr>
        <w:fldChar w:fldCharType="begin"/>
      </w:r>
      <w:r w:rsidRPr="009D25EA">
        <w:rPr>
          <w:rFonts w:ascii="Arial Narrow" w:eastAsia="Calibri" w:hAnsi="Arial Narrow"/>
          <w:b/>
          <w:iCs/>
          <w:sz w:val="20"/>
          <w:szCs w:val="18"/>
          <w:lang w:eastAsia="en-US"/>
        </w:rPr>
        <w:instrText xml:space="preserve"> SEQ Table \* ARABIC </w:instrText>
      </w:r>
      <w:r w:rsidRPr="009D25EA">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13</w:t>
      </w:r>
      <w:r w:rsidRPr="009D25EA">
        <w:rPr>
          <w:rFonts w:ascii="Arial Narrow" w:eastAsia="Calibri" w:hAnsi="Arial Narrow"/>
          <w:b/>
          <w:iCs/>
          <w:sz w:val="20"/>
          <w:szCs w:val="18"/>
          <w:lang w:eastAsia="en-US"/>
        </w:rPr>
        <w:fldChar w:fldCharType="end"/>
      </w:r>
      <w:r w:rsidRPr="009D25EA">
        <w:rPr>
          <w:rFonts w:ascii="Arial Narrow" w:eastAsia="Calibri" w:hAnsi="Arial Narrow"/>
          <w:b/>
          <w:iCs/>
          <w:sz w:val="20"/>
          <w:szCs w:val="18"/>
          <w:lang w:eastAsia="en-US"/>
        </w:rPr>
        <w:t xml:space="preserve">: </w:t>
      </w:r>
      <w:bookmarkEnd w:id="53"/>
      <w:r w:rsidRPr="00D3730F">
        <w:rPr>
          <w:rFonts w:ascii="Arial Narrow" w:eastAsia="Calibri" w:hAnsi="Arial Narrow"/>
          <w:b/>
          <w:iCs/>
          <w:sz w:val="20"/>
          <w:szCs w:val="18"/>
          <w:lang w:eastAsia="en-US"/>
        </w:rPr>
        <w:t>Key drivers of the</w:t>
      </w:r>
      <w:r>
        <w:rPr>
          <w:rFonts w:ascii="Arial Narrow" w:eastAsia="Calibri" w:hAnsi="Arial Narrow"/>
          <w:b/>
          <w:iCs/>
          <w:sz w:val="20"/>
          <w:szCs w:val="18"/>
          <w:lang w:eastAsia="en-US"/>
        </w:rPr>
        <w:t xml:space="preserve"> paediatric</w:t>
      </w:r>
      <w:r w:rsidRPr="00D3730F">
        <w:rPr>
          <w:rFonts w:ascii="Arial Narrow" w:eastAsia="Calibri" w:hAnsi="Arial Narrow"/>
          <w:b/>
          <w:iCs/>
          <w:sz w:val="20"/>
          <w:szCs w:val="18"/>
          <w:lang w:eastAsia="en-US"/>
        </w:rPr>
        <w:t xml:space="preserve"> model</w:t>
      </w:r>
      <w:r w:rsidR="00C52B40">
        <w:rPr>
          <w:rFonts w:ascii="Arial Narrow" w:eastAsia="Calibri" w:hAnsi="Arial Narrow"/>
          <w:b/>
          <w:iCs/>
          <w:sz w:val="20"/>
          <w:szCs w:val="18"/>
          <w:lang w:eastAsia="en-U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paediatric model*"/>
      </w:tblPr>
      <w:tblGrid>
        <w:gridCol w:w="1697"/>
        <w:gridCol w:w="3261"/>
        <w:gridCol w:w="4109"/>
      </w:tblGrid>
      <w:tr w:rsidR="00CE76B8" w:rsidRPr="001A2C4E" w14:paraId="38EF4985" w14:textId="77777777" w:rsidTr="00B03783">
        <w:trPr>
          <w:trHeight w:val="70"/>
          <w:tblHeader/>
        </w:trPr>
        <w:tc>
          <w:tcPr>
            <w:tcW w:w="935" w:type="pct"/>
            <w:shd w:val="clear" w:color="auto" w:fill="auto"/>
            <w:vAlign w:val="center"/>
          </w:tcPr>
          <w:p w14:paraId="0366D7B7" w14:textId="77777777"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Description</w:t>
            </w:r>
          </w:p>
        </w:tc>
        <w:tc>
          <w:tcPr>
            <w:tcW w:w="1798" w:type="pct"/>
            <w:shd w:val="clear" w:color="auto" w:fill="auto"/>
            <w:vAlign w:val="center"/>
          </w:tcPr>
          <w:p w14:paraId="1B6E4530" w14:textId="77777777"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Method/Value</w:t>
            </w:r>
          </w:p>
        </w:tc>
        <w:tc>
          <w:tcPr>
            <w:tcW w:w="2266" w:type="pct"/>
            <w:shd w:val="clear" w:color="auto" w:fill="auto"/>
            <w:vAlign w:val="center"/>
          </w:tcPr>
          <w:p w14:paraId="13838E1A" w14:textId="40397BC9" w:rsidR="00CE76B8" w:rsidRPr="001A2C4E" w:rsidRDefault="00CE76B8" w:rsidP="00B03783">
            <w:pPr>
              <w:keepNext/>
              <w:widowControl w:val="0"/>
              <w:spacing w:line="256" w:lineRule="auto"/>
              <w:jc w:val="left"/>
              <w:rPr>
                <w:rFonts w:ascii="Arial Narrow" w:hAnsi="Arial Narrow" w:cs="Times New Roman"/>
                <w:b/>
                <w:sz w:val="20"/>
                <w:lang w:eastAsia="en-GB"/>
              </w:rPr>
            </w:pPr>
            <w:r w:rsidRPr="001A2C4E">
              <w:rPr>
                <w:rFonts w:ascii="Arial Narrow" w:hAnsi="Arial Narrow" w:cs="Times New Roman"/>
                <w:b/>
                <w:sz w:val="20"/>
                <w:lang w:eastAsia="en-GB"/>
              </w:rPr>
              <w:t>Impact</w:t>
            </w:r>
            <w:r w:rsidR="00D964AB" w:rsidRPr="001A2C4E">
              <w:rPr>
                <w:rFonts w:ascii="Arial Narrow" w:hAnsi="Arial Narrow" w:cs="Times New Roman"/>
                <w:b/>
                <w:sz w:val="20"/>
                <w:lang w:eastAsia="en-GB"/>
              </w:rPr>
              <w:t xml:space="preserve"> (</w:t>
            </w:r>
            <w:r w:rsidR="00C52B40" w:rsidRPr="001A2C4E">
              <w:rPr>
                <w:rFonts w:ascii="Arial Narrow" w:hAnsi="Arial Narrow" w:cs="Times New Roman"/>
                <w:b/>
                <w:sz w:val="20"/>
                <w:lang w:eastAsia="en-GB"/>
              </w:rPr>
              <w:t>PSCR b</w:t>
            </w:r>
            <w:r w:rsidRPr="001A2C4E">
              <w:rPr>
                <w:rFonts w:ascii="Arial Narrow" w:hAnsi="Arial Narrow" w:cs="Times New Roman"/>
                <w:b/>
                <w:sz w:val="20"/>
                <w:lang w:eastAsia="en-GB"/>
              </w:rPr>
              <w:t>ase case:</w:t>
            </w:r>
            <w:r w:rsidR="0003516A">
              <w:rPr>
                <w:rFonts w:ascii="Arial Narrow" w:hAnsi="Arial Narrow" w:cs="Times New Roman"/>
                <w:b/>
                <w:sz w:val="20"/>
                <w:lang w:eastAsia="en-GB"/>
              </w:rPr>
              <w:t xml:space="preserve"> </w:t>
            </w:r>
            <w:r w:rsidR="0003516A" w:rsidRPr="00675D37">
              <w:rPr>
                <w:rFonts w:ascii="Arial Narrow" w:hAnsi="Arial Narrow" w:cs="Times New Roman"/>
                <w:b/>
                <w:sz w:val="20"/>
                <w:lang w:eastAsia="en-GB"/>
              </w:rPr>
              <w:t>$455,000 to &lt; $555,000</w:t>
            </w:r>
            <w:r w:rsidRPr="001A2C4E">
              <w:rPr>
                <w:rFonts w:ascii="Arial Narrow" w:hAnsi="Arial Narrow" w:cs="Times New Roman"/>
                <w:b/>
                <w:sz w:val="20"/>
                <w:lang w:eastAsia="en-GB"/>
              </w:rPr>
              <w:t>/QALY (without SPR)</w:t>
            </w:r>
            <w:r w:rsidR="00D964AB" w:rsidRPr="001A2C4E">
              <w:rPr>
                <w:rFonts w:ascii="Arial Narrow" w:hAnsi="Arial Narrow" w:cs="Times New Roman"/>
                <w:b/>
                <w:sz w:val="20"/>
                <w:lang w:eastAsia="en-GB"/>
              </w:rPr>
              <w:t>)</w:t>
            </w:r>
          </w:p>
        </w:tc>
      </w:tr>
      <w:tr w:rsidR="00CE76B8" w:rsidRPr="001A2C4E" w14:paraId="6B47A4C6" w14:textId="77777777" w:rsidTr="00D964AB">
        <w:tc>
          <w:tcPr>
            <w:tcW w:w="935" w:type="pct"/>
            <w:shd w:val="clear" w:color="auto" w:fill="auto"/>
            <w:vAlign w:val="center"/>
          </w:tcPr>
          <w:p w14:paraId="4EE4577F"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Extrapolation of clinical effect of burosumab</w:t>
            </w:r>
          </w:p>
        </w:tc>
        <w:tc>
          <w:tcPr>
            <w:tcW w:w="1798" w:type="pct"/>
            <w:shd w:val="clear" w:color="auto" w:fill="auto"/>
            <w:vAlign w:val="center"/>
          </w:tcPr>
          <w:p w14:paraId="7B69DF5D" w14:textId="28F2C7CA" w:rsidR="00354083" w:rsidRPr="001A2C4E" w:rsidRDefault="00354083"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RSS was the only outcome extrapolated from the clinical data.</w:t>
            </w:r>
          </w:p>
          <w:p w14:paraId="28FD775C" w14:textId="38765156"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lang w:eastAsia="en-GB"/>
              </w:rPr>
            </w:pPr>
            <w:r w:rsidRPr="001A2C4E">
              <w:rPr>
                <w:rFonts w:ascii="Arial Narrow" w:hAnsi="Arial Narrow" w:cs="Times New Roman"/>
                <w:sz w:val="20"/>
                <w:lang w:eastAsia="en-GB"/>
              </w:rPr>
              <w:t>Constant annual transition probabilities</w:t>
            </w:r>
            <w:r w:rsidR="00354083" w:rsidRPr="001A2C4E">
              <w:rPr>
                <w:rFonts w:ascii="Arial Narrow" w:hAnsi="Arial Narrow" w:cs="Times New Roman"/>
                <w:sz w:val="20"/>
                <w:lang w:eastAsia="en-GB"/>
              </w:rPr>
              <w:t xml:space="preserve"> for</w:t>
            </w:r>
            <w:r w:rsidRPr="001A2C4E">
              <w:rPr>
                <w:rFonts w:ascii="Arial Narrow" w:hAnsi="Arial Narrow" w:cs="Times New Roman"/>
                <w:sz w:val="20"/>
                <w:lang w:eastAsia="en-GB"/>
              </w:rPr>
              <w:t xml:space="preserve"> burosumab up to age 18</w:t>
            </w:r>
            <w:r w:rsidR="00397129" w:rsidRPr="001A2C4E">
              <w:rPr>
                <w:rFonts w:ascii="Arial Narrow" w:hAnsi="Arial Narrow" w:cs="Times New Roman"/>
                <w:sz w:val="20"/>
                <w:lang w:eastAsia="en-GB"/>
              </w:rPr>
              <w:t>, based on data at Week 64.</w:t>
            </w:r>
          </w:p>
          <w:p w14:paraId="1ED8BE32" w14:textId="2E1B0FB5"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All patients remained in their respective RSS health state</w:t>
            </w:r>
            <w:r w:rsidR="00397129" w:rsidRPr="001A2C4E">
              <w:rPr>
                <w:rFonts w:ascii="Arial Narrow" w:hAnsi="Arial Narrow" w:cs="Times New Roman"/>
                <w:sz w:val="20"/>
                <w:lang w:eastAsia="en-GB"/>
              </w:rPr>
              <w:t>s</w:t>
            </w:r>
            <w:r w:rsidRPr="001A2C4E">
              <w:rPr>
                <w:rFonts w:ascii="Arial Narrow" w:hAnsi="Arial Narrow" w:cs="Times New Roman"/>
                <w:sz w:val="20"/>
                <w:lang w:eastAsia="en-GB"/>
              </w:rPr>
              <w:t xml:space="preserve"> beyond age 18</w:t>
            </w:r>
            <w:r w:rsidR="00354083" w:rsidRPr="001A2C4E">
              <w:rPr>
                <w:rFonts w:ascii="Arial Narrow" w:hAnsi="Arial Narrow" w:cs="Times New Roman"/>
                <w:sz w:val="20"/>
                <w:lang w:eastAsia="en-GB"/>
              </w:rPr>
              <w:t>.</w:t>
            </w:r>
          </w:p>
        </w:tc>
        <w:tc>
          <w:tcPr>
            <w:tcW w:w="2266" w:type="pct"/>
            <w:shd w:val="clear" w:color="auto" w:fill="auto"/>
            <w:vAlign w:val="center"/>
          </w:tcPr>
          <w:p w14:paraId="7C05395C" w14:textId="5F3666D2" w:rsidR="00CE76B8" w:rsidRPr="001A2C4E" w:rsidRDefault="00CE76B8" w:rsidP="00B03783">
            <w:pPr>
              <w:keepNext/>
              <w:widowControl w:val="0"/>
              <w:spacing w:line="256" w:lineRule="auto"/>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354083"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burosumab.</w:t>
            </w:r>
          </w:p>
          <w:p w14:paraId="27365AD7" w14:textId="215CB3C0" w:rsidR="00354083" w:rsidRPr="001A2C4E" w:rsidRDefault="00CE76B8" w:rsidP="00B03783">
            <w:pPr>
              <w:keepNext/>
              <w:widowControl w:val="0"/>
              <w:spacing w:line="256" w:lineRule="auto"/>
              <w:jc w:val="left"/>
              <w:rPr>
                <w:rFonts w:ascii="Arial Narrow" w:hAnsi="Arial Narrow"/>
                <w:sz w:val="20"/>
                <w:szCs w:val="20"/>
              </w:rPr>
            </w:pPr>
            <w:r w:rsidRPr="001A2C4E">
              <w:rPr>
                <w:rFonts w:ascii="Arial Narrow" w:hAnsi="Arial Narrow" w:cs="Times New Roman"/>
                <w:sz w:val="20"/>
                <w:szCs w:val="20"/>
                <w:lang w:eastAsia="en-GB"/>
              </w:rPr>
              <w:t>Removal of extrapolated treatment effect, assuming no further health state transitions beyond cycle 2 of the model except background mortality, the ICER increased to $</w:t>
            </w:r>
            <w:r w:rsidR="006F4DA2" w:rsidRPr="006F4DA2">
              <w:rPr>
                <w:rFonts w:ascii="Arial Narrow" w:hAnsi="Arial Narrow"/>
                <w:sz w:val="20"/>
                <w:szCs w:val="20"/>
              </w:rPr>
              <w:t>755,000 to &lt; $855,000</w:t>
            </w:r>
            <w:r w:rsidRPr="001A2C4E">
              <w:rPr>
                <w:rFonts w:ascii="Arial Narrow" w:hAnsi="Arial Narrow" w:cs="Times New Roman"/>
                <w:sz w:val="20"/>
                <w:szCs w:val="20"/>
                <w:lang w:eastAsia="en-GB"/>
              </w:rPr>
              <w:t>/QALY</w:t>
            </w:r>
            <w:r w:rsidR="00397129" w:rsidRPr="001A2C4E">
              <w:rPr>
                <w:rFonts w:ascii="Arial Narrow" w:hAnsi="Arial Narrow" w:cs="Times New Roman"/>
                <w:sz w:val="20"/>
                <w:szCs w:val="20"/>
                <w:lang w:eastAsia="en-GB"/>
              </w:rPr>
              <w:t>.</w:t>
            </w:r>
            <w:r w:rsidR="0003516A">
              <w:rPr>
                <w:rFonts w:ascii="Arial Narrow" w:hAnsi="Arial Narrow" w:cs="Times New Roman"/>
                <w:sz w:val="20"/>
                <w:szCs w:val="20"/>
                <w:lang w:eastAsia="en-GB"/>
              </w:rPr>
              <w:t xml:space="preserve"> </w:t>
            </w:r>
            <w:r w:rsidRPr="001A2C4E">
              <w:rPr>
                <w:rFonts w:ascii="Arial Narrow" w:hAnsi="Arial Narrow"/>
                <w:sz w:val="20"/>
                <w:szCs w:val="20"/>
              </w:rPr>
              <w:t>Including a waning effect over time by assuming a lower health state utility from 19 to 30 years of age, increased the ICER to $</w:t>
            </w:r>
            <w:r w:rsidR="006F4DA2" w:rsidRPr="006F4DA2">
              <w:rPr>
                <w:rFonts w:ascii="Arial Narrow" w:hAnsi="Arial Narrow"/>
                <w:sz w:val="20"/>
                <w:szCs w:val="20"/>
              </w:rPr>
              <w:t>555,000 to &lt; $655,000</w:t>
            </w:r>
            <w:r w:rsidR="006F4DA2" w:rsidRPr="001A2C4E" w:rsidDel="006F4DA2">
              <w:rPr>
                <w:rFonts w:ascii="Arial Narrow" w:hAnsi="Arial Narrow"/>
                <w:sz w:val="20"/>
                <w:szCs w:val="20"/>
              </w:rPr>
              <w:t xml:space="preserve"> </w:t>
            </w:r>
            <w:r w:rsidRPr="001A2C4E">
              <w:rPr>
                <w:rFonts w:ascii="Arial Narrow" w:hAnsi="Arial Narrow"/>
                <w:sz w:val="20"/>
                <w:szCs w:val="20"/>
              </w:rPr>
              <w:t>/QALY.</w:t>
            </w:r>
          </w:p>
        </w:tc>
      </w:tr>
      <w:tr w:rsidR="00CE76B8" w:rsidRPr="001A2C4E" w14:paraId="5D2A3073" w14:textId="77777777" w:rsidTr="00D964AB">
        <w:tc>
          <w:tcPr>
            <w:tcW w:w="935" w:type="pct"/>
            <w:shd w:val="clear" w:color="auto" w:fill="auto"/>
            <w:vAlign w:val="center"/>
          </w:tcPr>
          <w:p w14:paraId="36892263"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Transition probabilities</w:t>
            </w:r>
          </w:p>
        </w:tc>
        <w:tc>
          <w:tcPr>
            <w:tcW w:w="1798" w:type="pct"/>
            <w:shd w:val="clear" w:color="auto" w:fill="auto"/>
            <w:vAlign w:val="center"/>
          </w:tcPr>
          <w:p w14:paraId="45F8FD84" w14:textId="45137ED9"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Estimated</w:t>
            </w:r>
            <w:r w:rsidRPr="001A2C4E">
              <w:rPr>
                <w:rFonts w:ascii="Arial Narrow" w:hAnsi="Arial Narrow" w:cs="Times New Roman"/>
                <w:sz w:val="20"/>
                <w:szCs w:val="20"/>
                <w:lang w:eastAsia="en-GB"/>
              </w:rPr>
              <w:t xml:space="preserve"> by pooling mixed data sources</w:t>
            </w:r>
            <w:r w:rsidR="00397129" w:rsidRPr="001A2C4E">
              <w:rPr>
                <w:rFonts w:ascii="Arial Narrow" w:hAnsi="Arial Narrow" w:cs="Times New Roman"/>
                <w:sz w:val="20"/>
                <w:szCs w:val="20"/>
                <w:lang w:eastAsia="en-GB"/>
              </w:rPr>
              <w:t>.</w:t>
            </w:r>
          </w:p>
          <w:p w14:paraId="7C228AB7" w14:textId="17F62EA4"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szCs w:val="20"/>
                <w:lang w:eastAsia="en-GB"/>
              </w:rPr>
              <w:t xml:space="preserve">A single patient informed the </w:t>
            </w:r>
            <w:r w:rsidRPr="001A2C4E">
              <w:rPr>
                <w:rFonts w:ascii="Arial Narrow" w:hAnsi="Arial Narrow" w:cs="Times New Roman"/>
                <w:sz w:val="20"/>
                <w:lang w:eastAsia="en-GB"/>
              </w:rPr>
              <w:t>transition</w:t>
            </w:r>
            <w:r w:rsidRPr="001A2C4E">
              <w:rPr>
                <w:rFonts w:ascii="Arial Narrow" w:hAnsi="Arial Narrow" w:cs="Times New Roman"/>
                <w:sz w:val="20"/>
                <w:szCs w:val="20"/>
                <w:lang w:eastAsia="en-GB"/>
              </w:rPr>
              <w:t xml:space="preserve"> probability for remaining in the ‘healed’ state for burosumab patients.</w:t>
            </w:r>
          </w:p>
          <w:p w14:paraId="54307F8C" w14:textId="62135761"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szCs w:val="20"/>
                <w:lang w:eastAsia="en-GB"/>
              </w:rPr>
            </w:pPr>
            <w:r w:rsidRPr="001A2C4E">
              <w:rPr>
                <w:rFonts w:ascii="Arial Narrow" w:hAnsi="Arial Narrow" w:cs="Times New Roman"/>
                <w:sz w:val="20"/>
                <w:lang w:eastAsia="en-GB"/>
              </w:rPr>
              <w:t>Adolescent</w:t>
            </w:r>
            <w:r w:rsidRPr="001A2C4E">
              <w:rPr>
                <w:rFonts w:ascii="Arial Narrow" w:hAnsi="Arial Narrow" w:cs="Times New Roman"/>
                <w:sz w:val="20"/>
                <w:szCs w:val="20"/>
                <w:lang w:eastAsia="en-GB"/>
              </w:rPr>
              <w:t xml:space="preserve"> transition probabilities were equally applied to children of all ages up to 18 years.</w:t>
            </w:r>
          </w:p>
          <w:p w14:paraId="6399FB71" w14:textId="1B0BFDEE" w:rsidR="00CE76B8" w:rsidRPr="001A2C4E" w:rsidRDefault="00CE76B8" w:rsidP="001A2C4E">
            <w:pPr>
              <w:pStyle w:val="ListParagraph"/>
              <w:keepNext/>
              <w:widowControl w:val="0"/>
              <w:numPr>
                <w:ilvl w:val="0"/>
                <w:numId w:val="8"/>
              </w:numPr>
              <w:spacing w:after="0" w:line="256" w:lineRule="auto"/>
              <w:ind w:left="257" w:hanging="257"/>
              <w:jc w:val="left"/>
              <w:rPr>
                <w:rFonts w:ascii="Arial Narrow" w:hAnsi="Arial Narrow" w:cs="Times New Roman"/>
                <w:sz w:val="20"/>
                <w:lang w:eastAsia="en-GB"/>
              </w:rPr>
            </w:pPr>
            <w:r w:rsidRPr="001A2C4E">
              <w:rPr>
                <w:rFonts w:ascii="Arial Narrow" w:hAnsi="Arial Narrow" w:cs="Times New Roman"/>
                <w:sz w:val="20"/>
                <w:szCs w:val="20"/>
                <w:lang w:eastAsia="en-GB"/>
              </w:rPr>
              <w:t xml:space="preserve">Burosumab treated patients can never </w:t>
            </w:r>
            <w:r w:rsidRPr="001A2C4E">
              <w:rPr>
                <w:rFonts w:ascii="Arial Narrow" w:hAnsi="Arial Narrow" w:cs="Times New Roman"/>
                <w:sz w:val="20"/>
                <w:lang w:eastAsia="en-GB"/>
              </w:rPr>
              <w:t>transition</w:t>
            </w:r>
            <w:r w:rsidRPr="001A2C4E">
              <w:rPr>
                <w:rFonts w:ascii="Arial Narrow" w:hAnsi="Arial Narrow" w:cs="Times New Roman"/>
                <w:sz w:val="20"/>
                <w:szCs w:val="20"/>
                <w:lang w:eastAsia="en-GB"/>
              </w:rPr>
              <w:t xml:space="preserve"> to a worse health state in the model.</w:t>
            </w:r>
          </w:p>
        </w:tc>
        <w:tc>
          <w:tcPr>
            <w:tcW w:w="2266" w:type="pct"/>
            <w:shd w:val="clear" w:color="auto" w:fill="auto"/>
            <w:vAlign w:val="center"/>
          </w:tcPr>
          <w:p w14:paraId="3CA24214" w14:textId="728A9421" w:rsidR="00FE3E2E" w:rsidRPr="004801E5" w:rsidRDefault="00CE76B8" w:rsidP="00FE3E2E">
            <w:pPr>
              <w:keepNext/>
              <w:widowControl w:val="0"/>
              <w:spacing w:line="256" w:lineRule="auto"/>
              <w:jc w:val="left"/>
              <w:rPr>
                <w:rFonts w:ascii="Arial Narrow" w:hAnsi="Arial Narrow"/>
                <w:color w:val="333333"/>
                <w:sz w:val="21"/>
                <w:szCs w:val="21"/>
              </w:rPr>
            </w:pPr>
            <w:r w:rsidRPr="001A2C4E">
              <w:rPr>
                <w:rFonts w:ascii="Arial Narrow" w:hAnsi="Arial Narrow" w:cs="Times New Roman"/>
                <w:sz w:val="20"/>
                <w:szCs w:val="20"/>
                <w:lang w:eastAsia="en-GB"/>
              </w:rPr>
              <w:t>High, favour</w:t>
            </w:r>
            <w:r w:rsidR="00354083"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burosumab.Base-case ICER almost double</w:t>
            </w:r>
            <w:r w:rsidR="00397129" w:rsidRPr="001A2C4E">
              <w:rPr>
                <w:rFonts w:ascii="Arial Narrow" w:hAnsi="Arial Narrow" w:cs="Times New Roman"/>
                <w:sz w:val="20"/>
                <w:szCs w:val="20"/>
                <w:lang w:eastAsia="en-GB"/>
              </w:rPr>
              <w:t>d</w:t>
            </w:r>
            <w:r w:rsidRPr="001A2C4E">
              <w:rPr>
                <w:rFonts w:ascii="Arial Narrow" w:hAnsi="Arial Narrow" w:cs="Times New Roman"/>
                <w:sz w:val="20"/>
                <w:szCs w:val="20"/>
                <w:lang w:eastAsia="en-GB"/>
              </w:rPr>
              <w:t xml:space="preserve"> (</w:t>
            </w:r>
            <w:r w:rsidRPr="004801E5">
              <w:rPr>
                <w:rFonts w:ascii="Arial Narrow" w:hAnsi="Arial Narrow" w:cs="Times New Roman"/>
                <w:sz w:val="20"/>
                <w:szCs w:val="20"/>
                <w:lang w:eastAsia="en-GB"/>
              </w:rPr>
              <w:t>$</w:t>
            </w:r>
            <w:r w:rsidR="00FE3E2E" w:rsidRPr="004801E5">
              <w:rPr>
                <w:rFonts w:ascii="Arial Narrow" w:hAnsi="Arial Narrow" w:cs="Times New Roman"/>
                <w:sz w:val="20"/>
                <w:szCs w:val="20"/>
                <w:lang w:eastAsia="en-GB"/>
              </w:rPr>
              <w:t>955,000 to &lt; $1,055,000</w:t>
            </w:r>
          </w:p>
          <w:p w14:paraId="4323943C" w14:textId="4961AB2D" w:rsidR="00CE76B8" w:rsidRPr="001A2C4E" w:rsidRDefault="00C52B40" w:rsidP="00B03783">
            <w:pPr>
              <w:keepNext/>
              <w:widowControl w:val="0"/>
              <w:spacing w:line="256" w:lineRule="auto"/>
              <w:jc w:val="left"/>
              <w:rPr>
                <w:rFonts w:ascii="Arial Narrow" w:hAnsi="Arial Narrow" w:cs="Times New Roman"/>
                <w:sz w:val="20"/>
                <w:szCs w:val="20"/>
                <w:lang w:eastAsia="en-GB"/>
              </w:rPr>
            </w:pPr>
            <w:r w:rsidRPr="004801E5">
              <w:rPr>
                <w:rFonts w:ascii="Arial Narrow" w:hAnsi="Arial Narrow" w:cs="Times New Roman"/>
                <w:sz w:val="20"/>
                <w:szCs w:val="20"/>
                <w:lang w:eastAsia="en-GB"/>
              </w:rPr>
              <w:t>/QALY</w:t>
            </w:r>
            <w:r w:rsidR="00CE76B8" w:rsidRPr="001A2C4E">
              <w:rPr>
                <w:rFonts w:ascii="Arial Narrow" w:hAnsi="Arial Narrow" w:cs="Times New Roman"/>
                <w:sz w:val="20"/>
                <w:szCs w:val="20"/>
                <w:lang w:eastAsia="en-GB"/>
              </w:rPr>
              <w:t>) if the one patient who informed the transition to a healed state experience</w:t>
            </w:r>
            <w:r w:rsidR="00397129" w:rsidRPr="001A2C4E">
              <w:rPr>
                <w:rFonts w:ascii="Arial Narrow" w:hAnsi="Arial Narrow" w:cs="Times New Roman"/>
                <w:sz w:val="20"/>
                <w:szCs w:val="20"/>
                <w:lang w:eastAsia="en-GB"/>
              </w:rPr>
              <w:t>d</w:t>
            </w:r>
            <w:r w:rsidR="00CE76B8" w:rsidRPr="001A2C4E">
              <w:rPr>
                <w:rFonts w:ascii="Arial Narrow" w:hAnsi="Arial Narrow" w:cs="Times New Roman"/>
                <w:sz w:val="20"/>
                <w:szCs w:val="20"/>
                <w:lang w:eastAsia="en-GB"/>
              </w:rPr>
              <w:t xml:space="preserve"> mild disease</w:t>
            </w:r>
            <w:r w:rsidR="00397129" w:rsidRPr="001A2C4E">
              <w:rPr>
                <w:rFonts w:ascii="Arial Narrow" w:hAnsi="Arial Narrow" w:cs="Times New Roman"/>
                <w:sz w:val="20"/>
                <w:szCs w:val="20"/>
                <w:lang w:eastAsia="en-GB"/>
              </w:rPr>
              <w:t xml:space="preserve"> instead </w:t>
            </w:r>
            <w:r w:rsidR="00CE76B8" w:rsidRPr="001A2C4E">
              <w:rPr>
                <w:rFonts w:ascii="Arial Narrow" w:hAnsi="Arial Narrow" w:cs="Times New Roman"/>
                <w:sz w:val="20"/>
                <w:szCs w:val="20"/>
                <w:lang w:eastAsia="en-GB"/>
              </w:rPr>
              <w:t>(QALY gain significantly reduced).</w:t>
            </w:r>
          </w:p>
          <w:p w14:paraId="1770CB0B" w14:textId="42F0BA7C" w:rsidR="00CE76B8" w:rsidRPr="001A2C4E" w:rsidRDefault="00CE76B8" w:rsidP="00B03783">
            <w:pPr>
              <w:keepNext/>
              <w:widowControl w:val="0"/>
              <w:spacing w:line="256" w:lineRule="auto"/>
              <w:jc w:val="left"/>
              <w:rPr>
                <w:rFonts w:ascii="Arial Narrow" w:hAnsi="Arial Narrow" w:cs="Times New Roman"/>
                <w:sz w:val="20"/>
                <w:szCs w:val="20"/>
                <w:lang w:eastAsia="en-GB"/>
              </w:rPr>
            </w:pPr>
            <w:r w:rsidRPr="001A2C4E">
              <w:rPr>
                <w:rFonts w:ascii="Arial Narrow" w:hAnsi="Arial Narrow" w:cs="Times New Roman"/>
                <w:sz w:val="20"/>
                <w:szCs w:val="20"/>
                <w:lang w:eastAsia="en-GB"/>
              </w:rPr>
              <w:t>Annualised transition probabilities varied, as does the ICER, if alternate data used. For example, application of conventional therapy transitions increases the ICER to $</w:t>
            </w:r>
            <w:r w:rsidR="00FE3E2E" w:rsidRPr="00FE3E2E">
              <w:rPr>
                <w:rFonts w:ascii="Arial Narrow" w:hAnsi="Arial Narrow" w:cs="Times New Roman"/>
                <w:sz w:val="20"/>
                <w:szCs w:val="20"/>
                <w:lang w:eastAsia="en-GB"/>
              </w:rPr>
              <w:t>855,000 to &lt; $955,000</w:t>
            </w:r>
            <w:r w:rsidRPr="001A2C4E">
              <w:rPr>
                <w:rFonts w:ascii="Arial Narrow" w:hAnsi="Arial Narrow" w:cs="Times New Roman"/>
                <w:sz w:val="20"/>
                <w:szCs w:val="20"/>
                <w:lang w:eastAsia="en-GB"/>
              </w:rPr>
              <w:t>/QALY.</w:t>
            </w:r>
          </w:p>
        </w:tc>
      </w:tr>
      <w:tr w:rsidR="00CE76B8" w:rsidRPr="001A2C4E" w14:paraId="58019B26" w14:textId="77777777" w:rsidTr="00D964AB">
        <w:tc>
          <w:tcPr>
            <w:tcW w:w="935" w:type="pct"/>
            <w:shd w:val="clear" w:color="auto" w:fill="auto"/>
            <w:vAlign w:val="center"/>
          </w:tcPr>
          <w:p w14:paraId="3691823F" w14:textId="77777777" w:rsidR="00CE76B8" w:rsidRPr="001A2C4E" w:rsidRDefault="00CE76B8" w:rsidP="00B03783">
            <w:pPr>
              <w:keepNext/>
              <w:widowControl w:val="0"/>
              <w:spacing w:line="256" w:lineRule="auto"/>
              <w:jc w:val="left"/>
              <w:rPr>
                <w:rFonts w:ascii="Arial Narrow" w:hAnsi="Arial Narrow"/>
                <w:sz w:val="20"/>
              </w:rPr>
            </w:pPr>
            <w:r w:rsidRPr="001A2C4E">
              <w:rPr>
                <w:rFonts w:ascii="Arial Narrow" w:hAnsi="Arial Narrow" w:cs="Times New Roman"/>
                <w:sz w:val="20"/>
                <w:lang w:eastAsia="en-GB"/>
              </w:rPr>
              <w:t>Burosumab dose</w:t>
            </w:r>
          </w:p>
        </w:tc>
        <w:tc>
          <w:tcPr>
            <w:tcW w:w="1798" w:type="pct"/>
            <w:shd w:val="clear" w:color="auto" w:fill="auto"/>
            <w:vAlign w:val="center"/>
          </w:tcPr>
          <w:p w14:paraId="073E75E5" w14:textId="6B54A10D"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sz w:val="20"/>
              </w:rPr>
              <w:t>Base case: 0.91</w:t>
            </w:r>
            <w:r w:rsidR="00C52B40" w:rsidRPr="001A2C4E">
              <w:rPr>
                <w:rFonts w:ascii="Arial Narrow" w:hAnsi="Arial Narrow"/>
                <w:sz w:val="20"/>
              </w:rPr>
              <w:t xml:space="preserve"> </w:t>
            </w:r>
            <w:r w:rsidRPr="001A2C4E">
              <w:rPr>
                <w:rFonts w:ascii="Arial Narrow" w:hAnsi="Arial Narrow"/>
                <w:sz w:val="20"/>
              </w:rPr>
              <w:t>mg/kg Q2W in children; 0.95</w:t>
            </w:r>
            <w:r w:rsidR="00C52B40" w:rsidRPr="001A2C4E">
              <w:rPr>
                <w:rFonts w:ascii="Arial Narrow" w:hAnsi="Arial Narrow"/>
                <w:sz w:val="20"/>
              </w:rPr>
              <w:t xml:space="preserve"> </w:t>
            </w:r>
            <w:r w:rsidRPr="001A2C4E">
              <w:rPr>
                <w:rFonts w:ascii="Arial Narrow" w:hAnsi="Arial Narrow"/>
                <w:sz w:val="20"/>
              </w:rPr>
              <w:t>mg/kg Q4W in adults</w:t>
            </w:r>
          </w:p>
        </w:tc>
        <w:tc>
          <w:tcPr>
            <w:tcW w:w="2266" w:type="pct"/>
            <w:shd w:val="clear" w:color="auto" w:fill="auto"/>
            <w:vAlign w:val="center"/>
          </w:tcPr>
          <w:p w14:paraId="023D7EDA" w14:textId="6AD857B5"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Moderate, favour</w:t>
            </w:r>
            <w:r w:rsidR="00354083"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burosumab.</w:t>
            </w:r>
          </w:p>
          <w:p w14:paraId="625F1B16" w14:textId="282EF86C"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Increasing the mean paediatric dose to 1.05</w:t>
            </w:r>
            <w:r w:rsidR="00C52B40"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mg/kg (based on Australian EAP) increases ICER to $</w:t>
            </w:r>
            <w:r w:rsidR="00FE3E2E" w:rsidRPr="00FE3E2E">
              <w:rPr>
                <w:rFonts w:ascii="Arial Narrow" w:hAnsi="Arial Narrow" w:cs="Times New Roman"/>
                <w:sz w:val="20"/>
                <w:lang w:eastAsia="en-GB"/>
              </w:rPr>
              <w:t>555,000 to &lt; $655,000</w:t>
            </w:r>
            <w:r w:rsidRPr="001A2C4E">
              <w:rPr>
                <w:rFonts w:ascii="Arial Narrow" w:hAnsi="Arial Narrow" w:cs="Times New Roman"/>
                <w:sz w:val="20"/>
                <w:lang w:eastAsia="en-GB"/>
              </w:rPr>
              <w:t>/QALY.</w:t>
            </w:r>
          </w:p>
          <w:p w14:paraId="707BCA02" w14:textId="2CFD04C1"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Increasing the mean adult dose to 1.2</w:t>
            </w:r>
            <w:r w:rsidR="00C52B40"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mg/kg (capped at 90mg), increases the ICER to $</w:t>
            </w:r>
            <w:r w:rsidR="00FE3E2E" w:rsidRPr="00FE3E2E">
              <w:rPr>
                <w:rFonts w:ascii="Arial Narrow" w:hAnsi="Arial Narrow" w:cs="Times New Roman"/>
                <w:sz w:val="20"/>
                <w:lang w:eastAsia="en-GB"/>
              </w:rPr>
              <w:t>555,000 to &lt; $655,000</w:t>
            </w:r>
            <w:r w:rsidRPr="001A2C4E">
              <w:rPr>
                <w:rFonts w:ascii="Arial Narrow" w:hAnsi="Arial Narrow" w:cs="Times New Roman"/>
                <w:sz w:val="20"/>
                <w:lang w:eastAsia="en-GB"/>
              </w:rPr>
              <w:t>/QALY.</w:t>
            </w:r>
          </w:p>
        </w:tc>
      </w:tr>
      <w:tr w:rsidR="00CE76B8" w:rsidRPr="001A2C4E" w14:paraId="06C497B2" w14:textId="77777777" w:rsidTr="00D964AB">
        <w:tc>
          <w:tcPr>
            <w:tcW w:w="935" w:type="pct"/>
            <w:shd w:val="clear" w:color="auto" w:fill="auto"/>
            <w:vAlign w:val="center"/>
          </w:tcPr>
          <w:p w14:paraId="50A9D459" w14:textId="77777777"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Burosumab utilisation in adults</w:t>
            </w:r>
          </w:p>
        </w:tc>
        <w:tc>
          <w:tcPr>
            <w:tcW w:w="1798" w:type="pct"/>
            <w:shd w:val="clear" w:color="auto" w:fill="auto"/>
            <w:vAlign w:val="center"/>
          </w:tcPr>
          <w:p w14:paraId="1E44487B" w14:textId="3386DAF9" w:rsidR="00CE76B8" w:rsidRPr="001A2C4E" w:rsidRDefault="00CE76B8" w:rsidP="00B03783">
            <w:pPr>
              <w:jc w:val="left"/>
              <w:rPr>
                <w:rFonts w:ascii="Arial Narrow" w:hAnsi="Arial Narrow"/>
                <w:sz w:val="20"/>
                <w:szCs w:val="20"/>
              </w:rPr>
            </w:pPr>
            <w:r w:rsidRPr="001A2C4E">
              <w:rPr>
                <w:rFonts w:ascii="Arial Narrow" w:hAnsi="Arial Narrow"/>
                <w:sz w:val="20"/>
                <w:szCs w:val="20"/>
              </w:rPr>
              <w:t>Assum</w:t>
            </w:r>
            <w:r w:rsidR="00354083" w:rsidRPr="001A2C4E">
              <w:rPr>
                <w:rFonts w:ascii="Arial Narrow" w:hAnsi="Arial Narrow"/>
                <w:sz w:val="20"/>
                <w:szCs w:val="20"/>
              </w:rPr>
              <w:t>ed that</w:t>
            </w:r>
            <w:r w:rsidRPr="001A2C4E">
              <w:rPr>
                <w:rFonts w:ascii="Arial Narrow" w:hAnsi="Arial Narrow"/>
                <w:sz w:val="20"/>
                <w:szCs w:val="20"/>
              </w:rPr>
              <w:t xml:space="preserve"> burosumab utilisation in adults</w:t>
            </w:r>
            <w:r w:rsidR="00354083" w:rsidRPr="001A2C4E">
              <w:rPr>
                <w:rFonts w:ascii="Arial Narrow" w:hAnsi="Arial Narrow"/>
                <w:sz w:val="20"/>
                <w:szCs w:val="20"/>
              </w:rPr>
              <w:t xml:space="preserve"> reduce</w:t>
            </w:r>
            <w:r w:rsidR="00356AA7" w:rsidRPr="001A2C4E">
              <w:rPr>
                <w:rFonts w:ascii="Arial Narrow" w:hAnsi="Arial Narrow"/>
                <w:sz w:val="20"/>
                <w:szCs w:val="20"/>
              </w:rPr>
              <w:t>d</w:t>
            </w:r>
            <w:r w:rsidR="00354083" w:rsidRPr="001A2C4E">
              <w:rPr>
                <w:rFonts w:ascii="Arial Narrow" w:hAnsi="Arial Narrow"/>
                <w:sz w:val="20"/>
                <w:szCs w:val="20"/>
              </w:rPr>
              <w:t xml:space="preserve"> over time</w:t>
            </w:r>
            <w:r w:rsidRPr="001A2C4E">
              <w:rPr>
                <w:rFonts w:ascii="Arial Narrow" w:hAnsi="Arial Narrow"/>
                <w:sz w:val="20"/>
                <w:szCs w:val="20"/>
              </w:rPr>
              <w:t>, reduc</w:t>
            </w:r>
            <w:r w:rsidR="00356AA7" w:rsidRPr="001A2C4E">
              <w:rPr>
                <w:rFonts w:ascii="Arial Narrow" w:hAnsi="Arial Narrow"/>
                <w:sz w:val="20"/>
                <w:szCs w:val="20"/>
              </w:rPr>
              <w:t xml:space="preserve">ing </w:t>
            </w:r>
            <w:r w:rsidRPr="001A2C4E">
              <w:rPr>
                <w:rFonts w:ascii="Arial Narrow" w:hAnsi="Arial Narrow"/>
                <w:sz w:val="20"/>
                <w:szCs w:val="20"/>
              </w:rPr>
              <w:t>overall treatment costs (base case utilisation: 80% from 18 years, 60% from 20 years, 50% from 30-50 years, 0% from 60 years).</w:t>
            </w:r>
          </w:p>
        </w:tc>
        <w:tc>
          <w:tcPr>
            <w:tcW w:w="2266" w:type="pct"/>
            <w:shd w:val="clear" w:color="auto" w:fill="auto"/>
            <w:vAlign w:val="center"/>
          </w:tcPr>
          <w:p w14:paraId="3C9D4A9C" w14:textId="578B50C2"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Moderate, favour</w:t>
            </w:r>
            <w:r w:rsidR="00354083"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burosumab</w:t>
            </w:r>
          </w:p>
          <w:p w14:paraId="44518769" w14:textId="4233311F" w:rsidR="00CE76B8" w:rsidRPr="001A2C4E" w:rsidRDefault="00CE76B8" w:rsidP="00B03783">
            <w:pPr>
              <w:keepNext/>
              <w:widowControl w:val="0"/>
              <w:spacing w:line="256" w:lineRule="auto"/>
              <w:jc w:val="left"/>
              <w:rPr>
                <w:rFonts w:ascii="Arial Narrow" w:hAnsi="Arial Narrow" w:cs="Times New Roman"/>
                <w:sz w:val="20"/>
                <w:lang w:eastAsia="en-GB"/>
              </w:rPr>
            </w:pPr>
            <w:r w:rsidRPr="001A2C4E">
              <w:rPr>
                <w:rFonts w:ascii="Arial Narrow" w:hAnsi="Arial Narrow" w:cs="Times New Roman"/>
                <w:sz w:val="20"/>
                <w:lang w:eastAsia="en-GB"/>
              </w:rPr>
              <w:t>Applying 100% utilisation throughout adulthood, increase</w:t>
            </w:r>
            <w:r w:rsidR="00356AA7" w:rsidRPr="001A2C4E">
              <w:rPr>
                <w:rFonts w:ascii="Arial Narrow" w:hAnsi="Arial Narrow" w:cs="Times New Roman"/>
                <w:sz w:val="20"/>
                <w:lang w:eastAsia="en-GB"/>
              </w:rPr>
              <w:t>d</w:t>
            </w:r>
            <w:r w:rsidRPr="001A2C4E">
              <w:rPr>
                <w:rFonts w:ascii="Arial Narrow" w:hAnsi="Arial Narrow" w:cs="Times New Roman"/>
                <w:sz w:val="20"/>
                <w:lang w:eastAsia="en-GB"/>
              </w:rPr>
              <w:t xml:space="preserve"> the ICER to $</w:t>
            </w:r>
            <w:r w:rsidR="00FE3E2E" w:rsidRPr="00FE3E2E">
              <w:rPr>
                <w:rFonts w:ascii="Arial Narrow" w:hAnsi="Arial Narrow" w:cs="Times New Roman"/>
                <w:sz w:val="20"/>
                <w:lang w:eastAsia="en-GB"/>
              </w:rPr>
              <w:t>555,000 to &lt; $655,000</w:t>
            </w:r>
            <w:r w:rsidR="00C52B40" w:rsidRPr="001A2C4E">
              <w:rPr>
                <w:rFonts w:ascii="Arial Narrow" w:hAnsi="Arial Narrow" w:cs="Times New Roman"/>
                <w:sz w:val="20"/>
                <w:lang w:eastAsia="en-GB"/>
              </w:rPr>
              <w:t>/QALY.</w:t>
            </w:r>
          </w:p>
        </w:tc>
      </w:tr>
    </w:tbl>
    <w:p w14:paraId="3EFC4541" w14:textId="77777777" w:rsidR="00CE76B8" w:rsidRPr="005341C1" w:rsidRDefault="00CE76B8" w:rsidP="002E1D81">
      <w:pPr>
        <w:rPr>
          <w:rFonts w:ascii="Arial Narrow" w:hAnsi="Arial Narrow"/>
          <w:sz w:val="18"/>
          <w:szCs w:val="20"/>
        </w:rPr>
      </w:pPr>
      <w:r w:rsidRPr="005341C1">
        <w:rPr>
          <w:rFonts w:ascii="Arial Narrow" w:hAnsi="Arial Narrow"/>
          <w:sz w:val="18"/>
          <w:szCs w:val="20"/>
        </w:rPr>
        <w:t>Source: compiled during evaluation.</w:t>
      </w:r>
    </w:p>
    <w:p w14:paraId="6EF9B44A" w14:textId="77BC6D61" w:rsidR="00CE76B8" w:rsidRPr="005341C1" w:rsidRDefault="00CE76B8" w:rsidP="002E1D81">
      <w:pPr>
        <w:rPr>
          <w:rFonts w:ascii="Arial Narrow" w:hAnsi="Arial Narrow"/>
          <w:sz w:val="18"/>
          <w:szCs w:val="20"/>
        </w:rPr>
      </w:pPr>
      <w:r w:rsidRPr="005341C1">
        <w:rPr>
          <w:rFonts w:ascii="Arial Narrow" w:hAnsi="Arial Narrow"/>
          <w:sz w:val="18"/>
          <w:szCs w:val="20"/>
        </w:rPr>
        <w:t xml:space="preserve">SPR=statutory </w:t>
      </w:r>
      <w:r w:rsidR="00D964AB">
        <w:rPr>
          <w:rFonts w:ascii="Arial Narrow" w:hAnsi="Arial Narrow"/>
          <w:sz w:val="18"/>
          <w:szCs w:val="20"/>
        </w:rPr>
        <w:t xml:space="preserve">anniversary </w:t>
      </w:r>
      <w:r w:rsidRPr="005341C1">
        <w:rPr>
          <w:rFonts w:ascii="Arial Narrow" w:hAnsi="Arial Narrow"/>
          <w:sz w:val="18"/>
          <w:szCs w:val="20"/>
        </w:rPr>
        <w:t>price reduction; QALY=quality adjusted life year; RSS=Rickets Severity Score; XLH=X-linked hypophosphataemia; Q2W=every two weeks; Q4W=every four weeks.</w:t>
      </w:r>
    </w:p>
    <w:p w14:paraId="7C866760" w14:textId="046334FA" w:rsidR="00CE76B8" w:rsidRPr="001A2C4E" w:rsidRDefault="00C52B40" w:rsidP="002E1D81">
      <w:pPr>
        <w:spacing w:after="120"/>
        <w:contextualSpacing/>
        <w:rPr>
          <w:rFonts w:ascii="Arial Narrow" w:hAnsi="Arial Narrow"/>
          <w:snapToGrid w:val="0"/>
          <w:sz w:val="18"/>
          <w:szCs w:val="22"/>
        </w:rPr>
      </w:pPr>
      <w:r w:rsidRPr="001A2C4E">
        <w:rPr>
          <w:rFonts w:ascii="Arial Narrow" w:hAnsi="Arial Narrow"/>
          <w:snapToGrid w:val="0"/>
          <w:sz w:val="18"/>
          <w:szCs w:val="22"/>
        </w:rPr>
        <w:t>* All ICERs have been updated use the revised model provided in the PSCR</w:t>
      </w:r>
    </w:p>
    <w:p w14:paraId="4B38CEAD" w14:textId="4C47427F" w:rsidR="00CE76B8" w:rsidRPr="008B4571" w:rsidRDefault="00BA0129" w:rsidP="00CE76B8">
      <w:pPr>
        <w:pStyle w:val="3-BodyText"/>
        <w:rPr>
          <w:i/>
        </w:rPr>
      </w:pPr>
      <w:r>
        <w:rPr>
          <w:iCs/>
        </w:rPr>
        <w:fldChar w:fldCharType="begin"/>
      </w:r>
      <w:r>
        <w:rPr>
          <w:iCs/>
        </w:rPr>
        <w:instrText xml:space="preserve"> REF _Ref92380799 </w:instrText>
      </w:r>
      <w:r>
        <w:rPr>
          <w:iCs/>
        </w:rPr>
        <w:fldChar w:fldCharType="separate"/>
      </w:r>
      <w:r w:rsidR="00676539" w:rsidRPr="009D25EA">
        <w:rPr>
          <w:iCs/>
        </w:rPr>
        <w:t xml:space="preserve">Table </w:t>
      </w:r>
      <w:r w:rsidR="00676539">
        <w:rPr>
          <w:iCs/>
          <w:noProof/>
        </w:rPr>
        <w:t>14</w:t>
      </w:r>
      <w:r>
        <w:rPr>
          <w:iCs/>
          <w:noProof/>
        </w:rPr>
        <w:fldChar w:fldCharType="end"/>
      </w:r>
      <w:r w:rsidR="00CE76B8">
        <w:t xml:space="preserve"> </w:t>
      </w:r>
      <w:r w:rsidR="000F5DEB">
        <w:t>summarises</w:t>
      </w:r>
      <w:r w:rsidR="000F5DEB" w:rsidRPr="00D4558F">
        <w:t xml:space="preserve"> </w:t>
      </w:r>
      <w:r w:rsidR="00CE76B8" w:rsidRPr="00D4558F">
        <w:t xml:space="preserve">the results of the </w:t>
      </w:r>
      <w:r w:rsidR="00CE76B8">
        <w:t xml:space="preserve">paediatric </w:t>
      </w:r>
      <w:r w:rsidR="00CE76B8" w:rsidRPr="00D4558F">
        <w:t>economic evaluation. The base case ICER was estimated to be $</w:t>
      </w:r>
      <w:r w:rsidR="000C199A">
        <w:t>355,000 to &lt; $455,000</w:t>
      </w:r>
      <w:r w:rsidR="00CE76B8">
        <w:t xml:space="preserve"> per </w:t>
      </w:r>
      <w:r w:rsidR="00CE76B8" w:rsidRPr="00D4558F">
        <w:t>QALY</w:t>
      </w:r>
      <w:r w:rsidR="00CE76B8">
        <w:t xml:space="preserve"> gained</w:t>
      </w:r>
      <w:r w:rsidR="00CE76B8" w:rsidRPr="00D4558F">
        <w:t>.</w:t>
      </w:r>
      <w:r w:rsidR="00CE76B8">
        <w:t xml:space="preserve"> Total and incremental discounted QALYs were similar between the March 2021 submission and the resubmission, a direct result of minimal changes to the modelling (</w:t>
      </w:r>
      <w:r w:rsidR="00D964AB">
        <w:t xml:space="preserve">i.e., </w:t>
      </w:r>
      <w:r w:rsidR="000E04D7">
        <w:t xml:space="preserve">the </w:t>
      </w:r>
      <w:r w:rsidR="00D964AB">
        <w:t>only changes impacting QALYs were</w:t>
      </w:r>
      <w:r w:rsidR="00356AA7">
        <w:t xml:space="preserve"> the</w:t>
      </w:r>
      <w:r w:rsidR="00D964AB">
        <w:t xml:space="preserve"> </w:t>
      </w:r>
      <w:r w:rsidR="00CE76B8">
        <w:t>introduction of survival difference</w:t>
      </w:r>
      <w:r w:rsidR="00D964AB">
        <w:t xml:space="preserve"> and</w:t>
      </w:r>
      <w:r w:rsidR="00356AA7">
        <w:t xml:space="preserve"> the</w:t>
      </w:r>
      <w:r w:rsidR="00CE76B8">
        <w:t xml:space="preserve"> reduction in time horizon). In comparison, despite the inclusion of bur</w:t>
      </w:r>
      <w:r w:rsidR="00356AA7">
        <w:t>o</w:t>
      </w:r>
      <w:r w:rsidR="00CE76B8">
        <w:t>s</w:t>
      </w:r>
      <w:r w:rsidR="00356AA7">
        <w:t>u</w:t>
      </w:r>
      <w:r w:rsidR="00CE76B8">
        <w:t xml:space="preserve">mab treatment costs for adults, the incremental costs </w:t>
      </w:r>
      <w:r w:rsidR="00D964AB">
        <w:t>we</w:t>
      </w:r>
      <w:r w:rsidR="00CE76B8">
        <w:t>re greatly reduced</w:t>
      </w:r>
      <w:r w:rsidR="005F6A31">
        <w:t>. This was</w:t>
      </w:r>
      <w:r w:rsidR="00CE76B8">
        <w:t xml:space="preserve"> a result of the reduced </w:t>
      </w:r>
      <w:r w:rsidR="00D964AB">
        <w:t xml:space="preserve">effective price of </w:t>
      </w:r>
      <w:r w:rsidR="00CE76B8">
        <w:t xml:space="preserve">burosumab and </w:t>
      </w:r>
      <w:r w:rsidR="005F6A31">
        <w:t xml:space="preserve">the </w:t>
      </w:r>
      <w:r w:rsidR="00CE76B8">
        <w:t>higher percentage of patients receiving treatment in the conventional therapy arm.</w:t>
      </w:r>
    </w:p>
    <w:p w14:paraId="74BAD462" w14:textId="5DAD09BB" w:rsidR="008B4571" w:rsidRDefault="008B4571" w:rsidP="00CE76B8">
      <w:pPr>
        <w:pStyle w:val="3-BodyText"/>
      </w:pPr>
      <w:r w:rsidRPr="001A2C4E">
        <w:lastRenderedPageBreak/>
        <w:t xml:space="preserve">The PSCR presented a revised base case in which the time horizon was decreased to 25 years, the assumed </w:t>
      </w:r>
      <w:r w:rsidR="005F6A31" w:rsidRPr="001A2C4E">
        <w:t xml:space="preserve">utilisation rates of burosumab into adulthood were increased </w:t>
      </w:r>
      <w:r w:rsidRPr="001A2C4E">
        <w:t>and minor errors relating to the weight of female patients and use of conventional therapy were corrected. The revised base case ICER was estimated to be $</w:t>
      </w:r>
      <w:r w:rsidR="000C199A">
        <w:t>455,000 to &lt; $555,000</w:t>
      </w:r>
      <w:r w:rsidRPr="001A2C4E">
        <w:t xml:space="preserve"> per QALY.</w:t>
      </w:r>
    </w:p>
    <w:p w14:paraId="0FF67151" w14:textId="784EB63E" w:rsidR="000976A0" w:rsidRPr="001A2C4E" w:rsidRDefault="000976A0" w:rsidP="00CE76B8">
      <w:pPr>
        <w:pStyle w:val="3-BodyText"/>
      </w:pPr>
      <w:r>
        <w:t xml:space="preserve">The pre-PBAC response offered a further </w:t>
      </w:r>
      <w:r w:rsidR="00B355AE" w:rsidRPr="0035108E">
        <w:rPr>
          <w:color w:val="000000"/>
          <w:w w:val="60"/>
          <w:shd w:val="solid" w:color="000000" w:fill="000000"/>
          <w:fitText w:val="470" w:id="-1504471025"/>
          <w14:textFill>
            <w14:solidFill>
              <w14:srgbClr w14:val="000000">
                <w14:alpha w14:val="100000"/>
              </w14:srgbClr>
            </w14:solidFill>
          </w14:textFill>
        </w:rPr>
        <w:t>|||  |||</w:t>
      </w:r>
      <w:r w:rsidRPr="003C231F">
        <w:t>%</w:t>
      </w:r>
      <w:r>
        <w:t xml:space="preserve"> reduction to the effective AEMPs of burosumab. This resulted in a revised base case ICER of $</w:t>
      </w:r>
      <w:r w:rsidR="000C199A">
        <w:t xml:space="preserve">455,000 to &lt; $555,000 </w:t>
      </w:r>
      <w:r>
        <w:t>per QALY.</w:t>
      </w:r>
    </w:p>
    <w:p w14:paraId="5D5DA5FA" w14:textId="2AFB25B9" w:rsidR="00CE76B8" w:rsidRPr="00D4558F" w:rsidRDefault="00CE76B8" w:rsidP="002E1D81">
      <w:pPr>
        <w:pStyle w:val="TableFigureHeading"/>
        <w:rPr>
          <w:rStyle w:val="CommentReference"/>
          <w:b/>
          <w:szCs w:val="24"/>
        </w:rPr>
      </w:pPr>
      <w:bookmarkStart w:id="54" w:name="_Ref92380799"/>
      <w:r w:rsidRPr="009D25EA">
        <w:rPr>
          <w:iCs/>
        </w:rPr>
        <w:t xml:space="preserve">Table </w:t>
      </w:r>
      <w:r w:rsidRPr="009D25EA">
        <w:rPr>
          <w:iCs/>
        </w:rPr>
        <w:fldChar w:fldCharType="begin"/>
      </w:r>
      <w:r w:rsidRPr="009D25EA">
        <w:rPr>
          <w:iCs/>
        </w:rPr>
        <w:instrText xml:space="preserve"> SEQ Table \* ARABIC </w:instrText>
      </w:r>
      <w:r w:rsidRPr="009D25EA">
        <w:rPr>
          <w:iCs/>
        </w:rPr>
        <w:fldChar w:fldCharType="separate"/>
      </w:r>
      <w:r w:rsidR="00676539">
        <w:rPr>
          <w:iCs/>
          <w:noProof/>
        </w:rPr>
        <w:t>14</w:t>
      </w:r>
      <w:r w:rsidRPr="009D25EA">
        <w:fldChar w:fldCharType="end"/>
      </w:r>
      <w:bookmarkEnd w:id="54"/>
      <w:r w:rsidRPr="009D25EA">
        <w:rPr>
          <w:iCs/>
        </w:rPr>
        <w:t xml:space="preserve">: </w:t>
      </w:r>
      <w:r w:rsidRPr="00D4558F">
        <w:rPr>
          <w:rStyle w:val="CommentReference"/>
          <w:b/>
          <w:szCs w:val="24"/>
        </w:rPr>
        <w:t xml:space="preserve">Results of the </w:t>
      </w:r>
      <w:r>
        <w:rPr>
          <w:rStyle w:val="CommentReference"/>
          <w:b/>
          <w:szCs w:val="24"/>
        </w:rPr>
        <w:t xml:space="preserve">paediatric </w:t>
      </w:r>
      <w:r w:rsidRPr="00D4558F">
        <w:rPr>
          <w:rStyle w:val="CommentReference"/>
          <w:b/>
          <w:szCs w:val="24"/>
        </w:rPr>
        <w:t>economic evaluation</w:t>
      </w:r>
      <w:r>
        <w:rPr>
          <w:rStyle w:val="CommentReference"/>
          <w:b/>
          <w:szCs w:val="24"/>
        </w:rPr>
        <w:t>, compared to March 2021 submission</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paediatric economic evaluation, compared to March 2021 submission"/>
      </w:tblPr>
      <w:tblGrid>
        <w:gridCol w:w="988"/>
        <w:gridCol w:w="1384"/>
        <w:gridCol w:w="1831"/>
        <w:gridCol w:w="11"/>
        <w:gridCol w:w="967"/>
        <w:gridCol w:w="11"/>
        <w:gridCol w:w="1150"/>
        <w:gridCol w:w="31"/>
        <w:gridCol w:w="1751"/>
        <w:gridCol w:w="978"/>
      </w:tblGrid>
      <w:tr w:rsidR="00CE76B8" w:rsidRPr="001A2C4E" w14:paraId="27B73C04" w14:textId="77777777" w:rsidTr="00603151">
        <w:trPr>
          <w:trHeight w:val="246"/>
          <w:tblHeader/>
        </w:trPr>
        <w:tc>
          <w:tcPr>
            <w:tcW w:w="543" w:type="pct"/>
            <w:vAlign w:val="center"/>
          </w:tcPr>
          <w:p w14:paraId="6CB54D92" w14:textId="77777777" w:rsidR="00CE76B8" w:rsidRPr="001A2C4E" w:rsidRDefault="00CE76B8" w:rsidP="002E1D81">
            <w:pPr>
              <w:pStyle w:val="In-tableHeading"/>
              <w:rPr>
                <w:lang w:val="en-AU"/>
              </w:rPr>
            </w:pPr>
            <w:r w:rsidRPr="001A2C4E">
              <w:rPr>
                <w:lang w:val="en-AU"/>
              </w:rPr>
              <w:t>Component</w:t>
            </w:r>
          </w:p>
        </w:tc>
        <w:tc>
          <w:tcPr>
            <w:tcW w:w="2309" w:type="pct"/>
            <w:gridSpan w:val="5"/>
            <w:shd w:val="clear" w:color="auto" w:fill="C6D9F1" w:themeFill="text2" w:themeFillTint="33"/>
            <w:vAlign w:val="center"/>
          </w:tcPr>
          <w:p w14:paraId="026DCD82" w14:textId="77777777" w:rsidR="00CE76B8" w:rsidRPr="001A2C4E" w:rsidRDefault="00CE76B8" w:rsidP="002E1D81">
            <w:pPr>
              <w:pStyle w:val="In-tableHeading"/>
              <w:jc w:val="center"/>
              <w:rPr>
                <w:lang w:val="en-AU"/>
              </w:rPr>
            </w:pPr>
            <w:r w:rsidRPr="001A2C4E">
              <w:rPr>
                <w:lang w:val="en-AU"/>
              </w:rPr>
              <w:t>March 2021</w:t>
            </w:r>
          </w:p>
        </w:tc>
        <w:tc>
          <w:tcPr>
            <w:tcW w:w="2148" w:type="pct"/>
            <w:gridSpan w:val="4"/>
          </w:tcPr>
          <w:p w14:paraId="4971A441" w14:textId="77777777" w:rsidR="00CE76B8" w:rsidRPr="001A2C4E" w:rsidRDefault="00CE76B8" w:rsidP="002E1D81">
            <w:pPr>
              <w:pStyle w:val="In-tableHeading"/>
              <w:jc w:val="center"/>
              <w:rPr>
                <w:lang w:val="en-AU"/>
              </w:rPr>
            </w:pPr>
            <w:r w:rsidRPr="001A2C4E">
              <w:rPr>
                <w:lang w:val="en-AU"/>
              </w:rPr>
              <w:t>Resubmission</w:t>
            </w:r>
          </w:p>
        </w:tc>
      </w:tr>
      <w:tr w:rsidR="00CE76B8" w:rsidRPr="001A2C4E" w14:paraId="04C68D07" w14:textId="77777777" w:rsidTr="00B872A2">
        <w:trPr>
          <w:trHeight w:val="246"/>
          <w:tblHeader/>
        </w:trPr>
        <w:tc>
          <w:tcPr>
            <w:tcW w:w="543" w:type="pct"/>
            <w:vAlign w:val="center"/>
          </w:tcPr>
          <w:p w14:paraId="3B862D3C" w14:textId="77777777" w:rsidR="00CE76B8" w:rsidRPr="001A2C4E" w:rsidRDefault="00CE76B8" w:rsidP="002E1D81">
            <w:pPr>
              <w:pStyle w:val="In-tableHeading"/>
              <w:rPr>
                <w:lang w:val="en-AU"/>
              </w:rPr>
            </w:pPr>
          </w:p>
        </w:tc>
        <w:tc>
          <w:tcPr>
            <w:tcW w:w="760" w:type="pct"/>
            <w:shd w:val="clear" w:color="auto" w:fill="C6D9F1" w:themeFill="text2" w:themeFillTint="33"/>
            <w:vAlign w:val="center"/>
          </w:tcPr>
          <w:p w14:paraId="25823116" w14:textId="77777777" w:rsidR="00CE76B8" w:rsidRPr="001A2C4E" w:rsidRDefault="00CE76B8" w:rsidP="002E1D81">
            <w:pPr>
              <w:pStyle w:val="In-tableHeading"/>
              <w:jc w:val="center"/>
              <w:rPr>
                <w:lang w:val="en-AU"/>
              </w:rPr>
            </w:pPr>
            <w:r w:rsidRPr="001A2C4E">
              <w:rPr>
                <w:lang w:val="en-AU"/>
              </w:rPr>
              <w:t>Burosumab</w:t>
            </w:r>
          </w:p>
        </w:tc>
        <w:tc>
          <w:tcPr>
            <w:tcW w:w="1006" w:type="pct"/>
            <w:shd w:val="clear" w:color="auto" w:fill="C6D9F1" w:themeFill="text2" w:themeFillTint="33"/>
            <w:vAlign w:val="center"/>
          </w:tcPr>
          <w:p w14:paraId="0EA1EE1D" w14:textId="77777777" w:rsidR="00CE76B8" w:rsidRPr="001A2C4E" w:rsidRDefault="00CE76B8" w:rsidP="002E1D81">
            <w:pPr>
              <w:pStyle w:val="In-tableHeading"/>
              <w:jc w:val="center"/>
              <w:rPr>
                <w:lang w:val="en-AU"/>
              </w:rPr>
            </w:pPr>
            <w:r w:rsidRPr="001A2C4E">
              <w:rPr>
                <w:lang w:val="en-AU"/>
              </w:rPr>
              <w:t>Conventional therapy</w:t>
            </w:r>
          </w:p>
        </w:tc>
        <w:tc>
          <w:tcPr>
            <w:tcW w:w="537" w:type="pct"/>
            <w:gridSpan w:val="2"/>
            <w:shd w:val="clear" w:color="auto" w:fill="C6D9F1" w:themeFill="text2" w:themeFillTint="33"/>
            <w:vAlign w:val="center"/>
          </w:tcPr>
          <w:p w14:paraId="75388F32" w14:textId="77777777" w:rsidR="00CE76B8" w:rsidRPr="001A2C4E" w:rsidRDefault="00CE76B8" w:rsidP="002E1D81">
            <w:pPr>
              <w:pStyle w:val="In-tableHeading"/>
              <w:jc w:val="center"/>
              <w:rPr>
                <w:lang w:val="en-AU"/>
              </w:rPr>
            </w:pPr>
            <w:r w:rsidRPr="001A2C4E">
              <w:rPr>
                <w:lang w:val="en-AU"/>
              </w:rPr>
              <w:t>Incremental</w:t>
            </w:r>
          </w:p>
        </w:tc>
        <w:tc>
          <w:tcPr>
            <w:tcW w:w="638" w:type="pct"/>
            <w:gridSpan w:val="2"/>
            <w:vAlign w:val="center"/>
          </w:tcPr>
          <w:p w14:paraId="15DA6801" w14:textId="77777777" w:rsidR="00CE76B8" w:rsidRPr="001A2C4E" w:rsidRDefault="00CE76B8" w:rsidP="002E1D81">
            <w:pPr>
              <w:pStyle w:val="In-tableHeading"/>
              <w:jc w:val="center"/>
              <w:rPr>
                <w:lang w:val="en-AU"/>
              </w:rPr>
            </w:pPr>
            <w:r w:rsidRPr="001A2C4E">
              <w:rPr>
                <w:lang w:val="en-AU"/>
              </w:rPr>
              <w:t>Burosumab</w:t>
            </w:r>
          </w:p>
        </w:tc>
        <w:tc>
          <w:tcPr>
            <w:tcW w:w="979" w:type="pct"/>
            <w:gridSpan w:val="2"/>
            <w:vAlign w:val="center"/>
          </w:tcPr>
          <w:p w14:paraId="76D4A522" w14:textId="77777777" w:rsidR="00CE76B8" w:rsidRPr="001A2C4E" w:rsidRDefault="00CE76B8" w:rsidP="002E1D81">
            <w:pPr>
              <w:pStyle w:val="In-tableHeading"/>
              <w:jc w:val="center"/>
              <w:rPr>
                <w:lang w:val="en-AU"/>
              </w:rPr>
            </w:pPr>
            <w:r w:rsidRPr="001A2C4E">
              <w:rPr>
                <w:lang w:val="en-AU"/>
              </w:rPr>
              <w:t>Conventional therapy</w:t>
            </w:r>
          </w:p>
        </w:tc>
        <w:tc>
          <w:tcPr>
            <w:tcW w:w="537" w:type="pct"/>
            <w:vAlign w:val="center"/>
          </w:tcPr>
          <w:p w14:paraId="56D00116" w14:textId="77777777" w:rsidR="00CE76B8" w:rsidRPr="001A2C4E" w:rsidRDefault="00CE76B8" w:rsidP="002E1D81">
            <w:pPr>
              <w:pStyle w:val="In-tableHeading"/>
              <w:jc w:val="center"/>
              <w:rPr>
                <w:lang w:val="en-AU"/>
              </w:rPr>
            </w:pPr>
            <w:r w:rsidRPr="001A2C4E">
              <w:rPr>
                <w:lang w:val="en-AU"/>
              </w:rPr>
              <w:t>Incremental</w:t>
            </w:r>
          </w:p>
        </w:tc>
      </w:tr>
      <w:tr w:rsidR="00CE76B8" w:rsidRPr="001A2C4E" w14:paraId="25ADD8E3" w14:textId="77777777" w:rsidTr="00B872A2">
        <w:trPr>
          <w:trHeight w:val="257"/>
        </w:trPr>
        <w:tc>
          <w:tcPr>
            <w:tcW w:w="543" w:type="pct"/>
            <w:vAlign w:val="center"/>
          </w:tcPr>
          <w:p w14:paraId="501CE576" w14:textId="77777777" w:rsidR="00CE76B8" w:rsidRPr="001A2C4E" w:rsidRDefault="00CE76B8" w:rsidP="002E1D81">
            <w:pPr>
              <w:pStyle w:val="TableText0"/>
            </w:pPr>
            <w:r w:rsidRPr="001A2C4E">
              <w:t>Total costs</w:t>
            </w:r>
          </w:p>
        </w:tc>
        <w:tc>
          <w:tcPr>
            <w:tcW w:w="760" w:type="pct"/>
            <w:shd w:val="clear" w:color="auto" w:fill="C6D9F1" w:themeFill="text2" w:themeFillTint="33"/>
            <w:vAlign w:val="center"/>
          </w:tcPr>
          <w:p w14:paraId="7F9BC83D" w14:textId="77777777" w:rsidR="00CE76B8" w:rsidRPr="001A2C4E" w:rsidRDefault="00CE76B8" w:rsidP="002E1D81">
            <w:pPr>
              <w:pStyle w:val="TableText0"/>
              <w:jc w:val="center"/>
            </w:pPr>
            <w:r w:rsidRPr="001A2C4E">
              <w:t>$</w:t>
            </w:r>
            <w:r w:rsidRPr="001F5126">
              <w:t>3,087,210</w:t>
            </w:r>
          </w:p>
        </w:tc>
        <w:tc>
          <w:tcPr>
            <w:tcW w:w="1006" w:type="pct"/>
            <w:shd w:val="clear" w:color="auto" w:fill="C6D9F1" w:themeFill="text2" w:themeFillTint="33"/>
            <w:vAlign w:val="center"/>
          </w:tcPr>
          <w:p w14:paraId="165DCD57" w14:textId="77777777" w:rsidR="00CE76B8" w:rsidRPr="001A2C4E" w:rsidRDefault="00CE76B8" w:rsidP="002E1D81">
            <w:pPr>
              <w:pStyle w:val="TableText0"/>
              <w:jc w:val="center"/>
            </w:pPr>
            <w:r w:rsidRPr="001A2C4E">
              <w:t>$</w:t>
            </w:r>
            <w:r w:rsidRPr="003B06BA">
              <w:t>47,379</w:t>
            </w:r>
          </w:p>
        </w:tc>
        <w:tc>
          <w:tcPr>
            <w:tcW w:w="537" w:type="pct"/>
            <w:gridSpan w:val="2"/>
            <w:shd w:val="clear" w:color="auto" w:fill="C6D9F1" w:themeFill="text2" w:themeFillTint="33"/>
            <w:vAlign w:val="center"/>
          </w:tcPr>
          <w:p w14:paraId="279B3BC7" w14:textId="77777777" w:rsidR="00CE76B8" w:rsidRPr="001A2C4E" w:rsidRDefault="00CE76B8" w:rsidP="002E1D81">
            <w:pPr>
              <w:pStyle w:val="TableText0"/>
              <w:jc w:val="center"/>
            </w:pPr>
            <w:r w:rsidRPr="001F5126">
              <w:t>$3,039,831</w:t>
            </w:r>
          </w:p>
        </w:tc>
        <w:tc>
          <w:tcPr>
            <w:tcW w:w="638" w:type="pct"/>
            <w:gridSpan w:val="2"/>
          </w:tcPr>
          <w:p w14:paraId="09510B7A" w14:textId="3FDD09F5" w:rsidR="00CE76B8" w:rsidRPr="001A2C4E" w:rsidRDefault="00CE76B8" w:rsidP="002E1D81">
            <w:pPr>
              <w:pStyle w:val="TableText0"/>
              <w:jc w:val="center"/>
            </w:pPr>
            <w:r w:rsidRPr="001A2C4E">
              <w:rPr>
                <w:bCs w:val="0"/>
                <w:szCs w:val="20"/>
              </w:rPr>
              <w:t>$</w:t>
            </w:r>
            <w:r w:rsidR="00B355AE" w:rsidRPr="0035108E">
              <w:rPr>
                <w:rFonts w:hint="eastAsia"/>
                <w:bCs w:val="0"/>
                <w:color w:val="000000"/>
                <w:w w:val="15"/>
                <w:szCs w:val="20"/>
                <w:shd w:val="solid" w:color="000000" w:fill="000000"/>
                <w:fitText w:val="40" w:id="-1504471024"/>
                <w14:textFill>
                  <w14:solidFill>
                    <w14:srgbClr w14:val="000000">
                      <w14:alpha w14:val="100000"/>
                    </w14:srgbClr>
                  </w14:solidFill>
                </w14:textFill>
              </w:rPr>
              <w:t xml:space="preserve">　</w:t>
            </w:r>
            <w:r w:rsidR="00B355AE" w:rsidRPr="0035108E">
              <w:rPr>
                <w:bCs w:val="0"/>
                <w:color w:val="000000"/>
                <w:w w:val="15"/>
                <w:szCs w:val="20"/>
                <w:shd w:val="solid" w:color="000000" w:fill="000000"/>
                <w:fitText w:val="40" w:id="-1504471024"/>
                <w14:textFill>
                  <w14:solidFill>
                    <w14:srgbClr w14:val="000000">
                      <w14:alpha w14:val="100000"/>
                    </w14:srgbClr>
                  </w14:solidFill>
                </w14:textFill>
              </w:rPr>
              <w:t>|</w:t>
            </w:r>
            <w:r w:rsidR="00B355AE" w:rsidRPr="0035108E">
              <w:rPr>
                <w:rFonts w:hint="eastAsia"/>
                <w:bCs w:val="0"/>
                <w:color w:val="000000"/>
                <w:spacing w:val="-25"/>
                <w:w w:val="15"/>
                <w:szCs w:val="20"/>
                <w:shd w:val="solid" w:color="000000" w:fill="000000"/>
                <w:fitText w:val="40" w:id="-1504471024"/>
                <w14:textFill>
                  <w14:solidFill>
                    <w14:srgbClr w14:val="000000">
                      <w14:alpha w14:val="100000"/>
                    </w14:srgbClr>
                  </w14:solidFill>
                </w14:textFill>
              </w:rPr>
              <w:t xml:space="preserve">　</w:t>
            </w:r>
          </w:p>
        </w:tc>
        <w:tc>
          <w:tcPr>
            <w:tcW w:w="979" w:type="pct"/>
            <w:gridSpan w:val="2"/>
          </w:tcPr>
          <w:p w14:paraId="0531F40E" w14:textId="113A6B91" w:rsidR="00CE76B8" w:rsidRPr="001A2C4E" w:rsidRDefault="00CE76B8" w:rsidP="002E1D81">
            <w:pPr>
              <w:pStyle w:val="TableText0"/>
              <w:jc w:val="center"/>
            </w:pPr>
            <w:r w:rsidRPr="001A2C4E">
              <w:rPr>
                <w:szCs w:val="20"/>
              </w:rPr>
              <w:t>$</w:t>
            </w:r>
            <w:r w:rsidR="00B355AE" w:rsidRPr="00B355AE">
              <w:rPr>
                <w:color w:val="000000"/>
                <w:szCs w:val="20"/>
                <w:shd w:val="solid" w:color="000000" w:fill="000000"/>
                <w14:textFill>
                  <w14:solidFill>
                    <w14:srgbClr w14:val="000000">
                      <w14:alpha w14:val="100000"/>
                    </w14:srgbClr>
                  </w14:solidFill>
                </w14:textFill>
              </w:rPr>
              <w:t>|</w:t>
            </w:r>
          </w:p>
        </w:tc>
        <w:tc>
          <w:tcPr>
            <w:tcW w:w="537" w:type="pct"/>
          </w:tcPr>
          <w:p w14:paraId="686C816B" w14:textId="6F65E473" w:rsidR="00CE76B8" w:rsidRPr="001A2C4E" w:rsidRDefault="00CE76B8" w:rsidP="002E1D81">
            <w:pPr>
              <w:pStyle w:val="TableText0"/>
              <w:jc w:val="center"/>
            </w:pPr>
            <w:r w:rsidRPr="001A2C4E">
              <w:rPr>
                <w:bCs w:val="0"/>
                <w:szCs w:val="20"/>
              </w:rPr>
              <w:t>$</w:t>
            </w:r>
            <w:r w:rsidR="00B355AE" w:rsidRPr="0035108E">
              <w:rPr>
                <w:rFonts w:hint="eastAsia"/>
                <w:bCs w:val="0"/>
                <w:color w:val="000000"/>
                <w:w w:val="29"/>
                <w:szCs w:val="20"/>
                <w:shd w:val="solid" w:color="000000" w:fill="000000"/>
                <w:fitText w:val="130" w:id="-1504471040"/>
                <w14:textFill>
                  <w14:solidFill>
                    <w14:srgbClr w14:val="000000">
                      <w14:alpha w14:val="100000"/>
                    </w14:srgbClr>
                  </w14:solidFill>
                </w14:textFill>
              </w:rPr>
              <w:t xml:space="preserve">　</w:t>
            </w:r>
            <w:r w:rsidR="00B355AE" w:rsidRPr="0035108E">
              <w:rPr>
                <w:bCs w:val="0"/>
                <w:color w:val="000000"/>
                <w:w w:val="29"/>
                <w:szCs w:val="20"/>
                <w:shd w:val="solid" w:color="000000" w:fill="000000"/>
                <w:fitText w:val="130" w:id="-1504471040"/>
                <w14:textFill>
                  <w14:solidFill>
                    <w14:srgbClr w14:val="000000">
                      <w14:alpha w14:val="100000"/>
                    </w14:srgbClr>
                  </w14:solidFill>
                </w14:textFill>
              </w:rPr>
              <w:t>|</w:t>
            </w:r>
            <w:r w:rsidR="00B355AE" w:rsidRPr="0035108E">
              <w:rPr>
                <w:rFonts w:hint="eastAsia"/>
                <w:bCs w:val="0"/>
                <w:color w:val="000000"/>
                <w:spacing w:val="2"/>
                <w:w w:val="29"/>
                <w:szCs w:val="20"/>
                <w:shd w:val="solid" w:color="000000" w:fill="000000"/>
                <w:fitText w:val="130" w:id="-1504471040"/>
                <w14:textFill>
                  <w14:solidFill>
                    <w14:srgbClr w14:val="000000">
                      <w14:alpha w14:val="100000"/>
                    </w14:srgbClr>
                  </w14:solidFill>
                </w14:textFill>
              </w:rPr>
              <w:t xml:space="preserve">　</w:t>
            </w:r>
          </w:p>
        </w:tc>
      </w:tr>
      <w:tr w:rsidR="00CE76B8" w:rsidRPr="001A2C4E" w14:paraId="644581F4" w14:textId="77777777" w:rsidTr="00B872A2">
        <w:trPr>
          <w:trHeight w:val="246"/>
        </w:trPr>
        <w:tc>
          <w:tcPr>
            <w:tcW w:w="543" w:type="pct"/>
            <w:vAlign w:val="center"/>
          </w:tcPr>
          <w:p w14:paraId="19664F57" w14:textId="77777777" w:rsidR="00CE76B8" w:rsidRPr="001A2C4E" w:rsidRDefault="00CE76B8" w:rsidP="002E1D81">
            <w:pPr>
              <w:pStyle w:val="TableText0"/>
            </w:pPr>
            <w:r w:rsidRPr="001A2C4E">
              <w:t>Total QALYs</w:t>
            </w:r>
          </w:p>
        </w:tc>
        <w:tc>
          <w:tcPr>
            <w:tcW w:w="760" w:type="pct"/>
            <w:shd w:val="clear" w:color="auto" w:fill="C6D9F1" w:themeFill="text2" w:themeFillTint="33"/>
            <w:vAlign w:val="center"/>
          </w:tcPr>
          <w:p w14:paraId="04FE6C0A" w14:textId="77777777" w:rsidR="00CE76B8" w:rsidRPr="001A2C4E" w:rsidRDefault="00CE76B8" w:rsidP="002E1D81">
            <w:pPr>
              <w:pStyle w:val="TableText0"/>
              <w:jc w:val="center"/>
            </w:pPr>
            <w:r w:rsidRPr="001A2C4E">
              <w:t>17.05</w:t>
            </w:r>
          </w:p>
        </w:tc>
        <w:tc>
          <w:tcPr>
            <w:tcW w:w="1006" w:type="pct"/>
            <w:shd w:val="clear" w:color="auto" w:fill="C6D9F1" w:themeFill="text2" w:themeFillTint="33"/>
            <w:vAlign w:val="center"/>
          </w:tcPr>
          <w:p w14:paraId="2F836E49" w14:textId="77777777" w:rsidR="00CE76B8" w:rsidRPr="001A2C4E" w:rsidRDefault="00CE76B8" w:rsidP="002E1D81">
            <w:pPr>
              <w:pStyle w:val="TableText0"/>
              <w:jc w:val="center"/>
            </w:pPr>
            <w:r w:rsidRPr="001A2C4E">
              <w:t>12.92</w:t>
            </w:r>
          </w:p>
        </w:tc>
        <w:tc>
          <w:tcPr>
            <w:tcW w:w="537" w:type="pct"/>
            <w:gridSpan w:val="2"/>
            <w:shd w:val="clear" w:color="auto" w:fill="C6D9F1" w:themeFill="text2" w:themeFillTint="33"/>
            <w:vAlign w:val="center"/>
          </w:tcPr>
          <w:p w14:paraId="602AB844" w14:textId="77777777" w:rsidR="00CE76B8" w:rsidRPr="001A2C4E" w:rsidRDefault="00CE76B8" w:rsidP="002E1D81">
            <w:pPr>
              <w:pStyle w:val="TableText0"/>
              <w:jc w:val="center"/>
            </w:pPr>
            <w:r w:rsidRPr="001A2C4E">
              <w:t>4.13</w:t>
            </w:r>
          </w:p>
        </w:tc>
        <w:tc>
          <w:tcPr>
            <w:tcW w:w="638" w:type="pct"/>
            <w:gridSpan w:val="2"/>
            <w:vAlign w:val="center"/>
          </w:tcPr>
          <w:p w14:paraId="61EBE90F" w14:textId="77777777" w:rsidR="00CE76B8" w:rsidRPr="001A2C4E" w:rsidRDefault="00CE76B8" w:rsidP="002E1D81">
            <w:pPr>
              <w:pStyle w:val="TableText0"/>
              <w:jc w:val="center"/>
            </w:pPr>
            <w:r w:rsidRPr="001A2C4E">
              <w:rPr>
                <w:szCs w:val="20"/>
              </w:rPr>
              <w:t>16.02</w:t>
            </w:r>
          </w:p>
        </w:tc>
        <w:tc>
          <w:tcPr>
            <w:tcW w:w="979" w:type="pct"/>
            <w:gridSpan w:val="2"/>
            <w:vAlign w:val="center"/>
          </w:tcPr>
          <w:p w14:paraId="3258D4EB" w14:textId="77777777" w:rsidR="00CE76B8" w:rsidRPr="001A2C4E" w:rsidRDefault="00CE76B8" w:rsidP="002E1D81">
            <w:pPr>
              <w:pStyle w:val="TableText0"/>
              <w:jc w:val="center"/>
            </w:pPr>
            <w:r w:rsidRPr="001A2C4E">
              <w:rPr>
                <w:szCs w:val="20"/>
              </w:rPr>
              <w:t>12.12</w:t>
            </w:r>
          </w:p>
        </w:tc>
        <w:tc>
          <w:tcPr>
            <w:tcW w:w="537" w:type="pct"/>
            <w:vAlign w:val="center"/>
          </w:tcPr>
          <w:p w14:paraId="14ED0780" w14:textId="77777777" w:rsidR="00CE76B8" w:rsidRPr="001A2C4E" w:rsidRDefault="00CE76B8" w:rsidP="002E1D81">
            <w:pPr>
              <w:pStyle w:val="TableText0"/>
              <w:jc w:val="center"/>
            </w:pPr>
            <w:r w:rsidRPr="001A2C4E">
              <w:rPr>
                <w:szCs w:val="20"/>
              </w:rPr>
              <w:t>3.90</w:t>
            </w:r>
          </w:p>
        </w:tc>
      </w:tr>
      <w:tr w:rsidR="00CE76B8" w:rsidRPr="001A2C4E" w14:paraId="696E9E40" w14:textId="77777777" w:rsidTr="00B872A2">
        <w:trPr>
          <w:trHeight w:val="246"/>
        </w:trPr>
        <w:tc>
          <w:tcPr>
            <w:tcW w:w="2315" w:type="pct"/>
            <w:gridSpan w:val="4"/>
            <w:vAlign w:val="center"/>
          </w:tcPr>
          <w:p w14:paraId="59976048" w14:textId="333E8621" w:rsidR="00CE76B8" w:rsidRPr="001A2C4E" w:rsidRDefault="00CE76B8" w:rsidP="00EB2B4A">
            <w:pPr>
              <w:pStyle w:val="TableText0"/>
              <w:rPr>
                <w:b/>
              </w:rPr>
            </w:pPr>
            <w:r w:rsidRPr="001A2C4E">
              <w:rPr>
                <w:b/>
              </w:rPr>
              <w:t>Incremental cost per QALY gained</w:t>
            </w:r>
            <w:r w:rsidR="006B7661" w:rsidRPr="001A2C4E">
              <w:rPr>
                <w:b/>
              </w:rPr>
              <w:t xml:space="preserve"> (without SPR)</w:t>
            </w:r>
          </w:p>
        </w:tc>
        <w:tc>
          <w:tcPr>
            <w:tcW w:w="537" w:type="pct"/>
            <w:gridSpan w:val="2"/>
            <w:shd w:val="clear" w:color="auto" w:fill="C6D9F1" w:themeFill="text2" w:themeFillTint="33"/>
          </w:tcPr>
          <w:p w14:paraId="1F55808D" w14:textId="77777777" w:rsidR="00CE76B8" w:rsidRPr="001A2C4E" w:rsidRDefault="00CE76B8" w:rsidP="002E1D81">
            <w:pPr>
              <w:pStyle w:val="TableText0"/>
              <w:jc w:val="center"/>
              <w:rPr>
                <w:b/>
              </w:rPr>
            </w:pPr>
            <w:r w:rsidRPr="001A2C4E">
              <w:rPr>
                <w:b/>
              </w:rPr>
              <w:t>$736,497</w:t>
            </w:r>
          </w:p>
        </w:tc>
        <w:tc>
          <w:tcPr>
            <w:tcW w:w="1611" w:type="pct"/>
            <w:gridSpan w:val="3"/>
          </w:tcPr>
          <w:p w14:paraId="2E316542" w14:textId="77777777" w:rsidR="00CE76B8" w:rsidRPr="001A2C4E" w:rsidRDefault="00CE76B8" w:rsidP="002E1D81">
            <w:pPr>
              <w:pStyle w:val="TableText0"/>
              <w:jc w:val="center"/>
              <w:rPr>
                <w:b/>
              </w:rPr>
            </w:pPr>
          </w:p>
        </w:tc>
        <w:tc>
          <w:tcPr>
            <w:tcW w:w="537" w:type="pct"/>
            <w:vAlign w:val="center"/>
          </w:tcPr>
          <w:p w14:paraId="38066C1E" w14:textId="3B512F96" w:rsidR="00CE76B8" w:rsidRPr="004C45A6" w:rsidRDefault="00CE76B8" w:rsidP="002E1D81">
            <w:pPr>
              <w:pStyle w:val="TableText0"/>
              <w:jc w:val="center"/>
              <w:rPr>
                <w:b/>
                <w:vertAlign w:val="superscript"/>
              </w:rPr>
            </w:pPr>
            <w:r w:rsidRPr="001A2C4E">
              <w:rPr>
                <w:b/>
                <w:bCs w:val="0"/>
              </w:rPr>
              <w:t>$</w:t>
            </w:r>
            <w:r w:rsidR="00B355AE" w:rsidRPr="0035108E">
              <w:rPr>
                <w:b/>
                <w:bCs w:val="0"/>
                <w:color w:val="000000"/>
                <w:spacing w:val="108"/>
                <w:shd w:val="solid" w:color="000000" w:fill="000000"/>
                <w:fitText w:val="200" w:id="-1504471039"/>
                <w14:textFill>
                  <w14:solidFill>
                    <w14:srgbClr w14:val="000000">
                      <w14:alpha w14:val="100000"/>
                    </w14:srgbClr>
                  </w14:solidFill>
                </w14:textFill>
              </w:rPr>
              <w:t>|</w:t>
            </w:r>
            <w:r w:rsidR="00B355AE" w:rsidRPr="0035108E">
              <w:rPr>
                <w:b/>
                <w:bCs w:val="0"/>
                <w:color w:val="000000"/>
                <w:shd w:val="solid" w:color="000000" w:fill="000000"/>
                <w:fitText w:val="200" w:id="-1504471039"/>
                <w14:textFill>
                  <w14:solidFill>
                    <w14:srgbClr w14:val="000000">
                      <w14:alpha w14:val="100000"/>
                    </w14:srgbClr>
                  </w14:solidFill>
                </w14:textFill>
              </w:rPr>
              <w:t>|</w:t>
            </w:r>
            <w:r w:rsidR="004C45A6">
              <w:rPr>
                <w:b/>
                <w:bCs w:val="0"/>
                <w:vertAlign w:val="superscript"/>
              </w:rPr>
              <w:t>1</w:t>
            </w:r>
          </w:p>
        </w:tc>
      </w:tr>
      <w:tr w:rsidR="00B872A2" w:rsidRPr="001A2C4E" w14:paraId="5E5DAE59" w14:textId="77777777" w:rsidTr="00B872A2">
        <w:trPr>
          <w:trHeight w:val="246"/>
        </w:trPr>
        <w:tc>
          <w:tcPr>
            <w:tcW w:w="5000" w:type="pct"/>
            <w:gridSpan w:val="10"/>
            <w:vAlign w:val="center"/>
          </w:tcPr>
          <w:p w14:paraId="75C33F3B" w14:textId="1E715173" w:rsidR="00B872A2" w:rsidRPr="001A2C4E" w:rsidRDefault="00B872A2" w:rsidP="00B872A2">
            <w:pPr>
              <w:pStyle w:val="TableText0"/>
              <w:rPr>
                <w:b/>
                <w:bCs w:val="0"/>
              </w:rPr>
            </w:pPr>
            <w:r w:rsidRPr="001A2C4E">
              <w:rPr>
                <w:b/>
                <w:bCs w:val="0"/>
              </w:rPr>
              <w:t xml:space="preserve">Revised base case presented in the PSCR </w:t>
            </w:r>
          </w:p>
        </w:tc>
      </w:tr>
      <w:tr w:rsidR="00B872A2" w:rsidRPr="001A2C4E" w14:paraId="2F0EF9E1" w14:textId="77777777" w:rsidTr="00B872A2">
        <w:trPr>
          <w:trHeight w:val="246"/>
        </w:trPr>
        <w:tc>
          <w:tcPr>
            <w:tcW w:w="2852" w:type="pct"/>
            <w:gridSpan w:val="6"/>
            <w:vAlign w:val="center"/>
          </w:tcPr>
          <w:p w14:paraId="5468DBBD" w14:textId="06BC79CA" w:rsidR="00B872A2" w:rsidRPr="001A2C4E" w:rsidRDefault="00B872A2" w:rsidP="00FA7A3A">
            <w:pPr>
              <w:pStyle w:val="TableText0"/>
              <w:rPr>
                <w:bCs w:val="0"/>
              </w:rPr>
            </w:pPr>
            <w:r w:rsidRPr="001A2C4E">
              <w:rPr>
                <w:bCs w:val="0"/>
              </w:rPr>
              <w:t>Total costs</w:t>
            </w:r>
          </w:p>
        </w:tc>
        <w:tc>
          <w:tcPr>
            <w:tcW w:w="649" w:type="pct"/>
            <w:gridSpan w:val="2"/>
          </w:tcPr>
          <w:p w14:paraId="2608FDCD" w14:textId="70F70829" w:rsidR="00B872A2" w:rsidRPr="001A2C4E" w:rsidRDefault="00FA7A3A" w:rsidP="002E1D81">
            <w:pPr>
              <w:pStyle w:val="TableText0"/>
              <w:jc w:val="center"/>
              <w:rPr>
                <w:bCs w:val="0"/>
              </w:rPr>
            </w:pPr>
            <w:r w:rsidRPr="001A2C4E">
              <w:rPr>
                <w:bCs w:val="0"/>
              </w:rPr>
              <w:t>$</w:t>
            </w:r>
            <w:r w:rsidR="00B355AE" w:rsidRPr="0035108E">
              <w:rPr>
                <w:rFonts w:hint="eastAsia"/>
                <w:bCs w:val="0"/>
                <w:color w:val="000000"/>
                <w:w w:val="15"/>
                <w:shd w:val="solid" w:color="000000" w:fill="000000"/>
                <w:fitText w:val="30" w:id="-1504471038"/>
                <w14:textFill>
                  <w14:solidFill>
                    <w14:srgbClr w14:val="000000">
                      <w14:alpha w14:val="100000"/>
                    </w14:srgbClr>
                  </w14:solidFill>
                </w14:textFill>
              </w:rPr>
              <w:t xml:space="preserve">　</w:t>
            </w:r>
            <w:r w:rsidR="00B355AE" w:rsidRPr="0035108E">
              <w:rPr>
                <w:bCs w:val="0"/>
                <w:color w:val="000000"/>
                <w:w w:val="15"/>
                <w:shd w:val="solid" w:color="000000" w:fill="000000"/>
                <w:fitText w:val="30" w:id="-1504471038"/>
                <w14:textFill>
                  <w14:solidFill>
                    <w14:srgbClr w14:val="000000">
                      <w14:alpha w14:val="100000"/>
                    </w14:srgbClr>
                  </w14:solidFill>
                </w14:textFill>
              </w:rPr>
              <w:t>|</w:t>
            </w:r>
            <w:r w:rsidR="00B355AE" w:rsidRPr="0035108E">
              <w:rPr>
                <w:rFonts w:hint="eastAsia"/>
                <w:bCs w:val="0"/>
                <w:color w:val="000000"/>
                <w:spacing w:val="-35"/>
                <w:w w:val="15"/>
                <w:shd w:val="solid" w:color="000000" w:fill="000000"/>
                <w:fitText w:val="30" w:id="-1504471038"/>
                <w14:textFill>
                  <w14:solidFill>
                    <w14:srgbClr w14:val="000000">
                      <w14:alpha w14:val="100000"/>
                    </w14:srgbClr>
                  </w14:solidFill>
                </w14:textFill>
              </w:rPr>
              <w:t xml:space="preserve">　</w:t>
            </w:r>
          </w:p>
        </w:tc>
        <w:tc>
          <w:tcPr>
            <w:tcW w:w="962" w:type="pct"/>
          </w:tcPr>
          <w:p w14:paraId="55C2C2B1" w14:textId="2C3BF75F" w:rsidR="00B872A2" w:rsidRPr="001A2C4E" w:rsidRDefault="00FA7A3A" w:rsidP="002E1D81">
            <w:pPr>
              <w:pStyle w:val="TableText0"/>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537" w:type="pct"/>
            <w:vAlign w:val="center"/>
          </w:tcPr>
          <w:p w14:paraId="2BB3E2C2" w14:textId="2EEC5BAF" w:rsidR="00B872A2" w:rsidRPr="001A2C4E" w:rsidRDefault="00FA7A3A" w:rsidP="002E1D81">
            <w:pPr>
              <w:pStyle w:val="TableText0"/>
              <w:jc w:val="center"/>
              <w:rPr>
                <w:bCs w:val="0"/>
              </w:rPr>
            </w:pPr>
            <w:r w:rsidRPr="001A2C4E">
              <w:rPr>
                <w:bCs w:val="0"/>
              </w:rPr>
              <w:t>$</w:t>
            </w:r>
            <w:r w:rsidR="00B355AE" w:rsidRPr="0035108E">
              <w:rPr>
                <w:rFonts w:hint="eastAsia"/>
                <w:bCs w:val="0"/>
                <w:color w:val="000000"/>
                <w:w w:val="29"/>
                <w:shd w:val="solid" w:color="000000" w:fill="000000"/>
                <w:fitText w:val="130" w:id="-1504471037"/>
                <w14:textFill>
                  <w14:solidFill>
                    <w14:srgbClr w14:val="000000">
                      <w14:alpha w14:val="100000"/>
                    </w14:srgbClr>
                  </w14:solidFill>
                </w14:textFill>
              </w:rPr>
              <w:t xml:space="preserve">　</w:t>
            </w:r>
            <w:r w:rsidR="00B355AE" w:rsidRPr="0035108E">
              <w:rPr>
                <w:bCs w:val="0"/>
                <w:color w:val="000000"/>
                <w:w w:val="29"/>
                <w:shd w:val="solid" w:color="000000" w:fill="000000"/>
                <w:fitText w:val="130" w:id="-1504471037"/>
                <w14:textFill>
                  <w14:solidFill>
                    <w14:srgbClr w14:val="000000">
                      <w14:alpha w14:val="100000"/>
                    </w14:srgbClr>
                  </w14:solidFill>
                </w14:textFill>
              </w:rPr>
              <w:t>|</w:t>
            </w:r>
            <w:r w:rsidR="00B355AE" w:rsidRPr="0035108E">
              <w:rPr>
                <w:rFonts w:hint="eastAsia"/>
                <w:bCs w:val="0"/>
                <w:color w:val="000000"/>
                <w:spacing w:val="2"/>
                <w:w w:val="29"/>
                <w:shd w:val="solid" w:color="000000" w:fill="000000"/>
                <w:fitText w:val="130" w:id="-1504471037"/>
                <w14:textFill>
                  <w14:solidFill>
                    <w14:srgbClr w14:val="000000">
                      <w14:alpha w14:val="100000"/>
                    </w14:srgbClr>
                  </w14:solidFill>
                </w14:textFill>
              </w:rPr>
              <w:t xml:space="preserve">　</w:t>
            </w:r>
          </w:p>
        </w:tc>
      </w:tr>
      <w:tr w:rsidR="00B872A2" w:rsidRPr="001A2C4E" w14:paraId="59FDB6ED" w14:textId="77777777" w:rsidTr="00B872A2">
        <w:trPr>
          <w:trHeight w:val="246"/>
        </w:trPr>
        <w:tc>
          <w:tcPr>
            <w:tcW w:w="2852" w:type="pct"/>
            <w:gridSpan w:val="6"/>
            <w:vAlign w:val="center"/>
          </w:tcPr>
          <w:p w14:paraId="01592CB9" w14:textId="385611F4" w:rsidR="00B872A2" w:rsidRPr="001A2C4E" w:rsidRDefault="00B872A2" w:rsidP="00FA7A3A">
            <w:pPr>
              <w:pStyle w:val="TableText0"/>
              <w:rPr>
                <w:bCs w:val="0"/>
              </w:rPr>
            </w:pPr>
            <w:r w:rsidRPr="001A2C4E">
              <w:rPr>
                <w:bCs w:val="0"/>
              </w:rPr>
              <w:t>Total QALYs</w:t>
            </w:r>
          </w:p>
        </w:tc>
        <w:tc>
          <w:tcPr>
            <w:tcW w:w="649" w:type="pct"/>
            <w:gridSpan w:val="2"/>
          </w:tcPr>
          <w:p w14:paraId="64B259F2" w14:textId="067EF13A" w:rsidR="00B872A2" w:rsidRPr="001A2C4E" w:rsidRDefault="00FA7A3A" w:rsidP="002E1D81">
            <w:pPr>
              <w:pStyle w:val="TableText0"/>
              <w:jc w:val="center"/>
              <w:rPr>
                <w:bCs w:val="0"/>
              </w:rPr>
            </w:pPr>
            <w:r w:rsidRPr="001A2C4E">
              <w:rPr>
                <w:bCs w:val="0"/>
              </w:rPr>
              <w:t>12.42</w:t>
            </w:r>
          </w:p>
        </w:tc>
        <w:tc>
          <w:tcPr>
            <w:tcW w:w="962" w:type="pct"/>
          </w:tcPr>
          <w:p w14:paraId="5515672F" w14:textId="59B83FF1" w:rsidR="00B872A2" w:rsidRPr="001A2C4E" w:rsidRDefault="00FA7A3A" w:rsidP="002E1D81">
            <w:pPr>
              <w:pStyle w:val="TableText0"/>
              <w:jc w:val="center"/>
              <w:rPr>
                <w:bCs w:val="0"/>
              </w:rPr>
            </w:pPr>
            <w:r w:rsidRPr="001A2C4E">
              <w:rPr>
                <w:bCs w:val="0"/>
              </w:rPr>
              <w:t>9.54</w:t>
            </w:r>
          </w:p>
        </w:tc>
        <w:tc>
          <w:tcPr>
            <w:tcW w:w="537" w:type="pct"/>
            <w:vAlign w:val="center"/>
          </w:tcPr>
          <w:p w14:paraId="312455D6" w14:textId="5A5ECCF9" w:rsidR="00B872A2" w:rsidRPr="001A2C4E" w:rsidRDefault="00FA7A3A" w:rsidP="002E1D81">
            <w:pPr>
              <w:pStyle w:val="TableText0"/>
              <w:jc w:val="center"/>
              <w:rPr>
                <w:bCs w:val="0"/>
              </w:rPr>
            </w:pPr>
            <w:r w:rsidRPr="001A2C4E">
              <w:rPr>
                <w:bCs w:val="0"/>
              </w:rPr>
              <w:t>2.87</w:t>
            </w:r>
          </w:p>
        </w:tc>
      </w:tr>
      <w:tr w:rsidR="005F6A31" w:rsidRPr="001A2C4E" w14:paraId="2016111D" w14:textId="77777777" w:rsidTr="005F6A31">
        <w:trPr>
          <w:trHeight w:val="246"/>
        </w:trPr>
        <w:tc>
          <w:tcPr>
            <w:tcW w:w="2852" w:type="pct"/>
            <w:gridSpan w:val="6"/>
            <w:vAlign w:val="center"/>
          </w:tcPr>
          <w:p w14:paraId="74710853" w14:textId="7F61638A" w:rsidR="005F6A31" w:rsidRPr="001A2C4E" w:rsidRDefault="005F6A31" w:rsidP="00FA7A3A">
            <w:pPr>
              <w:pStyle w:val="TableText0"/>
              <w:rPr>
                <w:b/>
              </w:rPr>
            </w:pPr>
            <w:r w:rsidRPr="001A2C4E">
              <w:rPr>
                <w:b/>
              </w:rPr>
              <w:t>Incremental cost per QALY gained</w:t>
            </w:r>
          </w:p>
        </w:tc>
        <w:tc>
          <w:tcPr>
            <w:tcW w:w="1611" w:type="pct"/>
            <w:gridSpan w:val="3"/>
          </w:tcPr>
          <w:p w14:paraId="0DBCD98E" w14:textId="77777777" w:rsidR="005F6A31" w:rsidRPr="001A2C4E" w:rsidRDefault="005F6A31" w:rsidP="002E1D81">
            <w:pPr>
              <w:pStyle w:val="TableText0"/>
              <w:jc w:val="center"/>
              <w:rPr>
                <w:b/>
              </w:rPr>
            </w:pPr>
          </w:p>
        </w:tc>
        <w:tc>
          <w:tcPr>
            <w:tcW w:w="537" w:type="pct"/>
            <w:vAlign w:val="center"/>
          </w:tcPr>
          <w:p w14:paraId="20F2DD07" w14:textId="302F46D9" w:rsidR="005F6A31" w:rsidRPr="004C45A6" w:rsidRDefault="005F6A31" w:rsidP="002E1D81">
            <w:pPr>
              <w:pStyle w:val="TableText0"/>
              <w:jc w:val="center"/>
              <w:rPr>
                <w:b/>
                <w:bCs w:val="0"/>
                <w:vertAlign w:val="superscript"/>
              </w:rPr>
            </w:pPr>
            <w:r w:rsidRPr="001A2C4E">
              <w:rPr>
                <w:b/>
                <w:bCs w:val="0"/>
              </w:rPr>
              <w:t>$</w:t>
            </w:r>
            <w:r w:rsidR="00B355AE" w:rsidRPr="0035108E">
              <w:rPr>
                <w:b/>
                <w:bCs w:val="0"/>
                <w:color w:val="000000"/>
                <w:spacing w:val="108"/>
                <w:shd w:val="solid" w:color="000000" w:fill="000000"/>
                <w:fitText w:val="200" w:id="-1504471036"/>
                <w14:textFill>
                  <w14:solidFill>
                    <w14:srgbClr w14:val="000000">
                      <w14:alpha w14:val="100000"/>
                    </w14:srgbClr>
                  </w14:solidFill>
                </w14:textFill>
              </w:rPr>
              <w:t>|</w:t>
            </w:r>
            <w:r w:rsidR="00B355AE" w:rsidRPr="0035108E">
              <w:rPr>
                <w:b/>
                <w:bCs w:val="0"/>
                <w:color w:val="000000"/>
                <w:shd w:val="solid" w:color="000000" w:fill="000000"/>
                <w:fitText w:val="200" w:id="-1504471036"/>
                <w14:textFill>
                  <w14:solidFill>
                    <w14:srgbClr w14:val="000000">
                      <w14:alpha w14:val="100000"/>
                    </w14:srgbClr>
                  </w14:solidFill>
                </w14:textFill>
              </w:rPr>
              <w:t>|</w:t>
            </w:r>
            <w:r w:rsidR="004C45A6">
              <w:rPr>
                <w:b/>
                <w:bCs w:val="0"/>
                <w:vertAlign w:val="superscript"/>
              </w:rPr>
              <w:t>2</w:t>
            </w:r>
          </w:p>
        </w:tc>
      </w:tr>
      <w:tr w:rsidR="000976A0" w:rsidRPr="001A2C4E" w14:paraId="40C690F6" w14:textId="77777777" w:rsidTr="00FF1615">
        <w:trPr>
          <w:trHeight w:val="246"/>
        </w:trPr>
        <w:tc>
          <w:tcPr>
            <w:tcW w:w="5000" w:type="pct"/>
            <w:gridSpan w:val="10"/>
            <w:vAlign w:val="center"/>
          </w:tcPr>
          <w:p w14:paraId="2C29203D" w14:textId="2A928A58" w:rsidR="000976A0" w:rsidRPr="001A2C4E" w:rsidRDefault="000976A0" w:rsidP="00FF1615">
            <w:pPr>
              <w:pStyle w:val="TableText0"/>
              <w:rPr>
                <w:b/>
                <w:bCs w:val="0"/>
              </w:rPr>
            </w:pPr>
            <w:r w:rsidRPr="001A2C4E">
              <w:rPr>
                <w:b/>
                <w:bCs w:val="0"/>
              </w:rPr>
              <w:t xml:space="preserve">Revised base case presented in the </w:t>
            </w:r>
            <w:r>
              <w:rPr>
                <w:b/>
                <w:bCs w:val="0"/>
              </w:rPr>
              <w:t>pre-PBAC response</w:t>
            </w:r>
            <w:r w:rsidRPr="001A2C4E">
              <w:rPr>
                <w:b/>
                <w:bCs w:val="0"/>
              </w:rPr>
              <w:t xml:space="preserve"> </w:t>
            </w:r>
          </w:p>
        </w:tc>
      </w:tr>
      <w:tr w:rsidR="000976A0" w:rsidRPr="001A2C4E" w14:paraId="5FC2C148" w14:textId="77777777" w:rsidTr="00FF1615">
        <w:trPr>
          <w:trHeight w:val="246"/>
        </w:trPr>
        <w:tc>
          <w:tcPr>
            <w:tcW w:w="2852" w:type="pct"/>
            <w:gridSpan w:val="6"/>
            <w:vAlign w:val="center"/>
          </w:tcPr>
          <w:p w14:paraId="1CB40E2D" w14:textId="77777777" w:rsidR="000976A0" w:rsidRPr="001A2C4E" w:rsidRDefault="000976A0" w:rsidP="00FF1615">
            <w:pPr>
              <w:pStyle w:val="TableText0"/>
              <w:rPr>
                <w:bCs w:val="0"/>
              </w:rPr>
            </w:pPr>
            <w:r w:rsidRPr="001A2C4E">
              <w:rPr>
                <w:bCs w:val="0"/>
              </w:rPr>
              <w:t>Total costs</w:t>
            </w:r>
          </w:p>
        </w:tc>
        <w:tc>
          <w:tcPr>
            <w:tcW w:w="649" w:type="pct"/>
            <w:gridSpan w:val="2"/>
          </w:tcPr>
          <w:p w14:paraId="4290A1E6" w14:textId="01A08FD4" w:rsidR="000976A0" w:rsidRPr="001A2C4E" w:rsidRDefault="000976A0" w:rsidP="00FF1615">
            <w:pPr>
              <w:pStyle w:val="TableText0"/>
              <w:jc w:val="center"/>
              <w:rPr>
                <w:bCs w:val="0"/>
              </w:rPr>
            </w:pPr>
            <w:r w:rsidRPr="001A2C4E">
              <w:rPr>
                <w:bCs w:val="0"/>
              </w:rPr>
              <w:t>$</w:t>
            </w:r>
            <w:r w:rsidR="00B355AE" w:rsidRPr="0035108E">
              <w:rPr>
                <w:rFonts w:hint="eastAsia"/>
                <w:bCs w:val="0"/>
                <w:color w:val="000000"/>
                <w:w w:val="15"/>
                <w:shd w:val="solid" w:color="000000" w:fill="000000"/>
                <w:fitText w:val="30" w:id="-1504471035"/>
                <w14:textFill>
                  <w14:solidFill>
                    <w14:srgbClr w14:val="000000">
                      <w14:alpha w14:val="100000"/>
                    </w14:srgbClr>
                  </w14:solidFill>
                </w14:textFill>
              </w:rPr>
              <w:t xml:space="preserve">　</w:t>
            </w:r>
            <w:r w:rsidR="00B355AE" w:rsidRPr="0035108E">
              <w:rPr>
                <w:bCs w:val="0"/>
                <w:color w:val="000000"/>
                <w:w w:val="15"/>
                <w:shd w:val="solid" w:color="000000" w:fill="000000"/>
                <w:fitText w:val="30" w:id="-1504471035"/>
                <w14:textFill>
                  <w14:solidFill>
                    <w14:srgbClr w14:val="000000">
                      <w14:alpha w14:val="100000"/>
                    </w14:srgbClr>
                  </w14:solidFill>
                </w14:textFill>
              </w:rPr>
              <w:t>|</w:t>
            </w:r>
            <w:r w:rsidR="00B355AE" w:rsidRPr="0035108E">
              <w:rPr>
                <w:rFonts w:hint="eastAsia"/>
                <w:bCs w:val="0"/>
                <w:color w:val="000000"/>
                <w:spacing w:val="-35"/>
                <w:w w:val="15"/>
                <w:shd w:val="solid" w:color="000000" w:fill="000000"/>
                <w:fitText w:val="30" w:id="-1504471035"/>
                <w14:textFill>
                  <w14:solidFill>
                    <w14:srgbClr w14:val="000000">
                      <w14:alpha w14:val="100000"/>
                    </w14:srgbClr>
                  </w14:solidFill>
                </w14:textFill>
              </w:rPr>
              <w:t xml:space="preserve">　</w:t>
            </w:r>
          </w:p>
        </w:tc>
        <w:tc>
          <w:tcPr>
            <w:tcW w:w="962" w:type="pct"/>
          </w:tcPr>
          <w:p w14:paraId="419FCE52" w14:textId="4EB6A283" w:rsidR="000976A0" w:rsidRPr="001A2C4E" w:rsidRDefault="000976A0" w:rsidP="00FF1615">
            <w:pPr>
              <w:pStyle w:val="TableText0"/>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537" w:type="pct"/>
            <w:vAlign w:val="center"/>
          </w:tcPr>
          <w:p w14:paraId="2ABAEA7F" w14:textId="3052320C" w:rsidR="000976A0" w:rsidRPr="001A2C4E" w:rsidRDefault="000976A0" w:rsidP="00FF1615">
            <w:pPr>
              <w:pStyle w:val="TableText0"/>
              <w:jc w:val="center"/>
              <w:rPr>
                <w:bCs w:val="0"/>
              </w:rPr>
            </w:pPr>
            <w:r w:rsidRPr="001A2C4E">
              <w:rPr>
                <w:bCs w:val="0"/>
              </w:rPr>
              <w:t>$</w:t>
            </w:r>
            <w:r w:rsidR="00B355AE" w:rsidRPr="0035108E">
              <w:rPr>
                <w:rFonts w:hint="eastAsia"/>
                <w:bCs w:val="0"/>
                <w:color w:val="000000"/>
                <w:w w:val="29"/>
                <w:shd w:val="solid" w:color="000000" w:fill="000000"/>
                <w:fitText w:val="130" w:id="-1504471034"/>
                <w14:textFill>
                  <w14:solidFill>
                    <w14:srgbClr w14:val="000000">
                      <w14:alpha w14:val="100000"/>
                    </w14:srgbClr>
                  </w14:solidFill>
                </w14:textFill>
              </w:rPr>
              <w:t xml:space="preserve">　</w:t>
            </w:r>
            <w:r w:rsidR="00B355AE" w:rsidRPr="0035108E">
              <w:rPr>
                <w:bCs w:val="0"/>
                <w:color w:val="000000"/>
                <w:w w:val="29"/>
                <w:shd w:val="solid" w:color="000000" w:fill="000000"/>
                <w:fitText w:val="130" w:id="-1504471034"/>
                <w14:textFill>
                  <w14:solidFill>
                    <w14:srgbClr w14:val="000000">
                      <w14:alpha w14:val="100000"/>
                    </w14:srgbClr>
                  </w14:solidFill>
                </w14:textFill>
              </w:rPr>
              <w:t>|</w:t>
            </w:r>
            <w:r w:rsidR="00B355AE" w:rsidRPr="0035108E">
              <w:rPr>
                <w:rFonts w:hint="eastAsia"/>
                <w:bCs w:val="0"/>
                <w:color w:val="000000"/>
                <w:spacing w:val="2"/>
                <w:w w:val="29"/>
                <w:shd w:val="solid" w:color="000000" w:fill="000000"/>
                <w:fitText w:val="130" w:id="-1504471034"/>
                <w14:textFill>
                  <w14:solidFill>
                    <w14:srgbClr w14:val="000000">
                      <w14:alpha w14:val="100000"/>
                    </w14:srgbClr>
                  </w14:solidFill>
                </w14:textFill>
              </w:rPr>
              <w:t xml:space="preserve">　</w:t>
            </w:r>
          </w:p>
        </w:tc>
      </w:tr>
      <w:tr w:rsidR="000976A0" w:rsidRPr="001A2C4E" w14:paraId="213079A4" w14:textId="77777777" w:rsidTr="00FF1615">
        <w:trPr>
          <w:trHeight w:val="246"/>
        </w:trPr>
        <w:tc>
          <w:tcPr>
            <w:tcW w:w="2852" w:type="pct"/>
            <w:gridSpan w:val="6"/>
            <w:vAlign w:val="center"/>
          </w:tcPr>
          <w:p w14:paraId="4D7DDB5F" w14:textId="77777777" w:rsidR="000976A0" w:rsidRPr="001A2C4E" w:rsidRDefault="000976A0" w:rsidP="00FF1615">
            <w:pPr>
              <w:pStyle w:val="TableText0"/>
              <w:rPr>
                <w:bCs w:val="0"/>
              </w:rPr>
            </w:pPr>
            <w:r w:rsidRPr="001A2C4E">
              <w:rPr>
                <w:bCs w:val="0"/>
              </w:rPr>
              <w:t>Total QALYs</w:t>
            </w:r>
          </w:p>
        </w:tc>
        <w:tc>
          <w:tcPr>
            <w:tcW w:w="649" w:type="pct"/>
            <w:gridSpan w:val="2"/>
          </w:tcPr>
          <w:p w14:paraId="70559AC9" w14:textId="77777777" w:rsidR="000976A0" w:rsidRPr="001A2C4E" w:rsidRDefault="000976A0" w:rsidP="00FF1615">
            <w:pPr>
              <w:pStyle w:val="TableText0"/>
              <w:jc w:val="center"/>
              <w:rPr>
                <w:bCs w:val="0"/>
              </w:rPr>
            </w:pPr>
            <w:r w:rsidRPr="001A2C4E">
              <w:rPr>
                <w:bCs w:val="0"/>
              </w:rPr>
              <w:t>12.42</w:t>
            </w:r>
          </w:p>
        </w:tc>
        <w:tc>
          <w:tcPr>
            <w:tcW w:w="962" w:type="pct"/>
          </w:tcPr>
          <w:p w14:paraId="1F1FF19B" w14:textId="77777777" w:rsidR="000976A0" w:rsidRPr="001A2C4E" w:rsidRDefault="000976A0" w:rsidP="00FF1615">
            <w:pPr>
              <w:pStyle w:val="TableText0"/>
              <w:jc w:val="center"/>
              <w:rPr>
                <w:bCs w:val="0"/>
              </w:rPr>
            </w:pPr>
            <w:r w:rsidRPr="001A2C4E">
              <w:rPr>
                <w:bCs w:val="0"/>
              </w:rPr>
              <w:t>9.54</w:t>
            </w:r>
          </w:p>
        </w:tc>
        <w:tc>
          <w:tcPr>
            <w:tcW w:w="537" w:type="pct"/>
            <w:vAlign w:val="center"/>
          </w:tcPr>
          <w:p w14:paraId="27848008" w14:textId="77777777" w:rsidR="000976A0" w:rsidRPr="001A2C4E" w:rsidRDefault="000976A0" w:rsidP="00FF1615">
            <w:pPr>
              <w:pStyle w:val="TableText0"/>
              <w:jc w:val="center"/>
              <w:rPr>
                <w:bCs w:val="0"/>
              </w:rPr>
            </w:pPr>
            <w:r w:rsidRPr="001A2C4E">
              <w:rPr>
                <w:bCs w:val="0"/>
              </w:rPr>
              <w:t>2.87</w:t>
            </w:r>
          </w:p>
        </w:tc>
      </w:tr>
      <w:tr w:rsidR="000976A0" w:rsidRPr="001A2C4E" w14:paraId="06C1888B" w14:textId="77777777" w:rsidTr="00FF1615">
        <w:trPr>
          <w:trHeight w:val="246"/>
        </w:trPr>
        <w:tc>
          <w:tcPr>
            <w:tcW w:w="2852" w:type="pct"/>
            <w:gridSpan w:val="6"/>
            <w:vAlign w:val="center"/>
          </w:tcPr>
          <w:p w14:paraId="5BB74E09" w14:textId="77777777" w:rsidR="000976A0" w:rsidRPr="001A2C4E" w:rsidRDefault="000976A0" w:rsidP="00FF1615">
            <w:pPr>
              <w:pStyle w:val="TableText0"/>
              <w:rPr>
                <w:b/>
              </w:rPr>
            </w:pPr>
            <w:r w:rsidRPr="001A2C4E">
              <w:rPr>
                <w:b/>
              </w:rPr>
              <w:t>Incremental cost per QALY gained</w:t>
            </w:r>
          </w:p>
        </w:tc>
        <w:tc>
          <w:tcPr>
            <w:tcW w:w="1611" w:type="pct"/>
            <w:gridSpan w:val="3"/>
          </w:tcPr>
          <w:p w14:paraId="223997B9" w14:textId="77777777" w:rsidR="000976A0" w:rsidRPr="001A2C4E" w:rsidRDefault="000976A0" w:rsidP="00FF1615">
            <w:pPr>
              <w:pStyle w:val="TableText0"/>
              <w:jc w:val="center"/>
              <w:rPr>
                <w:b/>
              </w:rPr>
            </w:pPr>
          </w:p>
        </w:tc>
        <w:tc>
          <w:tcPr>
            <w:tcW w:w="537" w:type="pct"/>
            <w:vAlign w:val="center"/>
          </w:tcPr>
          <w:p w14:paraId="167E4FA1" w14:textId="264AD9B0" w:rsidR="000976A0" w:rsidRPr="004C45A6" w:rsidRDefault="000976A0" w:rsidP="00FF1615">
            <w:pPr>
              <w:pStyle w:val="TableText0"/>
              <w:jc w:val="center"/>
              <w:rPr>
                <w:b/>
                <w:bCs w:val="0"/>
                <w:vertAlign w:val="superscript"/>
              </w:rPr>
            </w:pPr>
            <w:r w:rsidRPr="001A2C4E">
              <w:rPr>
                <w:b/>
                <w:bCs w:val="0"/>
              </w:rPr>
              <w:t>$</w:t>
            </w:r>
            <w:r w:rsidR="00B355AE" w:rsidRPr="0035108E">
              <w:rPr>
                <w:b/>
                <w:bCs w:val="0"/>
                <w:color w:val="000000"/>
                <w:spacing w:val="108"/>
                <w:shd w:val="solid" w:color="000000" w:fill="000000"/>
                <w:fitText w:val="200" w:id="-1504471033"/>
                <w14:textFill>
                  <w14:solidFill>
                    <w14:srgbClr w14:val="000000">
                      <w14:alpha w14:val="100000"/>
                    </w14:srgbClr>
                  </w14:solidFill>
                </w14:textFill>
              </w:rPr>
              <w:t>|</w:t>
            </w:r>
            <w:r w:rsidR="00B355AE" w:rsidRPr="0035108E">
              <w:rPr>
                <w:b/>
                <w:bCs w:val="0"/>
                <w:color w:val="000000"/>
                <w:shd w:val="solid" w:color="000000" w:fill="000000"/>
                <w:fitText w:val="200" w:id="-1504471033"/>
                <w14:textFill>
                  <w14:solidFill>
                    <w14:srgbClr w14:val="000000">
                      <w14:alpha w14:val="100000"/>
                    </w14:srgbClr>
                  </w14:solidFill>
                </w14:textFill>
              </w:rPr>
              <w:t>|</w:t>
            </w:r>
            <w:r w:rsidR="004C45A6">
              <w:rPr>
                <w:b/>
                <w:bCs w:val="0"/>
                <w:vertAlign w:val="superscript"/>
              </w:rPr>
              <w:t>2</w:t>
            </w:r>
          </w:p>
        </w:tc>
      </w:tr>
    </w:tbl>
    <w:p w14:paraId="7115AA98" w14:textId="4CD540F0" w:rsidR="00603151" w:rsidRPr="008E65F1" w:rsidRDefault="00603151" w:rsidP="00603151">
      <w:pPr>
        <w:pStyle w:val="TableFigureFooter"/>
        <w:spacing w:after="0"/>
        <w:rPr>
          <w:bCs/>
          <w:szCs w:val="18"/>
        </w:rPr>
      </w:pPr>
      <w:r w:rsidRPr="008E65F1">
        <w:rPr>
          <w:rStyle w:val="CommentReference"/>
          <w:b w:val="0"/>
          <w:bCs/>
          <w:szCs w:val="18"/>
          <w:shd w:val="clear" w:color="auto" w:fill="C6D9F1" w:themeFill="text2" w:themeFillTint="33"/>
        </w:rPr>
        <w:t>Blue shading</w:t>
      </w:r>
      <w:r w:rsidRPr="008E65F1">
        <w:rPr>
          <w:rStyle w:val="CommentReference"/>
          <w:b w:val="0"/>
          <w:bCs/>
          <w:szCs w:val="18"/>
        </w:rPr>
        <w:t xml:space="preserve"> indicates data previously seen by the PBAC. </w:t>
      </w:r>
    </w:p>
    <w:p w14:paraId="53B9F7E8" w14:textId="2F22D330" w:rsidR="00CE76B8" w:rsidRPr="00D4558F" w:rsidRDefault="00CE76B8" w:rsidP="002E1D81">
      <w:pPr>
        <w:pStyle w:val="TableFigureFooter"/>
      </w:pPr>
      <w:r w:rsidRPr="00D4558F">
        <w:t xml:space="preserve">Source: Table 3-10, p136 of the </w:t>
      </w:r>
      <w:r>
        <w:t xml:space="preserve">March 2021 </w:t>
      </w:r>
      <w:r w:rsidRPr="00D4558F">
        <w:t>submission</w:t>
      </w:r>
      <w:r>
        <w:t>,</w:t>
      </w:r>
      <w:r w:rsidRPr="00D4558F">
        <w:t xml:space="preserve"> Analysis worksheet of Section 3 Workbook (CEA Model)</w:t>
      </w:r>
      <w:r>
        <w:t>, March 2021</w:t>
      </w:r>
      <w:r w:rsidRPr="00D4558F">
        <w:t>.</w:t>
      </w:r>
      <w:r>
        <w:t xml:space="preserve"> </w:t>
      </w:r>
      <w:r w:rsidRPr="002233F1">
        <w:t xml:space="preserve">Table 3-11, p283 of the </w:t>
      </w:r>
      <w:r>
        <w:t>re</w:t>
      </w:r>
      <w:r w:rsidRPr="002233F1">
        <w:t>submission and Analysis worksheet of Section 3.1 Workbook</w:t>
      </w:r>
      <w:r>
        <w:t>, March 2022 resubmission</w:t>
      </w:r>
      <w:r w:rsidR="005F6A31">
        <w:t>, and p4 of the PSCR</w:t>
      </w:r>
    </w:p>
    <w:p w14:paraId="20686663" w14:textId="305F550B" w:rsidR="00CE76B8" w:rsidRDefault="00FA7A3A" w:rsidP="003C231F">
      <w:pPr>
        <w:pStyle w:val="TableFigureFooter"/>
        <w:spacing w:after="0"/>
      </w:pPr>
      <w:r>
        <w:t xml:space="preserve">PSCR=pre-Sub-Committee response; </w:t>
      </w:r>
      <w:r w:rsidR="00CE76B8" w:rsidRPr="00D4558F">
        <w:t xml:space="preserve">QALY=Quality Adjusted Life Year </w:t>
      </w:r>
    </w:p>
    <w:p w14:paraId="1C1C2A57" w14:textId="77777777" w:rsidR="004C45A6" w:rsidRPr="00703B34" w:rsidRDefault="004C45A6" w:rsidP="004C45A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A09699D" w14:textId="666BE0E9" w:rsidR="004C45A6" w:rsidRPr="00703B34" w:rsidRDefault="004C45A6" w:rsidP="004C45A6">
      <w:pPr>
        <w:ind w:right="147"/>
        <w:rPr>
          <w:rFonts w:ascii="Arial Narrow" w:hAnsi="Arial Narrow"/>
          <w:i/>
          <w:sz w:val="18"/>
          <w:szCs w:val="18"/>
        </w:rPr>
      </w:pPr>
      <w:r>
        <w:rPr>
          <w:rFonts w:ascii="Arial Narrow" w:hAnsi="Arial Narrow"/>
          <w:i/>
          <w:sz w:val="18"/>
          <w:szCs w:val="18"/>
          <w:vertAlign w:val="superscript"/>
        </w:rPr>
        <w:t>1</w:t>
      </w:r>
      <w:r w:rsidRPr="00703B34">
        <w:rPr>
          <w:rFonts w:ascii="Arial Narrow" w:hAnsi="Arial Narrow"/>
          <w:i/>
          <w:sz w:val="18"/>
          <w:szCs w:val="18"/>
        </w:rPr>
        <w:t>$355,000 to &lt; $455,000</w:t>
      </w:r>
    </w:p>
    <w:p w14:paraId="544E57C5" w14:textId="46821386" w:rsidR="006B7661" w:rsidRPr="003C231F" w:rsidRDefault="004C45A6" w:rsidP="003C231F">
      <w:pPr>
        <w:spacing w:after="120"/>
        <w:ind w:right="147"/>
        <w:rPr>
          <w:rFonts w:ascii="Arial Narrow" w:hAnsi="Arial Narrow"/>
          <w:i/>
          <w:sz w:val="18"/>
          <w:szCs w:val="18"/>
        </w:rPr>
      </w:pPr>
      <w:r>
        <w:rPr>
          <w:rFonts w:ascii="Arial Narrow" w:hAnsi="Arial Narrow"/>
          <w:i/>
          <w:sz w:val="18"/>
          <w:szCs w:val="18"/>
          <w:vertAlign w:val="superscript"/>
        </w:rPr>
        <w:t>2</w:t>
      </w:r>
      <w:r w:rsidRPr="00703B34">
        <w:rPr>
          <w:rFonts w:ascii="Arial Narrow" w:hAnsi="Arial Narrow"/>
          <w:i/>
          <w:sz w:val="18"/>
          <w:szCs w:val="18"/>
        </w:rPr>
        <w:t>$455,000 to &lt; $555,000</w:t>
      </w:r>
    </w:p>
    <w:p w14:paraId="602C950B" w14:textId="5E6654E6" w:rsidR="00CE76B8" w:rsidRPr="008E65F1" w:rsidRDefault="00CE76B8" w:rsidP="00CE76B8">
      <w:pPr>
        <w:pStyle w:val="3-BodyText"/>
      </w:pPr>
      <w:r w:rsidRPr="008E65F1">
        <w:t xml:space="preserve">The results of sensitivity analyses for the paediatric economic evaluation are summarised below. </w:t>
      </w:r>
    </w:p>
    <w:p w14:paraId="2D9015C6" w14:textId="7101D909" w:rsidR="00CE76B8" w:rsidRDefault="00CE76B8" w:rsidP="002E1D81">
      <w:pPr>
        <w:spacing w:after="120"/>
        <w:contextualSpacing/>
        <w:rPr>
          <w:rFonts w:ascii="Arial Narrow" w:hAnsi="Arial Narrow"/>
          <w:snapToGrid w:val="0"/>
          <w:sz w:val="18"/>
          <w:szCs w:val="22"/>
        </w:rPr>
      </w:pPr>
    </w:p>
    <w:p w14:paraId="75814763" w14:textId="72651853" w:rsidR="00A84A1C" w:rsidRDefault="00C06B83" w:rsidP="00A84A1C">
      <w:pPr>
        <w:pStyle w:val="TableFigureHeading"/>
        <w:widowControl w:val="0"/>
        <w:rPr>
          <w:rFonts w:cs="Times New Roman"/>
        </w:rPr>
      </w:pPr>
      <w:r w:rsidRPr="009D25EA">
        <w:rPr>
          <w:iCs/>
        </w:rPr>
        <w:t xml:space="preserve">Table </w:t>
      </w:r>
      <w:r w:rsidRPr="009D25EA">
        <w:rPr>
          <w:iCs/>
        </w:rPr>
        <w:fldChar w:fldCharType="begin"/>
      </w:r>
      <w:r w:rsidRPr="009D25EA">
        <w:rPr>
          <w:iCs/>
        </w:rPr>
        <w:instrText xml:space="preserve"> SEQ Table \* ARABIC </w:instrText>
      </w:r>
      <w:r w:rsidRPr="009D25EA">
        <w:rPr>
          <w:iCs/>
        </w:rPr>
        <w:fldChar w:fldCharType="separate"/>
      </w:r>
      <w:r w:rsidR="00676539">
        <w:rPr>
          <w:iCs/>
          <w:noProof/>
        </w:rPr>
        <w:t>15</w:t>
      </w:r>
      <w:r w:rsidRPr="009D25EA">
        <w:fldChar w:fldCharType="end"/>
      </w:r>
      <w:r w:rsidR="00A84A1C">
        <w:rPr>
          <w:iCs/>
        </w:rPr>
        <w:t xml:space="preserve">: </w:t>
      </w:r>
      <w:r w:rsidR="00A84A1C">
        <w:t xml:space="preserve">Select updated results of sensitivity analyses in the paediatric model using PSCR </w:t>
      </w:r>
      <w:r w:rsidR="00A84A1C">
        <w:lastRenderedPageBreak/>
        <w:t>base case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Select updated results of sensitivity analyses in the paediatric model using PSCR base case"/>
      </w:tblPr>
      <w:tblGrid>
        <w:gridCol w:w="4106"/>
        <w:gridCol w:w="1754"/>
        <w:gridCol w:w="1096"/>
        <w:gridCol w:w="1970"/>
      </w:tblGrid>
      <w:tr w:rsidR="00A84A1C" w:rsidRPr="001A2C4E" w14:paraId="603E9396" w14:textId="77777777" w:rsidTr="00A84A1C">
        <w:trPr>
          <w:tblHeader/>
        </w:trPr>
        <w:tc>
          <w:tcPr>
            <w:tcW w:w="4106" w:type="dxa"/>
            <w:tcBorders>
              <w:top w:val="single" w:sz="4" w:space="0" w:color="auto"/>
              <w:left w:val="single" w:sz="4" w:space="0" w:color="auto"/>
              <w:bottom w:val="single" w:sz="4" w:space="0" w:color="auto"/>
              <w:right w:val="single" w:sz="4" w:space="0" w:color="auto"/>
            </w:tcBorders>
            <w:vAlign w:val="center"/>
            <w:hideMark/>
          </w:tcPr>
          <w:p w14:paraId="7B9CA2E3" w14:textId="77777777" w:rsidR="00A84A1C" w:rsidRPr="001A2C4E" w:rsidRDefault="00A84A1C" w:rsidP="002568EB">
            <w:pPr>
              <w:keepNext/>
              <w:widowControl w:val="0"/>
              <w:jc w:val="left"/>
              <w:rPr>
                <w:rFonts w:ascii="Arial Narrow" w:hAnsi="Arial Narrow"/>
                <w:b/>
                <w:sz w:val="20"/>
              </w:rPr>
            </w:pPr>
            <w:r w:rsidRPr="001A2C4E">
              <w:rPr>
                <w:rFonts w:ascii="Arial Narrow" w:hAnsi="Arial Narrow"/>
                <w:b/>
                <w:sz w:val="20"/>
              </w:rPr>
              <w:t>Analyses</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321DD78"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Incremental cost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53A19F1"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Incremental QALY</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101E1C2" w14:textId="77777777" w:rsidR="00A84A1C" w:rsidRPr="001A2C4E" w:rsidRDefault="00A84A1C">
            <w:pPr>
              <w:keepNext/>
              <w:widowControl w:val="0"/>
              <w:jc w:val="center"/>
              <w:rPr>
                <w:rFonts w:ascii="Arial Narrow" w:hAnsi="Arial Narrow"/>
                <w:b/>
                <w:sz w:val="20"/>
              </w:rPr>
            </w:pPr>
            <w:r w:rsidRPr="001A2C4E">
              <w:rPr>
                <w:rFonts w:ascii="Arial Narrow" w:hAnsi="Arial Narrow"/>
                <w:b/>
                <w:sz w:val="20"/>
              </w:rPr>
              <w:t>ICER</w:t>
            </w:r>
          </w:p>
        </w:tc>
      </w:tr>
      <w:tr w:rsidR="00A84A1C" w:rsidRPr="001A2C4E" w14:paraId="1DEC6621"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5BB0BF9A" w14:textId="77777777" w:rsidR="00A84A1C" w:rsidRPr="001A2C4E" w:rsidRDefault="00A84A1C" w:rsidP="002568EB">
            <w:pPr>
              <w:keepNext/>
              <w:widowControl w:val="0"/>
              <w:jc w:val="left"/>
              <w:rPr>
                <w:rFonts w:ascii="Arial Narrow" w:hAnsi="Arial Narrow"/>
                <w:b/>
                <w:bCs/>
                <w:sz w:val="20"/>
              </w:rPr>
            </w:pPr>
            <w:r w:rsidRPr="001A2C4E">
              <w:rPr>
                <w:rFonts w:ascii="Arial Narrow" w:hAnsi="Arial Narrow"/>
                <w:b/>
                <w:bCs/>
                <w:sz w:val="20"/>
              </w:rPr>
              <w:t xml:space="preserve">PSCR base case </w:t>
            </w:r>
          </w:p>
        </w:tc>
        <w:tc>
          <w:tcPr>
            <w:tcW w:w="1754" w:type="dxa"/>
            <w:tcBorders>
              <w:top w:val="single" w:sz="4" w:space="0" w:color="auto"/>
              <w:left w:val="single" w:sz="4" w:space="0" w:color="auto"/>
              <w:bottom w:val="single" w:sz="4" w:space="0" w:color="auto"/>
              <w:right w:val="single" w:sz="4" w:space="0" w:color="auto"/>
            </w:tcBorders>
            <w:hideMark/>
          </w:tcPr>
          <w:p w14:paraId="26B3562E" w14:textId="2199AD23" w:rsidR="00A84A1C" w:rsidRPr="001A2C4E" w:rsidRDefault="00A84A1C">
            <w:pPr>
              <w:keepNext/>
              <w:widowControl w:val="0"/>
              <w:jc w:val="center"/>
              <w:rPr>
                <w:rFonts w:ascii="Arial Narrow" w:hAnsi="Arial Narrow"/>
                <w:b/>
                <w:bCs/>
                <w:sz w:val="20"/>
              </w:rPr>
            </w:pPr>
            <w:r w:rsidRPr="001A2C4E">
              <w:rPr>
                <w:rFonts w:ascii="Arial Narrow" w:hAnsi="Arial Narrow"/>
                <w:b/>
                <w:bCs/>
                <w:sz w:val="20"/>
              </w:rPr>
              <w:t>$</w:t>
            </w:r>
            <w:r w:rsidR="00B355AE" w:rsidRPr="00B355AE">
              <w:rPr>
                <w:rFonts w:ascii="Arial Narrow" w:hAnsi="Arial Narrow"/>
                <w:b/>
                <w:bCs/>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48FDF761" w14:textId="77777777" w:rsidR="00A84A1C" w:rsidRPr="001A2C4E" w:rsidRDefault="00A84A1C">
            <w:pPr>
              <w:keepNext/>
              <w:widowControl w:val="0"/>
              <w:jc w:val="center"/>
              <w:rPr>
                <w:rFonts w:ascii="Arial Narrow" w:hAnsi="Arial Narrow"/>
                <w:b/>
                <w:bCs/>
                <w:sz w:val="20"/>
              </w:rPr>
            </w:pPr>
            <w:r w:rsidRPr="001A2C4E">
              <w:rPr>
                <w:rFonts w:ascii="Arial Narrow" w:hAnsi="Arial Narrow"/>
                <w:b/>
                <w:bCs/>
                <w:sz w:val="20"/>
              </w:rPr>
              <w:t>2.87</w:t>
            </w:r>
          </w:p>
        </w:tc>
        <w:tc>
          <w:tcPr>
            <w:tcW w:w="1970" w:type="dxa"/>
            <w:tcBorders>
              <w:top w:val="single" w:sz="4" w:space="0" w:color="auto"/>
              <w:left w:val="single" w:sz="4" w:space="0" w:color="auto"/>
              <w:bottom w:val="single" w:sz="4" w:space="0" w:color="auto"/>
              <w:right w:val="single" w:sz="4" w:space="0" w:color="auto"/>
            </w:tcBorders>
            <w:hideMark/>
          </w:tcPr>
          <w:p w14:paraId="520827D1" w14:textId="781EF52E" w:rsidR="00A84A1C" w:rsidRPr="00703B34" w:rsidRDefault="00A84A1C">
            <w:pPr>
              <w:keepNext/>
              <w:widowControl w:val="0"/>
              <w:jc w:val="center"/>
              <w:rPr>
                <w:rFonts w:ascii="Arial Narrow" w:hAnsi="Arial Narrow"/>
                <w:b/>
                <w:bCs/>
                <w:sz w:val="20"/>
                <w:vertAlign w:val="superscript"/>
              </w:rPr>
            </w:pPr>
            <w:r w:rsidRPr="001A2C4E">
              <w:rPr>
                <w:rFonts w:ascii="Arial Narrow" w:hAnsi="Arial Narrow"/>
                <w:b/>
                <w:bCs/>
                <w:sz w:val="20"/>
              </w:rPr>
              <w:t>$</w:t>
            </w:r>
            <w:r w:rsidR="00B355AE" w:rsidRPr="00B355AE">
              <w:rPr>
                <w:rFonts w:ascii="Arial Narrow" w:hAnsi="Arial Narrow"/>
                <w:b/>
                <w:bCs/>
                <w:color w:val="000000"/>
                <w:sz w:val="20"/>
                <w:shd w:val="solid" w:color="000000" w:fill="000000"/>
                <w14:textFill>
                  <w14:solidFill>
                    <w14:srgbClr w14:val="000000">
                      <w14:alpha w14:val="100000"/>
                    </w14:srgbClr>
                  </w14:solidFill>
                </w14:textFill>
              </w:rPr>
              <w:t>|</w:t>
            </w:r>
            <w:r w:rsidR="00703B34">
              <w:rPr>
                <w:rFonts w:ascii="Arial Narrow" w:hAnsi="Arial Narrow"/>
                <w:b/>
                <w:bCs/>
                <w:sz w:val="20"/>
                <w:vertAlign w:val="superscript"/>
              </w:rPr>
              <w:t>3</w:t>
            </w:r>
          </w:p>
        </w:tc>
      </w:tr>
      <w:tr w:rsidR="005D7073" w:rsidRPr="001A2C4E" w14:paraId="08278469" w14:textId="77777777" w:rsidTr="00F631BA">
        <w:tc>
          <w:tcPr>
            <w:tcW w:w="8926" w:type="dxa"/>
            <w:gridSpan w:val="4"/>
            <w:tcBorders>
              <w:top w:val="single" w:sz="4" w:space="0" w:color="auto"/>
              <w:left w:val="single" w:sz="4" w:space="0" w:color="auto"/>
              <w:bottom w:val="single" w:sz="4" w:space="0" w:color="auto"/>
              <w:right w:val="single" w:sz="4" w:space="0" w:color="auto"/>
            </w:tcBorders>
          </w:tcPr>
          <w:p w14:paraId="50B9EF8B" w14:textId="4F1F6599" w:rsidR="005D7073" w:rsidRPr="001A2C4E" w:rsidRDefault="005D7073" w:rsidP="005D7073">
            <w:pPr>
              <w:keepNext/>
              <w:widowControl w:val="0"/>
              <w:jc w:val="left"/>
              <w:rPr>
                <w:rFonts w:ascii="Arial Narrow" w:hAnsi="Arial Narrow"/>
                <w:b/>
                <w:bCs/>
                <w:sz w:val="20"/>
              </w:rPr>
            </w:pPr>
            <w:r w:rsidRPr="001A2C4E">
              <w:rPr>
                <w:rFonts w:ascii="Arial Narrow" w:hAnsi="Arial Narrow"/>
                <w:b/>
                <w:bCs/>
                <w:sz w:val="20"/>
              </w:rPr>
              <w:t>Time horizon (base case: 25 years)</w:t>
            </w:r>
          </w:p>
        </w:tc>
      </w:tr>
      <w:tr w:rsidR="002568EB" w:rsidRPr="001A2C4E" w14:paraId="04D4E150" w14:textId="77777777" w:rsidTr="00A84A1C">
        <w:tc>
          <w:tcPr>
            <w:tcW w:w="4106" w:type="dxa"/>
            <w:tcBorders>
              <w:top w:val="single" w:sz="4" w:space="0" w:color="auto"/>
              <w:left w:val="single" w:sz="4" w:space="0" w:color="auto"/>
              <w:bottom w:val="single" w:sz="4" w:space="0" w:color="auto"/>
              <w:right w:val="single" w:sz="4" w:space="0" w:color="auto"/>
            </w:tcBorders>
          </w:tcPr>
          <w:p w14:paraId="496F6AB3" w14:textId="354A4559" w:rsidR="002568EB" w:rsidRPr="001A2C4E" w:rsidRDefault="002568EB" w:rsidP="002568EB">
            <w:pPr>
              <w:keepNext/>
              <w:widowControl w:val="0"/>
              <w:jc w:val="left"/>
              <w:rPr>
                <w:rFonts w:ascii="Arial Narrow" w:hAnsi="Arial Narrow"/>
                <w:sz w:val="20"/>
              </w:rPr>
            </w:pPr>
            <w:r w:rsidRPr="001A2C4E">
              <w:rPr>
                <w:rFonts w:ascii="Arial Narrow" w:hAnsi="Arial Narrow"/>
                <w:sz w:val="20"/>
              </w:rPr>
              <w:t xml:space="preserve">  20 years</w:t>
            </w:r>
          </w:p>
        </w:tc>
        <w:tc>
          <w:tcPr>
            <w:tcW w:w="1754" w:type="dxa"/>
            <w:tcBorders>
              <w:top w:val="single" w:sz="4" w:space="0" w:color="auto"/>
              <w:left w:val="single" w:sz="4" w:space="0" w:color="auto"/>
              <w:bottom w:val="single" w:sz="4" w:space="0" w:color="auto"/>
              <w:right w:val="single" w:sz="4" w:space="0" w:color="auto"/>
            </w:tcBorders>
          </w:tcPr>
          <w:p w14:paraId="525D38FB" w14:textId="69A6E0F1" w:rsidR="002568EB" w:rsidRPr="001A2C4E" w:rsidRDefault="002568EB">
            <w:pPr>
              <w:keepNext/>
              <w:widowControl w:val="0"/>
              <w:jc w:val="center"/>
              <w:rPr>
                <w:rFonts w:ascii="Arial Narrow" w:hAnsi="Arial Narrow"/>
                <w:sz w:val="20"/>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tcPr>
          <w:p w14:paraId="5D5FDADC" w14:textId="55B3CD15" w:rsidR="002568EB" w:rsidRPr="001A2C4E" w:rsidRDefault="002568EB">
            <w:pPr>
              <w:keepNext/>
              <w:widowControl w:val="0"/>
              <w:jc w:val="center"/>
              <w:rPr>
                <w:rFonts w:ascii="Arial Narrow" w:hAnsi="Arial Narrow"/>
                <w:sz w:val="20"/>
              </w:rPr>
            </w:pPr>
            <w:r w:rsidRPr="001A2C4E">
              <w:rPr>
                <w:rFonts w:ascii="Arial Narrow" w:hAnsi="Arial Narrow"/>
                <w:sz w:val="20"/>
              </w:rPr>
              <w:t>2.49</w:t>
            </w:r>
          </w:p>
        </w:tc>
        <w:tc>
          <w:tcPr>
            <w:tcW w:w="1970" w:type="dxa"/>
            <w:tcBorders>
              <w:top w:val="single" w:sz="4" w:space="0" w:color="auto"/>
              <w:left w:val="single" w:sz="4" w:space="0" w:color="auto"/>
              <w:bottom w:val="single" w:sz="4" w:space="0" w:color="auto"/>
              <w:right w:val="single" w:sz="4" w:space="0" w:color="auto"/>
            </w:tcBorders>
          </w:tcPr>
          <w:p w14:paraId="415C166B" w14:textId="4E1BA8B0" w:rsidR="002568EB" w:rsidRPr="00703B34" w:rsidRDefault="002568EB">
            <w:pPr>
              <w:keepNext/>
              <w:widowControl w:val="0"/>
              <w:jc w:val="center"/>
              <w:rPr>
                <w:rFonts w:ascii="Arial Narrow" w:hAnsi="Arial Narrow"/>
                <w:sz w:val="20"/>
                <w:vertAlign w:val="superscript"/>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r w:rsidR="00703B34">
              <w:rPr>
                <w:rFonts w:ascii="Arial Narrow" w:hAnsi="Arial Narrow"/>
                <w:sz w:val="20"/>
                <w:vertAlign w:val="superscript"/>
              </w:rPr>
              <w:t>4</w:t>
            </w:r>
          </w:p>
        </w:tc>
      </w:tr>
      <w:tr w:rsidR="002568EB" w:rsidRPr="001A2C4E" w14:paraId="6C6E391E" w14:textId="77777777" w:rsidTr="00A84A1C">
        <w:tc>
          <w:tcPr>
            <w:tcW w:w="4106" w:type="dxa"/>
            <w:tcBorders>
              <w:top w:val="single" w:sz="4" w:space="0" w:color="auto"/>
              <w:left w:val="single" w:sz="4" w:space="0" w:color="auto"/>
              <w:bottom w:val="single" w:sz="4" w:space="0" w:color="auto"/>
              <w:right w:val="single" w:sz="4" w:space="0" w:color="auto"/>
            </w:tcBorders>
          </w:tcPr>
          <w:p w14:paraId="54934359" w14:textId="20E6E09B" w:rsidR="002568EB" w:rsidRPr="001A2C4E" w:rsidRDefault="002568EB" w:rsidP="002568EB">
            <w:pPr>
              <w:keepNext/>
              <w:widowControl w:val="0"/>
              <w:jc w:val="left"/>
              <w:rPr>
                <w:rFonts w:ascii="Arial Narrow" w:hAnsi="Arial Narrow"/>
                <w:sz w:val="20"/>
              </w:rPr>
            </w:pPr>
            <w:r w:rsidRPr="001A2C4E">
              <w:rPr>
                <w:rFonts w:ascii="Arial Narrow" w:hAnsi="Arial Narrow"/>
                <w:sz w:val="20"/>
              </w:rPr>
              <w:t xml:space="preserve">  15 years</w:t>
            </w:r>
          </w:p>
        </w:tc>
        <w:tc>
          <w:tcPr>
            <w:tcW w:w="1754" w:type="dxa"/>
            <w:tcBorders>
              <w:top w:val="single" w:sz="4" w:space="0" w:color="auto"/>
              <w:left w:val="single" w:sz="4" w:space="0" w:color="auto"/>
              <w:bottom w:val="single" w:sz="4" w:space="0" w:color="auto"/>
              <w:right w:val="single" w:sz="4" w:space="0" w:color="auto"/>
            </w:tcBorders>
          </w:tcPr>
          <w:p w14:paraId="308B9C74" w14:textId="53AA8395" w:rsidR="002568EB" w:rsidRPr="001A2C4E" w:rsidRDefault="002568EB">
            <w:pPr>
              <w:keepNext/>
              <w:widowControl w:val="0"/>
              <w:jc w:val="center"/>
              <w:rPr>
                <w:rFonts w:ascii="Arial Narrow" w:hAnsi="Arial Narrow"/>
                <w:sz w:val="20"/>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tcPr>
          <w:p w14:paraId="76FDCFED" w14:textId="36D1A892" w:rsidR="002568EB" w:rsidRPr="001A2C4E" w:rsidRDefault="002568EB">
            <w:pPr>
              <w:keepNext/>
              <w:widowControl w:val="0"/>
              <w:jc w:val="center"/>
              <w:rPr>
                <w:rFonts w:ascii="Arial Narrow" w:hAnsi="Arial Narrow"/>
                <w:sz w:val="20"/>
              </w:rPr>
            </w:pPr>
            <w:r w:rsidRPr="001A2C4E">
              <w:rPr>
                <w:rFonts w:ascii="Arial Narrow" w:hAnsi="Arial Narrow"/>
                <w:sz w:val="20"/>
              </w:rPr>
              <w:t>2.00</w:t>
            </w:r>
          </w:p>
        </w:tc>
        <w:tc>
          <w:tcPr>
            <w:tcW w:w="1970" w:type="dxa"/>
            <w:tcBorders>
              <w:top w:val="single" w:sz="4" w:space="0" w:color="auto"/>
              <w:left w:val="single" w:sz="4" w:space="0" w:color="auto"/>
              <w:bottom w:val="single" w:sz="4" w:space="0" w:color="auto"/>
              <w:right w:val="single" w:sz="4" w:space="0" w:color="auto"/>
            </w:tcBorders>
          </w:tcPr>
          <w:p w14:paraId="021EA360" w14:textId="230C29F1" w:rsidR="002568EB" w:rsidRPr="00703B34" w:rsidRDefault="002568EB">
            <w:pPr>
              <w:keepNext/>
              <w:widowControl w:val="0"/>
              <w:jc w:val="center"/>
              <w:rPr>
                <w:rFonts w:ascii="Arial Narrow" w:hAnsi="Arial Narrow"/>
                <w:sz w:val="20"/>
                <w:vertAlign w:val="superscript"/>
              </w:rPr>
            </w:pPr>
            <w:r w:rsidRPr="001A2C4E">
              <w:rPr>
                <w:rFonts w:ascii="Arial Narrow" w:hAnsi="Arial Narrow"/>
                <w:sz w:val="20"/>
              </w:rPr>
              <w:t>$</w:t>
            </w:r>
            <w:r w:rsidR="00B355AE" w:rsidRPr="00B355AE">
              <w:rPr>
                <w:rFonts w:ascii="Arial Narrow" w:hAnsi="Arial Narrow"/>
                <w:color w:val="000000"/>
                <w:sz w:val="20"/>
                <w:shd w:val="solid" w:color="000000" w:fill="000000"/>
                <w14:textFill>
                  <w14:solidFill>
                    <w14:srgbClr w14:val="000000">
                      <w14:alpha w14:val="100000"/>
                    </w14:srgbClr>
                  </w14:solidFill>
                </w14:textFill>
              </w:rPr>
              <w:t>|</w:t>
            </w:r>
            <w:r w:rsidR="00703B34">
              <w:rPr>
                <w:rFonts w:ascii="Arial Narrow" w:hAnsi="Arial Narrow"/>
                <w:sz w:val="20"/>
                <w:vertAlign w:val="superscript"/>
              </w:rPr>
              <w:t>4</w:t>
            </w:r>
          </w:p>
        </w:tc>
      </w:tr>
      <w:tr w:rsidR="00A84A1C" w:rsidRPr="001A2C4E" w14:paraId="2F122C5A"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1116B45E" w14:textId="77777777" w:rsidR="00A84A1C" w:rsidRPr="001A2C4E" w:rsidRDefault="00A84A1C" w:rsidP="002568EB">
            <w:pPr>
              <w:keepNext/>
              <w:widowControl w:val="0"/>
              <w:jc w:val="left"/>
              <w:rPr>
                <w:rFonts w:ascii="Arial Narrow" w:hAnsi="Arial Narrow"/>
                <w:bCs/>
                <w:sz w:val="20"/>
                <w:lang w:val="es-MX"/>
              </w:rPr>
            </w:pPr>
            <w:r w:rsidRPr="001A2C4E">
              <w:rPr>
                <w:rFonts w:ascii="Arial Narrow" w:eastAsia="Calibri" w:hAnsi="Arial Narrow"/>
                <w:b/>
                <w:bCs/>
                <w:sz w:val="20"/>
                <w:lang w:val="es-MX" w:eastAsia="en-US"/>
              </w:rPr>
              <w:t xml:space="preserve">Burosumab dose in children </w:t>
            </w:r>
            <w:r w:rsidRPr="001A2C4E">
              <w:rPr>
                <w:rFonts w:ascii="Arial Narrow" w:hAnsi="Arial Narrow"/>
                <w:b/>
                <w:bCs/>
                <w:sz w:val="20"/>
                <w:lang w:val="es-MX"/>
              </w:rPr>
              <w:t>(base case: 0.91 mg/kg Q2W)</w:t>
            </w:r>
          </w:p>
        </w:tc>
      </w:tr>
      <w:tr w:rsidR="00C52B40" w:rsidRPr="001A2C4E" w14:paraId="6DA87328" w14:textId="77777777" w:rsidTr="00F631BA">
        <w:tc>
          <w:tcPr>
            <w:tcW w:w="4106" w:type="dxa"/>
          </w:tcPr>
          <w:p w14:paraId="3A81E547" w14:textId="77777777" w:rsidR="00C52B40" w:rsidRPr="001A2C4E" w:rsidRDefault="00C52B40" w:rsidP="00F631BA">
            <w:pPr>
              <w:keepNext/>
              <w:widowControl w:val="0"/>
              <w:ind w:left="107"/>
              <w:jc w:val="left"/>
              <w:rPr>
                <w:rFonts w:ascii="Arial Narrow" w:eastAsiaTheme="minorHAnsi" w:hAnsi="Arial Narrow" w:cstheme="minorBidi"/>
                <w:bCs/>
                <w:sz w:val="20"/>
                <w:szCs w:val="20"/>
                <w:lang w:eastAsia="en-US"/>
              </w:rPr>
            </w:pPr>
            <w:r w:rsidRPr="001A2C4E">
              <w:rPr>
                <w:rFonts w:ascii="Arial Narrow" w:eastAsiaTheme="minorHAnsi" w:hAnsi="Arial Narrow" w:cstheme="minorBidi"/>
                <w:bCs/>
                <w:sz w:val="20"/>
                <w:szCs w:val="20"/>
                <w:lang w:eastAsia="en-US"/>
              </w:rPr>
              <w:t>1.05 mg/kg (as per mean dosage in Australian EAP)</w:t>
            </w:r>
          </w:p>
        </w:tc>
        <w:tc>
          <w:tcPr>
            <w:tcW w:w="1754" w:type="dxa"/>
          </w:tcPr>
          <w:p w14:paraId="2445B3F4" w14:textId="47139C65" w:rsidR="00C52B40" w:rsidRPr="001A2C4E" w:rsidRDefault="00C52B40" w:rsidP="00F631BA">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096" w:type="dxa"/>
          </w:tcPr>
          <w:p w14:paraId="21156558" w14:textId="174DC683" w:rsidR="00C52B40" w:rsidRPr="001A2C4E" w:rsidRDefault="00C52B40" w:rsidP="00C52B40">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2.87</w:t>
            </w:r>
          </w:p>
        </w:tc>
        <w:tc>
          <w:tcPr>
            <w:tcW w:w="1970" w:type="dxa"/>
          </w:tcPr>
          <w:p w14:paraId="4CDDA24E" w14:textId="55139AFC" w:rsidR="00C52B40" w:rsidRPr="00703B34" w:rsidRDefault="00C52B40" w:rsidP="00F631BA">
            <w:pPr>
              <w:keepNext/>
              <w:widowControl w:val="0"/>
              <w:jc w:val="center"/>
              <w:rPr>
                <w:rFonts w:ascii="Arial Narrow" w:eastAsiaTheme="majorEastAsia" w:hAnsi="Arial Narrow" w:cstheme="majorBidi"/>
                <w:bCs/>
                <w:sz w:val="20"/>
                <w:vertAlign w:val="superscript"/>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03B34">
              <w:rPr>
                <w:rFonts w:ascii="Arial Narrow" w:eastAsiaTheme="majorEastAsia" w:hAnsi="Arial Narrow" w:cstheme="majorBidi"/>
                <w:bCs/>
                <w:sz w:val="20"/>
                <w:vertAlign w:val="superscript"/>
              </w:rPr>
              <w:t>4</w:t>
            </w:r>
          </w:p>
        </w:tc>
      </w:tr>
      <w:tr w:rsidR="00C52B40" w:rsidRPr="001A2C4E" w14:paraId="142B0E41" w14:textId="77777777" w:rsidTr="00F631BA">
        <w:tc>
          <w:tcPr>
            <w:tcW w:w="4106" w:type="dxa"/>
          </w:tcPr>
          <w:p w14:paraId="7256CA27" w14:textId="77777777" w:rsidR="00C52B40" w:rsidRPr="001A2C4E" w:rsidRDefault="00C52B40" w:rsidP="00F631BA">
            <w:pPr>
              <w:keepNext/>
              <w:widowControl w:val="0"/>
              <w:ind w:left="107"/>
              <w:jc w:val="left"/>
              <w:rPr>
                <w:rFonts w:ascii="Arial Narrow" w:eastAsiaTheme="minorHAnsi" w:hAnsi="Arial Narrow" w:cstheme="minorBidi"/>
                <w:bCs/>
                <w:sz w:val="20"/>
                <w:szCs w:val="20"/>
                <w:lang w:eastAsia="en-US"/>
              </w:rPr>
            </w:pPr>
            <w:r w:rsidRPr="001A2C4E">
              <w:rPr>
                <w:rFonts w:ascii="Arial Narrow" w:eastAsiaTheme="minorHAnsi" w:hAnsi="Arial Narrow" w:cstheme="minorBidi"/>
                <w:bCs/>
                <w:sz w:val="20"/>
                <w:szCs w:val="20"/>
                <w:lang w:eastAsia="en-US"/>
              </w:rPr>
              <w:t>1.2 mg/kg</w:t>
            </w:r>
          </w:p>
        </w:tc>
        <w:tc>
          <w:tcPr>
            <w:tcW w:w="1754" w:type="dxa"/>
          </w:tcPr>
          <w:p w14:paraId="0696277E" w14:textId="61D6BE93" w:rsidR="00C52B40" w:rsidRPr="001A2C4E" w:rsidRDefault="00C52B40" w:rsidP="00F631BA">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096" w:type="dxa"/>
          </w:tcPr>
          <w:p w14:paraId="4975C0D9" w14:textId="6742412E" w:rsidR="00C52B40" w:rsidRPr="001A2C4E" w:rsidRDefault="00C52B40" w:rsidP="00C52B40">
            <w:pPr>
              <w:keepNext/>
              <w:widowControl w:val="0"/>
              <w:jc w:val="center"/>
              <w:rPr>
                <w:rFonts w:ascii="Arial Narrow" w:eastAsiaTheme="majorEastAsia" w:hAnsi="Arial Narrow" w:cstheme="majorBidi"/>
                <w:bCs/>
                <w:sz w:val="20"/>
              </w:rPr>
            </w:pPr>
            <w:r w:rsidRPr="001A2C4E">
              <w:rPr>
                <w:rFonts w:ascii="Arial Narrow" w:eastAsiaTheme="majorEastAsia" w:hAnsi="Arial Narrow" w:cstheme="majorBidi"/>
                <w:bCs/>
                <w:sz w:val="20"/>
              </w:rPr>
              <w:t>2.87</w:t>
            </w:r>
          </w:p>
        </w:tc>
        <w:tc>
          <w:tcPr>
            <w:tcW w:w="1970" w:type="dxa"/>
          </w:tcPr>
          <w:p w14:paraId="457427E3" w14:textId="0EDF6B37" w:rsidR="00C52B40" w:rsidRPr="00703B34" w:rsidRDefault="00C52B40" w:rsidP="00F631BA">
            <w:pPr>
              <w:keepNext/>
              <w:widowControl w:val="0"/>
              <w:jc w:val="center"/>
              <w:rPr>
                <w:rFonts w:ascii="Arial Narrow" w:eastAsiaTheme="majorEastAsia" w:hAnsi="Arial Narrow" w:cstheme="majorBidi"/>
                <w:bCs/>
                <w:sz w:val="20"/>
                <w:vertAlign w:val="superscript"/>
              </w:rPr>
            </w:pPr>
            <w:r w:rsidRPr="001A2C4E">
              <w:rPr>
                <w:rFonts w:ascii="Arial Narrow" w:eastAsiaTheme="majorEastAsia" w:hAnsi="Arial Narrow" w:cstheme="majorBidi"/>
                <w:bCs/>
                <w:sz w:val="20"/>
              </w:rPr>
              <w:t>$</w:t>
            </w:r>
            <w:r w:rsidR="00B355AE" w:rsidRPr="00B355AE">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703B34">
              <w:rPr>
                <w:rFonts w:ascii="Arial Narrow" w:eastAsiaTheme="majorEastAsia" w:hAnsi="Arial Narrow" w:cstheme="majorBidi"/>
                <w:bCs/>
                <w:sz w:val="20"/>
                <w:vertAlign w:val="superscript"/>
              </w:rPr>
              <w:t>4</w:t>
            </w:r>
          </w:p>
        </w:tc>
      </w:tr>
      <w:tr w:rsidR="00A84A1C" w:rsidRPr="001A2C4E" w14:paraId="1EA740B9"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673C46FE" w14:textId="77777777" w:rsidR="00A84A1C" w:rsidRPr="001A2C4E" w:rsidRDefault="00A84A1C" w:rsidP="002568EB">
            <w:pPr>
              <w:keepNext/>
              <w:widowControl w:val="0"/>
              <w:ind w:left="107"/>
              <w:jc w:val="left"/>
              <w:rPr>
                <w:rFonts w:ascii="Arial Narrow" w:hAnsi="Arial Narrow"/>
                <w:bCs/>
                <w:sz w:val="20"/>
                <w:highlight w:val="magenta"/>
              </w:rPr>
            </w:pPr>
            <w:r w:rsidRPr="001A2C4E">
              <w:rPr>
                <w:rFonts w:ascii="Arial Narrow" w:hAnsi="Arial Narrow"/>
                <w:bCs/>
                <w:sz w:val="20"/>
              </w:rPr>
              <w:t>2 mg/kg (maximum allowable dose, capped at 90 mg)</w:t>
            </w:r>
          </w:p>
        </w:tc>
        <w:tc>
          <w:tcPr>
            <w:tcW w:w="1754" w:type="dxa"/>
            <w:tcBorders>
              <w:top w:val="single" w:sz="4" w:space="0" w:color="auto"/>
              <w:left w:val="single" w:sz="4" w:space="0" w:color="auto"/>
              <w:bottom w:val="single" w:sz="4" w:space="0" w:color="auto"/>
              <w:right w:val="single" w:sz="4" w:space="0" w:color="auto"/>
            </w:tcBorders>
            <w:hideMark/>
          </w:tcPr>
          <w:p w14:paraId="0E7C775C" w14:textId="672C6246"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57FBCC47" w14:textId="77777777" w:rsidR="00A84A1C" w:rsidRPr="001A2C4E" w:rsidRDefault="00A84A1C" w:rsidP="00C52B40">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hideMark/>
          </w:tcPr>
          <w:p w14:paraId="71D8A10C" w14:textId="3E4A302A" w:rsidR="00A84A1C" w:rsidRPr="00703B34" w:rsidRDefault="00A84A1C" w:rsidP="00C52B40">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7</w:t>
            </w:r>
          </w:p>
        </w:tc>
      </w:tr>
      <w:tr w:rsidR="00A84A1C" w:rsidRPr="001A2C4E" w14:paraId="467AAFB5"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116ABA53"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Burosumab dose in adults (base case: 0.95 mg/kg Q4W)</w:t>
            </w:r>
          </w:p>
        </w:tc>
      </w:tr>
      <w:tr w:rsidR="00A84A1C" w:rsidRPr="001A2C4E" w14:paraId="13C4853B"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6BB39D60"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bCs/>
                <w:sz w:val="20"/>
                <w:lang w:eastAsia="en-US"/>
              </w:rPr>
              <w:t>2 mg/kg (capped at 90 mg)</w:t>
            </w:r>
          </w:p>
        </w:tc>
        <w:tc>
          <w:tcPr>
            <w:tcW w:w="1754" w:type="dxa"/>
            <w:tcBorders>
              <w:top w:val="single" w:sz="4" w:space="0" w:color="auto"/>
              <w:left w:val="single" w:sz="4" w:space="0" w:color="auto"/>
              <w:bottom w:val="single" w:sz="4" w:space="0" w:color="auto"/>
              <w:right w:val="single" w:sz="4" w:space="0" w:color="auto"/>
            </w:tcBorders>
            <w:hideMark/>
          </w:tcPr>
          <w:p w14:paraId="64A957EB" w14:textId="0331CD63"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4F9ECFE0"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hideMark/>
          </w:tcPr>
          <w:p w14:paraId="1A99A7BC" w14:textId="28958DC2"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7CF9146C"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7537E92B"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Burosumab use in adults (base case: 90% from 18 years, 80% from 20 years, 70% from 30 years)</w:t>
            </w:r>
          </w:p>
        </w:tc>
      </w:tr>
      <w:tr w:rsidR="00A84A1C" w:rsidRPr="001A2C4E" w14:paraId="7E8E3ECC"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7A917289" w14:textId="77777777" w:rsidR="00A84A1C" w:rsidRPr="001A2C4E" w:rsidRDefault="00A84A1C" w:rsidP="002568EB">
            <w:pPr>
              <w:keepNext/>
              <w:widowControl w:val="0"/>
              <w:ind w:left="107"/>
              <w:jc w:val="left"/>
              <w:rPr>
                <w:rFonts w:ascii="Arial Narrow" w:eastAsia="Calibri" w:hAnsi="Arial Narrow"/>
                <w:bCs/>
                <w:sz w:val="20"/>
                <w:lang w:eastAsia="en-US"/>
              </w:rPr>
            </w:pPr>
            <w:r w:rsidRPr="001A2C4E">
              <w:rPr>
                <w:rFonts w:ascii="Arial Narrow" w:eastAsia="Calibri" w:hAnsi="Arial Narrow"/>
                <w:bCs/>
                <w:sz w:val="20"/>
                <w:lang w:eastAsia="en-US"/>
              </w:rPr>
              <w:t xml:space="preserve">100% utilisation from 18 years onwards </w:t>
            </w:r>
          </w:p>
        </w:tc>
        <w:tc>
          <w:tcPr>
            <w:tcW w:w="1754" w:type="dxa"/>
            <w:tcBorders>
              <w:top w:val="single" w:sz="4" w:space="0" w:color="auto"/>
              <w:left w:val="single" w:sz="4" w:space="0" w:color="auto"/>
              <w:bottom w:val="single" w:sz="4" w:space="0" w:color="auto"/>
              <w:right w:val="single" w:sz="4" w:space="0" w:color="auto"/>
            </w:tcBorders>
            <w:hideMark/>
          </w:tcPr>
          <w:p w14:paraId="38E3E2FD" w14:textId="15834F62"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1987C912"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2.88</w:t>
            </w:r>
          </w:p>
        </w:tc>
        <w:tc>
          <w:tcPr>
            <w:tcW w:w="1970" w:type="dxa"/>
            <w:tcBorders>
              <w:top w:val="single" w:sz="4" w:space="0" w:color="auto"/>
              <w:left w:val="single" w:sz="4" w:space="0" w:color="auto"/>
              <w:bottom w:val="single" w:sz="4" w:space="0" w:color="auto"/>
              <w:right w:val="single" w:sz="4" w:space="0" w:color="auto"/>
            </w:tcBorders>
            <w:hideMark/>
          </w:tcPr>
          <w:p w14:paraId="0939841F" w14:textId="3A89E04A"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1510669C" w14:textId="77777777" w:rsidTr="00A84A1C">
        <w:tc>
          <w:tcPr>
            <w:tcW w:w="8926" w:type="dxa"/>
            <w:gridSpan w:val="4"/>
            <w:tcBorders>
              <w:top w:val="single" w:sz="4" w:space="0" w:color="auto"/>
              <w:left w:val="single" w:sz="4" w:space="0" w:color="auto"/>
              <w:bottom w:val="single" w:sz="4" w:space="0" w:color="auto"/>
              <w:right w:val="single" w:sz="4" w:space="0" w:color="auto"/>
            </w:tcBorders>
            <w:hideMark/>
          </w:tcPr>
          <w:p w14:paraId="320C1863"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Transition probabilities for burosumab ‘healed’ to ‘healed’ state (base case: 100% based on result for 1 patient)</w:t>
            </w:r>
          </w:p>
        </w:tc>
      </w:tr>
      <w:tr w:rsidR="00A84A1C" w:rsidRPr="001A2C4E" w14:paraId="3F672836"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13D1D94"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hAnsi="Arial Narrow"/>
                <w:bCs/>
                <w:sz w:val="20"/>
              </w:rPr>
              <w:t>(The) one patient moves to ‘mild’ health state</w:t>
            </w:r>
          </w:p>
        </w:tc>
        <w:tc>
          <w:tcPr>
            <w:tcW w:w="1754" w:type="dxa"/>
            <w:tcBorders>
              <w:top w:val="single" w:sz="4" w:space="0" w:color="auto"/>
              <w:left w:val="single" w:sz="4" w:space="0" w:color="auto"/>
              <w:bottom w:val="single" w:sz="4" w:space="0" w:color="auto"/>
              <w:right w:val="single" w:sz="4" w:space="0" w:color="auto"/>
            </w:tcBorders>
            <w:hideMark/>
          </w:tcPr>
          <w:p w14:paraId="10A4855E" w14:textId="2DFE4CC2"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129D2F62"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1.52</w:t>
            </w:r>
          </w:p>
        </w:tc>
        <w:tc>
          <w:tcPr>
            <w:tcW w:w="1970" w:type="dxa"/>
            <w:tcBorders>
              <w:top w:val="single" w:sz="4" w:space="0" w:color="auto"/>
              <w:left w:val="single" w:sz="4" w:space="0" w:color="auto"/>
              <w:bottom w:val="single" w:sz="4" w:space="0" w:color="auto"/>
              <w:right w:val="single" w:sz="4" w:space="0" w:color="auto"/>
            </w:tcBorders>
            <w:hideMark/>
          </w:tcPr>
          <w:p w14:paraId="332F79FA" w14:textId="3CCBFE62"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8</w:t>
            </w:r>
          </w:p>
        </w:tc>
      </w:tr>
      <w:tr w:rsidR="00A84A1C" w:rsidRPr="001A2C4E" w14:paraId="0400D83C"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737E88E3" w14:textId="77777777" w:rsidR="00A84A1C" w:rsidRPr="001A2C4E" w:rsidRDefault="00A84A1C" w:rsidP="002568EB">
            <w:pPr>
              <w:keepNext/>
              <w:widowControl w:val="0"/>
              <w:ind w:left="107"/>
              <w:jc w:val="left"/>
              <w:rPr>
                <w:rFonts w:ascii="Arial Narrow" w:hAnsi="Arial Narrow"/>
                <w:bCs/>
                <w:sz w:val="20"/>
                <w:highlight w:val="magenta"/>
              </w:rPr>
            </w:pPr>
            <w:r w:rsidRPr="001A2C4E">
              <w:rPr>
                <w:rFonts w:ascii="Arial Narrow" w:hAnsi="Arial Narrow"/>
                <w:bCs/>
                <w:sz w:val="20"/>
              </w:rPr>
              <w:t>Transitions same as conventional therapy</w:t>
            </w:r>
          </w:p>
        </w:tc>
        <w:tc>
          <w:tcPr>
            <w:tcW w:w="1754" w:type="dxa"/>
            <w:tcBorders>
              <w:top w:val="single" w:sz="4" w:space="0" w:color="auto"/>
              <w:left w:val="single" w:sz="4" w:space="0" w:color="auto"/>
              <w:bottom w:val="single" w:sz="4" w:space="0" w:color="auto"/>
              <w:right w:val="single" w:sz="4" w:space="0" w:color="auto"/>
            </w:tcBorders>
            <w:hideMark/>
          </w:tcPr>
          <w:p w14:paraId="58567489" w14:textId="2CE4F233"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hideMark/>
          </w:tcPr>
          <w:p w14:paraId="07C18038"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1.72</w:t>
            </w:r>
          </w:p>
        </w:tc>
        <w:tc>
          <w:tcPr>
            <w:tcW w:w="1970" w:type="dxa"/>
            <w:tcBorders>
              <w:top w:val="single" w:sz="4" w:space="0" w:color="auto"/>
              <w:left w:val="single" w:sz="4" w:space="0" w:color="auto"/>
              <w:bottom w:val="single" w:sz="4" w:space="0" w:color="auto"/>
              <w:right w:val="single" w:sz="4" w:space="0" w:color="auto"/>
            </w:tcBorders>
            <w:hideMark/>
          </w:tcPr>
          <w:p w14:paraId="25608CA8" w14:textId="34D0BA38"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7</w:t>
            </w:r>
          </w:p>
        </w:tc>
      </w:tr>
      <w:tr w:rsidR="00A84A1C" w:rsidRPr="001A2C4E" w14:paraId="1657947E"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2F74290D"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Extrapolation of burosumab treatment effect (base case: assume constant transition probabilities to age 18 years)</w:t>
            </w:r>
          </w:p>
        </w:tc>
      </w:tr>
      <w:tr w:rsidR="00A84A1C" w:rsidRPr="001A2C4E" w14:paraId="77D3AF9D"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8E8652A"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sz w:val="20"/>
                <w:lang w:eastAsia="en-US"/>
              </w:rPr>
              <w:t>Removal of extrapolated transition probabilities (assuming no further health state transitions beyond cycle 2 in the model except for background mortality)</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67DC95C" w14:textId="7A27536B"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2A2A4BD"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2.03</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496CA18" w14:textId="153EB8E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6</w:t>
            </w:r>
          </w:p>
        </w:tc>
      </w:tr>
      <w:tr w:rsidR="00A84A1C" w:rsidRPr="001A2C4E" w14:paraId="532B1821"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0F052362"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Transition probabilities for conventional therapy (base case: based on CL301 and UK chart review)</w:t>
            </w:r>
          </w:p>
        </w:tc>
      </w:tr>
      <w:tr w:rsidR="00A84A1C" w:rsidRPr="001A2C4E" w14:paraId="769EFDF3"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3749864D" w14:textId="77777777" w:rsidR="00A84A1C" w:rsidRPr="001A2C4E" w:rsidRDefault="00A84A1C" w:rsidP="002568EB">
            <w:pPr>
              <w:keepNext/>
              <w:widowControl w:val="0"/>
              <w:ind w:left="107"/>
              <w:jc w:val="left"/>
              <w:rPr>
                <w:rFonts w:ascii="Arial Narrow" w:hAnsi="Arial Narrow"/>
                <w:bCs/>
                <w:sz w:val="20"/>
              </w:rPr>
            </w:pPr>
            <w:r w:rsidRPr="001A2C4E">
              <w:rPr>
                <w:rFonts w:ascii="Arial Narrow" w:eastAsia="Calibri" w:hAnsi="Arial Narrow"/>
                <w:sz w:val="20"/>
                <w:lang w:eastAsia="en-US"/>
              </w:rPr>
              <w:t>Based on CL002 study only</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AB2096C" w14:textId="335DC99B"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B2038B8"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2.37</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E2CC56E" w14:textId="717351C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5</w:t>
            </w:r>
          </w:p>
        </w:tc>
      </w:tr>
      <w:tr w:rsidR="00A84A1C" w:rsidRPr="001A2C4E" w14:paraId="17EDED20" w14:textId="77777777" w:rsidTr="00A84A1C">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4C81502F" w14:textId="77777777" w:rsidR="00A84A1C" w:rsidRPr="001A2C4E" w:rsidRDefault="00A84A1C" w:rsidP="002568EB">
            <w:pPr>
              <w:keepNext/>
              <w:widowControl w:val="0"/>
              <w:jc w:val="left"/>
              <w:rPr>
                <w:rFonts w:ascii="Arial Narrow" w:eastAsia="Calibri" w:hAnsi="Arial Narrow"/>
                <w:b/>
                <w:bCs/>
                <w:sz w:val="20"/>
                <w:lang w:eastAsia="en-US"/>
              </w:rPr>
            </w:pPr>
            <w:r w:rsidRPr="001A2C4E">
              <w:rPr>
                <w:rFonts w:ascii="Arial Narrow" w:eastAsia="Calibri" w:hAnsi="Arial Narrow"/>
                <w:b/>
                <w:bCs/>
                <w:sz w:val="20"/>
                <w:lang w:eastAsia="en-US"/>
              </w:rPr>
              <w:t>Life time treatment effect assumption adjusted so that treatment effect wanes over time (by altering utility values) from age 19 to 30 years (base case: utility values remain constant)</w:t>
            </w:r>
          </w:p>
        </w:tc>
      </w:tr>
      <w:tr w:rsidR="00A84A1C" w:rsidRPr="001A2C4E" w14:paraId="64FCC97D" w14:textId="77777777" w:rsidTr="00A84A1C">
        <w:tc>
          <w:tcPr>
            <w:tcW w:w="4106" w:type="dxa"/>
            <w:tcBorders>
              <w:top w:val="single" w:sz="4" w:space="0" w:color="auto"/>
              <w:left w:val="single" w:sz="4" w:space="0" w:color="auto"/>
              <w:bottom w:val="single" w:sz="4" w:space="0" w:color="auto"/>
              <w:right w:val="single" w:sz="4" w:space="0" w:color="auto"/>
            </w:tcBorders>
            <w:hideMark/>
          </w:tcPr>
          <w:p w14:paraId="1DAE9422" w14:textId="77777777" w:rsidR="00A84A1C" w:rsidRPr="001A2C4E" w:rsidRDefault="00A84A1C" w:rsidP="002568EB">
            <w:pPr>
              <w:keepNext/>
              <w:widowControl w:val="0"/>
              <w:jc w:val="left"/>
              <w:rPr>
                <w:rFonts w:ascii="Arial Narrow" w:hAnsi="Arial Narrow"/>
                <w:bCs/>
                <w:sz w:val="20"/>
              </w:rPr>
            </w:pPr>
            <w:r w:rsidRPr="001A2C4E">
              <w:rPr>
                <w:rFonts w:ascii="Arial Narrow" w:hAnsi="Arial Narrow"/>
                <w:bCs/>
                <w:sz w:val="20"/>
              </w:rPr>
              <w:t xml:space="preserve">From </w:t>
            </w:r>
            <w:r w:rsidRPr="001A2C4E">
              <w:rPr>
                <w:rFonts w:ascii="Arial Narrow" w:hAnsi="Arial Narrow"/>
                <w:bCs/>
                <w:sz w:val="20"/>
                <w:u w:val="single"/>
              </w:rPr>
              <w:t>19 years</w:t>
            </w:r>
            <w:r w:rsidRPr="001A2C4E">
              <w:rPr>
                <w:rFonts w:ascii="Arial Narrow" w:hAnsi="Arial Narrow"/>
                <w:bCs/>
                <w:sz w:val="20"/>
              </w:rPr>
              <w:t xml:space="preserve"> of age, apply utilities according to the following:</w:t>
            </w:r>
          </w:p>
          <w:p w14:paraId="4D7595F9"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Mild (base case) values to the Healed state</w:t>
            </w:r>
          </w:p>
          <w:p w14:paraId="33073F15"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Moderate (base case) values to the Mild state</w:t>
            </w:r>
          </w:p>
          <w:p w14:paraId="380BE95D"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Severe (base case) values to the Moderate state</w:t>
            </w:r>
          </w:p>
          <w:p w14:paraId="3C045B5E" w14:textId="77777777" w:rsidR="00A84A1C" w:rsidRPr="001A2C4E" w:rsidRDefault="00A84A1C" w:rsidP="001A2C4E">
            <w:pPr>
              <w:keepNext/>
              <w:widowControl w:val="0"/>
              <w:numPr>
                <w:ilvl w:val="0"/>
                <w:numId w:val="20"/>
              </w:numPr>
              <w:ind w:left="114" w:hanging="142"/>
              <w:jc w:val="left"/>
              <w:rPr>
                <w:rFonts w:ascii="Arial Narrow" w:hAnsi="Arial Narrow"/>
                <w:bCs/>
                <w:snapToGrid w:val="0"/>
                <w:sz w:val="20"/>
              </w:rPr>
            </w:pPr>
            <w:r w:rsidRPr="001A2C4E">
              <w:rPr>
                <w:rFonts w:ascii="Arial Narrow" w:hAnsi="Arial Narrow"/>
                <w:bCs/>
                <w:snapToGrid w:val="0"/>
                <w:sz w:val="20"/>
              </w:rPr>
              <w:t xml:space="preserve">Applied average decrement of the above three changes to the Severe health state.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E320309" w14:textId="7A0F87C6"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FAB3A9A" w14:textId="77777777" w:rsidR="00A84A1C" w:rsidRPr="001A2C4E" w:rsidRDefault="00A84A1C">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2.64</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6F3E09D" w14:textId="11C223F5" w:rsidR="00A84A1C" w:rsidRPr="00703B34" w:rsidRDefault="00A84A1C">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4</w:t>
            </w:r>
          </w:p>
        </w:tc>
      </w:tr>
      <w:tr w:rsidR="00A84A1C" w:rsidRPr="001A2C4E" w14:paraId="4669D41A" w14:textId="77777777" w:rsidTr="00674324">
        <w:tc>
          <w:tcPr>
            <w:tcW w:w="8926" w:type="dxa"/>
            <w:gridSpan w:val="4"/>
            <w:tcBorders>
              <w:top w:val="single" w:sz="4" w:space="0" w:color="auto"/>
              <w:left w:val="single" w:sz="4" w:space="0" w:color="auto"/>
              <w:bottom w:val="single" w:sz="4" w:space="0" w:color="auto"/>
              <w:right w:val="single" w:sz="4" w:space="0" w:color="auto"/>
            </w:tcBorders>
          </w:tcPr>
          <w:p w14:paraId="7077FE75" w14:textId="213C0C62" w:rsidR="00A84A1C" w:rsidRPr="001A2C4E" w:rsidRDefault="00A84A1C" w:rsidP="002568EB">
            <w:pPr>
              <w:keepNext/>
              <w:widowControl w:val="0"/>
              <w:jc w:val="left"/>
              <w:rPr>
                <w:rFonts w:ascii="Arial Narrow" w:eastAsia="Calibri" w:hAnsi="Arial Narrow"/>
                <w:b/>
                <w:sz w:val="20"/>
                <w:lang w:eastAsia="en-US"/>
              </w:rPr>
            </w:pPr>
            <w:r w:rsidRPr="001A2C4E">
              <w:rPr>
                <w:rFonts w:ascii="Arial Narrow" w:hAnsi="Arial Narrow"/>
                <w:b/>
                <w:sz w:val="20"/>
              </w:rPr>
              <w:t xml:space="preserve">Effective AEMP per vial </w:t>
            </w:r>
            <w:r w:rsidRPr="001A2C4E">
              <w:rPr>
                <w:rFonts w:ascii="Arial Narrow" w:eastAsiaTheme="minorHAnsi" w:hAnsi="Arial Narrow" w:cstheme="minorBidi"/>
                <w:b/>
                <w:sz w:val="20"/>
                <w:szCs w:val="20"/>
                <w:lang w:eastAsia="en-US"/>
              </w:rPr>
              <w:t xml:space="preserve">(base case: 10 mg = </w:t>
            </w:r>
            <w:r w:rsidRPr="003C231F">
              <w:rPr>
                <w:rFonts w:ascii="Arial Narrow" w:eastAsiaTheme="minorHAnsi" w:hAnsi="Arial Narrow" w:cstheme="minorBidi"/>
                <w:b/>
                <w:sz w:val="20"/>
                <w:szCs w:val="20"/>
                <w:lang w:eastAsia="en-US"/>
              </w:rPr>
              <w:t>$</w:t>
            </w:r>
            <w:r w:rsidR="00B355AE" w:rsidRPr="0035108E">
              <w:rPr>
                <w:rFonts w:ascii="Arial Narrow" w:eastAsiaTheme="minorHAnsi" w:hAnsi="Arial Narrow" w:cstheme="minorBidi"/>
                <w:b/>
                <w:color w:val="000000"/>
                <w:spacing w:val="55"/>
                <w:sz w:val="20"/>
                <w:szCs w:val="20"/>
                <w:shd w:val="solid" w:color="000000" w:fill="000000"/>
                <w:fitText w:val="350" w:id="-1504471032"/>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2"/>
                <w:sz w:val="20"/>
                <w:szCs w:val="20"/>
                <w:shd w:val="solid" w:color="000000" w:fill="000000"/>
                <w:fitText w:val="350" w:id="-1504471032"/>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20 mg = </w:t>
            </w:r>
            <w:r w:rsidRPr="003C231F">
              <w:rPr>
                <w:rFonts w:ascii="Arial Narrow" w:eastAsiaTheme="minorHAnsi" w:hAnsi="Arial Narrow" w:cstheme="minorBidi"/>
                <w:b/>
                <w:sz w:val="20"/>
                <w:szCs w:val="20"/>
                <w:lang w:eastAsia="en-US"/>
              </w:rPr>
              <w:t>$</w:t>
            </w:r>
            <w:r w:rsidR="00B355AE" w:rsidRPr="0035108E">
              <w:rPr>
                <w:rFonts w:ascii="Arial Narrow" w:eastAsiaTheme="minorHAnsi" w:hAnsi="Arial Narrow" w:cstheme="minorBidi"/>
                <w:b/>
                <w:color w:val="000000"/>
                <w:spacing w:val="58"/>
                <w:sz w:val="20"/>
                <w:szCs w:val="20"/>
                <w:shd w:val="solid" w:color="000000" w:fill="000000"/>
                <w:fitText w:val="360" w:id="-1504471031"/>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3"/>
                <w:sz w:val="20"/>
                <w:szCs w:val="20"/>
                <w:shd w:val="solid" w:color="000000" w:fill="000000"/>
                <w:fitText w:val="360" w:id="-1504471031"/>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30 mg = </w:t>
            </w:r>
            <w:r w:rsidRPr="003C231F">
              <w:rPr>
                <w:rFonts w:ascii="Arial Narrow" w:eastAsiaTheme="minorHAnsi" w:hAnsi="Arial Narrow" w:cstheme="minorBidi"/>
                <w:b/>
                <w:sz w:val="20"/>
                <w:szCs w:val="20"/>
                <w:lang w:eastAsia="en-US"/>
              </w:rPr>
              <w:t>$</w:t>
            </w:r>
            <w:r w:rsidR="00B355AE" w:rsidRPr="0035108E">
              <w:rPr>
                <w:rFonts w:ascii="Arial Narrow" w:eastAsiaTheme="minorHAnsi" w:hAnsi="Arial Narrow" w:cstheme="minorBidi"/>
                <w:b/>
                <w:color w:val="000000"/>
                <w:spacing w:val="55"/>
                <w:sz w:val="20"/>
                <w:szCs w:val="20"/>
                <w:shd w:val="solid" w:color="000000" w:fill="000000"/>
                <w:fitText w:val="350" w:id="-1504471030"/>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2"/>
                <w:sz w:val="20"/>
                <w:szCs w:val="20"/>
                <w:shd w:val="solid" w:color="000000" w:fill="000000"/>
                <w:fitText w:val="350" w:id="-1504471030"/>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w:t>
            </w:r>
          </w:p>
        </w:tc>
      </w:tr>
      <w:tr w:rsidR="00A84A1C" w:rsidRPr="001A2C4E" w14:paraId="7C0D4E27" w14:textId="77777777" w:rsidTr="00A84A1C">
        <w:tc>
          <w:tcPr>
            <w:tcW w:w="4106" w:type="dxa"/>
            <w:tcBorders>
              <w:top w:val="single" w:sz="4" w:space="0" w:color="auto"/>
              <w:left w:val="single" w:sz="4" w:space="0" w:color="auto"/>
              <w:bottom w:val="single" w:sz="4" w:space="0" w:color="auto"/>
              <w:right w:val="single" w:sz="4" w:space="0" w:color="auto"/>
            </w:tcBorders>
          </w:tcPr>
          <w:p w14:paraId="77B46B76" w14:textId="5EE70CB3" w:rsidR="00A84A1C" w:rsidRPr="001A2C4E" w:rsidRDefault="00A84A1C"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Flat price </w:t>
            </w:r>
            <w:r w:rsidRPr="003C231F">
              <w:rPr>
                <w:rFonts w:ascii="Arial Narrow" w:hAnsi="Arial Narrow"/>
                <w:bCs/>
                <w:snapToGrid w:val="0"/>
                <w:sz w:val="20"/>
              </w:rPr>
              <w:t>of $</w:t>
            </w:r>
            <w:r w:rsidR="00B355AE" w:rsidRPr="0035108E">
              <w:rPr>
                <w:rFonts w:ascii="Arial Narrow" w:hAnsi="Arial Narrow"/>
                <w:bCs/>
                <w:snapToGrid w:val="0"/>
                <w:color w:val="000000"/>
                <w:spacing w:val="53"/>
                <w:sz w:val="20"/>
                <w:shd w:val="solid" w:color="000000" w:fill="000000"/>
                <w:fitText w:val="330" w:id="-1504471029"/>
                <w14:textFill>
                  <w14:solidFill>
                    <w14:srgbClr w14:val="000000">
                      <w14:alpha w14:val="100000"/>
                    </w14:srgbClr>
                  </w14:solidFill>
                </w14:textFill>
              </w:rPr>
              <w:t>|||</w:t>
            </w:r>
            <w:r w:rsidR="00B355AE" w:rsidRPr="0035108E">
              <w:rPr>
                <w:rFonts w:ascii="Arial Narrow" w:hAnsi="Arial Narrow"/>
                <w:bCs/>
                <w:snapToGrid w:val="0"/>
                <w:color w:val="000000"/>
                <w:spacing w:val="1"/>
                <w:sz w:val="20"/>
                <w:shd w:val="solid" w:color="000000" w:fill="000000"/>
                <w:fitText w:val="330" w:id="-1504471029"/>
                <w14:textFill>
                  <w14:solidFill>
                    <w14:srgbClr w14:val="000000">
                      <w14:alpha w14:val="100000"/>
                    </w14:srgbClr>
                  </w14:solidFill>
                </w14:textFill>
              </w:rPr>
              <w:t>|</w:t>
            </w:r>
            <w:r w:rsidRPr="001A2C4E">
              <w:rPr>
                <w:rFonts w:ascii="Arial Narrow" w:hAnsi="Arial Narrow"/>
                <w:bCs/>
                <w:snapToGrid w:val="0"/>
                <w:sz w:val="20"/>
              </w:rPr>
              <w:t xml:space="preserve"> for 10 mg, 20 mg and 30 mg vials</w:t>
            </w:r>
          </w:p>
        </w:tc>
        <w:tc>
          <w:tcPr>
            <w:tcW w:w="1754" w:type="dxa"/>
            <w:tcBorders>
              <w:top w:val="single" w:sz="4" w:space="0" w:color="auto"/>
              <w:left w:val="single" w:sz="4" w:space="0" w:color="auto"/>
              <w:bottom w:val="single" w:sz="4" w:space="0" w:color="auto"/>
              <w:right w:val="single" w:sz="4" w:space="0" w:color="auto"/>
            </w:tcBorders>
            <w:vAlign w:val="center"/>
          </w:tcPr>
          <w:p w14:paraId="5F8B739E" w14:textId="643F1190"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3DF6804" w14:textId="2D4F406C"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2CA61F58" w14:textId="695AC39A" w:rsidR="00A84A1C" w:rsidRPr="00703B34" w:rsidRDefault="00A84A1C"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1</w:t>
            </w:r>
          </w:p>
        </w:tc>
      </w:tr>
      <w:tr w:rsidR="00A84A1C" w:rsidRPr="001A2C4E" w14:paraId="77C44CD7" w14:textId="77777777" w:rsidTr="00A84A1C">
        <w:tc>
          <w:tcPr>
            <w:tcW w:w="4106" w:type="dxa"/>
            <w:tcBorders>
              <w:top w:val="single" w:sz="4" w:space="0" w:color="auto"/>
              <w:left w:val="single" w:sz="4" w:space="0" w:color="auto"/>
              <w:bottom w:val="single" w:sz="4" w:space="0" w:color="auto"/>
              <w:right w:val="single" w:sz="4" w:space="0" w:color="auto"/>
            </w:tcBorders>
          </w:tcPr>
          <w:p w14:paraId="474CFEAB" w14:textId="0CEAA985" w:rsidR="00A84A1C" w:rsidRPr="001A2C4E" w:rsidRDefault="00A84A1C"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Flat pr</w:t>
            </w:r>
            <w:r w:rsidRPr="003C231F">
              <w:rPr>
                <w:rFonts w:ascii="Arial Narrow" w:hAnsi="Arial Narrow"/>
                <w:bCs/>
                <w:snapToGrid w:val="0"/>
                <w:sz w:val="20"/>
              </w:rPr>
              <w:t>ice of $</w:t>
            </w:r>
            <w:r w:rsidR="00B355AE" w:rsidRPr="0035108E">
              <w:rPr>
                <w:rFonts w:ascii="Arial Narrow" w:hAnsi="Arial Narrow"/>
                <w:bCs/>
                <w:snapToGrid w:val="0"/>
                <w:color w:val="000000"/>
                <w:spacing w:val="53"/>
                <w:sz w:val="20"/>
                <w:shd w:val="solid" w:color="000000" w:fill="000000"/>
                <w:fitText w:val="330" w:id="-1504471028"/>
                <w14:textFill>
                  <w14:solidFill>
                    <w14:srgbClr w14:val="000000">
                      <w14:alpha w14:val="100000"/>
                    </w14:srgbClr>
                  </w14:solidFill>
                </w14:textFill>
              </w:rPr>
              <w:t>|||</w:t>
            </w:r>
            <w:r w:rsidR="00B355AE" w:rsidRPr="0035108E">
              <w:rPr>
                <w:rFonts w:ascii="Arial Narrow" w:hAnsi="Arial Narrow"/>
                <w:bCs/>
                <w:snapToGrid w:val="0"/>
                <w:color w:val="000000"/>
                <w:spacing w:val="1"/>
                <w:sz w:val="20"/>
                <w:shd w:val="solid" w:color="000000" w:fill="000000"/>
                <w:fitText w:val="330" w:id="-1504471028"/>
                <w14:textFill>
                  <w14:solidFill>
                    <w14:srgbClr w14:val="000000">
                      <w14:alpha w14:val="100000"/>
                    </w14:srgbClr>
                  </w14:solidFill>
                </w14:textFill>
              </w:rPr>
              <w:t>|</w:t>
            </w:r>
            <w:r w:rsidRPr="001A2C4E">
              <w:rPr>
                <w:rFonts w:ascii="Arial Narrow" w:hAnsi="Arial Narrow"/>
                <w:bCs/>
                <w:snapToGrid w:val="0"/>
                <w:sz w:val="20"/>
              </w:rPr>
              <w:t xml:space="preserve"> for 10 mg, 20 mg and 30 mg vials</w:t>
            </w:r>
          </w:p>
        </w:tc>
        <w:tc>
          <w:tcPr>
            <w:tcW w:w="1754" w:type="dxa"/>
            <w:tcBorders>
              <w:top w:val="single" w:sz="4" w:space="0" w:color="auto"/>
              <w:left w:val="single" w:sz="4" w:space="0" w:color="auto"/>
              <w:bottom w:val="single" w:sz="4" w:space="0" w:color="auto"/>
              <w:right w:val="single" w:sz="4" w:space="0" w:color="auto"/>
            </w:tcBorders>
            <w:vAlign w:val="center"/>
          </w:tcPr>
          <w:p w14:paraId="6FD2AECD" w14:textId="277AE6C3"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088CFA9" w14:textId="7D49EBF3" w:rsidR="00A84A1C" w:rsidRPr="001A2C4E" w:rsidRDefault="00A84A1C"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1B932A23" w14:textId="3031A4BC" w:rsidR="00A84A1C" w:rsidRPr="00703B34" w:rsidRDefault="00A84A1C"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2</w:t>
            </w:r>
          </w:p>
        </w:tc>
      </w:tr>
      <w:tr w:rsidR="00C4636A" w:rsidRPr="001A2C4E" w14:paraId="77DAE84A" w14:textId="77777777" w:rsidTr="00A84A1C">
        <w:tc>
          <w:tcPr>
            <w:tcW w:w="4106" w:type="dxa"/>
            <w:tcBorders>
              <w:top w:val="single" w:sz="4" w:space="0" w:color="auto"/>
              <w:left w:val="single" w:sz="4" w:space="0" w:color="auto"/>
              <w:bottom w:val="single" w:sz="4" w:space="0" w:color="auto"/>
              <w:right w:val="single" w:sz="4" w:space="0" w:color="auto"/>
            </w:tcBorders>
          </w:tcPr>
          <w:p w14:paraId="03629761" w14:textId="7F965402" w:rsidR="00C4636A" w:rsidRPr="001A2C4E" w:rsidRDefault="00C4636A"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10% reduction to base case AEMPs</w:t>
            </w:r>
          </w:p>
        </w:tc>
        <w:tc>
          <w:tcPr>
            <w:tcW w:w="1754" w:type="dxa"/>
            <w:tcBorders>
              <w:top w:val="single" w:sz="4" w:space="0" w:color="auto"/>
              <w:left w:val="single" w:sz="4" w:space="0" w:color="auto"/>
              <w:bottom w:val="single" w:sz="4" w:space="0" w:color="auto"/>
              <w:right w:val="single" w:sz="4" w:space="0" w:color="auto"/>
            </w:tcBorders>
            <w:vAlign w:val="center"/>
          </w:tcPr>
          <w:p w14:paraId="7856171D" w14:textId="4996B65E"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19C19A31" w14:textId="475B1DB1"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3344F795" w14:textId="7FC58BE2" w:rsidR="00C4636A" w:rsidRPr="00703B34" w:rsidRDefault="00C4636A"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3</w:t>
            </w:r>
          </w:p>
        </w:tc>
      </w:tr>
      <w:tr w:rsidR="00C4636A" w:rsidRPr="001A2C4E" w14:paraId="5D1C3028" w14:textId="77777777" w:rsidTr="00A84A1C">
        <w:tc>
          <w:tcPr>
            <w:tcW w:w="4106" w:type="dxa"/>
            <w:tcBorders>
              <w:top w:val="single" w:sz="4" w:space="0" w:color="auto"/>
              <w:left w:val="single" w:sz="4" w:space="0" w:color="auto"/>
              <w:bottom w:val="single" w:sz="4" w:space="0" w:color="auto"/>
              <w:right w:val="single" w:sz="4" w:space="0" w:color="auto"/>
            </w:tcBorders>
          </w:tcPr>
          <w:p w14:paraId="355E5B20" w14:textId="755756DA" w:rsidR="00C4636A" w:rsidRPr="001A2C4E" w:rsidRDefault="00C4636A" w:rsidP="002568EB">
            <w:pPr>
              <w:keepNext/>
              <w:widowControl w:val="0"/>
              <w:jc w:val="left"/>
              <w:rPr>
                <w:rFonts w:ascii="Arial Narrow" w:hAnsi="Arial Narrow"/>
                <w:bCs/>
                <w:snapToGrid w:val="0"/>
                <w:sz w:val="20"/>
              </w:rPr>
            </w:pPr>
            <w:r w:rsidRPr="001A2C4E">
              <w:rPr>
                <w:rFonts w:ascii="Arial Narrow" w:hAnsi="Arial Narrow"/>
                <w:bCs/>
                <w:snapToGrid w:val="0"/>
                <w:sz w:val="20"/>
              </w:rPr>
              <w:t xml:space="preserve">  30% reduction to base case AEMPs</w:t>
            </w:r>
          </w:p>
        </w:tc>
        <w:tc>
          <w:tcPr>
            <w:tcW w:w="1754" w:type="dxa"/>
            <w:tcBorders>
              <w:top w:val="single" w:sz="4" w:space="0" w:color="auto"/>
              <w:left w:val="single" w:sz="4" w:space="0" w:color="auto"/>
              <w:bottom w:val="single" w:sz="4" w:space="0" w:color="auto"/>
              <w:right w:val="single" w:sz="4" w:space="0" w:color="auto"/>
            </w:tcBorders>
            <w:vAlign w:val="center"/>
          </w:tcPr>
          <w:p w14:paraId="7FDAA506" w14:textId="7E0FC6F6"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p>
        </w:tc>
        <w:tc>
          <w:tcPr>
            <w:tcW w:w="1096" w:type="dxa"/>
            <w:tcBorders>
              <w:top w:val="single" w:sz="4" w:space="0" w:color="auto"/>
              <w:left w:val="single" w:sz="4" w:space="0" w:color="auto"/>
              <w:bottom w:val="single" w:sz="4" w:space="0" w:color="auto"/>
              <w:right w:val="single" w:sz="4" w:space="0" w:color="auto"/>
            </w:tcBorders>
            <w:vAlign w:val="center"/>
          </w:tcPr>
          <w:p w14:paraId="01F9E58C" w14:textId="215D717E" w:rsidR="00C4636A" w:rsidRPr="001A2C4E" w:rsidRDefault="00C4636A" w:rsidP="00674324">
            <w:pPr>
              <w:keepNext/>
              <w:widowControl w:val="0"/>
              <w:ind w:left="107"/>
              <w:jc w:val="center"/>
              <w:rPr>
                <w:rFonts w:ascii="Arial Narrow" w:eastAsia="Calibri" w:hAnsi="Arial Narrow"/>
                <w:bCs/>
                <w:sz w:val="20"/>
                <w:lang w:eastAsia="en-US"/>
              </w:rPr>
            </w:pPr>
            <w:r w:rsidRPr="001A2C4E">
              <w:rPr>
                <w:rFonts w:ascii="Arial Narrow" w:eastAsia="Calibri" w:hAnsi="Arial Narrow"/>
                <w:bCs/>
                <w:sz w:val="20"/>
                <w:lang w:eastAsia="en-US"/>
              </w:rPr>
              <w:t>2.87</w:t>
            </w:r>
          </w:p>
        </w:tc>
        <w:tc>
          <w:tcPr>
            <w:tcW w:w="1970" w:type="dxa"/>
            <w:tcBorders>
              <w:top w:val="single" w:sz="4" w:space="0" w:color="auto"/>
              <w:left w:val="single" w:sz="4" w:space="0" w:color="auto"/>
              <w:bottom w:val="single" w:sz="4" w:space="0" w:color="auto"/>
              <w:right w:val="single" w:sz="4" w:space="0" w:color="auto"/>
            </w:tcBorders>
            <w:vAlign w:val="center"/>
          </w:tcPr>
          <w:p w14:paraId="6AE7E3D4" w14:textId="4A710657" w:rsidR="00C4636A" w:rsidRPr="00703B34" w:rsidRDefault="00C4636A" w:rsidP="00674324">
            <w:pPr>
              <w:keepNext/>
              <w:widowControl w:val="0"/>
              <w:ind w:left="107"/>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703B34">
              <w:rPr>
                <w:rFonts w:ascii="Arial Narrow" w:eastAsia="Calibri" w:hAnsi="Arial Narrow"/>
                <w:bCs/>
                <w:sz w:val="20"/>
                <w:vertAlign w:val="superscript"/>
                <w:lang w:eastAsia="en-US"/>
              </w:rPr>
              <w:t>2</w:t>
            </w:r>
          </w:p>
        </w:tc>
      </w:tr>
    </w:tbl>
    <w:p w14:paraId="50CAB42C" w14:textId="09F6A369" w:rsidR="00A84A1C" w:rsidRPr="001A2C4E" w:rsidRDefault="00A84A1C" w:rsidP="005D7073">
      <w:pPr>
        <w:spacing w:after="120"/>
        <w:contextualSpacing/>
        <w:rPr>
          <w:rFonts w:ascii="Arial Narrow" w:hAnsi="Arial Narrow"/>
          <w:snapToGrid w:val="0"/>
          <w:sz w:val="18"/>
          <w:szCs w:val="22"/>
        </w:rPr>
      </w:pPr>
      <w:r w:rsidRPr="001A2C4E">
        <w:rPr>
          <w:rFonts w:ascii="Arial Narrow" w:hAnsi="Arial Narrow"/>
          <w:snapToGrid w:val="0"/>
          <w:sz w:val="18"/>
          <w:szCs w:val="22"/>
        </w:rPr>
        <w:t xml:space="preserve">Source: </w:t>
      </w:r>
      <w:r w:rsidR="005D7073" w:rsidRPr="001A2C4E">
        <w:rPr>
          <w:rFonts w:ascii="Arial Narrow" w:hAnsi="Arial Narrow"/>
          <w:snapToGrid w:val="0"/>
          <w:sz w:val="18"/>
          <w:szCs w:val="22"/>
        </w:rPr>
        <w:t>Updated during completion of the ESC ADV using Section 3.1 workbook PSCR.xlsm provided with the PSCR</w:t>
      </w:r>
    </w:p>
    <w:p w14:paraId="6EF00FD3" w14:textId="0733E7BB" w:rsidR="00A84A1C" w:rsidRDefault="00A84A1C" w:rsidP="003C231F">
      <w:pPr>
        <w:rPr>
          <w:rFonts w:ascii="Arial Narrow" w:hAnsi="Arial Narrow"/>
          <w:snapToGrid w:val="0"/>
          <w:sz w:val="18"/>
          <w:szCs w:val="22"/>
        </w:rPr>
      </w:pPr>
      <w:r w:rsidRPr="001A2C4E">
        <w:rPr>
          <w:rFonts w:ascii="Arial Narrow" w:hAnsi="Arial Narrow"/>
          <w:snapToGrid w:val="0"/>
          <w:sz w:val="18"/>
          <w:szCs w:val="22"/>
        </w:rPr>
        <w:t>ICER=incremental cost-effectiveness ratio; Q2W= every 2 weeks; Q4W=every 4 weeks; QALY= quality adjusted life year</w:t>
      </w:r>
    </w:p>
    <w:p w14:paraId="47209294" w14:textId="38E7F496" w:rsidR="00703B34" w:rsidRPr="00703B34" w:rsidRDefault="00703B34" w:rsidP="00703B3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AECA32A" w14:textId="3DFF8CDC"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1</w:t>
      </w:r>
      <w:r w:rsidRPr="00703B34">
        <w:rPr>
          <w:rFonts w:ascii="Arial Narrow" w:hAnsi="Arial Narrow"/>
          <w:i/>
          <w:sz w:val="18"/>
          <w:szCs w:val="18"/>
        </w:rPr>
        <w:t>$155,000 to &lt; $255,000</w:t>
      </w:r>
    </w:p>
    <w:p w14:paraId="033C3EBB" w14:textId="03DE5F63"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2</w:t>
      </w:r>
      <w:r w:rsidRPr="00703B34">
        <w:rPr>
          <w:rFonts w:ascii="Arial Narrow" w:hAnsi="Arial Narrow"/>
          <w:i/>
          <w:sz w:val="18"/>
          <w:szCs w:val="18"/>
        </w:rPr>
        <w:t>$355,000 to &lt; $455,000</w:t>
      </w:r>
    </w:p>
    <w:p w14:paraId="393F2F73" w14:textId="7C884401"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3</w:t>
      </w:r>
      <w:r w:rsidRPr="00703B34">
        <w:rPr>
          <w:rFonts w:ascii="Arial Narrow" w:hAnsi="Arial Narrow"/>
          <w:i/>
          <w:sz w:val="18"/>
          <w:szCs w:val="18"/>
        </w:rPr>
        <w:t>$455,000 to &lt; $555,000</w:t>
      </w:r>
    </w:p>
    <w:p w14:paraId="480C2C5D" w14:textId="12A5C24B"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4</w:t>
      </w:r>
      <w:r w:rsidRPr="00703B34">
        <w:rPr>
          <w:rFonts w:ascii="Arial Narrow" w:hAnsi="Arial Narrow"/>
          <w:i/>
          <w:sz w:val="18"/>
          <w:szCs w:val="18"/>
        </w:rPr>
        <w:t>$555,000 to &lt; $655,000</w:t>
      </w:r>
    </w:p>
    <w:p w14:paraId="160ED79C" w14:textId="427E1104"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5</w:t>
      </w:r>
      <w:r w:rsidRPr="00703B34">
        <w:rPr>
          <w:rFonts w:ascii="Arial Narrow" w:hAnsi="Arial Narrow"/>
          <w:i/>
          <w:sz w:val="18"/>
          <w:szCs w:val="18"/>
        </w:rPr>
        <w:t>$655,000 to &lt; $755,000</w:t>
      </w:r>
    </w:p>
    <w:p w14:paraId="52723DC2" w14:textId="795FB0C6"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6</w:t>
      </w:r>
      <w:r w:rsidRPr="00703B34">
        <w:rPr>
          <w:rFonts w:ascii="Arial Narrow" w:hAnsi="Arial Narrow"/>
          <w:i/>
          <w:sz w:val="18"/>
          <w:szCs w:val="18"/>
        </w:rPr>
        <w:t>$755,000 to &lt; $855,000</w:t>
      </w:r>
    </w:p>
    <w:p w14:paraId="03B81D43" w14:textId="768A41E3" w:rsidR="00703B34" w:rsidRPr="00703B34" w:rsidRDefault="00703B34" w:rsidP="00703B34">
      <w:pPr>
        <w:ind w:right="147"/>
        <w:rPr>
          <w:rFonts w:ascii="Arial Narrow" w:hAnsi="Arial Narrow"/>
          <w:i/>
          <w:sz w:val="18"/>
          <w:szCs w:val="18"/>
        </w:rPr>
      </w:pPr>
      <w:r>
        <w:rPr>
          <w:rFonts w:ascii="Arial Narrow" w:hAnsi="Arial Narrow"/>
          <w:i/>
          <w:sz w:val="18"/>
          <w:szCs w:val="18"/>
          <w:vertAlign w:val="superscript"/>
        </w:rPr>
        <w:t>7</w:t>
      </w:r>
      <w:r w:rsidRPr="00703B34">
        <w:rPr>
          <w:rFonts w:ascii="Arial Narrow" w:hAnsi="Arial Narrow"/>
          <w:i/>
          <w:sz w:val="18"/>
          <w:szCs w:val="18"/>
        </w:rPr>
        <w:t>$855,000 to &lt; $955,000</w:t>
      </w:r>
    </w:p>
    <w:p w14:paraId="0D8DFB41" w14:textId="6D4DA18F" w:rsidR="00703B34" w:rsidRPr="003C231F" w:rsidRDefault="004C45A6" w:rsidP="003C231F">
      <w:pPr>
        <w:spacing w:after="120"/>
        <w:ind w:right="147"/>
        <w:rPr>
          <w:rFonts w:ascii="Arial Narrow" w:hAnsi="Arial Narrow"/>
          <w:i/>
          <w:sz w:val="18"/>
          <w:szCs w:val="18"/>
        </w:rPr>
      </w:pPr>
      <w:r>
        <w:rPr>
          <w:rFonts w:ascii="Arial Narrow" w:hAnsi="Arial Narrow"/>
          <w:i/>
          <w:sz w:val="18"/>
          <w:szCs w:val="18"/>
          <w:vertAlign w:val="superscript"/>
        </w:rPr>
        <w:t>8</w:t>
      </w:r>
      <w:r w:rsidR="00703B34" w:rsidRPr="00703B34">
        <w:rPr>
          <w:rFonts w:ascii="Arial Narrow" w:hAnsi="Arial Narrow"/>
          <w:i/>
          <w:sz w:val="18"/>
          <w:szCs w:val="18"/>
        </w:rPr>
        <w:t>$955,000 to &lt; $1,055,000</w:t>
      </w:r>
    </w:p>
    <w:p w14:paraId="09EB2C40" w14:textId="03CEC91E" w:rsidR="002568EB" w:rsidRPr="001A2C4E" w:rsidRDefault="002568EB" w:rsidP="002568EB">
      <w:pPr>
        <w:pStyle w:val="3-BodyText"/>
      </w:pPr>
      <w:r w:rsidRPr="001A2C4E">
        <w:t>The ESC noted that the results of the sensitivity analyses</w:t>
      </w:r>
      <w:r w:rsidR="00973C8B" w:rsidRPr="001A2C4E">
        <w:t>,</w:t>
      </w:r>
      <w:r w:rsidRPr="001A2C4E">
        <w:t xml:space="preserve"> using the revised model provided in the PSCR</w:t>
      </w:r>
      <w:r w:rsidR="00973C8B" w:rsidRPr="001A2C4E">
        <w:t>,</w:t>
      </w:r>
      <w:r w:rsidRPr="001A2C4E">
        <w:t xml:space="preserve"> indicated that the model remained sensitive to the time horizon</w:t>
      </w:r>
      <w:r w:rsidR="0018278D" w:rsidRPr="001A2C4E">
        <w:t xml:space="preserve"> </w:t>
      </w:r>
      <w:r w:rsidR="0018278D" w:rsidRPr="001A2C4E">
        <w:lastRenderedPageBreak/>
        <w:t xml:space="preserve">and the extrapolation of the burosumab treatment effect, the </w:t>
      </w:r>
      <w:r w:rsidRPr="001A2C4E">
        <w:t xml:space="preserve">burosumab dose </w:t>
      </w:r>
      <w:r w:rsidR="0018278D" w:rsidRPr="001A2C4E">
        <w:t xml:space="preserve">applied </w:t>
      </w:r>
      <w:r w:rsidRPr="001A2C4E">
        <w:t>in children, transition probabilities and the AEMP of burosumab.</w:t>
      </w:r>
    </w:p>
    <w:p w14:paraId="1F368724" w14:textId="6FB105BA" w:rsidR="002568EB" w:rsidRPr="001A2C4E" w:rsidRDefault="00752D3A" w:rsidP="002E1D81">
      <w:pPr>
        <w:pStyle w:val="3-BodyText"/>
      </w:pPr>
      <w:r w:rsidRPr="001A2C4E">
        <w:t xml:space="preserve">Noting that the resubmission and PSCR had addressed a number of the issues raised with the March 2021 paediatric model, the ESC considered that the revised base case ICER presented in the PSCR remained high and was likely optimistic, particularly considering the issues and uncertainties that remained relating to the burosumab dose applied, the derivation of the transition probability applied to patients remaining in the healed health state </w:t>
      </w:r>
      <w:r w:rsidR="001F2CBD" w:rsidRPr="001A2C4E">
        <w:t xml:space="preserve">being informed by one patient </w:t>
      </w:r>
      <w:r w:rsidRPr="001A2C4E">
        <w:t xml:space="preserve">and the extensive extrapolation of the trial data. </w:t>
      </w:r>
      <w:r w:rsidR="00584E95" w:rsidRPr="001A2C4E">
        <w:t xml:space="preserve">The ESC considered that any further adjustments to the model should account for the uncertainties in the model structure, </w:t>
      </w:r>
      <w:r w:rsidR="00247040" w:rsidRPr="001A2C4E">
        <w:t xml:space="preserve">the </w:t>
      </w:r>
      <w:r w:rsidR="00584E95" w:rsidRPr="001A2C4E">
        <w:t>assumptions applied and the lack of available data.</w:t>
      </w:r>
    </w:p>
    <w:p w14:paraId="0469B4F1" w14:textId="77777777" w:rsidR="00490519" w:rsidRPr="006B77E9" w:rsidRDefault="00490519" w:rsidP="00490519">
      <w:pPr>
        <w:pStyle w:val="3-BodyText"/>
        <w:numPr>
          <w:ilvl w:val="0"/>
          <w:numId w:val="0"/>
        </w:numPr>
        <w:rPr>
          <w:b/>
        </w:rPr>
      </w:pPr>
      <w:r w:rsidRPr="006B77E9">
        <w:rPr>
          <w:b/>
        </w:rPr>
        <w:t>Adults</w:t>
      </w:r>
    </w:p>
    <w:p w14:paraId="0BA01324" w14:textId="5156213D" w:rsidR="00CE76B8" w:rsidRDefault="00CE76B8" w:rsidP="00CE76B8">
      <w:pPr>
        <w:pStyle w:val="3-BodyText"/>
      </w:pPr>
      <w:r>
        <w:t xml:space="preserve">The resubmission </w:t>
      </w:r>
      <w:r w:rsidRPr="00AF5ED1">
        <w:t xml:space="preserve">presented a cost-utility analysis using Markov state transition modelling comparing </w:t>
      </w:r>
      <w:r>
        <w:t>burosumab</w:t>
      </w:r>
      <w:r w:rsidRPr="00AF5ED1">
        <w:t xml:space="preserve"> and standard of care (SoC) for the treatment of prevalent adult patients with established XLH. Standard of care was assumed to be comprised of 70.1% conventional therapy (oral phosphorus and calcitriol) and 29.9% no treatment (except for symptomatic management of XLH related morbidities). The analysis was informed by data from trial CL303, online survey CL001 and expert elicitation. A summary of the model inputs is provided in the </w:t>
      </w:r>
      <w:r>
        <w:t xml:space="preserve">following </w:t>
      </w:r>
      <w:r w:rsidRPr="00AF5ED1">
        <w:t>table.</w:t>
      </w:r>
    </w:p>
    <w:p w14:paraId="170B0720" w14:textId="1B423AA0" w:rsidR="00CE76B8" w:rsidRDefault="00CE76B8" w:rsidP="002E1D81">
      <w:pPr>
        <w:pStyle w:val="TableFigureHeading"/>
      </w:pPr>
      <w:r w:rsidRPr="009D25EA">
        <w:rPr>
          <w:iCs/>
        </w:rPr>
        <w:lastRenderedPageBreak/>
        <w:t xml:space="preserve">Table </w:t>
      </w:r>
      <w:r w:rsidRPr="009D25EA">
        <w:rPr>
          <w:iCs/>
        </w:rPr>
        <w:fldChar w:fldCharType="begin"/>
      </w:r>
      <w:r w:rsidRPr="009D25EA">
        <w:rPr>
          <w:iCs/>
        </w:rPr>
        <w:instrText xml:space="preserve"> SEQ Table \* ARABIC </w:instrText>
      </w:r>
      <w:r w:rsidRPr="009D25EA">
        <w:rPr>
          <w:iCs/>
        </w:rPr>
        <w:fldChar w:fldCharType="separate"/>
      </w:r>
      <w:r w:rsidR="00676539">
        <w:rPr>
          <w:iCs/>
          <w:noProof/>
        </w:rPr>
        <w:t>16</w:t>
      </w:r>
      <w:r w:rsidRPr="009D25EA">
        <w:fldChar w:fldCharType="end"/>
      </w:r>
      <w:r w:rsidRPr="009D25EA">
        <w:rPr>
          <w:iCs/>
        </w:rPr>
        <w:t xml:space="preserve">: </w:t>
      </w:r>
      <w:r w:rsidRPr="001825C0">
        <w:t xml:space="preserve">Key components of the </w:t>
      </w:r>
      <w:r>
        <w:t xml:space="preserve">adult </w:t>
      </w:r>
      <w:r w:rsidRPr="001825C0">
        <w:t>economic evaluation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6: Key components of the adult economic evaluation"/>
      </w:tblPr>
      <w:tblGrid>
        <w:gridCol w:w="1556"/>
        <w:gridCol w:w="3101"/>
        <w:gridCol w:w="4551"/>
      </w:tblGrid>
      <w:tr w:rsidR="00CE76B8" w:rsidRPr="001A2C4E" w14:paraId="03560BFA" w14:textId="77777777" w:rsidTr="007C4D2E">
        <w:tc>
          <w:tcPr>
            <w:tcW w:w="845" w:type="pct"/>
            <w:vAlign w:val="center"/>
          </w:tcPr>
          <w:p w14:paraId="1D1D0F33" w14:textId="77777777" w:rsidR="00CE76B8" w:rsidRPr="001A2C4E" w:rsidRDefault="00CE76B8" w:rsidP="002E1D81">
            <w:pPr>
              <w:pStyle w:val="In-tableHeading"/>
              <w:jc w:val="center"/>
            </w:pPr>
            <w:r w:rsidRPr="001A2C4E">
              <w:t>Component</w:t>
            </w:r>
          </w:p>
        </w:tc>
        <w:tc>
          <w:tcPr>
            <w:tcW w:w="1684" w:type="pct"/>
          </w:tcPr>
          <w:p w14:paraId="7EDCD052" w14:textId="77777777" w:rsidR="00CE76B8" w:rsidRPr="001A2C4E" w:rsidRDefault="00CE76B8" w:rsidP="002E1D81">
            <w:pPr>
              <w:pStyle w:val="In-tableHeading"/>
              <w:jc w:val="center"/>
            </w:pPr>
            <w:r w:rsidRPr="001A2C4E">
              <w:t>Description</w:t>
            </w:r>
          </w:p>
        </w:tc>
        <w:tc>
          <w:tcPr>
            <w:tcW w:w="2471" w:type="pct"/>
            <w:vAlign w:val="center"/>
          </w:tcPr>
          <w:p w14:paraId="7830CDDA" w14:textId="77777777" w:rsidR="00CE76B8" w:rsidRPr="001A2C4E" w:rsidRDefault="00CE76B8" w:rsidP="002E1D81">
            <w:pPr>
              <w:pStyle w:val="In-tableHeading"/>
              <w:jc w:val="center"/>
            </w:pPr>
            <w:r w:rsidRPr="001A2C4E">
              <w:t>Justification/comments</w:t>
            </w:r>
          </w:p>
        </w:tc>
      </w:tr>
      <w:tr w:rsidR="00CE76B8" w:rsidRPr="001A2C4E" w14:paraId="64871DE1" w14:textId="77777777" w:rsidTr="007C4D2E">
        <w:tc>
          <w:tcPr>
            <w:tcW w:w="845" w:type="pct"/>
            <w:vAlign w:val="center"/>
          </w:tcPr>
          <w:p w14:paraId="171618F7" w14:textId="77777777" w:rsidR="00CE76B8" w:rsidRPr="001A2C4E" w:rsidRDefault="00CE76B8" w:rsidP="002E1D81">
            <w:pPr>
              <w:pStyle w:val="TableText0"/>
            </w:pPr>
            <w:r w:rsidRPr="001A2C4E">
              <w:t>Type of analysis</w:t>
            </w:r>
          </w:p>
        </w:tc>
        <w:tc>
          <w:tcPr>
            <w:tcW w:w="1684" w:type="pct"/>
          </w:tcPr>
          <w:p w14:paraId="45C87679" w14:textId="77777777" w:rsidR="00CE76B8" w:rsidRPr="001A2C4E" w:rsidRDefault="00CE76B8" w:rsidP="002E1D81">
            <w:pPr>
              <w:pStyle w:val="TableText0"/>
            </w:pPr>
            <w:r w:rsidRPr="001A2C4E">
              <w:t>Cost-utility</w:t>
            </w:r>
          </w:p>
        </w:tc>
        <w:tc>
          <w:tcPr>
            <w:tcW w:w="2471" w:type="pct"/>
            <w:vAlign w:val="center"/>
          </w:tcPr>
          <w:p w14:paraId="3675E962" w14:textId="77777777" w:rsidR="00CE76B8" w:rsidRPr="001A2C4E" w:rsidRDefault="00CE76B8" w:rsidP="002E1D81">
            <w:pPr>
              <w:pStyle w:val="TableText0"/>
            </w:pPr>
            <w:r w:rsidRPr="001A2C4E">
              <w:t>Reasonable</w:t>
            </w:r>
          </w:p>
        </w:tc>
      </w:tr>
      <w:tr w:rsidR="00CE76B8" w:rsidRPr="001A2C4E" w14:paraId="7C26C366" w14:textId="77777777" w:rsidTr="007C4D2E">
        <w:tc>
          <w:tcPr>
            <w:tcW w:w="845" w:type="pct"/>
            <w:vAlign w:val="center"/>
          </w:tcPr>
          <w:p w14:paraId="2E92334E" w14:textId="77777777" w:rsidR="00CE76B8" w:rsidRPr="001A2C4E" w:rsidRDefault="00CE76B8" w:rsidP="002E1D81">
            <w:pPr>
              <w:pStyle w:val="TableText0"/>
            </w:pPr>
            <w:r w:rsidRPr="001A2C4E">
              <w:t>Outcomes</w:t>
            </w:r>
          </w:p>
        </w:tc>
        <w:tc>
          <w:tcPr>
            <w:tcW w:w="1684" w:type="pct"/>
          </w:tcPr>
          <w:p w14:paraId="39C706C3" w14:textId="77777777" w:rsidR="00CE76B8" w:rsidRPr="001A2C4E" w:rsidRDefault="00CE76B8" w:rsidP="002E1D81">
            <w:pPr>
              <w:pStyle w:val="TableText0"/>
            </w:pPr>
            <w:r w:rsidRPr="001A2C4E">
              <w:t xml:space="preserve">LYs, QALYs, costs, </w:t>
            </w:r>
          </w:p>
        </w:tc>
        <w:tc>
          <w:tcPr>
            <w:tcW w:w="2471" w:type="pct"/>
            <w:vAlign w:val="center"/>
          </w:tcPr>
          <w:p w14:paraId="235B2EFF" w14:textId="77777777" w:rsidR="00CE76B8" w:rsidRPr="001A2C4E" w:rsidRDefault="00CE76B8" w:rsidP="002E1D81">
            <w:pPr>
              <w:pStyle w:val="TableText0"/>
            </w:pPr>
            <w:r w:rsidRPr="001A2C4E">
              <w:t>Reasonable</w:t>
            </w:r>
          </w:p>
        </w:tc>
      </w:tr>
      <w:tr w:rsidR="00CE76B8" w:rsidRPr="001A2C4E" w14:paraId="01214EE2" w14:textId="77777777" w:rsidTr="007C4D2E">
        <w:tc>
          <w:tcPr>
            <w:tcW w:w="845" w:type="pct"/>
            <w:vAlign w:val="center"/>
          </w:tcPr>
          <w:p w14:paraId="76232D4B" w14:textId="77777777" w:rsidR="00CE76B8" w:rsidRPr="001A2C4E" w:rsidRDefault="00CE76B8" w:rsidP="002E1D81">
            <w:pPr>
              <w:pStyle w:val="TableText0"/>
            </w:pPr>
            <w:r w:rsidRPr="001A2C4E">
              <w:t>Time horizon</w:t>
            </w:r>
          </w:p>
        </w:tc>
        <w:tc>
          <w:tcPr>
            <w:tcW w:w="1684" w:type="pct"/>
          </w:tcPr>
          <w:p w14:paraId="5556739D" w14:textId="2E7477D5" w:rsidR="00CE76B8" w:rsidRPr="001A2C4E" w:rsidRDefault="00CE76B8" w:rsidP="00F05F2B">
            <w:pPr>
              <w:pStyle w:val="TableText0"/>
            </w:pPr>
            <w:r w:rsidRPr="001A2C4E">
              <w:t>25 years vs 24 weeks in CL303 (max 196 weeks for patients in extensions)</w:t>
            </w:r>
          </w:p>
        </w:tc>
        <w:tc>
          <w:tcPr>
            <w:tcW w:w="2471" w:type="pct"/>
            <w:vAlign w:val="center"/>
          </w:tcPr>
          <w:p w14:paraId="709E39EE" w14:textId="67A8D5CB" w:rsidR="00CE76B8" w:rsidRPr="001A2C4E" w:rsidRDefault="00CE76B8" w:rsidP="002E1D81">
            <w:pPr>
              <w:pStyle w:val="TableText0"/>
            </w:pPr>
            <w:r w:rsidRPr="001A2C4E">
              <w:t>Long term extrapolation is highly uncertain as a result of the limited time frame of the trial data.</w:t>
            </w:r>
          </w:p>
        </w:tc>
      </w:tr>
      <w:tr w:rsidR="00CE76B8" w:rsidRPr="001A2C4E" w14:paraId="1A6AA208" w14:textId="77777777" w:rsidTr="007C4D2E">
        <w:tc>
          <w:tcPr>
            <w:tcW w:w="845" w:type="pct"/>
            <w:vAlign w:val="center"/>
          </w:tcPr>
          <w:p w14:paraId="75DBEB78" w14:textId="77777777" w:rsidR="00CE76B8" w:rsidRPr="001A2C4E" w:rsidRDefault="00CE76B8" w:rsidP="002E1D81">
            <w:pPr>
              <w:pStyle w:val="TableText0"/>
            </w:pPr>
            <w:r w:rsidRPr="001A2C4E">
              <w:t>Patient population</w:t>
            </w:r>
          </w:p>
        </w:tc>
        <w:tc>
          <w:tcPr>
            <w:tcW w:w="1684" w:type="pct"/>
          </w:tcPr>
          <w:p w14:paraId="10E563B8" w14:textId="4525F787" w:rsidR="00CE76B8" w:rsidRPr="001A2C4E" w:rsidRDefault="00CE76B8" w:rsidP="002E1D81">
            <w:pPr>
              <w:pStyle w:val="TableText0"/>
            </w:pPr>
            <w:r w:rsidRPr="001A2C4E">
              <w:t>Population was assumed to be an average age of 40 year</w:t>
            </w:r>
            <w:r w:rsidR="00F05F2B" w:rsidRPr="001A2C4E">
              <w:t>s</w:t>
            </w:r>
            <w:r w:rsidRPr="001A2C4E">
              <w:t xml:space="preserve"> at model start</w:t>
            </w:r>
          </w:p>
          <w:p w14:paraId="4B2F31EE" w14:textId="77777777" w:rsidR="00CE76B8" w:rsidRPr="001A2C4E" w:rsidRDefault="00CE76B8" w:rsidP="002E1D81">
            <w:pPr>
              <w:pStyle w:val="TableText0"/>
            </w:pPr>
            <w:r w:rsidRPr="001A2C4E">
              <w:t>Average weight: 70.7kg, based on baseline characteristic of patients in CL303.</w:t>
            </w:r>
          </w:p>
          <w:p w14:paraId="6C9B581E" w14:textId="5C95C504" w:rsidR="00CE76B8" w:rsidRPr="001A2C4E" w:rsidRDefault="00CE76B8" w:rsidP="002E1D81">
            <w:pPr>
              <w:pStyle w:val="TableText0"/>
            </w:pPr>
            <w:r w:rsidRPr="001A2C4E">
              <w:t>Patients received BUR or SoC until death, with 7% discontinuation in Year 1</w:t>
            </w:r>
            <w:r w:rsidR="00F05F2B" w:rsidRPr="001A2C4E">
              <w:t xml:space="preserve"> </w:t>
            </w:r>
            <w:r w:rsidRPr="001A2C4E">
              <w:t>of BUR arm and 1% annual discontinuation from Year 2 onwards</w:t>
            </w:r>
            <w:r w:rsidR="00F05F2B" w:rsidRPr="001A2C4E">
              <w:t>.</w:t>
            </w:r>
          </w:p>
        </w:tc>
        <w:tc>
          <w:tcPr>
            <w:tcW w:w="2471" w:type="pct"/>
            <w:vAlign w:val="center"/>
          </w:tcPr>
          <w:p w14:paraId="1E905CE1" w14:textId="2FAAA52D" w:rsidR="00CE76B8" w:rsidRPr="001A2C4E" w:rsidRDefault="00CE76B8" w:rsidP="002E1D81">
            <w:pPr>
              <w:pStyle w:val="TableText0"/>
            </w:pPr>
            <w:r w:rsidRPr="001A2C4E">
              <w:t xml:space="preserve">The model </w:t>
            </w:r>
            <w:r w:rsidR="00F05F2B" w:rsidRPr="001A2C4E">
              <w:t>wa</w:t>
            </w:r>
            <w:r w:rsidRPr="001A2C4E">
              <w:t>s likely to generate skewed results since it estimate</w:t>
            </w:r>
            <w:r w:rsidR="00F05F2B" w:rsidRPr="001A2C4E">
              <w:t>d</w:t>
            </w:r>
            <w:r w:rsidRPr="001A2C4E">
              <w:t xml:space="preserve"> results for an average patient, aged 40 and follow</w:t>
            </w:r>
            <w:r w:rsidR="00F05F2B" w:rsidRPr="001A2C4E">
              <w:t>ed</w:t>
            </w:r>
            <w:r w:rsidRPr="001A2C4E">
              <w:t xml:space="preserve"> the patient to age 65. In practice, any patient aged 18 or over would be able to be treated with BUR.</w:t>
            </w:r>
          </w:p>
          <w:p w14:paraId="2347DF75" w14:textId="77777777" w:rsidR="00CE76B8" w:rsidRPr="001A2C4E" w:rsidRDefault="00CE76B8" w:rsidP="002E1D81">
            <w:pPr>
              <w:pStyle w:val="TableText0"/>
            </w:pPr>
          </w:p>
          <w:p w14:paraId="17545C6E" w14:textId="03137B00" w:rsidR="00CE76B8" w:rsidRPr="001A2C4E" w:rsidRDefault="00CE76B8" w:rsidP="002E1D81">
            <w:pPr>
              <w:pStyle w:val="TableText0"/>
            </w:pPr>
            <w:r w:rsidRPr="001A2C4E">
              <w:rPr>
                <w:bCs w:val="0"/>
              </w:rPr>
              <w:t xml:space="preserve">The mean weight </w:t>
            </w:r>
            <w:r w:rsidR="00F05F2B" w:rsidRPr="001A2C4E">
              <w:rPr>
                <w:bCs w:val="0"/>
              </w:rPr>
              <w:t>wa</w:t>
            </w:r>
            <w:r w:rsidRPr="001A2C4E">
              <w:rPr>
                <w:bCs w:val="0"/>
              </w:rPr>
              <w:t>s also less than the average adult weight assumed for the child model where 40-year olds were estimated to weigh 80.5kg and receive</w:t>
            </w:r>
            <w:r w:rsidR="00484B98" w:rsidRPr="001A2C4E">
              <w:rPr>
                <w:bCs w:val="0"/>
              </w:rPr>
              <w:t>d</w:t>
            </w:r>
            <w:r w:rsidRPr="001A2C4E">
              <w:rPr>
                <w:bCs w:val="0"/>
              </w:rPr>
              <w:t xml:space="preserve"> an 80</w:t>
            </w:r>
            <w:r w:rsidR="006B1228" w:rsidRPr="001A2C4E">
              <w:rPr>
                <w:bCs w:val="0"/>
              </w:rPr>
              <w:t xml:space="preserve"> </w:t>
            </w:r>
            <w:r w:rsidRPr="001A2C4E">
              <w:rPr>
                <w:bCs w:val="0"/>
              </w:rPr>
              <w:t>mg dose of BUR</w:t>
            </w:r>
            <w:r w:rsidR="00F05F2B" w:rsidRPr="001A2C4E">
              <w:rPr>
                <w:bCs w:val="0"/>
              </w:rPr>
              <w:t>.</w:t>
            </w:r>
          </w:p>
        </w:tc>
      </w:tr>
      <w:tr w:rsidR="00CE76B8" w:rsidRPr="001A2C4E" w14:paraId="03314D9C" w14:textId="77777777" w:rsidTr="007C4D2E">
        <w:tc>
          <w:tcPr>
            <w:tcW w:w="845" w:type="pct"/>
            <w:vAlign w:val="center"/>
          </w:tcPr>
          <w:p w14:paraId="07D6DDFB" w14:textId="77777777" w:rsidR="00CE76B8" w:rsidRPr="001A2C4E" w:rsidRDefault="00CE76B8" w:rsidP="002E1D81">
            <w:pPr>
              <w:pStyle w:val="TableText0"/>
            </w:pPr>
            <w:r w:rsidRPr="001A2C4E">
              <w:t>Methods used to generate results</w:t>
            </w:r>
          </w:p>
        </w:tc>
        <w:tc>
          <w:tcPr>
            <w:tcW w:w="1684" w:type="pct"/>
          </w:tcPr>
          <w:p w14:paraId="590EAE30" w14:textId="360BA9D3" w:rsidR="00CE76B8" w:rsidRPr="001A2C4E" w:rsidRDefault="00CE76B8" w:rsidP="002E1D81">
            <w:pPr>
              <w:pStyle w:val="TableText0"/>
            </w:pPr>
            <w:r w:rsidRPr="001A2C4E">
              <w:t>Markov state transition probabilities based on event rates converted to annual</w:t>
            </w:r>
            <w:r w:rsidR="00484B98" w:rsidRPr="001A2C4E">
              <w:t xml:space="preserve"> probabilities</w:t>
            </w:r>
            <w:r w:rsidRPr="001A2C4E">
              <w:t xml:space="preserve"> and extrapolated to 25 year</w:t>
            </w:r>
            <w:r w:rsidR="00484B98" w:rsidRPr="001A2C4E">
              <w:t>.</w:t>
            </w:r>
          </w:p>
        </w:tc>
        <w:tc>
          <w:tcPr>
            <w:tcW w:w="2471" w:type="pct"/>
            <w:vAlign w:val="center"/>
          </w:tcPr>
          <w:p w14:paraId="233D56A2" w14:textId="2F303D91" w:rsidR="00CE76B8" w:rsidRPr="001A2C4E" w:rsidRDefault="00CE76B8" w:rsidP="002E1D81">
            <w:pPr>
              <w:pStyle w:val="TableText0"/>
            </w:pPr>
            <w:r w:rsidRPr="001A2C4E">
              <w:t xml:space="preserve">Reasonable given data limitations. </w:t>
            </w:r>
          </w:p>
        </w:tc>
      </w:tr>
      <w:tr w:rsidR="00CE76B8" w:rsidRPr="001A2C4E" w14:paraId="2FF35059" w14:textId="77777777" w:rsidTr="007C4D2E">
        <w:tc>
          <w:tcPr>
            <w:tcW w:w="845" w:type="pct"/>
            <w:vAlign w:val="center"/>
          </w:tcPr>
          <w:p w14:paraId="157B1B76" w14:textId="77777777" w:rsidR="00CE76B8" w:rsidRPr="001A2C4E" w:rsidRDefault="00CE76B8" w:rsidP="002E1D81">
            <w:pPr>
              <w:pStyle w:val="TableText0"/>
            </w:pPr>
            <w:r w:rsidRPr="001A2C4E">
              <w:t>Health states</w:t>
            </w:r>
          </w:p>
        </w:tc>
        <w:tc>
          <w:tcPr>
            <w:tcW w:w="1684" w:type="pct"/>
            <w:vAlign w:val="center"/>
          </w:tcPr>
          <w:p w14:paraId="2ED943C7" w14:textId="77777777" w:rsidR="00CE76B8" w:rsidRPr="001A2C4E" w:rsidRDefault="00CE76B8" w:rsidP="001A2C4E">
            <w:pPr>
              <w:pStyle w:val="TableText0"/>
              <w:numPr>
                <w:ilvl w:val="0"/>
                <w:numId w:val="6"/>
              </w:numPr>
              <w:ind w:left="133" w:hanging="142"/>
            </w:pPr>
            <w:r w:rsidRPr="001A2C4E">
              <w:t>XLH without long-term morbidity</w:t>
            </w:r>
          </w:p>
          <w:p w14:paraId="600A05D4" w14:textId="77777777" w:rsidR="00CE76B8" w:rsidRPr="001A2C4E" w:rsidRDefault="00CE76B8" w:rsidP="001A2C4E">
            <w:pPr>
              <w:pStyle w:val="TableText0"/>
              <w:numPr>
                <w:ilvl w:val="0"/>
                <w:numId w:val="6"/>
              </w:numPr>
              <w:ind w:left="133" w:hanging="142"/>
            </w:pPr>
            <w:r w:rsidRPr="001A2C4E">
              <w:t xml:space="preserve">Long-term morbidity </w:t>
            </w:r>
            <w:r w:rsidRPr="001A2C4E">
              <w:rPr>
                <w:u w:val="single"/>
              </w:rPr>
              <w:t>health state</w:t>
            </w:r>
          </w:p>
          <w:p w14:paraId="7B8E7C5D" w14:textId="77777777" w:rsidR="00CE76B8" w:rsidRPr="001A2C4E" w:rsidRDefault="00CE76B8" w:rsidP="001A2C4E">
            <w:pPr>
              <w:pStyle w:val="TableText0"/>
              <w:numPr>
                <w:ilvl w:val="1"/>
                <w:numId w:val="6"/>
              </w:numPr>
              <w:ind w:left="416" w:hanging="283"/>
            </w:pPr>
            <w:r w:rsidRPr="001A2C4E">
              <w:t>Foot fracture*</w:t>
            </w:r>
          </w:p>
          <w:p w14:paraId="244600A3" w14:textId="77777777" w:rsidR="00CE76B8" w:rsidRPr="001A2C4E" w:rsidRDefault="00CE76B8" w:rsidP="001A2C4E">
            <w:pPr>
              <w:pStyle w:val="TableText0"/>
              <w:numPr>
                <w:ilvl w:val="1"/>
                <w:numId w:val="6"/>
              </w:numPr>
              <w:ind w:left="416" w:hanging="283"/>
            </w:pPr>
            <w:r w:rsidRPr="001A2C4E">
              <w:t>Tibia/fibula fracture*</w:t>
            </w:r>
          </w:p>
          <w:p w14:paraId="2C9322A4" w14:textId="77777777" w:rsidR="00CE76B8" w:rsidRPr="001A2C4E" w:rsidRDefault="00CE76B8" w:rsidP="001A2C4E">
            <w:pPr>
              <w:pStyle w:val="TableText0"/>
              <w:numPr>
                <w:ilvl w:val="1"/>
                <w:numId w:val="6"/>
              </w:numPr>
              <w:ind w:left="416" w:hanging="283"/>
            </w:pPr>
            <w:r w:rsidRPr="001A2C4E">
              <w:t>Femur/pelvis fracture*</w:t>
            </w:r>
          </w:p>
          <w:p w14:paraId="23A4B49D" w14:textId="77777777" w:rsidR="00CE76B8" w:rsidRPr="001A2C4E" w:rsidRDefault="00CE76B8" w:rsidP="001A2C4E">
            <w:pPr>
              <w:pStyle w:val="TableText0"/>
              <w:numPr>
                <w:ilvl w:val="1"/>
                <w:numId w:val="6"/>
              </w:numPr>
              <w:ind w:left="416" w:hanging="283"/>
            </w:pPr>
            <w:r w:rsidRPr="001A2C4E">
              <w:t>Vertebrae/spinal fractures</w:t>
            </w:r>
          </w:p>
          <w:p w14:paraId="00B1A602" w14:textId="77777777" w:rsidR="00CE76B8" w:rsidRPr="001A2C4E" w:rsidRDefault="00CE76B8" w:rsidP="001A2C4E">
            <w:pPr>
              <w:pStyle w:val="TableText0"/>
              <w:numPr>
                <w:ilvl w:val="1"/>
                <w:numId w:val="6"/>
              </w:numPr>
              <w:ind w:left="416" w:hanging="283"/>
            </w:pPr>
            <w:r w:rsidRPr="001A2C4E">
              <w:t>Hearing loss/tinnitus</w:t>
            </w:r>
          </w:p>
          <w:p w14:paraId="3A3A4C54" w14:textId="77777777" w:rsidR="00CE76B8" w:rsidRPr="001A2C4E" w:rsidRDefault="00CE76B8" w:rsidP="001A2C4E">
            <w:pPr>
              <w:pStyle w:val="TableText0"/>
              <w:numPr>
                <w:ilvl w:val="1"/>
                <w:numId w:val="6"/>
              </w:numPr>
              <w:ind w:left="416" w:hanging="283"/>
            </w:pPr>
            <w:r w:rsidRPr="001A2C4E">
              <w:t>Requiring spinal surgery</w:t>
            </w:r>
          </w:p>
          <w:p w14:paraId="698F15CB" w14:textId="77777777" w:rsidR="00CE76B8" w:rsidRPr="001A2C4E" w:rsidRDefault="00CE76B8" w:rsidP="001A2C4E">
            <w:pPr>
              <w:pStyle w:val="TableText0"/>
              <w:numPr>
                <w:ilvl w:val="0"/>
                <w:numId w:val="6"/>
              </w:numPr>
              <w:ind w:left="133" w:hanging="142"/>
            </w:pPr>
            <w:r w:rsidRPr="001A2C4E">
              <w:t xml:space="preserve">Short-term morbidity </w:t>
            </w:r>
            <w:r w:rsidRPr="001A2C4E">
              <w:rPr>
                <w:u w:val="single"/>
              </w:rPr>
              <w:t>event</w:t>
            </w:r>
          </w:p>
          <w:p w14:paraId="31440BE7" w14:textId="77777777" w:rsidR="00CE76B8" w:rsidRPr="001A2C4E" w:rsidRDefault="00CE76B8" w:rsidP="001A2C4E">
            <w:pPr>
              <w:pStyle w:val="TableText0"/>
              <w:numPr>
                <w:ilvl w:val="1"/>
                <w:numId w:val="6"/>
              </w:numPr>
              <w:ind w:left="416" w:hanging="283"/>
            </w:pPr>
            <w:r w:rsidRPr="001A2C4E">
              <w:t>Requiring parathyroidectomy</w:t>
            </w:r>
          </w:p>
          <w:p w14:paraId="1A8959C3" w14:textId="77777777" w:rsidR="00CE76B8" w:rsidRPr="001A2C4E" w:rsidRDefault="00CE76B8" w:rsidP="001A2C4E">
            <w:pPr>
              <w:pStyle w:val="TableText0"/>
              <w:numPr>
                <w:ilvl w:val="1"/>
                <w:numId w:val="6"/>
              </w:numPr>
              <w:ind w:left="416" w:hanging="283"/>
            </w:pPr>
            <w:r w:rsidRPr="001A2C4E">
              <w:t>Upper limb fractures</w:t>
            </w:r>
          </w:p>
          <w:p w14:paraId="22455433" w14:textId="77777777" w:rsidR="00CE76B8" w:rsidRPr="001A2C4E" w:rsidRDefault="00CE76B8" w:rsidP="001A2C4E">
            <w:pPr>
              <w:pStyle w:val="TableText0"/>
              <w:numPr>
                <w:ilvl w:val="1"/>
                <w:numId w:val="6"/>
              </w:numPr>
              <w:ind w:left="416" w:hanging="283"/>
            </w:pPr>
            <w:r w:rsidRPr="001A2C4E">
              <w:t>Other fractures</w:t>
            </w:r>
          </w:p>
          <w:p w14:paraId="58BBF182" w14:textId="77777777" w:rsidR="00CE76B8" w:rsidRPr="001A2C4E" w:rsidRDefault="00CE76B8" w:rsidP="001A2C4E">
            <w:pPr>
              <w:pStyle w:val="TableText0"/>
              <w:numPr>
                <w:ilvl w:val="1"/>
                <w:numId w:val="6"/>
              </w:numPr>
              <w:ind w:left="416" w:hanging="283"/>
            </w:pPr>
            <w:r w:rsidRPr="001A2C4E">
              <w:t>Kidney stones</w:t>
            </w:r>
          </w:p>
          <w:p w14:paraId="3D2CDEEB" w14:textId="77777777" w:rsidR="00CE76B8" w:rsidRPr="001A2C4E" w:rsidRDefault="00CE76B8" w:rsidP="001A2C4E">
            <w:pPr>
              <w:pStyle w:val="TableText0"/>
              <w:numPr>
                <w:ilvl w:val="1"/>
                <w:numId w:val="6"/>
              </w:numPr>
              <w:ind w:left="416" w:hanging="283"/>
            </w:pPr>
            <w:r w:rsidRPr="001A2C4E">
              <w:t>Spinal stenosis</w:t>
            </w:r>
          </w:p>
          <w:p w14:paraId="7D70BD47" w14:textId="77777777" w:rsidR="00CE76B8" w:rsidRPr="001A2C4E" w:rsidRDefault="00CE76B8" w:rsidP="001A2C4E">
            <w:pPr>
              <w:pStyle w:val="TableText0"/>
              <w:numPr>
                <w:ilvl w:val="1"/>
                <w:numId w:val="6"/>
              </w:numPr>
              <w:ind w:left="416" w:hanging="283"/>
            </w:pPr>
            <w:r w:rsidRPr="001A2C4E">
              <w:t>Hyperparathyroidism</w:t>
            </w:r>
          </w:p>
          <w:p w14:paraId="691A39D0" w14:textId="77777777" w:rsidR="00CE76B8" w:rsidRPr="001A2C4E" w:rsidRDefault="00CE76B8" w:rsidP="001A2C4E">
            <w:pPr>
              <w:pStyle w:val="TableText0"/>
              <w:numPr>
                <w:ilvl w:val="1"/>
                <w:numId w:val="6"/>
              </w:numPr>
              <w:ind w:left="416" w:hanging="283"/>
            </w:pPr>
            <w:r w:rsidRPr="001A2C4E">
              <w:t>Dental abscesses</w:t>
            </w:r>
          </w:p>
          <w:p w14:paraId="2E28C57E" w14:textId="77777777" w:rsidR="00CE76B8" w:rsidRPr="001A2C4E" w:rsidRDefault="00CE76B8" w:rsidP="001A2C4E">
            <w:pPr>
              <w:pStyle w:val="TableText0"/>
              <w:numPr>
                <w:ilvl w:val="0"/>
                <w:numId w:val="6"/>
              </w:numPr>
              <w:ind w:left="133" w:hanging="142"/>
            </w:pPr>
            <w:r w:rsidRPr="001A2C4E">
              <w:t>Dead</w:t>
            </w:r>
          </w:p>
        </w:tc>
        <w:tc>
          <w:tcPr>
            <w:tcW w:w="2471" w:type="pct"/>
            <w:vAlign w:val="center"/>
          </w:tcPr>
          <w:p w14:paraId="6D2D3FF2" w14:textId="42FC964B" w:rsidR="00CE76B8" w:rsidRPr="001A2C4E" w:rsidRDefault="00CE76B8" w:rsidP="002E1D81">
            <w:pPr>
              <w:pStyle w:val="TableText0"/>
            </w:pPr>
            <w:r w:rsidRPr="001A2C4E">
              <w:t>Patients in the alive health state</w:t>
            </w:r>
            <w:r w:rsidR="00974BC3" w:rsidRPr="001A2C4E">
              <w:t>s</w:t>
            </w:r>
            <w:r w:rsidRPr="001A2C4E">
              <w:t xml:space="preserve"> who do not move to the dead state can experience a morbidity event or move to a morbidity state each cycle. Multiple morbidities can occur for each patient each cycle. Once a patient enters a morbidity state, they are assumed to stay there for the remainder of the model (i.e.</w:t>
            </w:r>
            <w:r w:rsidR="00484B98" w:rsidRPr="001A2C4E">
              <w:t>,</w:t>
            </w:r>
            <w:r w:rsidRPr="001A2C4E">
              <w:t xml:space="preserve"> accruing utility decrements associated with the morbidity each cycle). In the base case, patients in the long-term morbidity states were modelled as absorbing states and continued to accrue disutility after death.</w:t>
            </w:r>
            <w:r w:rsidR="00973C8B" w:rsidRPr="001A2C4E">
              <w:t xml:space="preserve"> This was addressed in the revised base case presented in the PSCR.</w:t>
            </w:r>
          </w:p>
          <w:p w14:paraId="7BFB2A8F" w14:textId="77777777" w:rsidR="00CE76B8" w:rsidRPr="001A2C4E" w:rsidRDefault="00CE76B8" w:rsidP="002E1D81">
            <w:pPr>
              <w:pStyle w:val="TableText0"/>
            </w:pPr>
          </w:p>
          <w:p w14:paraId="6D9CB5B2" w14:textId="77777777" w:rsidR="00CE76B8" w:rsidRPr="001A2C4E" w:rsidRDefault="00CE76B8" w:rsidP="002E1D81">
            <w:pPr>
              <w:pStyle w:val="TableText0"/>
            </w:pPr>
            <w:r w:rsidRPr="001A2C4E">
              <w:t>All morbidities accrue a one-off cost, and events are assumed to also accrue a utility decrement which lasts one cycle.</w:t>
            </w:r>
          </w:p>
        </w:tc>
      </w:tr>
      <w:tr w:rsidR="00CE76B8" w:rsidRPr="001A2C4E" w14:paraId="01C62BC3" w14:textId="77777777" w:rsidTr="007C4D2E">
        <w:tc>
          <w:tcPr>
            <w:tcW w:w="845" w:type="pct"/>
            <w:vAlign w:val="center"/>
          </w:tcPr>
          <w:p w14:paraId="245E225A" w14:textId="77777777" w:rsidR="00CE76B8" w:rsidRPr="001A2C4E" w:rsidRDefault="00CE76B8" w:rsidP="002E1D81">
            <w:pPr>
              <w:pStyle w:val="TableText0"/>
            </w:pPr>
            <w:r w:rsidRPr="001A2C4E">
              <w:t>Cycle length</w:t>
            </w:r>
          </w:p>
        </w:tc>
        <w:tc>
          <w:tcPr>
            <w:tcW w:w="1684" w:type="pct"/>
            <w:vAlign w:val="center"/>
          </w:tcPr>
          <w:p w14:paraId="4A589D21" w14:textId="77777777" w:rsidR="00CE76B8" w:rsidRPr="001A2C4E" w:rsidRDefault="00CE76B8" w:rsidP="002E1D81">
            <w:pPr>
              <w:pStyle w:val="TableText0"/>
            </w:pPr>
            <w:r w:rsidRPr="001A2C4E">
              <w:t>1 year</w:t>
            </w:r>
          </w:p>
        </w:tc>
        <w:tc>
          <w:tcPr>
            <w:tcW w:w="2471" w:type="pct"/>
            <w:vAlign w:val="center"/>
          </w:tcPr>
          <w:p w14:paraId="4490CAF0" w14:textId="288D102F" w:rsidR="00CE76B8" w:rsidRPr="001A2C4E" w:rsidRDefault="00CE76B8" w:rsidP="002E1D81">
            <w:pPr>
              <w:pStyle w:val="TableText0"/>
            </w:pPr>
            <w:r w:rsidRPr="001A2C4E">
              <w:t xml:space="preserve">Reasonable, but may not capture </w:t>
            </w:r>
            <w:r w:rsidR="001F2CBD" w:rsidRPr="001A2C4E">
              <w:t xml:space="preserve">shorter term </w:t>
            </w:r>
            <w:r w:rsidRPr="001A2C4E">
              <w:t>morbidities</w:t>
            </w:r>
            <w:r w:rsidR="00484B98" w:rsidRPr="001A2C4E">
              <w:t>.</w:t>
            </w:r>
          </w:p>
        </w:tc>
      </w:tr>
      <w:tr w:rsidR="00CE76B8" w:rsidRPr="001A2C4E" w14:paraId="54CBB8BC" w14:textId="77777777" w:rsidTr="007C4D2E">
        <w:tc>
          <w:tcPr>
            <w:tcW w:w="845" w:type="pct"/>
            <w:vAlign w:val="center"/>
          </w:tcPr>
          <w:p w14:paraId="2A8991C3" w14:textId="77777777" w:rsidR="00CE76B8" w:rsidRPr="001A2C4E" w:rsidRDefault="00CE76B8" w:rsidP="002E1D81">
            <w:pPr>
              <w:pStyle w:val="TableText0"/>
            </w:pPr>
            <w:r w:rsidRPr="001A2C4E">
              <w:t>Transition probabilities</w:t>
            </w:r>
          </w:p>
        </w:tc>
        <w:tc>
          <w:tcPr>
            <w:tcW w:w="1684" w:type="pct"/>
          </w:tcPr>
          <w:p w14:paraId="7AA9A8FA" w14:textId="77777777" w:rsidR="00CE76B8" w:rsidRPr="001A2C4E" w:rsidRDefault="00CE76B8" w:rsidP="002E1D81">
            <w:pPr>
              <w:pStyle w:val="TableText0"/>
            </w:pPr>
            <w:r w:rsidRPr="001A2C4E">
              <w:t>Hawley 2020 SoC mortality HR</w:t>
            </w:r>
          </w:p>
          <w:p w14:paraId="59C46612" w14:textId="56174833" w:rsidR="00CE76B8" w:rsidRPr="001A2C4E" w:rsidRDefault="00CE76B8" w:rsidP="002E1D81">
            <w:pPr>
              <w:pStyle w:val="TableText0"/>
            </w:pPr>
            <w:r w:rsidRPr="001A2C4E">
              <w:t>ABS 2021 general population mortality for BUR</w:t>
            </w:r>
            <w:r w:rsidR="00484B98" w:rsidRPr="001A2C4E">
              <w:t>.</w:t>
            </w:r>
          </w:p>
        </w:tc>
        <w:tc>
          <w:tcPr>
            <w:tcW w:w="2471" w:type="pct"/>
            <w:vAlign w:val="center"/>
          </w:tcPr>
          <w:p w14:paraId="5E8CA611" w14:textId="4C800718" w:rsidR="00CE76B8" w:rsidRPr="001A2C4E" w:rsidRDefault="00CE76B8" w:rsidP="002E1D81">
            <w:pPr>
              <w:pStyle w:val="TableText0"/>
            </w:pPr>
            <w:r w:rsidRPr="001A2C4E">
              <w:t xml:space="preserve">BUR </w:t>
            </w:r>
            <w:r w:rsidR="00484B98" w:rsidRPr="001A2C4E">
              <w:t>wa</w:t>
            </w:r>
            <w:r w:rsidRPr="001A2C4E">
              <w:t xml:space="preserve">s assumed to revert mortality risk to that of general population. While BUR may prevent some morbidities, it </w:t>
            </w:r>
            <w:r w:rsidR="00484B98" w:rsidRPr="001A2C4E">
              <w:t>wa</w:t>
            </w:r>
            <w:r w:rsidRPr="001A2C4E">
              <w:t>s not reasonable to expect full reversal of pre-existing conditions</w:t>
            </w:r>
            <w:r w:rsidR="00484B98" w:rsidRPr="001A2C4E">
              <w:t xml:space="preserve"> in the adult population given</w:t>
            </w:r>
            <w:r w:rsidR="00FC72EE" w:rsidRPr="001A2C4E">
              <w:t xml:space="preserve"> its effects on rickets and growth are diminished if commencing treatment in adulthood.</w:t>
            </w:r>
          </w:p>
        </w:tc>
      </w:tr>
      <w:tr w:rsidR="00CE76B8" w:rsidRPr="001A2C4E" w14:paraId="7344DA91" w14:textId="77777777" w:rsidTr="007C4D2E">
        <w:tc>
          <w:tcPr>
            <w:tcW w:w="845" w:type="pct"/>
            <w:vAlign w:val="center"/>
          </w:tcPr>
          <w:p w14:paraId="267AE6FB" w14:textId="77777777" w:rsidR="00CE76B8" w:rsidRPr="001A2C4E" w:rsidRDefault="00CE76B8" w:rsidP="002E1D81">
            <w:pPr>
              <w:pStyle w:val="TableText0"/>
            </w:pPr>
            <w:r w:rsidRPr="001A2C4E">
              <w:t>Event probabilities</w:t>
            </w:r>
          </w:p>
        </w:tc>
        <w:tc>
          <w:tcPr>
            <w:tcW w:w="1684" w:type="pct"/>
          </w:tcPr>
          <w:p w14:paraId="53FBE720" w14:textId="77777777" w:rsidR="00CE76B8" w:rsidRPr="001A2C4E" w:rsidRDefault="00CE76B8" w:rsidP="002E1D81">
            <w:pPr>
              <w:pStyle w:val="TableText0"/>
            </w:pPr>
            <w:r w:rsidRPr="001A2C4E">
              <w:t>CL303 annual rate of fractures</w:t>
            </w:r>
          </w:p>
          <w:p w14:paraId="01DE9C75" w14:textId="77777777" w:rsidR="00CE76B8" w:rsidRPr="001A2C4E" w:rsidRDefault="00CE76B8" w:rsidP="002E1D81">
            <w:pPr>
              <w:pStyle w:val="TableText0"/>
            </w:pPr>
            <w:r w:rsidRPr="001A2C4E">
              <w:t>Expert elicitation all other morbidities</w:t>
            </w:r>
          </w:p>
          <w:p w14:paraId="5424E236" w14:textId="77777777" w:rsidR="00CE76B8" w:rsidRPr="001A2C4E" w:rsidRDefault="00CE76B8" w:rsidP="002E1D81">
            <w:pPr>
              <w:pStyle w:val="TableText0"/>
            </w:pPr>
            <w:r w:rsidRPr="001A2C4E">
              <w:t>General population morbidity rate assumed for BUR</w:t>
            </w:r>
          </w:p>
        </w:tc>
        <w:tc>
          <w:tcPr>
            <w:tcW w:w="2471" w:type="pct"/>
            <w:vAlign w:val="center"/>
          </w:tcPr>
          <w:p w14:paraId="260703D1" w14:textId="77777777" w:rsidR="00CE76B8" w:rsidRPr="001A2C4E" w:rsidRDefault="00CE76B8" w:rsidP="002E1D81">
            <w:pPr>
              <w:pStyle w:val="TableText0"/>
            </w:pPr>
            <w:r w:rsidRPr="001A2C4E">
              <w:t>Event data was highly uncertain:</w:t>
            </w:r>
          </w:p>
          <w:p w14:paraId="762A3D5E" w14:textId="669D08DF" w:rsidR="00CE76B8" w:rsidRPr="001A2C4E" w:rsidRDefault="00CE76B8" w:rsidP="001A2C4E">
            <w:pPr>
              <w:pStyle w:val="TableText0"/>
              <w:numPr>
                <w:ilvl w:val="0"/>
                <w:numId w:val="6"/>
              </w:numPr>
              <w:ind w:left="133" w:hanging="142"/>
            </w:pPr>
            <w:r w:rsidRPr="001A2C4E">
              <w:t xml:space="preserve">CL303 collected data for </w:t>
            </w:r>
            <w:r w:rsidR="00FC72EE" w:rsidRPr="001A2C4E">
              <w:t xml:space="preserve">a </w:t>
            </w:r>
            <w:r w:rsidRPr="001A2C4E">
              <w:t xml:space="preserve">maximum 24 weeks </w:t>
            </w:r>
            <w:r w:rsidR="00FC72EE" w:rsidRPr="001A2C4E">
              <w:t xml:space="preserve">for </w:t>
            </w:r>
            <w:r w:rsidRPr="001A2C4E">
              <w:t>placebo, 196 weeks</w:t>
            </w:r>
            <w:r w:rsidR="00FC72EE" w:rsidRPr="001A2C4E">
              <w:t xml:space="preserve"> for</w:t>
            </w:r>
            <w:r w:rsidRPr="001A2C4E">
              <w:t xml:space="preserve"> BUR,</w:t>
            </w:r>
            <w:r w:rsidR="00FC72EE" w:rsidRPr="001A2C4E">
              <w:t xml:space="preserve"> but </w:t>
            </w:r>
            <w:r w:rsidRPr="001A2C4E">
              <w:t>extrapolated to 25 years.</w:t>
            </w:r>
          </w:p>
          <w:p w14:paraId="4D813430" w14:textId="77777777" w:rsidR="00CE76B8" w:rsidRPr="001A2C4E" w:rsidRDefault="00CE76B8" w:rsidP="001A2C4E">
            <w:pPr>
              <w:pStyle w:val="TableText0"/>
              <w:numPr>
                <w:ilvl w:val="0"/>
                <w:numId w:val="6"/>
              </w:numPr>
              <w:ind w:left="133" w:hanging="142"/>
            </w:pPr>
            <w:r w:rsidRPr="001A2C4E">
              <w:t>Expert elicitation was based on 3 questions</w:t>
            </w:r>
          </w:p>
          <w:p w14:paraId="70BBE4C9" w14:textId="316A3518" w:rsidR="00CE76B8" w:rsidRPr="001A2C4E" w:rsidRDefault="00CE76B8" w:rsidP="001A2C4E">
            <w:pPr>
              <w:pStyle w:val="TableText0"/>
              <w:numPr>
                <w:ilvl w:val="0"/>
                <w:numId w:val="6"/>
              </w:numPr>
              <w:ind w:left="133" w:hanging="142"/>
            </w:pPr>
            <w:r w:rsidRPr="001A2C4E">
              <w:t xml:space="preserve">BUR </w:t>
            </w:r>
            <w:r w:rsidR="00FC72EE" w:rsidRPr="001A2C4E">
              <w:t>wa</w:t>
            </w:r>
            <w:r w:rsidRPr="001A2C4E">
              <w:t>s assumed to revert morbidity risk to that of general population</w:t>
            </w:r>
            <w:r w:rsidR="00FC72EE" w:rsidRPr="001A2C4E">
              <w:t>.</w:t>
            </w:r>
          </w:p>
        </w:tc>
      </w:tr>
      <w:tr w:rsidR="00CE76B8" w:rsidRPr="001A2C4E" w14:paraId="45451121" w14:textId="77777777" w:rsidTr="007C4D2E">
        <w:tc>
          <w:tcPr>
            <w:tcW w:w="845" w:type="pct"/>
            <w:vAlign w:val="center"/>
          </w:tcPr>
          <w:p w14:paraId="3381EE14" w14:textId="77777777" w:rsidR="00CE76B8" w:rsidRPr="001A2C4E" w:rsidRDefault="00CE76B8" w:rsidP="002E1D81">
            <w:pPr>
              <w:pStyle w:val="TableText0"/>
            </w:pPr>
            <w:r w:rsidRPr="001A2C4E">
              <w:t>Software package</w:t>
            </w:r>
          </w:p>
        </w:tc>
        <w:tc>
          <w:tcPr>
            <w:tcW w:w="1684" w:type="pct"/>
          </w:tcPr>
          <w:p w14:paraId="1A97436B" w14:textId="77777777" w:rsidR="00CE76B8" w:rsidRPr="001A2C4E" w:rsidRDefault="00CE76B8" w:rsidP="002E1D81">
            <w:pPr>
              <w:pStyle w:val="TableText0"/>
            </w:pPr>
            <w:r w:rsidRPr="001A2C4E">
              <w:t>Microsoft Excel 2019</w:t>
            </w:r>
          </w:p>
        </w:tc>
        <w:tc>
          <w:tcPr>
            <w:tcW w:w="2471" w:type="pct"/>
            <w:vAlign w:val="center"/>
          </w:tcPr>
          <w:p w14:paraId="380224A8" w14:textId="5E732362" w:rsidR="00CE76B8" w:rsidRPr="001A2C4E" w:rsidRDefault="00CE76B8" w:rsidP="002E1D81">
            <w:pPr>
              <w:pStyle w:val="TableText0"/>
            </w:pPr>
            <w:r w:rsidRPr="001A2C4E">
              <w:t>Appropriate</w:t>
            </w:r>
            <w:r w:rsidR="00FC72EE" w:rsidRPr="001A2C4E">
              <w:t>.</w:t>
            </w:r>
          </w:p>
        </w:tc>
      </w:tr>
    </w:tbl>
    <w:p w14:paraId="05AEFF80" w14:textId="3226F414" w:rsidR="00CE76B8" w:rsidRPr="008E65F1" w:rsidRDefault="00CE76B8" w:rsidP="00C73BF1">
      <w:pPr>
        <w:pStyle w:val="TableFigureFooter"/>
        <w:rPr>
          <w:rStyle w:val="TableFigureFooterChar"/>
        </w:rPr>
      </w:pPr>
      <w:r w:rsidRPr="008E65F1">
        <w:rPr>
          <w:rStyle w:val="TableFigureFooterChar"/>
        </w:rPr>
        <w:t>Source: compiled during the evaluation.</w:t>
      </w:r>
    </w:p>
    <w:p w14:paraId="26AEE587" w14:textId="77777777" w:rsidR="00C73BF1" w:rsidRPr="008E65F1" w:rsidRDefault="00C73BF1" w:rsidP="00C73BF1">
      <w:pPr>
        <w:pStyle w:val="TableFigureFooter"/>
      </w:pPr>
      <w:r w:rsidRPr="008E65F1">
        <w:t>BUR=burosumab; HR=hazard ratio; SoC=standard of care; LYs=life years; QALYs=quality-adjusted life years</w:t>
      </w:r>
    </w:p>
    <w:p w14:paraId="258C832E" w14:textId="16D3DE76" w:rsidR="00CE76B8" w:rsidRDefault="00CE76B8" w:rsidP="00C73BF1">
      <w:pPr>
        <w:pStyle w:val="TableFigureFooter"/>
      </w:pPr>
      <w:r w:rsidRPr="008E65F1">
        <w:rPr>
          <w:rStyle w:val="TableFigureFooterChar"/>
        </w:rPr>
        <w:t xml:space="preserve">* </w:t>
      </w:r>
      <w:r w:rsidR="00973C8B">
        <w:rPr>
          <w:rStyle w:val="TableFigureFooterChar"/>
        </w:rPr>
        <w:t>T</w:t>
      </w:r>
      <w:r w:rsidRPr="008E65F1">
        <w:rPr>
          <w:rStyle w:val="TableFigureFooterChar"/>
        </w:rPr>
        <w:t>hese morbidities could</w:t>
      </w:r>
      <w:r w:rsidRPr="00F725FC">
        <w:rPr>
          <w:rStyle w:val="TableFigureFooterChar"/>
        </w:rPr>
        <w:t xml:space="preserve"> occur multiple times in a lifetime. All other event rates were calculated based on a single lifetime incidence</w:t>
      </w:r>
      <w:r>
        <w:t>.</w:t>
      </w:r>
    </w:p>
    <w:p w14:paraId="514199C9" w14:textId="016B2D45" w:rsidR="00CE76B8" w:rsidRPr="001A2C4E" w:rsidRDefault="00CE76B8" w:rsidP="00CE76B8">
      <w:pPr>
        <w:pStyle w:val="3-BodyText"/>
      </w:pPr>
      <w:r w:rsidRPr="001A2C4E">
        <w:lastRenderedPageBreak/>
        <w:t xml:space="preserve">In comparison to the paediatric model, which </w:t>
      </w:r>
      <w:r w:rsidR="00974BC3" w:rsidRPr="001A2C4E">
        <w:t xml:space="preserve">was based on achieving </w:t>
      </w:r>
      <w:r w:rsidRPr="001A2C4E">
        <w:t>RSS</w:t>
      </w:r>
      <w:r w:rsidR="00974BC3" w:rsidRPr="001A2C4E">
        <w:t xml:space="preserve"> outcomes</w:t>
      </w:r>
      <w:r w:rsidRPr="001A2C4E">
        <w:t xml:space="preserve">, the adult model focused on </w:t>
      </w:r>
      <w:r w:rsidR="00974BC3" w:rsidRPr="001A2C4E">
        <w:t xml:space="preserve">XLH related morbidity events and an </w:t>
      </w:r>
      <w:r w:rsidRPr="001A2C4E">
        <w:t>implicit treatment utility benefit.</w:t>
      </w:r>
    </w:p>
    <w:p w14:paraId="5CB59F9D" w14:textId="125A91F3" w:rsidR="00CE76B8" w:rsidRPr="001A2C4E" w:rsidRDefault="00CE76B8" w:rsidP="00674324">
      <w:pPr>
        <w:pStyle w:val="3-BodyText"/>
      </w:pPr>
      <w:r w:rsidRPr="001A2C4E">
        <w:t>Multiple errors/inconsistencies were identified in the submitted Excel workbook</w:t>
      </w:r>
      <w:r w:rsidR="003A6411">
        <w:t>.</w:t>
      </w:r>
      <w:r w:rsidR="008519D9">
        <w:t xml:space="preserve"> </w:t>
      </w:r>
      <w:r w:rsidR="00CE3C2D" w:rsidRPr="001A2C4E">
        <w:t xml:space="preserve">Correction of the errors </w:t>
      </w:r>
      <w:r w:rsidR="001F2CBD" w:rsidRPr="001A2C4E">
        <w:t xml:space="preserve">by the evaluators </w:t>
      </w:r>
      <w:r w:rsidR="00CE3C2D" w:rsidRPr="001A2C4E">
        <w:t xml:space="preserve">resulted in a base case ICER of </w:t>
      </w:r>
      <w:r w:rsidRPr="001A2C4E">
        <w:t>$</w:t>
      </w:r>
      <w:r w:rsidR="004F3508">
        <w:t>355,000 to &lt; $455,000</w:t>
      </w:r>
      <w:r w:rsidRPr="001A2C4E">
        <w:t xml:space="preserve">per QALY gained, </w:t>
      </w:r>
      <w:r w:rsidR="00CE3C2D" w:rsidRPr="001A2C4E">
        <w:t xml:space="preserve">compared to </w:t>
      </w:r>
      <w:r w:rsidRPr="001A2C4E">
        <w:t>$</w:t>
      </w:r>
      <w:r w:rsidR="004F3508">
        <w:t>355,000 to &lt; $455,000</w:t>
      </w:r>
      <w:r w:rsidRPr="001A2C4E">
        <w:t xml:space="preserve">per QALY gained in the </w:t>
      </w:r>
      <w:r w:rsidR="00CE3C2D" w:rsidRPr="001A2C4E">
        <w:t>resubmission</w:t>
      </w:r>
      <w:r w:rsidRPr="001A2C4E">
        <w:t xml:space="preserve">. </w:t>
      </w:r>
      <w:r w:rsidR="008B4571" w:rsidRPr="001A2C4E">
        <w:t>The PSCR presented a revised base case in which</w:t>
      </w:r>
      <w:r w:rsidR="001F2CBD" w:rsidRPr="001A2C4E">
        <w:t xml:space="preserve">, and in addition to other changes, </w:t>
      </w:r>
      <w:r w:rsidR="008B4571" w:rsidRPr="001A2C4E">
        <w:t>the errors were corrected.</w:t>
      </w:r>
    </w:p>
    <w:p w14:paraId="049DADAC" w14:textId="38BD4695" w:rsidR="00CE76B8" w:rsidRPr="008E65F1" w:rsidRDefault="00CE76B8" w:rsidP="00CE76B8">
      <w:pPr>
        <w:pStyle w:val="3-BodyText"/>
      </w:pPr>
      <w:r w:rsidRPr="008E65F1">
        <w:t>The resubmission presented a structural overview of the adult model</w:t>
      </w:r>
      <w:r w:rsidR="00C52B40">
        <w:t>,</w:t>
      </w:r>
      <w:r w:rsidRPr="008E65F1">
        <w:t xml:space="preserve"> represented below</w:t>
      </w:r>
      <w:r w:rsidR="00200294" w:rsidRPr="008E65F1">
        <w:t xml:space="preserve"> in </w:t>
      </w:r>
      <w:r w:rsidR="00200294" w:rsidRPr="008E65F1">
        <w:fldChar w:fldCharType="begin"/>
      </w:r>
      <w:r w:rsidR="00200294" w:rsidRPr="008E65F1">
        <w:instrText xml:space="preserve"> REF _Ref92380948 \h  \* MERGEFORMAT </w:instrText>
      </w:r>
      <w:r w:rsidR="00200294" w:rsidRPr="008E65F1">
        <w:fldChar w:fldCharType="separate"/>
      </w:r>
      <w:r w:rsidR="00676539" w:rsidRPr="00676539">
        <w:t xml:space="preserve">Figure </w:t>
      </w:r>
      <w:r w:rsidR="00200294" w:rsidRPr="008E65F1">
        <w:fldChar w:fldCharType="end"/>
      </w:r>
      <w:r w:rsidR="009408C2">
        <w:t>4</w:t>
      </w:r>
      <w:r w:rsidRPr="008E65F1">
        <w:t>. In the model, some morbidities were modelled as one-off events (e.g.</w:t>
      </w:r>
      <w:r w:rsidR="0008788F" w:rsidRPr="008E65F1">
        <w:t>,</w:t>
      </w:r>
      <w:r w:rsidRPr="008E65F1">
        <w:t xml:space="preserve"> upper limb fractures) whereas others were modelled as recurring health states, accruing utility decrements each cycle (e.g.</w:t>
      </w:r>
      <w:r w:rsidR="0008788F" w:rsidRPr="008E65F1">
        <w:t>,</w:t>
      </w:r>
      <w:r w:rsidRPr="008E65F1">
        <w:t xml:space="preserve"> tinnitus/hearing loss). Patients could be allocated to multiple morbidity states and could experience multiple different morbidity events each cycle. Transition and event probabilities were modelled independently such that the probability of morbidity related surgeries was not dependent on the probability of that morbidity. For example, in the first cycle of the model, probability of a spinal surgery was estimated to be higher than probability of spinal stenosis, demonstrating the two </w:t>
      </w:r>
      <w:r w:rsidR="0008788F" w:rsidRPr="008E65F1">
        <w:t>we</w:t>
      </w:r>
      <w:r w:rsidRPr="008E65F1">
        <w:t xml:space="preserve">re not modelled sequentially as suggested by </w:t>
      </w:r>
      <w:fldSimple w:instr=" REF _Ref92380948  \* MERGEFORMAT ">
        <w:r w:rsidR="00676539" w:rsidRPr="00676539">
          <w:t xml:space="preserve">Figure </w:t>
        </w:r>
      </w:fldSimple>
      <w:r w:rsidR="009408C2">
        <w:t>4</w:t>
      </w:r>
      <w:r w:rsidRPr="008E65F1">
        <w:t>.</w:t>
      </w:r>
    </w:p>
    <w:p w14:paraId="301C40FB" w14:textId="24167BD3" w:rsidR="00CE76B8" w:rsidRPr="008E65F1" w:rsidRDefault="00CE76B8" w:rsidP="00CE76B8">
      <w:pPr>
        <w:pStyle w:val="3-BodyText"/>
      </w:pPr>
      <w:r w:rsidRPr="008E65F1">
        <w:t>Stiffness, pain and fatigue were not modelled as their own morbidity state but provided the estimate for utilities for patients not entering a morbidity health state during the cycle.</w:t>
      </w:r>
    </w:p>
    <w:p w14:paraId="46F59814" w14:textId="329DA5A9" w:rsidR="00CE76B8" w:rsidRPr="00BF41D2" w:rsidRDefault="00CE76B8" w:rsidP="002E0E53">
      <w:pPr>
        <w:keepNext/>
        <w:keepLines/>
        <w:tabs>
          <w:tab w:val="left" w:pos="1418"/>
        </w:tabs>
        <w:spacing w:before="240" w:line="259" w:lineRule="auto"/>
        <w:contextualSpacing/>
        <w:jc w:val="left"/>
        <w:rPr>
          <w:rFonts w:ascii="Arial Narrow" w:eastAsia="Calibri" w:hAnsi="Arial Narrow"/>
          <w:b/>
          <w:iCs/>
          <w:sz w:val="20"/>
          <w:szCs w:val="18"/>
          <w:lang w:eastAsia="en-US"/>
        </w:rPr>
      </w:pPr>
      <w:bookmarkStart w:id="55" w:name="_Ref92380948"/>
      <w:r w:rsidRPr="003F40BF">
        <w:rPr>
          <w:rFonts w:ascii="Arial Narrow" w:eastAsiaTheme="minorHAnsi" w:hAnsi="Arial Narrow"/>
          <w:b/>
          <w:bCs/>
          <w:snapToGrid w:val="0"/>
          <w:sz w:val="20"/>
          <w:szCs w:val="20"/>
          <w:lang w:eastAsia="en-US"/>
        </w:rPr>
        <w:lastRenderedPageBreak/>
        <w:t xml:space="preserve">Figure </w:t>
      </w:r>
      <w:bookmarkEnd w:id="55"/>
      <w:r w:rsidR="009408C2">
        <w:rPr>
          <w:rFonts w:ascii="Arial Narrow" w:eastAsiaTheme="minorHAnsi" w:hAnsi="Arial Narrow"/>
          <w:b/>
          <w:bCs/>
          <w:snapToGrid w:val="0"/>
          <w:sz w:val="20"/>
          <w:szCs w:val="20"/>
          <w:lang w:eastAsia="en-US"/>
        </w:rPr>
        <w:t>4</w:t>
      </w:r>
      <w:r w:rsidRPr="003F40BF">
        <w:rPr>
          <w:rFonts w:ascii="Arial Narrow" w:eastAsiaTheme="minorHAnsi" w:hAnsi="Arial Narrow"/>
          <w:b/>
          <w:bCs/>
          <w:snapToGrid w:val="0"/>
          <w:sz w:val="20"/>
          <w:szCs w:val="20"/>
          <w:lang w:eastAsia="en-US"/>
        </w:rPr>
        <w:t xml:space="preserve">: </w:t>
      </w:r>
      <w:r w:rsidRPr="00BF41D2">
        <w:rPr>
          <w:rFonts w:ascii="Arial Narrow" w:eastAsia="Calibri" w:hAnsi="Arial Narrow"/>
          <w:b/>
          <w:iCs/>
          <w:sz w:val="20"/>
          <w:szCs w:val="18"/>
          <w:lang w:eastAsia="en-US"/>
        </w:rPr>
        <w:t xml:space="preserve">Overview of </w:t>
      </w:r>
      <w:r>
        <w:rPr>
          <w:rFonts w:ascii="Arial Narrow" w:eastAsia="Calibri" w:hAnsi="Arial Narrow"/>
          <w:b/>
          <w:iCs/>
          <w:sz w:val="20"/>
          <w:szCs w:val="18"/>
          <w:lang w:eastAsia="en-US"/>
        </w:rPr>
        <w:t xml:space="preserve">adult </w:t>
      </w:r>
      <w:r w:rsidRPr="00BF41D2">
        <w:rPr>
          <w:rFonts w:ascii="Arial Narrow" w:eastAsia="Calibri" w:hAnsi="Arial Narrow"/>
          <w:b/>
          <w:iCs/>
          <w:sz w:val="20"/>
          <w:szCs w:val="18"/>
          <w:lang w:eastAsia="en-US"/>
        </w:rPr>
        <w:t>model structure</w:t>
      </w:r>
    </w:p>
    <w:p w14:paraId="56D80843" w14:textId="77777777" w:rsidR="00CE76B8" w:rsidRDefault="00CE76B8" w:rsidP="002E0E53">
      <w:pPr>
        <w:keepNext/>
        <w:keepLines/>
      </w:pPr>
      <w:r>
        <w:rPr>
          <w:noProof/>
        </w:rPr>
        <w:drawing>
          <wp:inline distT="0" distB="0" distL="0" distR="0" wp14:anchorId="058564B9" wp14:editId="6995EA7F">
            <wp:extent cx="5591175" cy="3002944"/>
            <wp:effectExtent l="0" t="0" r="0" b="6985"/>
            <wp:docPr id="25" name="Picture 25" descr="Figure 4: Overview of adult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4: Overview of adult model structure"/>
                    <pic:cNvPicPr/>
                  </pic:nvPicPr>
                  <pic:blipFill>
                    <a:blip r:embed="rId13"/>
                    <a:stretch>
                      <a:fillRect/>
                    </a:stretch>
                  </pic:blipFill>
                  <pic:spPr>
                    <a:xfrm>
                      <a:off x="0" y="0"/>
                      <a:ext cx="5592540" cy="3003677"/>
                    </a:xfrm>
                    <a:prstGeom prst="rect">
                      <a:avLst/>
                    </a:prstGeom>
                  </pic:spPr>
                </pic:pic>
              </a:graphicData>
            </a:graphic>
          </wp:inline>
        </w:drawing>
      </w:r>
    </w:p>
    <w:p w14:paraId="38C1D9BE" w14:textId="58E312E8" w:rsidR="00CE76B8" w:rsidRDefault="00CE76B8" w:rsidP="002E0E53">
      <w:pPr>
        <w:pStyle w:val="TableFigureFooter"/>
        <w:keepNext/>
        <w:keepLines/>
      </w:pPr>
      <w:r>
        <w:t>Source: Figure 3-5 of the resubmission</w:t>
      </w:r>
    </w:p>
    <w:p w14:paraId="1A593503" w14:textId="57C9C3A9" w:rsidR="00C73BF1" w:rsidRDefault="00C73BF1" w:rsidP="002E0E53">
      <w:pPr>
        <w:pStyle w:val="TableFigureFooter"/>
        <w:keepNext/>
        <w:keepLines/>
      </w:pPr>
      <w:r>
        <w:t>QALY= quality adjusted life year</w:t>
      </w:r>
    </w:p>
    <w:p w14:paraId="7FCB1AF9" w14:textId="77777777" w:rsidR="00CE76B8" w:rsidRDefault="00CE76B8" w:rsidP="002E0E53">
      <w:pPr>
        <w:pStyle w:val="TableFigureFooter"/>
        <w:keepNext/>
        <w:keepLines/>
      </w:pPr>
      <w:r>
        <w:t>All morbidities were included in the submitted base case.</w:t>
      </w:r>
    </w:p>
    <w:p w14:paraId="2DD6B134" w14:textId="77777777" w:rsidR="00CE76B8" w:rsidRDefault="00CE76B8" w:rsidP="002E1D81"/>
    <w:p w14:paraId="7CABFCA5" w14:textId="4910CDD0" w:rsidR="00CE76B8" w:rsidRPr="008E65F1" w:rsidRDefault="00CE76B8" w:rsidP="00CE76B8">
      <w:pPr>
        <w:pStyle w:val="3-BodyText"/>
      </w:pPr>
      <w:r w:rsidRPr="008E65F1">
        <w:t xml:space="preserve">The resubmission stated that a 25-year time horizon was chosen as a trade-off between the short duration of the clinical trials and the predicted lifelong impact of XLH and treatment. While XLH is a lifelong disease, the maximum follow-up from the trials was less than 4 years. The model was moderately sensitive to the time horizon. </w:t>
      </w:r>
    </w:p>
    <w:p w14:paraId="6D08495D" w14:textId="7458371B" w:rsidR="00CE76B8" w:rsidRPr="008E65F1" w:rsidRDefault="00CE76B8" w:rsidP="00CE76B8">
      <w:pPr>
        <w:pStyle w:val="3-BodyText"/>
      </w:pPr>
      <w:r w:rsidRPr="008E65F1">
        <w:t>The resubmission did not present a comparison of the trial and model populations but stated that the adult model population was based on characteristic</w:t>
      </w:r>
      <w:r w:rsidR="000766C3" w:rsidRPr="008E65F1">
        <w:t>s</w:t>
      </w:r>
      <w:r w:rsidRPr="008E65F1">
        <w:t xml:space="preserve"> of patients enrolled in CL303. Patients entered the model aged 40 years, with fixed mean weight 70.7kg. </w:t>
      </w:r>
    </w:p>
    <w:p w14:paraId="71F365B3" w14:textId="55C94B07" w:rsidR="00CE76B8" w:rsidRPr="008E65F1" w:rsidRDefault="00CE76B8" w:rsidP="00CE76B8">
      <w:pPr>
        <w:pStyle w:val="3-BodyText"/>
      </w:pPr>
      <w:r w:rsidRPr="008E65F1">
        <w:t xml:space="preserve">Overall survival (OS) was modelled similarly to the paediatric model such that OS was assumed to equal general population survival for patients receiving burosumab and adjusted with a mortality hazard ratio of 2.93 for patients receiving SoC. Although this approach was not well justified (e.g., no trial evidence showed treatment with burosumab would result in a return to general population mortality) the ICER was minimally sensitive to mortality difference. </w:t>
      </w:r>
    </w:p>
    <w:p w14:paraId="21917A0B" w14:textId="26502A1B" w:rsidR="00CE76B8" w:rsidRPr="008E65F1" w:rsidRDefault="00CE76B8" w:rsidP="00CE76B8">
      <w:pPr>
        <w:pStyle w:val="3-BodyText"/>
      </w:pPr>
      <w:r w:rsidRPr="008E65F1">
        <w:t xml:space="preserve">The resubmission stated that prevalence of morbidities in XLH by age group was converted to annual incidence either through a negative binomial model for repeating events (foot, tibia/fibula, femur/pelvis fractures) and generalised linear models for all other morbidities. </w:t>
      </w:r>
      <w:r w:rsidRPr="00973C8B">
        <w:t>The data underpinning these estimates were not presented, nor the formulas used to calculate the incidence of these morbidity events</w:t>
      </w:r>
      <w:r w:rsidRPr="008519D9">
        <w:t>.</w:t>
      </w:r>
      <w:r w:rsidRPr="008E65F1">
        <w:t xml:space="preserve"> As such the annual incidence rates could not be verified</w:t>
      </w:r>
      <w:r w:rsidR="00973C8B">
        <w:t xml:space="preserve"> during evaluation</w:t>
      </w:r>
      <w:r w:rsidRPr="008E65F1">
        <w:t xml:space="preserve">. The resubmission did </w:t>
      </w:r>
      <w:r w:rsidRPr="008E65F1">
        <w:lastRenderedPageBreak/>
        <w:t>not justify why some morbidities were expected to be repeat events and some once in a lifetime.</w:t>
      </w:r>
    </w:p>
    <w:p w14:paraId="6503AEC4" w14:textId="6C8D3FE3" w:rsidR="00CE76B8" w:rsidRPr="008E65F1" w:rsidRDefault="00CE76B8" w:rsidP="00CE76B8">
      <w:pPr>
        <w:pStyle w:val="3-BodyText"/>
      </w:pPr>
      <w:r w:rsidRPr="008E65F1">
        <w:t>Patients receiving burosumab were assumed to have morbidity incidence equal to general population, and where general population data was not available incidence was assumed to be 0. Patients receiving SoC were assumed to have morbidity incidence equal to untreated XLH patients</w:t>
      </w:r>
      <w:r w:rsidR="00406404" w:rsidRPr="008E65F1">
        <w:t xml:space="preserve">. </w:t>
      </w:r>
      <w:r w:rsidRPr="008E65F1">
        <w:t>While it may be clinically plausible that burosumab leads to a reduction in morbidities, these assumptions did not appear to be evidence-based and likely overestimated the effect of burosumab and underestimated the effect of conventional therapy.</w:t>
      </w:r>
    </w:p>
    <w:p w14:paraId="59548CF0" w14:textId="46704B40" w:rsidR="00CE76B8" w:rsidRPr="008E65F1" w:rsidRDefault="00CE76B8" w:rsidP="00CE76B8">
      <w:pPr>
        <w:pStyle w:val="3-BodyText"/>
      </w:pPr>
      <w:r w:rsidRPr="008E65F1">
        <w:t>Furthermore, the clinical effectiveness evidence presented in the resubmission was focused upon the healing of existing fractures in CL303</w:t>
      </w:r>
      <w:r w:rsidR="000766C3" w:rsidRPr="008E65F1">
        <w:t xml:space="preserve"> and </w:t>
      </w:r>
      <w:r w:rsidRPr="008E65F1">
        <w:t>did not report fractures arising during CL303. This was inconsistent with assumed benefit in the model where burosumab was assumed to prevent future morbidities, but not improve existing ones.</w:t>
      </w:r>
    </w:p>
    <w:p w14:paraId="1BAFB712" w14:textId="74A7BCA8" w:rsidR="00CE76B8" w:rsidRPr="001A2C4E" w:rsidRDefault="00CE76B8" w:rsidP="00CE76B8">
      <w:pPr>
        <w:pStyle w:val="3-BodyText"/>
      </w:pPr>
      <w:r w:rsidRPr="001A2C4E">
        <w:t>Some morbidities were expected to accrue lifetime utility decrements. As such the model calculated cumulative incidence for these morbidities. Since foot, tibia/fibula and femur/pelvis fractures were modelled as repeating events, patients could enter this morbidity health state multiple times and accrued an additional lifetime disutility with each entry, which was not properly adjusted for mortality. Therefore, the incidences for patients receiving SoC were significantly higher than for those receiving burosumab (e.g.</w:t>
      </w:r>
      <w:r w:rsidR="004C6D72" w:rsidRPr="001A2C4E">
        <w:t>,</w:t>
      </w:r>
      <w:r w:rsidRPr="001A2C4E">
        <w:t xml:space="preserve"> equivalent of 79.3% experiencing one tibia/fibula fracture on SoC, versus 0.7% receiving burosumab). The model was very sensitive to the cumulative morbidity of these fractures.</w:t>
      </w:r>
      <w:r w:rsidR="008B4571" w:rsidRPr="001A2C4E">
        <w:t xml:space="preserve"> The PSCR presented a revised base case in which all recurrent events and </w:t>
      </w:r>
      <w:r w:rsidR="002A1AD2">
        <w:t xml:space="preserve">their associated </w:t>
      </w:r>
      <w:r w:rsidR="008B4571" w:rsidRPr="001A2C4E">
        <w:t xml:space="preserve">utility </w:t>
      </w:r>
      <w:r w:rsidR="002A1AD2">
        <w:t>decrements</w:t>
      </w:r>
      <w:r w:rsidR="002A1AD2" w:rsidRPr="001A2C4E">
        <w:t xml:space="preserve"> </w:t>
      </w:r>
      <w:r w:rsidR="008B4571" w:rsidRPr="001A2C4E">
        <w:t>were removed from the morbidity module of the model.</w:t>
      </w:r>
      <w:r w:rsidR="005442CE" w:rsidRPr="001A2C4E">
        <w:t xml:space="preserve"> The ESC considered that this was appropriate.</w:t>
      </w:r>
    </w:p>
    <w:p w14:paraId="3F0EE5E3" w14:textId="47CDF509" w:rsidR="00CE76B8" w:rsidRPr="001A2C4E" w:rsidRDefault="00CE76B8" w:rsidP="00CE76B8">
      <w:pPr>
        <w:pStyle w:val="3-BodyText"/>
      </w:pPr>
      <w:r w:rsidRPr="001A2C4E">
        <w:t>Mortality was unaffected by the morbidities that patients experienced, as the model assumed th</w:t>
      </w:r>
      <w:r w:rsidR="004C6D72" w:rsidRPr="001A2C4E">
        <w:t>at</w:t>
      </w:r>
      <w:r w:rsidRPr="001A2C4E">
        <w:t xml:space="preserve"> overall survival implicitly captured the patients with morbidity-related deaths.</w:t>
      </w:r>
    </w:p>
    <w:p w14:paraId="3995FFB8" w14:textId="1128E9E6" w:rsidR="00CE76B8" w:rsidRPr="001A2C4E" w:rsidRDefault="00CE76B8" w:rsidP="00CE76B8">
      <w:pPr>
        <w:pStyle w:val="3-BodyText"/>
      </w:pPr>
      <w:r w:rsidRPr="001A2C4E">
        <w:t>A fixed percentage of patients in the SoC arm were assumed to receive conventional therapy each cycle (70.1%), but patients on burosumab were expected to discontinue treatment at a rate of 7% in the first year and 1% every subsequent year</w:t>
      </w:r>
      <w:r w:rsidR="003A6411">
        <w:t xml:space="preserve"> with approximately</w:t>
      </w:r>
      <w:r w:rsidRPr="001A2C4E">
        <w:t xml:space="preserve"> 70% of patients were expected to be alive and receiving burosumab at the end of the time horizon. Discontinuation was much lower in the adult model than the paediatric model, which was likely reasonable given the paediatric model assumed more prior years on treatment. While treatment discontinuation was relatively low, the ICER was not very sensitive to changes in discontinuation. </w:t>
      </w:r>
    </w:p>
    <w:p w14:paraId="021032A1" w14:textId="77777777" w:rsidR="00CE76B8" w:rsidRDefault="00CE76B8" w:rsidP="00CE76B8">
      <w:pPr>
        <w:pStyle w:val="3-BodyText"/>
      </w:pPr>
      <w:r>
        <w:t xml:space="preserve">As there was little difference in survival between the treatment arms, quality of life was a key driver of the results. </w:t>
      </w:r>
      <w:r w:rsidRPr="001924C6">
        <w:t>The resubmission presented both treatment specific utilities and morbidity specific utility weights, presented in the following table.</w:t>
      </w:r>
      <w:r>
        <w:t xml:space="preserve"> </w:t>
      </w:r>
    </w:p>
    <w:p w14:paraId="42730BAD" w14:textId="3281F8E2" w:rsidR="00CE76B8" w:rsidRPr="00BF41D2" w:rsidRDefault="00CE76B8" w:rsidP="002E1D81">
      <w:pPr>
        <w:keepNext/>
        <w:tabs>
          <w:tab w:val="left" w:pos="1418"/>
        </w:tabs>
        <w:spacing w:before="240" w:line="259" w:lineRule="auto"/>
        <w:contextualSpacing/>
        <w:jc w:val="left"/>
        <w:rPr>
          <w:rFonts w:ascii="Arial Narrow" w:eastAsia="Calibri" w:hAnsi="Arial Narrow"/>
          <w:b/>
          <w:iCs/>
          <w:sz w:val="20"/>
          <w:szCs w:val="18"/>
          <w:lang w:eastAsia="en-US"/>
        </w:rPr>
      </w:pPr>
      <w:r w:rsidRPr="00271609">
        <w:rPr>
          <w:rFonts w:ascii="Arial Narrow" w:eastAsia="Calibri" w:hAnsi="Arial Narrow"/>
          <w:b/>
          <w:iCs/>
          <w:sz w:val="20"/>
          <w:szCs w:val="18"/>
          <w:lang w:eastAsia="en-US"/>
        </w:rPr>
        <w:lastRenderedPageBreak/>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17</w:t>
      </w:r>
      <w:r w:rsidRPr="00271609">
        <w:rPr>
          <w:rFonts w:ascii="Arial Narrow" w:eastAsia="Calibri" w:hAnsi="Arial Narrow"/>
          <w:b/>
          <w:iCs/>
          <w:sz w:val="20"/>
          <w:szCs w:val="18"/>
          <w:lang w:eastAsia="en-US"/>
        </w:rPr>
        <w:fldChar w:fldCharType="end"/>
      </w:r>
      <w:r w:rsidRPr="00271609">
        <w:rPr>
          <w:rFonts w:ascii="Arial Narrow" w:eastAsia="Calibri" w:hAnsi="Arial Narrow"/>
          <w:b/>
          <w:iCs/>
          <w:sz w:val="20"/>
          <w:szCs w:val="18"/>
          <w:lang w:eastAsia="en-US"/>
        </w:rPr>
        <w:t xml:space="preserve">: </w:t>
      </w:r>
      <w:r w:rsidRPr="00BF41D2">
        <w:rPr>
          <w:rFonts w:ascii="Arial Narrow" w:eastAsia="Calibri" w:hAnsi="Arial Narrow"/>
          <w:b/>
          <w:iCs/>
          <w:sz w:val="20"/>
          <w:szCs w:val="18"/>
          <w:lang w:eastAsia="en-US"/>
        </w:rPr>
        <w:t>Utility values used in the economic evaluation</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Utility values used in the economic evaluation"/>
      </w:tblPr>
      <w:tblGrid>
        <w:gridCol w:w="1696"/>
        <w:gridCol w:w="972"/>
        <w:gridCol w:w="2497"/>
        <w:gridCol w:w="3753"/>
      </w:tblGrid>
      <w:tr w:rsidR="00CE76B8" w:rsidRPr="00765B1A" w14:paraId="5ED278CD" w14:textId="77777777" w:rsidTr="002E1D81">
        <w:trPr>
          <w:trHeight w:val="229"/>
          <w:tblHeader/>
        </w:trPr>
        <w:tc>
          <w:tcPr>
            <w:tcW w:w="951" w:type="pct"/>
            <w:vMerge w:val="restart"/>
            <w:vAlign w:val="center"/>
          </w:tcPr>
          <w:p w14:paraId="5293C6BD" w14:textId="77777777" w:rsidR="00CE76B8" w:rsidRPr="00765B1A" w:rsidRDefault="00CE76B8" w:rsidP="002E1D81">
            <w:pPr>
              <w:pStyle w:val="In-tableHeading"/>
              <w:jc w:val="center"/>
            </w:pPr>
            <w:r>
              <w:t>Health state</w:t>
            </w:r>
          </w:p>
        </w:tc>
        <w:tc>
          <w:tcPr>
            <w:tcW w:w="545" w:type="pct"/>
            <w:vMerge w:val="restart"/>
            <w:vAlign w:val="center"/>
          </w:tcPr>
          <w:p w14:paraId="0A3C17CE" w14:textId="77777777" w:rsidR="00CE76B8" w:rsidRPr="00765B1A" w:rsidRDefault="00CE76B8" w:rsidP="002E1D81">
            <w:pPr>
              <w:pStyle w:val="In-tableHeading"/>
              <w:jc w:val="center"/>
            </w:pPr>
            <w:r>
              <w:t>Utility</w:t>
            </w:r>
          </w:p>
        </w:tc>
        <w:tc>
          <w:tcPr>
            <w:tcW w:w="1400" w:type="pct"/>
            <w:vMerge w:val="restart"/>
            <w:vAlign w:val="center"/>
          </w:tcPr>
          <w:p w14:paraId="3E69F6D4" w14:textId="77777777" w:rsidR="00CE76B8" w:rsidRPr="00765B1A" w:rsidRDefault="00CE76B8" w:rsidP="002E1D81">
            <w:pPr>
              <w:pStyle w:val="In-tableHeading"/>
              <w:jc w:val="center"/>
            </w:pPr>
            <w:r>
              <w:t>Calculation</w:t>
            </w:r>
          </w:p>
        </w:tc>
        <w:tc>
          <w:tcPr>
            <w:tcW w:w="2101" w:type="pct"/>
            <w:vMerge w:val="restart"/>
            <w:vAlign w:val="center"/>
          </w:tcPr>
          <w:p w14:paraId="022EF750" w14:textId="77777777" w:rsidR="00CE76B8" w:rsidRPr="00765B1A" w:rsidRDefault="00CE76B8" w:rsidP="002E1D81">
            <w:pPr>
              <w:pStyle w:val="In-tableHeading"/>
              <w:jc w:val="center"/>
            </w:pPr>
            <w:r>
              <w:t>Source of estimate</w:t>
            </w:r>
          </w:p>
        </w:tc>
      </w:tr>
      <w:tr w:rsidR="00CE76B8" w14:paraId="52274C87" w14:textId="77777777" w:rsidTr="002E1D81">
        <w:trPr>
          <w:trHeight w:val="229"/>
          <w:tblHeader/>
        </w:trPr>
        <w:tc>
          <w:tcPr>
            <w:tcW w:w="951" w:type="pct"/>
            <w:vMerge/>
            <w:vAlign w:val="center"/>
          </w:tcPr>
          <w:p w14:paraId="4B7127EA" w14:textId="77777777" w:rsidR="00CE76B8" w:rsidRDefault="00CE76B8" w:rsidP="002E1D81">
            <w:pPr>
              <w:pStyle w:val="In-tableHeading"/>
              <w:jc w:val="center"/>
            </w:pPr>
          </w:p>
        </w:tc>
        <w:tc>
          <w:tcPr>
            <w:tcW w:w="545" w:type="pct"/>
            <w:vMerge/>
            <w:vAlign w:val="center"/>
          </w:tcPr>
          <w:p w14:paraId="4F152BE0" w14:textId="77777777" w:rsidR="00CE76B8" w:rsidRDefault="00CE76B8" w:rsidP="002E1D81">
            <w:pPr>
              <w:pStyle w:val="In-tableHeading"/>
              <w:jc w:val="center"/>
            </w:pPr>
          </w:p>
        </w:tc>
        <w:tc>
          <w:tcPr>
            <w:tcW w:w="1400" w:type="pct"/>
            <w:vMerge/>
            <w:vAlign w:val="center"/>
          </w:tcPr>
          <w:p w14:paraId="7A41117B" w14:textId="77777777" w:rsidR="00CE76B8" w:rsidRDefault="00CE76B8" w:rsidP="002E1D81">
            <w:pPr>
              <w:pStyle w:val="In-tableHeading"/>
              <w:jc w:val="center"/>
            </w:pPr>
          </w:p>
        </w:tc>
        <w:tc>
          <w:tcPr>
            <w:tcW w:w="2101" w:type="pct"/>
            <w:vMerge/>
            <w:vAlign w:val="center"/>
          </w:tcPr>
          <w:p w14:paraId="2D48851C" w14:textId="77777777" w:rsidR="00CE76B8" w:rsidRDefault="00CE76B8" w:rsidP="002E1D81">
            <w:pPr>
              <w:pStyle w:val="In-tableHeading"/>
              <w:jc w:val="center"/>
            </w:pPr>
          </w:p>
        </w:tc>
      </w:tr>
      <w:tr w:rsidR="00CE76B8" w:rsidRPr="001826F4" w14:paraId="1621CB49" w14:textId="77777777" w:rsidTr="002E1D81">
        <w:tc>
          <w:tcPr>
            <w:tcW w:w="5000" w:type="pct"/>
            <w:gridSpan w:val="4"/>
            <w:vAlign w:val="center"/>
          </w:tcPr>
          <w:p w14:paraId="48AFAA37" w14:textId="77777777" w:rsidR="00CE76B8" w:rsidRPr="001826F4" w:rsidRDefault="00CE76B8" w:rsidP="002E1D81">
            <w:pPr>
              <w:pStyle w:val="TableText0"/>
              <w:rPr>
                <w:b/>
              </w:rPr>
            </w:pPr>
            <w:r w:rsidRPr="001826F4">
              <w:rPr>
                <w:b/>
              </w:rPr>
              <w:t>Treatment specific</w:t>
            </w:r>
          </w:p>
        </w:tc>
      </w:tr>
      <w:tr w:rsidR="00CE76B8" w14:paraId="37E62092" w14:textId="77777777" w:rsidTr="002E1D81">
        <w:tc>
          <w:tcPr>
            <w:tcW w:w="951" w:type="pct"/>
            <w:vAlign w:val="center"/>
          </w:tcPr>
          <w:p w14:paraId="2980780D" w14:textId="77777777" w:rsidR="00CE76B8" w:rsidRDefault="00CE76B8" w:rsidP="002E1D81">
            <w:pPr>
              <w:pStyle w:val="TableText0"/>
            </w:pPr>
            <w:r>
              <w:t>Receiving SoC (base)</w:t>
            </w:r>
          </w:p>
        </w:tc>
        <w:tc>
          <w:tcPr>
            <w:tcW w:w="545" w:type="pct"/>
            <w:vAlign w:val="center"/>
          </w:tcPr>
          <w:p w14:paraId="408A5DF8" w14:textId="77777777" w:rsidR="00CE76B8" w:rsidRDefault="00CE76B8" w:rsidP="002E1D81">
            <w:pPr>
              <w:pStyle w:val="TableText0"/>
              <w:jc w:val="center"/>
            </w:pPr>
            <w:r>
              <w:t>0.44</w:t>
            </w:r>
          </w:p>
        </w:tc>
        <w:tc>
          <w:tcPr>
            <w:tcW w:w="1400" w:type="pct"/>
            <w:vAlign w:val="center"/>
          </w:tcPr>
          <w:p w14:paraId="1743C55E" w14:textId="77777777" w:rsidR="00CE76B8" w:rsidRDefault="00CE76B8" w:rsidP="002E1D81">
            <w:pPr>
              <w:pStyle w:val="TableText0"/>
            </w:pPr>
            <w:r>
              <w:t>Baseline</w:t>
            </w:r>
          </w:p>
        </w:tc>
        <w:tc>
          <w:tcPr>
            <w:tcW w:w="2101" w:type="pct"/>
            <w:vAlign w:val="center"/>
          </w:tcPr>
          <w:p w14:paraId="1DF76B8F" w14:textId="77777777" w:rsidR="00CE76B8" w:rsidRDefault="00CE76B8" w:rsidP="002E1D81">
            <w:pPr>
              <w:pStyle w:val="TableText0"/>
            </w:pPr>
            <w:r>
              <w:t xml:space="preserve">CL303 WOMAC subscores converted to EQ-5D with UK preference weights </w:t>
            </w:r>
          </w:p>
        </w:tc>
      </w:tr>
      <w:tr w:rsidR="00CE76B8" w14:paraId="500E84C7" w14:textId="77777777" w:rsidTr="002E1D81">
        <w:tc>
          <w:tcPr>
            <w:tcW w:w="951" w:type="pct"/>
            <w:vMerge w:val="restart"/>
            <w:vAlign w:val="center"/>
          </w:tcPr>
          <w:p w14:paraId="127C4FCB" w14:textId="77777777" w:rsidR="00CE76B8" w:rsidRDefault="00CE76B8" w:rsidP="002E1D81">
            <w:pPr>
              <w:pStyle w:val="TableText0"/>
            </w:pPr>
            <w:r>
              <w:t>Receiving BUR</w:t>
            </w:r>
          </w:p>
        </w:tc>
        <w:tc>
          <w:tcPr>
            <w:tcW w:w="545" w:type="pct"/>
            <w:vAlign w:val="center"/>
          </w:tcPr>
          <w:p w14:paraId="460DCE8D" w14:textId="77777777" w:rsidR="00CE76B8" w:rsidRDefault="00CE76B8" w:rsidP="002E1D81">
            <w:pPr>
              <w:pStyle w:val="TableText0"/>
              <w:jc w:val="center"/>
            </w:pPr>
            <w:r>
              <w:t>Y1: 0.56</w:t>
            </w:r>
          </w:p>
        </w:tc>
        <w:tc>
          <w:tcPr>
            <w:tcW w:w="1400" w:type="pct"/>
            <w:vAlign w:val="center"/>
          </w:tcPr>
          <w:p w14:paraId="1AB9CCB8" w14:textId="77777777" w:rsidR="00CE76B8" w:rsidRDefault="00CE76B8" w:rsidP="002E1D81">
            <w:pPr>
              <w:pStyle w:val="TableText0"/>
            </w:pPr>
            <w:r>
              <w:t>0.44+0.12</w:t>
            </w:r>
          </w:p>
        </w:tc>
        <w:tc>
          <w:tcPr>
            <w:tcW w:w="2101" w:type="pct"/>
            <w:vMerge w:val="restart"/>
            <w:vAlign w:val="center"/>
          </w:tcPr>
          <w:p w14:paraId="64EF6BFC" w14:textId="77777777" w:rsidR="00CE76B8" w:rsidRDefault="00CE76B8" w:rsidP="002E1D81">
            <w:pPr>
              <w:pStyle w:val="TableText0"/>
            </w:pPr>
            <w:r>
              <w:t>Difference between BUR over time and baseline of CL303 WOMAC subscores mapped to EQ-5D then added to baseline</w:t>
            </w:r>
          </w:p>
        </w:tc>
      </w:tr>
      <w:tr w:rsidR="00CE76B8" w14:paraId="7925162D" w14:textId="77777777" w:rsidTr="002E1D81">
        <w:tc>
          <w:tcPr>
            <w:tcW w:w="951" w:type="pct"/>
            <w:vMerge/>
            <w:vAlign w:val="center"/>
          </w:tcPr>
          <w:p w14:paraId="5808A527" w14:textId="77777777" w:rsidR="00CE76B8" w:rsidRDefault="00CE76B8" w:rsidP="002E1D81">
            <w:pPr>
              <w:pStyle w:val="TableText0"/>
            </w:pPr>
          </w:p>
        </w:tc>
        <w:tc>
          <w:tcPr>
            <w:tcW w:w="545" w:type="pct"/>
            <w:vAlign w:val="center"/>
          </w:tcPr>
          <w:p w14:paraId="5EB4A15B" w14:textId="77777777" w:rsidR="00CE76B8" w:rsidRDefault="00CE76B8" w:rsidP="002E1D81">
            <w:pPr>
              <w:pStyle w:val="TableText0"/>
              <w:jc w:val="center"/>
            </w:pPr>
            <w:r>
              <w:t>Y2: 0.60</w:t>
            </w:r>
          </w:p>
        </w:tc>
        <w:tc>
          <w:tcPr>
            <w:tcW w:w="1400" w:type="pct"/>
            <w:vAlign w:val="center"/>
          </w:tcPr>
          <w:p w14:paraId="529F183E" w14:textId="77777777" w:rsidR="00CE76B8" w:rsidRDefault="00CE76B8" w:rsidP="002E1D81">
            <w:pPr>
              <w:pStyle w:val="TableText0"/>
            </w:pPr>
            <w:r>
              <w:t>0.44+0.16</w:t>
            </w:r>
          </w:p>
        </w:tc>
        <w:tc>
          <w:tcPr>
            <w:tcW w:w="2101" w:type="pct"/>
            <w:vMerge/>
            <w:vAlign w:val="center"/>
          </w:tcPr>
          <w:p w14:paraId="3C71E9DA" w14:textId="77777777" w:rsidR="00CE76B8" w:rsidRDefault="00CE76B8" w:rsidP="002E1D81">
            <w:pPr>
              <w:pStyle w:val="TableText0"/>
            </w:pPr>
          </w:p>
        </w:tc>
      </w:tr>
      <w:tr w:rsidR="00CE76B8" w14:paraId="3C318955" w14:textId="77777777" w:rsidTr="002E1D81">
        <w:tc>
          <w:tcPr>
            <w:tcW w:w="951" w:type="pct"/>
            <w:vMerge/>
            <w:vAlign w:val="center"/>
          </w:tcPr>
          <w:p w14:paraId="1ED0AF37" w14:textId="77777777" w:rsidR="00CE76B8" w:rsidRDefault="00CE76B8" w:rsidP="002E1D81">
            <w:pPr>
              <w:pStyle w:val="TableText0"/>
            </w:pPr>
          </w:p>
        </w:tc>
        <w:tc>
          <w:tcPr>
            <w:tcW w:w="545" w:type="pct"/>
            <w:vAlign w:val="center"/>
          </w:tcPr>
          <w:p w14:paraId="46DE95FD" w14:textId="77777777" w:rsidR="00CE76B8" w:rsidRDefault="00CE76B8" w:rsidP="002E1D81">
            <w:pPr>
              <w:pStyle w:val="TableText0"/>
              <w:jc w:val="center"/>
            </w:pPr>
            <w:r>
              <w:t>Y3+: 0.62</w:t>
            </w:r>
          </w:p>
        </w:tc>
        <w:tc>
          <w:tcPr>
            <w:tcW w:w="1400" w:type="pct"/>
            <w:vAlign w:val="center"/>
          </w:tcPr>
          <w:p w14:paraId="642CEFE9" w14:textId="77777777" w:rsidR="00CE76B8" w:rsidRDefault="00CE76B8" w:rsidP="002E1D81">
            <w:pPr>
              <w:pStyle w:val="TableText0"/>
            </w:pPr>
            <w:r>
              <w:t>0.44+0.18</w:t>
            </w:r>
          </w:p>
        </w:tc>
        <w:tc>
          <w:tcPr>
            <w:tcW w:w="2101" w:type="pct"/>
            <w:vMerge/>
            <w:vAlign w:val="center"/>
          </w:tcPr>
          <w:p w14:paraId="2AFCB827" w14:textId="77777777" w:rsidR="00CE76B8" w:rsidRDefault="00CE76B8" w:rsidP="002E1D81">
            <w:pPr>
              <w:pStyle w:val="TableText0"/>
            </w:pPr>
          </w:p>
        </w:tc>
      </w:tr>
      <w:tr w:rsidR="00CE76B8" w:rsidRPr="001826F4" w14:paraId="4CA1A96D" w14:textId="77777777" w:rsidTr="002E1D81">
        <w:tc>
          <w:tcPr>
            <w:tcW w:w="5000" w:type="pct"/>
            <w:gridSpan w:val="4"/>
            <w:vAlign w:val="center"/>
          </w:tcPr>
          <w:p w14:paraId="536E6190" w14:textId="77777777" w:rsidR="00CE76B8" w:rsidRPr="001826F4" w:rsidRDefault="00CE76B8" w:rsidP="002E1D81">
            <w:pPr>
              <w:pStyle w:val="TableText0"/>
              <w:rPr>
                <w:b/>
              </w:rPr>
            </w:pPr>
            <w:r w:rsidRPr="001826F4">
              <w:rPr>
                <w:b/>
              </w:rPr>
              <w:t>Morbidity specific</w:t>
            </w:r>
          </w:p>
        </w:tc>
      </w:tr>
      <w:tr w:rsidR="00CE76B8" w14:paraId="2223307E" w14:textId="77777777" w:rsidTr="002E1D81">
        <w:tc>
          <w:tcPr>
            <w:tcW w:w="951" w:type="pct"/>
            <w:vAlign w:val="center"/>
          </w:tcPr>
          <w:p w14:paraId="70EDABD0" w14:textId="77777777" w:rsidR="00CE76B8" w:rsidRDefault="00CE76B8" w:rsidP="002E1D81">
            <w:pPr>
              <w:pStyle w:val="TableText0"/>
            </w:pPr>
            <w:r w:rsidRPr="00B81B6E">
              <w:t>Foot</w:t>
            </w:r>
            <w:r>
              <w:t xml:space="preserve"> fracture</w:t>
            </w:r>
          </w:p>
          <w:p w14:paraId="68E53602" w14:textId="77777777" w:rsidR="00CE76B8" w:rsidRDefault="00CE76B8" w:rsidP="002E1D81">
            <w:pPr>
              <w:pStyle w:val="TableText0"/>
            </w:pPr>
            <w:r w:rsidRPr="00B81B6E">
              <w:t xml:space="preserve">Tibia/Fibula </w:t>
            </w:r>
            <w:r>
              <w:t>fracture</w:t>
            </w:r>
          </w:p>
          <w:p w14:paraId="3C55D6D9" w14:textId="77777777" w:rsidR="00CE76B8" w:rsidRDefault="00CE76B8" w:rsidP="002E1D81">
            <w:pPr>
              <w:pStyle w:val="TableText0"/>
            </w:pPr>
            <w:r w:rsidRPr="00B81B6E">
              <w:t>Femur/Pelvis fracture</w:t>
            </w:r>
            <w:r>
              <w:t xml:space="preserve"> </w:t>
            </w:r>
          </w:p>
          <w:p w14:paraId="442020CB" w14:textId="77777777" w:rsidR="00CE76B8" w:rsidRDefault="00CE76B8" w:rsidP="002E1D81">
            <w:pPr>
              <w:pStyle w:val="TableText0"/>
            </w:pPr>
            <w:r>
              <w:t>(initial)</w:t>
            </w:r>
          </w:p>
        </w:tc>
        <w:tc>
          <w:tcPr>
            <w:tcW w:w="545" w:type="pct"/>
            <w:vAlign w:val="center"/>
          </w:tcPr>
          <w:p w14:paraId="1F96DD0C" w14:textId="77777777" w:rsidR="00CE76B8" w:rsidRDefault="00CE76B8" w:rsidP="002E1D81">
            <w:pPr>
              <w:pStyle w:val="TableText0"/>
              <w:jc w:val="center"/>
            </w:pPr>
            <w:r>
              <w:t>0.70</w:t>
            </w:r>
          </w:p>
        </w:tc>
        <w:tc>
          <w:tcPr>
            <w:tcW w:w="1400" w:type="pct"/>
            <w:vAlign w:val="center"/>
          </w:tcPr>
          <w:p w14:paraId="79AACBE7" w14:textId="77777777" w:rsidR="00CE76B8" w:rsidRDefault="00CE76B8" w:rsidP="002E1D81">
            <w:pPr>
              <w:pStyle w:val="TableText0"/>
            </w:pPr>
            <w:r>
              <w:t>Applied one year to patients entering morbidity state</w:t>
            </w:r>
          </w:p>
        </w:tc>
        <w:tc>
          <w:tcPr>
            <w:tcW w:w="2101" w:type="pct"/>
            <w:vAlign w:val="center"/>
          </w:tcPr>
          <w:p w14:paraId="285D661D" w14:textId="77777777" w:rsidR="00CE76B8" w:rsidRDefault="00CE76B8" w:rsidP="002E1D81">
            <w:pPr>
              <w:pStyle w:val="TableText0"/>
            </w:pPr>
            <w:r>
              <w:t>Hip fractures, from NICE TA204</w:t>
            </w:r>
            <w:r w:rsidRPr="001826F4">
              <w:rPr>
                <w:vertAlign w:val="superscript"/>
              </w:rPr>
              <w:t>1</w:t>
            </w:r>
          </w:p>
        </w:tc>
      </w:tr>
      <w:tr w:rsidR="00CE76B8" w14:paraId="5585C771" w14:textId="77777777" w:rsidTr="002E1D81">
        <w:tc>
          <w:tcPr>
            <w:tcW w:w="951" w:type="pct"/>
            <w:vAlign w:val="center"/>
          </w:tcPr>
          <w:p w14:paraId="3B080FF7" w14:textId="77777777" w:rsidR="00CE76B8" w:rsidRDefault="00CE76B8" w:rsidP="002E1D81">
            <w:pPr>
              <w:pStyle w:val="TableText0"/>
            </w:pPr>
            <w:r w:rsidRPr="00B81B6E">
              <w:t>Foot</w:t>
            </w:r>
            <w:r>
              <w:t xml:space="preserve"> fracture</w:t>
            </w:r>
          </w:p>
          <w:p w14:paraId="3F59476E" w14:textId="77777777" w:rsidR="00CE76B8" w:rsidRDefault="00CE76B8" w:rsidP="002E1D81">
            <w:pPr>
              <w:pStyle w:val="TableText0"/>
            </w:pPr>
            <w:r w:rsidRPr="00B81B6E">
              <w:t xml:space="preserve">Tibia/Fibula </w:t>
            </w:r>
            <w:r>
              <w:t>fracture</w:t>
            </w:r>
          </w:p>
          <w:p w14:paraId="5F16127D" w14:textId="77777777" w:rsidR="00CE76B8" w:rsidRDefault="00CE76B8" w:rsidP="002E1D81">
            <w:pPr>
              <w:pStyle w:val="TableText0"/>
            </w:pPr>
            <w:r w:rsidRPr="00B81B6E">
              <w:t>Femur/Pelvis fracture</w:t>
            </w:r>
            <w:r>
              <w:t xml:space="preserve"> </w:t>
            </w:r>
          </w:p>
          <w:p w14:paraId="6CD022D8" w14:textId="77777777" w:rsidR="00CE76B8" w:rsidRDefault="00CE76B8" w:rsidP="002E1D81">
            <w:pPr>
              <w:pStyle w:val="TableText0"/>
            </w:pPr>
            <w:r>
              <w:t>(continuing)</w:t>
            </w:r>
          </w:p>
        </w:tc>
        <w:tc>
          <w:tcPr>
            <w:tcW w:w="545" w:type="pct"/>
            <w:vAlign w:val="center"/>
          </w:tcPr>
          <w:p w14:paraId="07D5A5B8" w14:textId="77777777" w:rsidR="00CE76B8" w:rsidRDefault="00CE76B8" w:rsidP="002E1D81">
            <w:pPr>
              <w:pStyle w:val="TableText0"/>
              <w:jc w:val="center"/>
            </w:pPr>
            <w:r>
              <w:t>0.80</w:t>
            </w:r>
          </w:p>
        </w:tc>
        <w:tc>
          <w:tcPr>
            <w:tcW w:w="1400" w:type="pct"/>
            <w:vAlign w:val="center"/>
          </w:tcPr>
          <w:p w14:paraId="2A433107" w14:textId="77777777" w:rsidR="00CE76B8" w:rsidRDefault="00CE76B8" w:rsidP="002E1D81">
            <w:pPr>
              <w:pStyle w:val="TableText0"/>
            </w:pPr>
            <w:r>
              <w:t>Applied every year to patients occupying morbidity state</w:t>
            </w:r>
          </w:p>
        </w:tc>
        <w:tc>
          <w:tcPr>
            <w:tcW w:w="2101" w:type="pct"/>
            <w:vAlign w:val="center"/>
          </w:tcPr>
          <w:p w14:paraId="6EBCA152" w14:textId="77777777" w:rsidR="00CE76B8" w:rsidRDefault="00CE76B8" w:rsidP="002E1D81">
            <w:pPr>
              <w:pStyle w:val="TableText0"/>
            </w:pPr>
            <w:r>
              <w:t>Hip fractures, from NICE TA204</w:t>
            </w:r>
            <w:r w:rsidRPr="001826F4">
              <w:rPr>
                <w:vertAlign w:val="superscript"/>
              </w:rPr>
              <w:t>1</w:t>
            </w:r>
          </w:p>
        </w:tc>
      </w:tr>
      <w:tr w:rsidR="00CE76B8" w14:paraId="40021F1C" w14:textId="77777777" w:rsidTr="002E1D81">
        <w:tc>
          <w:tcPr>
            <w:tcW w:w="951" w:type="pct"/>
            <w:vAlign w:val="center"/>
          </w:tcPr>
          <w:p w14:paraId="08410F3F" w14:textId="77777777" w:rsidR="00CE76B8" w:rsidRDefault="00CE76B8" w:rsidP="002E1D81">
            <w:pPr>
              <w:pStyle w:val="TableText0"/>
            </w:pPr>
            <w:r w:rsidRPr="00B81B6E">
              <w:t>Vertebrae/spinal fractures</w:t>
            </w:r>
            <w:r>
              <w:t xml:space="preserve"> (initial)</w:t>
            </w:r>
          </w:p>
        </w:tc>
        <w:tc>
          <w:tcPr>
            <w:tcW w:w="545" w:type="pct"/>
            <w:vAlign w:val="center"/>
          </w:tcPr>
          <w:p w14:paraId="42F2AB85" w14:textId="77777777" w:rsidR="00CE76B8" w:rsidRDefault="00CE76B8" w:rsidP="002E1D81">
            <w:pPr>
              <w:pStyle w:val="TableText0"/>
              <w:jc w:val="center"/>
            </w:pPr>
            <w:r>
              <w:t>0.65</w:t>
            </w:r>
          </w:p>
        </w:tc>
        <w:tc>
          <w:tcPr>
            <w:tcW w:w="1400" w:type="pct"/>
            <w:vAlign w:val="center"/>
          </w:tcPr>
          <w:p w14:paraId="72AAD9AA" w14:textId="77777777" w:rsidR="00CE76B8" w:rsidRDefault="00CE76B8" w:rsidP="002E1D81">
            <w:pPr>
              <w:pStyle w:val="TableText0"/>
            </w:pPr>
            <w:r>
              <w:t>Applied one year to patients entering morbidity state</w:t>
            </w:r>
          </w:p>
        </w:tc>
        <w:tc>
          <w:tcPr>
            <w:tcW w:w="2101" w:type="pct"/>
            <w:vAlign w:val="center"/>
          </w:tcPr>
          <w:p w14:paraId="1F6D527C" w14:textId="77777777" w:rsidR="00CE76B8" w:rsidRDefault="00CE76B8" w:rsidP="002E1D81">
            <w:pPr>
              <w:pStyle w:val="TableText0"/>
            </w:pPr>
            <w:r>
              <w:t>Hospitalised vertebral fractures from NICE TA204</w:t>
            </w:r>
            <w:r w:rsidRPr="001826F4">
              <w:rPr>
                <w:vertAlign w:val="superscript"/>
              </w:rPr>
              <w:t>1</w:t>
            </w:r>
          </w:p>
        </w:tc>
      </w:tr>
      <w:tr w:rsidR="00CE76B8" w14:paraId="45116B6B" w14:textId="77777777" w:rsidTr="002E1D81">
        <w:tc>
          <w:tcPr>
            <w:tcW w:w="951" w:type="pct"/>
            <w:vAlign w:val="center"/>
          </w:tcPr>
          <w:p w14:paraId="2C705AA0" w14:textId="77777777" w:rsidR="00CE76B8" w:rsidRDefault="00CE76B8" w:rsidP="002E1D81">
            <w:pPr>
              <w:pStyle w:val="TableText0"/>
            </w:pPr>
            <w:r w:rsidRPr="00B81B6E">
              <w:t>Vertebrae/spinal fractures</w:t>
            </w:r>
            <w:r>
              <w:t xml:space="preserve"> (continuing)</w:t>
            </w:r>
          </w:p>
        </w:tc>
        <w:tc>
          <w:tcPr>
            <w:tcW w:w="545" w:type="pct"/>
            <w:vAlign w:val="center"/>
          </w:tcPr>
          <w:p w14:paraId="6D5183B7" w14:textId="77777777" w:rsidR="00CE76B8" w:rsidRDefault="00CE76B8" w:rsidP="002E1D81">
            <w:pPr>
              <w:pStyle w:val="TableText0"/>
              <w:jc w:val="center"/>
            </w:pPr>
            <w:r>
              <w:t>0.73</w:t>
            </w:r>
          </w:p>
        </w:tc>
        <w:tc>
          <w:tcPr>
            <w:tcW w:w="1400" w:type="pct"/>
            <w:vAlign w:val="center"/>
          </w:tcPr>
          <w:p w14:paraId="6B36EA48" w14:textId="77777777" w:rsidR="00CE76B8" w:rsidRDefault="00CE76B8" w:rsidP="002E1D81">
            <w:pPr>
              <w:pStyle w:val="TableText0"/>
            </w:pPr>
            <w:r>
              <w:t>Applied every year to patients occupying morbidity state</w:t>
            </w:r>
          </w:p>
        </w:tc>
        <w:tc>
          <w:tcPr>
            <w:tcW w:w="2101" w:type="pct"/>
            <w:vAlign w:val="center"/>
          </w:tcPr>
          <w:p w14:paraId="34C6AE17" w14:textId="77777777" w:rsidR="00CE76B8" w:rsidRDefault="00CE76B8" w:rsidP="002E1D81">
            <w:pPr>
              <w:pStyle w:val="TableText0"/>
            </w:pPr>
            <w:r>
              <w:t>Hospitalised vertebral fractures from NICE TA204</w:t>
            </w:r>
            <w:r w:rsidRPr="001826F4">
              <w:rPr>
                <w:vertAlign w:val="superscript"/>
              </w:rPr>
              <w:t>1</w:t>
            </w:r>
          </w:p>
        </w:tc>
      </w:tr>
      <w:tr w:rsidR="00CE76B8" w14:paraId="60BAC1BC" w14:textId="77777777" w:rsidTr="002E1D81">
        <w:tc>
          <w:tcPr>
            <w:tcW w:w="951" w:type="pct"/>
            <w:vAlign w:val="center"/>
          </w:tcPr>
          <w:p w14:paraId="4852B127" w14:textId="77777777" w:rsidR="00CE76B8" w:rsidRDefault="00CE76B8" w:rsidP="002E1D81">
            <w:pPr>
              <w:pStyle w:val="TableText0"/>
            </w:pPr>
            <w:r w:rsidRPr="00B81B6E">
              <w:t>Upper limb fractures</w:t>
            </w:r>
          </w:p>
        </w:tc>
        <w:tc>
          <w:tcPr>
            <w:tcW w:w="545" w:type="pct"/>
            <w:vAlign w:val="center"/>
          </w:tcPr>
          <w:p w14:paraId="2762F15F" w14:textId="77777777" w:rsidR="00CE76B8" w:rsidRDefault="00CE76B8" w:rsidP="002E1D81">
            <w:pPr>
              <w:pStyle w:val="TableText0"/>
              <w:jc w:val="center"/>
            </w:pPr>
            <w:r>
              <w:t>0.93</w:t>
            </w:r>
          </w:p>
        </w:tc>
        <w:tc>
          <w:tcPr>
            <w:tcW w:w="1400" w:type="pct"/>
            <w:vAlign w:val="center"/>
          </w:tcPr>
          <w:p w14:paraId="19D298F0" w14:textId="77777777" w:rsidR="00CE76B8" w:rsidRDefault="00CE76B8" w:rsidP="002E1D81">
            <w:pPr>
              <w:pStyle w:val="TableText0"/>
            </w:pPr>
            <w:r>
              <w:t>Applied one year to patients experiencing morbidity event</w:t>
            </w:r>
          </w:p>
        </w:tc>
        <w:tc>
          <w:tcPr>
            <w:tcW w:w="2101" w:type="pct"/>
            <w:vAlign w:val="center"/>
          </w:tcPr>
          <w:p w14:paraId="3F41F758" w14:textId="77777777" w:rsidR="00CE76B8" w:rsidRDefault="00CE76B8" w:rsidP="002E1D81">
            <w:pPr>
              <w:pStyle w:val="TableText0"/>
            </w:pPr>
            <w:r>
              <w:t>Wrist fracture from NICE TA204</w:t>
            </w:r>
            <w:r w:rsidRPr="001826F4">
              <w:rPr>
                <w:vertAlign w:val="superscript"/>
              </w:rPr>
              <w:t>1</w:t>
            </w:r>
          </w:p>
        </w:tc>
      </w:tr>
      <w:tr w:rsidR="00CE76B8" w14:paraId="5B30AA20" w14:textId="77777777" w:rsidTr="002E1D81">
        <w:tc>
          <w:tcPr>
            <w:tcW w:w="951" w:type="pct"/>
            <w:vAlign w:val="center"/>
          </w:tcPr>
          <w:p w14:paraId="77A7302C" w14:textId="77777777" w:rsidR="00CE76B8" w:rsidRDefault="00CE76B8" w:rsidP="002E1D81">
            <w:pPr>
              <w:pStyle w:val="TableText0"/>
            </w:pPr>
            <w:r w:rsidRPr="00B81B6E">
              <w:t>Other fractures</w:t>
            </w:r>
          </w:p>
        </w:tc>
        <w:tc>
          <w:tcPr>
            <w:tcW w:w="545" w:type="pct"/>
            <w:vAlign w:val="center"/>
          </w:tcPr>
          <w:p w14:paraId="63EFF0E2" w14:textId="77777777" w:rsidR="00CE76B8" w:rsidRDefault="00CE76B8" w:rsidP="002E1D81">
            <w:pPr>
              <w:pStyle w:val="TableText0"/>
              <w:jc w:val="center"/>
            </w:pPr>
            <w:r>
              <w:t>0.93</w:t>
            </w:r>
          </w:p>
        </w:tc>
        <w:tc>
          <w:tcPr>
            <w:tcW w:w="1400" w:type="pct"/>
            <w:vAlign w:val="center"/>
          </w:tcPr>
          <w:p w14:paraId="06F8F355" w14:textId="77777777" w:rsidR="00CE76B8" w:rsidRDefault="00CE76B8" w:rsidP="002E1D81">
            <w:pPr>
              <w:pStyle w:val="TableText0"/>
            </w:pPr>
            <w:r>
              <w:t>Applied one year to patients experiencing morbidity event</w:t>
            </w:r>
          </w:p>
        </w:tc>
        <w:tc>
          <w:tcPr>
            <w:tcW w:w="2101" w:type="pct"/>
            <w:vAlign w:val="center"/>
          </w:tcPr>
          <w:p w14:paraId="179BC691" w14:textId="77777777" w:rsidR="00CE76B8" w:rsidRDefault="00CE76B8" w:rsidP="002E1D81">
            <w:pPr>
              <w:pStyle w:val="TableText0"/>
            </w:pPr>
            <w:r>
              <w:t>Other fracture from NICE TA204</w:t>
            </w:r>
            <w:r w:rsidRPr="001826F4">
              <w:rPr>
                <w:vertAlign w:val="superscript"/>
              </w:rPr>
              <w:t>1</w:t>
            </w:r>
          </w:p>
          <w:p w14:paraId="4E1D757A" w14:textId="77777777" w:rsidR="00CE76B8" w:rsidRPr="000D1B4D" w:rsidRDefault="00CE76B8" w:rsidP="002E1D81">
            <w:pPr>
              <w:pStyle w:val="TableText0"/>
            </w:pPr>
            <w:r>
              <w:t>(based on wrist fracture, in TA204 used for pelvis, femur, rib, clavicle, sternum, scapula, tibia and fibula fractures)</w:t>
            </w:r>
          </w:p>
        </w:tc>
      </w:tr>
      <w:tr w:rsidR="00CE76B8" w14:paraId="79C91FE9" w14:textId="77777777" w:rsidTr="002E1D81">
        <w:tc>
          <w:tcPr>
            <w:tcW w:w="951" w:type="pct"/>
            <w:vAlign w:val="center"/>
          </w:tcPr>
          <w:p w14:paraId="74FB8189" w14:textId="77777777" w:rsidR="00CE76B8" w:rsidRDefault="00CE76B8" w:rsidP="002E1D81">
            <w:pPr>
              <w:pStyle w:val="TableText0"/>
            </w:pPr>
            <w:r w:rsidRPr="00B81B6E">
              <w:t>Spinal stenosis</w:t>
            </w:r>
          </w:p>
        </w:tc>
        <w:tc>
          <w:tcPr>
            <w:tcW w:w="545" w:type="pct"/>
            <w:vAlign w:val="center"/>
          </w:tcPr>
          <w:p w14:paraId="6FA564E5" w14:textId="77777777" w:rsidR="00CE76B8" w:rsidRDefault="00CE76B8" w:rsidP="002E1D81">
            <w:pPr>
              <w:pStyle w:val="TableText0"/>
              <w:jc w:val="center"/>
            </w:pPr>
            <w:r>
              <w:t>1.00</w:t>
            </w:r>
          </w:p>
        </w:tc>
        <w:tc>
          <w:tcPr>
            <w:tcW w:w="1400" w:type="pct"/>
            <w:vAlign w:val="center"/>
          </w:tcPr>
          <w:p w14:paraId="371C9669" w14:textId="77777777" w:rsidR="00CE76B8" w:rsidRDefault="00CE76B8" w:rsidP="002E1D81">
            <w:pPr>
              <w:pStyle w:val="TableText0"/>
            </w:pPr>
            <w:r>
              <w:t>Applied one year to patients experiencing morbidity event</w:t>
            </w:r>
          </w:p>
        </w:tc>
        <w:tc>
          <w:tcPr>
            <w:tcW w:w="2101" w:type="pct"/>
            <w:vAlign w:val="center"/>
          </w:tcPr>
          <w:p w14:paraId="5EC2FF4D" w14:textId="77777777" w:rsidR="00CE76B8" w:rsidRDefault="00CE76B8" w:rsidP="002E1D81">
            <w:pPr>
              <w:pStyle w:val="TableText0"/>
            </w:pPr>
            <w:r>
              <w:t>Assumption</w:t>
            </w:r>
          </w:p>
        </w:tc>
      </w:tr>
      <w:tr w:rsidR="00CE76B8" w14:paraId="6FF5E180" w14:textId="77777777" w:rsidTr="002E1D81">
        <w:tc>
          <w:tcPr>
            <w:tcW w:w="951" w:type="pct"/>
            <w:vAlign w:val="center"/>
          </w:tcPr>
          <w:p w14:paraId="33DA1FE9" w14:textId="77777777" w:rsidR="00CE76B8" w:rsidRDefault="00CE76B8" w:rsidP="002E1D81">
            <w:pPr>
              <w:pStyle w:val="TableText0"/>
            </w:pPr>
            <w:r w:rsidRPr="00B81B6E">
              <w:t>Dental abscesses</w:t>
            </w:r>
          </w:p>
        </w:tc>
        <w:tc>
          <w:tcPr>
            <w:tcW w:w="545" w:type="pct"/>
            <w:vAlign w:val="center"/>
          </w:tcPr>
          <w:p w14:paraId="520707A2" w14:textId="77777777" w:rsidR="00CE76B8" w:rsidRDefault="00CE76B8" w:rsidP="002E1D81">
            <w:pPr>
              <w:pStyle w:val="TableText0"/>
              <w:jc w:val="center"/>
            </w:pPr>
            <w:r>
              <w:t>0.99</w:t>
            </w:r>
          </w:p>
        </w:tc>
        <w:tc>
          <w:tcPr>
            <w:tcW w:w="1400" w:type="pct"/>
            <w:vAlign w:val="center"/>
          </w:tcPr>
          <w:p w14:paraId="72BCB175" w14:textId="77777777" w:rsidR="00CE76B8" w:rsidRDefault="00CE76B8" w:rsidP="002E1D81">
            <w:pPr>
              <w:pStyle w:val="TableText0"/>
            </w:pPr>
            <w:r>
              <w:t>Applied one year to patients experiencing morbidity event</w:t>
            </w:r>
          </w:p>
        </w:tc>
        <w:tc>
          <w:tcPr>
            <w:tcW w:w="2101" w:type="pct"/>
            <w:vAlign w:val="center"/>
          </w:tcPr>
          <w:p w14:paraId="4BF0CD04" w14:textId="77777777" w:rsidR="00CE76B8" w:rsidRDefault="00CE76B8" w:rsidP="002E1D81">
            <w:pPr>
              <w:pStyle w:val="TableText0"/>
            </w:pPr>
            <w:r>
              <w:t>Claxton 2014*</w:t>
            </w:r>
          </w:p>
        </w:tc>
      </w:tr>
      <w:tr w:rsidR="00CE76B8" w14:paraId="109BC852" w14:textId="77777777" w:rsidTr="002E1D81">
        <w:tc>
          <w:tcPr>
            <w:tcW w:w="951" w:type="pct"/>
            <w:vAlign w:val="center"/>
          </w:tcPr>
          <w:p w14:paraId="46D8DD8A" w14:textId="77777777" w:rsidR="00CE76B8" w:rsidRDefault="00CE76B8" w:rsidP="002E1D81">
            <w:pPr>
              <w:pStyle w:val="TableText0"/>
            </w:pPr>
            <w:r w:rsidRPr="00B81B6E">
              <w:t>Hearing loss/Tinnitus</w:t>
            </w:r>
            <w:r>
              <w:t xml:space="preserve"> (initial)</w:t>
            </w:r>
          </w:p>
        </w:tc>
        <w:tc>
          <w:tcPr>
            <w:tcW w:w="545" w:type="pct"/>
            <w:vAlign w:val="center"/>
          </w:tcPr>
          <w:p w14:paraId="08B7E2A9" w14:textId="77777777" w:rsidR="00CE76B8" w:rsidRDefault="00CE76B8" w:rsidP="002E1D81">
            <w:pPr>
              <w:pStyle w:val="TableText0"/>
              <w:jc w:val="center"/>
            </w:pPr>
            <w:r>
              <w:t>0.92</w:t>
            </w:r>
          </w:p>
        </w:tc>
        <w:tc>
          <w:tcPr>
            <w:tcW w:w="1400" w:type="pct"/>
            <w:vAlign w:val="center"/>
          </w:tcPr>
          <w:p w14:paraId="117F139C" w14:textId="77777777" w:rsidR="00CE76B8" w:rsidRDefault="00CE76B8" w:rsidP="002E1D81">
            <w:pPr>
              <w:pStyle w:val="TableText0"/>
            </w:pPr>
            <w:r>
              <w:t>Applied one year to patients entering morbidity state</w:t>
            </w:r>
          </w:p>
        </w:tc>
        <w:tc>
          <w:tcPr>
            <w:tcW w:w="2101" w:type="pct"/>
            <w:vAlign w:val="center"/>
          </w:tcPr>
          <w:p w14:paraId="53201393" w14:textId="77777777" w:rsidR="00CE76B8" w:rsidRDefault="00CE76B8" w:rsidP="002E1D81">
            <w:pPr>
              <w:pStyle w:val="TableText0"/>
            </w:pPr>
            <w:r>
              <w:t>Barton 2005*</w:t>
            </w:r>
          </w:p>
        </w:tc>
      </w:tr>
      <w:tr w:rsidR="00CE76B8" w14:paraId="452F012E" w14:textId="77777777" w:rsidTr="002E1D81">
        <w:tc>
          <w:tcPr>
            <w:tcW w:w="951" w:type="pct"/>
            <w:vAlign w:val="center"/>
          </w:tcPr>
          <w:p w14:paraId="4360A411" w14:textId="77777777" w:rsidR="00CE76B8" w:rsidRDefault="00CE76B8" w:rsidP="002E1D81">
            <w:pPr>
              <w:pStyle w:val="TableText0"/>
            </w:pPr>
            <w:r w:rsidRPr="00B81B6E">
              <w:t>Hearing loss/Tinnitus</w:t>
            </w:r>
            <w:r>
              <w:t xml:space="preserve"> (continuing)</w:t>
            </w:r>
          </w:p>
        </w:tc>
        <w:tc>
          <w:tcPr>
            <w:tcW w:w="545" w:type="pct"/>
            <w:vAlign w:val="center"/>
          </w:tcPr>
          <w:p w14:paraId="6D82F571" w14:textId="77777777" w:rsidR="00CE76B8" w:rsidRDefault="00CE76B8" w:rsidP="002E1D81">
            <w:pPr>
              <w:pStyle w:val="TableText0"/>
              <w:jc w:val="center"/>
            </w:pPr>
            <w:r>
              <w:t>0.92</w:t>
            </w:r>
          </w:p>
        </w:tc>
        <w:tc>
          <w:tcPr>
            <w:tcW w:w="1400" w:type="pct"/>
            <w:vAlign w:val="center"/>
          </w:tcPr>
          <w:p w14:paraId="540EE503" w14:textId="77777777" w:rsidR="00CE76B8" w:rsidRDefault="00CE76B8" w:rsidP="002E1D81">
            <w:pPr>
              <w:pStyle w:val="TableText0"/>
            </w:pPr>
            <w:r>
              <w:t>Applied every year to patients occupying morbidity state</w:t>
            </w:r>
          </w:p>
        </w:tc>
        <w:tc>
          <w:tcPr>
            <w:tcW w:w="2101" w:type="pct"/>
            <w:vAlign w:val="center"/>
          </w:tcPr>
          <w:p w14:paraId="5A7492C2" w14:textId="77777777" w:rsidR="00CE76B8" w:rsidRDefault="00CE76B8" w:rsidP="002E1D81">
            <w:pPr>
              <w:pStyle w:val="TableText0"/>
            </w:pPr>
            <w:r>
              <w:t>Barton 2005*</w:t>
            </w:r>
          </w:p>
        </w:tc>
      </w:tr>
      <w:tr w:rsidR="00CE76B8" w14:paraId="64B35F6D" w14:textId="77777777" w:rsidTr="002E1D81">
        <w:tc>
          <w:tcPr>
            <w:tcW w:w="951" w:type="pct"/>
            <w:vAlign w:val="center"/>
          </w:tcPr>
          <w:p w14:paraId="374D2059" w14:textId="77777777" w:rsidR="00CE76B8" w:rsidRDefault="00CE76B8" w:rsidP="002E1D81">
            <w:pPr>
              <w:pStyle w:val="TableText0"/>
            </w:pPr>
            <w:r w:rsidRPr="00B81B6E">
              <w:t>Kidney stones</w:t>
            </w:r>
          </w:p>
        </w:tc>
        <w:tc>
          <w:tcPr>
            <w:tcW w:w="545" w:type="pct"/>
            <w:vAlign w:val="center"/>
          </w:tcPr>
          <w:p w14:paraId="24DEB99F" w14:textId="77777777" w:rsidR="00CE76B8" w:rsidRDefault="00CE76B8" w:rsidP="002E1D81">
            <w:pPr>
              <w:pStyle w:val="TableText0"/>
              <w:jc w:val="center"/>
            </w:pPr>
            <w:r>
              <w:t>0.78</w:t>
            </w:r>
          </w:p>
        </w:tc>
        <w:tc>
          <w:tcPr>
            <w:tcW w:w="1400" w:type="pct"/>
            <w:vAlign w:val="center"/>
          </w:tcPr>
          <w:p w14:paraId="0F83C096" w14:textId="77777777" w:rsidR="00CE76B8" w:rsidRDefault="00CE76B8" w:rsidP="002E1D81">
            <w:pPr>
              <w:pStyle w:val="TableText0"/>
            </w:pPr>
            <w:r>
              <w:t>Applied one year to patients experiencing morbidity event</w:t>
            </w:r>
          </w:p>
        </w:tc>
        <w:tc>
          <w:tcPr>
            <w:tcW w:w="2101" w:type="pct"/>
            <w:vAlign w:val="center"/>
          </w:tcPr>
          <w:p w14:paraId="4C7FFA55" w14:textId="77777777" w:rsidR="00CE76B8" w:rsidRDefault="00CE76B8" w:rsidP="002E1D81">
            <w:pPr>
              <w:pStyle w:val="TableText0"/>
            </w:pPr>
            <w:r>
              <w:t>NICE 2019 and Pickard*</w:t>
            </w:r>
          </w:p>
        </w:tc>
      </w:tr>
      <w:tr w:rsidR="00CE76B8" w14:paraId="2BE29EF4" w14:textId="77777777" w:rsidTr="002E1D81">
        <w:tc>
          <w:tcPr>
            <w:tcW w:w="951" w:type="pct"/>
            <w:vAlign w:val="center"/>
          </w:tcPr>
          <w:p w14:paraId="5060BC8D" w14:textId="77777777" w:rsidR="00CE76B8" w:rsidRDefault="00CE76B8" w:rsidP="002E1D81">
            <w:pPr>
              <w:pStyle w:val="TableText0"/>
            </w:pPr>
            <w:r w:rsidRPr="00B81B6E">
              <w:t>Hyperparathyroidism</w:t>
            </w:r>
          </w:p>
        </w:tc>
        <w:tc>
          <w:tcPr>
            <w:tcW w:w="545" w:type="pct"/>
            <w:vAlign w:val="center"/>
          </w:tcPr>
          <w:p w14:paraId="2A2E52E7" w14:textId="77777777" w:rsidR="00CE76B8" w:rsidRDefault="00CE76B8" w:rsidP="002E1D81">
            <w:pPr>
              <w:pStyle w:val="TableText0"/>
              <w:jc w:val="center"/>
            </w:pPr>
            <w:r>
              <w:t>1.00</w:t>
            </w:r>
          </w:p>
        </w:tc>
        <w:tc>
          <w:tcPr>
            <w:tcW w:w="1400" w:type="pct"/>
            <w:vAlign w:val="center"/>
          </w:tcPr>
          <w:p w14:paraId="4E2F2E0D" w14:textId="77777777" w:rsidR="00CE76B8" w:rsidRDefault="00CE76B8" w:rsidP="002E1D81">
            <w:pPr>
              <w:pStyle w:val="TableText0"/>
            </w:pPr>
            <w:r>
              <w:t>Applied one year to patients experiencing morbidity event</w:t>
            </w:r>
          </w:p>
        </w:tc>
        <w:tc>
          <w:tcPr>
            <w:tcW w:w="2101" w:type="pct"/>
            <w:vAlign w:val="center"/>
          </w:tcPr>
          <w:p w14:paraId="0306832A" w14:textId="77777777" w:rsidR="00CE76B8" w:rsidRDefault="00CE76B8" w:rsidP="002E1D81">
            <w:pPr>
              <w:pStyle w:val="TableText0"/>
            </w:pPr>
            <w:r>
              <w:t>Assumption</w:t>
            </w:r>
          </w:p>
        </w:tc>
      </w:tr>
      <w:tr w:rsidR="00CE76B8" w14:paraId="238AB789" w14:textId="77777777" w:rsidTr="002E1D81">
        <w:tc>
          <w:tcPr>
            <w:tcW w:w="951" w:type="pct"/>
            <w:vAlign w:val="center"/>
          </w:tcPr>
          <w:p w14:paraId="2FF8AF11" w14:textId="77777777" w:rsidR="00CE76B8" w:rsidRDefault="00CE76B8" w:rsidP="002E1D81">
            <w:pPr>
              <w:pStyle w:val="TableText0"/>
            </w:pPr>
            <w:r>
              <w:t>Requiring, p</w:t>
            </w:r>
            <w:r w:rsidRPr="00B81B6E">
              <w:t>arathyroidectomy</w:t>
            </w:r>
          </w:p>
        </w:tc>
        <w:tc>
          <w:tcPr>
            <w:tcW w:w="545" w:type="pct"/>
            <w:vAlign w:val="center"/>
          </w:tcPr>
          <w:p w14:paraId="7260E109" w14:textId="77777777" w:rsidR="00CE76B8" w:rsidRDefault="00CE76B8" w:rsidP="002E1D81">
            <w:pPr>
              <w:pStyle w:val="TableText0"/>
              <w:jc w:val="center"/>
            </w:pPr>
            <w:r>
              <w:t>0.90</w:t>
            </w:r>
          </w:p>
        </w:tc>
        <w:tc>
          <w:tcPr>
            <w:tcW w:w="1400" w:type="pct"/>
            <w:vAlign w:val="center"/>
          </w:tcPr>
          <w:p w14:paraId="09A60983" w14:textId="77777777" w:rsidR="00CE76B8" w:rsidRDefault="00CE76B8" w:rsidP="002E1D81">
            <w:pPr>
              <w:pStyle w:val="TableText0"/>
            </w:pPr>
            <w:r>
              <w:t>Applied one year to patients experiencing morbidity event</w:t>
            </w:r>
          </w:p>
        </w:tc>
        <w:tc>
          <w:tcPr>
            <w:tcW w:w="2101" w:type="pct"/>
            <w:vAlign w:val="center"/>
          </w:tcPr>
          <w:p w14:paraId="41C7A827" w14:textId="77777777" w:rsidR="00CE76B8" w:rsidRDefault="00CE76B8" w:rsidP="002E1D81">
            <w:pPr>
              <w:pStyle w:val="TableText0"/>
            </w:pPr>
            <w:r>
              <w:t>Symptomatic hyperparathyroidism Zanocco 2017</w:t>
            </w:r>
            <w:r w:rsidRPr="009D2B71">
              <w:rPr>
                <w:vertAlign w:val="superscript"/>
              </w:rPr>
              <w:t>2</w:t>
            </w:r>
          </w:p>
        </w:tc>
      </w:tr>
      <w:tr w:rsidR="00CE76B8" w14:paraId="3F9100F2" w14:textId="77777777" w:rsidTr="002E1D81">
        <w:tc>
          <w:tcPr>
            <w:tcW w:w="951" w:type="pct"/>
            <w:vAlign w:val="center"/>
          </w:tcPr>
          <w:p w14:paraId="1BAFD4AB" w14:textId="77777777" w:rsidR="00CE76B8" w:rsidRDefault="00CE76B8" w:rsidP="002E1D81">
            <w:pPr>
              <w:pStyle w:val="TableText0"/>
            </w:pPr>
            <w:r>
              <w:t>Requiring s</w:t>
            </w:r>
            <w:r w:rsidRPr="00B81B6E">
              <w:t>pinal surgery</w:t>
            </w:r>
            <w:r>
              <w:t xml:space="preserve"> (initial)</w:t>
            </w:r>
          </w:p>
        </w:tc>
        <w:tc>
          <w:tcPr>
            <w:tcW w:w="545" w:type="pct"/>
            <w:vAlign w:val="center"/>
          </w:tcPr>
          <w:p w14:paraId="437E6C0D" w14:textId="77777777" w:rsidR="00CE76B8" w:rsidRDefault="00CE76B8" w:rsidP="002E1D81">
            <w:pPr>
              <w:pStyle w:val="TableText0"/>
              <w:jc w:val="center"/>
            </w:pPr>
            <w:r>
              <w:t>0.65</w:t>
            </w:r>
          </w:p>
        </w:tc>
        <w:tc>
          <w:tcPr>
            <w:tcW w:w="1400" w:type="pct"/>
            <w:vAlign w:val="center"/>
          </w:tcPr>
          <w:p w14:paraId="640416F2" w14:textId="77777777" w:rsidR="00CE76B8" w:rsidRDefault="00CE76B8" w:rsidP="002E1D81">
            <w:pPr>
              <w:pStyle w:val="TableText0"/>
            </w:pPr>
            <w:r>
              <w:t>Applied one year to patients entering morbidity state</w:t>
            </w:r>
          </w:p>
        </w:tc>
        <w:tc>
          <w:tcPr>
            <w:tcW w:w="2101" w:type="pct"/>
            <w:vAlign w:val="center"/>
          </w:tcPr>
          <w:p w14:paraId="0BF13528" w14:textId="77777777" w:rsidR="00CE76B8" w:rsidRDefault="00CE76B8" w:rsidP="002E1D81">
            <w:pPr>
              <w:pStyle w:val="TableText0"/>
            </w:pPr>
            <w:r>
              <w:t>Assumed equal to v</w:t>
            </w:r>
            <w:r w:rsidRPr="00B81B6E">
              <w:t>ertebrae/spinal fractures</w:t>
            </w:r>
            <w:r>
              <w:t xml:space="preserve"> (initial)</w:t>
            </w:r>
          </w:p>
        </w:tc>
      </w:tr>
      <w:tr w:rsidR="00CE76B8" w14:paraId="70AB0274" w14:textId="77777777" w:rsidTr="002E1D81">
        <w:tc>
          <w:tcPr>
            <w:tcW w:w="951" w:type="pct"/>
            <w:vAlign w:val="center"/>
          </w:tcPr>
          <w:p w14:paraId="38DE0D58" w14:textId="77777777" w:rsidR="00CE76B8" w:rsidRDefault="00CE76B8" w:rsidP="002E1D81">
            <w:pPr>
              <w:pStyle w:val="TableText0"/>
            </w:pPr>
            <w:r>
              <w:t>Requiring s</w:t>
            </w:r>
            <w:r w:rsidRPr="00B81B6E">
              <w:t>pinal surgery</w:t>
            </w:r>
            <w:r>
              <w:t xml:space="preserve"> (continuing)</w:t>
            </w:r>
          </w:p>
        </w:tc>
        <w:tc>
          <w:tcPr>
            <w:tcW w:w="545" w:type="pct"/>
            <w:vAlign w:val="center"/>
          </w:tcPr>
          <w:p w14:paraId="39B2C31C" w14:textId="77777777" w:rsidR="00CE76B8" w:rsidRDefault="00CE76B8" w:rsidP="002E1D81">
            <w:pPr>
              <w:pStyle w:val="TableText0"/>
              <w:jc w:val="center"/>
            </w:pPr>
            <w:r>
              <w:t>0.73</w:t>
            </w:r>
          </w:p>
        </w:tc>
        <w:tc>
          <w:tcPr>
            <w:tcW w:w="1400" w:type="pct"/>
            <w:vAlign w:val="center"/>
          </w:tcPr>
          <w:p w14:paraId="19F3D05B" w14:textId="77777777" w:rsidR="00CE76B8" w:rsidRDefault="00CE76B8" w:rsidP="002E1D81">
            <w:pPr>
              <w:pStyle w:val="TableText0"/>
            </w:pPr>
            <w:r>
              <w:t>Applied every year to patients occupying morbidity state</w:t>
            </w:r>
          </w:p>
        </w:tc>
        <w:tc>
          <w:tcPr>
            <w:tcW w:w="2101" w:type="pct"/>
            <w:vAlign w:val="center"/>
          </w:tcPr>
          <w:p w14:paraId="398CFBF7" w14:textId="77777777" w:rsidR="00CE76B8" w:rsidRDefault="00CE76B8" w:rsidP="002E1D81">
            <w:pPr>
              <w:pStyle w:val="TableText0"/>
            </w:pPr>
            <w:r>
              <w:t>Assumed equal to v</w:t>
            </w:r>
            <w:r w:rsidRPr="00B81B6E">
              <w:t>ertebrae/spinal fractures</w:t>
            </w:r>
            <w:r>
              <w:t xml:space="preserve"> (continuing)</w:t>
            </w:r>
          </w:p>
        </w:tc>
      </w:tr>
    </w:tbl>
    <w:p w14:paraId="6AE720C8" w14:textId="77777777" w:rsidR="00603151" w:rsidRDefault="00CE76B8" w:rsidP="002E1D81">
      <w:pPr>
        <w:pStyle w:val="TableFigureFooter"/>
      </w:pPr>
      <w:r>
        <w:t xml:space="preserve">Source: compiled during the evaluation based on p292 of the resubmission and </w:t>
      </w:r>
      <w:r w:rsidR="00C73BF1">
        <w:t>‘</w:t>
      </w:r>
      <w:r>
        <w:t>Section 3.2 Workbook.xlsm</w:t>
      </w:r>
      <w:r w:rsidR="00C73BF1">
        <w:t>’</w:t>
      </w:r>
      <w:r>
        <w:t>.</w:t>
      </w:r>
      <w:r w:rsidR="00C73BF1">
        <w:t xml:space="preserve"> </w:t>
      </w:r>
    </w:p>
    <w:p w14:paraId="09285F6B" w14:textId="46DEC2E2" w:rsidR="00C73BF1" w:rsidRDefault="00C73BF1" w:rsidP="002E1D81">
      <w:pPr>
        <w:pStyle w:val="TableFigureFooter"/>
      </w:pPr>
      <w:r>
        <w:t>BUR=burosumab; SoC=standard of care.</w:t>
      </w:r>
    </w:p>
    <w:p w14:paraId="28355E58" w14:textId="480BF736" w:rsidR="00CE76B8" w:rsidRDefault="00CE76B8" w:rsidP="002E1D81">
      <w:pPr>
        <w:pStyle w:val="TableFigureFooter"/>
      </w:pPr>
      <w:r>
        <w:t>*</w:t>
      </w:r>
      <w:r>
        <w:tab/>
        <w:t>Reference listed as in Excel workbook, but could not be identified/verified</w:t>
      </w:r>
    </w:p>
    <w:p w14:paraId="22711F07" w14:textId="77777777" w:rsidR="00CE76B8" w:rsidRDefault="00CE76B8" w:rsidP="002E1D81">
      <w:pPr>
        <w:pStyle w:val="TableFigureFooter"/>
        <w:ind w:left="165" w:hanging="165"/>
      </w:pPr>
      <w:r w:rsidRPr="00865254">
        <w:rPr>
          <w:vertAlign w:val="superscript"/>
        </w:rPr>
        <w:t>1</w:t>
      </w:r>
      <w:r>
        <w:tab/>
      </w:r>
      <w:r w:rsidRPr="00865254">
        <w:t>Denosumab for the prevention of osteoporotic fractures in postmenopausal women</w:t>
      </w:r>
      <w:r>
        <w:t xml:space="preserve">, October 2010, </w:t>
      </w:r>
      <w:r w:rsidRPr="00865254">
        <w:t>https://www.nice.org.uk/guidance/ta204</w:t>
      </w:r>
    </w:p>
    <w:p w14:paraId="68C006D6" w14:textId="77777777" w:rsidR="00CE76B8" w:rsidRDefault="00CE76B8" w:rsidP="002E1D81">
      <w:pPr>
        <w:pStyle w:val="TableFigureFooter"/>
        <w:ind w:left="165" w:hanging="165"/>
        <w:rPr>
          <w:b/>
        </w:rPr>
      </w:pPr>
      <w:r w:rsidRPr="00865254">
        <w:rPr>
          <w:vertAlign w:val="superscript"/>
        </w:rPr>
        <w:t>2</w:t>
      </w:r>
      <w:r>
        <w:tab/>
      </w:r>
      <w:r w:rsidRPr="00D24489">
        <w:t>Zanocco KA, Wu JX, Yeh MW. Parathyroidectomy for asymptomatic primary hyperparathyroidism: A revised cost-effectiveness analysis incorporating fracture risk reduction. Surgery. 2017 Jan;161(1):16-24.</w:t>
      </w:r>
    </w:p>
    <w:p w14:paraId="29D341E5" w14:textId="3D84A78F" w:rsidR="00CE76B8" w:rsidRPr="001A2C4E" w:rsidRDefault="00CE76B8" w:rsidP="00CE76B8">
      <w:pPr>
        <w:pStyle w:val="3-BodyText"/>
        <w:rPr>
          <w:iCs/>
        </w:rPr>
      </w:pPr>
      <w:r w:rsidRPr="001A2C4E">
        <w:rPr>
          <w:iCs/>
        </w:rPr>
        <w:lastRenderedPageBreak/>
        <w:t xml:space="preserve">The </w:t>
      </w:r>
      <w:r w:rsidR="0018278D" w:rsidRPr="001A2C4E">
        <w:rPr>
          <w:iCs/>
        </w:rPr>
        <w:t xml:space="preserve">ESC considered that the </w:t>
      </w:r>
      <w:r w:rsidRPr="001A2C4E">
        <w:rPr>
          <w:iCs/>
        </w:rPr>
        <w:t>utility data used in the adult model was highly uncertain for the following reasons</w:t>
      </w:r>
      <w:r w:rsidR="00CE3C2D" w:rsidRPr="001A2C4E">
        <w:rPr>
          <w:iCs/>
        </w:rPr>
        <w:t>:</w:t>
      </w:r>
    </w:p>
    <w:p w14:paraId="2893B53A" w14:textId="77777777" w:rsidR="00CE76B8" w:rsidRPr="001A2C4E" w:rsidRDefault="00CE76B8" w:rsidP="00B03783">
      <w:pPr>
        <w:pStyle w:val="ListParagraph"/>
        <w:numPr>
          <w:ilvl w:val="0"/>
          <w:numId w:val="3"/>
        </w:numPr>
        <w:ind w:left="1077" w:hanging="357"/>
        <w:rPr>
          <w:iCs/>
        </w:rPr>
      </w:pPr>
      <w:r w:rsidRPr="001A2C4E">
        <w:rPr>
          <w:b/>
          <w:iCs/>
        </w:rPr>
        <w:t>Treatment specific utility data</w:t>
      </w:r>
      <w:r w:rsidRPr="001A2C4E">
        <w:rPr>
          <w:iCs/>
        </w:rPr>
        <w:t xml:space="preserve"> was based on WOMAC data from CL303 mapped to the EQ-5D using Wailoo 2014, which estimated EQ-5D as a function of the pain, stiffness and function subscores. However: </w:t>
      </w:r>
    </w:p>
    <w:p w14:paraId="459C2D0A" w14:textId="77777777" w:rsidR="00CE76B8" w:rsidRPr="001A2C4E" w:rsidRDefault="00CE76B8" w:rsidP="001A2C4E">
      <w:pPr>
        <w:pStyle w:val="ListParagraph"/>
        <w:numPr>
          <w:ilvl w:val="1"/>
          <w:numId w:val="17"/>
        </w:numPr>
        <w:ind w:left="1434" w:hanging="357"/>
        <w:rPr>
          <w:iCs/>
        </w:rPr>
      </w:pPr>
      <w:r w:rsidRPr="001A2C4E">
        <w:rPr>
          <w:iCs/>
        </w:rPr>
        <w:t xml:space="preserve">The resubmission did not present the methods or results of this analysis. </w:t>
      </w:r>
    </w:p>
    <w:p w14:paraId="1378B09A" w14:textId="23BF6642" w:rsidR="00CE76B8" w:rsidRPr="001A2C4E" w:rsidRDefault="00CE76B8" w:rsidP="001A2C4E">
      <w:pPr>
        <w:pStyle w:val="ListParagraph"/>
        <w:numPr>
          <w:ilvl w:val="1"/>
          <w:numId w:val="17"/>
        </w:numPr>
        <w:ind w:left="1434" w:hanging="357"/>
        <w:rPr>
          <w:iCs/>
        </w:rPr>
      </w:pPr>
      <w:r w:rsidRPr="001A2C4E">
        <w:rPr>
          <w:iCs/>
        </w:rPr>
        <w:t xml:space="preserve">Several of the WOMAC subscores were not clinically/statistically significant from baseline but resulted in statistically significant differences in the mapped EQ-5D estimates. </w:t>
      </w:r>
    </w:p>
    <w:p w14:paraId="7BC2AB9C" w14:textId="1B8B6BE5" w:rsidR="00CE76B8" w:rsidRPr="003A6411" w:rsidRDefault="00CE76B8" w:rsidP="003A6411">
      <w:pPr>
        <w:pStyle w:val="ListParagraph"/>
        <w:numPr>
          <w:ilvl w:val="1"/>
          <w:numId w:val="17"/>
        </w:numPr>
        <w:ind w:left="1434" w:hanging="357"/>
        <w:rPr>
          <w:iCs/>
        </w:rPr>
      </w:pPr>
      <w:r w:rsidRPr="001A2C4E">
        <w:rPr>
          <w:iCs/>
        </w:rPr>
        <w:t xml:space="preserve">WOMAC scores (and therefore the mapped EQ-5D estimates) capture some of the disutilities associated with morbidities, especially when morbidities are associated with poor function and high amounts of pain. Therefore, morbidity utility decrements in addition to the treatment specific utilities, may represent some double counting. </w:t>
      </w:r>
    </w:p>
    <w:p w14:paraId="763E6AE4" w14:textId="00C2B7AA" w:rsidR="00CE76B8" w:rsidRPr="001A2C4E" w:rsidRDefault="00CE76B8" w:rsidP="00B03783">
      <w:pPr>
        <w:pStyle w:val="ListParagraph"/>
        <w:numPr>
          <w:ilvl w:val="0"/>
          <w:numId w:val="3"/>
        </w:numPr>
        <w:ind w:left="1077" w:hanging="357"/>
        <w:rPr>
          <w:iCs/>
        </w:rPr>
      </w:pPr>
      <w:r w:rsidRPr="001A2C4E">
        <w:rPr>
          <w:b/>
          <w:iCs/>
        </w:rPr>
        <w:t>Morbidity specific utility weights</w:t>
      </w:r>
      <w:r w:rsidRPr="001A2C4E">
        <w:rPr>
          <w:iCs/>
        </w:rPr>
        <w:t xml:space="preserve"> were supposedly taken from the literature, however</w:t>
      </w:r>
      <w:r w:rsidR="00CE3C2D" w:rsidRPr="001A2C4E">
        <w:rPr>
          <w:iCs/>
        </w:rPr>
        <w:t>:</w:t>
      </w:r>
      <w:r w:rsidRPr="001A2C4E">
        <w:rPr>
          <w:iCs/>
        </w:rPr>
        <w:t xml:space="preserve"> </w:t>
      </w:r>
    </w:p>
    <w:p w14:paraId="5397AA55" w14:textId="77777777" w:rsidR="00CE76B8" w:rsidRPr="001A2C4E" w:rsidRDefault="00CE76B8" w:rsidP="001A2C4E">
      <w:pPr>
        <w:pStyle w:val="ListParagraph"/>
        <w:numPr>
          <w:ilvl w:val="1"/>
          <w:numId w:val="18"/>
        </w:numPr>
        <w:ind w:left="1434" w:hanging="357"/>
        <w:rPr>
          <w:iCs/>
        </w:rPr>
      </w:pPr>
      <w:r w:rsidRPr="001A2C4E">
        <w:rPr>
          <w:iCs/>
        </w:rPr>
        <w:t xml:space="preserve">No full papers or complete references were provided as part of the resubmission, nor any search strategy to identify them and so very few of the sources could be identified or verified during the evaluation. </w:t>
      </w:r>
    </w:p>
    <w:p w14:paraId="7C6E624E" w14:textId="434DF442" w:rsidR="00CE76B8" w:rsidRPr="001A2C4E" w:rsidRDefault="00CE76B8" w:rsidP="001A2C4E">
      <w:pPr>
        <w:pStyle w:val="ListParagraph"/>
        <w:numPr>
          <w:ilvl w:val="1"/>
          <w:numId w:val="18"/>
        </w:numPr>
        <w:ind w:left="1434" w:hanging="357"/>
        <w:rPr>
          <w:iCs/>
        </w:rPr>
      </w:pPr>
      <w:r w:rsidRPr="001A2C4E">
        <w:rPr>
          <w:iCs/>
        </w:rPr>
        <w:t>The choice of utility weights based on NICE TA204 w</w:t>
      </w:r>
      <w:r w:rsidR="00EB0087" w:rsidRPr="001A2C4E">
        <w:rPr>
          <w:iCs/>
        </w:rPr>
        <w:t>as</w:t>
      </w:r>
      <w:r w:rsidRPr="001A2C4E">
        <w:rPr>
          <w:iCs/>
        </w:rPr>
        <w:t xml:space="preserve"> not consistent with the use of the utility weights in NICE TA204 (e.g., other fractures in NICE TA204 included fractures of the pelvis, femur, tibia and fibula, which were modelled separately in the resubmission). </w:t>
      </w:r>
    </w:p>
    <w:p w14:paraId="6C74FF7F" w14:textId="75830CD3" w:rsidR="00CE76B8" w:rsidRPr="003A6411" w:rsidRDefault="00CE76B8" w:rsidP="003A6411">
      <w:pPr>
        <w:pStyle w:val="ListParagraph"/>
        <w:numPr>
          <w:ilvl w:val="1"/>
          <w:numId w:val="18"/>
        </w:numPr>
        <w:ind w:left="1434" w:hanging="357"/>
        <w:rPr>
          <w:iCs/>
        </w:rPr>
      </w:pPr>
      <w:r w:rsidRPr="001A2C4E">
        <w:rPr>
          <w:iCs/>
        </w:rPr>
        <w:t xml:space="preserve">No sources were identified specific to XLH. </w:t>
      </w:r>
    </w:p>
    <w:p w14:paraId="5F7A90E3" w14:textId="79A3C348" w:rsidR="00CE76B8" w:rsidRPr="001A2C4E" w:rsidRDefault="00CE76B8" w:rsidP="00CE76B8">
      <w:pPr>
        <w:pStyle w:val="3-BodyText"/>
        <w:rPr>
          <w:iCs/>
        </w:rPr>
      </w:pPr>
      <w:r w:rsidRPr="001A2C4E">
        <w:rPr>
          <w:iCs/>
        </w:rPr>
        <w:t>Many of the treatment costs and resource use</w:t>
      </w:r>
      <w:r w:rsidR="00EB0087" w:rsidRPr="001A2C4E">
        <w:rPr>
          <w:iCs/>
        </w:rPr>
        <w:t>d</w:t>
      </w:r>
      <w:r w:rsidRPr="001A2C4E">
        <w:rPr>
          <w:iCs/>
        </w:rPr>
        <w:t xml:space="preserve"> were similar to those used in the paediatric model, including disease monitoring costs and burosumab administration costs.</w:t>
      </w:r>
    </w:p>
    <w:p w14:paraId="7C154813" w14:textId="4D4DC9D2" w:rsidR="00CE76B8" w:rsidRPr="001A2C4E" w:rsidRDefault="00CE76B8" w:rsidP="00CE76B8">
      <w:pPr>
        <w:pStyle w:val="3-BodyText"/>
        <w:rPr>
          <w:iCs/>
        </w:rPr>
      </w:pPr>
      <w:r w:rsidRPr="001A2C4E">
        <w:rPr>
          <w:iCs/>
        </w:rPr>
        <w:t>Drug cost per patient per year for burosumab was based on an average dose of 0.95</w:t>
      </w:r>
      <w:r w:rsidR="00B21318" w:rsidRPr="001A2C4E">
        <w:rPr>
          <w:iCs/>
        </w:rPr>
        <w:t xml:space="preserve"> </w:t>
      </w:r>
      <w:r w:rsidRPr="001A2C4E">
        <w:rPr>
          <w:iCs/>
        </w:rPr>
        <w:t>mg/kg every 4 weeks (based on unpublished data from North American Disease Monitoring Program), rounded to the nearest 10</w:t>
      </w:r>
      <w:r w:rsidR="00B21318" w:rsidRPr="001A2C4E">
        <w:rPr>
          <w:iCs/>
        </w:rPr>
        <w:t xml:space="preserve"> </w:t>
      </w:r>
      <w:r w:rsidRPr="001A2C4E">
        <w:rPr>
          <w:iCs/>
        </w:rPr>
        <w:t>mg, which resulted in a dose of 70</w:t>
      </w:r>
      <w:r w:rsidR="00B21318" w:rsidRPr="001A2C4E">
        <w:rPr>
          <w:iCs/>
        </w:rPr>
        <w:t xml:space="preserve"> </w:t>
      </w:r>
      <w:r w:rsidRPr="001A2C4E">
        <w:rPr>
          <w:iCs/>
        </w:rPr>
        <w:t>mg dose every 28 days. This resulted in a yearly cost of BUR of $</w:t>
      </w:r>
      <w:r w:rsidR="00B355AE" w:rsidRPr="00676539">
        <w:rPr>
          <w:iCs/>
          <w:color w:val="000000"/>
          <w:w w:val="15"/>
          <w:shd w:val="solid" w:color="000000" w:fill="000000"/>
          <w:fitText w:val="-20" w:id="-1504471027"/>
          <w14:textFill>
            <w14:solidFill>
              <w14:srgbClr w14:val="000000">
                <w14:alpha w14:val="100000"/>
              </w14:srgbClr>
            </w14:solidFill>
          </w14:textFill>
        </w:rPr>
        <w:t xml:space="preserve">|  </w:t>
      </w:r>
      <w:r w:rsidR="00B355AE" w:rsidRPr="00676539">
        <w:rPr>
          <w:iCs/>
          <w:color w:val="000000"/>
          <w:spacing w:val="-69"/>
          <w:w w:val="15"/>
          <w:shd w:val="solid" w:color="000000" w:fill="000000"/>
          <w:fitText w:val="-20" w:id="-1504471027"/>
          <w14:textFill>
            <w14:solidFill>
              <w14:srgbClr w14:val="000000">
                <w14:alpha w14:val="100000"/>
              </w14:srgbClr>
            </w14:solidFill>
          </w14:textFill>
        </w:rPr>
        <w:t>|</w:t>
      </w:r>
      <w:r w:rsidRPr="001A2C4E">
        <w:rPr>
          <w:iCs/>
        </w:rPr>
        <w:t>. Patients who discontinued BUR did not receive treatment with conventional therapy.</w:t>
      </w:r>
    </w:p>
    <w:p w14:paraId="0F9F989F" w14:textId="47EE0233" w:rsidR="00CE76B8" w:rsidRPr="001A2C4E" w:rsidRDefault="00CE76B8" w:rsidP="00CE76B8">
      <w:pPr>
        <w:pStyle w:val="3-BodyText"/>
        <w:rPr>
          <w:iCs/>
        </w:rPr>
      </w:pPr>
      <w:r w:rsidRPr="001A2C4E">
        <w:rPr>
          <w:iCs/>
        </w:rPr>
        <w:t xml:space="preserve">No external validation was conducted. </w:t>
      </w:r>
    </w:p>
    <w:p w14:paraId="78AEB917" w14:textId="77777777" w:rsidR="00CE76B8" w:rsidRPr="001A2C4E" w:rsidRDefault="00CE76B8" w:rsidP="00CE76B8">
      <w:pPr>
        <w:pStyle w:val="3-BodyText"/>
        <w:rPr>
          <w:iCs/>
        </w:rPr>
      </w:pPr>
      <w:r w:rsidRPr="001A2C4E">
        <w:rPr>
          <w:iCs/>
        </w:rPr>
        <w:t>Key drivers of the adult model are summarised in the following table.</w:t>
      </w:r>
    </w:p>
    <w:p w14:paraId="61FFA36F" w14:textId="18F8388B" w:rsidR="00CE76B8" w:rsidRPr="00D3730F" w:rsidRDefault="00C06B83" w:rsidP="002E1D81">
      <w:pPr>
        <w:keepNext/>
        <w:tabs>
          <w:tab w:val="left" w:pos="1418"/>
        </w:tabs>
        <w:spacing w:before="240" w:line="259" w:lineRule="auto"/>
        <w:contextualSpacing/>
        <w:jc w:val="left"/>
        <w:rPr>
          <w:rFonts w:ascii="Arial Narrow" w:eastAsia="Calibri" w:hAnsi="Arial Narrow"/>
          <w:b/>
          <w:iCs/>
          <w:sz w:val="20"/>
          <w:szCs w:val="18"/>
          <w:lang w:eastAsia="en-US"/>
        </w:rPr>
      </w:pPr>
      <w:r w:rsidRPr="00271609">
        <w:rPr>
          <w:rFonts w:ascii="Arial Narrow" w:eastAsia="Calibri" w:hAnsi="Arial Narrow"/>
          <w:b/>
          <w:iCs/>
          <w:sz w:val="20"/>
          <w:szCs w:val="18"/>
          <w:lang w:eastAsia="en-US"/>
        </w:rPr>
        <w:lastRenderedPageBreak/>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18</w:t>
      </w:r>
      <w:r w:rsidRPr="00271609">
        <w:rPr>
          <w:rFonts w:ascii="Arial Narrow" w:eastAsia="Calibri" w:hAnsi="Arial Narrow"/>
          <w:b/>
          <w:iCs/>
          <w:sz w:val="20"/>
          <w:szCs w:val="18"/>
          <w:lang w:eastAsia="en-US"/>
        </w:rPr>
        <w:fldChar w:fldCharType="end"/>
      </w:r>
      <w:r w:rsidR="00CE76B8" w:rsidRPr="009D25EA">
        <w:rPr>
          <w:rFonts w:ascii="Arial Narrow" w:eastAsia="Calibri" w:hAnsi="Arial Narrow"/>
          <w:b/>
          <w:iCs/>
          <w:sz w:val="20"/>
          <w:szCs w:val="18"/>
          <w:lang w:eastAsia="en-US"/>
        </w:rPr>
        <w:t xml:space="preserve">: </w:t>
      </w:r>
      <w:r w:rsidR="00CE76B8" w:rsidRPr="00D3730F">
        <w:rPr>
          <w:rFonts w:ascii="Arial Narrow" w:eastAsia="Calibri" w:hAnsi="Arial Narrow"/>
          <w:b/>
          <w:iCs/>
          <w:sz w:val="20"/>
          <w:szCs w:val="18"/>
          <w:lang w:eastAsia="en-US"/>
        </w:rPr>
        <w:t>Key drivers of the</w:t>
      </w:r>
      <w:r w:rsidR="00CE76B8">
        <w:rPr>
          <w:rFonts w:ascii="Arial Narrow" w:eastAsia="Calibri" w:hAnsi="Arial Narrow"/>
          <w:b/>
          <w:iCs/>
          <w:sz w:val="20"/>
          <w:szCs w:val="18"/>
          <w:lang w:eastAsia="en-US"/>
        </w:rPr>
        <w:t xml:space="preserve"> adult</w:t>
      </w:r>
      <w:r w:rsidR="00CE76B8" w:rsidRPr="00D3730F">
        <w:rPr>
          <w:rFonts w:ascii="Arial Narrow" w:eastAsia="Calibri" w:hAnsi="Arial Narrow"/>
          <w:b/>
          <w:iCs/>
          <w:sz w:val="20"/>
          <w:szCs w:val="18"/>
          <w:lang w:eastAsia="en-US"/>
        </w:rPr>
        <w:t xml:space="preserve"> model</w:t>
      </w:r>
      <w:r w:rsidR="005D7073">
        <w:rPr>
          <w:rFonts w:ascii="Arial Narrow" w:eastAsia="Calibri" w:hAnsi="Arial Narrow"/>
          <w:b/>
          <w:iCs/>
          <w:sz w:val="20"/>
          <w:szCs w:val="1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Key drivers of the adult model*"/>
      </w:tblPr>
      <w:tblGrid>
        <w:gridCol w:w="1557"/>
        <w:gridCol w:w="3684"/>
        <w:gridCol w:w="3776"/>
      </w:tblGrid>
      <w:tr w:rsidR="00CE76B8" w:rsidRPr="001A2C4E" w14:paraId="05C44CB8" w14:textId="77777777" w:rsidTr="003A6411">
        <w:trPr>
          <w:trHeight w:val="265"/>
          <w:tblHeader/>
        </w:trPr>
        <w:tc>
          <w:tcPr>
            <w:tcW w:w="863" w:type="pct"/>
            <w:shd w:val="clear" w:color="auto" w:fill="auto"/>
            <w:vAlign w:val="center"/>
          </w:tcPr>
          <w:p w14:paraId="272DD1BC" w14:textId="77777777" w:rsidR="00CE76B8"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Description</w:t>
            </w:r>
          </w:p>
        </w:tc>
        <w:tc>
          <w:tcPr>
            <w:tcW w:w="2043" w:type="pct"/>
            <w:shd w:val="clear" w:color="auto" w:fill="auto"/>
            <w:vAlign w:val="center"/>
          </w:tcPr>
          <w:p w14:paraId="23D3EF2B" w14:textId="77777777" w:rsidR="00CE76B8"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Method/Value</w:t>
            </w:r>
          </w:p>
        </w:tc>
        <w:tc>
          <w:tcPr>
            <w:tcW w:w="2094" w:type="pct"/>
            <w:shd w:val="clear" w:color="auto" w:fill="auto"/>
            <w:vAlign w:val="center"/>
          </w:tcPr>
          <w:p w14:paraId="7D5CB2C7" w14:textId="45900CAE" w:rsidR="00EB0087" w:rsidRPr="001A2C4E" w:rsidRDefault="00CE76B8"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Impact</w:t>
            </w:r>
            <w:r w:rsidR="00EB0087" w:rsidRPr="001A2C4E">
              <w:rPr>
                <w:rFonts w:ascii="Arial Narrow" w:hAnsi="Arial Narrow" w:cs="Times New Roman"/>
                <w:b/>
                <w:sz w:val="20"/>
                <w:lang w:eastAsia="en-GB"/>
              </w:rPr>
              <w:t xml:space="preserve"> </w:t>
            </w:r>
          </w:p>
          <w:p w14:paraId="7A50B889" w14:textId="7B8AF156" w:rsidR="00CE76B8" w:rsidRPr="001A2C4E" w:rsidRDefault="005D7073" w:rsidP="00B03783">
            <w:pPr>
              <w:keepNext/>
              <w:widowControl w:val="0"/>
              <w:jc w:val="center"/>
              <w:rPr>
                <w:rFonts w:ascii="Arial Narrow" w:hAnsi="Arial Narrow" w:cs="Times New Roman"/>
                <w:b/>
                <w:sz w:val="20"/>
                <w:lang w:eastAsia="en-GB"/>
              </w:rPr>
            </w:pPr>
            <w:r w:rsidRPr="001A2C4E">
              <w:rPr>
                <w:rFonts w:ascii="Arial Narrow" w:hAnsi="Arial Narrow" w:cs="Times New Roman"/>
                <w:b/>
                <w:sz w:val="20"/>
                <w:lang w:eastAsia="en-GB"/>
              </w:rPr>
              <w:t>PSCR b</w:t>
            </w:r>
            <w:r w:rsidR="00CE76B8" w:rsidRPr="001A2C4E">
              <w:rPr>
                <w:rFonts w:ascii="Arial Narrow" w:hAnsi="Arial Narrow" w:cs="Times New Roman"/>
                <w:b/>
                <w:sz w:val="20"/>
                <w:lang w:eastAsia="en-GB"/>
              </w:rPr>
              <w:t>ase case: $</w:t>
            </w:r>
            <w:r w:rsidR="00B355AE" w:rsidRPr="0035108E">
              <w:rPr>
                <w:rFonts w:ascii="Arial Narrow" w:hAnsi="Arial Narrow" w:cs="Times New Roman"/>
                <w:b/>
                <w:color w:val="000000"/>
                <w:spacing w:val="42"/>
                <w:sz w:val="20"/>
                <w:shd w:val="solid" w:color="000000" w:fill="000000"/>
                <w:fitText w:val="310" w:id="-1504471026"/>
                <w:lang w:eastAsia="en-GB"/>
                <w14:textFill>
                  <w14:solidFill>
                    <w14:srgbClr w14:val="000000">
                      <w14:alpha w14:val="100000"/>
                    </w14:srgbClr>
                  </w14:solidFill>
                </w14:textFill>
              </w:rPr>
              <w:t>|||</w:t>
            </w:r>
            <w:r w:rsidR="00B355AE" w:rsidRPr="0035108E">
              <w:rPr>
                <w:rFonts w:ascii="Arial Narrow" w:hAnsi="Arial Narrow" w:cs="Times New Roman"/>
                <w:b/>
                <w:color w:val="000000"/>
                <w:spacing w:val="1"/>
                <w:sz w:val="20"/>
                <w:shd w:val="solid" w:color="000000" w:fill="000000"/>
                <w:fitText w:val="310" w:id="-1504471026"/>
                <w:lang w:eastAsia="en-GB"/>
                <w14:textFill>
                  <w14:solidFill>
                    <w14:srgbClr w14:val="000000">
                      <w14:alpha w14:val="100000"/>
                    </w14:srgbClr>
                  </w14:solidFill>
                </w14:textFill>
              </w:rPr>
              <w:t>|</w:t>
            </w:r>
            <w:r w:rsidR="004F3508">
              <w:rPr>
                <w:rFonts w:ascii="Arial Narrow" w:hAnsi="Arial Narrow" w:cs="Times New Roman"/>
                <w:b/>
                <w:sz w:val="20"/>
                <w:vertAlign w:val="superscript"/>
                <w:lang w:eastAsia="en-GB"/>
              </w:rPr>
              <w:t>1</w:t>
            </w:r>
            <w:r w:rsidR="00CE76B8" w:rsidRPr="001A2C4E">
              <w:rPr>
                <w:rFonts w:ascii="Arial Narrow" w:hAnsi="Arial Narrow" w:cs="Times New Roman"/>
                <w:b/>
                <w:sz w:val="20"/>
                <w:lang w:eastAsia="en-GB"/>
              </w:rPr>
              <w:t>/QALY (without SPR)</w:t>
            </w:r>
          </w:p>
        </w:tc>
      </w:tr>
      <w:tr w:rsidR="00CE76B8" w:rsidRPr="001A2C4E" w14:paraId="134F55AF" w14:textId="77777777" w:rsidTr="003A6411">
        <w:tc>
          <w:tcPr>
            <w:tcW w:w="863" w:type="pct"/>
            <w:shd w:val="clear" w:color="auto" w:fill="auto"/>
            <w:vAlign w:val="center"/>
          </w:tcPr>
          <w:p w14:paraId="56BFE684"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Treatment specific utilities</w:t>
            </w:r>
          </w:p>
        </w:tc>
        <w:tc>
          <w:tcPr>
            <w:tcW w:w="2043" w:type="pct"/>
            <w:shd w:val="clear" w:color="auto" w:fill="auto"/>
            <w:vAlign w:val="center"/>
          </w:tcPr>
          <w:p w14:paraId="1AFB2E39" w14:textId="531EA948"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lang w:eastAsia="en-GB"/>
              </w:rPr>
              <w:t xml:space="preserve">Mapped CL303 WOMAC data to EQ-5D, conventional therapy utility assumed equal to placebo arm at baseline. Utility estimates from </w:t>
            </w:r>
            <w:r w:rsidR="00B21318" w:rsidRPr="001A2C4E">
              <w:rPr>
                <w:rFonts w:ascii="Arial Narrow" w:hAnsi="Arial Narrow" w:cs="Times New Roman"/>
                <w:sz w:val="20"/>
                <w:lang w:eastAsia="en-GB"/>
              </w:rPr>
              <w:t>Y</w:t>
            </w:r>
            <w:r w:rsidRPr="001A2C4E">
              <w:rPr>
                <w:rFonts w:ascii="Arial Narrow" w:hAnsi="Arial Narrow" w:cs="Times New Roman"/>
                <w:sz w:val="20"/>
                <w:lang w:eastAsia="en-GB"/>
              </w:rPr>
              <w:t>ear 4 assumed to apply until end of time horizon</w:t>
            </w:r>
            <w:r w:rsidR="00EB0087" w:rsidRPr="001A2C4E">
              <w:rPr>
                <w:rFonts w:ascii="Arial Narrow" w:hAnsi="Arial Narrow" w:cs="Times New Roman"/>
                <w:sz w:val="20"/>
                <w:lang w:eastAsia="en-GB"/>
              </w:rPr>
              <w:t>.</w:t>
            </w:r>
          </w:p>
        </w:tc>
        <w:tc>
          <w:tcPr>
            <w:tcW w:w="2094" w:type="pct"/>
            <w:shd w:val="clear" w:color="auto" w:fill="auto"/>
            <w:vAlign w:val="center"/>
          </w:tcPr>
          <w:p w14:paraId="0B04428F" w14:textId="46E13BF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EB0087"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burosumab.</w:t>
            </w:r>
          </w:p>
          <w:p w14:paraId="3D7A2E4F" w14:textId="5FD92D06"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A 0.03 increase in utility for patients receiving conventional therapy increased the ICER to $</w:t>
            </w:r>
            <w:r w:rsidR="00B355AE" w:rsidRPr="0035108E">
              <w:rPr>
                <w:rFonts w:ascii="Arial Narrow" w:hAnsi="Arial Narrow" w:cs="Times New Roman"/>
                <w:color w:val="000000"/>
                <w:spacing w:val="53"/>
                <w:sz w:val="20"/>
                <w:szCs w:val="20"/>
                <w:shd w:val="solid" w:color="000000" w:fill="000000"/>
                <w:fitText w:val="330" w:id="-1504471025"/>
                <w:lang w:eastAsia="en-GB"/>
                <w14:textFill>
                  <w14:solidFill>
                    <w14:srgbClr w14:val="000000">
                      <w14:alpha w14:val="100000"/>
                    </w14:srgbClr>
                  </w14:solidFill>
                </w14:textFill>
              </w:rPr>
              <w:t>|||</w:t>
            </w:r>
            <w:r w:rsidR="00B355AE" w:rsidRPr="0035108E">
              <w:rPr>
                <w:rFonts w:ascii="Arial Narrow" w:hAnsi="Arial Narrow" w:cs="Times New Roman"/>
                <w:color w:val="000000"/>
                <w:spacing w:val="1"/>
                <w:sz w:val="20"/>
                <w:szCs w:val="20"/>
                <w:shd w:val="solid" w:color="000000" w:fill="000000"/>
                <w:fitText w:val="330" w:id="-1504471025"/>
                <w:lang w:eastAsia="en-GB"/>
                <w14:textFill>
                  <w14:solidFill>
                    <w14:srgbClr w14:val="000000">
                      <w14:alpha w14:val="100000"/>
                    </w14:srgbClr>
                  </w14:solidFill>
                </w14:textFill>
              </w:rPr>
              <w:t>|</w:t>
            </w:r>
            <w:r w:rsidR="004F3508">
              <w:rPr>
                <w:rFonts w:ascii="Arial Narrow" w:hAnsi="Arial Narrow" w:cs="Times New Roman"/>
                <w:sz w:val="20"/>
                <w:szCs w:val="20"/>
                <w:vertAlign w:val="superscript"/>
                <w:lang w:eastAsia="en-GB"/>
              </w:rPr>
              <w:t>1</w:t>
            </w:r>
            <w:r w:rsidR="005D707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QALY gained</w:t>
            </w:r>
            <w:r w:rsidR="00EB0087" w:rsidRPr="001A2C4E">
              <w:rPr>
                <w:rFonts w:ascii="Arial Narrow" w:hAnsi="Arial Narrow" w:cs="Times New Roman"/>
                <w:sz w:val="20"/>
                <w:szCs w:val="20"/>
                <w:lang w:eastAsia="en-GB"/>
              </w:rPr>
              <w:t>. R</w:t>
            </w:r>
            <w:r w:rsidRPr="001A2C4E">
              <w:rPr>
                <w:rFonts w:ascii="Arial Narrow" w:hAnsi="Arial Narrow" w:cs="Times New Roman"/>
                <w:sz w:val="20"/>
                <w:szCs w:val="20"/>
                <w:lang w:eastAsia="en-GB"/>
              </w:rPr>
              <w:t>educing the long</w:t>
            </w:r>
            <w:r w:rsidR="00B0378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 xml:space="preserve">term benefit of burosumab by 0.05 from </w:t>
            </w:r>
            <w:r w:rsidR="00B21318" w:rsidRPr="001A2C4E">
              <w:rPr>
                <w:rFonts w:ascii="Arial Narrow" w:hAnsi="Arial Narrow" w:cs="Times New Roman"/>
                <w:sz w:val="20"/>
                <w:szCs w:val="20"/>
                <w:lang w:eastAsia="en-GB"/>
              </w:rPr>
              <w:t>Y</w:t>
            </w:r>
            <w:r w:rsidRPr="001A2C4E">
              <w:rPr>
                <w:rFonts w:ascii="Arial Narrow" w:hAnsi="Arial Narrow" w:cs="Times New Roman"/>
                <w:sz w:val="20"/>
                <w:szCs w:val="20"/>
                <w:lang w:eastAsia="en-GB"/>
              </w:rPr>
              <w:t xml:space="preserve">ear </w:t>
            </w:r>
            <w:r w:rsidR="00755353" w:rsidRPr="001A2C4E">
              <w:rPr>
                <w:rFonts w:ascii="Arial Narrow" w:hAnsi="Arial Narrow" w:cs="Times New Roman"/>
                <w:sz w:val="20"/>
                <w:szCs w:val="20"/>
                <w:lang w:eastAsia="en-GB"/>
              </w:rPr>
              <w:t>4</w:t>
            </w:r>
            <w:r w:rsidRPr="001A2C4E">
              <w:rPr>
                <w:rFonts w:ascii="Arial Narrow" w:hAnsi="Arial Narrow" w:cs="Times New Roman"/>
                <w:sz w:val="20"/>
                <w:szCs w:val="20"/>
                <w:lang w:eastAsia="en-GB"/>
              </w:rPr>
              <w:t xml:space="preserve"> increased the ICER to $</w:t>
            </w:r>
            <w:r w:rsidR="00B355AE" w:rsidRPr="0035108E">
              <w:rPr>
                <w:rFonts w:ascii="Arial Narrow" w:hAnsi="Arial Narrow" w:cs="Times New Roman"/>
                <w:color w:val="000000"/>
                <w:spacing w:val="53"/>
                <w:sz w:val="20"/>
                <w:szCs w:val="20"/>
                <w:shd w:val="solid" w:color="000000" w:fill="000000"/>
                <w:fitText w:val="330" w:id="-1504471024"/>
                <w:lang w:eastAsia="en-GB"/>
                <w14:textFill>
                  <w14:solidFill>
                    <w14:srgbClr w14:val="000000">
                      <w14:alpha w14:val="100000"/>
                    </w14:srgbClr>
                  </w14:solidFill>
                </w14:textFill>
              </w:rPr>
              <w:t>|||</w:t>
            </w:r>
            <w:r w:rsidR="00B355AE" w:rsidRPr="0035108E">
              <w:rPr>
                <w:rFonts w:ascii="Arial Narrow" w:hAnsi="Arial Narrow" w:cs="Times New Roman"/>
                <w:color w:val="000000"/>
                <w:spacing w:val="1"/>
                <w:sz w:val="20"/>
                <w:szCs w:val="20"/>
                <w:shd w:val="solid" w:color="000000" w:fill="000000"/>
                <w:fitText w:val="330" w:id="-1504471024"/>
                <w:lang w:eastAsia="en-GB"/>
                <w14:textFill>
                  <w14:solidFill>
                    <w14:srgbClr w14:val="000000">
                      <w14:alpha w14:val="100000"/>
                    </w14:srgbClr>
                  </w14:solidFill>
                </w14:textFill>
              </w:rPr>
              <w:t>|</w:t>
            </w:r>
            <w:r w:rsidR="004F3508">
              <w:rPr>
                <w:rFonts w:ascii="Arial Narrow" w:hAnsi="Arial Narrow" w:cs="Times New Roman"/>
                <w:sz w:val="20"/>
                <w:szCs w:val="20"/>
                <w:vertAlign w:val="superscript"/>
                <w:lang w:eastAsia="en-GB"/>
              </w:rPr>
              <w:t>2</w:t>
            </w:r>
            <w:r w:rsidR="00755353" w:rsidRPr="001A2C4E">
              <w:rPr>
                <w:rFonts w:ascii="Arial Narrow" w:hAnsi="Arial Narrow" w:cs="Times New Roman"/>
                <w:sz w:val="20"/>
                <w:szCs w:val="20"/>
                <w:lang w:eastAsia="en-GB"/>
              </w:rPr>
              <w:t>/</w:t>
            </w:r>
            <w:r w:rsidRPr="001A2C4E">
              <w:rPr>
                <w:rFonts w:ascii="Arial Narrow" w:hAnsi="Arial Narrow" w:cs="Times New Roman"/>
                <w:sz w:val="20"/>
                <w:szCs w:val="20"/>
                <w:lang w:eastAsia="en-GB"/>
              </w:rPr>
              <w:t>QALY gained.</w:t>
            </w:r>
          </w:p>
        </w:tc>
      </w:tr>
      <w:tr w:rsidR="00CE76B8" w:rsidRPr="001A2C4E" w14:paraId="06208D18" w14:textId="77777777" w:rsidTr="003A6411">
        <w:tc>
          <w:tcPr>
            <w:tcW w:w="863" w:type="pct"/>
            <w:shd w:val="clear" w:color="auto" w:fill="auto"/>
            <w:vAlign w:val="center"/>
          </w:tcPr>
          <w:p w14:paraId="56513107"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Morbidity event probabilities</w:t>
            </w:r>
          </w:p>
        </w:tc>
        <w:tc>
          <w:tcPr>
            <w:tcW w:w="2043" w:type="pct"/>
            <w:shd w:val="clear" w:color="auto" w:fill="auto"/>
            <w:vAlign w:val="center"/>
          </w:tcPr>
          <w:p w14:paraId="03D2B8B5" w14:textId="7777777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SoC based on data from CL303 and informed by clinical opinion</w:t>
            </w:r>
          </w:p>
          <w:p w14:paraId="46049F17" w14:textId="77777777"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BUR assumed equal to general population</w:t>
            </w:r>
          </w:p>
        </w:tc>
        <w:tc>
          <w:tcPr>
            <w:tcW w:w="2094" w:type="pct"/>
            <w:shd w:val="clear" w:color="auto" w:fill="auto"/>
            <w:vAlign w:val="center"/>
          </w:tcPr>
          <w:p w14:paraId="615F8AE9" w14:textId="5A45CE40"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High, favour</w:t>
            </w:r>
            <w:r w:rsidR="00BB6ED2" w:rsidRPr="001A2C4E">
              <w:rPr>
                <w:rFonts w:ascii="Arial Narrow" w:hAnsi="Arial Narrow" w:cs="Times New Roman"/>
                <w:sz w:val="20"/>
                <w:szCs w:val="20"/>
                <w:lang w:eastAsia="en-GB"/>
              </w:rPr>
              <w:t>ed</w:t>
            </w:r>
            <w:r w:rsidRPr="001A2C4E">
              <w:rPr>
                <w:rFonts w:ascii="Arial Narrow" w:hAnsi="Arial Narrow" w:cs="Times New Roman"/>
                <w:sz w:val="20"/>
                <w:szCs w:val="20"/>
                <w:lang w:eastAsia="en-GB"/>
              </w:rPr>
              <w:t xml:space="preserve"> burosumab.</w:t>
            </w:r>
          </w:p>
          <w:p w14:paraId="2960EAE8" w14:textId="0E35CFB7" w:rsidR="00CE76B8" w:rsidRPr="001A2C4E" w:rsidRDefault="00CE76B8" w:rsidP="00B03783">
            <w:pPr>
              <w:keepNext/>
              <w:widowControl w:val="0"/>
              <w:jc w:val="left"/>
              <w:rPr>
                <w:rFonts w:ascii="Arial Narrow" w:hAnsi="Arial Narrow" w:cs="Times New Roman"/>
                <w:sz w:val="20"/>
                <w:szCs w:val="20"/>
                <w:lang w:eastAsia="en-GB"/>
              </w:rPr>
            </w:pPr>
            <w:r w:rsidRPr="001A2C4E">
              <w:rPr>
                <w:rFonts w:ascii="Arial Narrow" w:hAnsi="Arial Narrow" w:cs="Times New Roman"/>
                <w:sz w:val="20"/>
                <w:szCs w:val="20"/>
                <w:lang w:eastAsia="en-GB"/>
              </w:rPr>
              <w:t xml:space="preserve">However, the effect of the morbidity probabilities </w:t>
            </w:r>
            <w:r w:rsidR="00BB6ED2" w:rsidRPr="001A2C4E">
              <w:rPr>
                <w:rFonts w:ascii="Arial Narrow" w:hAnsi="Arial Narrow" w:cs="Times New Roman"/>
                <w:sz w:val="20"/>
                <w:szCs w:val="20"/>
                <w:lang w:eastAsia="en-GB"/>
              </w:rPr>
              <w:t>wa</w:t>
            </w:r>
            <w:r w:rsidRPr="001A2C4E">
              <w:rPr>
                <w:rFonts w:ascii="Arial Narrow" w:hAnsi="Arial Narrow" w:cs="Times New Roman"/>
                <w:sz w:val="20"/>
                <w:szCs w:val="20"/>
                <w:lang w:eastAsia="en-GB"/>
              </w:rPr>
              <w:t>s driven by the utility weights (removal of morbidity costs from the model increase the ICER by 0.9%)</w:t>
            </w:r>
          </w:p>
        </w:tc>
      </w:tr>
      <w:tr w:rsidR="00CE76B8" w:rsidRPr="001A2C4E" w14:paraId="0CA0340B" w14:textId="77777777" w:rsidTr="003A6411">
        <w:tc>
          <w:tcPr>
            <w:tcW w:w="863" w:type="pct"/>
            <w:shd w:val="clear" w:color="auto" w:fill="auto"/>
            <w:vAlign w:val="center"/>
          </w:tcPr>
          <w:p w14:paraId="29D177C9" w14:textId="77777777" w:rsidR="00CE76B8" w:rsidRPr="001A2C4E" w:rsidRDefault="00CE76B8" w:rsidP="00B03783">
            <w:pPr>
              <w:keepNext/>
              <w:widowControl w:val="0"/>
              <w:jc w:val="left"/>
              <w:rPr>
                <w:rFonts w:ascii="Arial Narrow" w:hAnsi="Arial Narrow"/>
                <w:sz w:val="20"/>
              </w:rPr>
            </w:pPr>
            <w:r w:rsidRPr="001A2C4E">
              <w:rPr>
                <w:rFonts w:ascii="Arial Narrow" w:hAnsi="Arial Narrow" w:cs="Times New Roman"/>
                <w:sz w:val="20"/>
                <w:lang w:eastAsia="en-GB"/>
              </w:rPr>
              <w:t>Burosumab dose</w:t>
            </w:r>
          </w:p>
        </w:tc>
        <w:tc>
          <w:tcPr>
            <w:tcW w:w="2043" w:type="pct"/>
            <w:shd w:val="clear" w:color="auto" w:fill="auto"/>
            <w:vAlign w:val="center"/>
          </w:tcPr>
          <w:p w14:paraId="63ED17FC" w14:textId="6781B52F"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sz w:val="20"/>
              </w:rPr>
              <w:t>Base case: 0.95</w:t>
            </w:r>
            <w:r w:rsidR="00B21318" w:rsidRPr="001A2C4E">
              <w:rPr>
                <w:rFonts w:ascii="Arial Narrow" w:hAnsi="Arial Narrow"/>
                <w:sz w:val="20"/>
              </w:rPr>
              <w:t xml:space="preserve"> </w:t>
            </w:r>
            <w:r w:rsidRPr="001A2C4E">
              <w:rPr>
                <w:rFonts w:ascii="Arial Narrow" w:hAnsi="Arial Narrow"/>
                <w:sz w:val="20"/>
              </w:rPr>
              <w:t xml:space="preserve">mg/kg Q4W </w:t>
            </w:r>
          </w:p>
        </w:tc>
        <w:tc>
          <w:tcPr>
            <w:tcW w:w="2094" w:type="pct"/>
            <w:shd w:val="clear" w:color="auto" w:fill="auto"/>
            <w:vAlign w:val="center"/>
          </w:tcPr>
          <w:p w14:paraId="292DD149" w14:textId="43064810"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High, favour</w:t>
            </w:r>
            <w:r w:rsidR="00BB6ED2" w:rsidRPr="001A2C4E">
              <w:rPr>
                <w:rFonts w:ascii="Arial Narrow" w:hAnsi="Arial Narrow" w:cs="Times New Roman"/>
                <w:sz w:val="20"/>
                <w:lang w:eastAsia="en-GB"/>
              </w:rPr>
              <w:t>ed</w:t>
            </w:r>
            <w:r w:rsidRPr="001A2C4E">
              <w:rPr>
                <w:rFonts w:ascii="Arial Narrow" w:hAnsi="Arial Narrow" w:cs="Times New Roman"/>
                <w:sz w:val="20"/>
                <w:lang w:eastAsia="en-GB"/>
              </w:rPr>
              <w:t xml:space="preserve"> burosumab.</w:t>
            </w:r>
          </w:p>
          <w:p w14:paraId="5DC29377" w14:textId="36160F5B" w:rsidR="00CE76B8" w:rsidRPr="001A2C4E" w:rsidRDefault="00CE76B8" w:rsidP="00B03783">
            <w:pPr>
              <w:keepNext/>
              <w:widowControl w:val="0"/>
              <w:jc w:val="left"/>
              <w:rPr>
                <w:rFonts w:ascii="Arial Narrow" w:hAnsi="Arial Narrow" w:cs="Times New Roman"/>
                <w:sz w:val="20"/>
                <w:lang w:eastAsia="en-GB"/>
              </w:rPr>
            </w:pPr>
            <w:r w:rsidRPr="001A2C4E">
              <w:rPr>
                <w:rFonts w:ascii="Arial Narrow" w:hAnsi="Arial Narrow" w:cs="Times New Roman"/>
                <w:sz w:val="20"/>
                <w:lang w:eastAsia="en-GB"/>
              </w:rPr>
              <w:t>Increasing the mean adult dose to maximum 90</w:t>
            </w:r>
            <w:r w:rsidR="00B21318" w:rsidRPr="001A2C4E">
              <w:rPr>
                <w:rFonts w:ascii="Arial Narrow" w:hAnsi="Arial Narrow" w:cs="Times New Roman"/>
                <w:sz w:val="20"/>
                <w:lang w:eastAsia="en-GB"/>
              </w:rPr>
              <w:t xml:space="preserve"> </w:t>
            </w:r>
            <w:r w:rsidRPr="001A2C4E">
              <w:rPr>
                <w:rFonts w:ascii="Arial Narrow" w:hAnsi="Arial Narrow" w:cs="Times New Roman"/>
                <w:sz w:val="20"/>
                <w:lang w:eastAsia="en-GB"/>
              </w:rPr>
              <w:t>mg increases ICER to $</w:t>
            </w:r>
            <w:r w:rsidR="00B355AE" w:rsidRPr="0035108E">
              <w:rPr>
                <w:rFonts w:ascii="Arial Narrow" w:hAnsi="Arial Narrow" w:cs="Times New Roman"/>
                <w:color w:val="000000"/>
                <w:spacing w:val="53"/>
                <w:sz w:val="20"/>
                <w:shd w:val="solid" w:color="000000" w:fill="000000"/>
                <w:fitText w:val="330" w:id="-1504471040"/>
                <w:lang w:eastAsia="en-GB"/>
                <w14:textFill>
                  <w14:solidFill>
                    <w14:srgbClr w14:val="000000">
                      <w14:alpha w14:val="100000"/>
                    </w14:srgbClr>
                  </w14:solidFill>
                </w14:textFill>
              </w:rPr>
              <w:t>|||</w:t>
            </w:r>
            <w:r w:rsidR="00B355AE" w:rsidRPr="0035108E">
              <w:rPr>
                <w:rFonts w:ascii="Arial Narrow" w:hAnsi="Arial Narrow" w:cs="Times New Roman"/>
                <w:color w:val="000000"/>
                <w:spacing w:val="1"/>
                <w:sz w:val="20"/>
                <w:shd w:val="solid" w:color="000000" w:fill="000000"/>
                <w:fitText w:val="330" w:id="-1504471040"/>
                <w:lang w:eastAsia="en-GB"/>
                <w14:textFill>
                  <w14:solidFill>
                    <w14:srgbClr w14:val="000000">
                      <w14:alpha w14:val="100000"/>
                    </w14:srgbClr>
                  </w14:solidFill>
                </w14:textFill>
              </w:rPr>
              <w:t>|</w:t>
            </w:r>
            <w:r w:rsidR="004F3508">
              <w:rPr>
                <w:rFonts w:ascii="Arial Narrow" w:hAnsi="Arial Narrow" w:cs="Times New Roman"/>
                <w:sz w:val="20"/>
                <w:vertAlign w:val="superscript"/>
                <w:lang w:eastAsia="en-GB"/>
              </w:rPr>
              <w:t>2</w:t>
            </w:r>
            <w:r w:rsidR="005D7073" w:rsidRPr="001A2C4E">
              <w:rPr>
                <w:rFonts w:ascii="Arial Narrow" w:hAnsi="Arial Narrow" w:cs="Times New Roman"/>
                <w:sz w:val="20"/>
                <w:lang w:eastAsia="en-GB"/>
              </w:rPr>
              <w:t>/</w:t>
            </w:r>
            <w:r w:rsidRPr="001A2C4E">
              <w:rPr>
                <w:rFonts w:ascii="Arial Narrow" w:hAnsi="Arial Narrow" w:cs="Times New Roman"/>
                <w:sz w:val="20"/>
                <w:lang w:eastAsia="en-GB"/>
              </w:rPr>
              <w:t>QALY gained.</w:t>
            </w:r>
          </w:p>
        </w:tc>
      </w:tr>
    </w:tbl>
    <w:p w14:paraId="78F94E7A" w14:textId="4F5B2421" w:rsidR="00CE76B8" w:rsidRDefault="00CE76B8" w:rsidP="002E1D81">
      <w:pPr>
        <w:rPr>
          <w:rFonts w:ascii="Arial Narrow" w:hAnsi="Arial Narrow"/>
          <w:sz w:val="18"/>
          <w:szCs w:val="20"/>
        </w:rPr>
      </w:pPr>
      <w:r w:rsidRPr="005341C1">
        <w:rPr>
          <w:rFonts w:ascii="Arial Narrow" w:hAnsi="Arial Narrow"/>
          <w:sz w:val="18"/>
          <w:szCs w:val="20"/>
        </w:rPr>
        <w:t>Source: compiled during evaluation.</w:t>
      </w:r>
    </w:p>
    <w:p w14:paraId="7685E79E" w14:textId="21756508" w:rsidR="00C73BF1" w:rsidRDefault="00C73BF1" w:rsidP="002E1D81">
      <w:pPr>
        <w:rPr>
          <w:rFonts w:ascii="Arial Narrow" w:hAnsi="Arial Narrow"/>
          <w:sz w:val="18"/>
          <w:szCs w:val="20"/>
        </w:rPr>
      </w:pPr>
      <w:r>
        <w:rPr>
          <w:rFonts w:ascii="Arial Narrow" w:hAnsi="Arial Narrow"/>
          <w:sz w:val="18"/>
          <w:szCs w:val="20"/>
        </w:rPr>
        <w:t>BUR=burosumab; ICER=incremental cost-effectiveness ratio; Q4W=every four weeks; QALY=quality adjusted life year; SoC=standard of care; SPR=statutory anniversary price reduction</w:t>
      </w:r>
    </w:p>
    <w:p w14:paraId="6A49329F" w14:textId="379DCF66" w:rsidR="004F3508" w:rsidRDefault="005D7073" w:rsidP="002E1D81">
      <w:pPr>
        <w:rPr>
          <w:rFonts w:ascii="Arial Narrow" w:hAnsi="Arial Narrow"/>
          <w:sz w:val="18"/>
          <w:szCs w:val="20"/>
        </w:rPr>
      </w:pPr>
      <w:r w:rsidRPr="001A2C4E">
        <w:rPr>
          <w:rFonts w:ascii="Arial Narrow" w:hAnsi="Arial Narrow"/>
          <w:sz w:val="18"/>
          <w:szCs w:val="20"/>
        </w:rPr>
        <w:t>* ICERs have been updated using the corrected revised model provided with the PSCR</w:t>
      </w:r>
    </w:p>
    <w:p w14:paraId="42D1AFDE" w14:textId="77777777" w:rsidR="004F3508" w:rsidRPr="009A6D58" w:rsidRDefault="004F3508" w:rsidP="004F350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605A07D" w14:textId="201FF9E8" w:rsidR="004F3508" w:rsidRPr="004F3508" w:rsidRDefault="004F3508" w:rsidP="004F3508">
      <w:pPr>
        <w:rPr>
          <w:rFonts w:ascii="Arial Narrow" w:hAnsi="Arial Narrow"/>
          <w:sz w:val="18"/>
          <w:szCs w:val="20"/>
        </w:rPr>
      </w:pPr>
      <w:r>
        <w:rPr>
          <w:rFonts w:ascii="Arial Narrow" w:hAnsi="Arial Narrow"/>
          <w:sz w:val="18"/>
          <w:szCs w:val="20"/>
          <w:vertAlign w:val="superscript"/>
        </w:rPr>
        <w:t>1</w:t>
      </w:r>
      <w:r w:rsidRPr="004F3508">
        <w:rPr>
          <w:rFonts w:ascii="Arial Narrow" w:hAnsi="Arial Narrow"/>
          <w:sz w:val="18"/>
          <w:szCs w:val="20"/>
        </w:rPr>
        <w:t>$555,000 to &lt; $655,000</w:t>
      </w:r>
    </w:p>
    <w:p w14:paraId="0F449F46" w14:textId="3C2A57C4" w:rsidR="00CE76B8" w:rsidRPr="003C231F" w:rsidRDefault="004F3508" w:rsidP="003C231F">
      <w:pPr>
        <w:spacing w:after="120"/>
        <w:rPr>
          <w:rFonts w:ascii="Arial Narrow" w:hAnsi="Arial Narrow"/>
          <w:sz w:val="18"/>
          <w:szCs w:val="20"/>
        </w:rPr>
      </w:pPr>
      <w:r>
        <w:rPr>
          <w:rFonts w:ascii="Arial Narrow" w:hAnsi="Arial Narrow"/>
          <w:sz w:val="18"/>
          <w:szCs w:val="20"/>
          <w:vertAlign w:val="superscript"/>
        </w:rPr>
        <w:t>2</w:t>
      </w:r>
      <w:r w:rsidRPr="004F3508">
        <w:rPr>
          <w:rFonts w:ascii="Arial Narrow" w:hAnsi="Arial Narrow"/>
          <w:sz w:val="18"/>
          <w:szCs w:val="20"/>
        </w:rPr>
        <w:t>$655,000 to &lt; $755,000</w:t>
      </w:r>
    </w:p>
    <w:p w14:paraId="569F0B22" w14:textId="6C56E3C5" w:rsidR="00CE76B8" w:rsidRPr="001A2C4E" w:rsidRDefault="00CE76B8" w:rsidP="00CE76B8">
      <w:pPr>
        <w:pStyle w:val="3-BodyText"/>
      </w:pPr>
      <w:r w:rsidRPr="001A2C4E">
        <w:t xml:space="preserve">The summary </w:t>
      </w:r>
      <w:r w:rsidR="00BB6ED2" w:rsidRPr="001A2C4E">
        <w:t xml:space="preserve">of </w:t>
      </w:r>
      <w:r w:rsidR="00C53B8D" w:rsidRPr="001A2C4E">
        <w:t>revised</w:t>
      </w:r>
      <w:r w:rsidRPr="001A2C4E">
        <w:t xml:space="preserve"> base case results </w:t>
      </w:r>
      <w:proofErr w:type="gramStart"/>
      <w:r w:rsidRPr="001A2C4E">
        <w:t>are</w:t>
      </w:r>
      <w:proofErr w:type="gramEnd"/>
      <w:r w:rsidRPr="001A2C4E">
        <w:t xml:space="preserve"> presented in </w:t>
      </w:r>
      <w:r w:rsidR="004208E8">
        <w:fldChar w:fldCharType="begin"/>
      </w:r>
      <w:r w:rsidR="004208E8">
        <w:instrText xml:space="preserve"> REF _Ref100570077 \h  \* MERGEFORMAT </w:instrText>
      </w:r>
      <w:r w:rsidR="004208E8">
        <w:fldChar w:fldCharType="separate"/>
      </w:r>
      <w:r w:rsidR="00676539" w:rsidRPr="00676539">
        <w:t>Table 19</w:t>
      </w:r>
      <w:r w:rsidR="004208E8">
        <w:fldChar w:fldCharType="end"/>
      </w:r>
      <w:r w:rsidR="004208E8">
        <w:t xml:space="preserve">. </w:t>
      </w:r>
      <w:r w:rsidR="00BB6ED2" w:rsidRPr="001A2C4E">
        <w:t>The i</w:t>
      </w:r>
      <w:r w:rsidRPr="001A2C4E">
        <w:t xml:space="preserve">ncremental QALY gain was similar to </w:t>
      </w:r>
      <w:r w:rsidR="00BB6ED2" w:rsidRPr="001A2C4E">
        <w:t xml:space="preserve">that estimated in </w:t>
      </w:r>
      <w:r w:rsidRPr="001A2C4E">
        <w:t xml:space="preserve">the paediatric model (3.18 adult model, 3.90 paediatric model), though absolute QALYs were much lower. </w:t>
      </w:r>
    </w:p>
    <w:p w14:paraId="1835C849" w14:textId="40442EAB" w:rsidR="008B4571" w:rsidRDefault="008B4571" w:rsidP="00CE76B8">
      <w:pPr>
        <w:pStyle w:val="3-BodyText"/>
      </w:pPr>
      <w:r w:rsidRPr="001A2C4E">
        <w:t xml:space="preserve">The PSCR presented a revised base case in which all recurrent events and utility gains from the morbidity module of the model were removed and errors were corrected. </w:t>
      </w:r>
      <w:r w:rsidR="006B7661" w:rsidRPr="001A2C4E">
        <w:t>An additional two errors were identified: i</w:t>
      </w:r>
      <w:r w:rsidR="00C52B40" w:rsidRPr="001A2C4E">
        <w:t>)</w:t>
      </w:r>
      <w:r w:rsidR="006B7661" w:rsidRPr="001A2C4E">
        <w:t xml:space="preserve"> morbidity costs were incorrectly adjusted for mortality as the morbidity incidences already adjusted for mortality; and ii</w:t>
      </w:r>
      <w:r w:rsidR="00C52B40" w:rsidRPr="001A2C4E">
        <w:t>)</w:t>
      </w:r>
      <w:r w:rsidR="006B7661" w:rsidRPr="001A2C4E">
        <w:t xml:space="preserve"> incorrect kidney stone costs were applied to the burosumab arm. </w:t>
      </w:r>
      <w:r w:rsidRPr="001A2C4E">
        <w:t xml:space="preserve">The </w:t>
      </w:r>
      <w:r w:rsidR="006B7661" w:rsidRPr="001A2C4E">
        <w:t xml:space="preserve">corrected </w:t>
      </w:r>
      <w:r w:rsidRPr="001A2C4E">
        <w:t>revised base case ICER was estimated to be $</w:t>
      </w:r>
      <w:r w:rsidR="00044C36">
        <w:t xml:space="preserve">555,000 to &lt; $655,000 </w:t>
      </w:r>
      <w:r w:rsidRPr="001A2C4E">
        <w:t>per QALY.</w:t>
      </w:r>
    </w:p>
    <w:p w14:paraId="40C91D1F" w14:textId="7D805DCC" w:rsidR="000976A0" w:rsidRPr="001A2C4E" w:rsidRDefault="000976A0" w:rsidP="00CE76B8">
      <w:pPr>
        <w:pStyle w:val="3-BodyText"/>
      </w:pPr>
      <w:r>
        <w:t xml:space="preserve">The pre-PBAC response offered a further </w:t>
      </w:r>
      <w:r w:rsidR="00B355AE" w:rsidRPr="0035108E">
        <w:rPr>
          <w:color w:val="000000"/>
          <w:w w:val="60"/>
          <w:shd w:val="solid" w:color="000000" w:fill="000000"/>
          <w:fitText w:val="470" w:id="-1504471039"/>
          <w14:textFill>
            <w14:solidFill>
              <w14:srgbClr w14:val="000000">
                <w14:alpha w14:val="100000"/>
              </w14:srgbClr>
            </w14:solidFill>
          </w14:textFill>
        </w:rPr>
        <w:t>|||  |||</w:t>
      </w:r>
      <w:r w:rsidRPr="003C231F">
        <w:t>%</w:t>
      </w:r>
      <w:r>
        <w:t xml:space="preserve"> reduction to the effective AEMPs of burosumab. This resulted in a revised </w:t>
      </w:r>
      <w:r w:rsidR="00AD0FEE">
        <w:t>base case ICER of $</w:t>
      </w:r>
      <w:r w:rsidR="00044C36">
        <w:t xml:space="preserve">455,000 to &lt; $550,000 </w:t>
      </w:r>
      <w:r w:rsidR="004765A2">
        <w:t>per QALY</w:t>
      </w:r>
      <w:r w:rsidR="00AD0FEE">
        <w:t>.</w:t>
      </w:r>
    </w:p>
    <w:p w14:paraId="2E7AF4DD" w14:textId="01F07154" w:rsidR="00CE76B8" w:rsidRPr="001A2C4E" w:rsidRDefault="00C06B83" w:rsidP="004208E8">
      <w:pPr>
        <w:keepNext/>
        <w:keepLines/>
        <w:jc w:val="left"/>
        <w:rPr>
          <w:rFonts w:ascii="Arial Narrow" w:eastAsiaTheme="majorEastAsia" w:hAnsi="Arial Narrow" w:cstheme="majorBidi"/>
          <w:b/>
          <w:bCs/>
          <w:sz w:val="20"/>
        </w:rPr>
      </w:pPr>
      <w:bookmarkStart w:id="56" w:name="_Ref100570077"/>
      <w:bookmarkStart w:id="57" w:name="_Ref100570072"/>
      <w:r w:rsidRPr="00271609">
        <w:rPr>
          <w:rFonts w:ascii="Arial Narrow" w:eastAsia="Calibri" w:hAnsi="Arial Narrow"/>
          <w:b/>
          <w:iCs/>
          <w:sz w:val="20"/>
          <w:szCs w:val="18"/>
          <w:lang w:eastAsia="en-US"/>
        </w:rPr>
        <w:lastRenderedPageBreak/>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19</w:t>
      </w:r>
      <w:r w:rsidRPr="00271609">
        <w:rPr>
          <w:rFonts w:ascii="Arial Narrow" w:eastAsia="Calibri" w:hAnsi="Arial Narrow"/>
          <w:b/>
          <w:iCs/>
          <w:sz w:val="20"/>
          <w:szCs w:val="18"/>
          <w:lang w:eastAsia="en-US"/>
        </w:rPr>
        <w:fldChar w:fldCharType="end"/>
      </w:r>
      <w:bookmarkEnd w:id="56"/>
      <w:r w:rsidR="00CE76B8" w:rsidRPr="001A2C4E">
        <w:rPr>
          <w:rFonts w:ascii="Arial Narrow" w:eastAsiaTheme="majorEastAsia" w:hAnsi="Arial Narrow" w:cstheme="majorBidi"/>
          <w:b/>
          <w:bCs/>
          <w:sz w:val="20"/>
        </w:rPr>
        <w:t>: Results of the adult economic evaluation (discounted)</w:t>
      </w:r>
      <w:bookmarkEnd w:id="57"/>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9: Results of the adult economic evaluation (discounted)"/>
      </w:tblPr>
      <w:tblGrid>
        <w:gridCol w:w="3114"/>
        <w:gridCol w:w="1844"/>
        <w:gridCol w:w="1844"/>
        <w:gridCol w:w="2125"/>
      </w:tblGrid>
      <w:tr w:rsidR="00CE76B8" w:rsidRPr="001A2C4E" w14:paraId="6A2E09C8" w14:textId="77777777" w:rsidTr="006B7661">
        <w:trPr>
          <w:trHeight w:val="246"/>
          <w:tblHeader/>
        </w:trPr>
        <w:tc>
          <w:tcPr>
            <w:tcW w:w="1744" w:type="pct"/>
            <w:vAlign w:val="center"/>
          </w:tcPr>
          <w:p w14:paraId="3E109023" w14:textId="77777777" w:rsidR="00CE76B8" w:rsidRPr="001A2C4E" w:rsidRDefault="00CE76B8" w:rsidP="004208E8">
            <w:pPr>
              <w:keepNext/>
              <w:keepLines/>
              <w:jc w:val="left"/>
              <w:rPr>
                <w:rFonts w:ascii="Arial Narrow" w:eastAsiaTheme="majorEastAsia" w:hAnsi="Arial Narrow"/>
                <w:b/>
                <w:sz w:val="20"/>
              </w:rPr>
            </w:pPr>
            <w:r w:rsidRPr="001A2C4E">
              <w:rPr>
                <w:rFonts w:ascii="Arial Narrow" w:eastAsiaTheme="majorEastAsia" w:hAnsi="Arial Narrow"/>
                <w:b/>
                <w:sz w:val="20"/>
              </w:rPr>
              <w:t>Component</w:t>
            </w:r>
          </w:p>
        </w:tc>
        <w:tc>
          <w:tcPr>
            <w:tcW w:w="1033" w:type="pct"/>
            <w:vAlign w:val="center"/>
          </w:tcPr>
          <w:p w14:paraId="1C765DFE"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BUR</w:t>
            </w:r>
          </w:p>
        </w:tc>
        <w:tc>
          <w:tcPr>
            <w:tcW w:w="1033" w:type="pct"/>
            <w:vAlign w:val="center"/>
          </w:tcPr>
          <w:p w14:paraId="0400937F"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SoC</w:t>
            </w:r>
          </w:p>
        </w:tc>
        <w:tc>
          <w:tcPr>
            <w:tcW w:w="1190" w:type="pct"/>
            <w:vAlign w:val="center"/>
          </w:tcPr>
          <w:p w14:paraId="252727C9" w14:textId="77777777" w:rsidR="00CE76B8" w:rsidRPr="001A2C4E" w:rsidRDefault="00CE76B8" w:rsidP="004208E8">
            <w:pPr>
              <w:keepNext/>
              <w:keepLines/>
              <w:jc w:val="center"/>
              <w:rPr>
                <w:rFonts w:ascii="Arial Narrow" w:eastAsiaTheme="majorEastAsia" w:hAnsi="Arial Narrow"/>
                <w:b/>
                <w:sz w:val="20"/>
              </w:rPr>
            </w:pPr>
            <w:r w:rsidRPr="001A2C4E">
              <w:rPr>
                <w:rFonts w:ascii="Arial Narrow" w:eastAsiaTheme="majorEastAsia" w:hAnsi="Arial Narrow"/>
                <w:b/>
                <w:sz w:val="20"/>
              </w:rPr>
              <w:t>Incremental</w:t>
            </w:r>
          </w:p>
        </w:tc>
      </w:tr>
      <w:tr w:rsidR="00CE76B8" w:rsidRPr="001A2C4E" w14:paraId="60603C88" w14:textId="77777777" w:rsidTr="006B7661">
        <w:trPr>
          <w:trHeight w:val="68"/>
          <w:tblHeader/>
        </w:trPr>
        <w:tc>
          <w:tcPr>
            <w:tcW w:w="1744" w:type="pct"/>
            <w:vAlign w:val="center"/>
          </w:tcPr>
          <w:p w14:paraId="033A2D9A" w14:textId="77777777" w:rsidR="00CE76B8" w:rsidRPr="001A2C4E" w:rsidRDefault="00CE76B8" w:rsidP="004208E8">
            <w:pPr>
              <w:keepNext/>
              <w:keepLines/>
              <w:jc w:val="left"/>
              <w:rPr>
                <w:rFonts w:ascii="Arial Narrow" w:eastAsiaTheme="majorEastAsia" w:hAnsi="Arial Narrow"/>
                <w:b/>
                <w:sz w:val="20"/>
              </w:rPr>
            </w:pPr>
            <w:r w:rsidRPr="001A2C4E">
              <w:rPr>
                <w:rFonts w:ascii="Arial Narrow" w:eastAsiaTheme="majorEastAsia" w:hAnsi="Arial Narrow" w:cstheme="majorBidi"/>
                <w:bCs/>
                <w:sz w:val="20"/>
              </w:rPr>
              <w:t>Total costs</w:t>
            </w:r>
          </w:p>
        </w:tc>
        <w:tc>
          <w:tcPr>
            <w:tcW w:w="1033" w:type="pct"/>
            <w:vAlign w:val="center"/>
          </w:tcPr>
          <w:p w14:paraId="69F42EA8" w14:textId="328B8477" w:rsidR="00CE76B8" w:rsidRPr="001A2C4E" w:rsidRDefault="00CE76B8" w:rsidP="004208E8">
            <w:pPr>
              <w:keepNext/>
              <w:keepLines/>
              <w:jc w:val="center"/>
              <w:rPr>
                <w:rFonts w:ascii="Arial Narrow" w:eastAsiaTheme="majorEastAsia" w:hAnsi="Arial Narrow"/>
                <w:b/>
                <w:sz w:val="18"/>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033" w:type="pct"/>
            <w:vAlign w:val="center"/>
          </w:tcPr>
          <w:p w14:paraId="57AEC856" w14:textId="274EFF2E"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190" w:type="pct"/>
            <w:vAlign w:val="center"/>
          </w:tcPr>
          <w:p w14:paraId="67486BE6" w14:textId="7271B71F"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eastAsiaTheme="majorEastAsia" w:hAnsi="Arial Narrow" w:cstheme="majorBidi"/>
                <w:bCs/>
                <w:sz w:val="20"/>
                <w:szCs w:val="20"/>
              </w:rPr>
              <w:t>$</w:t>
            </w:r>
            <w:r w:rsidR="00B355AE" w:rsidRPr="00B355AE">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r>
      <w:tr w:rsidR="00CE76B8" w:rsidRPr="001A2C4E" w14:paraId="144F455B" w14:textId="77777777" w:rsidTr="006B7661">
        <w:trPr>
          <w:trHeight w:val="246"/>
        </w:trPr>
        <w:tc>
          <w:tcPr>
            <w:tcW w:w="1744" w:type="pct"/>
            <w:vAlign w:val="center"/>
          </w:tcPr>
          <w:p w14:paraId="66FF0F69" w14:textId="77777777" w:rsidR="00CE76B8" w:rsidRPr="001A2C4E" w:rsidRDefault="00CE76B8" w:rsidP="004208E8">
            <w:pPr>
              <w:keepNext/>
              <w:keepLines/>
              <w:jc w:val="left"/>
              <w:rPr>
                <w:rFonts w:ascii="Arial Narrow" w:eastAsiaTheme="majorEastAsia" w:hAnsi="Arial Narrow" w:cstheme="majorBidi"/>
                <w:bCs/>
                <w:sz w:val="20"/>
              </w:rPr>
            </w:pPr>
            <w:r w:rsidRPr="001A2C4E">
              <w:rPr>
                <w:rFonts w:ascii="Arial Narrow" w:eastAsiaTheme="majorEastAsia" w:hAnsi="Arial Narrow" w:cstheme="majorBidi"/>
                <w:bCs/>
                <w:sz w:val="20"/>
              </w:rPr>
              <w:t>Total QALYs</w:t>
            </w:r>
          </w:p>
        </w:tc>
        <w:tc>
          <w:tcPr>
            <w:tcW w:w="1033" w:type="pct"/>
            <w:vAlign w:val="center"/>
          </w:tcPr>
          <w:p w14:paraId="61FF1F76"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8.15</w:t>
            </w:r>
          </w:p>
        </w:tc>
        <w:tc>
          <w:tcPr>
            <w:tcW w:w="1033" w:type="pct"/>
            <w:vAlign w:val="center"/>
          </w:tcPr>
          <w:p w14:paraId="1366D66D"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4.97</w:t>
            </w:r>
          </w:p>
        </w:tc>
        <w:tc>
          <w:tcPr>
            <w:tcW w:w="1190" w:type="pct"/>
            <w:vAlign w:val="center"/>
          </w:tcPr>
          <w:p w14:paraId="6B3CBDEE" w14:textId="77777777" w:rsidR="00CE76B8" w:rsidRPr="001A2C4E" w:rsidRDefault="00CE76B8" w:rsidP="004208E8">
            <w:pPr>
              <w:keepNext/>
              <w:keepLines/>
              <w:jc w:val="center"/>
              <w:rPr>
                <w:rFonts w:ascii="Arial Narrow" w:eastAsiaTheme="majorEastAsia" w:hAnsi="Arial Narrow" w:cstheme="majorBidi"/>
                <w:bCs/>
                <w:sz w:val="20"/>
                <w:szCs w:val="20"/>
              </w:rPr>
            </w:pPr>
            <w:r w:rsidRPr="001A2C4E">
              <w:rPr>
                <w:rFonts w:ascii="Arial Narrow" w:hAnsi="Arial Narrow"/>
                <w:sz w:val="20"/>
                <w:szCs w:val="20"/>
              </w:rPr>
              <w:t>3.18</w:t>
            </w:r>
          </w:p>
        </w:tc>
      </w:tr>
      <w:tr w:rsidR="00CE76B8" w:rsidRPr="001A2C4E" w14:paraId="2C44D732" w14:textId="77777777" w:rsidTr="006B7661">
        <w:trPr>
          <w:trHeight w:val="246"/>
        </w:trPr>
        <w:tc>
          <w:tcPr>
            <w:tcW w:w="3810" w:type="pct"/>
            <w:gridSpan w:val="3"/>
            <w:vAlign w:val="center"/>
          </w:tcPr>
          <w:p w14:paraId="40246B22" w14:textId="1AAECFF0" w:rsidR="00CE76B8" w:rsidRPr="001A2C4E" w:rsidRDefault="00CE76B8" w:rsidP="004208E8">
            <w:pPr>
              <w:keepNext/>
              <w:keepLines/>
              <w:jc w:val="left"/>
              <w:rPr>
                <w:rFonts w:ascii="Arial Narrow" w:eastAsiaTheme="majorEastAsia" w:hAnsi="Arial Narrow" w:cstheme="majorBidi"/>
                <w:b/>
                <w:bCs/>
                <w:sz w:val="20"/>
              </w:rPr>
            </w:pPr>
            <w:r w:rsidRPr="001A2C4E">
              <w:rPr>
                <w:rFonts w:ascii="Arial Narrow" w:eastAsiaTheme="majorEastAsia" w:hAnsi="Arial Narrow" w:cstheme="majorBidi"/>
                <w:b/>
                <w:bCs/>
                <w:sz w:val="20"/>
              </w:rPr>
              <w:t>Incremental cost per QALY gained (without SPR)</w:t>
            </w:r>
          </w:p>
        </w:tc>
        <w:tc>
          <w:tcPr>
            <w:tcW w:w="1190" w:type="pct"/>
            <w:vAlign w:val="center"/>
          </w:tcPr>
          <w:p w14:paraId="502EBE3C" w14:textId="4933DC39" w:rsidR="00CE76B8" w:rsidRPr="00044C36" w:rsidRDefault="00CE76B8" w:rsidP="004208E8">
            <w:pPr>
              <w:keepNext/>
              <w:keepLines/>
              <w:jc w:val="center"/>
              <w:rPr>
                <w:rFonts w:ascii="Arial Narrow" w:eastAsiaTheme="majorEastAsia" w:hAnsi="Arial Narrow" w:cstheme="majorBidi"/>
                <w:b/>
                <w:bCs/>
                <w:sz w:val="20"/>
                <w:vertAlign w:val="superscript"/>
              </w:rPr>
            </w:pPr>
            <w:r w:rsidRPr="001A2C4E">
              <w:rPr>
                <w:rFonts w:ascii="Arial Narrow" w:eastAsiaTheme="majorEastAsia" w:hAnsi="Arial Narrow" w:cstheme="majorBidi"/>
                <w:b/>
                <w:bCs/>
                <w:sz w:val="20"/>
              </w:rPr>
              <w:t>$</w:t>
            </w:r>
            <w:r w:rsidR="00B355AE" w:rsidRPr="00B355AE">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044C36">
              <w:rPr>
                <w:rFonts w:ascii="Arial Narrow" w:eastAsiaTheme="majorEastAsia" w:hAnsi="Arial Narrow" w:cstheme="majorBidi"/>
                <w:b/>
                <w:bCs/>
                <w:sz w:val="20"/>
                <w:vertAlign w:val="superscript"/>
              </w:rPr>
              <w:t>1</w:t>
            </w:r>
          </w:p>
        </w:tc>
      </w:tr>
      <w:tr w:rsidR="006B7661" w:rsidRPr="001A2C4E" w14:paraId="5CCCF0B5" w14:textId="77777777" w:rsidTr="006B7661">
        <w:trPr>
          <w:trHeight w:val="246"/>
        </w:trPr>
        <w:tc>
          <w:tcPr>
            <w:tcW w:w="5000" w:type="pct"/>
            <w:gridSpan w:val="4"/>
            <w:vAlign w:val="center"/>
          </w:tcPr>
          <w:p w14:paraId="3498965B" w14:textId="77777777" w:rsidR="006B7661" w:rsidRPr="001A2C4E" w:rsidRDefault="006B7661" w:rsidP="004208E8">
            <w:pPr>
              <w:pStyle w:val="TableText0"/>
              <w:keepLines/>
              <w:rPr>
                <w:b/>
                <w:bCs w:val="0"/>
              </w:rPr>
            </w:pPr>
            <w:r w:rsidRPr="001A2C4E">
              <w:rPr>
                <w:b/>
                <w:bCs w:val="0"/>
              </w:rPr>
              <w:t xml:space="preserve">Revised base case presented in the PSCR </w:t>
            </w:r>
          </w:p>
        </w:tc>
      </w:tr>
      <w:tr w:rsidR="006B7661" w:rsidRPr="001A2C4E" w14:paraId="476198A9" w14:textId="77777777" w:rsidTr="006B7661">
        <w:trPr>
          <w:trHeight w:val="246"/>
        </w:trPr>
        <w:tc>
          <w:tcPr>
            <w:tcW w:w="1744" w:type="pct"/>
            <w:vAlign w:val="center"/>
          </w:tcPr>
          <w:p w14:paraId="3D3B2CD1" w14:textId="77777777" w:rsidR="006B7661" w:rsidRPr="001A2C4E" w:rsidRDefault="006B7661" w:rsidP="004208E8">
            <w:pPr>
              <w:pStyle w:val="TableText0"/>
              <w:keepLines/>
              <w:rPr>
                <w:bCs w:val="0"/>
              </w:rPr>
            </w:pPr>
            <w:r w:rsidRPr="001A2C4E">
              <w:rPr>
                <w:bCs w:val="0"/>
              </w:rPr>
              <w:t>Total costs</w:t>
            </w:r>
          </w:p>
        </w:tc>
        <w:tc>
          <w:tcPr>
            <w:tcW w:w="1033" w:type="pct"/>
          </w:tcPr>
          <w:p w14:paraId="22331855" w14:textId="0ACCCB1C"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033" w:type="pct"/>
          </w:tcPr>
          <w:p w14:paraId="1D393685" w14:textId="620E0293"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190" w:type="pct"/>
            <w:vAlign w:val="center"/>
          </w:tcPr>
          <w:p w14:paraId="36ED444A" w14:textId="70A52ACD" w:rsidR="006B7661" w:rsidRPr="001A2C4E" w:rsidRDefault="00674324"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r>
      <w:tr w:rsidR="006B7661" w:rsidRPr="001A2C4E" w14:paraId="0E273C57" w14:textId="77777777" w:rsidTr="006B7661">
        <w:trPr>
          <w:trHeight w:val="246"/>
        </w:trPr>
        <w:tc>
          <w:tcPr>
            <w:tcW w:w="1744" w:type="pct"/>
            <w:vAlign w:val="center"/>
          </w:tcPr>
          <w:p w14:paraId="062A53B4" w14:textId="77777777" w:rsidR="006B7661" w:rsidRPr="001A2C4E" w:rsidRDefault="006B7661" w:rsidP="004208E8">
            <w:pPr>
              <w:pStyle w:val="TableText0"/>
              <w:keepLines/>
              <w:rPr>
                <w:bCs w:val="0"/>
              </w:rPr>
            </w:pPr>
            <w:r w:rsidRPr="001A2C4E">
              <w:rPr>
                <w:bCs w:val="0"/>
              </w:rPr>
              <w:t>Total QALYs</w:t>
            </w:r>
          </w:p>
        </w:tc>
        <w:tc>
          <w:tcPr>
            <w:tcW w:w="1033" w:type="pct"/>
          </w:tcPr>
          <w:p w14:paraId="20D9DEBC" w14:textId="35A66DB0" w:rsidR="006B7661" w:rsidRPr="001A2C4E" w:rsidRDefault="00674324" w:rsidP="004208E8">
            <w:pPr>
              <w:pStyle w:val="TableText0"/>
              <w:keepLines/>
              <w:jc w:val="center"/>
              <w:rPr>
                <w:bCs w:val="0"/>
              </w:rPr>
            </w:pPr>
            <w:r w:rsidRPr="001A2C4E">
              <w:rPr>
                <w:bCs w:val="0"/>
              </w:rPr>
              <w:t>8.28</w:t>
            </w:r>
          </w:p>
        </w:tc>
        <w:tc>
          <w:tcPr>
            <w:tcW w:w="1033" w:type="pct"/>
          </w:tcPr>
          <w:p w14:paraId="61428A91" w14:textId="13BC75E5" w:rsidR="006B7661" w:rsidRPr="001A2C4E" w:rsidRDefault="00674324" w:rsidP="004208E8">
            <w:pPr>
              <w:pStyle w:val="TableText0"/>
              <w:keepLines/>
              <w:jc w:val="center"/>
              <w:rPr>
                <w:bCs w:val="0"/>
              </w:rPr>
            </w:pPr>
            <w:r w:rsidRPr="001A2C4E">
              <w:rPr>
                <w:bCs w:val="0"/>
              </w:rPr>
              <w:t>5.84</w:t>
            </w:r>
          </w:p>
        </w:tc>
        <w:tc>
          <w:tcPr>
            <w:tcW w:w="1190" w:type="pct"/>
            <w:vAlign w:val="center"/>
          </w:tcPr>
          <w:p w14:paraId="50CAC653" w14:textId="75F4A643" w:rsidR="006B7661" w:rsidRPr="001A2C4E" w:rsidRDefault="00674324" w:rsidP="004208E8">
            <w:pPr>
              <w:pStyle w:val="TableText0"/>
              <w:keepLines/>
              <w:jc w:val="center"/>
              <w:rPr>
                <w:bCs w:val="0"/>
              </w:rPr>
            </w:pPr>
            <w:r w:rsidRPr="001A2C4E">
              <w:rPr>
                <w:bCs w:val="0"/>
              </w:rPr>
              <w:t>2.44</w:t>
            </w:r>
          </w:p>
        </w:tc>
      </w:tr>
      <w:tr w:rsidR="006B7661" w:rsidRPr="001A2C4E" w14:paraId="45110277" w14:textId="77777777" w:rsidTr="006B7661">
        <w:trPr>
          <w:trHeight w:val="246"/>
        </w:trPr>
        <w:tc>
          <w:tcPr>
            <w:tcW w:w="1744" w:type="pct"/>
            <w:vAlign w:val="center"/>
          </w:tcPr>
          <w:p w14:paraId="12429573" w14:textId="77777777" w:rsidR="006B7661" w:rsidRPr="001A2C4E" w:rsidRDefault="006B7661" w:rsidP="004208E8">
            <w:pPr>
              <w:pStyle w:val="TableText0"/>
              <w:keepLines/>
              <w:rPr>
                <w:b/>
              </w:rPr>
            </w:pPr>
            <w:r w:rsidRPr="001A2C4E">
              <w:rPr>
                <w:b/>
              </w:rPr>
              <w:t>Incremental cost per QALY gained</w:t>
            </w:r>
          </w:p>
        </w:tc>
        <w:tc>
          <w:tcPr>
            <w:tcW w:w="2066" w:type="pct"/>
            <w:gridSpan w:val="2"/>
          </w:tcPr>
          <w:p w14:paraId="1F6C06F7" w14:textId="77777777" w:rsidR="006B7661" w:rsidRPr="001A2C4E" w:rsidRDefault="006B7661" w:rsidP="004208E8">
            <w:pPr>
              <w:pStyle w:val="TableText0"/>
              <w:keepLines/>
              <w:jc w:val="center"/>
              <w:rPr>
                <w:b/>
              </w:rPr>
            </w:pPr>
          </w:p>
        </w:tc>
        <w:tc>
          <w:tcPr>
            <w:tcW w:w="1190" w:type="pct"/>
            <w:vAlign w:val="center"/>
          </w:tcPr>
          <w:p w14:paraId="0E53EF53" w14:textId="1DE1D114" w:rsidR="006B7661" w:rsidRPr="00044C36" w:rsidRDefault="00674324" w:rsidP="004208E8">
            <w:pPr>
              <w:pStyle w:val="TableText0"/>
              <w:keepLines/>
              <w:jc w:val="center"/>
              <w:rPr>
                <w:b/>
                <w:bCs w:val="0"/>
                <w:vertAlign w:val="superscript"/>
              </w:rPr>
            </w:pPr>
            <w:r w:rsidRPr="001A2C4E">
              <w:rPr>
                <w:b/>
                <w:bCs w:val="0"/>
              </w:rPr>
              <w:t>$</w:t>
            </w:r>
            <w:r w:rsidR="00B355AE" w:rsidRPr="00B355AE">
              <w:rPr>
                <w:b/>
                <w:bCs w:val="0"/>
                <w:color w:val="000000"/>
                <w:shd w:val="solid" w:color="000000" w:fill="000000"/>
                <w14:textFill>
                  <w14:solidFill>
                    <w14:srgbClr w14:val="000000">
                      <w14:alpha w14:val="100000"/>
                    </w14:srgbClr>
                  </w14:solidFill>
                </w14:textFill>
              </w:rPr>
              <w:t>|</w:t>
            </w:r>
            <w:r w:rsidR="00044C36">
              <w:rPr>
                <w:b/>
                <w:bCs w:val="0"/>
                <w:vertAlign w:val="superscript"/>
              </w:rPr>
              <w:t>3</w:t>
            </w:r>
          </w:p>
        </w:tc>
      </w:tr>
      <w:tr w:rsidR="00AD0FEE" w:rsidRPr="001A2C4E" w14:paraId="5DD8DBAB" w14:textId="77777777" w:rsidTr="00FF1615">
        <w:trPr>
          <w:trHeight w:val="246"/>
        </w:trPr>
        <w:tc>
          <w:tcPr>
            <w:tcW w:w="5000" w:type="pct"/>
            <w:gridSpan w:val="4"/>
            <w:vAlign w:val="center"/>
          </w:tcPr>
          <w:p w14:paraId="42AF6595" w14:textId="1CE9ADF5" w:rsidR="00AD0FEE" w:rsidRPr="001A2C4E" w:rsidRDefault="00AD0FEE" w:rsidP="004208E8">
            <w:pPr>
              <w:pStyle w:val="TableText0"/>
              <w:keepLines/>
              <w:rPr>
                <w:b/>
                <w:bCs w:val="0"/>
              </w:rPr>
            </w:pPr>
            <w:r w:rsidRPr="001A2C4E">
              <w:rPr>
                <w:b/>
                <w:bCs w:val="0"/>
              </w:rPr>
              <w:t xml:space="preserve">Revised base case presented in the </w:t>
            </w:r>
            <w:r>
              <w:rPr>
                <w:b/>
                <w:bCs w:val="0"/>
              </w:rPr>
              <w:t>pre-PBAC response</w:t>
            </w:r>
            <w:r w:rsidRPr="001A2C4E">
              <w:rPr>
                <w:b/>
                <w:bCs w:val="0"/>
              </w:rPr>
              <w:t xml:space="preserve"> </w:t>
            </w:r>
          </w:p>
        </w:tc>
      </w:tr>
      <w:tr w:rsidR="00AD0FEE" w:rsidRPr="001A2C4E" w14:paraId="15DD00CB" w14:textId="77777777" w:rsidTr="00FF1615">
        <w:trPr>
          <w:trHeight w:val="246"/>
        </w:trPr>
        <w:tc>
          <w:tcPr>
            <w:tcW w:w="1744" w:type="pct"/>
            <w:vAlign w:val="center"/>
          </w:tcPr>
          <w:p w14:paraId="63702774" w14:textId="77777777" w:rsidR="00AD0FEE" w:rsidRPr="001A2C4E" w:rsidRDefault="00AD0FEE" w:rsidP="004208E8">
            <w:pPr>
              <w:pStyle w:val="TableText0"/>
              <w:keepLines/>
              <w:rPr>
                <w:bCs w:val="0"/>
              </w:rPr>
            </w:pPr>
            <w:r w:rsidRPr="001A2C4E">
              <w:rPr>
                <w:bCs w:val="0"/>
              </w:rPr>
              <w:t>Total costs</w:t>
            </w:r>
          </w:p>
        </w:tc>
        <w:tc>
          <w:tcPr>
            <w:tcW w:w="1033" w:type="pct"/>
          </w:tcPr>
          <w:p w14:paraId="60A68267" w14:textId="704F8F60"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033" w:type="pct"/>
          </w:tcPr>
          <w:p w14:paraId="6EE58D85" w14:textId="5962E1E7"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c>
          <w:tcPr>
            <w:tcW w:w="1190" w:type="pct"/>
            <w:vAlign w:val="center"/>
          </w:tcPr>
          <w:p w14:paraId="77731AED" w14:textId="6C673532" w:rsidR="00AD0FEE" w:rsidRPr="001A2C4E" w:rsidRDefault="00AD0FEE" w:rsidP="004208E8">
            <w:pPr>
              <w:pStyle w:val="TableText0"/>
              <w:keepLines/>
              <w:jc w:val="center"/>
              <w:rPr>
                <w:bCs w:val="0"/>
              </w:rPr>
            </w:pPr>
            <w:r w:rsidRPr="001A2C4E">
              <w:rPr>
                <w:bCs w:val="0"/>
              </w:rPr>
              <w:t>$</w:t>
            </w:r>
            <w:r w:rsidR="00B355AE" w:rsidRPr="00B355AE">
              <w:rPr>
                <w:bCs w:val="0"/>
                <w:color w:val="000000"/>
                <w:shd w:val="solid" w:color="000000" w:fill="000000"/>
                <w14:textFill>
                  <w14:solidFill>
                    <w14:srgbClr w14:val="000000">
                      <w14:alpha w14:val="100000"/>
                    </w14:srgbClr>
                  </w14:solidFill>
                </w14:textFill>
              </w:rPr>
              <w:t>|</w:t>
            </w:r>
          </w:p>
        </w:tc>
      </w:tr>
      <w:tr w:rsidR="00AD0FEE" w:rsidRPr="001A2C4E" w14:paraId="73AFF48F" w14:textId="77777777" w:rsidTr="00FF1615">
        <w:trPr>
          <w:trHeight w:val="246"/>
        </w:trPr>
        <w:tc>
          <w:tcPr>
            <w:tcW w:w="1744" w:type="pct"/>
            <w:vAlign w:val="center"/>
          </w:tcPr>
          <w:p w14:paraId="5A74279D" w14:textId="77777777" w:rsidR="00AD0FEE" w:rsidRPr="001A2C4E" w:rsidRDefault="00AD0FEE" w:rsidP="004208E8">
            <w:pPr>
              <w:pStyle w:val="TableText0"/>
              <w:keepLines/>
              <w:rPr>
                <w:bCs w:val="0"/>
              </w:rPr>
            </w:pPr>
            <w:r w:rsidRPr="001A2C4E">
              <w:rPr>
                <w:bCs w:val="0"/>
              </w:rPr>
              <w:t>Total QALYs</w:t>
            </w:r>
          </w:p>
        </w:tc>
        <w:tc>
          <w:tcPr>
            <w:tcW w:w="1033" w:type="pct"/>
          </w:tcPr>
          <w:p w14:paraId="352090E5" w14:textId="77777777" w:rsidR="00AD0FEE" w:rsidRPr="001A2C4E" w:rsidRDefault="00AD0FEE" w:rsidP="004208E8">
            <w:pPr>
              <w:pStyle w:val="TableText0"/>
              <w:keepLines/>
              <w:jc w:val="center"/>
              <w:rPr>
                <w:bCs w:val="0"/>
              </w:rPr>
            </w:pPr>
            <w:r w:rsidRPr="001A2C4E">
              <w:rPr>
                <w:bCs w:val="0"/>
              </w:rPr>
              <w:t>8.28</w:t>
            </w:r>
          </w:p>
        </w:tc>
        <w:tc>
          <w:tcPr>
            <w:tcW w:w="1033" w:type="pct"/>
          </w:tcPr>
          <w:p w14:paraId="3D637962" w14:textId="77777777" w:rsidR="00AD0FEE" w:rsidRPr="001A2C4E" w:rsidRDefault="00AD0FEE" w:rsidP="004208E8">
            <w:pPr>
              <w:pStyle w:val="TableText0"/>
              <w:keepLines/>
              <w:jc w:val="center"/>
              <w:rPr>
                <w:bCs w:val="0"/>
              </w:rPr>
            </w:pPr>
            <w:r w:rsidRPr="001A2C4E">
              <w:rPr>
                <w:bCs w:val="0"/>
              </w:rPr>
              <w:t>5.84</w:t>
            </w:r>
          </w:p>
        </w:tc>
        <w:tc>
          <w:tcPr>
            <w:tcW w:w="1190" w:type="pct"/>
            <w:vAlign w:val="center"/>
          </w:tcPr>
          <w:p w14:paraId="2C34766D" w14:textId="77777777" w:rsidR="00AD0FEE" w:rsidRPr="001A2C4E" w:rsidRDefault="00AD0FEE" w:rsidP="004208E8">
            <w:pPr>
              <w:pStyle w:val="TableText0"/>
              <w:keepLines/>
              <w:jc w:val="center"/>
              <w:rPr>
                <w:bCs w:val="0"/>
              </w:rPr>
            </w:pPr>
            <w:r w:rsidRPr="001A2C4E">
              <w:rPr>
                <w:bCs w:val="0"/>
              </w:rPr>
              <w:t>2.44</w:t>
            </w:r>
          </w:p>
        </w:tc>
      </w:tr>
      <w:tr w:rsidR="00AD0FEE" w:rsidRPr="001A2C4E" w14:paraId="126CDC6A" w14:textId="77777777" w:rsidTr="00FF1615">
        <w:trPr>
          <w:trHeight w:val="246"/>
        </w:trPr>
        <w:tc>
          <w:tcPr>
            <w:tcW w:w="1744" w:type="pct"/>
            <w:vAlign w:val="center"/>
          </w:tcPr>
          <w:p w14:paraId="4045FE4C" w14:textId="77777777" w:rsidR="00AD0FEE" w:rsidRPr="001A2C4E" w:rsidRDefault="00AD0FEE" w:rsidP="004208E8">
            <w:pPr>
              <w:pStyle w:val="TableText0"/>
              <w:keepLines/>
              <w:rPr>
                <w:b/>
              </w:rPr>
            </w:pPr>
            <w:r w:rsidRPr="001A2C4E">
              <w:rPr>
                <w:b/>
              </w:rPr>
              <w:t>Incremental cost per QALY gained</w:t>
            </w:r>
          </w:p>
        </w:tc>
        <w:tc>
          <w:tcPr>
            <w:tcW w:w="2066" w:type="pct"/>
            <w:gridSpan w:val="2"/>
          </w:tcPr>
          <w:p w14:paraId="58397643" w14:textId="77777777" w:rsidR="00AD0FEE" w:rsidRPr="001A2C4E" w:rsidRDefault="00AD0FEE" w:rsidP="004208E8">
            <w:pPr>
              <w:pStyle w:val="TableText0"/>
              <w:keepLines/>
              <w:jc w:val="center"/>
              <w:rPr>
                <w:b/>
              </w:rPr>
            </w:pPr>
          </w:p>
        </w:tc>
        <w:tc>
          <w:tcPr>
            <w:tcW w:w="1190" w:type="pct"/>
            <w:vAlign w:val="center"/>
          </w:tcPr>
          <w:p w14:paraId="2F7ABB36" w14:textId="6834E43D" w:rsidR="00AD0FEE" w:rsidRPr="00044C36" w:rsidRDefault="00AD0FEE" w:rsidP="004208E8">
            <w:pPr>
              <w:pStyle w:val="TableText0"/>
              <w:keepLines/>
              <w:jc w:val="center"/>
              <w:rPr>
                <w:b/>
                <w:bCs w:val="0"/>
                <w:vertAlign w:val="superscript"/>
              </w:rPr>
            </w:pPr>
            <w:r w:rsidRPr="001A2C4E">
              <w:rPr>
                <w:b/>
                <w:bCs w:val="0"/>
              </w:rPr>
              <w:t>$</w:t>
            </w:r>
            <w:r w:rsidR="00B355AE" w:rsidRPr="00B355AE">
              <w:rPr>
                <w:b/>
                <w:bCs w:val="0"/>
                <w:color w:val="000000"/>
                <w:shd w:val="solid" w:color="000000" w:fill="000000"/>
                <w14:textFill>
                  <w14:solidFill>
                    <w14:srgbClr w14:val="000000">
                      <w14:alpha w14:val="100000"/>
                    </w14:srgbClr>
                  </w14:solidFill>
                </w14:textFill>
              </w:rPr>
              <w:t>|</w:t>
            </w:r>
            <w:r w:rsidR="00044C36">
              <w:rPr>
                <w:b/>
                <w:bCs w:val="0"/>
                <w:vertAlign w:val="superscript"/>
              </w:rPr>
              <w:t>2</w:t>
            </w:r>
          </w:p>
        </w:tc>
      </w:tr>
    </w:tbl>
    <w:p w14:paraId="0D917C31" w14:textId="77777777" w:rsidR="00CE76B8" w:rsidRPr="001A2C4E" w:rsidRDefault="00CE76B8" w:rsidP="004208E8">
      <w:pPr>
        <w:pStyle w:val="TableFigureFooter"/>
        <w:keepNext/>
        <w:keepLines/>
      </w:pPr>
      <w:r w:rsidRPr="001A2C4E">
        <w:t>Source: compiled during the evaluation</w:t>
      </w:r>
    </w:p>
    <w:p w14:paraId="74014DBF" w14:textId="1664F621" w:rsidR="00044C36" w:rsidRDefault="00CE76B8" w:rsidP="003C231F">
      <w:pPr>
        <w:pStyle w:val="TableFigureFooter"/>
        <w:keepNext/>
        <w:keepLines/>
        <w:spacing w:after="0"/>
      </w:pPr>
      <w:r w:rsidRPr="001A2C4E">
        <w:t xml:space="preserve">QALY=Quality Adjusted Life Year; SoC=standard of care, SPR=statutory </w:t>
      </w:r>
      <w:r w:rsidR="00C73BF1" w:rsidRPr="001A2C4E">
        <w:t xml:space="preserve">anniversary </w:t>
      </w:r>
      <w:r w:rsidRPr="001A2C4E">
        <w:t>price reduction.</w:t>
      </w:r>
    </w:p>
    <w:p w14:paraId="1CA46105" w14:textId="77777777" w:rsidR="00044C36" w:rsidRPr="009A6D58" w:rsidRDefault="00044C36" w:rsidP="00044C3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F98F8C" w14:textId="40FB158F" w:rsidR="00044C36" w:rsidRPr="00044C36" w:rsidRDefault="00044C36" w:rsidP="00044C36">
      <w:pPr>
        <w:ind w:right="147"/>
        <w:rPr>
          <w:rFonts w:ascii="Arial Narrow" w:hAnsi="Arial Narrow"/>
          <w:i/>
          <w:sz w:val="18"/>
          <w:szCs w:val="18"/>
        </w:rPr>
      </w:pPr>
      <w:r>
        <w:rPr>
          <w:rFonts w:ascii="Arial Narrow" w:hAnsi="Arial Narrow"/>
          <w:i/>
          <w:sz w:val="18"/>
          <w:szCs w:val="18"/>
          <w:vertAlign w:val="superscript"/>
        </w:rPr>
        <w:t>1</w:t>
      </w:r>
      <w:r w:rsidRPr="00044C36">
        <w:rPr>
          <w:rFonts w:ascii="Arial Narrow" w:hAnsi="Arial Narrow"/>
          <w:i/>
          <w:sz w:val="18"/>
          <w:szCs w:val="18"/>
        </w:rPr>
        <w:t>$355,000 to &lt; $455,000</w:t>
      </w:r>
    </w:p>
    <w:p w14:paraId="01049BA5" w14:textId="7B76F66C" w:rsidR="00044C36" w:rsidRPr="00044C36" w:rsidRDefault="00044C36" w:rsidP="00044C36">
      <w:pPr>
        <w:ind w:right="147"/>
        <w:rPr>
          <w:rFonts w:ascii="Arial Narrow" w:hAnsi="Arial Narrow"/>
          <w:i/>
          <w:sz w:val="18"/>
          <w:szCs w:val="18"/>
        </w:rPr>
      </w:pPr>
      <w:r>
        <w:rPr>
          <w:rFonts w:ascii="Arial Narrow" w:hAnsi="Arial Narrow"/>
          <w:i/>
          <w:sz w:val="18"/>
          <w:szCs w:val="18"/>
          <w:vertAlign w:val="superscript"/>
        </w:rPr>
        <w:t>2</w:t>
      </w:r>
      <w:r w:rsidRPr="00044C36">
        <w:rPr>
          <w:rFonts w:ascii="Arial Narrow" w:hAnsi="Arial Narrow"/>
          <w:i/>
          <w:sz w:val="18"/>
          <w:szCs w:val="18"/>
        </w:rPr>
        <w:t>$455,000 to &lt; $555,000</w:t>
      </w:r>
    </w:p>
    <w:p w14:paraId="23089E0F" w14:textId="75D37263" w:rsidR="00044C36" w:rsidRPr="003C231F" w:rsidRDefault="00044C36" w:rsidP="003C231F">
      <w:pPr>
        <w:spacing w:after="120"/>
        <w:ind w:right="147"/>
        <w:rPr>
          <w:rFonts w:ascii="Arial Narrow" w:hAnsi="Arial Narrow"/>
          <w:i/>
          <w:sz w:val="18"/>
          <w:szCs w:val="18"/>
        </w:rPr>
      </w:pPr>
      <w:r>
        <w:rPr>
          <w:rFonts w:ascii="Arial Narrow" w:hAnsi="Arial Narrow"/>
          <w:i/>
          <w:sz w:val="18"/>
          <w:szCs w:val="18"/>
          <w:vertAlign w:val="superscript"/>
        </w:rPr>
        <w:t>3</w:t>
      </w:r>
      <w:r w:rsidRPr="00044C36">
        <w:rPr>
          <w:rFonts w:ascii="Arial Narrow" w:hAnsi="Arial Narrow"/>
          <w:i/>
          <w:sz w:val="18"/>
          <w:szCs w:val="18"/>
        </w:rPr>
        <w:t>$555,000 to &lt; $655,000</w:t>
      </w:r>
    </w:p>
    <w:p w14:paraId="77D031CB" w14:textId="0FF6EE98" w:rsidR="00CE76B8" w:rsidRPr="001A2C4E" w:rsidRDefault="00CE76B8" w:rsidP="00CE76B8">
      <w:pPr>
        <w:pStyle w:val="3-BodyText"/>
      </w:pPr>
      <w:r w:rsidRPr="001A2C4E">
        <w:t xml:space="preserve">A summary of key sensitivity analyses is presented below. </w:t>
      </w:r>
    </w:p>
    <w:p w14:paraId="5DC284CA" w14:textId="2A014996" w:rsidR="00674324" w:rsidRDefault="00C06B83" w:rsidP="00674324">
      <w:pPr>
        <w:keepNext/>
        <w:tabs>
          <w:tab w:val="left" w:pos="1418"/>
        </w:tabs>
        <w:spacing w:before="240" w:line="256" w:lineRule="auto"/>
        <w:contextualSpacing/>
        <w:rPr>
          <w:rFonts w:ascii="Arial Narrow" w:eastAsia="Calibri" w:hAnsi="Arial Narrow" w:cs="Times New Roman"/>
          <w:b/>
          <w:iCs/>
          <w:sz w:val="20"/>
          <w:szCs w:val="18"/>
          <w:lang w:eastAsia="en-US"/>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20</w:t>
      </w:r>
      <w:r w:rsidRPr="00271609">
        <w:rPr>
          <w:rFonts w:ascii="Arial Narrow" w:eastAsia="Calibri" w:hAnsi="Arial Narrow"/>
          <w:b/>
          <w:iCs/>
          <w:sz w:val="20"/>
          <w:szCs w:val="18"/>
          <w:lang w:eastAsia="en-US"/>
        </w:rPr>
        <w:fldChar w:fldCharType="end"/>
      </w:r>
      <w:r w:rsidR="00674324">
        <w:rPr>
          <w:rFonts w:ascii="Arial Narrow" w:eastAsia="Calibri" w:hAnsi="Arial Narrow"/>
          <w:b/>
          <w:iCs/>
          <w:sz w:val="20"/>
          <w:szCs w:val="18"/>
          <w:lang w:eastAsia="en-US"/>
        </w:rPr>
        <w:t xml:space="preserve">: Select updated results of sensitivity analyses in the adult model using PSCR base case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Select updated results of sensitivity analyses in the adult model using PSCR base case "/>
      </w:tblPr>
      <w:tblGrid>
        <w:gridCol w:w="5667"/>
        <w:gridCol w:w="1133"/>
        <w:gridCol w:w="992"/>
        <w:gridCol w:w="1275"/>
      </w:tblGrid>
      <w:tr w:rsidR="00674324" w:rsidRPr="001A2C4E" w14:paraId="4E4B3487" w14:textId="77777777" w:rsidTr="00755353">
        <w:trPr>
          <w:tblHeader/>
        </w:trPr>
        <w:tc>
          <w:tcPr>
            <w:tcW w:w="3125" w:type="pct"/>
            <w:tcBorders>
              <w:top w:val="single" w:sz="4" w:space="0" w:color="auto"/>
              <w:left w:val="single" w:sz="4" w:space="0" w:color="auto"/>
              <w:bottom w:val="single" w:sz="4" w:space="0" w:color="auto"/>
              <w:right w:val="single" w:sz="4" w:space="0" w:color="auto"/>
            </w:tcBorders>
            <w:hideMark/>
          </w:tcPr>
          <w:p w14:paraId="0A6D1759" w14:textId="77777777" w:rsidR="00674324" w:rsidRPr="001A2C4E" w:rsidRDefault="00674324">
            <w:pPr>
              <w:pStyle w:val="In-tableHeading"/>
              <w:rPr>
                <w:rFonts w:eastAsia="MS Gothic"/>
              </w:rPr>
            </w:pPr>
            <w:r w:rsidRPr="001A2C4E">
              <w:t>Analyses</w:t>
            </w:r>
          </w:p>
        </w:tc>
        <w:tc>
          <w:tcPr>
            <w:tcW w:w="625" w:type="pct"/>
            <w:tcBorders>
              <w:top w:val="single" w:sz="4" w:space="0" w:color="auto"/>
              <w:left w:val="single" w:sz="4" w:space="0" w:color="auto"/>
              <w:bottom w:val="single" w:sz="4" w:space="0" w:color="auto"/>
              <w:right w:val="single" w:sz="4" w:space="0" w:color="auto"/>
            </w:tcBorders>
            <w:vAlign w:val="center"/>
            <w:hideMark/>
          </w:tcPr>
          <w:p w14:paraId="16255C45" w14:textId="77777777" w:rsidR="00674324" w:rsidRPr="001A2C4E" w:rsidRDefault="00674324">
            <w:pPr>
              <w:pStyle w:val="In-tableHeading"/>
              <w:jc w:val="center"/>
            </w:pPr>
            <w:r w:rsidRPr="001A2C4E">
              <w:t>Incremental cost</w:t>
            </w:r>
          </w:p>
        </w:tc>
        <w:tc>
          <w:tcPr>
            <w:tcW w:w="547" w:type="pct"/>
            <w:tcBorders>
              <w:top w:val="single" w:sz="4" w:space="0" w:color="auto"/>
              <w:left w:val="single" w:sz="4" w:space="0" w:color="auto"/>
              <w:bottom w:val="single" w:sz="4" w:space="0" w:color="auto"/>
              <w:right w:val="single" w:sz="4" w:space="0" w:color="auto"/>
            </w:tcBorders>
            <w:vAlign w:val="center"/>
            <w:hideMark/>
          </w:tcPr>
          <w:p w14:paraId="3251799E" w14:textId="77777777" w:rsidR="00674324" w:rsidRPr="001A2C4E" w:rsidRDefault="00674324">
            <w:pPr>
              <w:pStyle w:val="In-tableHeading"/>
              <w:jc w:val="center"/>
            </w:pPr>
            <w:r w:rsidRPr="001A2C4E">
              <w:t>Incremental QALY</w:t>
            </w:r>
          </w:p>
        </w:tc>
        <w:tc>
          <w:tcPr>
            <w:tcW w:w="703" w:type="pct"/>
            <w:tcBorders>
              <w:top w:val="single" w:sz="4" w:space="0" w:color="auto"/>
              <w:left w:val="single" w:sz="4" w:space="0" w:color="auto"/>
              <w:bottom w:val="single" w:sz="4" w:space="0" w:color="auto"/>
              <w:right w:val="single" w:sz="4" w:space="0" w:color="auto"/>
            </w:tcBorders>
            <w:vAlign w:val="center"/>
            <w:hideMark/>
          </w:tcPr>
          <w:p w14:paraId="7AB35EDD" w14:textId="77777777" w:rsidR="00674324" w:rsidRPr="001A2C4E" w:rsidRDefault="00674324">
            <w:pPr>
              <w:pStyle w:val="In-tableHeading"/>
              <w:jc w:val="center"/>
            </w:pPr>
            <w:r w:rsidRPr="001A2C4E">
              <w:t xml:space="preserve">ICER </w:t>
            </w:r>
          </w:p>
        </w:tc>
      </w:tr>
      <w:tr w:rsidR="00674324" w:rsidRPr="001A2C4E" w14:paraId="39782C65" w14:textId="77777777" w:rsidTr="00755353">
        <w:trPr>
          <w:tblHeader/>
        </w:trPr>
        <w:tc>
          <w:tcPr>
            <w:tcW w:w="3125" w:type="pct"/>
            <w:tcBorders>
              <w:top w:val="single" w:sz="4" w:space="0" w:color="auto"/>
              <w:left w:val="single" w:sz="4" w:space="0" w:color="auto"/>
              <w:bottom w:val="single" w:sz="4" w:space="0" w:color="auto"/>
              <w:right w:val="single" w:sz="4" w:space="0" w:color="auto"/>
            </w:tcBorders>
            <w:hideMark/>
          </w:tcPr>
          <w:p w14:paraId="362AFCC7" w14:textId="77777777" w:rsidR="00674324" w:rsidRPr="001A2C4E" w:rsidRDefault="00674324">
            <w:pPr>
              <w:pStyle w:val="TableText0"/>
              <w:rPr>
                <w:b/>
              </w:rPr>
            </w:pPr>
            <w:r w:rsidRPr="001A2C4E">
              <w:rPr>
                <w:b/>
              </w:rPr>
              <w:t>Base case</w:t>
            </w:r>
          </w:p>
        </w:tc>
        <w:tc>
          <w:tcPr>
            <w:tcW w:w="625" w:type="pct"/>
            <w:tcBorders>
              <w:top w:val="single" w:sz="4" w:space="0" w:color="auto"/>
              <w:left w:val="single" w:sz="4" w:space="0" w:color="auto"/>
              <w:bottom w:val="single" w:sz="4" w:space="0" w:color="auto"/>
              <w:right w:val="single" w:sz="4" w:space="0" w:color="auto"/>
            </w:tcBorders>
            <w:vAlign w:val="center"/>
            <w:hideMark/>
          </w:tcPr>
          <w:p w14:paraId="2A30410D" w14:textId="0378A5C6" w:rsidR="00674324" w:rsidRPr="001A2C4E" w:rsidRDefault="00674324">
            <w:pPr>
              <w:pStyle w:val="TableText0"/>
              <w:jc w:val="center"/>
              <w:rPr>
                <w:b/>
              </w:rPr>
            </w:pPr>
            <w:r w:rsidRPr="001A2C4E">
              <w:rPr>
                <w:b/>
                <w:szCs w:val="20"/>
              </w:rPr>
              <w:t>$</w:t>
            </w:r>
            <w:r w:rsidR="00B355AE" w:rsidRPr="0035108E">
              <w:rPr>
                <w:rFonts w:hint="eastAsia"/>
                <w:b/>
                <w:color w:val="000000"/>
                <w:w w:val="20"/>
                <w:szCs w:val="20"/>
                <w:shd w:val="solid" w:color="000000" w:fill="000000"/>
                <w:fitText w:val="90" w:id="-1504471038"/>
                <w14:textFill>
                  <w14:solidFill>
                    <w14:srgbClr w14:val="000000">
                      <w14:alpha w14:val="100000"/>
                    </w14:srgbClr>
                  </w14:solidFill>
                </w14:textFill>
              </w:rPr>
              <w:t xml:space="preserve">　</w:t>
            </w:r>
            <w:r w:rsidR="00B355AE" w:rsidRPr="0035108E">
              <w:rPr>
                <w:b/>
                <w:color w:val="000000"/>
                <w:w w:val="20"/>
                <w:szCs w:val="20"/>
                <w:shd w:val="solid" w:color="000000" w:fill="000000"/>
                <w:fitText w:val="90" w:id="-1504471038"/>
                <w14:textFill>
                  <w14:solidFill>
                    <w14:srgbClr w14:val="000000">
                      <w14:alpha w14:val="100000"/>
                    </w14:srgbClr>
                  </w14:solidFill>
                </w14:textFill>
              </w:rPr>
              <w:t>|</w:t>
            </w:r>
            <w:r w:rsidR="00B355AE" w:rsidRPr="0035108E">
              <w:rPr>
                <w:rFonts w:hint="eastAsia"/>
                <w:b/>
                <w:color w:val="000000"/>
                <w:spacing w:val="2"/>
                <w:w w:val="20"/>
                <w:szCs w:val="20"/>
                <w:shd w:val="solid" w:color="000000" w:fill="000000"/>
                <w:fitText w:val="90" w:id="-1504471038"/>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183C52A3" w14:textId="77777777" w:rsidR="00674324" w:rsidRPr="001A2C4E" w:rsidRDefault="00674324">
            <w:pPr>
              <w:pStyle w:val="TableText0"/>
              <w:jc w:val="center"/>
              <w:rPr>
                <w:b/>
              </w:rPr>
            </w:pPr>
            <w:r w:rsidRPr="001A2C4E">
              <w:rPr>
                <w:b/>
                <w:szCs w:val="20"/>
              </w:rPr>
              <w:t>2.44</w:t>
            </w:r>
          </w:p>
        </w:tc>
        <w:tc>
          <w:tcPr>
            <w:tcW w:w="703" w:type="pct"/>
            <w:tcBorders>
              <w:top w:val="single" w:sz="4" w:space="0" w:color="auto"/>
              <w:left w:val="single" w:sz="4" w:space="0" w:color="auto"/>
              <w:bottom w:val="single" w:sz="4" w:space="0" w:color="auto"/>
              <w:right w:val="single" w:sz="4" w:space="0" w:color="auto"/>
            </w:tcBorders>
            <w:vAlign w:val="center"/>
            <w:hideMark/>
          </w:tcPr>
          <w:p w14:paraId="5D3AF28E" w14:textId="6C6AAF29" w:rsidR="00674324" w:rsidRPr="0065752F" w:rsidRDefault="00674324">
            <w:pPr>
              <w:pStyle w:val="TableText0"/>
              <w:jc w:val="center"/>
              <w:rPr>
                <w:b/>
                <w:vertAlign w:val="superscript"/>
              </w:rPr>
            </w:pPr>
            <w:r w:rsidRPr="001A2C4E">
              <w:rPr>
                <w:b/>
              </w:rPr>
              <w:t>$</w:t>
            </w:r>
            <w:r w:rsidR="00B355AE" w:rsidRPr="0035108E">
              <w:rPr>
                <w:rFonts w:hint="eastAsia"/>
                <w:b/>
                <w:color w:val="000000"/>
                <w:w w:val="15"/>
                <w:shd w:val="solid" w:color="000000" w:fill="000000"/>
                <w:fitText w:val="50" w:id="-1504471037"/>
                <w14:textFill>
                  <w14:solidFill>
                    <w14:srgbClr w14:val="000000">
                      <w14:alpha w14:val="100000"/>
                    </w14:srgbClr>
                  </w14:solidFill>
                </w14:textFill>
              </w:rPr>
              <w:t xml:space="preserve">　</w:t>
            </w:r>
            <w:r w:rsidR="00B355AE" w:rsidRPr="0035108E">
              <w:rPr>
                <w:b/>
                <w:color w:val="000000"/>
                <w:w w:val="15"/>
                <w:shd w:val="solid" w:color="000000" w:fill="000000"/>
                <w:fitText w:val="50" w:id="-1504471037"/>
                <w14:textFill>
                  <w14:solidFill>
                    <w14:srgbClr w14:val="000000">
                      <w14:alpha w14:val="100000"/>
                    </w14:srgbClr>
                  </w14:solidFill>
                </w14:textFill>
              </w:rPr>
              <w:t>|</w:t>
            </w:r>
            <w:r w:rsidR="00B355AE" w:rsidRPr="0035108E">
              <w:rPr>
                <w:rFonts w:hint="eastAsia"/>
                <w:b/>
                <w:color w:val="000000"/>
                <w:spacing w:val="-16"/>
                <w:w w:val="15"/>
                <w:shd w:val="solid" w:color="000000" w:fill="000000"/>
                <w:fitText w:val="50" w:id="-1504471037"/>
                <w14:textFill>
                  <w14:solidFill>
                    <w14:srgbClr w14:val="000000">
                      <w14:alpha w14:val="100000"/>
                    </w14:srgbClr>
                  </w14:solidFill>
                </w14:textFill>
              </w:rPr>
              <w:t xml:space="preserve">　</w:t>
            </w:r>
            <w:r w:rsidR="0065752F">
              <w:rPr>
                <w:b/>
                <w:vertAlign w:val="superscript"/>
              </w:rPr>
              <w:t>4</w:t>
            </w:r>
          </w:p>
        </w:tc>
      </w:tr>
      <w:tr w:rsidR="00674324" w:rsidRPr="001A2C4E" w14:paraId="45DDFE59" w14:textId="77777777" w:rsidTr="00755353">
        <w:tc>
          <w:tcPr>
            <w:tcW w:w="5000" w:type="pct"/>
            <w:gridSpan w:val="4"/>
            <w:tcBorders>
              <w:top w:val="single" w:sz="4" w:space="0" w:color="auto"/>
              <w:left w:val="single" w:sz="4" w:space="0" w:color="auto"/>
              <w:bottom w:val="single" w:sz="4" w:space="0" w:color="auto"/>
              <w:right w:val="single" w:sz="4" w:space="0" w:color="auto"/>
            </w:tcBorders>
            <w:hideMark/>
          </w:tcPr>
          <w:p w14:paraId="524BED5E" w14:textId="15DE0EF9" w:rsidR="00674324" w:rsidRPr="001A2C4E" w:rsidRDefault="00674324">
            <w:pPr>
              <w:pStyle w:val="TableText0"/>
              <w:rPr>
                <w:b/>
                <w:bCs w:val="0"/>
              </w:rPr>
            </w:pPr>
            <w:r w:rsidRPr="001A2C4E">
              <w:rPr>
                <w:b/>
                <w:bCs w:val="0"/>
              </w:rPr>
              <w:t>Utilities (base case treatment SoC = 0.44, BUR Yr 1 = 0.56, Yr 2 = 0.60, Yr 3+ = 0.62, plus morbidity decrements)</w:t>
            </w:r>
          </w:p>
        </w:tc>
      </w:tr>
      <w:tr w:rsidR="00674324" w:rsidRPr="001A2C4E" w14:paraId="734FE502"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6B0A3338" w14:textId="03DBE3C2" w:rsidR="00674324" w:rsidRPr="001A2C4E" w:rsidRDefault="00674324" w:rsidP="00674324">
            <w:pPr>
              <w:pStyle w:val="TableText0"/>
              <w:ind w:left="115"/>
            </w:pPr>
            <w:r w:rsidRPr="001A2C4E">
              <w:t>SoC w/ CT=0.47, SoC off treatment = 0.44, BUR Yr 1 = 0.56, Yr 2 = 0.60, Yr 3+ = 0.62 (placebo arm trend Evans 2021)</w:t>
            </w:r>
          </w:p>
        </w:tc>
        <w:tc>
          <w:tcPr>
            <w:tcW w:w="625" w:type="pct"/>
            <w:tcBorders>
              <w:top w:val="single" w:sz="4" w:space="0" w:color="auto"/>
              <w:left w:val="single" w:sz="4" w:space="0" w:color="auto"/>
              <w:bottom w:val="single" w:sz="4" w:space="0" w:color="auto"/>
              <w:right w:val="single" w:sz="4" w:space="0" w:color="auto"/>
            </w:tcBorders>
            <w:vAlign w:val="center"/>
            <w:hideMark/>
          </w:tcPr>
          <w:p w14:paraId="015BE974" w14:textId="7B9B74DF" w:rsidR="00674324" w:rsidRPr="001A2C4E" w:rsidRDefault="00674324" w:rsidP="00044C36">
            <w:pPr>
              <w:pStyle w:val="TableText0"/>
            </w:pPr>
            <w:r w:rsidRPr="001A2C4E">
              <w:t>$</w:t>
            </w:r>
            <w:r w:rsidR="00B355AE" w:rsidRPr="0035108E">
              <w:rPr>
                <w:color w:val="000000"/>
                <w:spacing w:val="53"/>
                <w:shd w:val="solid" w:color="000000" w:fill="000000"/>
                <w:fitText w:val="330" w:id="-1504471036"/>
                <w14:textFill>
                  <w14:solidFill>
                    <w14:srgbClr w14:val="000000">
                      <w14:alpha w14:val="100000"/>
                    </w14:srgbClr>
                  </w14:solidFill>
                </w14:textFill>
              </w:rPr>
              <w:t>|||</w:t>
            </w:r>
            <w:r w:rsidR="00B355AE" w:rsidRPr="0035108E">
              <w:rPr>
                <w:color w:val="000000"/>
                <w:spacing w:val="1"/>
                <w:shd w:val="solid" w:color="000000" w:fill="000000"/>
                <w:fitText w:val="330" w:id="-1504471036"/>
                <w14:textFill>
                  <w14:solidFill>
                    <w14:srgbClr w14:val="000000">
                      <w14:alpha w14:val="100000"/>
                    </w14:srgbClr>
                  </w14:solidFill>
                </w14:textFill>
              </w:rPr>
              <w:t>|</w:t>
            </w:r>
          </w:p>
        </w:tc>
        <w:tc>
          <w:tcPr>
            <w:tcW w:w="547" w:type="pct"/>
            <w:tcBorders>
              <w:top w:val="single" w:sz="4" w:space="0" w:color="auto"/>
              <w:left w:val="single" w:sz="4" w:space="0" w:color="auto"/>
              <w:bottom w:val="single" w:sz="4" w:space="0" w:color="auto"/>
              <w:right w:val="single" w:sz="4" w:space="0" w:color="auto"/>
            </w:tcBorders>
            <w:vAlign w:val="center"/>
            <w:hideMark/>
          </w:tcPr>
          <w:p w14:paraId="3E17AF3A" w14:textId="77777777" w:rsidR="00674324" w:rsidRPr="001A2C4E" w:rsidRDefault="00674324" w:rsidP="00674324">
            <w:pPr>
              <w:pStyle w:val="TableText0"/>
              <w:jc w:val="center"/>
            </w:pPr>
            <w:r w:rsidRPr="001A2C4E">
              <w:t>2.16</w:t>
            </w:r>
          </w:p>
        </w:tc>
        <w:tc>
          <w:tcPr>
            <w:tcW w:w="703" w:type="pct"/>
            <w:tcBorders>
              <w:top w:val="single" w:sz="4" w:space="0" w:color="auto"/>
              <w:left w:val="single" w:sz="4" w:space="0" w:color="auto"/>
              <w:bottom w:val="single" w:sz="4" w:space="0" w:color="auto"/>
              <w:right w:val="single" w:sz="4" w:space="0" w:color="auto"/>
            </w:tcBorders>
            <w:vAlign w:val="center"/>
            <w:hideMark/>
          </w:tcPr>
          <w:p w14:paraId="2DAA24BB" w14:textId="6DCDFDFB" w:rsidR="00674324" w:rsidRPr="0065752F" w:rsidRDefault="00674324" w:rsidP="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4</w:t>
            </w:r>
          </w:p>
        </w:tc>
      </w:tr>
      <w:tr w:rsidR="00674324" w:rsidRPr="001A2C4E" w14:paraId="1894DEF2"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5B117E14" w14:textId="76EA5F91" w:rsidR="00674324" w:rsidRPr="001A2C4E" w:rsidRDefault="00674324" w:rsidP="00674324">
            <w:pPr>
              <w:pStyle w:val="TableText0"/>
              <w:ind w:left="115"/>
            </w:pPr>
            <w:r w:rsidRPr="001A2C4E">
              <w:t>SoC w/ CT=0.56, SoC off treatment = 0.44, BUR Yr 1 = 0.56, Yr 2 = 0.60, Yr 3+ = 0.62 (on treat CT= 1</w:t>
            </w:r>
            <w:r w:rsidRPr="001A2C4E">
              <w:rPr>
                <w:vertAlign w:val="superscript"/>
              </w:rPr>
              <w:t>st</w:t>
            </w:r>
            <w:r w:rsidRPr="001A2C4E">
              <w:t xml:space="preserve"> year BUR)</w:t>
            </w:r>
          </w:p>
        </w:tc>
        <w:tc>
          <w:tcPr>
            <w:tcW w:w="625" w:type="pct"/>
            <w:tcBorders>
              <w:top w:val="single" w:sz="4" w:space="0" w:color="auto"/>
              <w:left w:val="single" w:sz="4" w:space="0" w:color="auto"/>
              <w:bottom w:val="single" w:sz="4" w:space="0" w:color="auto"/>
              <w:right w:val="single" w:sz="4" w:space="0" w:color="auto"/>
            </w:tcBorders>
            <w:vAlign w:val="center"/>
            <w:hideMark/>
          </w:tcPr>
          <w:p w14:paraId="491EA4F3" w14:textId="6B45E834" w:rsidR="00674324" w:rsidRPr="001A2C4E" w:rsidRDefault="00674324" w:rsidP="00674324">
            <w:pPr>
              <w:pStyle w:val="TableText0"/>
              <w:jc w:val="center"/>
            </w:pPr>
            <w:r w:rsidRPr="001A2C4E">
              <w:t>$</w:t>
            </w:r>
            <w:r w:rsidR="00B355AE" w:rsidRPr="0035108E">
              <w:rPr>
                <w:rFonts w:hint="eastAsia"/>
                <w:color w:val="000000"/>
                <w:w w:val="15"/>
                <w:shd w:val="solid" w:color="000000" w:fill="000000"/>
                <w:fitText w:val="60" w:id="-1504471035"/>
                <w14:textFill>
                  <w14:solidFill>
                    <w14:srgbClr w14:val="000000">
                      <w14:alpha w14:val="100000"/>
                    </w14:srgbClr>
                  </w14:solidFill>
                </w14:textFill>
              </w:rPr>
              <w:t xml:space="preserve">　</w:t>
            </w:r>
            <w:r w:rsidR="00B355AE" w:rsidRPr="0035108E">
              <w:rPr>
                <w:color w:val="000000"/>
                <w:w w:val="15"/>
                <w:shd w:val="solid" w:color="000000" w:fill="000000"/>
                <w:fitText w:val="60" w:id="-1504471035"/>
                <w14:textFill>
                  <w14:solidFill>
                    <w14:srgbClr w14:val="000000">
                      <w14:alpha w14:val="100000"/>
                    </w14:srgbClr>
                  </w14:solidFill>
                </w14:textFill>
              </w:rPr>
              <w:t>|</w:t>
            </w:r>
            <w:r w:rsidR="00B355AE" w:rsidRPr="0035108E">
              <w:rPr>
                <w:rFonts w:hint="eastAsia"/>
                <w:color w:val="000000"/>
                <w:spacing w:val="-5"/>
                <w:w w:val="15"/>
                <w:shd w:val="solid" w:color="000000" w:fill="000000"/>
                <w:fitText w:val="60" w:id="-1504471035"/>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37AAD665" w14:textId="77777777" w:rsidR="00674324" w:rsidRPr="001A2C4E" w:rsidRDefault="00674324" w:rsidP="00674324">
            <w:pPr>
              <w:pStyle w:val="TableText0"/>
              <w:jc w:val="center"/>
            </w:pPr>
            <w:r w:rsidRPr="001A2C4E">
              <w:t>1.37</w:t>
            </w:r>
          </w:p>
        </w:tc>
        <w:tc>
          <w:tcPr>
            <w:tcW w:w="703" w:type="pct"/>
            <w:tcBorders>
              <w:top w:val="single" w:sz="4" w:space="0" w:color="auto"/>
              <w:left w:val="single" w:sz="4" w:space="0" w:color="auto"/>
              <w:bottom w:val="single" w:sz="4" w:space="0" w:color="auto"/>
              <w:right w:val="single" w:sz="4" w:space="0" w:color="auto"/>
            </w:tcBorders>
            <w:vAlign w:val="center"/>
            <w:hideMark/>
          </w:tcPr>
          <w:p w14:paraId="2FEFAB8C" w14:textId="75908019" w:rsidR="00674324" w:rsidRPr="0065752F" w:rsidRDefault="00674324" w:rsidP="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6</w:t>
            </w:r>
          </w:p>
        </w:tc>
      </w:tr>
      <w:tr w:rsidR="00755353" w:rsidRPr="001A2C4E" w14:paraId="4141CF37" w14:textId="77777777" w:rsidTr="00755353">
        <w:tc>
          <w:tcPr>
            <w:tcW w:w="3125" w:type="pct"/>
            <w:tcBorders>
              <w:top w:val="dotted" w:sz="4" w:space="0" w:color="auto"/>
              <w:bottom w:val="single" w:sz="4" w:space="0" w:color="auto"/>
            </w:tcBorders>
          </w:tcPr>
          <w:p w14:paraId="623E3E40" w14:textId="4018E021" w:rsidR="00755353" w:rsidRPr="001A2C4E" w:rsidRDefault="00755353" w:rsidP="00F60E5A">
            <w:pPr>
              <w:pStyle w:val="TableText0"/>
              <w:ind w:left="115"/>
            </w:pPr>
            <w:r w:rsidRPr="001A2C4E">
              <w:t>SoC=0.44, BUR Yr 1 = 0.56, Yr 2 = 0.60, Yr 3+ = 0.57 (Yr 3+ utility reduced by 0.05)</w:t>
            </w:r>
          </w:p>
        </w:tc>
        <w:tc>
          <w:tcPr>
            <w:tcW w:w="625" w:type="pct"/>
            <w:tcBorders>
              <w:top w:val="dotted" w:sz="4" w:space="0" w:color="auto"/>
              <w:bottom w:val="single" w:sz="4" w:space="0" w:color="auto"/>
            </w:tcBorders>
            <w:vAlign w:val="center"/>
          </w:tcPr>
          <w:p w14:paraId="08E70BD9" w14:textId="6B85D7F2" w:rsidR="00755353" w:rsidRPr="001A2C4E" w:rsidRDefault="00755353" w:rsidP="00F631BA">
            <w:pPr>
              <w:pStyle w:val="TableText0"/>
              <w:jc w:val="center"/>
            </w:pPr>
            <w:r w:rsidRPr="001A2C4E">
              <w:t>$</w:t>
            </w:r>
            <w:r w:rsidR="00B355AE" w:rsidRPr="0035108E">
              <w:rPr>
                <w:rFonts w:hint="eastAsia"/>
                <w:color w:val="000000"/>
                <w:w w:val="15"/>
                <w:shd w:val="solid" w:color="000000" w:fill="000000"/>
                <w:fitText w:val="60" w:id="-1504471034"/>
                <w14:textFill>
                  <w14:solidFill>
                    <w14:srgbClr w14:val="000000">
                      <w14:alpha w14:val="100000"/>
                    </w14:srgbClr>
                  </w14:solidFill>
                </w14:textFill>
              </w:rPr>
              <w:t xml:space="preserve">　</w:t>
            </w:r>
            <w:r w:rsidR="00B355AE" w:rsidRPr="0035108E">
              <w:rPr>
                <w:color w:val="000000"/>
                <w:w w:val="15"/>
                <w:shd w:val="solid" w:color="000000" w:fill="000000"/>
                <w:fitText w:val="60" w:id="-1504471034"/>
                <w14:textFill>
                  <w14:solidFill>
                    <w14:srgbClr w14:val="000000">
                      <w14:alpha w14:val="100000"/>
                    </w14:srgbClr>
                  </w14:solidFill>
                </w14:textFill>
              </w:rPr>
              <w:t>|</w:t>
            </w:r>
            <w:r w:rsidR="00B355AE" w:rsidRPr="0035108E">
              <w:rPr>
                <w:rFonts w:hint="eastAsia"/>
                <w:color w:val="000000"/>
                <w:spacing w:val="-5"/>
                <w:w w:val="15"/>
                <w:shd w:val="solid" w:color="000000" w:fill="000000"/>
                <w:fitText w:val="60" w:id="-1504471034"/>
                <w14:textFill>
                  <w14:solidFill>
                    <w14:srgbClr w14:val="000000">
                      <w14:alpha w14:val="100000"/>
                    </w14:srgbClr>
                  </w14:solidFill>
                </w14:textFill>
              </w:rPr>
              <w:t xml:space="preserve">　</w:t>
            </w:r>
          </w:p>
        </w:tc>
        <w:tc>
          <w:tcPr>
            <w:tcW w:w="547" w:type="pct"/>
            <w:tcBorders>
              <w:top w:val="dotted" w:sz="4" w:space="0" w:color="auto"/>
              <w:bottom w:val="single" w:sz="4" w:space="0" w:color="auto"/>
            </w:tcBorders>
            <w:vAlign w:val="center"/>
          </w:tcPr>
          <w:p w14:paraId="22BE3B35" w14:textId="0ADCC9D7" w:rsidR="00755353" w:rsidRPr="001A2C4E" w:rsidRDefault="00755353" w:rsidP="00F631BA">
            <w:pPr>
              <w:pStyle w:val="TableText0"/>
              <w:jc w:val="center"/>
            </w:pPr>
            <w:r w:rsidRPr="001A2C4E">
              <w:t>1.</w:t>
            </w:r>
            <w:r w:rsidR="00F60E5A" w:rsidRPr="001A2C4E">
              <w:t>90</w:t>
            </w:r>
          </w:p>
        </w:tc>
        <w:tc>
          <w:tcPr>
            <w:tcW w:w="703" w:type="pct"/>
            <w:tcBorders>
              <w:top w:val="dotted" w:sz="4" w:space="0" w:color="auto"/>
              <w:bottom w:val="single" w:sz="4" w:space="0" w:color="auto"/>
            </w:tcBorders>
            <w:vAlign w:val="center"/>
          </w:tcPr>
          <w:p w14:paraId="76F21CA5" w14:textId="5C54515A" w:rsidR="00755353" w:rsidRPr="0065752F" w:rsidRDefault="00755353" w:rsidP="00F631BA">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423CA0A3"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2239AF86" w14:textId="77777777" w:rsidR="00674324" w:rsidRPr="001A2C4E" w:rsidRDefault="00674324">
            <w:pPr>
              <w:pStyle w:val="TableText0"/>
              <w:rPr>
                <w:b/>
                <w:bCs w:val="0"/>
              </w:rPr>
            </w:pPr>
            <w:r w:rsidRPr="001A2C4E">
              <w:rPr>
                <w:b/>
                <w:bCs w:val="0"/>
              </w:rPr>
              <w:t>BUR dose (base case 0.95 mg/kg to nearest 10 mg = 70 mg)</w:t>
            </w:r>
          </w:p>
        </w:tc>
        <w:tc>
          <w:tcPr>
            <w:tcW w:w="625" w:type="pct"/>
            <w:tcBorders>
              <w:top w:val="single" w:sz="4" w:space="0" w:color="auto"/>
              <w:left w:val="single" w:sz="4" w:space="0" w:color="auto"/>
              <w:bottom w:val="single" w:sz="4" w:space="0" w:color="auto"/>
              <w:right w:val="single" w:sz="4" w:space="0" w:color="auto"/>
            </w:tcBorders>
            <w:vAlign w:val="center"/>
          </w:tcPr>
          <w:p w14:paraId="1A0F77B5" w14:textId="77777777" w:rsidR="00674324" w:rsidRPr="001A2C4E" w:rsidRDefault="00674324">
            <w:pPr>
              <w:pStyle w:val="TableText0"/>
              <w:jc w:val="center"/>
              <w:rPr>
                <w:b/>
                <w:bCs w:val="0"/>
              </w:rPr>
            </w:pPr>
          </w:p>
        </w:tc>
        <w:tc>
          <w:tcPr>
            <w:tcW w:w="547" w:type="pct"/>
            <w:tcBorders>
              <w:top w:val="single" w:sz="4" w:space="0" w:color="auto"/>
              <w:left w:val="single" w:sz="4" w:space="0" w:color="auto"/>
              <w:bottom w:val="single" w:sz="4" w:space="0" w:color="auto"/>
              <w:right w:val="single" w:sz="4" w:space="0" w:color="auto"/>
            </w:tcBorders>
            <w:vAlign w:val="center"/>
          </w:tcPr>
          <w:p w14:paraId="5E700DEE" w14:textId="77777777" w:rsidR="00674324" w:rsidRPr="001A2C4E" w:rsidRDefault="00674324">
            <w:pPr>
              <w:pStyle w:val="TableText0"/>
              <w:jc w:val="center"/>
              <w:rPr>
                <w:b/>
                <w:bCs w:val="0"/>
              </w:rPr>
            </w:pPr>
          </w:p>
        </w:tc>
        <w:tc>
          <w:tcPr>
            <w:tcW w:w="703" w:type="pct"/>
            <w:tcBorders>
              <w:top w:val="single" w:sz="4" w:space="0" w:color="auto"/>
              <w:left w:val="single" w:sz="4" w:space="0" w:color="auto"/>
              <w:bottom w:val="single" w:sz="4" w:space="0" w:color="auto"/>
              <w:right w:val="single" w:sz="4" w:space="0" w:color="auto"/>
            </w:tcBorders>
            <w:vAlign w:val="center"/>
          </w:tcPr>
          <w:p w14:paraId="0BD33FA0" w14:textId="77777777" w:rsidR="00674324" w:rsidRPr="001A2C4E" w:rsidRDefault="00674324">
            <w:pPr>
              <w:pStyle w:val="TableText0"/>
              <w:jc w:val="center"/>
              <w:rPr>
                <w:b/>
                <w:bCs w:val="0"/>
              </w:rPr>
            </w:pPr>
          </w:p>
        </w:tc>
      </w:tr>
      <w:tr w:rsidR="00674324" w:rsidRPr="001A2C4E" w14:paraId="11C6D98E"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2AEB59F1" w14:textId="77777777" w:rsidR="00674324" w:rsidRPr="001A2C4E" w:rsidRDefault="00674324" w:rsidP="00674324">
            <w:pPr>
              <w:pStyle w:val="TableText0"/>
              <w:ind w:left="115"/>
            </w:pPr>
            <w:r w:rsidRPr="001A2C4E">
              <w:t>Max dose 90 mg</w:t>
            </w:r>
          </w:p>
        </w:tc>
        <w:tc>
          <w:tcPr>
            <w:tcW w:w="625" w:type="pct"/>
            <w:tcBorders>
              <w:top w:val="single" w:sz="4" w:space="0" w:color="auto"/>
              <w:left w:val="single" w:sz="4" w:space="0" w:color="auto"/>
              <w:bottom w:val="single" w:sz="4" w:space="0" w:color="auto"/>
              <w:right w:val="single" w:sz="4" w:space="0" w:color="auto"/>
            </w:tcBorders>
            <w:hideMark/>
          </w:tcPr>
          <w:p w14:paraId="21E64C64" w14:textId="3BCBF1B9" w:rsidR="00674324" w:rsidRPr="001A2C4E" w:rsidRDefault="00674324">
            <w:pPr>
              <w:pStyle w:val="TableText0"/>
              <w:jc w:val="center"/>
            </w:pPr>
            <w:r w:rsidRPr="001A2C4E">
              <w:t>$</w:t>
            </w:r>
            <w:r w:rsidR="00B355AE" w:rsidRPr="0035108E">
              <w:rPr>
                <w:rFonts w:hint="eastAsia"/>
                <w:color w:val="000000"/>
                <w:w w:val="15"/>
                <w:shd w:val="solid" w:color="000000" w:fill="000000"/>
                <w:fitText w:val="60" w:id="-1504471033"/>
                <w14:textFill>
                  <w14:solidFill>
                    <w14:srgbClr w14:val="000000">
                      <w14:alpha w14:val="100000"/>
                    </w14:srgbClr>
                  </w14:solidFill>
                </w14:textFill>
              </w:rPr>
              <w:t xml:space="preserve">　</w:t>
            </w:r>
            <w:r w:rsidR="00B355AE" w:rsidRPr="0035108E">
              <w:rPr>
                <w:color w:val="000000"/>
                <w:w w:val="15"/>
                <w:shd w:val="solid" w:color="000000" w:fill="000000"/>
                <w:fitText w:val="60" w:id="-1504471033"/>
                <w14:textFill>
                  <w14:solidFill>
                    <w14:srgbClr w14:val="000000">
                      <w14:alpha w14:val="100000"/>
                    </w14:srgbClr>
                  </w14:solidFill>
                </w14:textFill>
              </w:rPr>
              <w:t>|</w:t>
            </w:r>
            <w:r w:rsidR="00B355AE" w:rsidRPr="0035108E">
              <w:rPr>
                <w:rFonts w:hint="eastAsia"/>
                <w:color w:val="000000"/>
                <w:w w:val="15"/>
                <w:shd w:val="solid" w:color="000000" w:fill="000000"/>
                <w:fitText w:val="60" w:id="-1504471033"/>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hideMark/>
          </w:tcPr>
          <w:p w14:paraId="1B0D6A01" w14:textId="77777777" w:rsidR="00674324" w:rsidRPr="001A2C4E" w:rsidRDefault="00674324">
            <w:pPr>
              <w:pStyle w:val="TableText0"/>
              <w:jc w:val="center"/>
            </w:pPr>
            <w:r w:rsidRPr="001A2C4E">
              <w:t>2.44</w:t>
            </w:r>
          </w:p>
        </w:tc>
        <w:tc>
          <w:tcPr>
            <w:tcW w:w="703" w:type="pct"/>
            <w:tcBorders>
              <w:top w:val="single" w:sz="4" w:space="0" w:color="auto"/>
              <w:left w:val="single" w:sz="4" w:space="0" w:color="auto"/>
              <w:bottom w:val="single" w:sz="4" w:space="0" w:color="auto"/>
              <w:right w:val="single" w:sz="4" w:space="0" w:color="auto"/>
            </w:tcBorders>
            <w:hideMark/>
          </w:tcPr>
          <w:p w14:paraId="6CA85B63" w14:textId="5D6A077B" w:rsidR="00674324" w:rsidRPr="0065752F" w:rsidRDefault="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3B192F51"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1494E857" w14:textId="77777777" w:rsidR="00674324" w:rsidRPr="001A2C4E" w:rsidRDefault="00674324">
            <w:pPr>
              <w:pStyle w:val="TableText0"/>
              <w:rPr>
                <w:b/>
                <w:bCs w:val="0"/>
              </w:rPr>
            </w:pPr>
            <w:r w:rsidRPr="001A2C4E">
              <w:rPr>
                <w:b/>
                <w:bCs w:val="0"/>
              </w:rPr>
              <w:t>Patient weight (base case 70.7 kg)</w:t>
            </w:r>
          </w:p>
        </w:tc>
        <w:tc>
          <w:tcPr>
            <w:tcW w:w="625" w:type="pct"/>
            <w:tcBorders>
              <w:top w:val="single" w:sz="4" w:space="0" w:color="auto"/>
              <w:left w:val="single" w:sz="4" w:space="0" w:color="auto"/>
              <w:bottom w:val="single" w:sz="4" w:space="0" w:color="auto"/>
              <w:right w:val="single" w:sz="4" w:space="0" w:color="auto"/>
            </w:tcBorders>
          </w:tcPr>
          <w:p w14:paraId="2FA21D96" w14:textId="77777777" w:rsidR="00674324" w:rsidRPr="001A2C4E" w:rsidRDefault="00674324">
            <w:pPr>
              <w:pStyle w:val="TableText0"/>
              <w:jc w:val="center"/>
              <w:rPr>
                <w:b/>
                <w:bCs w:val="0"/>
              </w:rPr>
            </w:pPr>
          </w:p>
        </w:tc>
        <w:tc>
          <w:tcPr>
            <w:tcW w:w="547" w:type="pct"/>
            <w:tcBorders>
              <w:top w:val="single" w:sz="4" w:space="0" w:color="auto"/>
              <w:left w:val="single" w:sz="4" w:space="0" w:color="auto"/>
              <w:bottom w:val="single" w:sz="4" w:space="0" w:color="auto"/>
              <w:right w:val="single" w:sz="4" w:space="0" w:color="auto"/>
            </w:tcBorders>
          </w:tcPr>
          <w:p w14:paraId="7955BE02" w14:textId="77777777" w:rsidR="00674324" w:rsidRPr="001A2C4E" w:rsidRDefault="00674324">
            <w:pPr>
              <w:pStyle w:val="TableText0"/>
              <w:jc w:val="center"/>
              <w:rPr>
                <w:b/>
                <w:bCs w:val="0"/>
              </w:rPr>
            </w:pPr>
          </w:p>
        </w:tc>
        <w:tc>
          <w:tcPr>
            <w:tcW w:w="703" w:type="pct"/>
            <w:tcBorders>
              <w:top w:val="single" w:sz="4" w:space="0" w:color="auto"/>
              <w:left w:val="single" w:sz="4" w:space="0" w:color="auto"/>
              <w:bottom w:val="single" w:sz="4" w:space="0" w:color="auto"/>
              <w:right w:val="single" w:sz="4" w:space="0" w:color="auto"/>
            </w:tcBorders>
          </w:tcPr>
          <w:p w14:paraId="69674D9B" w14:textId="77777777" w:rsidR="00674324" w:rsidRPr="001A2C4E" w:rsidRDefault="00674324">
            <w:pPr>
              <w:pStyle w:val="TableText0"/>
              <w:jc w:val="center"/>
              <w:rPr>
                <w:b/>
                <w:bCs w:val="0"/>
              </w:rPr>
            </w:pPr>
          </w:p>
        </w:tc>
      </w:tr>
      <w:tr w:rsidR="00674324" w:rsidRPr="001A2C4E" w14:paraId="05303686" w14:textId="77777777" w:rsidTr="00755353">
        <w:tc>
          <w:tcPr>
            <w:tcW w:w="3125" w:type="pct"/>
            <w:tcBorders>
              <w:top w:val="single" w:sz="4" w:space="0" w:color="auto"/>
              <w:left w:val="single" w:sz="4" w:space="0" w:color="auto"/>
              <w:bottom w:val="single" w:sz="4" w:space="0" w:color="auto"/>
              <w:right w:val="single" w:sz="4" w:space="0" w:color="auto"/>
            </w:tcBorders>
            <w:hideMark/>
          </w:tcPr>
          <w:p w14:paraId="50390181" w14:textId="4EF35D8B" w:rsidR="00674324" w:rsidRPr="001A2C4E" w:rsidRDefault="00674324">
            <w:pPr>
              <w:pStyle w:val="TableText0"/>
            </w:pPr>
            <w:r w:rsidRPr="001A2C4E">
              <w:t xml:space="preserve">  80.5 kg (as used for 40 year olds in paediatric model)</w:t>
            </w:r>
          </w:p>
        </w:tc>
        <w:tc>
          <w:tcPr>
            <w:tcW w:w="625" w:type="pct"/>
            <w:tcBorders>
              <w:top w:val="single" w:sz="4" w:space="0" w:color="auto"/>
              <w:left w:val="single" w:sz="4" w:space="0" w:color="auto"/>
              <w:bottom w:val="single" w:sz="4" w:space="0" w:color="auto"/>
              <w:right w:val="single" w:sz="4" w:space="0" w:color="auto"/>
            </w:tcBorders>
            <w:hideMark/>
          </w:tcPr>
          <w:p w14:paraId="35FB8BDA" w14:textId="6702ADA7" w:rsidR="00674324" w:rsidRPr="001A2C4E" w:rsidRDefault="00674324">
            <w:pPr>
              <w:pStyle w:val="TableText0"/>
              <w:jc w:val="center"/>
            </w:pPr>
            <w:r w:rsidRPr="001A2C4E">
              <w:t>$</w:t>
            </w:r>
            <w:r w:rsidR="00B355AE" w:rsidRPr="0035108E">
              <w:rPr>
                <w:rFonts w:hint="eastAsia"/>
                <w:color w:val="000000"/>
                <w:w w:val="15"/>
                <w:shd w:val="solid" w:color="000000" w:fill="000000"/>
                <w:fitText w:val="60" w:id="-1504471032"/>
                <w14:textFill>
                  <w14:solidFill>
                    <w14:srgbClr w14:val="000000">
                      <w14:alpha w14:val="100000"/>
                    </w14:srgbClr>
                  </w14:solidFill>
                </w14:textFill>
              </w:rPr>
              <w:t xml:space="preserve">　</w:t>
            </w:r>
            <w:r w:rsidR="00B355AE" w:rsidRPr="0035108E">
              <w:rPr>
                <w:color w:val="000000"/>
                <w:w w:val="15"/>
                <w:shd w:val="solid" w:color="000000" w:fill="000000"/>
                <w:fitText w:val="60" w:id="-1504471032"/>
                <w14:textFill>
                  <w14:solidFill>
                    <w14:srgbClr w14:val="000000">
                      <w14:alpha w14:val="100000"/>
                    </w14:srgbClr>
                  </w14:solidFill>
                </w14:textFill>
              </w:rPr>
              <w:t>|</w:t>
            </w:r>
            <w:r w:rsidR="00B355AE" w:rsidRPr="0035108E">
              <w:rPr>
                <w:rFonts w:hint="eastAsia"/>
                <w:color w:val="000000"/>
                <w:spacing w:val="-5"/>
                <w:w w:val="15"/>
                <w:shd w:val="solid" w:color="000000" w:fill="000000"/>
                <w:fitText w:val="60" w:id="-1504471032"/>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hideMark/>
          </w:tcPr>
          <w:p w14:paraId="0E3109CF" w14:textId="77777777" w:rsidR="00674324" w:rsidRPr="001A2C4E" w:rsidRDefault="00674324">
            <w:pPr>
              <w:pStyle w:val="TableText0"/>
              <w:jc w:val="center"/>
            </w:pPr>
            <w:r w:rsidRPr="001A2C4E">
              <w:t>2.44</w:t>
            </w:r>
          </w:p>
        </w:tc>
        <w:tc>
          <w:tcPr>
            <w:tcW w:w="703" w:type="pct"/>
            <w:tcBorders>
              <w:top w:val="single" w:sz="4" w:space="0" w:color="auto"/>
              <w:left w:val="single" w:sz="4" w:space="0" w:color="auto"/>
              <w:bottom w:val="single" w:sz="4" w:space="0" w:color="auto"/>
              <w:right w:val="single" w:sz="4" w:space="0" w:color="auto"/>
            </w:tcBorders>
            <w:hideMark/>
          </w:tcPr>
          <w:p w14:paraId="0A51F4FD" w14:textId="3E746940" w:rsidR="00674324" w:rsidRPr="0065752F" w:rsidRDefault="00674324">
            <w:pPr>
              <w:pStyle w:val="TableText0"/>
              <w:jc w:val="center"/>
              <w:rPr>
                <w:vertAlign w:val="superscript"/>
              </w:rPr>
            </w:pPr>
            <w:r w:rsidRPr="001A2C4E">
              <w:t>$</w:t>
            </w:r>
            <w:r w:rsidR="00B355AE" w:rsidRPr="00B355AE">
              <w:rPr>
                <w:color w:val="000000"/>
                <w:shd w:val="solid" w:color="000000" w:fill="000000"/>
                <w14:textFill>
                  <w14:solidFill>
                    <w14:srgbClr w14:val="000000">
                      <w14:alpha w14:val="100000"/>
                    </w14:srgbClr>
                  </w14:solidFill>
                </w14:textFill>
              </w:rPr>
              <w:t>|</w:t>
            </w:r>
            <w:r w:rsidR="0065752F">
              <w:rPr>
                <w:vertAlign w:val="superscript"/>
              </w:rPr>
              <w:t>5</w:t>
            </w:r>
          </w:p>
        </w:tc>
      </w:tr>
      <w:tr w:rsidR="00674324" w:rsidRPr="001A2C4E" w14:paraId="164C1ED3" w14:textId="77777777" w:rsidTr="00755353">
        <w:tc>
          <w:tcPr>
            <w:tcW w:w="5000" w:type="pct"/>
            <w:gridSpan w:val="4"/>
            <w:tcBorders>
              <w:top w:val="single" w:sz="4" w:space="0" w:color="auto"/>
              <w:left w:val="single" w:sz="4" w:space="0" w:color="auto"/>
              <w:bottom w:val="single" w:sz="4" w:space="0" w:color="auto"/>
              <w:right w:val="single" w:sz="4" w:space="0" w:color="auto"/>
            </w:tcBorders>
          </w:tcPr>
          <w:p w14:paraId="3ED1EBB4" w14:textId="5296B864" w:rsidR="00674324" w:rsidRPr="001A2C4E" w:rsidRDefault="00674324" w:rsidP="00674324">
            <w:pPr>
              <w:keepNext/>
              <w:widowControl w:val="0"/>
              <w:jc w:val="left"/>
              <w:rPr>
                <w:rFonts w:ascii="Arial Narrow" w:eastAsia="Calibri" w:hAnsi="Arial Narrow"/>
                <w:b/>
                <w:sz w:val="20"/>
                <w:lang w:eastAsia="en-US"/>
              </w:rPr>
            </w:pPr>
            <w:r w:rsidRPr="001A2C4E">
              <w:rPr>
                <w:rFonts w:ascii="Arial Narrow" w:hAnsi="Arial Narrow"/>
                <w:b/>
                <w:sz w:val="20"/>
              </w:rPr>
              <w:t xml:space="preserve">Effective AEMP per vial </w:t>
            </w:r>
            <w:r w:rsidRPr="001A2C4E">
              <w:rPr>
                <w:rFonts w:ascii="Arial Narrow" w:eastAsiaTheme="minorHAnsi" w:hAnsi="Arial Narrow" w:cstheme="minorBidi"/>
                <w:b/>
                <w:sz w:val="20"/>
                <w:szCs w:val="20"/>
                <w:lang w:eastAsia="en-US"/>
              </w:rPr>
              <w:t xml:space="preserve">(base case: 10 mg = </w:t>
            </w:r>
            <w:r w:rsidRPr="003C231F">
              <w:rPr>
                <w:rFonts w:ascii="Arial Narrow" w:eastAsiaTheme="minorHAnsi" w:hAnsi="Arial Narrow" w:cstheme="minorBidi"/>
                <w:b/>
                <w:sz w:val="20"/>
                <w:szCs w:val="20"/>
                <w:lang w:eastAsia="en-US"/>
              </w:rPr>
              <w:t>$</w:t>
            </w:r>
            <w:r w:rsidR="00B355AE" w:rsidRPr="0035108E">
              <w:rPr>
                <w:rFonts w:ascii="Arial Narrow" w:eastAsiaTheme="minorHAnsi" w:hAnsi="Arial Narrow" w:cstheme="minorBidi"/>
                <w:b/>
                <w:color w:val="000000"/>
                <w:spacing w:val="55"/>
                <w:sz w:val="20"/>
                <w:szCs w:val="20"/>
                <w:shd w:val="solid" w:color="000000" w:fill="000000"/>
                <w:fitText w:val="350" w:id="-1504470784"/>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2"/>
                <w:sz w:val="20"/>
                <w:szCs w:val="20"/>
                <w:shd w:val="solid" w:color="000000" w:fill="000000"/>
                <w:fitText w:val="350" w:id="-1504470784"/>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20 mg </w:t>
            </w:r>
            <w:r w:rsidRPr="003C231F">
              <w:rPr>
                <w:rFonts w:ascii="Arial Narrow" w:eastAsiaTheme="minorHAnsi" w:hAnsi="Arial Narrow" w:cstheme="minorBidi"/>
                <w:b/>
                <w:sz w:val="20"/>
                <w:szCs w:val="20"/>
                <w:lang w:eastAsia="en-US"/>
              </w:rPr>
              <w:t>= $</w:t>
            </w:r>
            <w:r w:rsidR="00B355AE" w:rsidRPr="0035108E">
              <w:rPr>
                <w:rFonts w:ascii="Arial Narrow" w:eastAsiaTheme="minorHAnsi" w:hAnsi="Arial Narrow" w:cstheme="minorBidi"/>
                <w:b/>
                <w:color w:val="000000"/>
                <w:spacing w:val="58"/>
                <w:sz w:val="20"/>
                <w:szCs w:val="20"/>
                <w:shd w:val="solid" w:color="000000" w:fill="000000"/>
                <w:fitText w:val="360" w:id="-1504470783"/>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3"/>
                <w:sz w:val="20"/>
                <w:szCs w:val="20"/>
                <w:shd w:val="solid" w:color="000000" w:fill="000000"/>
                <w:fitText w:val="360" w:id="-1504470783"/>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 xml:space="preserve"> 30 mg = </w:t>
            </w:r>
            <w:r w:rsidRPr="003C231F">
              <w:rPr>
                <w:rFonts w:ascii="Arial Narrow" w:eastAsiaTheme="minorHAnsi" w:hAnsi="Arial Narrow" w:cstheme="minorBidi"/>
                <w:b/>
                <w:sz w:val="20"/>
                <w:szCs w:val="20"/>
                <w:lang w:eastAsia="en-US"/>
              </w:rPr>
              <w:t>$</w:t>
            </w:r>
            <w:r w:rsidR="00B355AE" w:rsidRPr="0035108E">
              <w:rPr>
                <w:rFonts w:ascii="Arial Narrow" w:eastAsiaTheme="minorHAnsi" w:hAnsi="Arial Narrow" w:cstheme="minorBidi"/>
                <w:b/>
                <w:color w:val="000000"/>
                <w:spacing w:val="58"/>
                <w:sz w:val="20"/>
                <w:szCs w:val="20"/>
                <w:shd w:val="solid" w:color="000000" w:fill="000000"/>
                <w:fitText w:val="360" w:id="-1504470782"/>
                <w:lang w:eastAsia="en-US"/>
                <w14:textFill>
                  <w14:solidFill>
                    <w14:srgbClr w14:val="000000">
                      <w14:alpha w14:val="100000"/>
                    </w14:srgbClr>
                  </w14:solidFill>
                </w14:textFill>
              </w:rPr>
              <w:t>|||</w:t>
            </w:r>
            <w:r w:rsidR="00B355AE" w:rsidRPr="0035108E">
              <w:rPr>
                <w:rFonts w:ascii="Arial Narrow" w:eastAsiaTheme="minorHAnsi" w:hAnsi="Arial Narrow" w:cstheme="minorBidi"/>
                <w:b/>
                <w:color w:val="000000"/>
                <w:spacing w:val="3"/>
                <w:sz w:val="20"/>
                <w:szCs w:val="20"/>
                <w:shd w:val="solid" w:color="000000" w:fill="000000"/>
                <w:fitText w:val="360" w:id="-1504470782"/>
                <w:lang w:eastAsia="en-US"/>
                <w14:textFill>
                  <w14:solidFill>
                    <w14:srgbClr w14:val="000000">
                      <w14:alpha w14:val="100000"/>
                    </w14:srgbClr>
                  </w14:solidFill>
                </w14:textFill>
              </w:rPr>
              <w:t>|</w:t>
            </w:r>
            <w:r w:rsidRPr="001A2C4E">
              <w:rPr>
                <w:rFonts w:ascii="Arial Narrow" w:eastAsiaTheme="minorHAnsi" w:hAnsi="Arial Narrow" w:cstheme="minorBidi"/>
                <w:b/>
                <w:sz w:val="20"/>
                <w:szCs w:val="20"/>
                <w:lang w:eastAsia="en-US"/>
              </w:rPr>
              <w:t>)</w:t>
            </w:r>
          </w:p>
        </w:tc>
      </w:tr>
      <w:tr w:rsidR="00674324" w:rsidRPr="001A2C4E" w14:paraId="58275501" w14:textId="77777777" w:rsidTr="00755353">
        <w:tc>
          <w:tcPr>
            <w:tcW w:w="3125" w:type="pct"/>
            <w:tcBorders>
              <w:top w:val="single" w:sz="4" w:space="0" w:color="auto"/>
              <w:left w:val="single" w:sz="4" w:space="0" w:color="auto"/>
              <w:bottom w:val="single" w:sz="4" w:space="0" w:color="auto"/>
              <w:right w:val="single" w:sz="4" w:space="0" w:color="auto"/>
            </w:tcBorders>
          </w:tcPr>
          <w:p w14:paraId="0147549B" w14:textId="3AEB834A"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w:t>
            </w:r>
            <w:r w:rsidR="00AE63AF">
              <w:rPr>
                <w:rFonts w:ascii="Arial Narrow" w:hAnsi="Arial Narrow"/>
                <w:bCs/>
                <w:snapToGrid w:val="0"/>
                <w:sz w:val="20"/>
              </w:rPr>
              <w:t>P</w:t>
            </w:r>
            <w:r w:rsidRPr="001A2C4E">
              <w:rPr>
                <w:rFonts w:ascii="Arial Narrow" w:hAnsi="Arial Narrow"/>
                <w:bCs/>
                <w:snapToGrid w:val="0"/>
                <w:sz w:val="20"/>
              </w:rPr>
              <w:t xml:space="preserve">rice </w:t>
            </w:r>
            <w:r w:rsidRPr="003C231F">
              <w:rPr>
                <w:rFonts w:ascii="Arial Narrow" w:hAnsi="Arial Narrow"/>
                <w:bCs/>
                <w:snapToGrid w:val="0"/>
                <w:sz w:val="20"/>
              </w:rPr>
              <w:t>of $</w:t>
            </w:r>
            <w:r w:rsidR="00B355AE" w:rsidRPr="0035108E">
              <w:rPr>
                <w:rFonts w:ascii="Arial Narrow" w:hAnsi="Arial Narrow"/>
                <w:bCs/>
                <w:snapToGrid w:val="0"/>
                <w:color w:val="000000"/>
                <w:spacing w:val="53"/>
                <w:sz w:val="20"/>
                <w:shd w:val="solid" w:color="000000" w:fill="000000"/>
                <w:fitText w:val="330" w:id="-1504470781"/>
                <w14:textFill>
                  <w14:solidFill>
                    <w14:srgbClr w14:val="000000">
                      <w14:alpha w14:val="100000"/>
                    </w14:srgbClr>
                  </w14:solidFill>
                </w14:textFill>
              </w:rPr>
              <w:t>|||</w:t>
            </w:r>
            <w:r w:rsidR="00B355AE" w:rsidRPr="0035108E">
              <w:rPr>
                <w:rFonts w:ascii="Arial Narrow" w:hAnsi="Arial Narrow"/>
                <w:bCs/>
                <w:snapToGrid w:val="0"/>
                <w:color w:val="000000"/>
                <w:spacing w:val="1"/>
                <w:sz w:val="20"/>
                <w:shd w:val="solid" w:color="000000" w:fill="000000"/>
                <w:fitText w:val="330" w:id="-1504470781"/>
                <w14:textFill>
                  <w14:solidFill>
                    <w14:srgbClr w14:val="000000">
                      <w14:alpha w14:val="100000"/>
                    </w14:srgbClr>
                  </w14:solidFill>
                </w14:textFill>
              </w:rPr>
              <w:t>|</w:t>
            </w:r>
            <w:r w:rsidRPr="001A2C4E">
              <w:rPr>
                <w:rFonts w:ascii="Arial Narrow" w:hAnsi="Arial Narrow"/>
                <w:bCs/>
                <w:snapToGrid w:val="0"/>
                <w:sz w:val="20"/>
              </w:rPr>
              <w:t xml:space="preserve"> for 10 mg, 20 mg and 30 mg vials</w:t>
            </w:r>
          </w:p>
        </w:tc>
        <w:tc>
          <w:tcPr>
            <w:tcW w:w="625" w:type="pct"/>
            <w:tcBorders>
              <w:top w:val="single" w:sz="4" w:space="0" w:color="auto"/>
              <w:left w:val="single" w:sz="4" w:space="0" w:color="auto"/>
              <w:bottom w:val="single" w:sz="4" w:space="0" w:color="auto"/>
              <w:right w:val="single" w:sz="4" w:space="0" w:color="auto"/>
            </w:tcBorders>
            <w:vAlign w:val="center"/>
          </w:tcPr>
          <w:p w14:paraId="28856A85" w14:textId="4709D7B7"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35108E">
              <w:rPr>
                <w:rFonts w:ascii="Arial Narrow" w:eastAsia="Calibri" w:hAnsi="Arial Narrow" w:hint="eastAsia"/>
                <w:bCs/>
                <w:color w:val="000000"/>
                <w:w w:val="15"/>
                <w:sz w:val="20"/>
                <w:shd w:val="solid" w:color="000000" w:fill="000000"/>
                <w:fitText w:val="60" w:id="-1504470780"/>
                <w:lang w:eastAsia="en-US"/>
                <w14:textFill>
                  <w14:solidFill>
                    <w14:srgbClr w14:val="000000">
                      <w14:alpha w14:val="100000"/>
                    </w14:srgbClr>
                  </w14:solidFill>
                </w14:textFill>
              </w:rPr>
              <w:t xml:space="preserve">　</w:t>
            </w:r>
            <w:r w:rsidR="00B355AE" w:rsidRPr="0035108E">
              <w:rPr>
                <w:rFonts w:ascii="Arial Narrow" w:eastAsia="Calibri" w:hAnsi="Arial Narrow"/>
                <w:bCs/>
                <w:color w:val="000000"/>
                <w:w w:val="15"/>
                <w:sz w:val="20"/>
                <w:shd w:val="solid" w:color="000000" w:fill="000000"/>
                <w:fitText w:val="60" w:id="-1504470780"/>
                <w:lang w:eastAsia="en-US"/>
                <w14:textFill>
                  <w14:solidFill>
                    <w14:srgbClr w14:val="000000">
                      <w14:alpha w14:val="100000"/>
                    </w14:srgbClr>
                  </w14:solidFill>
                </w14:textFill>
              </w:rPr>
              <w:t>|</w:t>
            </w:r>
            <w:r w:rsidR="00B355AE" w:rsidRPr="0035108E">
              <w:rPr>
                <w:rFonts w:ascii="Arial Narrow" w:eastAsia="Calibri" w:hAnsi="Arial Narrow" w:hint="eastAsia"/>
                <w:bCs/>
                <w:color w:val="000000"/>
                <w:spacing w:val="-5"/>
                <w:w w:val="15"/>
                <w:sz w:val="20"/>
                <w:shd w:val="solid" w:color="000000" w:fill="000000"/>
                <w:fitText w:val="60" w:id="-1504470780"/>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21542A3D" w14:textId="72525FF3"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4E534CC" w14:textId="0380CED1"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1</w:t>
            </w:r>
          </w:p>
        </w:tc>
      </w:tr>
      <w:tr w:rsidR="00674324" w:rsidRPr="001A2C4E" w14:paraId="37F1E90E" w14:textId="77777777" w:rsidTr="00755353">
        <w:tc>
          <w:tcPr>
            <w:tcW w:w="3125" w:type="pct"/>
            <w:tcBorders>
              <w:top w:val="single" w:sz="4" w:space="0" w:color="auto"/>
              <w:left w:val="single" w:sz="4" w:space="0" w:color="auto"/>
              <w:bottom w:val="single" w:sz="4" w:space="0" w:color="auto"/>
              <w:right w:val="single" w:sz="4" w:space="0" w:color="auto"/>
            </w:tcBorders>
          </w:tcPr>
          <w:p w14:paraId="77F4F637" w14:textId="424F676B"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w:t>
            </w:r>
            <w:r w:rsidR="00AE63AF">
              <w:rPr>
                <w:rFonts w:ascii="Arial Narrow" w:hAnsi="Arial Narrow"/>
                <w:bCs/>
                <w:snapToGrid w:val="0"/>
                <w:sz w:val="20"/>
              </w:rPr>
              <w:t>P</w:t>
            </w:r>
            <w:r w:rsidRPr="001A2C4E">
              <w:rPr>
                <w:rFonts w:ascii="Arial Narrow" w:hAnsi="Arial Narrow"/>
                <w:bCs/>
                <w:snapToGrid w:val="0"/>
                <w:sz w:val="20"/>
              </w:rPr>
              <w:t>rice o</w:t>
            </w:r>
            <w:r w:rsidRPr="003C231F">
              <w:rPr>
                <w:rFonts w:ascii="Arial Narrow" w:hAnsi="Arial Narrow"/>
                <w:bCs/>
                <w:snapToGrid w:val="0"/>
                <w:sz w:val="20"/>
              </w:rPr>
              <w:t>f $</w:t>
            </w:r>
            <w:r w:rsidR="00B355AE" w:rsidRPr="0035108E">
              <w:rPr>
                <w:rFonts w:ascii="Arial Narrow" w:hAnsi="Arial Narrow"/>
                <w:bCs/>
                <w:snapToGrid w:val="0"/>
                <w:color w:val="000000"/>
                <w:spacing w:val="53"/>
                <w:sz w:val="20"/>
                <w:shd w:val="solid" w:color="000000" w:fill="000000"/>
                <w:fitText w:val="330" w:id="-1504470779"/>
                <w14:textFill>
                  <w14:solidFill>
                    <w14:srgbClr w14:val="000000">
                      <w14:alpha w14:val="100000"/>
                    </w14:srgbClr>
                  </w14:solidFill>
                </w14:textFill>
              </w:rPr>
              <w:t>|||</w:t>
            </w:r>
            <w:r w:rsidR="00B355AE" w:rsidRPr="0035108E">
              <w:rPr>
                <w:rFonts w:ascii="Arial Narrow" w:hAnsi="Arial Narrow"/>
                <w:bCs/>
                <w:snapToGrid w:val="0"/>
                <w:color w:val="000000"/>
                <w:spacing w:val="1"/>
                <w:sz w:val="20"/>
                <w:shd w:val="solid" w:color="000000" w:fill="000000"/>
                <w:fitText w:val="330" w:id="-1504470779"/>
                <w14:textFill>
                  <w14:solidFill>
                    <w14:srgbClr w14:val="000000">
                      <w14:alpha w14:val="100000"/>
                    </w14:srgbClr>
                  </w14:solidFill>
                </w14:textFill>
              </w:rPr>
              <w:t>|</w:t>
            </w:r>
            <w:r w:rsidRPr="001A2C4E">
              <w:rPr>
                <w:rFonts w:ascii="Arial Narrow" w:hAnsi="Arial Narrow"/>
                <w:bCs/>
                <w:snapToGrid w:val="0"/>
                <w:sz w:val="20"/>
              </w:rPr>
              <w:t xml:space="preserve"> for 10 mg, 20 mg and 30 mg vials</w:t>
            </w:r>
          </w:p>
        </w:tc>
        <w:tc>
          <w:tcPr>
            <w:tcW w:w="625" w:type="pct"/>
            <w:tcBorders>
              <w:top w:val="single" w:sz="4" w:space="0" w:color="auto"/>
              <w:left w:val="single" w:sz="4" w:space="0" w:color="auto"/>
              <w:bottom w:val="single" w:sz="4" w:space="0" w:color="auto"/>
              <w:right w:val="single" w:sz="4" w:space="0" w:color="auto"/>
            </w:tcBorders>
            <w:vAlign w:val="center"/>
          </w:tcPr>
          <w:p w14:paraId="0B96A541" w14:textId="1321B61B"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35108E">
              <w:rPr>
                <w:rFonts w:ascii="Arial Narrow" w:eastAsia="Calibri" w:hAnsi="Arial Narrow" w:hint="eastAsia"/>
                <w:bCs/>
                <w:color w:val="000000"/>
                <w:w w:val="15"/>
                <w:sz w:val="20"/>
                <w:shd w:val="solid" w:color="000000" w:fill="000000"/>
                <w:fitText w:val="60" w:id="-1504470778"/>
                <w:lang w:eastAsia="en-US"/>
                <w14:textFill>
                  <w14:solidFill>
                    <w14:srgbClr w14:val="000000">
                      <w14:alpha w14:val="100000"/>
                    </w14:srgbClr>
                  </w14:solidFill>
                </w14:textFill>
              </w:rPr>
              <w:t xml:space="preserve">　</w:t>
            </w:r>
            <w:r w:rsidR="00B355AE" w:rsidRPr="0035108E">
              <w:rPr>
                <w:rFonts w:ascii="Arial Narrow" w:eastAsia="Calibri" w:hAnsi="Arial Narrow"/>
                <w:bCs/>
                <w:color w:val="000000"/>
                <w:w w:val="15"/>
                <w:sz w:val="20"/>
                <w:shd w:val="solid" w:color="000000" w:fill="000000"/>
                <w:fitText w:val="60" w:id="-1504470778"/>
                <w:lang w:eastAsia="en-US"/>
                <w14:textFill>
                  <w14:solidFill>
                    <w14:srgbClr w14:val="000000">
                      <w14:alpha w14:val="100000"/>
                    </w14:srgbClr>
                  </w14:solidFill>
                </w14:textFill>
              </w:rPr>
              <w:t>|</w:t>
            </w:r>
            <w:r w:rsidR="00B355AE" w:rsidRPr="0035108E">
              <w:rPr>
                <w:rFonts w:ascii="Arial Narrow" w:eastAsia="Calibri" w:hAnsi="Arial Narrow" w:hint="eastAsia"/>
                <w:bCs/>
                <w:color w:val="000000"/>
                <w:spacing w:val="-5"/>
                <w:w w:val="15"/>
                <w:sz w:val="20"/>
                <w:shd w:val="solid" w:color="000000" w:fill="000000"/>
                <w:fitText w:val="60" w:id="-1504470778"/>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2D4E5919" w14:textId="445AE409"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1BCED8C" w14:textId="4DE92D87"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3</w:t>
            </w:r>
          </w:p>
        </w:tc>
      </w:tr>
      <w:tr w:rsidR="00674324" w:rsidRPr="001A2C4E" w14:paraId="4CCA5A86" w14:textId="77777777" w:rsidTr="00755353">
        <w:tc>
          <w:tcPr>
            <w:tcW w:w="3125" w:type="pct"/>
            <w:tcBorders>
              <w:top w:val="single" w:sz="4" w:space="0" w:color="auto"/>
              <w:left w:val="single" w:sz="4" w:space="0" w:color="auto"/>
              <w:bottom w:val="single" w:sz="4" w:space="0" w:color="auto"/>
              <w:right w:val="single" w:sz="4" w:space="0" w:color="auto"/>
            </w:tcBorders>
          </w:tcPr>
          <w:p w14:paraId="568685B7" w14:textId="77777777"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10% reduction to base case AEMPs</w:t>
            </w:r>
          </w:p>
        </w:tc>
        <w:tc>
          <w:tcPr>
            <w:tcW w:w="625" w:type="pct"/>
            <w:tcBorders>
              <w:top w:val="single" w:sz="4" w:space="0" w:color="auto"/>
              <w:left w:val="single" w:sz="4" w:space="0" w:color="auto"/>
              <w:bottom w:val="single" w:sz="4" w:space="0" w:color="auto"/>
              <w:right w:val="single" w:sz="4" w:space="0" w:color="auto"/>
            </w:tcBorders>
            <w:vAlign w:val="center"/>
          </w:tcPr>
          <w:p w14:paraId="01C4B033" w14:textId="02CB18CC"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35108E">
              <w:rPr>
                <w:rFonts w:ascii="Arial Narrow" w:eastAsia="Calibri" w:hAnsi="Arial Narrow" w:hint="eastAsia"/>
                <w:bCs/>
                <w:color w:val="000000"/>
                <w:w w:val="15"/>
                <w:sz w:val="20"/>
                <w:shd w:val="solid" w:color="000000" w:fill="000000"/>
                <w:fitText w:val="60" w:id="-1504470777"/>
                <w:lang w:eastAsia="en-US"/>
                <w14:textFill>
                  <w14:solidFill>
                    <w14:srgbClr w14:val="000000">
                      <w14:alpha w14:val="100000"/>
                    </w14:srgbClr>
                  </w14:solidFill>
                </w14:textFill>
              </w:rPr>
              <w:t xml:space="preserve">　</w:t>
            </w:r>
            <w:r w:rsidR="00B355AE" w:rsidRPr="0035108E">
              <w:rPr>
                <w:rFonts w:ascii="Arial Narrow" w:eastAsia="Calibri" w:hAnsi="Arial Narrow"/>
                <w:bCs/>
                <w:color w:val="000000"/>
                <w:w w:val="15"/>
                <w:sz w:val="20"/>
                <w:shd w:val="solid" w:color="000000" w:fill="000000"/>
                <w:fitText w:val="60" w:id="-1504470777"/>
                <w:lang w:eastAsia="en-US"/>
                <w14:textFill>
                  <w14:solidFill>
                    <w14:srgbClr w14:val="000000">
                      <w14:alpha w14:val="100000"/>
                    </w14:srgbClr>
                  </w14:solidFill>
                </w14:textFill>
              </w:rPr>
              <w:t>|</w:t>
            </w:r>
            <w:r w:rsidR="00B355AE" w:rsidRPr="0035108E">
              <w:rPr>
                <w:rFonts w:ascii="Arial Narrow" w:eastAsia="Calibri" w:hAnsi="Arial Narrow" w:hint="eastAsia"/>
                <w:bCs/>
                <w:color w:val="000000"/>
                <w:spacing w:val="-5"/>
                <w:w w:val="15"/>
                <w:sz w:val="20"/>
                <w:shd w:val="solid" w:color="000000" w:fill="000000"/>
                <w:fitText w:val="60" w:id="-1504470777"/>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71A84B86" w14:textId="01435F2C"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606639F5" w14:textId="14D0600A"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3</w:t>
            </w:r>
          </w:p>
        </w:tc>
      </w:tr>
      <w:tr w:rsidR="00674324" w:rsidRPr="001A2C4E" w14:paraId="5EF96026" w14:textId="77777777" w:rsidTr="00755353">
        <w:tc>
          <w:tcPr>
            <w:tcW w:w="3125" w:type="pct"/>
            <w:tcBorders>
              <w:top w:val="single" w:sz="4" w:space="0" w:color="auto"/>
              <w:left w:val="single" w:sz="4" w:space="0" w:color="auto"/>
              <w:bottom w:val="single" w:sz="4" w:space="0" w:color="auto"/>
              <w:right w:val="single" w:sz="4" w:space="0" w:color="auto"/>
            </w:tcBorders>
          </w:tcPr>
          <w:p w14:paraId="09FF9D73" w14:textId="77777777" w:rsidR="00674324" w:rsidRPr="001A2C4E" w:rsidRDefault="00674324" w:rsidP="00674324">
            <w:pPr>
              <w:keepNext/>
              <w:widowControl w:val="0"/>
              <w:jc w:val="left"/>
              <w:rPr>
                <w:rFonts w:ascii="Arial Narrow" w:hAnsi="Arial Narrow"/>
                <w:bCs/>
                <w:snapToGrid w:val="0"/>
                <w:sz w:val="20"/>
              </w:rPr>
            </w:pPr>
            <w:r w:rsidRPr="001A2C4E">
              <w:rPr>
                <w:rFonts w:ascii="Arial Narrow" w:hAnsi="Arial Narrow"/>
                <w:bCs/>
                <w:snapToGrid w:val="0"/>
                <w:sz w:val="20"/>
              </w:rPr>
              <w:t xml:space="preserve">  30% reduction to base case AEMPs</w:t>
            </w:r>
          </w:p>
        </w:tc>
        <w:tc>
          <w:tcPr>
            <w:tcW w:w="625" w:type="pct"/>
            <w:tcBorders>
              <w:top w:val="single" w:sz="4" w:space="0" w:color="auto"/>
              <w:left w:val="single" w:sz="4" w:space="0" w:color="auto"/>
              <w:bottom w:val="single" w:sz="4" w:space="0" w:color="auto"/>
              <w:right w:val="single" w:sz="4" w:space="0" w:color="auto"/>
            </w:tcBorders>
            <w:vAlign w:val="center"/>
          </w:tcPr>
          <w:p w14:paraId="2E48054B" w14:textId="33C28D2A"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w:t>
            </w:r>
            <w:r w:rsidR="00B355AE" w:rsidRPr="0035108E">
              <w:rPr>
                <w:rFonts w:ascii="Arial Narrow" w:eastAsia="Calibri" w:hAnsi="Arial Narrow" w:hint="eastAsia"/>
                <w:bCs/>
                <w:color w:val="000000"/>
                <w:w w:val="15"/>
                <w:sz w:val="20"/>
                <w:shd w:val="solid" w:color="000000" w:fill="000000"/>
                <w:fitText w:val="60" w:id="-1504470776"/>
                <w:lang w:eastAsia="en-US"/>
                <w14:textFill>
                  <w14:solidFill>
                    <w14:srgbClr w14:val="000000">
                      <w14:alpha w14:val="100000"/>
                    </w14:srgbClr>
                  </w14:solidFill>
                </w14:textFill>
              </w:rPr>
              <w:t xml:space="preserve">　</w:t>
            </w:r>
            <w:r w:rsidR="00B355AE" w:rsidRPr="0035108E">
              <w:rPr>
                <w:rFonts w:ascii="Arial Narrow" w:eastAsia="Calibri" w:hAnsi="Arial Narrow"/>
                <w:bCs/>
                <w:color w:val="000000"/>
                <w:w w:val="15"/>
                <w:sz w:val="20"/>
                <w:shd w:val="solid" w:color="000000" w:fill="000000"/>
                <w:fitText w:val="60" w:id="-1504470776"/>
                <w:lang w:eastAsia="en-US"/>
                <w14:textFill>
                  <w14:solidFill>
                    <w14:srgbClr w14:val="000000">
                      <w14:alpha w14:val="100000"/>
                    </w14:srgbClr>
                  </w14:solidFill>
                </w14:textFill>
              </w:rPr>
              <w:t>|</w:t>
            </w:r>
            <w:r w:rsidR="00B355AE" w:rsidRPr="0035108E">
              <w:rPr>
                <w:rFonts w:ascii="Arial Narrow" w:eastAsia="Calibri" w:hAnsi="Arial Narrow" w:hint="eastAsia"/>
                <w:bCs/>
                <w:color w:val="000000"/>
                <w:w w:val="15"/>
                <w:sz w:val="20"/>
                <w:shd w:val="solid" w:color="000000" w:fill="000000"/>
                <w:fitText w:val="60" w:id="-1504470776"/>
                <w:lang w:eastAsia="en-US"/>
                <w14:textFill>
                  <w14:solidFill>
                    <w14:srgbClr w14:val="000000">
                      <w14:alpha w14:val="100000"/>
                    </w14:srgbClr>
                  </w14:solidFill>
                </w14:textFill>
              </w:rPr>
              <w:t xml:space="preserve">　</w:t>
            </w:r>
          </w:p>
        </w:tc>
        <w:tc>
          <w:tcPr>
            <w:tcW w:w="547" w:type="pct"/>
            <w:tcBorders>
              <w:top w:val="single" w:sz="4" w:space="0" w:color="auto"/>
              <w:left w:val="single" w:sz="4" w:space="0" w:color="auto"/>
              <w:bottom w:val="single" w:sz="4" w:space="0" w:color="auto"/>
              <w:right w:val="single" w:sz="4" w:space="0" w:color="auto"/>
            </w:tcBorders>
            <w:vAlign w:val="center"/>
          </w:tcPr>
          <w:p w14:paraId="1BFFD0C9" w14:textId="59704FF6" w:rsidR="00674324" w:rsidRPr="001A2C4E" w:rsidRDefault="00FB18E9" w:rsidP="00CD3F5B">
            <w:pPr>
              <w:keepNext/>
              <w:widowControl w:val="0"/>
              <w:jc w:val="center"/>
              <w:rPr>
                <w:rFonts w:ascii="Arial Narrow" w:eastAsia="Calibri" w:hAnsi="Arial Narrow"/>
                <w:bCs/>
                <w:sz w:val="20"/>
                <w:lang w:eastAsia="en-US"/>
              </w:rPr>
            </w:pPr>
            <w:r w:rsidRPr="001A2C4E">
              <w:rPr>
                <w:rFonts w:ascii="Arial Narrow" w:eastAsia="Calibri" w:hAnsi="Arial Narrow"/>
                <w:bCs/>
                <w:sz w:val="20"/>
                <w:lang w:eastAsia="en-US"/>
              </w:rPr>
              <w:t>2.44</w:t>
            </w:r>
          </w:p>
        </w:tc>
        <w:tc>
          <w:tcPr>
            <w:tcW w:w="703" w:type="pct"/>
            <w:tcBorders>
              <w:top w:val="single" w:sz="4" w:space="0" w:color="auto"/>
              <w:left w:val="single" w:sz="4" w:space="0" w:color="auto"/>
              <w:bottom w:val="single" w:sz="4" w:space="0" w:color="auto"/>
              <w:right w:val="single" w:sz="4" w:space="0" w:color="auto"/>
            </w:tcBorders>
            <w:vAlign w:val="center"/>
          </w:tcPr>
          <w:p w14:paraId="3FF96DE2" w14:textId="45B4312C" w:rsidR="00674324" w:rsidRPr="0065752F" w:rsidRDefault="00FB18E9" w:rsidP="00CD3F5B">
            <w:pPr>
              <w:keepNext/>
              <w:widowControl w:val="0"/>
              <w:jc w:val="center"/>
              <w:rPr>
                <w:rFonts w:ascii="Arial Narrow" w:eastAsia="Calibri" w:hAnsi="Arial Narrow"/>
                <w:bCs/>
                <w:sz w:val="20"/>
                <w:vertAlign w:val="superscript"/>
                <w:lang w:eastAsia="en-US"/>
              </w:rPr>
            </w:pPr>
            <w:r w:rsidRPr="001A2C4E">
              <w:rPr>
                <w:rFonts w:ascii="Arial Narrow" w:eastAsia="Calibri" w:hAnsi="Arial Narrow"/>
                <w:bCs/>
                <w:sz w:val="20"/>
                <w:lang w:eastAsia="en-US"/>
              </w:rPr>
              <w:t>$</w:t>
            </w:r>
            <w:r w:rsidR="00B355AE" w:rsidRPr="00B355AE">
              <w:rPr>
                <w:rFonts w:ascii="Arial Narrow" w:eastAsia="Calibri" w:hAnsi="Arial Narrow"/>
                <w:bCs/>
                <w:color w:val="000000"/>
                <w:sz w:val="20"/>
                <w:shd w:val="solid" w:color="000000" w:fill="000000"/>
                <w:lang w:eastAsia="en-US"/>
                <w14:textFill>
                  <w14:solidFill>
                    <w14:srgbClr w14:val="000000">
                      <w14:alpha w14:val="100000"/>
                    </w14:srgbClr>
                  </w14:solidFill>
                </w14:textFill>
              </w:rPr>
              <w:t>|</w:t>
            </w:r>
            <w:r w:rsidR="0065752F">
              <w:rPr>
                <w:rFonts w:ascii="Arial Narrow" w:eastAsia="Calibri" w:hAnsi="Arial Narrow"/>
                <w:bCs/>
                <w:sz w:val="20"/>
                <w:vertAlign w:val="superscript"/>
                <w:lang w:eastAsia="en-US"/>
              </w:rPr>
              <w:t>2</w:t>
            </w:r>
          </w:p>
        </w:tc>
      </w:tr>
    </w:tbl>
    <w:p w14:paraId="6241A0E4" w14:textId="77777777" w:rsidR="00F60E5A" w:rsidRPr="00F60E5A" w:rsidRDefault="00674324" w:rsidP="00F60E5A">
      <w:pPr>
        <w:contextualSpacing/>
        <w:rPr>
          <w:rFonts w:ascii="Arial Narrow" w:hAnsi="Arial Narrow"/>
          <w:i/>
          <w:snapToGrid w:val="0"/>
          <w:sz w:val="18"/>
          <w:szCs w:val="18"/>
        </w:rPr>
      </w:pPr>
      <w:r w:rsidRPr="00F60E5A">
        <w:rPr>
          <w:rFonts w:ascii="Arial Narrow" w:hAnsi="Arial Narrow"/>
          <w:sz w:val="18"/>
          <w:szCs w:val="18"/>
        </w:rPr>
        <w:t xml:space="preserve">Source: </w:t>
      </w:r>
      <w:r w:rsidR="00F60E5A" w:rsidRPr="00F60E5A">
        <w:rPr>
          <w:rFonts w:ascii="Arial Narrow" w:hAnsi="Arial Narrow"/>
          <w:snapToGrid w:val="0"/>
          <w:sz w:val="18"/>
          <w:szCs w:val="18"/>
        </w:rPr>
        <w:t>Updated during completion of the ESC ADV using Section 3.1 workbook PSCR.xlsm provided with the PSCR</w:t>
      </w:r>
    </w:p>
    <w:p w14:paraId="0A11A873" w14:textId="4BD83561" w:rsidR="0065752F" w:rsidRDefault="00674324" w:rsidP="00F60E5A">
      <w:pPr>
        <w:pStyle w:val="TableFigureFooter"/>
        <w:spacing w:after="0"/>
        <w:rPr>
          <w:szCs w:val="18"/>
        </w:rPr>
      </w:pPr>
      <w:r w:rsidRPr="00F60E5A">
        <w:rPr>
          <w:szCs w:val="18"/>
        </w:rPr>
        <w:t>BUR=burosumab; CI= confidence interval; CT=conventional therapy; ICER=incremental cost effectiveness ratio; QALY=quality adjusted life year; SoC=standard of care; w/=with; yr=year.</w:t>
      </w:r>
    </w:p>
    <w:p w14:paraId="5F7F4336" w14:textId="221C4375" w:rsidR="0065752F" w:rsidRPr="0065752F" w:rsidRDefault="0065752F" w:rsidP="006575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1DA1A2B" w14:textId="5946D843" w:rsidR="0065752F" w:rsidRPr="0065752F" w:rsidRDefault="0065752F" w:rsidP="0065752F">
      <w:pPr>
        <w:ind w:right="147"/>
        <w:rPr>
          <w:rFonts w:ascii="Arial" w:hAnsi="Arial"/>
          <w:color w:val="333333"/>
          <w:sz w:val="21"/>
          <w:szCs w:val="21"/>
        </w:rPr>
      </w:pPr>
      <w:r w:rsidRPr="00B62B1E">
        <w:rPr>
          <w:rFonts w:ascii="Arial Narrow" w:hAnsi="Arial Narrow"/>
          <w:i/>
          <w:sz w:val="18"/>
          <w:szCs w:val="18"/>
          <w:vertAlign w:val="superscript"/>
        </w:rPr>
        <w:t>1</w:t>
      </w:r>
      <w:r w:rsidRPr="0065752F">
        <w:rPr>
          <w:rFonts w:ascii="Arial Narrow" w:hAnsi="Arial Narrow"/>
          <w:i/>
          <w:sz w:val="18"/>
          <w:szCs w:val="18"/>
        </w:rPr>
        <w:t>$155,000 to &lt; $255,000</w:t>
      </w:r>
    </w:p>
    <w:p w14:paraId="0FE146B4" w14:textId="0DE373EF" w:rsidR="0065752F" w:rsidRPr="0065752F" w:rsidRDefault="0065752F" w:rsidP="0065752F">
      <w:pPr>
        <w:ind w:right="147"/>
        <w:rPr>
          <w:rFonts w:ascii="Arial Narrow" w:hAnsi="Arial Narrow"/>
          <w:i/>
          <w:sz w:val="18"/>
          <w:szCs w:val="18"/>
        </w:rPr>
      </w:pPr>
      <w:r w:rsidRPr="00B62B1E">
        <w:rPr>
          <w:rFonts w:ascii="Arial Narrow" w:hAnsi="Arial Narrow"/>
          <w:i/>
          <w:sz w:val="18"/>
          <w:szCs w:val="18"/>
          <w:vertAlign w:val="superscript"/>
        </w:rPr>
        <w:t>2</w:t>
      </w:r>
      <w:r w:rsidRPr="0065752F">
        <w:rPr>
          <w:rFonts w:ascii="Arial Narrow" w:hAnsi="Arial Narrow"/>
          <w:i/>
          <w:sz w:val="18"/>
          <w:szCs w:val="18"/>
        </w:rPr>
        <w:t>$355,000 to &lt; $455,000</w:t>
      </w:r>
    </w:p>
    <w:p w14:paraId="50623025" w14:textId="69E35962" w:rsidR="0065752F" w:rsidRPr="0065752F" w:rsidRDefault="0065752F" w:rsidP="0065752F">
      <w:pPr>
        <w:ind w:right="147"/>
        <w:rPr>
          <w:rFonts w:ascii="Arial Narrow" w:hAnsi="Arial Narrow"/>
          <w:i/>
          <w:sz w:val="18"/>
          <w:szCs w:val="18"/>
        </w:rPr>
      </w:pPr>
      <w:r w:rsidRPr="00B62B1E">
        <w:rPr>
          <w:rFonts w:ascii="Arial Narrow" w:hAnsi="Arial Narrow"/>
          <w:i/>
          <w:sz w:val="18"/>
          <w:szCs w:val="18"/>
          <w:vertAlign w:val="superscript"/>
        </w:rPr>
        <w:t>3</w:t>
      </w:r>
      <w:r w:rsidRPr="0065752F">
        <w:rPr>
          <w:rFonts w:ascii="Arial Narrow" w:hAnsi="Arial Narrow"/>
          <w:i/>
          <w:sz w:val="18"/>
          <w:szCs w:val="18"/>
        </w:rPr>
        <w:t>$455,000 to &lt; $555,000</w:t>
      </w:r>
    </w:p>
    <w:p w14:paraId="61DDE397" w14:textId="4A4A7409" w:rsidR="0065752F" w:rsidRPr="00B62B1E" w:rsidRDefault="0065752F" w:rsidP="0065752F">
      <w:pPr>
        <w:ind w:right="147"/>
        <w:rPr>
          <w:rFonts w:ascii="Arial Narrow" w:hAnsi="Arial Narrow"/>
          <w:i/>
          <w:sz w:val="18"/>
          <w:szCs w:val="18"/>
        </w:rPr>
      </w:pPr>
      <w:r w:rsidRPr="00B62B1E">
        <w:rPr>
          <w:rFonts w:ascii="Arial Narrow" w:hAnsi="Arial Narrow"/>
          <w:i/>
          <w:sz w:val="18"/>
          <w:szCs w:val="18"/>
          <w:vertAlign w:val="superscript"/>
        </w:rPr>
        <w:t>4</w:t>
      </w:r>
      <w:r w:rsidRPr="00B62B1E">
        <w:rPr>
          <w:rFonts w:ascii="Arial Narrow" w:hAnsi="Arial Narrow"/>
          <w:i/>
          <w:sz w:val="18"/>
          <w:szCs w:val="18"/>
        </w:rPr>
        <w:t>$555,000 to &lt; $655,000</w:t>
      </w:r>
    </w:p>
    <w:p w14:paraId="18710421" w14:textId="25524773" w:rsidR="0065752F" w:rsidRPr="00462FBB" w:rsidRDefault="0065752F" w:rsidP="0065752F">
      <w:pPr>
        <w:ind w:right="147"/>
        <w:rPr>
          <w:rFonts w:ascii="Arial" w:hAnsi="Arial"/>
          <w:color w:val="333333"/>
          <w:sz w:val="21"/>
          <w:szCs w:val="21"/>
        </w:rPr>
      </w:pPr>
      <w:r w:rsidRPr="00B62B1E">
        <w:rPr>
          <w:rFonts w:ascii="Arial Narrow" w:hAnsi="Arial Narrow"/>
          <w:i/>
          <w:sz w:val="18"/>
          <w:szCs w:val="18"/>
          <w:vertAlign w:val="superscript"/>
        </w:rPr>
        <w:t>5</w:t>
      </w:r>
      <w:r w:rsidRPr="00B62B1E">
        <w:rPr>
          <w:rFonts w:ascii="Arial Narrow" w:hAnsi="Arial Narrow"/>
          <w:i/>
          <w:sz w:val="18"/>
          <w:szCs w:val="18"/>
        </w:rPr>
        <w:t>$655,000 to &lt; $755,000</w:t>
      </w:r>
    </w:p>
    <w:p w14:paraId="2E04F96B" w14:textId="08237A59" w:rsidR="0065752F" w:rsidRPr="00B62B1E" w:rsidRDefault="0065752F" w:rsidP="003C231F">
      <w:pPr>
        <w:spacing w:after="120"/>
        <w:ind w:right="147"/>
        <w:rPr>
          <w:rFonts w:ascii="Arial" w:hAnsi="Arial"/>
          <w:color w:val="333333"/>
          <w:sz w:val="21"/>
          <w:szCs w:val="21"/>
        </w:rPr>
      </w:pPr>
      <w:r w:rsidRPr="00B62B1E">
        <w:rPr>
          <w:rFonts w:ascii="Arial Narrow" w:hAnsi="Arial Narrow"/>
          <w:i/>
          <w:sz w:val="18"/>
          <w:szCs w:val="18"/>
          <w:vertAlign w:val="superscript"/>
        </w:rPr>
        <w:t>6</w:t>
      </w:r>
      <w:r w:rsidRPr="00B62B1E">
        <w:rPr>
          <w:rFonts w:ascii="Arial Narrow" w:hAnsi="Arial Narrow"/>
          <w:i/>
          <w:sz w:val="18"/>
          <w:szCs w:val="18"/>
        </w:rPr>
        <w:t>$955,000 to &lt; $1,055,000</w:t>
      </w:r>
    </w:p>
    <w:p w14:paraId="3F418C61" w14:textId="77777777" w:rsidR="00674324" w:rsidRPr="008E65F1" w:rsidRDefault="00674324" w:rsidP="00C73BF1">
      <w:pPr>
        <w:pStyle w:val="TableFigureFooter"/>
      </w:pPr>
    </w:p>
    <w:p w14:paraId="1EB77D3D" w14:textId="2D8F2914" w:rsidR="0018278D" w:rsidRPr="001A2C4E" w:rsidRDefault="0018278D" w:rsidP="00CE76B8">
      <w:pPr>
        <w:pStyle w:val="3-BodyText"/>
      </w:pPr>
      <w:r w:rsidRPr="001A2C4E">
        <w:t xml:space="preserve">The ESC noted that the </w:t>
      </w:r>
      <w:r w:rsidR="00247040" w:rsidRPr="001A2C4E">
        <w:t xml:space="preserve">results of the sensitivity analyses, using the corrected, revised model provided in the PSCR, indicated that the model remained sensitive to </w:t>
      </w:r>
      <w:r w:rsidR="009A59BB" w:rsidRPr="001A2C4E">
        <w:t>baseline utility applied in the SOC arm, the dose and patient weight assumptions and the AEMP of burosumab</w:t>
      </w:r>
      <w:r w:rsidRPr="001A2C4E">
        <w:t>.</w:t>
      </w:r>
    </w:p>
    <w:p w14:paraId="74700668" w14:textId="62F9F90E" w:rsidR="00247040" w:rsidRPr="001A2C4E" w:rsidRDefault="001F2CBD" w:rsidP="00CE76B8">
      <w:pPr>
        <w:pStyle w:val="3-BodyText"/>
      </w:pPr>
      <w:r w:rsidRPr="001A2C4E">
        <w:t xml:space="preserve">Although </w:t>
      </w:r>
      <w:r w:rsidR="00247040" w:rsidRPr="001A2C4E">
        <w:t xml:space="preserve">the PSCR had addressed the issue surrounding cumulative morbidity disutilities, the ESC considered that the revised base case ICER remained high and was likely optimistic, particularly considering the issues and uncertainties that remained relating to the burosumab dose applied, the application of general population morbidity and mortality to the burosumab arm and </w:t>
      </w:r>
      <w:r w:rsidR="002A1AD2">
        <w:t xml:space="preserve">burosumab </w:t>
      </w:r>
      <w:r w:rsidR="00247040" w:rsidRPr="001A2C4E">
        <w:t>treatment related utility gains regardless of event occurrence. The ESC considered that any further adjustments to the model should account for the uncertainties in the model structure, the assumptions applied and the lack of available data.</w:t>
      </w:r>
    </w:p>
    <w:p w14:paraId="552D3451" w14:textId="77777777" w:rsidR="0018278D" w:rsidRPr="00D4558F" w:rsidRDefault="0018278D" w:rsidP="0018278D">
      <w:pPr>
        <w:pStyle w:val="4-SubsectionHeading"/>
      </w:pPr>
      <w:r w:rsidRPr="00D4558F">
        <w:t>Drug cost/patient/year</w:t>
      </w:r>
    </w:p>
    <w:p w14:paraId="1C25C0DC" w14:textId="641542FB" w:rsidR="00CE76B8" w:rsidRDefault="00CE76B8" w:rsidP="00CE76B8">
      <w:pPr>
        <w:pStyle w:val="3-BodyText"/>
      </w:pPr>
      <w:r w:rsidRPr="00D4558F">
        <w:t xml:space="preserve">The drug cost per patient per year for </w:t>
      </w:r>
      <w:r>
        <w:t>burosumab is presented below.</w:t>
      </w:r>
    </w:p>
    <w:p w14:paraId="6F6481E0" w14:textId="4193A7F0" w:rsidR="00CE76B8" w:rsidRPr="002A2FDF" w:rsidRDefault="00C06B83" w:rsidP="002E1D81">
      <w:pPr>
        <w:keepNext/>
        <w:jc w:val="left"/>
        <w:rPr>
          <w:rFonts w:ascii="Arial Narrow" w:eastAsiaTheme="majorEastAsia" w:hAnsi="Arial Narrow" w:cstheme="majorBidi"/>
          <w:b/>
          <w:bCs/>
          <w:sz w:val="20"/>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21</w:t>
      </w:r>
      <w:r w:rsidRPr="00271609">
        <w:rPr>
          <w:rFonts w:ascii="Arial Narrow" w:eastAsia="Calibri" w:hAnsi="Arial Narrow"/>
          <w:b/>
          <w:iCs/>
          <w:sz w:val="20"/>
          <w:szCs w:val="18"/>
          <w:lang w:eastAsia="en-US"/>
        </w:rPr>
        <w:fldChar w:fldCharType="end"/>
      </w:r>
      <w:r w:rsidR="00CE76B8" w:rsidRPr="00271609">
        <w:rPr>
          <w:rFonts w:ascii="Arial Narrow" w:eastAsiaTheme="majorEastAsia" w:hAnsi="Arial Narrow" w:cstheme="majorBidi"/>
          <w:b/>
          <w:bCs/>
          <w:iCs/>
          <w:sz w:val="20"/>
        </w:rPr>
        <w:t xml:space="preserve">: </w:t>
      </w:r>
      <w:r w:rsidR="00CE76B8" w:rsidRPr="002A2FDF">
        <w:rPr>
          <w:rFonts w:ascii="Arial Narrow" w:eastAsiaTheme="majorEastAsia" w:hAnsi="Arial Narrow" w:cstheme="majorBidi"/>
          <w:b/>
          <w:bCs/>
          <w:sz w:val="20"/>
        </w:rPr>
        <w:t>Drug cost</w:t>
      </w:r>
      <w:r w:rsidR="00CE76B8" w:rsidRPr="00DC658E">
        <w:rPr>
          <w:rFonts w:ascii="Arial Narrow" w:eastAsiaTheme="majorEastAsia" w:hAnsi="Arial Narrow" w:cstheme="majorBidi"/>
          <w:b/>
          <w:bCs/>
          <w:sz w:val="20"/>
          <w:vertAlign w:val="superscript"/>
        </w:rPr>
        <w:t>a</w:t>
      </w:r>
      <w:r w:rsidR="00CE76B8" w:rsidRPr="002A2FDF">
        <w:rPr>
          <w:rFonts w:ascii="Arial Narrow" w:eastAsiaTheme="majorEastAsia" w:hAnsi="Arial Narrow" w:cstheme="majorBidi"/>
          <w:b/>
          <w:bCs/>
          <w:sz w:val="20"/>
        </w:rPr>
        <w:t xml:space="preserve"> per patient</w:t>
      </w:r>
      <w:r w:rsidR="00CE76B8">
        <w:rPr>
          <w:rFonts w:ascii="Arial Narrow" w:eastAsiaTheme="majorEastAsia" w:hAnsi="Arial Narrow" w:cstheme="majorBidi"/>
          <w:b/>
          <w:bCs/>
          <w:sz w:val="20"/>
        </w:rPr>
        <w:t xml:space="preserve"> for bur</w:t>
      </w:r>
      <w:r w:rsidR="00402675">
        <w:rPr>
          <w:rFonts w:ascii="Arial Narrow" w:eastAsiaTheme="majorEastAsia" w:hAnsi="Arial Narrow" w:cstheme="majorBidi"/>
          <w:b/>
          <w:bCs/>
          <w:sz w:val="20"/>
        </w:rPr>
        <w:t>o</w:t>
      </w:r>
      <w:r w:rsidR="00CE76B8">
        <w:rPr>
          <w:rFonts w:ascii="Arial Narrow" w:eastAsiaTheme="majorEastAsia" w:hAnsi="Arial Narrow" w:cstheme="majorBidi"/>
          <w:b/>
          <w:bCs/>
          <w:sz w:val="20"/>
        </w:rPr>
        <w:t>sumab for children and adults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Drug costa per patient for burosumab for children and adults"/>
      </w:tblPr>
      <w:tblGrid>
        <w:gridCol w:w="1272"/>
        <w:gridCol w:w="1134"/>
        <w:gridCol w:w="1134"/>
        <w:gridCol w:w="1133"/>
        <w:gridCol w:w="1134"/>
        <w:gridCol w:w="992"/>
        <w:gridCol w:w="1134"/>
        <w:gridCol w:w="1084"/>
      </w:tblGrid>
      <w:tr w:rsidR="00CE76B8" w:rsidRPr="008E65F1" w14:paraId="49521D52" w14:textId="77777777" w:rsidTr="00444918">
        <w:trPr>
          <w:cantSplit/>
          <w:trHeight w:val="248"/>
          <w:tblHeader/>
          <w:jc w:val="center"/>
        </w:trPr>
        <w:tc>
          <w:tcPr>
            <w:tcW w:w="705" w:type="pct"/>
            <w:vMerge w:val="restart"/>
            <w:shd w:val="clear" w:color="auto" w:fill="auto"/>
            <w:vAlign w:val="center"/>
          </w:tcPr>
          <w:p w14:paraId="7DD752ED" w14:textId="77777777" w:rsidR="00CE76B8" w:rsidRPr="008E65F1" w:rsidRDefault="00CE76B8" w:rsidP="002E1D81">
            <w:pPr>
              <w:keepNext/>
              <w:jc w:val="center"/>
              <w:rPr>
                <w:rFonts w:ascii="Arial Narrow" w:eastAsiaTheme="majorEastAsia" w:hAnsi="Arial Narrow"/>
                <w:b/>
                <w:sz w:val="20"/>
                <w:lang w:val="en-US"/>
              </w:rPr>
            </w:pPr>
          </w:p>
        </w:tc>
        <w:tc>
          <w:tcPr>
            <w:tcW w:w="2515" w:type="pct"/>
            <w:gridSpan w:val="4"/>
          </w:tcPr>
          <w:p w14:paraId="4895454F" w14:textId="0B30E2A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rPr>
              <w:t>Paediatric</w:t>
            </w:r>
            <w:r w:rsidR="00485960" w:rsidRPr="008E65F1">
              <w:rPr>
                <w:rFonts w:ascii="Arial Narrow" w:eastAsiaTheme="majorEastAsia" w:hAnsi="Arial Narrow"/>
                <w:b/>
                <w:sz w:val="20"/>
                <w:lang w:val="en-US"/>
              </w:rPr>
              <w:t xml:space="preserve"> </w:t>
            </w:r>
            <w:r w:rsidRPr="008E65F1">
              <w:rPr>
                <w:rFonts w:ascii="Arial Narrow" w:eastAsiaTheme="majorEastAsia" w:hAnsi="Arial Narrow"/>
                <w:b/>
                <w:sz w:val="20"/>
                <w:lang w:val="en-US"/>
              </w:rPr>
              <w:t>model</w:t>
            </w:r>
          </w:p>
        </w:tc>
        <w:tc>
          <w:tcPr>
            <w:tcW w:w="1780" w:type="pct"/>
            <w:gridSpan w:val="3"/>
            <w:shd w:val="clear" w:color="auto" w:fill="auto"/>
            <w:vAlign w:val="center"/>
          </w:tcPr>
          <w:p w14:paraId="2190C13E"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Adult model</w:t>
            </w:r>
          </w:p>
        </w:tc>
      </w:tr>
      <w:tr w:rsidR="00444918" w:rsidRPr="008E65F1" w14:paraId="27B5933C" w14:textId="77777777" w:rsidTr="00444918">
        <w:trPr>
          <w:cantSplit/>
          <w:trHeight w:val="248"/>
          <w:tblHeader/>
          <w:jc w:val="center"/>
        </w:trPr>
        <w:tc>
          <w:tcPr>
            <w:tcW w:w="705" w:type="pct"/>
            <w:vMerge/>
            <w:shd w:val="clear" w:color="auto" w:fill="auto"/>
            <w:vAlign w:val="center"/>
          </w:tcPr>
          <w:p w14:paraId="6E3BBCA9"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val="restart"/>
            <w:shd w:val="clear" w:color="auto" w:fill="auto"/>
            <w:vAlign w:val="center"/>
          </w:tcPr>
          <w:p w14:paraId="04C1927D"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Trial CL301</w:t>
            </w:r>
          </w:p>
        </w:tc>
        <w:tc>
          <w:tcPr>
            <w:tcW w:w="1257" w:type="pct"/>
            <w:gridSpan w:val="2"/>
            <w:shd w:val="clear" w:color="auto" w:fill="auto"/>
            <w:vAlign w:val="center"/>
          </w:tcPr>
          <w:p w14:paraId="111D78E4"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Model</w:t>
            </w:r>
            <w:r w:rsidRPr="008E65F1">
              <w:rPr>
                <w:rFonts w:ascii="Arial Narrow" w:eastAsiaTheme="majorEastAsia" w:hAnsi="Arial Narrow"/>
                <w:b/>
                <w:sz w:val="20"/>
                <w:vertAlign w:val="superscript"/>
                <w:lang w:val="en-US"/>
              </w:rPr>
              <w:t>b</w:t>
            </w:r>
          </w:p>
        </w:tc>
        <w:tc>
          <w:tcPr>
            <w:tcW w:w="629" w:type="pct"/>
            <w:vMerge w:val="restart"/>
            <w:shd w:val="clear" w:color="auto" w:fill="auto"/>
            <w:vAlign w:val="center"/>
          </w:tcPr>
          <w:p w14:paraId="32B36E23"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Financials</w:t>
            </w:r>
          </w:p>
        </w:tc>
        <w:tc>
          <w:tcPr>
            <w:tcW w:w="550" w:type="pct"/>
            <w:vMerge w:val="restart"/>
            <w:shd w:val="clear" w:color="auto" w:fill="auto"/>
            <w:vAlign w:val="center"/>
          </w:tcPr>
          <w:p w14:paraId="28950E1B"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Trial CL303</w:t>
            </w:r>
          </w:p>
        </w:tc>
        <w:tc>
          <w:tcPr>
            <w:tcW w:w="629" w:type="pct"/>
            <w:vMerge w:val="restart"/>
            <w:shd w:val="clear" w:color="auto" w:fill="auto"/>
            <w:vAlign w:val="center"/>
          </w:tcPr>
          <w:p w14:paraId="794AF008"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Model</w:t>
            </w:r>
            <w:r w:rsidRPr="008E65F1">
              <w:rPr>
                <w:rFonts w:ascii="Arial Narrow" w:eastAsiaTheme="majorEastAsia" w:hAnsi="Arial Narrow"/>
                <w:b/>
                <w:sz w:val="20"/>
                <w:vertAlign w:val="superscript"/>
                <w:lang w:val="en-US"/>
              </w:rPr>
              <w:t>c</w:t>
            </w:r>
          </w:p>
        </w:tc>
        <w:tc>
          <w:tcPr>
            <w:tcW w:w="601" w:type="pct"/>
            <w:vMerge w:val="restart"/>
            <w:vAlign w:val="center"/>
          </w:tcPr>
          <w:p w14:paraId="4AE75506"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Financials</w:t>
            </w:r>
          </w:p>
        </w:tc>
      </w:tr>
      <w:tr w:rsidR="00444918" w:rsidRPr="008E65F1" w14:paraId="6DC604FF" w14:textId="77777777" w:rsidTr="00444918">
        <w:trPr>
          <w:cantSplit/>
          <w:trHeight w:val="248"/>
          <w:tblHeader/>
          <w:jc w:val="center"/>
        </w:trPr>
        <w:tc>
          <w:tcPr>
            <w:tcW w:w="705" w:type="pct"/>
            <w:vMerge/>
            <w:shd w:val="clear" w:color="auto" w:fill="auto"/>
            <w:vAlign w:val="center"/>
          </w:tcPr>
          <w:p w14:paraId="7BDE2648"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shd w:val="clear" w:color="auto" w:fill="auto"/>
            <w:vAlign w:val="center"/>
          </w:tcPr>
          <w:p w14:paraId="146F8EEC" w14:textId="77777777" w:rsidR="00CE76B8" w:rsidRPr="008E65F1" w:rsidRDefault="00CE76B8" w:rsidP="002E1D81">
            <w:pPr>
              <w:keepNext/>
              <w:jc w:val="center"/>
              <w:rPr>
                <w:rFonts w:ascii="Arial Narrow" w:eastAsiaTheme="majorEastAsia" w:hAnsi="Arial Narrow"/>
                <w:b/>
                <w:sz w:val="20"/>
                <w:lang w:val="en-US"/>
              </w:rPr>
            </w:pPr>
          </w:p>
        </w:tc>
        <w:tc>
          <w:tcPr>
            <w:tcW w:w="629" w:type="pct"/>
            <w:shd w:val="clear" w:color="auto" w:fill="auto"/>
            <w:vAlign w:val="center"/>
          </w:tcPr>
          <w:p w14:paraId="16CAA377"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Childhood</w:t>
            </w:r>
          </w:p>
        </w:tc>
        <w:tc>
          <w:tcPr>
            <w:tcW w:w="628" w:type="pct"/>
          </w:tcPr>
          <w:p w14:paraId="76EDDAC1" w14:textId="77777777" w:rsidR="00CE76B8" w:rsidRPr="008E65F1" w:rsidRDefault="00CE76B8" w:rsidP="002E1D81">
            <w:pPr>
              <w:keepNext/>
              <w:jc w:val="center"/>
              <w:rPr>
                <w:rFonts w:ascii="Arial Narrow" w:eastAsiaTheme="majorEastAsia" w:hAnsi="Arial Narrow"/>
                <w:b/>
                <w:sz w:val="20"/>
                <w:lang w:val="en-US"/>
              </w:rPr>
            </w:pPr>
            <w:r w:rsidRPr="008E65F1">
              <w:rPr>
                <w:rFonts w:ascii="Arial Narrow" w:eastAsiaTheme="majorEastAsia" w:hAnsi="Arial Narrow"/>
                <w:b/>
                <w:sz w:val="20"/>
                <w:lang w:val="en-US"/>
              </w:rPr>
              <w:t>Adulthood</w:t>
            </w:r>
          </w:p>
        </w:tc>
        <w:tc>
          <w:tcPr>
            <w:tcW w:w="629" w:type="pct"/>
            <w:vMerge/>
            <w:shd w:val="clear" w:color="auto" w:fill="auto"/>
            <w:vAlign w:val="center"/>
          </w:tcPr>
          <w:p w14:paraId="1DEE05BE" w14:textId="77777777" w:rsidR="00CE76B8" w:rsidRPr="008E65F1" w:rsidRDefault="00CE76B8" w:rsidP="002E1D81">
            <w:pPr>
              <w:keepNext/>
              <w:jc w:val="center"/>
              <w:rPr>
                <w:rFonts w:ascii="Arial Narrow" w:eastAsiaTheme="majorEastAsia" w:hAnsi="Arial Narrow"/>
                <w:b/>
                <w:sz w:val="20"/>
                <w:lang w:val="en-US"/>
              </w:rPr>
            </w:pPr>
          </w:p>
        </w:tc>
        <w:tc>
          <w:tcPr>
            <w:tcW w:w="550" w:type="pct"/>
            <w:vMerge/>
            <w:shd w:val="clear" w:color="auto" w:fill="auto"/>
            <w:vAlign w:val="center"/>
          </w:tcPr>
          <w:p w14:paraId="4F5F0597" w14:textId="77777777" w:rsidR="00CE76B8" w:rsidRPr="008E65F1" w:rsidRDefault="00CE76B8" w:rsidP="002E1D81">
            <w:pPr>
              <w:keepNext/>
              <w:jc w:val="center"/>
              <w:rPr>
                <w:rFonts w:ascii="Arial Narrow" w:eastAsiaTheme="majorEastAsia" w:hAnsi="Arial Narrow"/>
                <w:b/>
                <w:sz w:val="20"/>
                <w:lang w:val="en-US"/>
              </w:rPr>
            </w:pPr>
          </w:p>
        </w:tc>
        <w:tc>
          <w:tcPr>
            <w:tcW w:w="629" w:type="pct"/>
            <w:vMerge/>
            <w:shd w:val="clear" w:color="auto" w:fill="auto"/>
            <w:vAlign w:val="center"/>
          </w:tcPr>
          <w:p w14:paraId="0B665B35" w14:textId="77777777" w:rsidR="00CE76B8" w:rsidRPr="008E65F1" w:rsidRDefault="00CE76B8" w:rsidP="002E1D81">
            <w:pPr>
              <w:keepNext/>
              <w:jc w:val="center"/>
              <w:rPr>
                <w:rFonts w:ascii="Arial Narrow" w:eastAsiaTheme="majorEastAsia" w:hAnsi="Arial Narrow"/>
                <w:b/>
                <w:sz w:val="20"/>
                <w:lang w:val="en-US"/>
              </w:rPr>
            </w:pPr>
          </w:p>
        </w:tc>
        <w:tc>
          <w:tcPr>
            <w:tcW w:w="601" w:type="pct"/>
            <w:vMerge/>
            <w:vAlign w:val="center"/>
          </w:tcPr>
          <w:p w14:paraId="70C5C290" w14:textId="77777777" w:rsidR="00CE76B8" w:rsidRPr="008E65F1" w:rsidRDefault="00CE76B8" w:rsidP="002E1D81">
            <w:pPr>
              <w:keepNext/>
              <w:jc w:val="center"/>
              <w:rPr>
                <w:rFonts w:ascii="Arial Narrow" w:eastAsiaTheme="majorEastAsia" w:hAnsi="Arial Narrow"/>
                <w:b/>
                <w:sz w:val="20"/>
                <w:lang w:val="en-US"/>
              </w:rPr>
            </w:pPr>
          </w:p>
        </w:tc>
      </w:tr>
      <w:tr w:rsidR="00444918" w:rsidRPr="008E65F1" w14:paraId="3C8BC09E" w14:textId="77777777" w:rsidTr="00444918">
        <w:trPr>
          <w:cantSplit/>
          <w:trHeight w:val="248"/>
          <w:jc w:val="center"/>
        </w:trPr>
        <w:tc>
          <w:tcPr>
            <w:tcW w:w="705" w:type="pct"/>
            <w:shd w:val="clear" w:color="auto" w:fill="auto"/>
            <w:vAlign w:val="center"/>
          </w:tcPr>
          <w:p w14:paraId="60BAA00C"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dose</w:t>
            </w:r>
          </w:p>
        </w:tc>
        <w:tc>
          <w:tcPr>
            <w:tcW w:w="629" w:type="pct"/>
            <w:shd w:val="clear" w:color="auto" w:fill="auto"/>
            <w:vAlign w:val="center"/>
          </w:tcPr>
          <w:p w14:paraId="729ADE79" w14:textId="7554DCA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0.87</w:t>
            </w:r>
            <w:r w:rsidR="00B21318" w:rsidRPr="008E65F1">
              <w:rPr>
                <w:rFonts w:ascii="Arial Narrow" w:eastAsiaTheme="majorEastAsia" w:hAnsi="Arial Narrow" w:cstheme="majorBidi"/>
                <w:sz w:val="20"/>
                <w:lang w:val="en-US"/>
              </w:rPr>
              <w:t xml:space="preserve"> </w:t>
            </w:r>
            <w:r w:rsidRPr="008E65F1">
              <w:rPr>
                <w:rFonts w:ascii="Arial Narrow" w:eastAsiaTheme="majorEastAsia" w:hAnsi="Arial Narrow" w:cstheme="majorBidi"/>
                <w:sz w:val="20"/>
                <w:lang w:val="en-US"/>
              </w:rPr>
              <w:t>mg/kg Q2W</w:t>
            </w:r>
          </w:p>
        </w:tc>
        <w:tc>
          <w:tcPr>
            <w:tcW w:w="629" w:type="pct"/>
            <w:shd w:val="clear" w:color="auto" w:fill="auto"/>
            <w:vAlign w:val="center"/>
          </w:tcPr>
          <w:p w14:paraId="3A55BA4C" w14:textId="53A1F4AB"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Q2W</w:t>
            </w:r>
          </w:p>
          <w:p w14:paraId="05D8D6A5" w14:textId="073423A9"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(993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mg/yr)</w:t>
            </w:r>
          </w:p>
        </w:tc>
        <w:tc>
          <w:tcPr>
            <w:tcW w:w="628" w:type="pct"/>
            <w:vAlign w:val="center"/>
          </w:tcPr>
          <w:p w14:paraId="6AAF3408" w14:textId="7648AE3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p w14:paraId="5E6C0AAB" w14:textId="5D5020B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(994</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mg/yr)</w:t>
            </w:r>
          </w:p>
        </w:tc>
        <w:tc>
          <w:tcPr>
            <w:tcW w:w="629" w:type="pct"/>
            <w:shd w:val="clear" w:color="auto" w:fill="auto"/>
            <w:vAlign w:val="center"/>
          </w:tcPr>
          <w:p w14:paraId="71E2344F" w14:textId="6603D0E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Q2W</w:t>
            </w:r>
          </w:p>
        </w:tc>
        <w:tc>
          <w:tcPr>
            <w:tcW w:w="550" w:type="pct"/>
            <w:shd w:val="clear" w:color="auto" w:fill="auto"/>
            <w:vAlign w:val="center"/>
          </w:tcPr>
          <w:p w14:paraId="0DFDB403" w14:textId="3B718E7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tc>
        <w:tc>
          <w:tcPr>
            <w:tcW w:w="629" w:type="pct"/>
            <w:shd w:val="clear" w:color="auto" w:fill="auto"/>
            <w:vAlign w:val="center"/>
          </w:tcPr>
          <w:p w14:paraId="58EF8D90" w14:textId="0E72A088"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p w14:paraId="7916A92C" w14:textId="5E85313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(913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mg/yr)</w:t>
            </w:r>
          </w:p>
        </w:tc>
        <w:tc>
          <w:tcPr>
            <w:tcW w:w="601" w:type="pct"/>
            <w:vAlign w:val="center"/>
          </w:tcPr>
          <w:p w14:paraId="7564F158" w14:textId="36BDBA1C" w:rsidR="00CE76B8" w:rsidRPr="008E65F1" w:rsidRDefault="00CE76B8" w:rsidP="002E1D81">
            <w:pPr>
              <w:keepNext/>
              <w:jc w:val="center"/>
              <w:rPr>
                <w:rFonts w:ascii="Arial Narrow" w:eastAsiaTheme="majorEastAsia" w:hAnsi="Arial Narrow" w:cstheme="majorBidi"/>
                <w:b/>
                <w:bCs/>
                <w:sz w:val="20"/>
                <w:lang w:val="en-US"/>
              </w:rPr>
            </w:pPr>
            <w:r w:rsidRPr="008E65F1">
              <w:rPr>
                <w:rFonts w:ascii="Arial Narrow" w:eastAsiaTheme="majorEastAsia" w:hAnsi="Arial Narrow" w:cstheme="majorBidi"/>
                <w:bCs/>
                <w:sz w:val="20"/>
                <w:lang w:val="en-US"/>
              </w:rPr>
              <w:t>0.95</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mg/kg Q4W</w:t>
            </w:r>
          </w:p>
        </w:tc>
      </w:tr>
      <w:tr w:rsidR="00444918" w:rsidRPr="008E65F1" w14:paraId="0E6B76D5" w14:textId="77777777" w:rsidTr="00444918">
        <w:trPr>
          <w:cantSplit/>
          <w:trHeight w:val="248"/>
          <w:jc w:val="center"/>
        </w:trPr>
        <w:tc>
          <w:tcPr>
            <w:tcW w:w="705" w:type="pct"/>
            <w:shd w:val="clear" w:color="auto" w:fill="auto"/>
            <w:vAlign w:val="center"/>
          </w:tcPr>
          <w:p w14:paraId="58694CC8"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total dose</w:t>
            </w:r>
          </w:p>
        </w:tc>
        <w:tc>
          <w:tcPr>
            <w:tcW w:w="629" w:type="pct"/>
            <w:shd w:val="clear" w:color="auto" w:fill="auto"/>
            <w:vAlign w:val="center"/>
          </w:tcPr>
          <w:p w14:paraId="5AB37743" w14:textId="574B9663" w:rsidR="00CE76B8" w:rsidRPr="008E65F1" w:rsidRDefault="0044491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31F320AE" w14:textId="5BD23020"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10,913</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
        </w:tc>
        <w:tc>
          <w:tcPr>
            <w:tcW w:w="628" w:type="pct"/>
            <w:vAlign w:val="center"/>
          </w:tcPr>
          <w:p w14:paraId="573976CC" w14:textId="298D13D1"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21,046</w:t>
            </w:r>
            <w:r w:rsidR="00B21318" w:rsidRPr="008E65F1">
              <w:rPr>
                <w:rFonts w:ascii="Arial Narrow" w:eastAsiaTheme="majorEastAsia" w:hAnsi="Arial Narrow" w:cstheme="majorBidi"/>
                <w:bCs/>
                <w:sz w:val="20"/>
                <w:lang w:val="en-US"/>
              </w:rPr>
              <w:t xml:space="preserve"> </w:t>
            </w:r>
            <w:r w:rsidRPr="008E65F1">
              <w:rPr>
                <w:rFonts w:ascii="Arial Narrow" w:eastAsiaTheme="majorEastAsia" w:hAnsi="Arial Narrow" w:cstheme="majorBidi"/>
                <w:bCs/>
                <w:sz w:val="20"/>
                <w:lang w:val="en-US"/>
              </w:rPr>
              <w:t>mg</w:t>
            </w:r>
          </w:p>
        </w:tc>
        <w:tc>
          <w:tcPr>
            <w:tcW w:w="629" w:type="pct"/>
            <w:shd w:val="clear" w:color="auto" w:fill="auto"/>
            <w:vAlign w:val="center"/>
          </w:tcPr>
          <w:p w14:paraId="528F43CE" w14:textId="09D53BF8" w:rsidR="00CE76B8" w:rsidRPr="008E65F1" w:rsidRDefault="0044491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550" w:type="pct"/>
            <w:shd w:val="clear" w:color="auto" w:fill="auto"/>
            <w:vAlign w:val="center"/>
          </w:tcPr>
          <w:p w14:paraId="5D290B8D"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shd w:val="clear" w:color="auto" w:fill="auto"/>
            <w:vAlign w:val="center"/>
          </w:tcPr>
          <w:p w14:paraId="0AAD18A3"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18,713mg</w:t>
            </w:r>
          </w:p>
        </w:tc>
        <w:tc>
          <w:tcPr>
            <w:tcW w:w="601" w:type="pct"/>
            <w:vAlign w:val="center"/>
          </w:tcPr>
          <w:p w14:paraId="2D96D4B9"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r>
      <w:tr w:rsidR="00444918" w:rsidRPr="008E65F1" w14:paraId="1217E94B" w14:textId="77777777" w:rsidTr="00444918">
        <w:trPr>
          <w:cantSplit/>
          <w:trHeight w:val="248"/>
          <w:jc w:val="center"/>
        </w:trPr>
        <w:tc>
          <w:tcPr>
            <w:tcW w:w="705" w:type="pct"/>
            <w:vMerge w:val="restart"/>
            <w:shd w:val="clear" w:color="auto" w:fill="auto"/>
            <w:vAlign w:val="center"/>
          </w:tcPr>
          <w:p w14:paraId="4BBA70A4"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duration</w:t>
            </w:r>
          </w:p>
        </w:tc>
        <w:tc>
          <w:tcPr>
            <w:tcW w:w="629" w:type="pct"/>
            <w:vMerge w:val="restart"/>
            <w:shd w:val="clear" w:color="auto" w:fill="auto"/>
            <w:vAlign w:val="center"/>
          </w:tcPr>
          <w:p w14:paraId="4A80244F"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15.14 months</w:t>
            </w:r>
          </w:p>
        </w:tc>
        <w:tc>
          <w:tcPr>
            <w:tcW w:w="629" w:type="pct"/>
            <w:shd w:val="clear" w:color="auto" w:fill="auto"/>
            <w:vAlign w:val="center"/>
          </w:tcPr>
          <w:p w14:paraId="30FDD7A5"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10.99 yrs</w:t>
            </w:r>
          </w:p>
          <w:p w14:paraId="1546B2D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11 yrs</w:t>
            </w:r>
          </w:p>
        </w:tc>
        <w:tc>
          <w:tcPr>
            <w:tcW w:w="628" w:type="pct"/>
            <w:vAlign w:val="center"/>
          </w:tcPr>
          <w:p w14:paraId="54473958"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21.00 yrs</w:t>
            </w:r>
          </w:p>
          <w:p w14:paraId="4B6FC600"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39 yrs</w:t>
            </w:r>
          </w:p>
        </w:tc>
        <w:tc>
          <w:tcPr>
            <w:tcW w:w="629" w:type="pct"/>
            <w:vMerge w:val="restart"/>
            <w:shd w:val="clear" w:color="auto" w:fill="auto"/>
            <w:vAlign w:val="center"/>
          </w:tcPr>
          <w:p w14:paraId="1A0BD075"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NE</w:t>
            </w:r>
            <w:r w:rsidRPr="008E65F1">
              <w:rPr>
                <w:rFonts w:ascii="Arial Narrow" w:eastAsiaTheme="majorEastAsia" w:hAnsi="Arial Narrow" w:cstheme="majorBidi"/>
                <w:bCs/>
                <w:sz w:val="20"/>
                <w:vertAlign w:val="superscript"/>
                <w:lang w:val="en-US"/>
              </w:rPr>
              <w:t>d</w:t>
            </w:r>
          </w:p>
        </w:tc>
        <w:tc>
          <w:tcPr>
            <w:tcW w:w="550" w:type="pct"/>
            <w:vMerge w:val="restart"/>
            <w:shd w:val="clear" w:color="auto" w:fill="auto"/>
            <w:vAlign w:val="center"/>
          </w:tcPr>
          <w:p w14:paraId="5248E5E7" w14:textId="7639674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99.9 weeks</w:t>
            </w:r>
            <w:r w:rsidR="00247040">
              <w:rPr>
                <w:rFonts w:ascii="Arial Narrow" w:eastAsiaTheme="majorEastAsia" w:hAnsi="Arial Narrow" w:cstheme="majorBidi"/>
                <w:bCs/>
                <w:sz w:val="20"/>
                <w:vertAlign w:val="superscript"/>
                <w:lang w:val="en-US"/>
              </w:rPr>
              <w:t>d</w:t>
            </w:r>
          </w:p>
        </w:tc>
        <w:tc>
          <w:tcPr>
            <w:tcW w:w="629" w:type="pct"/>
            <w:vMerge w:val="restart"/>
            <w:shd w:val="clear" w:color="auto" w:fill="auto"/>
            <w:vAlign w:val="center"/>
          </w:tcPr>
          <w:p w14:paraId="51A8C11C"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20.49 yrs</w:t>
            </w:r>
          </w:p>
          <w:p w14:paraId="5205221E"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25 years</w:t>
            </w:r>
          </w:p>
        </w:tc>
        <w:tc>
          <w:tcPr>
            <w:tcW w:w="601" w:type="pct"/>
            <w:vMerge w:val="restart"/>
            <w:vAlign w:val="center"/>
          </w:tcPr>
          <w:p w14:paraId="29FAB5A9" w14:textId="133BD501"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NE</w:t>
            </w:r>
            <w:r w:rsidR="00247040">
              <w:rPr>
                <w:rFonts w:ascii="Arial Narrow" w:eastAsiaTheme="majorEastAsia" w:hAnsi="Arial Narrow" w:cstheme="majorBidi"/>
                <w:sz w:val="20"/>
                <w:vertAlign w:val="superscript"/>
                <w:lang w:val="en-US"/>
              </w:rPr>
              <w:t>e</w:t>
            </w:r>
          </w:p>
        </w:tc>
      </w:tr>
      <w:tr w:rsidR="00444918" w:rsidRPr="008E65F1" w14:paraId="402A9099" w14:textId="77777777" w:rsidTr="00444918">
        <w:trPr>
          <w:cantSplit/>
          <w:trHeight w:val="248"/>
          <w:jc w:val="center"/>
        </w:trPr>
        <w:tc>
          <w:tcPr>
            <w:tcW w:w="705" w:type="pct"/>
            <w:vMerge/>
            <w:shd w:val="clear" w:color="auto" w:fill="auto"/>
            <w:vAlign w:val="center"/>
          </w:tcPr>
          <w:p w14:paraId="3A5D8E01"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321D9933" w14:textId="77777777" w:rsidR="00CE76B8" w:rsidRPr="008E65F1" w:rsidRDefault="00CE76B8" w:rsidP="002E1D81">
            <w:pPr>
              <w:keepNext/>
              <w:jc w:val="center"/>
              <w:rPr>
                <w:rFonts w:ascii="Arial Narrow" w:eastAsiaTheme="majorEastAsia" w:hAnsi="Arial Narrow" w:cstheme="majorBidi"/>
                <w:sz w:val="20"/>
                <w:lang w:val="en-US"/>
              </w:rPr>
            </w:pPr>
          </w:p>
        </w:tc>
        <w:tc>
          <w:tcPr>
            <w:tcW w:w="1257" w:type="pct"/>
            <w:gridSpan w:val="2"/>
            <w:shd w:val="clear" w:color="auto" w:fill="auto"/>
            <w:vAlign w:val="center"/>
          </w:tcPr>
          <w:p w14:paraId="348B156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Total 31.99 yrs</w:t>
            </w:r>
          </w:p>
          <w:p w14:paraId="56C06B54"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TH 50 years</w:t>
            </w:r>
          </w:p>
        </w:tc>
        <w:tc>
          <w:tcPr>
            <w:tcW w:w="629" w:type="pct"/>
            <w:vMerge/>
            <w:shd w:val="clear" w:color="auto" w:fill="auto"/>
            <w:vAlign w:val="center"/>
          </w:tcPr>
          <w:p w14:paraId="2EE252BA"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3B8C81E9"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1860A768"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vAlign w:val="center"/>
          </w:tcPr>
          <w:p w14:paraId="4F02F980" w14:textId="77777777" w:rsidR="00CE76B8" w:rsidRPr="008E65F1" w:rsidRDefault="00CE76B8" w:rsidP="002E1D81">
            <w:pPr>
              <w:keepNext/>
              <w:jc w:val="center"/>
              <w:rPr>
                <w:rFonts w:ascii="Arial Narrow" w:eastAsiaTheme="majorEastAsia" w:hAnsi="Arial Narrow" w:cstheme="majorBidi"/>
                <w:b/>
                <w:bCs/>
                <w:sz w:val="20"/>
                <w:lang w:val="en-US"/>
              </w:rPr>
            </w:pPr>
          </w:p>
        </w:tc>
      </w:tr>
      <w:tr w:rsidR="00444918" w:rsidRPr="008E65F1" w14:paraId="7CB2E508" w14:textId="77777777" w:rsidTr="00444918">
        <w:trPr>
          <w:cantSplit/>
          <w:trHeight w:val="248"/>
          <w:jc w:val="center"/>
        </w:trPr>
        <w:tc>
          <w:tcPr>
            <w:tcW w:w="705" w:type="pct"/>
            <w:vMerge w:val="restart"/>
            <w:shd w:val="clear" w:color="auto" w:fill="auto"/>
            <w:vAlign w:val="center"/>
          </w:tcPr>
          <w:p w14:paraId="3BFA030B"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cost/pt/yr</w:t>
            </w:r>
          </w:p>
        </w:tc>
        <w:tc>
          <w:tcPr>
            <w:tcW w:w="629" w:type="pct"/>
            <w:vMerge w:val="restart"/>
            <w:shd w:val="clear" w:color="auto" w:fill="auto"/>
            <w:vAlign w:val="center"/>
          </w:tcPr>
          <w:p w14:paraId="01537F16" w14:textId="5FC404F5" w:rsidR="00CE76B8" w:rsidRPr="008E65F1" w:rsidRDefault="00603243"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7B3F2A68" w14:textId="16852A55"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50" w:id="-1504470775"/>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50" w:id="-1504470775"/>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15"/>
                <w:w w:val="15"/>
                <w:sz w:val="20"/>
                <w:shd w:val="solid" w:color="000000" w:fill="000000"/>
                <w:fitText w:val="50" w:id="-1504470775"/>
                <w:lang w:val="en-US"/>
                <w14:textFill>
                  <w14:solidFill>
                    <w14:srgbClr w14:val="000000">
                      <w14:alpha w14:val="100000"/>
                    </w14:srgbClr>
                  </w14:solidFill>
                </w14:textFill>
              </w:rPr>
              <w:t xml:space="preserve">　</w:t>
            </w:r>
          </w:p>
        </w:tc>
        <w:tc>
          <w:tcPr>
            <w:tcW w:w="628" w:type="pct"/>
            <w:vAlign w:val="center"/>
          </w:tcPr>
          <w:p w14:paraId="414AD98F" w14:textId="5F292B43"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60" w:id="-1504470774"/>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60" w:id="-1504470774"/>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5"/>
                <w:w w:val="15"/>
                <w:sz w:val="20"/>
                <w:shd w:val="solid" w:color="000000" w:fill="000000"/>
                <w:fitText w:val="60" w:id="-1504470774"/>
                <w:lang w:val="en-US"/>
                <w14:textFill>
                  <w14:solidFill>
                    <w14:srgbClr w14:val="000000">
                      <w14:alpha w14:val="100000"/>
                    </w14:srgbClr>
                  </w14:solidFill>
                </w14:textFill>
              </w:rPr>
              <w:t xml:space="preserve">　</w:t>
            </w:r>
          </w:p>
        </w:tc>
        <w:tc>
          <w:tcPr>
            <w:tcW w:w="629" w:type="pct"/>
            <w:vMerge w:val="restart"/>
            <w:shd w:val="clear" w:color="auto" w:fill="auto"/>
            <w:vAlign w:val="center"/>
          </w:tcPr>
          <w:p w14:paraId="6F89190A" w14:textId="4F9CCBC7" w:rsidR="00CE76B8" w:rsidRPr="008E65F1" w:rsidRDefault="00CE76B8" w:rsidP="002E1D81">
            <w:pPr>
              <w:keepNext/>
              <w:jc w:val="center"/>
              <w:rPr>
                <w:rFonts w:ascii="Arial Narrow" w:eastAsiaTheme="majorEastAsia" w:hAnsi="Arial Narrow" w:cstheme="majorBidi"/>
                <w:bCs/>
                <w:sz w:val="20"/>
                <w:lang w:val="en-US"/>
              </w:rPr>
            </w:pPr>
            <w:r w:rsidRPr="003C231F">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50" w:id="-1504470773"/>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50" w:id="-1504470773"/>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15"/>
                <w:w w:val="15"/>
                <w:sz w:val="20"/>
                <w:shd w:val="solid" w:color="000000" w:fill="000000"/>
                <w:fitText w:val="50" w:id="-1504470773"/>
                <w:lang w:val="en-US"/>
                <w14:textFill>
                  <w14:solidFill>
                    <w14:srgbClr w14:val="000000">
                      <w14:alpha w14:val="100000"/>
                    </w14:srgbClr>
                  </w14:solidFill>
                </w14:textFill>
              </w:rPr>
              <w:t xml:space="preserve">　</w:t>
            </w:r>
          </w:p>
        </w:tc>
        <w:tc>
          <w:tcPr>
            <w:tcW w:w="550" w:type="pct"/>
            <w:vMerge w:val="restart"/>
            <w:shd w:val="clear" w:color="auto" w:fill="auto"/>
            <w:vAlign w:val="center"/>
          </w:tcPr>
          <w:p w14:paraId="79928985"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vMerge w:val="restart"/>
            <w:shd w:val="clear" w:color="auto" w:fill="auto"/>
            <w:vAlign w:val="center"/>
          </w:tcPr>
          <w:p w14:paraId="05B29AF2" w14:textId="2DA1C7A9"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50" w:id="-1504470772"/>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50" w:id="-1504470772"/>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15"/>
                <w:w w:val="15"/>
                <w:sz w:val="20"/>
                <w:shd w:val="solid" w:color="000000" w:fill="000000"/>
                <w:fitText w:val="50" w:id="-1504470772"/>
                <w:lang w:val="en-US"/>
                <w14:textFill>
                  <w14:solidFill>
                    <w14:srgbClr w14:val="000000">
                      <w14:alpha w14:val="100000"/>
                    </w14:srgbClr>
                  </w14:solidFill>
                </w14:textFill>
              </w:rPr>
              <w:t xml:space="preserve">　</w:t>
            </w:r>
          </w:p>
        </w:tc>
        <w:tc>
          <w:tcPr>
            <w:tcW w:w="601" w:type="pct"/>
            <w:vMerge w:val="restart"/>
            <w:vAlign w:val="center"/>
          </w:tcPr>
          <w:p w14:paraId="2FEEF17C" w14:textId="4A1C726D"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8"/>
                <w:sz w:val="20"/>
                <w:shd w:val="solid" w:color="000000" w:fill="000000"/>
                <w:fitText w:val="80" w:id="-1504470771"/>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8"/>
                <w:sz w:val="20"/>
                <w:shd w:val="solid" w:color="000000" w:fill="000000"/>
                <w:fitText w:val="80" w:id="-1504470771"/>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w w:val="18"/>
                <w:sz w:val="20"/>
                <w:shd w:val="solid" w:color="000000" w:fill="000000"/>
                <w:fitText w:val="80" w:id="-1504470771"/>
                <w:lang w:val="en-US"/>
                <w14:textFill>
                  <w14:solidFill>
                    <w14:srgbClr w14:val="000000">
                      <w14:alpha w14:val="100000"/>
                    </w14:srgbClr>
                  </w14:solidFill>
                </w14:textFill>
              </w:rPr>
              <w:t xml:space="preserve">　</w:t>
            </w:r>
          </w:p>
        </w:tc>
      </w:tr>
      <w:tr w:rsidR="00444918" w:rsidRPr="008E65F1" w14:paraId="2ADAF0FC" w14:textId="77777777" w:rsidTr="00444918">
        <w:trPr>
          <w:cantSplit/>
          <w:trHeight w:val="248"/>
          <w:jc w:val="center"/>
        </w:trPr>
        <w:tc>
          <w:tcPr>
            <w:tcW w:w="705" w:type="pct"/>
            <w:vMerge/>
            <w:shd w:val="clear" w:color="auto" w:fill="auto"/>
            <w:vAlign w:val="center"/>
          </w:tcPr>
          <w:p w14:paraId="76094C94"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5DCBC087" w14:textId="77777777" w:rsidR="00CE76B8" w:rsidRPr="008E65F1" w:rsidRDefault="00CE76B8" w:rsidP="002E1D81">
            <w:pPr>
              <w:keepNext/>
              <w:jc w:val="center"/>
              <w:rPr>
                <w:rFonts w:ascii="Arial Narrow" w:eastAsiaTheme="majorEastAsia" w:hAnsi="Arial Narrow" w:cstheme="majorBidi"/>
                <w:sz w:val="20"/>
                <w:lang w:val="en-US"/>
              </w:rPr>
            </w:pPr>
          </w:p>
        </w:tc>
        <w:tc>
          <w:tcPr>
            <w:tcW w:w="1257" w:type="pct"/>
            <w:gridSpan w:val="2"/>
            <w:shd w:val="clear" w:color="auto" w:fill="auto"/>
            <w:vAlign w:val="center"/>
          </w:tcPr>
          <w:p w14:paraId="6CA5D122" w14:textId="048112F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bCs/>
                <w:color w:val="000000"/>
                <w:sz w:val="20"/>
                <w:shd w:val="solid" w:color="000000" w:fill="000000"/>
                <w:lang w:val="en-US"/>
                <w14:textFill>
                  <w14:solidFill>
                    <w14:srgbClr w14:val="000000">
                      <w14:alpha w14:val="100000"/>
                    </w14:srgbClr>
                  </w14:solidFill>
                </w14:textFill>
              </w:rPr>
              <w:t>|</w:t>
            </w:r>
          </w:p>
        </w:tc>
        <w:tc>
          <w:tcPr>
            <w:tcW w:w="629" w:type="pct"/>
            <w:vMerge/>
            <w:shd w:val="clear" w:color="auto" w:fill="auto"/>
            <w:vAlign w:val="center"/>
          </w:tcPr>
          <w:p w14:paraId="3054FA3E"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4710DDC9"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6D1949E0"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vAlign w:val="center"/>
          </w:tcPr>
          <w:p w14:paraId="7E33F8C1" w14:textId="77777777" w:rsidR="00CE76B8" w:rsidRPr="008E65F1" w:rsidRDefault="00CE76B8" w:rsidP="002E1D81">
            <w:pPr>
              <w:keepNext/>
              <w:jc w:val="center"/>
              <w:rPr>
                <w:rFonts w:ascii="Arial Narrow" w:eastAsiaTheme="majorEastAsia" w:hAnsi="Arial Narrow" w:cstheme="majorBidi"/>
                <w:b/>
                <w:bCs/>
                <w:sz w:val="20"/>
                <w:lang w:val="en-US"/>
              </w:rPr>
            </w:pPr>
          </w:p>
        </w:tc>
      </w:tr>
      <w:tr w:rsidR="00444918" w:rsidRPr="008E65F1" w14:paraId="0FB35B86" w14:textId="77777777" w:rsidTr="00444918">
        <w:trPr>
          <w:cantSplit/>
          <w:trHeight w:val="248"/>
          <w:jc w:val="center"/>
        </w:trPr>
        <w:tc>
          <w:tcPr>
            <w:tcW w:w="705" w:type="pct"/>
            <w:vMerge w:val="restart"/>
            <w:shd w:val="clear" w:color="auto" w:fill="auto"/>
            <w:vAlign w:val="center"/>
          </w:tcPr>
          <w:p w14:paraId="2C5BCA8A" w14:textId="77777777" w:rsidR="00CE76B8" w:rsidRPr="008E65F1" w:rsidRDefault="00CE76B8" w:rsidP="002E1D81">
            <w:pPr>
              <w:keepNext/>
              <w:jc w:val="left"/>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Mean cost/pt</w:t>
            </w:r>
          </w:p>
        </w:tc>
        <w:tc>
          <w:tcPr>
            <w:tcW w:w="629" w:type="pct"/>
            <w:vMerge w:val="restart"/>
            <w:shd w:val="clear" w:color="auto" w:fill="auto"/>
            <w:vAlign w:val="center"/>
          </w:tcPr>
          <w:p w14:paraId="5875E58D" w14:textId="799BDFC4" w:rsidR="00CE76B8" w:rsidRPr="008E65F1" w:rsidRDefault="00603243"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c>
          <w:tcPr>
            <w:tcW w:w="629" w:type="pct"/>
            <w:shd w:val="clear" w:color="auto" w:fill="auto"/>
            <w:vAlign w:val="center"/>
          </w:tcPr>
          <w:p w14:paraId="3DF42EC2" w14:textId="0781E394"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50" w:id="-1504470770"/>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50" w:id="-1504470770"/>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15"/>
                <w:w w:val="15"/>
                <w:sz w:val="20"/>
                <w:shd w:val="solid" w:color="000000" w:fill="000000"/>
                <w:fitText w:val="50" w:id="-1504470770"/>
                <w:lang w:val="en-US"/>
                <w14:textFill>
                  <w14:solidFill>
                    <w14:srgbClr w14:val="000000">
                      <w14:alpha w14:val="100000"/>
                    </w14:srgbClr>
                  </w14:solidFill>
                </w14:textFill>
              </w:rPr>
              <w:t xml:space="preserve">　</w:t>
            </w:r>
          </w:p>
        </w:tc>
        <w:tc>
          <w:tcPr>
            <w:tcW w:w="628" w:type="pct"/>
            <w:vAlign w:val="center"/>
          </w:tcPr>
          <w:p w14:paraId="5BB2AED4" w14:textId="553D7656"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60" w:id="-1504470769"/>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60" w:id="-1504470769"/>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5"/>
                <w:w w:val="15"/>
                <w:sz w:val="20"/>
                <w:shd w:val="solid" w:color="000000" w:fill="000000"/>
                <w:fitText w:val="60" w:id="-1504470769"/>
                <w:lang w:val="en-US"/>
                <w14:textFill>
                  <w14:solidFill>
                    <w14:srgbClr w14:val="000000">
                      <w14:alpha w14:val="100000"/>
                    </w14:srgbClr>
                  </w14:solidFill>
                </w14:textFill>
              </w:rPr>
              <w:t xml:space="preserve">　</w:t>
            </w:r>
          </w:p>
        </w:tc>
        <w:tc>
          <w:tcPr>
            <w:tcW w:w="629" w:type="pct"/>
            <w:vMerge w:val="restart"/>
            <w:shd w:val="clear" w:color="auto" w:fill="auto"/>
            <w:vAlign w:val="center"/>
          </w:tcPr>
          <w:p w14:paraId="70E9D97F" w14:textId="546A5110" w:rsidR="00CE76B8" w:rsidRPr="008E65F1" w:rsidRDefault="0044491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550" w:type="pct"/>
            <w:vMerge w:val="restart"/>
            <w:shd w:val="clear" w:color="auto" w:fill="auto"/>
            <w:vAlign w:val="center"/>
          </w:tcPr>
          <w:p w14:paraId="5649DF36" w14:textId="77777777"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p>
        </w:tc>
        <w:tc>
          <w:tcPr>
            <w:tcW w:w="629" w:type="pct"/>
            <w:vMerge w:val="restart"/>
            <w:shd w:val="clear" w:color="auto" w:fill="auto"/>
            <w:vAlign w:val="center"/>
          </w:tcPr>
          <w:p w14:paraId="6B05010B" w14:textId="393043CB"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35108E">
              <w:rPr>
                <w:rFonts w:ascii="Arial Narrow" w:eastAsiaTheme="majorEastAsia" w:hAnsi="Arial Narrow" w:cstheme="majorBidi" w:hint="eastAsia"/>
                <w:bCs/>
                <w:color w:val="000000"/>
                <w:w w:val="15"/>
                <w:sz w:val="20"/>
                <w:shd w:val="solid" w:color="000000" w:fill="000000"/>
                <w:fitText w:val="50" w:id="-1504470768"/>
                <w:lang w:val="en-US"/>
                <w14:textFill>
                  <w14:solidFill>
                    <w14:srgbClr w14:val="000000">
                      <w14:alpha w14:val="100000"/>
                    </w14:srgbClr>
                  </w14:solidFill>
                </w14:textFill>
              </w:rPr>
              <w:t xml:space="preserve">　</w:t>
            </w:r>
            <w:r w:rsidR="00B355AE" w:rsidRPr="0035108E">
              <w:rPr>
                <w:rFonts w:ascii="Arial Narrow" w:eastAsiaTheme="majorEastAsia" w:hAnsi="Arial Narrow" w:cstheme="majorBidi"/>
                <w:bCs/>
                <w:color w:val="000000"/>
                <w:w w:val="15"/>
                <w:sz w:val="20"/>
                <w:shd w:val="solid" w:color="000000" w:fill="000000"/>
                <w:fitText w:val="50" w:id="-1504470768"/>
                <w:lang w:val="en-US"/>
                <w14:textFill>
                  <w14:solidFill>
                    <w14:srgbClr w14:val="000000">
                      <w14:alpha w14:val="100000"/>
                    </w14:srgbClr>
                  </w14:solidFill>
                </w14:textFill>
              </w:rPr>
              <w:t>|</w:t>
            </w:r>
            <w:r w:rsidR="00B355AE" w:rsidRPr="0035108E">
              <w:rPr>
                <w:rFonts w:ascii="Arial Narrow" w:eastAsiaTheme="majorEastAsia" w:hAnsi="Arial Narrow" w:cstheme="majorBidi" w:hint="eastAsia"/>
                <w:bCs/>
                <w:color w:val="000000"/>
                <w:spacing w:val="-15"/>
                <w:w w:val="15"/>
                <w:sz w:val="20"/>
                <w:shd w:val="solid" w:color="000000" w:fill="000000"/>
                <w:fitText w:val="50" w:id="-1504470768"/>
                <w:lang w:val="en-US"/>
                <w14:textFill>
                  <w14:solidFill>
                    <w14:srgbClr w14:val="000000">
                      <w14:alpha w14:val="100000"/>
                    </w14:srgbClr>
                  </w14:solidFill>
                </w14:textFill>
              </w:rPr>
              <w:t xml:space="preserve">　</w:t>
            </w:r>
          </w:p>
        </w:tc>
        <w:tc>
          <w:tcPr>
            <w:tcW w:w="601" w:type="pct"/>
            <w:vMerge w:val="restart"/>
            <w:vAlign w:val="center"/>
          </w:tcPr>
          <w:p w14:paraId="3A05E873" w14:textId="77777777" w:rsidR="00CE76B8" w:rsidRPr="008E65F1" w:rsidRDefault="00CE76B8" w:rsidP="002E1D81">
            <w:pPr>
              <w:keepNext/>
              <w:jc w:val="center"/>
              <w:rPr>
                <w:rFonts w:ascii="Arial Narrow" w:eastAsiaTheme="majorEastAsia" w:hAnsi="Arial Narrow" w:cstheme="majorBidi"/>
                <w:sz w:val="20"/>
                <w:lang w:val="en-US"/>
              </w:rPr>
            </w:pPr>
            <w:r w:rsidRPr="008E65F1">
              <w:rPr>
                <w:rFonts w:ascii="Arial Narrow" w:eastAsiaTheme="majorEastAsia" w:hAnsi="Arial Narrow" w:cstheme="majorBidi"/>
                <w:sz w:val="20"/>
                <w:lang w:val="en-US"/>
              </w:rPr>
              <w:t>-</w:t>
            </w:r>
          </w:p>
        </w:tc>
      </w:tr>
      <w:tr w:rsidR="00444918" w:rsidRPr="008E65F1" w14:paraId="7AEE3D01" w14:textId="77777777" w:rsidTr="00444918">
        <w:trPr>
          <w:cantSplit/>
          <w:trHeight w:val="248"/>
          <w:jc w:val="center"/>
        </w:trPr>
        <w:tc>
          <w:tcPr>
            <w:tcW w:w="705" w:type="pct"/>
            <w:vMerge/>
            <w:shd w:val="clear" w:color="auto" w:fill="auto"/>
            <w:vAlign w:val="center"/>
          </w:tcPr>
          <w:p w14:paraId="6ECACBB0" w14:textId="77777777" w:rsidR="00CE76B8" w:rsidRPr="008E65F1" w:rsidRDefault="00CE76B8" w:rsidP="002E1D81">
            <w:pPr>
              <w:keepNext/>
              <w:jc w:val="left"/>
              <w:rPr>
                <w:rFonts w:ascii="Arial Narrow" w:eastAsiaTheme="majorEastAsia" w:hAnsi="Arial Narrow" w:cstheme="majorBidi"/>
                <w:bCs/>
                <w:sz w:val="20"/>
                <w:lang w:val="en-US"/>
              </w:rPr>
            </w:pPr>
          </w:p>
        </w:tc>
        <w:tc>
          <w:tcPr>
            <w:tcW w:w="629" w:type="pct"/>
            <w:vMerge/>
            <w:shd w:val="clear" w:color="auto" w:fill="auto"/>
            <w:vAlign w:val="center"/>
          </w:tcPr>
          <w:p w14:paraId="74F51EFD" w14:textId="77777777" w:rsidR="00CE76B8" w:rsidRPr="008E65F1" w:rsidRDefault="00CE76B8" w:rsidP="002E1D81">
            <w:pPr>
              <w:keepNext/>
              <w:jc w:val="center"/>
              <w:rPr>
                <w:rFonts w:ascii="Arial Narrow" w:eastAsiaTheme="majorEastAsia" w:hAnsi="Arial Narrow" w:cstheme="majorBidi"/>
                <w:b/>
                <w:bCs/>
                <w:sz w:val="20"/>
                <w:lang w:val="en-US"/>
              </w:rPr>
            </w:pPr>
          </w:p>
        </w:tc>
        <w:tc>
          <w:tcPr>
            <w:tcW w:w="1257" w:type="pct"/>
            <w:gridSpan w:val="2"/>
            <w:shd w:val="clear" w:color="auto" w:fill="auto"/>
            <w:vAlign w:val="center"/>
          </w:tcPr>
          <w:p w14:paraId="7AB2BA15" w14:textId="0B5E0B04" w:rsidR="00CE76B8" w:rsidRPr="008E65F1" w:rsidRDefault="00CE76B8" w:rsidP="002E1D81">
            <w:pPr>
              <w:keepNext/>
              <w:jc w:val="center"/>
              <w:rPr>
                <w:rFonts w:ascii="Arial Narrow" w:eastAsiaTheme="majorEastAsia" w:hAnsi="Arial Narrow" w:cstheme="majorBidi"/>
                <w:bCs/>
                <w:sz w:val="20"/>
                <w:lang w:val="en-US"/>
              </w:rPr>
            </w:pPr>
            <w:r w:rsidRPr="008E65F1">
              <w:rPr>
                <w:rFonts w:ascii="Arial Narrow" w:eastAsiaTheme="majorEastAsia" w:hAnsi="Arial Narrow" w:cstheme="majorBidi"/>
                <w:bCs/>
                <w:sz w:val="20"/>
                <w:lang w:val="en-US"/>
              </w:rPr>
              <w:t>$</w:t>
            </w:r>
            <w:r w:rsidR="00B355AE" w:rsidRPr="00B355AE">
              <w:rPr>
                <w:rFonts w:ascii="Arial Narrow" w:eastAsiaTheme="majorEastAsia" w:hAnsi="Arial Narrow" w:cstheme="majorBidi"/>
                <w:bCs/>
                <w:color w:val="000000"/>
                <w:sz w:val="20"/>
                <w:shd w:val="solid" w:color="000000" w:fill="000000"/>
                <w:lang w:val="en-US"/>
                <w14:textFill>
                  <w14:solidFill>
                    <w14:srgbClr w14:val="000000">
                      <w14:alpha w14:val="100000"/>
                    </w14:srgbClr>
                  </w14:solidFill>
                </w14:textFill>
              </w:rPr>
              <w:t>|</w:t>
            </w:r>
          </w:p>
        </w:tc>
        <w:tc>
          <w:tcPr>
            <w:tcW w:w="629" w:type="pct"/>
            <w:vMerge/>
            <w:shd w:val="clear" w:color="auto" w:fill="auto"/>
            <w:vAlign w:val="center"/>
          </w:tcPr>
          <w:p w14:paraId="3599A04E"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550" w:type="pct"/>
            <w:vMerge/>
            <w:shd w:val="clear" w:color="auto" w:fill="auto"/>
            <w:vAlign w:val="center"/>
          </w:tcPr>
          <w:p w14:paraId="61A7A0BB"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29" w:type="pct"/>
            <w:vMerge/>
            <w:shd w:val="clear" w:color="auto" w:fill="auto"/>
            <w:vAlign w:val="center"/>
          </w:tcPr>
          <w:p w14:paraId="76CE2250" w14:textId="77777777" w:rsidR="00CE76B8" w:rsidRPr="008E65F1" w:rsidRDefault="00CE76B8" w:rsidP="002E1D81">
            <w:pPr>
              <w:keepNext/>
              <w:jc w:val="center"/>
              <w:rPr>
                <w:rFonts w:ascii="Arial Narrow" w:eastAsiaTheme="majorEastAsia" w:hAnsi="Arial Narrow" w:cstheme="majorBidi"/>
                <w:bCs/>
                <w:sz w:val="20"/>
                <w:lang w:val="en-US"/>
              </w:rPr>
            </w:pPr>
          </w:p>
        </w:tc>
        <w:tc>
          <w:tcPr>
            <w:tcW w:w="601" w:type="pct"/>
            <w:vMerge/>
          </w:tcPr>
          <w:p w14:paraId="5D0744FB" w14:textId="77777777" w:rsidR="00CE76B8" w:rsidRPr="008E65F1" w:rsidRDefault="00CE76B8" w:rsidP="002E1D81">
            <w:pPr>
              <w:keepNext/>
              <w:jc w:val="center"/>
              <w:rPr>
                <w:rFonts w:ascii="Arial Narrow" w:eastAsiaTheme="majorEastAsia" w:hAnsi="Arial Narrow" w:cstheme="majorBidi"/>
                <w:b/>
                <w:bCs/>
                <w:sz w:val="20"/>
                <w:lang w:val="en-US"/>
              </w:rPr>
            </w:pPr>
          </w:p>
        </w:tc>
      </w:tr>
    </w:tbl>
    <w:p w14:paraId="20A737D1" w14:textId="77777777" w:rsidR="00CE76B8" w:rsidRPr="008E65F1" w:rsidRDefault="00CE76B8" w:rsidP="002E1D81">
      <w:pPr>
        <w:spacing w:after="120"/>
        <w:contextualSpacing/>
        <w:rPr>
          <w:rFonts w:ascii="Arial Narrow" w:hAnsi="Arial Narrow"/>
          <w:snapToGrid w:val="0"/>
          <w:sz w:val="18"/>
          <w:szCs w:val="22"/>
        </w:rPr>
      </w:pPr>
      <w:r w:rsidRPr="008E65F1">
        <w:rPr>
          <w:rFonts w:ascii="Arial Narrow" w:hAnsi="Arial Narrow"/>
          <w:snapToGrid w:val="0"/>
          <w:sz w:val="18"/>
          <w:szCs w:val="22"/>
        </w:rPr>
        <w:t>Italics indicates results calculated during the evaluation</w:t>
      </w:r>
    </w:p>
    <w:p w14:paraId="4A15087E" w14:textId="6B96AAA8" w:rsidR="00CE76B8" w:rsidRPr="008E65F1" w:rsidRDefault="00CE76B8" w:rsidP="002E1D81">
      <w:pPr>
        <w:spacing w:after="120"/>
        <w:contextualSpacing/>
        <w:rPr>
          <w:rFonts w:ascii="Arial Narrow" w:hAnsi="Arial Narrow"/>
          <w:snapToGrid w:val="0"/>
          <w:sz w:val="18"/>
          <w:szCs w:val="22"/>
        </w:rPr>
      </w:pPr>
      <w:r w:rsidRPr="008E65F1">
        <w:rPr>
          <w:rFonts w:ascii="Arial Narrow" w:hAnsi="Arial Narrow"/>
          <w:snapToGrid w:val="0"/>
          <w:sz w:val="18"/>
          <w:szCs w:val="22"/>
        </w:rPr>
        <w:t xml:space="preserve">Source: compiled during the evaluation based on Section 3.1 &amp; 3.2 Workbooks accompanying the </w:t>
      </w:r>
      <w:r w:rsidR="00C86DB7" w:rsidRPr="008E65F1">
        <w:rPr>
          <w:rFonts w:ascii="Arial Narrow" w:hAnsi="Arial Narrow"/>
          <w:snapToGrid w:val="0"/>
          <w:sz w:val="18"/>
          <w:szCs w:val="22"/>
        </w:rPr>
        <w:t>re</w:t>
      </w:r>
      <w:r w:rsidRPr="008E65F1">
        <w:rPr>
          <w:rFonts w:ascii="Arial Narrow" w:hAnsi="Arial Narrow"/>
          <w:snapToGrid w:val="0"/>
          <w:sz w:val="18"/>
          <w:szCs w:val="22"/>
        </w:rPr>
        <w:t xml:space="preserve">submission. </w:t>
      </w:r>
    </w:p>
    <w:p w14:paraId="23F3B320" w14:textId="3F3F2C9B" w:rsidR="00CE76B8" w:rsidRPr="008E65F1" w:rsidRDefault="00CE76B8" w:rsidP="002E1D81">
      <w:pPr>
        <w:spacing w:after="120"/>
        <w:contextualSpacing/>
        <w:rPr>
          <w:rFonts w:ascii="Arial Narrow" w:hAnsi="Arial Narrow"/>
          <w:snapToGrid w:val="0"/>
          <w:sz w:val="18"/>
          <w:szCs w:val="22"/>
        </w:rPr>
      </w:pPr>
      <w:r w:rsidRPr="008E65F1">
        <w:rPr>
          <w:rFonts w:ascii="Arial Narrow" w:hAnsi="Arial Narrow"/>
          <w:snapToGrid w:val="0"/>
          <w:sz w:val="18"/>
          <w:szCs w:val="22"/>
        </w:rPr>
        <w:t xml:space="preserve">pt=patient; </w:t>
      </w:r>
      <w:r w:rsidR="00402675" w:rsidRPr="008E65F1">
        <w:rPr>
          <w:rFonts w:ascii="Arial Narrow" w:hAnsi="Arial Narrow"/>
          <w:snapToGrid w:val="0"/>
          <w:sz w:val="18"/>
          <w:szCs w:val="22"/>
        </w:rPr>
        <w:t xml:space="preserve">NE=not estimable; </w:t>
      </w:r>
      <w:r w:rsidRPr="008E65F1">
        <w:rPr>
          <w:rFonts w:ascii="Arial Narrow" w:hAnsi="Arial Narrow"/>
          <w:snapToGrid w:val="0"/>
          <w:sz w:val="18"/>
          <w:szCs w:val="22"/>
        </w:rPr>
        <w:t>Q2W=every 2 weeks; Q4W=every 4 weeks; TH=time horizon; yr=year.</w:t>
      </w:r>
    </w:p>
    <w:p w14:paraId="572B94EF" w14:textId="77777777" w:rsidR="00CE76B8" w:rsidRPr="008E65F1" w:rsidRDefault="00CE76B8" w:rsidP="002E1D81">
      <w:pPr>
        <w:spacing w:after="120"/>
        <w:ind w:left="165" w:hanging="165"/>
        <w:contextualSpacing/>
        <w:rPr>
          <w:rFonts w:ascii="Arial Narrow" w:hAnsi="Arial Narrow"/>
          <w:snapToGrid w:val="0"/>
          <w:sz w:val="18"/>
          <w:szCs w:val="22"/>
        </w:rPr>
      </w:pPr>
      <w:r w:rsidRPr="008E65F1">
        <w:rPr>
          <w:rFonts w:ascii="Arial Narrow" w:hAnsi="Arial Narrow"/>
          <w:snapToGrid w:val="0"/>
          <w:sz w:val="18"/>
          <w:szCs w:val="22"/>
          <w:vertAlign w:val="superscript"/>
        </w:rPr>
        <w:t>a</w:t>
      </w:r>
      <w:r w:rsidRPr="008E65F1">
        <w:rPr>
          <w:rFonts w:ascii="Arial Narrow" w:hAnsi="Arial Narrow"/>
          <w:snapToGrid w:val="0"/>
          <w:sz w:val="18"/>
          <w:szCs w:val="22"/>
        </w:rPr>
        <w:tab/>
        <w:t>All costs undiscounted without statutory anniversary price reductions applied. BUR dosing rounded to nearest 10mg. Administration costs for BUR not included. All treatment durations adjusted for mortality and treatment discontinuation.</w:t>
      </w:r>
    </w:p>
    <w:p w14:paraId="3DFD8B83" w14:textId="41256613" w:rsidR="00CE76B8" w:rsidRPr="008E65F1" w:rsidRDefault="00CE76B8" w:rsidP="002E1D81">
      <w:pPr>
        <w:ind w:left="165" w:hanging="165"/>
        <w:contextualSpacing/>
        <w:rPr>
          <w:rFonts w:ascii="Arial Narrow" w:hAnsi="Arial Narrow"/>
          <w:snapToGrid w:val="0"/>
          <w:sz w:val="18"/>
          <w:szCs w:val="22"/>
        </w:rPr>
      </w:pPr>
      <w:r w:rsidRPr="008E65F1">
        <w:rPr>
          <w:rFonts w:ascii="Arial Narrow" w:hAnsi="Arial Narrow"/>
          <w:snapToGrid w:val="0"/>
          <w:sz w:val="18"/>
          <w:szCs w:val="22"/>
          <w:vertAlign w:val="superscript"/>
        </w:rPr>
        <w:t>b</w:t>
      </w:r>
      <w:r w:rsidRPr="008E65F1">
        <w:rPr>
          <w:rFonts w:ascii="Arial Narrow" w:hAnsi="Arial Narrow"/>
          <w:snapToGrid w:val="0"/>
          <w:sz w:val="18"/>
          <w:szCs w:val="22"/>
          <w:vertAlign w:val="superscript"/>
        </w:rPr>
        <w:tab/>
      </w:r>
      <w:r w:rsidRPr="008E65F1">
        <w:rPr>
          <w:rFonts w:ascii="Arial Narrow" w:hAnsi="Arial Narrow"/>
          <w:sz w:val="18"/>
          <w:szCs w:val="22"/>
        </w:rPr>
        <w:t>Paediatric model assumes uptake of 80% at age 18, 60% at age 20, 50% at ages 30-59, 0% at 60+. Mean dose differed by age: 18-34</w:t>
      </w:r>
      <w:r w:rsidR="00833635">
        <w:rPr>
          <w:rFonts w:ascii="Arial Narrow" w:hAnsi="Arial Narrow"/>
          <w:sz w:val="18"/>
          <w:szCs w:val="22"/>
        </w:rPr>
        <w:t xml:space="preserve"> </w:t>
      </w:r>
      <w:r w:rsidRPr="008E65F1">
        <w:rPr>
          <w:rFonts w:ascii="Arial Narrow" w:hAnsi="Arial Narrow"/>
          <w:sz w:val="18"/>
          <w:szCs w:val="22"/>
        </w:rPr>
        <w:t>years: 70 mg, 35-64</w:t>
      </w:r>
      <w:r w:rsidR="00833635">
        <w:rPr>
          <w:rFonts w:ascii="Arial Narrow" w:hAnsi="Arial Narrow"/>
          <w:sz w:val="18"/>
          <w:szCs w:val="22"/>
        </w:rPr>
        <w:t xml:space="preserve"> </w:t>
      </w:r>
      <w:r w:rsidRPr="008E65F1">
        <w:rPr>
          <w:rFonts w:ascii="Arial Narrow" w:hAnsi="Arial Narrow"/>
          <w:sz w:val="18"/>
          <w:szCs w:val="22"/>
        </w:rPr>
        <w:t>years:80mg, 65+</w:t>
      </w:r>
      <w:r w:rsidR="00833635">
        <w:rPr>
          <w:rFonts w:ascii="Arial Narrow" w:hAnsi="Arial Narrow"/>
          <w:sz w:val="18"/>
          <w:szCs w:val="22"/>
        </w:rPr>
        <w:t xml:space="preserve"> </w:t>
      </w:r>
      <w:r w:rsidRPr="008E65F1">
        <w:rPr>
          <w:rFonts w:ascii="Arial Narrow" w:hAnsi="Arial Narrow"/>
          <w:sz w:val="18"/>
          <w:szCs w:val="22"/>
        </w:rPr>
        <w:t>years:70mg every 28 days. Starting age is 7.</w:t>
      </w:r>
    </w:p>
    <w:p w14:paraId="42DDEFA4" w14:textId="3B4862FA" w:rsidR="00CE76B8" w:rsidRDefault="00CE76B8" w:rsidP="002E1D81">
      <w:pPr>
        <w:ind w:left="165" w:hanging="165"/>
        <w:contextualSpacing/>
        <w:rPr>
          <w:rFonts w:ascii="Arial Narrow" w:hAnsi="Arial Narrow"/>
          <w:sz w:val="18"/>
          <w:szCs w:val="22"/>
        </w:rPr>
      </w:pPr>
      <w:r w:rsidRPr="008E65F1">
        <w:rPr>
          <w:rFonts w:ascii="Arial Narrow" w:hAnsi="Arial Narrow"/>
          <w:sz w:val="18"/>
          <w:szCs w:val="22"/>
          <w:vertAlign w:val="superscript"/>
        </w:rPr>
        <w:t>c</w:t>
      </w:r>
      <w:r w:rsidRPr="008E65F1">
        <w:rPr>
          <w:rFonts w:ascii="Arial Narrow" w:hAnsi="Arial Narrow"/>
          <w:sz w:val="18"/>
          <w:szCs w:val="22"/>
        </w:rPr>
        <w:tab/>
        <w:t>Adult model assumes discontinuation rate of 7% in Year 1 and 1% every subsequent year. Mean dose based on 70mg every 28 days. Starting age is 40.</w:t>
      </w:r>
    </w:p>
    <w:p w14:paraId="6309DB72" w14:textId="534AC376" w:rsidR="00247040" w:rsidRPr="008E65F1" w:rsidRDefault="00247040" w:rsidP="002E1D81">
      <w:pPr>
        <w:ind w:left="165" w:hanging="165"/>
        <w:contextualSpacing/>
        <w:rPr>
          <w:rFonts w:ascii="Arial Narrow" w:hAnsi="Arial Narrow"/>
          <w:sz w:val="18"/>
          <w:szCs w:val="22"/>
        </w:rPr>
      </w:pPr>
      <w:r>
        <w:rPr>
          <w:rFonts w:ascii="Arial Narrow" w:hAnsi="Arial Narrow"/>
          <w:sz w:val="18"/>
          <w:szCs w:val="22"/>
          <w:vertAlign w:val="superscript"/>
        </w:rPr>
        <w:t>d</w:t>
      </w:r>
      <w:r>
        <w:rPr>
          <w:rFonts w:ascii="Arial Narrow" w:hAnsi="Arial Narrow"/>
          <w:sz w:val="18"/>
          <w:szCs w:val="22"/>
        </w:rPr>
        <w:t xml:space="preserve"> </w:t>
      </w:r>
      <w:r>
        <w:rPr>
          <w:rFonts w:ascii="Arial Narrow" w:hAnsi="Arial Narrow"/>
          <w:sz w:val="18"/>
          <w:szCs w:val="22"/>
          <w:vertAlign w:val="superscript"/>
        </w:rPr>
        <w:t xml:space="preserve"> </w:t>
      </w:r>
      <w:r w:rsidRPr="00DC658E">
        <w:rPr>
          <w:rFonts w:ascii="Arial Narrow" w:hAnsi="Arial Narrow"/>
          <w:sz w:val="18"/>
          <w:szCs w:val="22"/>
        </w:rPr>
        <w:t>The mean treatment duration for combined double-blind and open-label periods</w:t>
      </w:r>
      <w:r>
        <w:rPr>
          <w:rFonts w:ascii="Arial Narrow" w:hAnsi="Arial Narrow"/>
          <w:sz w:val="18"/>
          <w:szCs w:val="22"/>
        </w:rPr>
        <w:t xml:space="preserve"> </w:t>
      </w:r>
      <w:r w:rsidRPr="00DC658E">
        <w:rPr>
          <w:rFonts w:ascii="Arial Narrow" w:hAnsi="Arial Narrow"/>
          <w:sz w:val="18"/>
          <w:szCs w:val="22"/>
        </w:rPr>
        <w:t>through to end of study (Week 0 to EOS II)</w:t>
      </w:r>
    </w:p>
    <w:p w14:paraId="573F3241" w14:textId="693C74E0" w:rsidR="00CE76B8" w:rsidRPr="008E65F1" w:rsidRDefault="00247040" w:rsidP="002E1D81">
      <w:pPr>
        <w:ind w:left="165" w:hanging="165"/>
        <w:contextualSpacing/>
        <w:rPr>
          <w:rFonts w:ascii="Arial Narrow" w:hAnsi="Arial Narrow"/>
          <w:sz w:val="18"/>
          <w:szCs w:val="22"/>
        </w:rPr>
      </w:pPr>
      <w:r>
        <w:rPr>
          <w:rFonts w:ascii="Arial Narrow" w:hAnsi="Arial Narrow"/>
          <w:sz w:val="18"/>
          <w:szCs w:val="22"/>
          <w:vertAlign w:val="superscript"/>
        </w:rPr>
        <w:t>e</w:t>
      </w:r>
      <w:r w:rsidR="00CE76B8" w:rsidRPr="008E65F1">
        <w:rPr>
          <w:rFonts w:ascii="Arial Narrow" w:hAnsi="Arial Narrow"/>
          <w:sz w:val="18"/>
          <w:szCs w:val="22"/>
        </w:rPr>
        <w:tab/>
        <w:t>Financials did not follow a group of initiating patients each year, rather each year the prevalent population was estimated and assumed to receive treatment for a full year</w:t>
      </w:r>
    </w:p>
    <w:p w14:paraId="2E77D2FD" w14:textId="1DB9332E" w:rsidR="00CE76B8" w:rsidRDefault="00CE76B8" w:rsidP="002E1D81">
      <w:pPr>
        <w:ind w:left="165" w:hanging="165"/>
        <w:contextualSpacing/>
        <w:rPr>
          <w:rFonts w:ascii="Arial Narrow" w:hAnsi="Arial Narrow"/>
          <w:sz w:val="18"/>
          <w:szCs w:val="22"/>
        </w:rPr>
      </w:pPr>
      <w:r>
        <w:rPr>
          <w:rFonts w:ascii="Arial Narrow" w:hAnsi="Arial Narrow"/>
          <w:sz w:val="18"/>
          <w:szCs w:val="22"/>
        </w:rPr>
        <w:tab/>
      </w:r>
    </w:p>
    <w:p w14:paraId="45E5F28D" w14:textId="77777777" w:rsidR="00CE76B8" w:rsidRPr="00C9624D" w:rsidRDefault="00CE76B8" w:rsidP="002E1D81">
      <w:pPr>
        <w:pStyle w:val="4-SubsectionHeading"/>
      </w:pPr>
      <w:r w:rsidRPr="002163CA">
        <w:t xml:space="preserve"> </w:t>
      </w:r>
      <w:bookmarkStart w:id="58" w:name="_Toc22897647"/>
      <w:bookmarkStart w:id="59" w:name="_Toc92386486"/>
      <w:bookmarkStart w:id="60" w:name="_Toc93406136"/>
      <w:r w:rsidRPr="00C9624D">
        <w:t>Estimated PBS usage &amp; financial implications</w:t>
      </w:r>
      <w:bookmarkEnd w:id="58"/>
      <w:bookmarkEnd w:id="59"/>
      <w:bookmarkEnd w:id="60"/>
    </w:p>
    <w:p w14:paraId="38FFFFF7" w14:textId="2D12A5DC" w:rsidR="00603243" w:rsidRPr="008E65F1" w:rsidRDefault="00CE76B8" w:rsidP="00CE76B8">
      <w:pPr>
        <w:pStyle w:val="3-BodyText"/>
      </w:pPr>
      <w:r w:rsidRPr="008E65F1">
        <w:t xml:space="preserve">This resubmission </w:t>
      </w:r>
      <w:r w:rsidR="005C447D">
        <w:t>was</w:t>
      </w:r>
      <w:r w:rsidR="005C447D" w:rsidRPr="008E65F1">
        <w:t xml:space="preserve"> </w:t>
      </w:r>
      <w:r w:rsidRPr="008E65F1">
        <w:t xml:space="preserve">not considered by DUSC. </w:t>
      </w:r>
    </w:p>
    <w:p w14:paraId="2196DF5F" w14:textId="0370F30E" w:rsidR="00CE76B8" w:rsidRPr="008E65F1" w:rsidRDefault="00CE76B8" w:rsidP="00CE76B8">
      <w:pPr>
        <w:pStyle w:val="3-BodyText"/>
      </w:pPr>
      <w:r w:rsidRPr="008E65F1">
        <w:lastRenderedPageBreak/>
        <w:t xml:space="preserve">As with the March 2021 submission, the resubmission estimated the financial implications using an epidemiological approach based on data of XLH prevalence from the UK General Practice Research Database Study, which was considered </w:t>
      </w:r>
      <w:r w:rsidR="004765A2">
        <w:t xml:space="preserve">by the resubmission to be </w:t>
      </w:r>
      <w:r w:rsidRPr="008E65F1">
        <w:t>consistent with the Australian setting. The resubmission assumed burosumab would only substitute for conventional therapy comprising oral phosphorus and calcitriol, with a small cost-offset, and all paediatric patients and a proportion (70.1%) of adult patients commencing burosumab will continue treatment with 100% compliance.</w:t>
      </w:r>
    </w:p>
    <w:p w14:paraId="1C217FD0" w14:textId="656B464D" w:rsidR="00D172FD" w:rsidRPr="008E65F1" w:rsidRDefault="002E0E53" w:rsidP="00CE76B8">
      <w:pPr>
        <w:pStyle w:val="3-BodyText"/>
      </w:pPr>
      <w:r>
        <w:fldChar w:fldCharType="begin"/>
      </w:r>
      <w:r>
        <w:instrText xml:space="preserve"> REF _Ref100570452 \h  \* MERGEFORMAT </w:instrText>
      </w:r>
      <w:r>
        <w:fldChar w:fldCharType="separate"/>
      </w:r>
      <w:r w:rsidR="00676539" w:rsidRPr="00676539">
        <w:t>Table 22</w:t>
      </w:r>
      <w:r>
        <w:fldChar w:fldCharType="end"/>
      </w:r>
      <w:r>
        <w:t xml:space="preserve"> </w:t>
      </w:r>
      <w:r w:rsidR="00CE76B8" w:rsidRPr="008E65F1">
        <w:t>summarises the key inputs in the financial estimates.</w:t>
      </w:r>
    </w:p>
    <w:p w14:paraId="1673C6C0" w14:textId="597A2639" w:rsidR="00CE76B8" w:rsidRPr="00D4558F" w:rsidRDefault="00C06B83" w:rsidP="002E1D81">
      <w:pPr>
        <w:pStyle w:val="TableFigureHeading"/>
        <w:keepLines/>
        <w:rPr>
          <w:rStyle w:val="CommentReference"/>
          <w:b/>
          <w:szCs w:val="24"/>
        </w:rPr>
      </w:pPr>
      <w:bookmarkStart w:id="61" w:name="_Ref100570452"/>
      <w:r w:rsidRPr="00C06B83">
        <w:rPr>
          <w:rFonts w:eastAsia="Calibri"/>
          <w:iCs/>
          <w:szCs w:val="18"/>
          <w:lang w:eastAsia="en-US"/>
        </w:rPr>
        <w:t xml:space="preserve">Table </w:t>
      </w:r>
      <w:r w:rsidRPr="00C06B83">
        <w:rPr>
          <w:rFonts w:eastAsia="Calibri"/>
          <w:iCs/>
          <w:szCs w:val="18"/>
          <w:lang w:eastAsia="en-US"/>
        </w:rPr>
        <w:fldChar w:fldCharType="begin"/>
      </w:r>
      <w:r w:rsidRPr="00C06B83">
        <w:rPr>
          <w:rFonts w:eastAsia="Calibri"/>
          <w:iCs/>
          <w:szCs w:val="18"/>
          <w:lang w:eastAsia="en-US"/>
        </w:rPr>
        <w:instrText xml:space="preserve"> SEQ Table \* ARABIC </w:instrText>
      </w:r>
      <w:r w:rsidRPr="00C06B83">
        <w:rPr>
          <w:rFonts w:eastAsia="Calibri"/>
          <w:iCs/>
          <w:szCs w:val="18"/>
          <w:lang w:eastAsia="en-US"/>
        </w:rPr>
        <w:fldChar w:fldCharType="separate"/>
      </w:r>
      <w:r w:rsidR="00676539">
        <w:rPr>
          <w:rFonts w:eastAsia="Calibri"/>
          <w:iCs/>
          <w:noProof/>
          <w:szCs w:val="18"/>
          <w:lang w:eastAsia="en-US"/>
        </w:rPr>
        <w:t>22</w:t>
      </w:r>
      <w:r w:rsidRPr="00C06B83">
        <w:rPr>
          <w:rFonts w:eastAsia="Calibri"/>
          <w:iCs/>
          <w:szCs w:val="18"/>
          <w:lang w:eastAsia="en-US"/>
        </w:rPr>
        <w:fldChar w:fldCharType="end"/>
      </w:r>
      <w:bookmarkEnd w:id="61"/>
      <w:r w:rsidR="00CE76B8" w:rsidRPr="00834293">
        <w:rPr>
          <w:rStyle w:val="CommentReference"/>
          <w:b/>
          <w:szCs w:val="24"/>
        </w:rPr>
        <w:t xml:space="preserve">: </w:t>
      </w:r>
      <w:r w:rsidR="00CE76B8" w:rsidRPr="00D4558F">
        <w:rPr>
          <w:rStyle w:val="CommentReference"/>
          <w:b/>
          <w:szCs w:val="24"/>
        </w:rPr>
        <w:t>Key inputs for financial estimates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Key inputs for financial estimates"/>
      </w:tblPr>
      <w:tblGrid>
        <w:gridCol w:w="1406"/>
        <w:gridCol w:w="3552"/>
        <w:gridCol w:w="4109"/>
      </w:tblGrid>
      <w:tr w:rsidR="00CE76B8" w:rsidRPr="008E65F1" w14:paraId="44D63B04" w14:textId="77777777" w:rsidTr="0095478A">
        <w:trPr>
          <w:cantSplit/>
          <w:tblHeader/>
        </w:trPr>
        <w:tc>
          <w:tcPr>
            <w:tcW w:w="775" w:type="pct"/>
            <w:shd w:val="clear" w:color="auto" w:fill="auto"/>
            <w:vAlign w:val="center"/>
          </w:tcPr>
          <w:p w14:paraId="729C6580" w14:textId="77777777" w:rsidR="00CE76B8" w:rsidRPr="008E65F1" w:rsidRDefault="00CE76B8" w:rsidP="002E1D81">
            <w:pPr>
              <w:pStyle w:val="In-tableHeading"/>
              <w:keepLines/>
              <w:rPr>
                <w:lang w:val="en-AU"/>
              </w:rPr>
            </w:pPr>
            <w:r w:rsidRPr="008E65F1">
              <w:rPr>
                <w:lang w:val="en-AU"/>
              </w:rPr>
              <w:t>Parameter</w:t>
            </w:r>
          </w:p>
        </w:tc>
        <w:tc>
          <w:tcPr>
            <w:tcW w:w="1959" w:type="pct"/>
            <w:shd w:val="clear" w:color="auto" w:fill="auto"/>
            <w:vAlign w:val="center"/>
          </w:tcPr>
          <w:p w14:paraId="74EED0B7" w14:textId="77777777" w:rsidR="00CE76B8" w:rsidRPr="008E65F1" w:rsidRDefault="00CE76B8" w:rsidP="002E1D81">
            <w:pPr>
              <w:pStyle w:val="In-tableHeading"/>
              <w:keepLines/>
              <w:rPr>
                <w:lang w:val="en-AU"/>
              </w:rPr>
            </w:pPr>
            <w:r w:rsidRPr="008E65F1">
              <w:rPr>
                <w:lang w:val="en-AU"/>
              </w:rPr>
              <w:t>Value applied and source</w:t>
            </w:r>
          </w:p>
        </w:tc>
        <w:tc>
          <w:tcPr>
            <w:tcW w:w="2266" w:type="pct"/>
            <w:shd w:val="clear" w:color="auto" w:fill="auto"/>
            <w:vAlign w:val="center"/>
          </w:tcPr>
          <w:p w14:paraId="08C9E802" w14:textId="77777777" w:rsidR="00CE76B8" w:rsidRPr="008E65F1" w:rsidRDefault="00CE76B8" w:rsidP="002E1D81">
            <w:pPr>
              <w:pStyle w:val="In-tableHeading"/>
              <w:keepLines/>
              <w:rPr>
                <w:lang w:val="en-AU"/>
              </w:rPr>
            </w:pPr>
            <w:r w:rsidRPr="008E65F1">
              <w:rPr>
                <w:lang w:val="en-AU"/>
              </w:rPr>
              <w:t>Comment</w:t>
            </w:r>
          </w:p>
        </w:tc>
      </w:tr>
      <w:tr w:rsidR="00CE76B8" w:rsidRPr="008E65F1" w14:paraId="27C4D4F2" w14:textId="77777777" w:rsidTr="0095478A">
        <w:trPr>
          <w:cantSplit/>
        </w:trPr>
        <w:tc>
          <w:tcPr>
            <w:tcW w:w="5000" w:type="pct"/>
            <w:gridSpan w:val="3"/>
            <w:shd w:val="clear" w:color="auto" w:fill="auto"/>
            <w:vAlign w:val="center"/>
          </w:tcPr>
          <w:p w14:paraId="69A2DB52" w14:textId="77777777" w:rsidR="00CE76B8" w:rsidRPr="008E65F1" w:rsidRDefault="00CE76B8" w:rsidP="002E1D81">
            <w:pPr>
              <w:pStyle w:val="In-tableHeading"/>
              <w:keepLines/>
              <w:rPr>
                <w:lang w:val="en-AU"/>
              </w:rPr>
            </w:pPr>
            <w:r w:rsidRPr="008E65F1">
              <w:rPr>
                <w:lang w:val="en-AU"/>
              </w:rPr>
              <w:t>Paediatric population aged 1-17 years</w:t>
            </w:r>
          </w:p>
        </w:tc>
      </w:tr>
      <w:tr w:rsidR="00CE76B8" w:rsidRPr="008E65F1" w14:paraId="6F7D024E" w14:textId="77777777" w:rsidTr="0095478A">
        <w:trPr>
          <w:cantSplit/>
        </w:trPr>
        <w:tc>
          <w:tcPr>
            <w:tcW w:w="775" w:type="pct"/>
            <w:shd w:val="clear" w:color="auto" w:fill="auto"/>
            <w:vAlign w:val="center"/>
          </w:tcPr>
          <w:p w14:paraId="452A20EE" w14:textId="77777777" w:rsidR="00CE76B8" w:rsidRPr="008E65F1" w:rsidRDefault="00CE76B8" w:rsidP="002E1D81">
            <w:pPr>
              <w:pStyle w:val="TableText0"/>
              <w:keepNext w:val="0"/>
              <w:keepLines/>
            </w:pPr>
            <w:r w:rsidRPr="008E65F1">
              <w:t>Prevalent with XLH in paediatrics</w:t>
            </w:r>
          </w:p>
        </w:tc>
        <w:tc>
          <w:tcPr>
            <w:tcW w:w="1959" w:type="pct"/>
            <w:shd w:val="clear" w:color="auto" w:fill="auto"/>
            <w:vAlign w:val="center"/>
          </w:tcPr>
          <w:tbl>
            <w:tblPr>
              <w:tblStyle w:val="TableGrid"/>
              <w:tblW w:w="2950" w:type="dxa"/>
              <w:tblLayout w:type="fixed"/>
              <w:tblCellMar>
                <w:left w:w="28" w:type="dxa"/>
                <w:right w:w="28" w:type="dxa"/>
              </w:tblCellMar>
              <w:tblLook w:val="04A0" w:firstRow="1" w:lastRow="0" w:firstColumn="1" w:lastColumn="0" w:noHBand="0" w:noVBand="1"/>
            </w:tblPr>
            <w:tblGrid>
              <w:gridCol w:w="1390"/>
              <w:gridCol w:w="1560"/>
            </w:tblGrid>
            <w:tr w:rsidR="000635C3" w:rsidRPr="008E65F1" w14:paraId="1781B94C" w14:textId="77777777" w:rsidTr="000635C3">
              <w:tc>
                <w:tcPr>
                  <w:tcW w:w="1390" w:type="dxa"/>
                  <w:vAlign w:val="center"/>
                </w:tcPr>
                <w:p w14:paraId="23664893" w14:textId="56391198" w:rsidR="000635C3" w:rsidRPr="008E65F1" w:rsidRDefault="000635C3" w:rsidP="000635C3">
                  <w:pPr>
                    <w:pStyle w:val="TableText0"/>
                    <w:keepNext w:val="0"/>
                    <w:keepLines/>
                  </w:pPr>
                  <w:r w:rsidRPr="008E65F1">
                    <w:t>Yr 1: 0.00233%</w:t>
                  </w:r>
                </w:p>
              </w:tc>
              <w:tc>
                <w:tcPr>
                  <w:tcW w:w="1560" w:type="dxa"/>
                  <w:vAlign w:val="center"/>
                </w:tcPr>
                <w:p w14:paraId="25FAE594" w14:textId="4BDFDE85" w:rsidR="000635C3" w:rsidRPr="008E65F1" w:rsidRDefault="000635C3" w:rsidP="000635C3">
                  <w:pPr>
                    <w:pStyle w:val="TableText0"/>
                    <w:keepNext w:val="0"/>
                    <w:keepLines/>
                  </w:pPr>
                  <w:r w:rsidRPr="008E65F1">
                    <w:t>Yr 4: 0.00258%</w:t>
                  </w:r>
                </w:p>
              </w:tc>
            </w:tr>
            <w:tr w:rsidR="000635C3" w:rsidRPr="008E65F1" w14:paraId="0C8A9CA7" w14:textId="77777777" w:rsidTr="000635C3">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6AE58AC" w14:textId="766E0A35" w:rsidR="000635C3" w:rsidRPr="008E65F1" w:rsidRDefault="000635C3" w:rsidP="000635C3">
                  <w:pPr>
                    <w:pStyle w:val="TableText0"/>
                    <w:keepNext w:val="0"/>
                    <w:keepLines/>
                  </w:pPr>
                  <w:r w:rsidRPr="008E65F1">
                    <w:t>Yr 2: 0.00241%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8CA3F0" w14:textId="7B1B1B83" w:rsidR="000635C3" w:rsidRPr="008E65F1" w:rsidRDefault="000635C3" w:rsidP="000635C3">
                  <w:pPr>
                    <w:pStyle w:val="TableText0"/>
                    <w:keepNext w:val="0"/>
                    <w:keepLines/>
                  </w:pPr>
                  <w:r w:rsidRPr="008E65F1">
                    <w:t>Yr 5: 0.00267%</w:t>
                  </w:r>
                </w:p>
              </w:tc>
            </w:tr>
            <w:tr w:rsidR="000635C3" w:rsidRPr="008E65F1" w14:paraId="18B792A9" w14:textId="77777777" w:rsidTr="000635C3">
              <w:tc>
                <w:tcPr>
                  <w:tcW w:w="1390" w:type="dxa"/>
                  <w:tcBorders>
                    <w:top w:val="nil"/>
                    <w:left w:val="single" w:sz="4" w:space="0" w:color="auto"/>
                    <w:bottom w:val="single" w:sz="4" w:space="0" w:color="auto"/>
                    <w:right w:val="single" w:sz="4" w:space="0" w:color="auto"/>
                  </w:tcBorders>
                  <w:shd w:val="clear" w:color="auto" w:fill="auto"/>
                  <w:vAlign w:val="center"/>
                </w:tcPr>
                <w:p w14:paraId="3CA875BB" w14:textId="1F29087A" w:rsidR="000635C3" w:rsidRPr="008E65F1" w:rsidRDefault="000635C3" w:rsidP="000635C3">
                  <w:pPr>
                    <w:pStyle w:val="TableText0"/>
                    <w:keepNext w:val="0"/>
                    <w:keepLines/>
                  </w:pPr>
                  <w:r w:rsidRPr="008E65F1">
                    <w:t>Yr 3: 0.00249%</w:t>
                  </w:r>
                </w:p>
              </w:tc>
              <w:tc>
                <w:tcPr>
                  <w:tcW w:w="1560" w:type="dxa"/>
                  <w:tcBorders>
                    <w:top w:val="nil"/>
                    <w:left w:val="single" w:sz="4" w:space="0" w:color="auto"/>
                    <w:bottom w:val="single" w:sz="4" w:space="0" w:color="auto"/>
                    <w:right w:val="single" w:sz="4" w:space="0" w:color="auto"/>
                  </w:tcBorders>
                  <w:shd w:val="clear" w:color="auto" w:fill="auto"/>
                </w:tcPr>
                <w:p w14:paraId="25B95037" w14:textId="4BA8E2C7" w:rsidR="000635C3" w:rsidRPr="008E65F1" w:rsidRDefault="000635C3" w:rsidP="000635C3">
                  <w:pPr>
                    <w:pStyle w:val="TableText0"/>
                    <w:keepNext w:val="0"/>
                    <w:keepLines/>
                  </w:pPr>
                  <w:r w:rsidRPr="008E65F1">
                    <w:t>Yr 6: 0.00277%</w:t>
                  </w:r>
                </w:p>
              </w:tc>
            </w:tr>
          </w:tbl>
          <w:p w14:paraId="2736D1C5" w14:textId="77777777" w:rsidR="00CE76B8" w:rsidRPr="008E65F1" w:rsidRDefault="00CE76B8" w:rsidP="002E1D81">
            <w:pPr>
              <w:pStyle w:val="TableText0"/>
              <w:keepNext w:val="0"/>
              <w:keepLines/>
            </w:pPr>
            <w:r w:rsidRPr="008E65F1">
              <w:t>Source: UK General Practice Research Database (GPRD), Hawley 2020. The reported prevalence rate was 1.7 per 100,000 in 2014 which was extrapolated to future years assuming prevalence growth of 3.55% per year.</w:t>
            </w:r>
          </w:p>
        </w:tc>
        <w:tc>
          <w:tcPr>
            <w:tcW w:w="2266" w:type="pct"/>
            <w:shd w:val="clear" w:color="auto" w:fill="auto"/>
            <w:vAlign w:val="center"/>
          </w:tcPr>
          <w:p w14:paraId="7D1A27FD" w14:textId="4B9846E3" w:rsidR="00CE76B8" w:rsidRPr="008E65F1" w:rsidRDefault="005C0BCE" w:rsidP="002E1D81">
            <w:pPr>
              <w:pStyle w:val="TableText0"/>
              <w:keepNext w:val="0"/>
              <w:keepLines/>
            </w:pPr>
            <w:r>
              <w:t>B</w:t>
            </w:r>
            <w:r w:rsidR="00CE76B8" w:rsidRPr="008E65F1">
              <w:t xml:space="preserve">ased on UK data, </w:t>
            </w:r>
            <w:r>
              <w:t xml:space="preserve">although </w:t>
            </w:r>
            <w:r w:rsidR="00CE76B8" w:rsidRPr="008E65F1">
              <w:t xml:space="preserve">the resubmission noted an Australian survey (Munns 2021) </w:t>
            </w:r>
            <w:r>
              <w:t xml:space="preserve">which </w:t>
            </w:r>
            <w:r w:rsidR="00CE76B8" w:rsidRPr="008E65F1">
              <w:t>estimated the minimum local prevalence in patients &lt;18 years was 1.31 per 100,000 persons</w:t>
            </w:r>
            <w:r>
              <w:t xml:space="preserve">. </w:t>
            </w:r>
            <w:r w:rsidR="00CE76B8" w:rsidRPr="008E65F1">
              <w:t xml:space="preserve">DUSC suggested </w:t>
            </w:r>
            <w:r>
              <w:t xml:space="preserve">a </w:t>
            </w:r>
            <w:r w:rsidR="00CE76B8" w:rsidRPr="008E65F1">
              <w:t>paediatric prevalence between 0.002 to 0.003% may be appropriate and that the prevalence of disease could increase over the forward estimates period (5.03 burosumab DUSC ADV March 2021).</w:t>
            </w:r>
          </w:p>
        </w:tc>
      </w:tr>
      <w:tr w:rsidR="00CE76B8" w:rsidRPr="008E65F1" w14:paraId="3F3AFBDC" w14:textId="77777777" w:rsidTr="0095478A">
        <w:trPr>
          <w:cantSplit/>
        </w:trPr>
        <w:tc>
          <w:tcPr>
            <w:tcW w:w="775" w:type="pct"/>
            <w:shd w:val="clear" w:color="auto" w:fill="auto"/>
            <w:vAlign w:val="center"/>
          </w:tcPr>
          <w:p w14:paraId="29CE4BAB" w14:textId="77777777" w:rsidR="00CE76B8" w:rsidRPr="008E65F1" w:rsidRDefault="00CE76B8" w:rsidP="002E1D81">
            <w:pPr>
              <w:pStyle w:val="TableText0"/>
              <w:keepNext w:val="0"/>
              <w:keepLines/>
            </w:pPr>
            <w:r w:rsidRPr="008E65F1">
              <w:t>Uptake of BUR in paediatrics</w:t>
            </w:r>
          </w:p>
        </w:tc>
        <w:tc>
          <w:tcPr>
            <w:tcW w:w="1959" w:type="pct"/>
            <w:shd w:val="clear" w:color="auto" w:fill="auto"/>
            <w:vAlign w:val="center"/>
          </w:tcPr>
          <w:tbl>
            <w:tblPr>
              <w:tblStyle w:val="TableGrid"/>
              <w:tblW w:w="2950" w:type="dxa"/>
              <w:tblLayout w:type="fixed"/>
              <w:tblCellMar>
                <w:left w:w="28" w:type="dxa"/>
                <w:right w:w="28" w:type="dxa"/>
              </w:tblCellMar>
              <w:tblLook w:val="04A0" w:firstRow="1" w:lastRow="0" w:firstColumn="1" w:lastColumn="0" w:noHBand="0" w:noVBand="1"/>
            </w:tblPr>
            <w:tblGrid>
              <w:gridCol w:w="1390"/>
              <w:gridCol w:w="1560"/>
            </w:tblGrid>
            <w:tr w:rsidR="000635C3" w:rsidRPr="008E65F1" w14:paraId="30655168" w14:textId="77777777" w:rsidTr="005739FB">
              <w:tc>
                <w:tcPr>
                  <w:tcW w:w="1390" w:type="dxa"/>
                  <w:vAlign w:val="center"/>
                </w:tcPr>
                <w:p w14:paraId="2C7932E6" w14:textId="62C5DD75" w:rsidR="000635C3" w:rsidRPr="008E65F1" w:rsidRDefault="000635C3" w:rsidP="000635C3">
                  <w:pPr>
                    <w:pStyle w:val="TableText0"/>
                    <w:keepNext w:val="0"/>
                    <w:keepLines/>
                  </w:pPr>
                  <w:r w:rsidRPr="008E65F1">
                    <w:t>Yr 1: 80%</w:t>
                  </w:r>
                </w:p>
              </w:tc>
              <w:tc>
                <w:tcPr>
                  <w:tcW w:w="1560" w:type="dxa"/>
                  <w:vAlign w:val="center"/>
                </w:tcPr>
                <w:p w14:paraId="40A260B8" w14:textId="7212E61A" w:rsidR="000635C3" w:rsidRPr="008E65F1" w:rsidRDefault="000635C3" w:rsidP="000635C3">
                  <w:pPr>
                    <w:pStyle w:val="TableText0"/>
                    <w:keepNext w:val="0"/>
                    <w:keepLines/>
                  </w:pPr>
                  <w:r w:rsidRPr="008E65F1">
                    <w:t>Yr 4: 96%</w:t>
                  </w:r>
                </w:p>
              </w:tc>
            </w:tr>
            <w:tr w:rsidR="000635C3" w:rsidRPr="008E65F1" w14:paraId="24152FCB" w14:textId="77777777" w:rsidTr="005739FB">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9F0BF19" w14:textId="0512F4AA" w:rsidR="000635C3" w:rsidRPr="008E65F1" w:rsidRDefault="000635C3" w:rsidP="000635C3">
                  <w:pPr>
                    <w:pStyle w:val="TableText0"/>
                    <w:keepNext w:val="0"/>
                    <w:keepLines/>
                  </w:pPr>
                  <w:r w:rsidRPr="008E65F1">
                    <w:t>Yr 2: 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E00463" w14:textId="6B3A8815" w:rsidR="000635C3" w:rsidRPr="008E65F1" w:rsidRDefault="000635C3" w:rsidP="000635C3">
                  <w:pPr>
                    <w:pStyle w:val="TableText0"/>
                    <w:keepNext w:val="0"/>
                    <w:keepLines/>
                  </w:pPr>
                  <w:r w:rsidRPr="008E65F1">
                    <w:t>Yr 5: 97%</w:t>
                  </w:r>
                </w:p>
              </w:tc>
            </w:tr>
            <w:tr w:rsidR="000635C3" w:rsidRPr="008E65F1" w14:paraId="490BFF11" w14:textId="77777777" w:rsidTr="005739FB">
              <w:tc>
                <w:tcPr>
                  <w:tcW w:w="1390" w:type="dxa"/>
                  <w:tcBorders>
                    <w:top w:val="nil"/>
                    <w:left w:val="single" w:sz="4" w:space="0" w:color="auto"/>
                    <w:bottom w:val="single" w:sz="4" w:space="0" w:color="auto"/>
                    <w:right w:val="single" w:sz="4" w:space="0" w:color="auto"/>
                  </w:tcBorders>
                  <w:shd w:val="clear" w:color="auto" w:fill="auto"/>
                  <w:vAlign w:val="center"/>
                </w:tcPr>
                <w:p w14:paraId="5BD752D0" w14:textId="52AD4F95" w:rsidR="000635C3" w:rsidRPr="008E65F1" w:rsidRDefault="000635C3" w:rsidP="000635C3">
                  <w:pPr>
                    <w:pStyle w:val="TableText0"/>
                    <w:keepNext w:val="0"/>
                    <w:keepLines/>
                  </w:pPr>
                  <w:r w:rsidRPr="008E65F1">
                    <w:t>Yr 3: 95%</w:t>
                  </w:r>
                </w:p>
              </w:tc>
              <w:tc>
                <w:tcPr>
                  <w:tcW w:w="1560" w:type="dxa"/>
                  <w:tcBorders>
                    <w:top w:val="nil"/>
                    <w:left w:val="single" w:sz="4" w:space="0" w:color="auto"/>
                    <w:bottom w:val="single" w:sz="4" w:space="0" w:color="auto"/>
                    <w:right w:val="single" w:sz="4" w:space="0" w:color="auto"/>
                  </w:tcBorders>
                  <w:shd w:val="clear" w:color="auto" w:fill="auto"/>
                </w:tcPr>
                <w:p w14:paraId="6E90EE1F" w14:textId="1A7FAEBC" w:rsidR="000635C3" w:rsidRPr="008E65F1" w:rsidRDefault="000635C3" w:rsidP="000635C3">
                  <w:pPr>
                    <w:pStyle w:val="TableText0"/>
                    <w:keepNext w:val="0"/>
                    <w:keepLines/>
                  </w:pPr>
                  <w:r w:rsidRPr="008E65F1">
                    <w:t>Yr 6: 98%</w:t>
                  </w:r>
                </w:p>
              </w:tc>
            </w:tr>
          </w:tbl>
          <w:p w14:paraId="0799F491" w14:textId="77777777" w:rsidR="00CE76B8" w:rsidRPr="008E65F1" w:rsidRDefault="00CE76B8" w:rsidP="002E1D81">
            <w:pPr>
              <w:pStyle w:val="TableText0"/>
              <w:keepNext w:val="0"/>
              <w:keepLines/>
            </w:pPr>
            <w:r w:rsidRPr="008E65F1">
              <w:t>Source: assumption</w:t>
            </w:r>
          </w:p>
        </w:tc>
        <w:tc>
          <w:tcPr>
            <w:tcW w:w="2266" w:type="pct"/>
            <w:shd w:val="clear" w:color="auto" w:fill="auto"/>
            <w:vAlign w:val="center"/>
          </w:tcPr>
          <w:p w14:paraId="38480D82" w14:textId="79F83B3D" w:rsidR="00CE76B8" w:rsidRPr="008E65F1" w:rsidRDefault="00CE76B8" w:rsidP="002E1D81">
            <w:pPr>
              <w:pStyle w:val="TableText0"/>
              <w:keepNext w:val="0"/>
              <w:keepLines/>
              <w:rPr>
                <w:bCs w:val="0"/>
              </w:rPr>
            </w:pPr>
            <w:r w:rsidRPr="008E65F1">
              <w:t>The assumption could not be verified. DUSC considered that the uptake rates would be higher in newly diagnosed patients versus prevalent patients (para 6.66, burosumab PSD March 2021). Sensitivity analysis indicated the estimates were not sensitive to the paediatric uptake rates.</w:t>
            </w:r>
          </w:p>
        </w:tc>
      </w:tr>
      <w:tr w:rsidR="00CE76B8" w:rsidRPr="008E65F1" w14:paraId="3B6DA1CA" w14:textId="77777777" w:rsidTr="0095478A">
        <w:trPr>
          <w:cantSplit/>
        </w:trPr>
        <w:tc>
          <w:tcPr>
            <w:tcW w:w="5000" w:type="pct"/>
            <w:gridSpan w:val="3"/>
            <w:shd w:val="clear" w:color="auto" w:fill="auto"/>
            <w:vAlign w:val="center"/>
          </w:tcPr>
          <w:p w14:paraId="54DCF346" w14:textId="77777777" w:rsidR="00CE76B8" w:rsidRPr="008E65F1" w:rsidRDefault="00CE76B8" w:rsidP="002E1D81">
            <w:pPr>
              <w:pStyle w:val="TableText0"/>
              <w:keepNext w:val="0"/>
            </w:pPr>
            <w:r w:rsidRPr="008E65F1">
              <w:rPr>
                <w:b/>
              </w:rPr>
              <w:t>Adult population aged ≥18 years</w:t>
            </w:r>
          </w:p>
        </w:tc>
      </w:tr>
      <w:tr w:rsidR="00CE76B8" w:rsidRPr="008E65F1" w14:paraId="44BE6FA3" w14:textId="77777777" w:rsidTr="0095478A">
        <w:trPr>
          <w:cantSplit/>
        </w:trPr>
        <w:tc>
          <w:tcPr>
            <w:tcW w:w="775" w:type="pct"/>
            <w:shd w:val="clear" w:color="auto" w:fill="auto"/>
            <w:vAlign w:val="center"/>
          </w:tcPr>
          <w:p w14:paraId="77E4A8A8" w14:textId="77777777" w:rsidR="00CE76B8" w:rsidRPr="008E65F1" w:rsidRDefault="00CE76B8" w:rsidP="002E1D81">
            <w:pPr>
              <w:pStyle w:val="TableText0"/>
              <w:keepNext w:val="0"/>
            </w:pPr>
            <w:r w:rsidRPr="008E65F1">
              <w:t>Prevalence with XLH in adults</w:t>
            </w:r>
          </w:p>
        </w:tc>
        <w:tc>
          <w:tcPr>
            <w:tcW w:w="1959" w:type="pct"/>
            <w:shd w:val="clear" w:color="auto" w:fill="auto"/>
            <w:vAlign w:val="center"/>
          </w:tcPr>
          <w:p w14:paraId="1A2732EA" w14:textId="77777777" w:rsidR="00CE76B8" w:rsidRPr="008E65F1" w:rsidRDefault="00CE76B8" w:rsidP="002E1D81">
            <w:pPr>
              <w:pStyle w:val="TableText0"/>
              <w:keepNext w:val="0"/>
            </w:pPr>
            <w:r w:rsidRPr="008E65F1">
              <w:t>0.00133%</w:t>
            </w:r>
          </w:p>
          <w:p w14:paraId="6CD8F47A" w14:textId="77777777" w:rsidR="00CE76B8" w:rsidRPr="008E65F1" w:rsidRDefault="00CE76B8" w:rsidP="002E1D81">
            <w:pPr>
              <w:pStyle w:val="TableText0"/>
              <w:keepNext w:val="0"/>
            </w:pPr>
            <w:r w:rsidRPr="008E65F1">
              <w:t>Source: UK General Practice Research Database (GPRD), Hawley et al 2020.</w:t>
            </w:r>
          </w:p>
        </w:tc>
        <w:tc>
          <w:tcPr>
            <w:tcW w:w="2266" w:type="pct"/>
            <w:shd w:val="clear" w:color="auto" w:fill="auto"/>
            <w:vAlign w:val="center"/>
          </w:tcPr>
          <w:p w14:paraId="5A27D25F" w14:textId="77777777" w:rsidR="00CE76B8" w:rsidRPr="008E65F1" w:rsidRDefault="00CE76B8" w:rsidP="002E1D81">
            <w:pPr>
              <w:pStyle w:val="TableText0"/>
              <w:keepNext w:val="0"/>
            </w:pPr>
            <w:r w:rsidRPr="008E65F1">
              <w:t>May be reasonable given lack of Australian data.</w:t>
            </w:r>
          </w:p>
        </w:tc>
      </w:tr>
      <w:tr w:rsidR="00CE76B8" w:rsidRPr="008E65F1" w14:paraId="5747EA5F" w14:textId="77777777" w:rsidTr="0095478A">
        <w:trPr>
          <w:cantSplit/>
        </w:trPr>
        <w:tc>
          <w:tcPr>
            <w:tcW w:w="775" w:type="pct"/>
            <w:shd w:val="clear" w:color="auto" w:fill="auto"/>
            <w:vAlign w:val="center"/>
          </w:tcPr>
          <w:p w14:paraId="58CD93FC" w14:textId="77777777" w:rsidR="00CE76B8" w:rsidRPr="008E65F1" w:rsidRDefault="00CE76B8" w:rsidP="002E1D81">
            <w:pPr>
              <w:pStyle w:val="TableText0"/>
              <w:keepNext w:val="0"/>
            </w:pPr>
            <w:r w:rsidRPr="008E65F1">
              <w:t>Uptake of BUR in adults</w:t>
            </w:r>
          </w:p>
        </w:tc>
        <w:tc>
          <w:tcPr>
            <w:tcW w:w="1959"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540"/>
              <w:gridCol w:w="850"/>
              <w:gridCol w:w="851"/>
            </w:tblGrid>
            <w:tr w:rsidR="00CE76B8" w:rsidRPr="008E65F1" w14:paraId="5906913D" w14:textId="77777777" w:rsidTr="00444918">
              <w:tc>
                <w:tcPr>
                  <w:tcW w:w="540" w:type="dxa"/>
                  <w:vAlign w:val="center"/>
                </w:tcPr>
                <w:p w14:paraId="61B3073B" w14:textId="77777777" w:rsidR="00CE76B8" w:rsidRPr="008E65F1" w:rsidRDefault="00CE76B8" w:rsidP="002E1D81">
                  <w:pPr>
                    <w:pStyle w:val="TableText0"/>
                    <w:keepNext w:val="0"/>
                    <w:rPr>
                      <w:sz w:val="18"/>
                    </w:rPr>
                  </w:pPr>
                  <w:r w:rsidRPr="008E65F1">
                    <w:rPr>
                      <w:sz w:val="18"/>
                    </w:rPr>
                    <w:t>Yr</w:t>
                  </w:r>
                </w:p>
              </w:tc>
              <w:tc>
                <w:tcPr>
                  <w:tcW w:w="850" w:type="dxa"/>
                  <w:vAlign w:val="center"/>
                </w:tcPr>
                <w:p w14:paraId="2C2956B9" w14:textId="77777777" w:rsidR="00CE76B8" w:rsidRPr="008E65F1" w:rsidRDefault="00CE76B8" w:rsidP="002E1D81">
                  <w:pPr>
                    <w:pStyle w:val="TableText0"/>
                    <w:keepNext w:val="0"/>
                    <w:rPr>
                      <w:sz w:val="18"/>
                    </w:rPr>
                  </w:pPr>
                  <w:r w:rsidRPr="008E65F1">
                    <w:rPr>
                      <w:sz w:val="18"/>
                    </w:rPr>
                    <w:t>Age 18-64</w:t>
                  </w:r>
                </w:p>
              </w:tc>
              <w:tc>
                <w:tcPr>
                  <w:tcW w:w="851" w:type="dxa"/>
                  <w:vAlign w:val="center"/>
                </w:tcPr>
                <w:p w14:paraId="48F0CD73" w14:textId="77777777" w:rsidR="00CE76B8" w:rsidRPr="008E65F1" w:rsidRDefault="00CE76B8" w:rsidP="002E1D81">
                  <w:pPr>
                    <w:pStyle w:val="TableText0"/>
                    <w:keepNext w:val="0"/>
                    <w:rPr>
                      <w:sz w:val="18"/>
                    </w:rPr>
                  </w:pPr>
                  <w:r w:rsidRPr="008E65F1">
                    <w:rPr>
                      <w:sz w:val="18"/>
                    </w:rPr>
                    <w:t>Age 64-100</w:t>
                  </w:r>
                </w:p>
              </w:tc>
            </w:tr>
            <w:tr w:rsidR="00CE76B8" w:rsidRPr="008E65F1" w14:paraId="4CCDC19B" w14:textId="77777777" w:rsidTr="00444918">
              <w:tc>
                <w:tcPr>
                  <w:tcW w:w="540" w:type="dxa"/>
                </w:tcPr>
                <w:p w14:paraId="6BFEB08B" w14:textId="77777777" w:rsidR="00CE76B8" w:rsidRPr="008E65F1" w:rsidRDefault="00CE76B8" w:rsidP="002E1D81">
                  <w:pPr>
                    <w:pStyle w:val="TableText0"/>
                    <w:keepNext w:val="0"/>
                    <w:rPr>
                      <w:sz w:val="18"/>
                    </w:rPr>
                  </w:pPr>
                  <w:r w:rsidRPr="008E65F1">
                    <w:rPr>
                      <w:sz w:val="18"/>
                    </w:rPr>
                    <w:t>1</w:t>
                  </w:r>
                </w:p>
              </w:tc>
              <w:tc>
                <w:tcPr>
                  <w:tcW w:w="850" w:type="dxa"/>
                </w:tcPr>
                <w:p w14:paraId="24C7A71B" w14:textId="77777777" w:rsidR="00CE76B8" w:rsidRPr="008E65F1" w:rsidRDefault="00CE76B8" w:rsidP="002E1D81">
                  <w:pPr>
                    <w:pStyle w:val="TableText0"/>
                    <w:keepNext w:val="0"/>
                    <w:rPr>
                      <w:sz w:val="18"/>
                    </w:rPr>
                  </w:pPr>
                  <w:r w:rsidRPr="008E65F1">
                    <w:rPr>
                      <w:sz w:val="18"/>
                    </w:rPr>
                    <w:t>25%</w:t>
                  </w:r>
                </w:p>
              </w:tc>
              <w:tc>
                <w:tcPr>
                  <w:tcW w:w="851" w:type="dxa"/>
                </w:tcPr>
                <w:p w14:paraId="1A626BC9" w14:textId="77777777" w:rsidR="00CE76B8" w:rsidRPr="008E65F1" w:rsidRDefault="00CE76B8" w:rsidP="002E1D81">
                  <w:pPr>
                    <w:pStyle w:val="TableText0"/>
                    <w:keepNext w:val="0"/>
                    <w:rPr>
                      <w:sz w:val="18"/>
                    </w:rPr>
                  </w:pPr>
                  <w:r w:rsidRPr="008E65F1">
                    <w:rPr>
                      <w:sz w:val="18"/>
                    </w:rPr>
                    <w:t>10%</w:t>
                  </w:r>
                </w:p>
              </w:tc>
            </w:tr>
            <w:tr w:rsidR="00CE76B8" w:rsidRPr="008E65F1" w14:paraId="7F2130B6" w14:textId="77777777" w:rsidTr="00444918">
              <w:tc>
                <w:tcPr>
                  <w:tcW w:w="540" w:type="dxa"/>
                </w:tcPr>
                <w:p w14:paraId="0C892B02" w14:textId="77777777" w:rsidR="00CE76B8" w:rsidRPr="008E65F1" w:rsidRDefault="00CE76B8" w:rsidP="002E1D81">
                  <w:pPr>
                    <w:pStyle w:val="TableText0"/>
                    <w:keepNext w:val="0"/>
                    <w:rPr>
                      <w:sz w:val="18"/>
                    </w:rPr>
                  </w:pPr>
                  <w:r w:rsidRPr="008E65F1">
                    <w:rPr>
                      <w:sz w:val="18"/>
                    </w:rPr>
                    <w:t>2</w:t>
                  </w:r>
                </w:p>
              </w:tc>
              <w:tc>
                <w:tcPr>
                  <w:tcW w:w="850" w:type="dxa"/>
                </w:tcPr>
                <w:p w14:paraId="05439B16" w14:textId="77777777" w:rsidR="00CE76B8" w:rsidRPr="008E65F1" w:rsidRDefault="00CE76B8" w:rsidP="002E1D81">
                  <w:pPr>
                    <w:pStyle w:val="TableText0"/>
                    <w:keepNext w:val="0"/>
                    <w:rPr>
                      <w:sz w:val="18"/>
                    </w:rPr>
                  </w:pPr>
                  <w:r w:rsidRPr="008E65F1">
                    <w:rPr>
                      <w:sz w:val="18"/>
                    </w:rPr>
                    <w:t>30%</w:t>
                  </w:r>
                </w:p>
              </w:tc>
              <w:tc>
                <w:tcPr>
                  <w:tcW w:w="851" w:type="dxa"/>
                </w:tcPr>
                <w:p w14:paraId="0DA146AE" w14:textId="77777777" w:rsidR="00CE76B8" w:rsidRPr="008E65F1" w:rsidRDefault="00CE76B8" w:rsidP="002E1D81">
                  <w:pPr>
                    <w:pStyle w:val="TableText0"/>
                    <w:keepNext w:val="0"/>
                    <w:rPr>
                      <w:sz w:val="18"/>
                    </w:rPr>
                  </w:pPr>
                  <w:r w:rsidRPr="008E65F1">
                    <w:rPr>
                      <w:sz w:val="18"/>
                    </w:rPr>
                    <w:t>12%</w:t>
                  </w:r>
                </w:p>
              </w:tc>
            </w:tr>
            <w:tr w:rsidR="00CE76B8" w:rsidRPr="008E65F1" w14:paraId="439CF5B8" w14:textId="77777777" w:rsidTr="00444918">
              <w:tc>
                <w:tcPr>
                  <w:tcW w:w="540" w:type="dxa"/>
                </w:tcPr>
                <w:p w14:paraId="3756BC77" w14:textId="77777777" w:rsidR="00CE76B8" w:rsidRPr="008E65F1" w:rsidRDefault="00CE76B8" w:rsidP="002E1D81">
                  <w:pPr>
                    <w:pStyle w:val="TableText0"/>
                    <w:keepNext w:val="0"/>
                    <w:rPr>
                      <w:sz w:val="18"/>
                    </w:rPr>
                  </w:pPr>
                  <w:r w:rsidRPr="008E65F1">
                    <w:rPr>
                      <w:sz w:val="18"/>
                    </w:rPr>
                    <w:t>3</w:t>
                  </w:r>
                </w:p>
              </w:tc>
              <w:tc>
                <w:tcPr>
                  <w:tcW w:w="850" w:type="dxa"/>
                </w:tcPr>
                <w:p w14:paraId="1588EEEF" w14:textId="77777777" w:rsidR="00CE76B8" w:rsidRPr="008E65F1" w:rsidRDefault="00CE76B8" w:rsidP="002E1D81">
                  <w:pPr>
                    <w:pStyle w:val="TableText0"/>
                    <w:keepNext w:val="0"/>
                    <w:rPr>
                      <w:sz w:val="18"/>
                    </w:rPr>
                  </w:pPr>
                  <w:r w:rsidRPr="008E65F1">
                    <w:rPr>
                      <w:sz w:val="18"/>
                    </w:rPr>
                    <w:t>35%</w:t>
                  </w:r>
                </w:p>
              </w:tc>
              <w:tc>
                <w:tcPr>
                  <w:tcW w:w="851" w:type="dxa"/>
                </w:tcPr>
                <w:p w14:paraId="41430829" w14:textId="77777777" w:rsidR="00CE76B8" w:rsidRPr="008E65F1" w:rsidRDefault="00CE76B8" w:rsidP="002E1D81">
                  <w:pPr>
                    <w:pStyle w:val="TableText0"/>
                    <w:keepNext w:val="0"/>
                    <w:rPr>
                      <w:sz w:val="18"/>
                    </w:rPr>
                  </w:pPr>
                  <w:r w:rsidRPr="008E65F1">
                    <w:rPr>
                      <w:sz w:val="18"/>
                    </w:rPr>
                    <w:t>14%</w:t>
                  </w:r>
                </w:p>
              </w:tc>
            </w:tr>
            <w:tr w:rsidR="00CE76B8" w:rsidRPr="008E65F1" w14:paraId="776D73D9" w14:textId="77777777" w:rsidTr="00444918">
              <w:tc>
                <w:tcPr>
                  <w:tcW w:w="540" w:type="dxa"/>
                </w:tcPr>
                <w:p w14:paraId="778B721A" w14:textId="77777777" w:rsidR="00CE76B8" w:rsidRPr="008E65F1" w:rsidRDefault="00CE76B8" w:rsidP="002E1D81">
                  <w:pPr>
                    <w:pStyle w:val="TableText0"/>
                    <w:keepNext w:val="0"/>
                    <w:rPr>
                      <w:sz w:val="18"/>
                    </w:rPr>
                  </w:pPr>
                  <w:r w:rsidRPr="008E65F1">
                    <w:rPr>
                      <w:sz w:val="18"/>
                    </w:rPr>
                    <w:t>4</w:t>
                  </w:r>
                </w:p>
              </w:tc>
              <w:tc>
                <w:tcPr>
                  <w:tcW w:w="850" w:type="dxa"/>
                </w:tcPr>
                <w:p w14:paraId="3BA53C9E" w14:textId="77777777" w:rsidR="00CE76B8" w:rsidRPr="008E65F1" w:rsidRDefault="00CE76B8" w:rsidP="002E1D81">
                  <w:pPr>
                    <w:pStyle w:val="TableText0"/>
                    <w:keepNext w:val="0"/>
                    <w:rPr>
                      <w:sz w:val="18"/>
                    </w:rPr>
                  </w:pPr>
                  <w:r w:rsidRPr="008E65F1">
                    <w:rPr>
                      <w:sz w:val="18"/>
                    </w:rPr>
                    <w:t>40%</w:t>
                  </w:r>
                </w:p>
              </w:tc>
              <w:tc>
                <w:tcPr>
                  <w:tcW w:w="851" w:type="dxa"/>
                </w:tcPr>
                <w:p w14:paraId="4D1345E6" w14:textId="77777777" w:rsidR="00CE76B8" w:rsidRPr="008E65F1" w:rsidRDefault="00CE76B8" w:rsidP="002E1D81">
                  <w:pPr>
                    <w:pStyle w:val="TableText0"/>
                    <w:keepNext w:val="0"/>
                    <w:rPr>
                      <w:sz w:val="18"/>
                    </w:rPr>
                  </w:pPr>
                  <w:r w:rsidRPr="008E65F1">
                    <w:rPr>
                      <w:sz w:val="18"/>
                    </w:rPr>
                    <w:t>16%</w:t>
                  </w:r>
                </w:p>
              </w:tc>
            </w:tr>
            <w:tr w:rsidR="00CE76B8" w:rsidRPr="008E65F1" w14:paraId="1102B506" w14:textId="77777777" w:rsidTr="00444918">
              <w:tc>
                <w:tcPr>
                  <w:tcW w:w="540" w:type="dxa"/>
                </w:tcPr>
                <w:p w14:paraId="3D02503B" w14:textId="77777777" w:rsidR="00CE76B8" w:rsidRPr="008E65F1" w:rsidRDefault="00CE76B8" w:rsidP="002E1D81">
                  <w:pPr>
                    <w:pStyle w:val="TableText0"/>
                    <w:keepNext w:val="0"/>
                    <w:rPr>
                      <w:sz w:val="18"/>
                    </w:rPr>
                  </w:pPr>
                  <w:r w:rsidRPr="008E65F1">
                    <w:rPr>
                      <w:sz w:val="18"/>
                    </w:rPr>
                    <w:t>5</w:t>
                  </w:r>
                </w:p>
              </w:tc>
              <w:tc>
                <w:tcPr>
                  <w:tcW w:w="850" w:type="dxa"/>
                </w:tcPr>
                <w:p w14:paraId="1CCCBFC7" w14:textId="77777777" w:rsidR="00CE76B8" w:rsidRPr="008E65F1" w:rsidRDefault="00CE76B8" w:rsidP="002E1D81">
                  <w:pPr>
                    <w:pStyle w:val="TableText0"/>
                    <w:keepNext w:val="0"/>
                    <w:rPr>
                      <w:sz w:val="18"/>
                    </w:rPr>
                  </w:pPr>
                  <w:r w:rsidRPr="008E65F1">
                    <w:rPr>
                      <w:sz w:val="18"/>
                    </w:rPr>
                    <w:t>45%</w:t>
                  </w:r>
                </w:p>
              </w:tc>
              <w:tc>
                <w:tcPr>
                  <w:tcW w:w="851" w:type="dxa"/>
                </w:tcPr>
                <w:p w14:paraId="75E5EEAF" w14:textId="77777777" w:rsidR="00CE76B8" w:rsidRPr="008E65F1" w:rsidRDefault="00CE76B8" w:rsidP="002E1D81">
                  <w:pPr>
                    <w:pStyle w:val="TableText0"/>
                    <w:keepNext w:val="0"/>
                    <w:rPr>
                      <w:sz w:val="18"/>
                    </w:rPr>
                  </w:pPr>
                  <w:r w:rsidRPr="008E65F1">
                    <w:rPr>
                      <w:sz w:val="18"/>
                    </w:rPr>
                    <w:t>18%</w:t>
                  </w:r>
                </w:p>
              </w:tc>
            </w:tr>
            <w:tr w:rsidR="00CE76B8" w:rsidRPr="008E65F1" w14:paraId="6FE61531" w14:textId="77777777" w:rsidTr="00444918">
              <w:tc>
                <w:tcPr>
                  <w:tcW w:w="540" w:type="dxa"/>
                </w:tcPr>
                <w:p w14:paraId="2FE76DFD" w14:textId="77777777" w:rsidR="00CE76B8" w:rsidRPr="008E65F1" w:rsidRDefault="00CE76B8" w:rsidP="002E1D81">
                  <w:pPr>
                    <w:pStyle w:val="TableText0"/>
                    <w:keepNext w:val="0"/>
                    <w:rPr>
                      <w:sz w:val="18"/>
                    </w:rPr>
                  </w:pPr>
                  <w:r w:rsidRPr="008E65F1">
                    <w:rPr>
                      <w:sz w:val="18"/>
                    </w:rPr>
                    <w:t>6</w:t>
                  </w:r>
                </w:p>
              </w:tc>
              <w:tc>
                <w:tcPr>
                  <w:tcW w:w="850" w:type="dxa"/>
                </w:tcPr>
                <w:p w14:paraId="5C734F56" w14:textId="77777777" w:rsidR="00CE76B8" w:rsidRPr="008E65F1" w:rsidRDefault="00CE76B8" w:rsidP="002E1D81">
                  <w:pPr>
                    <w:pStyle w:val="TableText0"/>
                    <w:keepNext w:val="0"/>
                    <w:rPr>
                      <w:sz w:val="18"/>
                    </w:rPr>
                  </w:pPr>
                  <w:r w:rsidRPr="008E65F1">
                    <w:rPr>
                      <w:sz w:val="18"/>
                    </w:rPr>
                    <w:t>50%</w:t>
                  </w:r>
                </w:p>
              </w:tc>
              <w:tc>
                <w:tcPr>
                  <w:tcW w:w="851" w:type="dxa"/>
                </w:tcPr>
                <w:p w14:paraId="4EB77A92" w14:textId="77777777" w:rsidR="00CE76B8" w:rsidRPr="008E65F1" w:rsidRDefault="00CE76B8" w:rsidP="002E1D81">
                  <w:pPr>
                    <w:pStyle w:val="TableText0"/>
                    <w:keepNext w:val="0"/>
                    <w:rPr>
                      <w:sz w:val="18"/>
                    </w:rPr>
                  </w:pPr>
                  <w:r w:rsidRPr="008E65F1">
                    <w:rPr>
                      <w:sz w:val="18"/>
                    </w:rPr>
                    <w:t>20%</w:t>
                  </w:r>
                </w:p>
              </w:tc>
            </w:tr>
          </w:tbl>
          <w:p w14:paraId="68C7F70E"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5A5DB079" w14:textId="25BEE369" w:rsidR="00CE76B8" w:rsidRPr="008E65F1" w:rsidRDefault="00CE76B8" w:rsidP="002E1D81">
            <w:pPr>
              <w:pStyle w:val="TableText0"/>
              <w:keepNext w:val="0"/>
            </w:pPr>
            <w:r w:rsidRPr="008E65F1">
              <w:t>The assumption could not be verified</w:t>
            </w:r>
            <w:r w:rsidR="005C0BCE">
              <w:t>. S</w:t>
            </w:r>
            <w:r w:rsidRPr="008E65F1">
              <w:t>ensitivity analysis indicated the estimates were moderately sensitive to the adult uptake rates.</w:t>
            </w:r>
          </w:p>
        </w:tc>
      </w:tr>
      <w:tr w:rsidR="00CE76B8" w:rsidRPr="008E65F1" w14:paraId="16792CA4" w14:textId="77777777" w:rsidTr="0095478A">
        <w:trPr>
          <w:cantSplit/>
        </w:trPr>
        <w:tc>
          <w:tcPr>
            <w:tcW w:w="775" w:type="pct"/>
            <w:shd w:val="clear" w:color="auto" w:fill="auto"/>
            <w:vAlign w:val="center"/>
          </w:tcPr>
          <w:p w14:paraId="7CF7253C" w14:textId="77777777" w:rsidR="00CE76B8" w:rsidRPr="008E65F1" w:rsidRDefault="00CE76B8" w:rsidP="002E1D81">
            <w:pPr>
              <w:pStyle w:val="TableText0"/>
              <w:keepNext w:val="0"/>
            </w:pPr>
            <w:r w:rsidRPr="008E65F1">
              <w:t>BUR dose</w:t>
            </w:r>
          </w:p>
        </w:tc>
        <w:tc>
          <w:tcPr>
            <w:tcW w:w="1959" w:type="pct"/>
            <w:shd w:val="clear" w:color="auto" w:fill="auto"/>
            <w:vAlign w:val="center"/>
          </w:tcPr>
          <w:p w14:paraId="305C7020" w14:textId="77777777" w:rsidR="00CE76B8" w:rsidRPr="008E65F1" w:rsidRDefault="00CE76B8" w:rsidP="002E1D81">
            <w:pPr>
              <w:pStyle w:val="TableText0"/>
              <w:keepNext w:val="0"/>
            </w:pPr>
            <w:r w:rsidRPr="008E65F1">
              <w:rPr>
                <w:b/>
              </w:rPr>
              <w:t>Paediatrics:</w:t>
            </w:r>
            <w:r w:rsidRPr="008E65F1">
              <w:t xml:space="preserve"> 0.91 mg/kg Q2W</w:t>
            </w:r>
          </w:p>
          <w:p w14:paraId="654642E1" w14:textId="77777777" w:rsidR="00CE76B8" w:rsidRPr="008E65F1" w:rsidRDefault="00CE76B8" w:rsidP="002E1D81">
            <w:pPr>
              <w:pStyle w:val="TableText0"/>
              <w:keepNext w:val="0"/>
            </w:pPr>
            <w:r w:rsidRPr="008E65F1">
              <w:rPr>
                <w:b/>
              </w:rPr>
              <w:t>Adults:</w:t>
            </w:r>
            <w:r w:rsidRPr="008E65F1">
              <w:t xml:space="preserve"> 0.95 mg/kg Q4W</w:t>
            </w:r>
          </w:p>
          <w:p w14:paraId="5380A7F9" w14:textId="77777777" w:rsidR="00CE76B8" w:rsidRPr="008E65F1" w:rsidRDefault="00CE76B8" w:rsidP="002E1D81">
            <w:pPr>
              <w:pStyle w:val="TableText0"/>
              <w:keepNext w:val="0"/>
              <w:rPr>
                <w:sz w:val="18"/>
              </w:rPr>
            </w:pPr>
            <w:r w:rsidRPr="008E65F1">
              <w:rPr>
                <w:szCs w:val="20"/>
              </w:rPr>
              <w:t>Source:</w:t>
            </w:r>
            <w:r w:rsidRPr="008E65F1">
              <w:rPr>
                <w:sz w:val="18"/>
              </w:rPr>
              <w:t xml:space="preserve"> </w:t>
            </w:r>
            <w:r w:rsidRPr="008E65F1">
              <w:t>Unpublished data from North American Disease Monitoring Program (DMP)</w:t>
            </w:r>
          </w:p>
        </w:tc>
        <w:tc>
          <w:tcPr>
            <w:tcW w:w="2266" w:type="pct"/>
            <w:shd w:val="clear" w:color="auto" w:fill="auto"/>
            <w:vAlign w:val="center"/>
          </w:tcPr>
          <w:p w14:paraId="09B8ED6D" w14:textId="51965B79" w:rsidR="00CE76B8" w:rsidRPr="008E65F1" w:rsidRDefault="005C0BCE" w:rsidP="002E1D81">
            <w:pPr>
              <w:pStyle w:val="TableText0"/>
              <w:keepNext w:val="0"/>
            </w:pPr>
            <w:r>
              <w:t>May be underestimated</w:t>
            </w:r>
            <w:r w:rsidR="00CE76B8" w:rsidRPr="008E65F1">
              <w:t xml:space="preserve">. The PBAC </w:t>
            </w:r>
            <w:r>
              <w:t xml:space="preserve">previously </w:t>
            </w:r>
            <w:r w:rsidR="00CE76B8" w:rsidRPr="008E65F1">
              <w:t xml:space="preserve">noted the mean dose received by children in the EAP was 1.05 mg/kg (para 7.11, burosumab PSD March 2021). </w:t>
            </w:r>
            <w:r>
              <w:t xml:space="preserve">For </w:t>
            </w:r>
            <w:r w:rsidR="00CE76B8" w:rsidRPr="008E65F1">
              <w:t>adult</w:t>
            </w:r>
            <w:r>
              <w:t>s</w:t>
            </w:r>
            <w:r w:rsidR="00CE76B8" w:rsidRPr="008E65F1">
              <w:t>, CL303</w:t>
            </w:r>
            <w:r>
              <w:t xml:space="preserve"> reported a</w:t>
            </w:r>
            <w:r w:rsidR="00CE76B8" w:rsidRPr="008E65F1">
              <w:t xml:space="preserve"> mean dose of BUR </w:t>
            </w:r>
            <w:r>
              <w:t>of</w:t>
            </w:r>
            <w:r w:rsidRPr="008E65F1">
              <w:t xml:space="preserve"> </w:t>
            </w:r>
            <w:r w:rsidR="00CE76B8" w:rsidRPr="008E65F1">
              <w:t>0.88-0.98 mg/kg (range: 0.2-1.5 mg/kg) at all post-baseline visits. Additional sensitivity analysis was performed during the evaluation assuming the doses above.</w:t>
            </w:r>
          </w:p>
        </w:tc>
      </w:tr>
      <w:tr w:rsidR="00CE76B8" w:rsidRPr="008E65F1" w14:paraId="59EA0BC5" w14:textId="77777777" w:rsidTr="0095478A">
        <w:trPr>
          <w:cantSplit/>
        </w:trPr>
        <w:tc>
          <w:tcPr>
            <w:tcW w:w="775" w:type="pct"/>
            <w:shd w:val="clear" w:color="auto" w:fill="auto"/>
            <w:vAlign w:val="center"/>
          </w:tcPr>
          <w:p w14:paraId="41B25257" w14:textId="77777777" w:rsidR="00CE76B8" w:rsidRPr="008E65F1" w:rsidRDefault="00CE76B8" w:rsidP="002E1D81">
            <w:pPr>
              <w:pStyle w:val="TableText0"/>
              <w:keepNext w:val="0"/>
            </w:pPr>
            <w:r w:rsidRPr="008E65F1">
              <w:lastRenderedPageBreak/>
              <w:t>Conventional therapy dose</w:t>
            </w:r>
          </w:p>
        </w:tc>
        <w:tc>
          <w:tcPr>
            <w:tcW w:w="1959" w:type="pct"/>
            <w:shd w:val="clear" w:color="auto" w:fill="auto"/>
            <w:vAlign w:val="center"/>
          </w:tcPr>
          <w:p w14:paraId="710DA75F" w14:textId="77777777" w:rsidR="00CE76B8" w:rsidRPr="008E65F1" w:rsidRDefault="00CE76B8" w:rsidP="002E1D81">
            <w:pPr>
              <w:pStyle w:val="TableText0"/>
              <w:keepNext w:val="0"/>
            </w:pPr>
            <w:r w:rsidRPr="008E65F1">
              <w:rPr>
                <w:b/>
                <w:shd w:val="clear" w:color="auto" w:fill="C6D9F1" w:themeFill="text2" w:themeFillTint="33"/>
              </w:rPr>
              <w:t>Paediatrics:</w:t>
            </w:r>
            <w:r w:rsidRPr="008E65F1">
              <w:rPr>
                <w:shd w:val="clear" w:color="auto" w:fill="C6D9F1" w:themeFill="text2" w:themeFillTint="33"/>
              </w:rPr>
              <w:t xml:space="preserve"> oral phosphate: 4 x 500 mg tablets per day</w:t>
            </w:r>
            <w:r w:rsidRPr="008E65F1">
              <w:t>; and calcitriol: 2 x 0.25 mcg tablets per day</w:t>
            </w:r>
          </w:p>
          <w:p w14:paraId="33DAEA90" w14:textId="77777777" w:rsidR="00CE76B8" w:rsidRPr="008E65F1" w:rsidRDefault="00CE76B8" w:rsidP="002E1D81">
            <w:pPr>
              <w:pStyle w:val="TableText0"/>
              <w:keepNext w:val="0"/>
            </w:pPr>
            <w:r w:rsidRPr="008E65F1">
              <w:rPr>
                <w:b/>
              </w:rPr>
              <w:t>Adults:</w:t>
            </w:r>
            <w:r w:rsidRPr="008E65F1">
              <w:t xml:space="preserve"> oral phosphate: 5 x 500 mg tablets per day; and calcitriol: 3 x 0.25 mcg tablets per day</w:t>
            </w:r>
          </w:p>
          <w:p w14:paraId="7065644F" w14:textId="40FF9727" w:rsidR="00CE76B8" w:rsidRPr="008E65F1" w:rsidRDefault="00CE76B8" w:rsidP="002E1D81">
            <w:pPr>
              <w:pStyle w:val="TableText0"/>
              <w:keepNext w:val="0"/>
            </w:pPr>
            <w:r w:rsidRPr="008E65F1">
              <w:t>Source: based on guidelines, PI, trial and expert advice.</w:t>
            </w:r>
          </w:p>
        </w:tc>
        <w:tc>
          <w:tcPr>
            <w:tcW w:w="2266" w:type="pct"/>
            <w:shd w:val="clear" w:color="auto" w:fill="auto"/>
            <w:vAlign w:val="center"/>
          </w:tcPr>
          <w:p w14:paraId="7CC62E45" w14:textId="57777EF2" w:rsidR="00CE76B8" w:rsidRPr="008E65F1" w:rsidRDefault="005C0BCE" w:rsidP="002E1D81">
            <w:pPr>
              <w:pStyle w:val="TableText0"/>
              <w:keepNext w:val="0"/>
            </w:pPr>
            <w:r>
              <w:t xml:space="preserve">Although the </w:t>
            </w:r>
            <w:r w:rsidR="00CE76B8" w:rsidRPr="008E65F1">
              <w:t>doses were consistent with the modelled economic evaluation</w:t>
            </w:r>
            <w:r>
              <w:t xml:space="preserve">, the application of </w:t>
            </w:r>
            <w:r w:rsidR="00CE76B8" w:rsidRPr="008E65F1">
              <w:t>fixed dose</w:t>
            </w:r>
            <w:r>
              <w:t>s</w:t>
            </w:r>
            <w:r w:rsidR="00CE76B8" w:rsidRPr="008E65F1">
              <w:t xml:space="preserve"> of oral phosphate and calcitriol</w:t>
            </w:r>
            <w:r>
              <w:t xml:space="preserve"> was </w:t>
            </w:r>
            <w:r w:rsidR="00CE76B8" w:rsidRPr="008E65F1">
              <w:t xml:space="preserve">not consistent with the paediatric trial </w:t>
            </w:r>
            <w:r>
              <w:t>(</w:t>
            </w:r>
            <w:r w:rsidR="00CE76B8" w:rsidRPr="008E65F1">
              <w:t>CL301</w:t>
            </w:r>
            <w:r>
              <w:t>)</w:t>
            </w:r>
            <w:r w:rsidR="00CE76B8" w:rsidRPr="008E65F1">
              <w:t xml:space="preserve"> </w:t>
            </w:r>
            <w:r>
              <w:t>or</w:t>
            </w:r>
            <w:r w:rsidRPr="008E65F1">
              <w:t xml:space="preserve"> </w:t>
            </w:r>
            <w:r w:rsidR="00CE76B8" w:rsidRPr="008E65F1">
              <w:t>clinical guidelines (Haffner 2019, Carpenter 2011)</w:t>
            </w:r>
            <w:r w:rsidR="00CE76B8" w:rsidRPr="008E65F1">
              <w:rPr>
                <w:vertAlign w:val="superscript"/>
              </w:rPr>
              <w:t>#</w:t>
            </w:r>
            <w:r w:rsidR="00CE76B8" w:rsidRPr="008E65F1">
              <w:t xml:space="preserve">, that generally recommended weight-based dosing for phosphate </w:t>
            </w:r>
            <w:r>
              <w:t>(</w:t>
            </w:r>
            <w:r w:rsidR="00CE76B8" w:rsidRPr="008E65F1">
              <w:t>20–60 mg/kg daily given 4-6 times per day in young patients</w:t>
            </w:r>
            <w:r>
              <w:t>)</w:t>
            </w:r>
            <w:r w:rsidR="00CE76B8" w:rsidRPr="008E65F1">
              <w:t xml:space="preserve"> and for calcitriol </w:t>
            </w:r>
            <w:r>
              <w:t>(</w:t>
            </w:r>
            <w:r w:rsidR="00CE76B8" w:rsidRPr="008E65F1">
              <w:t>20-30 ng/kg daily in 2-3 divided doses or</w:t>
            </w:r>
            <w:r w:rsidR="006052CB" w:rsidRPr="008E65F1">
              <w:t xml:space="preserve"> 0.</w:t>
            </w:r>
            <w:r w:rsidR="00CE76B8" w:rsidRPr="008E65F1">
              <w:t xml:space="preserve">50 </w:t>
            </w:r>
            <w:r w:rsidR="006052CB" w:rsidRPr="008E65F1">
              <w:t>mc</w:t>
            </w:r>
            <w:r w:rsidR="00CE76B8" w:rsidRPr="008E65F1">
              <w:t>g daily in patients &gt;12</w:t>
            </w:r>
            <w:r w:rsidR="00444918" w:rsidRPr="008E65F1">
              <w:t xml:space="preserve"> </w:t>
            </w:r>
            <w:r w:rsidR="00CE76B8" w:rsidRPr="008E65F1">
              <w:t>months adjusted on the basis of clinical and biochemical responses</w:t>
            </w:r>
            <w:r>
              <w:t>)</w:t>
            </w:r>
            <w:r w:rsidR="00CE76B8" w:rsidRPr="008E65F1">
              <w:t>. In adults, guidelines recommended phosphate 750–1,600 mg daily in 2-4 divided doses and calcitriol 0.50 to 0.75 mcg daily.</w:t>
            </w:r>
          </w:p>
        </w:tc>
      </w:tr>
      <w:tr w:rsidR="00CE76B8" w:rsidRPr="008E65F1" w14:paraId="6887A062" w14:textId="77777777" w:rsidTr="0095478A">
        <w:trPr>
          <w:cantSplit/>
        </w:trPr>
        <w:tc>
          <w:tcPr>
            <w:tcW w:w="775" w:type="pct"/>
            <w:shd w:val="clear" w:color="auto" w:fill="auto"/>
            <w:vAlign w:val="center"/>
          </w:tcPr>
          <w:p w14:paraId="02D26467" w14:textId="77777777" w:rsidR="00CE76B8" w:rsidRPr="008E65F1" w:rsidRDefault="00CE76B8" w:rsidP="002E1D81">
            <w:pPr>
              <w:pStyle w:val="TableText0"/>
              <w:keepNext w:val="0"/>
            </w:pPr>
            <w:r w:rsidRPr="008E65F1">
              <w:t>Compliance for BUR</w:t>
            </w:r>
          </w:p>
        </w:tc>
        <w:tc>
          <w:tcPr>
            <w:tcW w:w="1959" w:type="pct"/>
            <w:shd w:val="clear" w:color="auto" w:fill="auto"/>
            <w:vAlign w:val="center"/>
          </w:tcPr>
          <w:p w14:paraId="5C62831B" w14:textId="77777777" w:rsidR="00CE76B8" w:rsidRPr="008E65F1" w:rsidRDefault="00CE76B8" w:rsidP="002E1D81">
            <w:pPr>
              <w:pStyle w:val="TableText0"/>
              <w:keepNext w:val="0"/>
              <w:shd w:val="clear" w:color="auto" w:fill="C6D9F1" w:themeFill="text2" w:themeFillTint="33"/>
            </w:pPr>
            <w:r w:rsidRPr="008E65F1">
              <w:rPr>
                <w:b/>
              </w:rPr>
              <w:t>Paediatrics:</w:t>
            </w:r>
            <w:r w:rsidRPr="008E65F1">
              <w:t xml:space="preserve"> 100%</w:t>
            </w:r>
          </w:p>
          <w:p w14:paraId="4A4C8BC9" w14:textId="77777777" w:rsidR="00CE76B8" w:rsidRPr="008E65F1" w:rsidRDefault="00CE76B8" w:rsidP="002E1D81">
            <w:pPr>
              <w:pStyle w:val="TableText0"/>
              <w:keepNext w:val="0"/>
            </w:pPr>
            <w:r w:rsidRPr="008E65F1">
              <w:rPr>
                <w:b/>
              </w:rPr>
              <w:t>Adults:</w:t>
            </w:r>
            <w:r w:rsidRPr="008E65F1">
              <w:t xml:space="preserve"> 100%</w:t>
            </w:r>
          </w:p>
          <w:p w14:paraId="759B7ADA"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68C4FF6B" w14:textId="0531B97F" w:rsidR="00CE76B8" w:rsidRPr="008E65F1" w:rsidRDefault="00CE76B8" w:rsidP="002E1D81">
            <w:pPr>
              <w:pStyle w:val="TableText0"/>
              <w:keepNext w:val="0"/>
              <w:rPr>
                <w:bCs w:val="0"/>
              </w:rPr>
            </w:pPr>
            <w:r w:rsidRPr="008E65F1">
              <w:t xml:space="preserve">This was inconsistent with the proposed continuation criteria </w:t>
            </w:r>
            <w:r w:rsidR="005C0BCE">
              <w:t>in the restriction</w:t>
            </w:r>
            <w:r w:rsidR="005442CE">
              <w:t xml:space="preserve"> and with the</w:t>
            </w:r>
            <w:r w:rsidRPr="008E65F1">
              <w:t xml:space="preserve"> discontinuation for adult patients assumed in the modelled economic evaluation</w:t>
            </w:r>
            <w:r w:rsidR="005442CE">
              <w:t xml:space="preserve"> </w:t>
            </w:r>
            <w:r w:rsidR="005442CE" w:rsidRPr="008E65F1">
              <w:t>(7% in Yr 1 and 1% Yr 2 onwards)</w:t>
            </w:r>
            <w:r w:rsidRPr="008E65F1">
              <w:t>.</w:t>
            </w:r>
          </w:p>
        </w:tc>
      </w:tr>
      <w:tr w:rsidR="00CE76B8" w:rsidRPr="008E65F1" w14:paraId="261C2E02" w14:textId="77777777" w:rsidTr="0095478A">
        <w:trPr>
          <w:cantSplit/>
        </w:trPr>
        <w:tc>
          <w:tcPr>
            <w:tcW w:w="775" w:type="pct"/>
            <w:shd w:val="clear" w:color="auto" w:fill="auto"/>
            <w:vAlign w:val="center"/>
          </w:tcPr>
          <w:p w14:paraId="3620BAC0" w14:textId="77777777" w:rsidR="00CE76B8" w:rsidRPr="008E65F1" w:rsidRDefault="00CE76B8" w:rsidP="002E1D81">
            <w:pPr>
              <w:pStyle w:val="TableText0"/>
              <w:keepNext w:val="0"/>
            </w:pPr>
            <w:r w:rsidRPr="008E65F1">
              <w:t>Compliance for conventional therapy</w:t>
            </w:r>
          </w:p>
        </w:tc>
        <w:tc>
          <w:tcPr>
            <w:tcW w:w="1959" w:type="pct"/>
            <w:shd w:val="clear" w:color="auto" w:fill="auto"/>
            <w:vAlign w:val="center"/>
          </w:tcPr>
          <w:p w14:paraId="20A927DA" w14:textId="77777777" w:rsidR="00CE76B8" w:rsidRPr="008E65F1" w:rsidRDefault="00CE76B8" w:rsidP="002E1D81">
            <w:pPr>
              <w:pStyle w:val="TableText0"/>
              <w:keepNext w:val="0"/>
            </w:pPr>
            <w:r w:rsidRPr="008E65F1">
              <w:rPr>
                <w:b/>
              </w:rPr>
              <w:t>Paediatrics:</w:t>
            </w:r>
            <w:r w:rsidRPr="008E65F1">
              <w:t xml:space="preserve"> 100%</w:t>
            </w:r>
          </w:p>
          <w:p w14:paraId="146A9058" w14:textId="77777777" w:rsidR="00CE76B8" w:rsidRPr="008E65F1" w:rsidRDefault="00CE76B8" w:rsidP="002E1D81">
            <w:pPr>
              <w:pStyle w:val="TableText0"/>
              <w:keepNext w:val="0"/>
            </w:pPr>
            <w:r w:rsidRPr="008E65F1">
              <w:rPr>
                <w:b/>
              </w:rPr>
              <w:t>Adults:</w:t>
            </w:r>
            <w:r w:rsidRPr="008E65F1">
              <w:t xml:space="preserve"> 70.1%</w:t>
            </w:r>
          </w:p>
          <w:p w14:paraId="573031A5"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6EED7130" w14:textId="3FAE090B" w:rsidR="00CE76B8" w:rsidRPr="008E65F1" w:rsidRDefault="00CE76B8" w:rsidP="002E1D81">
            <w:pPr>
              <w:pStyle w:val="TableText0"/>
              <w:keepNext w:val="0"/>
              <w:rPr>
                <w:bCs w:val="0"/>
              </w:rPr>
            </w:pPr>
            <w:r w:rsidRPr="008E65F1">
              <w:t>Reasonable. For paediatric patients, CL301 reported no discontinuations in the conventional therapy group during the 64-week treatment period. For adults</w:t>
            </w:r>
            <w:r w:rsidR="005C0BCE">
              <w:t>.</w:t>
            </w:r>
            <w:r w:rsidRPr="008E65F1">
              <w:t xml:space="preserve"> CL303 did not provide comparative evidence with conventional therapy</w:t>
            </w:r>
            <w:r w:rsidR="005442CE">
              <w:t>;</w:t>
            </w:r>
            <w:r w:rsidRPr="008E65F1">
              <w:t xml:space="preserve"> however, the resubmission assumed compliance for adults as patients (from CL303) who received prior conventional therapy at baseline.</w:t>
            </w:r>
          </w:p>
        </w:tc>
      </w:tr>
      <w:tr w:rsidR="00CE76B8" w:rsidRPr="008E65F1" w14:paraId="6E09229A" w14:textId="77777777" w:rsidTr="0095478A">
        <w:trPr>
          <w:cantSplit/>
        </w:trPr>
        <w:tc>
          <w:tcPr>
            <w:tcW w:w="775" w:type="pct"/>
            <w:shd w:val="clear" w:color="auto" w:fill="auto"/>
            <w:vAlign w:val="center"/>
          </w:tcPr>
          <w:p w14:paraId="221DC80A" w14:textId="77777777" w:rsidR="00CE76B8" w:rsidRPr="008E65F1" w:rsidRDefault="00CE76B8" w:rsidP="002E1D81">
            <w:pPr>
              <w:pStyle w:val="TableText0"/>
              <w:keepNext w:val="0"/>
            </w:pPr>
            <w:r w:rsidRPr="008E65F1">
              <w:t>Patient weight (kg)/age distribution</w:t>
            </w:r>
          </w:p>
        </w:tc>
        <w:tc>
          <w:tcPr>
            <w:tcW w:w="1959"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528"/>
              <w:gridCol w:w="1030"/>
              <w:gridCol w:w="825"/>
              <w:gridCol w:w="1235"/>
            </w:tblGrid>
            <w:tr w:rsidR="00D172FD" w:rsidRPr="008E65F1" w14:paraId="64E8FAF2" w14:textId="0CE4D66B" w:rsidTr="00C33187">
              <w:tc>
                <w:tcPr>
                  <w:tcW w:w="528" w:type="dxa"/>
                  <w:shd w:val="clear" w:color="auto" w:fill="C6D9F1" w:themeFill="text2" w:themeFillTint="33"/>
                  <w:vAlign w:val="center"/>
                </w:tcPr>
                <w:p w14:paraId="6B8FDBC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030" w:type="dxa"/>
                  <w:shd w:val="clear" w:color="auto" w:fill="C6D9F1" w:themeFill="text2" w:themeFillTint="33"/>
                  <w:vAlign w:val="center"/>
                </w:tcPr>
                <w:p w14:paraId="08EF71AF"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Mean weight</w:t>
                  </w:r>
                </w:p>
              </w:tc>
              <w:tc>
                <w:tcPr>
                  <w:tcW w:w="825" w:type="dxa"/>
                  <w:shd w:val="clear" w:color="auto" w:fill="C6D9F1" w:themeFill="text2" w:themeFillTint="33"/>
                  <w:vAlign w:val="center"/>
                </w:tcPr>
                <w:p w14:paraId="349C1AB8" w14:textId="0C95C38F"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235" w:type="dxa"/>
                  <w:shd w:val="clear" w:color="auto" w:fill="C6D9F1" w:themeFill="text2" w:themeFillTint="33"/>
                  <w:vAlign w:val="center"/>
                </w:tcPr>
                <w:p w14:paraId="42027C85" w14:textId="687BEA43"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Mean weight</w:t>
                  </w:r>
                </w:p>
              </w:tc>
            </w:tr>
            <w:tr w:rsidR="00D172FD" w:rsidRPr="008E65F1" w14:paraId="2E5F084A" w14:textId="746FD640" w:rsidTr="00C33187">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F014D7"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5C70C6"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10.48</w:t>
                  </w:r>
                </w:p>
              </w:tc>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27F6AD" w14:textId="74E303A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7B5096" w14:textId="440F9F2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46.00</w:t>
                  </w:r>
                </w:p>
              </w:tc>
            </w:tr>
            <w:tr w:rsidR="00D172FD" w:rsidRPr="008E65F1" w14:paraId="5B78055E" w14:textId="72CF3D5E"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CDC6BE"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2</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4E21EC"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12.74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27F2494" w14:textId="265A0060"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37225CE" w14:textId="65CD2ED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50.45</w:t>
                  </w:r>
                </w:p>
              </w:tc>
            </w:tr>
            <w:tr w:rsidR="00D172FD" w:rsidRPr="008E65F1" w14:paraId="23F4BABB" w14:textId="1D210902"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672CE8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D6AC42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14.24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76910D7" w14:textId="0B8B421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7635BE9" w14:textId="7872CDC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53.91</w:t>
                  </w:r>
                </w:p>
              </w:tc>
            </w:tr>
            <w:tr w:rsidR="00D172FD" w:rsidRPr="008E65F1" w14:paraId="5495B94B" w14:textId="59C9A660"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EAC5D3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4</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581EE0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16.72</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75EB5B" w14:textId="674D6DA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16</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8009B93" w14:textId="2074DDE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57.34</w:t>
                  </w:r>
                </w:p>
              </w:tc>
            </w:tr>
            <w:tr w:rsidR="00D172FD" w:rsidRPr="008E65F1" w14:paraId="63AF14F1" w14:textId="3A5D230E"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EF24CE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5</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07D583F"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18.24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0E22C76" w14:textId="3E72149A"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w:t>
                  </w:r>
                </w:p>
              </w:tc>
              <w:tc>
                <w:tcPr>
                  <w:tcW w:w="123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216A2F5" w14:textId="398D336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60.72</w:t>
                  </w:r>
                </w:p>
              </w:tc>
            </w:tr>
            <w:tr w:rsidR="00D172FD" w:rsidRPr="008E65F1" w14:paraId="0E9D398F" w14:textId="597666CC" w:rsidTr="00C33187">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35A4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76A932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20.74</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F31F1E5" w14:textId="78FAFA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18-24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2E527920" w14:textId="4F76224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73.15</w:t>
                  </w:r>
                </w:p>
              </w:tc>
            </w:tr>
            <w:tr w:rsidR="00D172FD" w:rsidRPr="008E65F1" w14:paraId="6463C57E" w14:textId="2CFD9260"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0B5E15D"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7</w:t>
                  </w:r>
                </w:p>
              </w:tc>
              <w:tc>
                <w:tcPr>
                  <w:tcW w:w="1030" w:type="dxa"/>
                  <w:tcBorders>
                    <w:top w:val="nil"/>
                    <w:left w:val="single" w:sz="4" w:space="0" w:color="auto"/>
                    <w:bottom w:val="single" w:sz="4" w:space="0" w:color="auto"/>
                    <w:right w:val="single" w:sz="4" w:space="0" w:color="auto"/>
                  </w:tcBorders>
                  <w:shd w:val="clear" w:color="auto" w:fill="auto"/>
                  <w:vAlign w:val="center"/>
                </w:tcPr>
                <w:p w14:paraId="1C939264"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17.77</w:t>
                  </w:r>
                </w:p>
              </w:tc>
              <w:tc>
                <w:tcPr>
                  <w:tcW w:w="825" w:type="dxa"/>
                  <w:tcBorders>
                    <w:top w:val="nil"/>
                    <w:left w:val="single" w:sz="4" w:space="0" w:color="auto"/>
                    <w:bottom w:val="single" w:sz="4" w:space="0" w:color="auto"/>
                    <w:right w:val="single" w:sz="4" w:space="0" w:color="auto"/>
                  </w:tcBorders>
                  <w:vAlign w:val="center"/>
                </w:tcPr>
                <w:p w14:paraId="6C1F89C0" w14:textId="020E2111"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25-34</w:t>
                  </w:r>
                </w:p>
              </w:tc>
              <w:tc>
                <w:tcPr>
                  <w:tcW w:w="1235" w:type="dxa"/>
                  <w:tcBorders>
                    <w:top w:val="nil"/>
                    <w:left w:val="single" w:sz="4" w:space="0" w:color="auto"/>
                    <w:bottom w:val="single" w:sz="4" w:space="0" w:color="auto"/>
                    <w:right w:val="single" w:sz="4" w:space="0" w:color="auto"/>
                  </w:tcBorders>
                </w:tcPr>
                <w:p w14:paraId="16E526DF" w14:textId="731734C8"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77.57</w:t>
                  </w:r>
                </w:p>
              </w:tc>
            </w:tr>
            <w:tr w:rsidR="00D172FD" w:rsidRPr="008E65F1" w14:paraId="0493AC42" w14:textId="7011031D"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629C5155"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8</w:t>
                  </w:r>
                </w:p>
              </w:tc>
              <w:tc>
                <w:tcPr>
                  <w:tcW w:w="1030" w:type="dxa"/>
                  <w:tcBorders>
                    <w:top w:val="nil"/>
                    <w:left w:val="single" w:sz="4" w:space="0" w:color="auto"/>
                    <w:bottom w:val="single" w:sz="4" w:space="0" w:color="auto"/>
                    <w:right w:val="single" w:sz="4" w:space="0" w:color="auto"/>
                  </w:tcBorders>
                  <w:shd w:val="clear" w:color="auto" w:fill="auto"/>
                  <w:vAlign w:val="center"/>
                </w:tcPr>
                <w:p w14:paraId="21E90C90" w14:textId="77777777" w:rsidR="00D172FD" w:rsidRPr="004208E8" w:rsidRDefault="00D172FD" w:rsidP="00D172FD">
                  <w:pPr>
                    <w:jc w:val="center"/>
                    <w:rPr>
                      <w:rFonts w:ascii="Arial Narrow" w:eastAsiaTheme="majorEastAsia" w:hAnsi="Arial Narrow"/>
                      <w:bCs/>
                      <w:sz w:val="18"/>
                      <w:szCs w:val="20"/>
                    </w:rPr>
                  </w:pPr>
                  <w:r w:rsidRPr="004208E8">
                    <w:rPr>
                      <w:rFonts w:ascii="Arial Narrow" w:eastAsiaTheme="majorEastAsia" w:hAnsi="Arial Narrow"/>
                      <w:bCs/>
                      <w:sz w:val="18"/>
                      <w:szCs w:val="20"/>
                    </w:rPr>
                    <w:t>20.77</w:t>
                  </w:r>
                </w:p>
              </w:tc>
              <w:tc>
                <w:tcPr>
                  <w:tcW w:w="825" w:type="dxa"/>
                  <w:tcBorders>
                    <w:top w:val="nil"/>
                    <w:left w:val="single" w:sz="4" w:space="0" w:color="auto"/>
                    <w:bottom w:val="single" w:sz="4" w:space="0" w:color="auto"/>
                    <w:right w:val="single" w:sz="4" w:space="0" w:color="auto"/>
                  </w:tcBorders>
                  <w:vAlign w:val="center"/>
                </w:tcPr>
                <w:p w14:paraId="0F333399" w14:textId="5C50D1EC"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35-44</w:t>
                  </w:r>
                </w:p>
              </w:tc>
              <w:tc>
                <w:tcPr>
                  <w:tcW w:w="1235" w:type="dxa"/>
                  <w:tcBorders>
                    <w:top w:val="nil"/>
                    <w:left w:val="single" w:sz="4" w:space="0" w:color="auto"/>
                    <w:bottom w:val="single" w:sz="4" w:space="0" w:color="auto"/>
                    <w:right w:val="single" w:sz="4" w:space="0" w:color="auto"/>
                  </w:tcBorders>
                </w:tcPr>
                <w:p w14:paraId="57B16206" w14:textId="23921F7B" w:rsidR="00D172FD" w:rsidRPr="008E65F1" w:rsidRDefault="00D172FD" w:rsidP="00D172FD">
                  <w:pPr>
                    <w:jc w:val="center"/>
                    <w:rPr>
                      <w:rFonts w:ascii="Arial Narrow" w:eastAsiaTheme="majorEastAsia" w:hAnsi="Arial Narrow"/>
                      <w:bCs/>
                      <w:sz w:val="18"/>
                      <w:szCs w:val="20"/>
                    </w:rPr>
                  </w:pPr>
                  <w:r w:rsidRPr="008E65F1">
                    <w:rPr>
                      <w:rFonts w:ascii="Arial Narrow" w:eastAsiaTheme="majorEastAsia" w:hAnsi="Arial Narrow"/>
                      <w:bCs/>
                      <w:sz w:val="18"/>
                      <w:szCs w:val="20"/>
                    </w:rPr>
                    <w:t>80.50</w:t>
                  </w:r>
                </w:p>
              </w:tc>
            </w:tr>
            <w:tr w:rsidR="00D172FD" w:rsidRPr="008E65F1" w14:paraId="3132A576" w14:textId="4B0A6F00"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0441F7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9</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077061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28.76</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94ABE6D" w14:textId="37CE75D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45-54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6A511F46" w14:textId="068CAAB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82.40</w:t>
                  </w:r>
                </w:p>
              </w:tc>
            </w:tr>
            <w:tr w:rsidR="00D172FD" w:rsidRPr="008E65F1" w14:paraId="776CF87F" w14:textId="4529BD2F"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F025D4E"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10</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8C2777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32.52</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228E395" w14:textId="5D7E7CAF"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55-64</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6D4B9E78" w14:textId="58821A9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81.40</w:t>
                  </w:r>
                </w:p>
              </w:tc>
            </w:tr>
            <w:tr w:rsidR="00D172FD" w:rsidRPr="008E65F1" w14:paraId="45FA8FF9" w14:textId="090B5F1A" w:rsidTr="00C33187">
              <w:tc>
                <w:tcPr>
                  <w:tcW w:w="528"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862729"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11</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7990FA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36.78</w:t>
                  </w:r>
                </w:p>
              </w:tc>
              <w:tc>
                <w:tcPr>
                  <w:tcW w:w="825"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AE057BA" w14:textId="1243FF76"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65-100</w:t>
                  </w: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144C2584" w14:textId="55AC0019"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78.03</w:t>
                  </w:r>
                </w:p>
              </w:tc>
            </w:tr>
            <w:tr w:rsidR="00D172FD" w:rsidRPr="008E65F1" w14:paraId="7392148D" w14:textId="4847EDDA" w:rsidTr="00D172FD">
              <w:tc>
                <w:tcPr>
                  <w:tcW w:w="5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722BA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12</w:t>
                  </w:r>
                </w:p>
              </w:tc>
              <w:tc>
                <w:tcPr>
                  <w:tcW w:w="103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F02A574"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41.52</w:t>
                  </w:r>
                </w:p>
              </w:tc>
              <w:tc>
                <w:tcPr>
                  <w:tcW w:w="825" w:type="dxa"/>
                  <w:tcBorders>
                    <w:top w:val="nil"/>
                    <w:left w:val="single" w:sz="4" w:space="0" w:color="auto"/>
                    <w:bottom w:val="single" w:sz="4" w:space="0" w:color="auto"/>
                    <w:right w:val="single" w:sz="4" w:space="0" w:color="auto"/>
                  </w:tcBorders>
                  <w:shd w:val="clear" w:color="auto" w:fill="C6D9F1" w:themeFill="text2" w:themeFillTint="33"/>
                </w:tcPr>
                <w:p w14:paraId="7C3ADE28" w14:textId="77777777" w:rsidR="00D172FD" w:rsidRPr="008E65F1" w:rsidRDefault="00D172FD" w:rsidP="00D172FD">
                  <w:pPr>
                    <w:jc w:val="center"/>
                    <w:rPr>
                      <w:rFonts w:ascii="Arial Narrow" w:eastAsiaTheme="majorEastAsia" w:hAnsi="Arial Narrow"/>
                      <w:bCs/>
                      <w:color w:val="000000"/>
                      <w:sz w:val="18"/>
                      <w:szCs w:val="20"/>
                    </w:rPr>
                  </w:pPr>
                </w:p>
              </w:tc>
              <w:tc>
                <w:tcPr>
                  <w:tcW w:w="1235" w:type="dxa"/>
                  <w:tcBorders>
                    <w:top w:val="nil"/>
                    <w:left w:val="single" w:sz="4" w:space="0" w:color="auto"/>
                    <w:bottom w:val="single" w:sz="4" w:space="0" w:color="auto"/>
                    <w:right w:val="single" w:sz="4" w:space="0" w:color="auto"/>
                  </w:tcBorders>
                  <w:shd w:val="clear" w:color="auto" w:fill="C6D9F1" w:themeFill="text2" w:themeFillTint="33"/>
                </w:tcPr>
                <w:p w14:paraId="0A7CA72E" w14:textId="77777777" w:rsidR="00D172FD" w:rsidRPr="008E65F1" w:rsidRDefault="00D172FD" w:rsidP="00D172FD">
                  <w:pPr>
                    <w:jc w:val="center"/>
                    <w:rPr>
                      <w:rFonts w:ascii="Arial Narrow" w:eastAsiaTheme="majorEastAsia" w:hAnsi="Arial Narrow"/>
                      <w:bCs/>
                      <w:color w:val="000000"/>
                      <w:sz w:val="18"/>
                      <w:szCs w:val="20"/>
                    </w:rPr>
                  </w:pPr>
                </w:p>
              </w:tc>
            </w:tr>
          </w:tbl>
          <w:p w14:paraId="1CA7C922" w14:textId="77777777" w:rsidR="00CE76B8" w:rsidRPr="008E65F1" w:rsidRDefault="00CE76B8" w:rsidP="002E1D81">
            <w:pPr>
              <w:pStyle w:val="TableText0"/>
              <w:keepNext w:val="0"/>
            </w:pPr>
            <w:r w:rsidRPr="008E65F1">
              <w:rPr>
                <w:shd w:val="clear" w:color="auto" w:fill="C6D9F1" w:themeFill="text2" w:themeFillTint="33"/>
              </w:rPr>
              <w:t>Source: Australasian Paediatric Endocrine Group (APEG) growth charts for boys and girls in Australia and New Zealand. Averaged across males and females assuming gender split in paediatrics (&lt;18 years) of 47.7% to 52.3%</w:t>
            </w:r>
            <w:r w:rsidRPr="008E65F1">
              <w:t xml:space="preserve"> and in adults (≥18 years) of 35% to 65%.</w:t>
            </w:r>
          </w:p>
        </w:tc>
        <w:tc>
          <w:tcPr>
            <w:tcW w:w="2266" w:type="pct"/>
            <w:shd w:val="clear" w:color="auto" w:fill="auto"/>
            <w:vAlign w:val="center"/>
          </w:tcPr>
          <w:p w14:paraId="6BDBE5BB" w14:textId="6D49F523" w:rsidR="00CE76B8" w:rsidRPr="008E65F1" w:rsidRDefault="00CE76B8" w:rsidP="002E1D81">
            <w:pPr>
              <w:pStyle w:val="TableText0"/>
              <w:keepNext w:val="0"/>
            </w:pPr>
            <w:r w:rsidRPr="008E65F1">
              <w:rPr>
                <w:shd w:val="clear" w:color="auto" w:fill="C6D9F1" w:themeFill="text2" w:themeFillTint="33"/>
              </w:rPr>
              <w:t>Reasonable and consistent with the economic evaluation for paediatric patients. The resubmission determined the average dose of BUR treatment (rounded to nearest 10 mg) by body weight/age calculated as the mean dose multiplied by the mean body weight by age distribution in the Australian population.</w:t>
            </w:r>
            <w:r w:rsidRPr="008E65F1">
              <w:t xml:space="preserve"> It is noted however, the mean weight for patients age 7 and 8 years were inconsistent with data presented in the March 2021 submission, which may be due to incorrect mean weight distribution for females age 7 and 8 years. For adult patients, the financial estimates assumed the body weight by age distribution from the general Australian adult population, which was inconsistent with the modelled economic evaluation that assumed the average patient with XLH was aged 40 years with an average weight of 70 kg based on CL303. The assumed body weight by age distribution for adults in the general population may be an overestimate given patients with XLH typically have short stature and tend to be lighter in weight.</w:t>
            </w:r>
          </w:p>
        </w:tc>
      </w:tr>
      <w:tr w:rsidR="00CE76B8" w:rsidRPr="008E65F1" w14:paraId="5791873F" w14:textId="77777777" w:rsidTr="0095478A">
        <w:trPr>
          <w:cantSplit/>
        </w:trPr>
        <w:tc>
          <w:tcPr>
            <w:tcW w:w="775" w:type="pct"/>
            <w:shd w:val="clear" w:color="auto" w:fill="auto"/>
            <w:vAlign w:val="center"/>
          </w:tcPr>
          <w:p w14:paraId="6F816EE5" w14:textId="77777777" w:rsidR="00CE76B8" w:rsidRPr="008E65F1" w:rsidRDefault="00CE76B8" w:rsidP="002E1D81">
            <w:pPr>
              <w:pStyle w:val="TableText0"/>
              <w:keepNext w:val="0"/>
            </w:pPr>
            <w:r w:rsidRPr="008E65F1">
              <w:lastRenderedPageBreak/>
              <w:t>Population weighting</w:t>
            </w:r>
          </w:p>
        </w:tc>
        <w:tc>
          <w:tcPr>
            <w:tcW w:w="1959" w:type="pct"/>
            <w:shd w:val="clear" w:color="auto" w:fill="auto"/>
            <w:vAlign w:val="center"/>
          </w:tcPr>
          <w:tbl>
            <w:tblPr>
              <w:tblStyle w:val="TableGrid"/>
              <w:tblW w:w="3618" w:type="dxa"/>
              <w:tblLayout w:type="fixed"/>
              <w:tblCellMar>
                <w:left w:w="28" w:type="dxa"/>
                <w:right w:w="28" w:type="dxa"/>
              </w:tblCellMar>
              <w:tblLook w:val="04A0" w:firstRow="1" w:lastRow="0" w:firstColumn="1" w:lastColumn="0" w:noHBand="0" w:noVBand="1"/>
            </w:tblPr>
            <w:tblGrid>
              <w:gridCol w:w="528"/>
              <w:gridCol w:w="1030"/>
              <w:gridCol w:w="683"/>
              <w:gridCol w:w="1377"/>
            </w:tblGrid>
            <w:tr w:rsidR="00D172FD" w:rsidRPr="008E65F1" w14:paraId="42587E22" w14:textId="1063B119" w:rsidTr="00C33187">
              <w:tc>
                <w:tcPr>
                  <w:tcW w:w="528" w:type="dxa"/>
                  <w:vAlign w:val="center"/>
                </w:tcPr>
                <w:p w14:paraId="53883842"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030" w:type="dxa"/>
                  <w:vAlign w:val="center"/>
                </w:tcPr>
                <w:p w14:paraId="2BE31990"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Weighting</w:t>
                  </w:r>
                </w:p>
              </w:tc>
              <w:tc>
                <w:tcPr>
                  <w:tcW w:w="683" w:type="dxa"/>
                  <w:vAlign w:val="center"/>
                </w:tcPr>
                <w:p w14:paraId="2B658B3A" w14:textId="789610CB"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Age</w:t>
                  </w:r>
                </w:p>
              </w:tc>
              <w:tc>
                <w:tcPr>
                  <w:tcW w:w="1377" w:type="dxa"/>
                  <w:vAlign w:val="center"/>
                </w:tcPr>
                <w:p w14:paraId="5B8DD80F" w14:textId="300F2EC3"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cstheme="majorBidi"/>
                      <w:bCs/>
                      <w:sz w:val="18"/>
                    </w:rPr>
                    <w:t>Weighting</w:t>
                  </w:r>
                </w:p>
              </w:tc>
            </w:tr>
            <w:tr w:rsidR="00D172FD" w:rsidRPr="008E65F1" w14:paraId="588A45C6" w14:textId="6BA69854" w:rsidTr="00C33187">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7EBA981"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6D29AD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6.12%</w:t>
                  </w:r>
                </w:p>
              </w:tc>
              <w:tc>
                <w:tcPr>
                  <w:tcW w:w="683" w:type="dxa"/>
                  <w:tcBorders>
                    <w:top w:val="single" w:sz="4" w:space="0" w:color="auto"/>
                    <w:left w:val="single" w:sz="4" w:space="0" w:color="auto"/>
                    <w:bottom w:val="single" w:sz="4" w:space="0" w:color="auto"/>
                    <w:right w:val="single" w:sz="4" w:space="0" w:color="auto"/>
                  </w:tcBorders>
                  <w:vAlign w:val="center"/>
                </w:tcPr>
                <w:p w14:paraId="5FA4F1AF" w14:textId="7FE1AD2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13</w:t>
                  </w:r>
                </w:p>
              </w:tc>
              <w:tc>
                <w:tcPr>
                  <w:tcW w:w="1377" w:type="dxa"/>
                  <w:tcBorders>
                    <w:top w:val="single" w:sz="4" w:space="0" w:color="auto"/>
                    <w:left w:val="single" w:sz="4" w:space="0" w:color="auto"/>
                    <w:bottom w:val="single" w:sz="4" w:space="0" w:color="auto"/>
                    <w:right w:val="single" w:sz="4" w:space="0" w:color="auto"/>
                  </w:tcBorders>
                </w:tcPr>
                <w:p w14:paraId="712EC965" w14:textId="0FBD6D9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r>
            <w:tr w:rsidR="00D172FD" w:rsidRPr="008E65F1" w14:paraId="11DC3CB5" w14:textId="2AF123B3"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BA3B4D1"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2</w:t>
                  </w:r>
                </w:p>
              </w:tc>
              <w:tc>
                <w:tcPr>
                  <w:tcW w:w="1030" w:type="dxa"/>
                  <w:tcBorders>
                    <w:top w:val="nil"/>
                    <w:left w:val="single" w:sz="4" w:space="0" w:color="auto"/>
                    <w:bottom w:val="single" w:sz="4" w:space="0" w:color="auto"/>
                    <w:right w:val="single" w:sz="4" w:space="0" w:color="auto"/>
                  </w:tcBorders>
                  <w:shd w:val="clear" w:color="auto" w:fill="auto"/>
                </w:tcPr>
                <w:p w14:paraId="625C8160"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6.08%</w:t>
                  </w:r>
                </w:p>
              </w:tc>
              <w:tc>
                <w:tcPr>
                  <w:tcW w:w="683" w:type="dxa"/>
                  <w:tcBorders>
                    <w:top w:val="nil"/>
                    <w:left w:val="single" w:sz="4" w:space="0" w:color="auto"/>
                    <w:bottom w:val="single" w:sz="4" w:space="0" w:color="auto"/>
                    <w:right w:val="single" w:sz="4" w:space="0" w:color="auto"/>
                  </w:tcBorders>
                  <w:vAlign w:val="center"/>
                </w:tcPr>
                <w:p w14:paraId="73804950" w14:textId="7122166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w:t>
                  </w:r>
                </w:p>
              </w:tc>
              <w:tc>
                <w:tcPr>
                  <w:tcW w:w="1377" w:type="dxa"/>
                  <w:tcBorders>
                    <w:top w:val="nil"/>
                    <w:left w:val="single" w:sz="4" w:space="0" w:color="auto"/>
                    <w:bottom w:val="single" w:sz="4" w:space="0" w:color="auto"/>
                    <w:right w:val="single" w:sz="4" w:space="0" w:color="auto"/>
                  </w:tcBorders>
                </w:tcPr>
                <w:p w14:paraId="7FF3552D" w14:textId="43C1E0A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5.78%</w:t>
                  </w:r>
                </w:p>
              </w:tc>
            </w:tr>
            <w:tr w:rsidR="00D172FD" w:rsidRPr="008E65F1" w14:paraId="6D9C02DD" w14:textId="3517A6AB"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911B6C2"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3</w:t>
                  </w:r>
                </w:p>
              </w:tc>
              <w:tc>
                <w:tcPr>
                  <w:tcW w:w="1030" w:type="dxa"/>
                  <w:tcBorders>
                    <w:top w:val="nil"/>
                    <w:left w:val="single" w:sz="4" w:space="0" w:color="auto"/>
                    <w:bottom w:val="single" w:sz="4" w:space="0" w:color="auto"/>
                    <w:right w:val="single" w:sz="4" w:space="0" w:color="auto"/>
                  </w:tcBorders>
                  <w:shd w:val="clear" w:color="auto" w:fill="auto"/>
                </w:tcPr>
                <w:p w14:paraId="479D037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6.03%</w:t>
                  </w:r>
                </w:p>
              </w:tc>
              <w:tc>
                <w:tcPr>
                  <w:tcW w:w="683" w:type="dxa"/>
                  <w:tcBorders>
                    <w:top w:val="nil"/>
                    <w:left w:val="single" w:sz="4" w:space="0" w:color="auto"/>
                    <w:bottom w:val="single" w:sz="4" w:space="0" w:color="auto"/>
                    <w:right w:val="single" w:sz="4" w:space="0" w:color="auto"/>
                  </w:tcBorders>
                  <w:vAlign w:val="center"/>
                </w:tcPr>
                <w:p w14:paraId="05237EC8" w14:textId="7FD551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w:t>
                  </w:r>
                </w:p>
              </w:tc>
              <w:tc>
                <w:tcPr>
                  <w:tcW w:w="1377" w:type="dxa"/>
                  <w:tcBorders>
                    <w:top w:val="nil"/>
                    <w:left w:val="single" w:sz="4" w:space="0" w:color="auto"/>
                    <w:bottom w:val="single" w:sz="4" w:space="0" w:color="auto"/>
                    <w:right w:val="single" w:sz="4" w:space="0" w:color="auto"/>
                  </w:tcBorders>
                </w:tcPr>
                <w:p w14:paraId="6761C9C2" w14:textId="35B1B51E"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5.80%</w:t>
                  </w:r>
                </w:p>
              </w:tc>
            </w:tr>
            <w:tr w:rsidR="00D172FD" w:rsidRPr="008E65F1" w14:paraId="762982FD" w14:textId="2D85F6F0"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526CF6D"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4</w:t>
                  </w:r>
                </w:p>
              </w:tc>
              <w:tc>
                <w:tcPr>
                  <w:tcW w:w="1030" w:type="dxa"/>
                  <w:tcBorders>
                    <w:top w:val="nil"/>
                    <w:left w:val="single" w:sz="4" w:space="0" w:color="auto"/>
                    <w:bottom w:val="single" w:sz="4" w:space="0" w:color="auto"/>
                    <w:right w:val="single" w:sz="4" w:space="0" w:color="auto"/>
                  </w:tcBorders>
                  <w:shd w:val="clear" w:color="auto" w:fill="auto"/>
                </w:tcPr>
                <w:p w14:paraId="0CF034E2"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5.98%</w:t>
                  </w:r>
                </w:p>
              </w:tc>
              <w:tc>
                <w:tcPr>
                  <w:tcW w:w="683" w:type="dxa"/>
                  <w:tcBorders>
                    <w:top w:val="nil"/>
                    <w:left w:val="single" w:sz="4" w:space="0" w:color="auto"/>
                    <w:bottom w:val="single" w:sz="4" w:space="0" w:color="auto"/>
                    <w:right w:val="single" w:sz="4" w:space="0" w:color="auto"/>
                  </w:tcBorders>
                  <w:vAlign w:val="center"/>
                </w:tcPr>
                <w:p w14:paraId="0E96AD2C" w14:textId="7D7E1E3B"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16</w:t>
                  </w:r>
                </w:p>
              </w:tc>
              <w:tc>
                <w:tcPr>
                  <w:tcW w:w="1377" w:type="dxa"/>
                  <w:tcBorders>
                    <w:top w:val="nil"/>
                    <w:left w:val="single" w:sz="4" w:space="0" w:color="auto"/>
                    <w:bottom w:val="single" w:sz="4" w:space="0" w:color="auto"/>
                    <w:right w:val="single" w:sz="4" w:space="0" w:color="auto"/>
                  </w:tcBorders>
                </w:tcPr>
                <w:p w14:paraId="075F1867" w14:textId="6A5AB192"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5.77%</w:t>
                  </w:r>
                </w:p>
              </w:tc>
            </w:tr>
            <w:tr w:rsidR="00D172FD" w:rsidRPr="008E65F1" w14:paraId="30331BA8" w14:textId="6637D845"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3193094A"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5</w:t>
                  </w:r>
                </w:p>
              </w:tc>
              <w:tc>
                <w:tcPr>
                  <w:tcW w:w="1030" w:type="dxa"/>
                  <w:tcBorders>
                    <w:top w:val="nil"/>
                    <w:left w:val="single" w:sz="4" w:space="0" w:color="auto"/>
                    <w:bottom w:val="single" w:sz="4" w:space="0" w:color="auto"/>
                    <w:right w:val="single" w:sz="4" w:space="0" w:color="auto"/>
                  </w:tcBorders>
                  <w:shd w:val="clear" w:color="auto" w:fill="auto"/>
                </w:tcPr>
                <w:p w14:paraId="70D82C94"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5.93%</w:t>
                  </w:r>
                </w:p>
              </w:tc>
              <w:tc>
                <w:tcPr>
                  <w:tcW w:w="683" w:type="dxa"/>
                  <w:tcBorders>
                    <w:top w:val="nil"/>
                    <w:left w:val="single" w:sz="4" w:space="0" w:color="auto"/>
                    <w:bottom w:val="single" w:sz="4" w:space="0" w:color="auto"/>
                    <w:right w:val="single" w:sz="4" w:space="0" w:color="auto"/>
                  </w:tcBorders>
                  <w:vAlign w:val="center"/>
                </w:tcPr>
                <w:p w14:paraId="14FBA104" w14:textId="345B1CD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w:t>
                  </w:r>
                </w:p>
              </w:tc>
              <w:tc>
                <w:tcPr>
                  <w:tcW w:w="1377" w:type="dxa"/>
                  <w:tcBorders>
                    <w:top w:val="nil"/>
                    <w:left w:val="single" w:sz="4" w:space="0" w:color="auto"/>
                    <w:bottom w:val="single" w:sz="4" w:space="0" w:color="auto"/>
                    <w:right w:val="single" w:sz="4" w:space="0" w:color="auto"/>
                  </w:tcBorders>
                </w:tcPr>
                <w:p w14:paraId="0770B965" w14:textId="266EF033"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5.64%</w:t>
                  </w:r>
                </w:p>
              </w:tc>
            </w:tr>
            <w:tr w:rsidR="00D172FD" w:rsidRPr="008E65F1" w14:paraId="016EF6B8" w14:textId="0A850181" w:rsidTr="00C33187">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33B8D978"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w:t>
                  </w:r>
                </w:p>
              </w:tc>
              <w:tc>
                <w:tcPr>
                  <w:tcW w:w="1030" w:type="dxa"/>
                  <w:tcBorders>
                    <w:top w:val="nil"/>
                    <w:left w:val="single" w:sz="4" w:space="0" w:color="auto"/>
                    <w:bottom w:val="single" w:sz="4" w:space="0" w:color="auto"/>
                    <w:right w:val="single" w:sz="4" w:space="0" w:color="auto"/>
                  </w:tcBorders>
                  <w:shd w:val="clear" w:color="auto" w:fill="auto"/>
                </w:tcPr>
                <w:p w14:paraId="557B977A"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5.71%</w:t>
                  </w:r>
                </w:p>
              </w:tc>
              <w:tc>
                <w:tcPr>
                  <w:tcW w:w="683" w:type="dxa"/>
                  <w:tcBorders>
                    <w:top w:val="nil"/>
                    <w:left w:val="single" w:sz="4" w:space="0" w:color="auto"/>
                    <w:bottom w:val="single" w:sz="4" w:space="0" w:color="auto"/>
                    <w:right w:val="single" w:sz="4" w:space="0" w:color="auto"/>
                  </w:tcBorders>
                  <w:vAlign w:val="center"/>
                </w:tcPr>
                <w:p w14:paraId="45657086" w14:textId="0901AAE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18-24</w:t>
                  </w:r>
                </w:p>
              </w:tc>
              <w:tc>
                <w:tcPr>
                  <w:tcW w:w="1377" w:type="dxa"/>
                  <w:tcBorders>
                    <w:top w:val="nil"/>
                    <w:left w:val="single" w:sz="4" w:space="0" w:color="auto"/>
                    <w:bottom w:val="single" w:sz="4" w:space="0" w:color="auto"/>
                    <w:right w:val="single" w:sz="4" w:space="0" w:color="auto"/>
                  </w:tcBorders>
                </w:tcPr>
                <w:p w14:paraId="2B9772FA" w14:textId="2006E3C6"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11.62%</w:t>
                  </w:r>
                </w:p>
              </w:tc>
            </w:tr>
            <w:tr w:rsidR="00D172FD" w:rsidRPr="008E65F1" w14:paraId="0C484F78" w14:textId="6C22B4BD"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8FBAAB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7</w:t>
                  </w:r>
                </w:p>
              </w:tc>
              <w:tc>
                <w:tcPr>
                  <w:tcW w:w="1030" w:type="dxa"/>
                  <w:tcBorders>
                    <w:top w:val="nil"/>
                    <w:left w:val="single" w:sz="4" w:space="0" w:color="auto"/>
                    <w:bottom w:val="single" w:sz="4" w:space="0" w:color="auto"/>
                    <w:right w:val="single" w:sz="4" w:space="0" w:color="auto"/>
                  </w:tcBorders>
                  <w:shd w:val="clear" w:color="auto" w:fill="auto"/>
                </w:tcPr>
                <w:p w14:paraId="09D00479"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5.98%</w:t>
                  </w:r>
                </w:p>
              </w:tc>
              <w:tc>
                <w:tcPr>
                  <w:tcW w:w="683" w:type="dxa"/>
                  <w:tcBorders>
                    <w:top w:val="nil"/>
                    <w:left w:val="single" w:sz="4" w:space="0" w:color="auto"/>
                    <w:bottom w:val="single" w:sz="4" w:space="0" w:color="auto"/>
                    <w:right w:val="single" w:sz="4" w:space="0" w:color="auto"/>
                  </w:tcBorders>
                  <w:vAlign w:val="center"/>
                </w:tcPr>
                <w:p w14:paraId="486FD51F" w14:textId="435CD3B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25-34</w:t>
                  </w:r>
                </w:p>
              </w:tc>
              <w:tc>
                <w:tcPr>
                  <w:tcW w:w="1377" w:type="dxa"/>
                  <w:tcBorders>
                    <w:top w:val="nil"/>
                    <w:left w:val="single" w:sz="4" w:space="0" w:color="auto"/>
                    <w:bottom w:val="single" w:sz="4" w:space="0" w:color="auto"/>
                    <w:right w:val="single" w:sz="4" w:space="0" w:color="auto"/>
                  </w:tcBorders>
                </w:tcPr>
                <w:p w14:paraId="0A7CA149" w14:textId="5B32AA1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19.28%</w:t>
                  </w:r>
                </w:p>
              </w:tc>
            </w:tr>
            <w:tr w:rsidR="00D172FD" w:rsidRPr="008E65F1" w14:paraId="10F19B0E" w14:textId="6A443347"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4D1D5E96"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8</w:t>
                  </w:r>
                </w:p>
              </w:tc>
              <w:tc>
                <w:tcPr>
                  <w:tcW w:w="1030" w:type="dxa"/>
                  <w:tcBorders>
                    <w:top w:val="nil"/>
                    <w:left w:val="single" w:sz="4" w:space="0" w:color="auto"/>
                    <w:bottom w:val="single" w:sz="4" w:space="0" w:color="auto"/>
                    <w:right w:val="single" w:sz="4" w:space="0" w:color="auto"/>
                  </w:tcBorders>
                  <w:shd w:val="clear" w:color="auto" w:fill="auto"/>
                </w:tcPr>
                <w:p w14:paraId="7AC27439"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5.87%</w:t>
                  </w:r>
                </w:p>
              </w:tc>
              <w:tc>
                <w:tcPr>
                  <w:tcW w:w="683" w:type="dxa"/>
                  <w:tcBorders>
                    <w:top w:val="nil"/>
                    <w:left w:val="single" w:sz="4" w:space="0" w:color="auto"/>
                    <w:bottom w:val="single" w:sz="4" w:space="0" w:color="auto"/>
                    <w:right w:val="single" w:sz="4" w:space="0" w:color="auto"/>
                  </w:tcBorders>
                  <w:vAlign w:val="center"/>
                </w:tcPr>
                <w:p w14:paraId="61C89479" w14:textId="41B4C8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35-44</w:t>
                  </w:r>
                </w:p>
              </w:tc>
              <w:tc>
                <w:tcPr>
                  <w:tcW w:w="1377" w:type="dxa"/>
                  <w:tcBorders>
                    <w:top w:val="nil"/>
                    <w:left w:val="single" w:sz="4" w:space="0" w:color="auto"/>
                    <w:bottom w:val="single" w:sz="4" w:space="0" w:color="auto"/>
                    <w:right w:val="single" w:sz="4" w:space="0" w:color="auto"/>
                  </w:tcBorders>
                </w:tcPr>
                <w:p w14:paraId="557008C1" w14:textId="4F7B6455"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17.74%</w:t>
                  </w:r>
                </w:p>
              </w:tc>
            </w:tr>
            <w:tr w:rsidR="00D172FD" w:rsidRPr="008E65F1" w14:paraId="04247C34" w14:textId="460CA569"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1FD634BD"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9</w:t>
                  </w:r>
                </w:p>
              </w:tc>
              <w:tc>
                <w:tcPr>
                  <w:tcW w:w="1030" w:type="dxa"/>
                  <w:tcBorders>
                    <w:top w:val="nil"/>
                    <w:left w:val="single" w:sz="4" w:space="0" w:color="auto"/>
                    <w:bottom w:val="single" w:sz="4" w:space="0" w:color="auto"/>
                    <w:right w:val="single" w:sz="4" w:space="0" w:color="auto"/>
                  </w:tcBorders>
                  <w:shd w:val="clear" w:color="auto" w:fill="auto"/>
                </w:tcPr>
                <w:p w14:paraId="77B20987"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c>
                <w:tcPr>
                  <w:tcW w:w="683" w:type="dxa"/>
                  <w:tcBorders>
                    <w:top w:val="nil"/>
                    <w:left w:val="single" w:sz="4" w:space="0" w:color="auto"/>
                    <w:bottom w:val="single" w:sz="4" w:space="0" w:color="auto"/>
                    <w:right w:val="single" w:sz="4" w:space="0" w:color="auto"/>
                  </w:tcBorders>
                  <w:vAlign w:val="center"/>
                </w:tcPr>
                <w:p w14:paraId="5893CE14" w14:textId="4BC4E852"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45-54</w:t>
                  </w:r>
                </w:p>
              </w:tc>
              <w:tc>
                <w:tcPr>
                  <w:tcW w:w="1377" w:type="dxa"/>
                  <w:tcBorders>
                    <w:top w:val="nil"/>
                    <w:left w:val="single" w:sz="4" w:space="0" w:color="auto"/>
                    <w:bottom w:val="single" w:sz="4" w:space="0" w:color="auto"/>
                    <w:right w:val="single" w:sz="4" w:space="0" w:color="auto"/>
                  </w:tcBorders>
                </w:tcPr>
                <w:p w14:paraId="6E328A0E" w14:textId="5C116AA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15.58%</w:t>
                  </w:r>
                </w:p>
              </w:tc>
            </w:tr>
            <w:tr w:rsidR="00D172FD" w:rsidRPr="008E65F1" w14:paraId="532F73C5" w14:textId="23E71DEB"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06BD899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10</w:t>
                  </w:r>
                </w:p>
              </w:tc>
              <w:tc>
                <w:tcPr>
                  <w:tcW w:w="1030" w:type="dxa"/>
                  <w:tcBorders>
                    <w:top w:val="nil"/>
                    <w:left w:val="single" w:sz="4" w:space="0" w:color="auto"/>
                    <w:bottom w:val="single" w:sz="4" w:space="0" w:color="auto"/>
                    <w:right w:val="single" w:sz="4" w:space="0" w:color="auto"/>
                  </w:tcBorders>
                  <w:shd w:val="clear" w:color="auto" w:fill="auto"/>
                </w:tcPr>
                <w:p w14:paraId="30554B1D"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5.92%</w:t>
                  </w:r>
                </w:p>
              </w:tc>
              <w:tc>
                <w:tcPr>
                  <w:tcW w:w="683" w:type="dxa"/>
                  <w:tcBorders>
                    <w:top w:val="nil"/>
                    <w:left w:val="single" w:sz="4" w:space="0" w:color="auto"/>
                    <w:bottom w:val="single" w:sz="4" w:space="0" w:color="auto"/>
                    <w:right w:val="single" w:sz="4" w:space="0" w:color="auto"/>
                  </w:tcBorders>
                  <w:vAlign w:val="center"/>
                </w:tcPr>
                <w:p w14:paraId="29E03151" w14:textId="233572D8"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55-64</w:t>
                  </w:r>
                </w:p>
              </w:tc>
              <w:tc>
                <w:tcPr>
                  <w:tcW w:w="1377" w:type="dxa"/>
                  <w:tcBorders>
                    <w:top w:val="nil"/>
                    <w:left w:val="single" w:sz="4" w:space="0" w:color="auto"/>
                    <w:bottom w:val="single" w:sz="4" w:space="0" w:color="auto"/>
                    <w:right w:val="single" w:sz="4" w:space="0" w:color="auto"/>
                  </w:tcBorders>
                </w:tcPr>
                <w:p w14:paraId="74738A53" w14:textId="54838AB4"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14.31%</w:t>
                  </w:r>
                </w:p>
              </w:tc>
            </w:tr>
            <w:tr w:rsidR="00D172FD" w:rsidRPr="008E65F1" w14:paraId="625778F6" w14:textId="0F8E76B6" w:rsidTr="00C33187">
              <w:tc>
                <w:tcPr>
                  <w:tcW w:w="528" w:type="dxa"/>
                  <w:tcBorders>
                    <w:top w:val="nil"/>
                    <w:left w:val="single" w:sz="4" w:space="0" w:color="auto"/>
                    <w:bottom w:val="single" w:sz="4" w:space="0" w:color="auto"/>
                    <w:right w:val="single" w:sz="4" w:space="0" w:color="auto"/>
                  </w:tcBorders>
                  <w:shd w:val="clear" w:color="auto" w:fill="auto"/>
                  <w:vAlign w:val="center"/>
                </w:tcPr>
                <w:p w14:paraId="5E793D68" w14:textId="77777777" w:rsidR="00D172FD" w:rsidRPr="008E65F1" w:rsidRDefault="00D172FD" w:rsidP="00D172FD">
                  <w:pPr>
                    <w:jc w:val="center"/>
                    <w:rPr>
                      <w:rFonts w:ascii="Arial Narrow" w:eastAsiaTheme="majorEastAsia" w:hAnsi="Arial Narrow" w:cstheme="majorBidi"/>
                      <w:bCs/>
                      <w:sz w:val="18"/>
                    </w:rPr>
                  </w:pPr>
                  <w:r w:rsidRPr="008E65F1">
                    <w:rPr>
                      <w:rFonts w:ascii="Arial Narrow" w:eastAsiaTheme="majorEastAsia" w:hAnsi="Arial Narrow"/>
                      <w:bCs/>
                      <w:color w:val="000000"/>
                      <w:sz w:val="18"/>
                      <w:szCs w:val="20"/>
                    </w:rPr>
                    <w:t>11</w:t>
                  </w:r>
                </w:p>
              </w:tc>
              <w:tc>
                <w:tcPr>
                  <w:tcW w:w="1030" w:type="dxa"/>
                  <w:tcBorders>
                    <w:top w:val="nil"/>
                    <w:left w:val="single" w:sz="4" w:space="0" w:color="auto"/>
                    <w:bottom w:val="single" w:sz="4" w:space="0" w:color="auto"/>
                    <w:right w:val="single" w:sz="4" w:space="0" w:color="auto"/>
                  </w:tcBorders>
                  <w:shd w:val="clear" w:color="auto" w:fill="auto"/>
                </w:tcPr>
                <w:p w14:paraId="6C35ADBF"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5.85%</w:t>
                  </w:r>
                </w:p>
              </w:tc>
              <w:tc>
                <w:tcPr>
                  <w:tcW w:w="683" w:type="dxa"/>
                  <w:tcBorders>
                    <w:top w:val="nil"/>
                    <w:left w:val="single" w:sz="4" w:space="0" w:color="auto"/>
                    <w:bottom w:val="single" w:sz="4" w:space="0" w:color="auto"/>
                    <w:right w:val="single" w:sz="4" w:space="0" w:color="auto"/>
                  </w:tcBorders>
                  <w:vAlign w:val="center"/>
                </w:tcPr>
                <w:p w14:paraId="17BF3FFF" w14:textId="556D0B1C"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65-100</w:t>
                  </w:r>
                </w:p>
              </w:tc>
              <w:tc>
                <w:tcPr>
                  <w:tcW w:w="1377" w:type="dxa"/>
                  <w:tcBorders>
                    <w:top w:val="nil"/>
                    <w:left w:val="single" w:sz="4" w:space="0" w:color="auto"/>
                    <w:bottom w:val="single" w:sz="4" w:space="0" w:color="auto"/>
                    <w:right w:val="single" w:sz="4" w:space="0" w:color="auto"/>
                  </w:tcBorders>
                </w:tcPr>
                <w:p w14:paraId="676CCE99" w14:textId="5350045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21.47%</w:t>
                  </w:r>
                </w:p>
              </w:tc>
            </w:tr>
            <w:tr w:rsidR="00D172FD" w:rsidRPr="008E65F1" w14:paraId="210B1F91" w14:textId="543EC369" w:rsidTr="000A19FA">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0C869E1"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12</w:t>
                  </w:r>
                </w:p>
              </w:tc>
              <w:tc>
                <w:tcPr>
                  <w:tcW w:w="1030" w:type="dxa"/>
                  <w:tcBorders>
                    <w:top w:val="nil"/>
                    <w:left w:val="single" w:sz="4" w:space="0" w:color="auto"/>
                    <w:bottom w:val="single" w:sz="4" w:space="0" w:color="auto"/>
                    <w:right w:val="single" w:sz="4" w:space="0" w:color="auto"/>
                  </w:tcBorders>
                  <w:shd w:val="clear" w:color="auto" w:fill="auto"/>
                </w:tcPr>
                <w:p w14:paraId="3392C7E3" w14:textId="77777777" w:rsidR="00D172FD" w:rsidRPr="008E65F1" w:rsidRDefault="00D172FD" w:rsidP="00D172FD">
                  <w:pPr>
                    <w:jc w:val="center"/>
                    <w:rPr>
                      <w:rFonts w:ascii="Arial Narrow" w:eastAsiaTheme="majorEastAsia" w:hAnsi="Arial Narrow"/>
                      <w:bCs/>
                      <w:color w:val="000000"/>
                      <w:sz w:val="18"/>
                      <w:szCs w:val="20"/>
                    </w:rPr>
                  </w:pPr>
                  <w:r w:rsidRPr="008E65F1">
                    <w:rPr>
                      <w:rFonts w:ascii="Arial Narrow" w:eastAsiaTheme="majorEastAsia" w:hAnsi="Arial Narrow"/>
                      <w:bCs/>
                      <w:color w:val="000000"/>
                      <w:sz w:val="18"/>
                      <w:szCs w:val="20"/>
                    </w:rPr>
                    <w:t>5.83%</w:t>
                  </w:r>
                </w:p>
              </w:tc>
              <w:tc>
                <w:tcPr>
                  <w:tcW w:w="683" w:type="dxa"/>
                  <w:tcBorders>
                    <w:top w:val="nil"/>
                    <w:left w:val="single" w:sz="4" w:space="0" w:color="auto"/>
                    <w:bottom w:val="single" w:sz="4" w:space="0" w:color="auto"/>
                    <w:right w:val="single" w:sz="4" w:space="0" w:color="auto"/>
                  </w:tcBorders>
                </w:tcPr>
                <w:p w14:paraId="65E5E173" w14:textId="77777777" w:rsidR="00D172FD" w:rsidRPr="008E65F1" w:rsidRDefault="00D172FD" w:rsidP="00D172FD">
                  <w:pPr>
                    <w:jc w:val="center"/>
                    <w:rPr>
                      <w:rFonts w:ascii="Arial Narrow" w:eastAsiaTheme="majorEastAsia" w:hAnsi="Arial Narrow"/>
                      <w:bCs/>
                      <w:color w:val="000000"/>
                      <w:sz w:val="18"/>
                      <w:szCs w:val="20"/>
                    </w:rPr>
                  </w:pPr>
                </w:p>
              </w:tc>
              <w:tc>
                <w:tcPr>
                  <w:tcW w:w="1377" w:type="dxa"/>
                  <w:tcBorders>
                    <w:top w:val="nil"/>
                    <w:left w:val="single" w:sz="4" w:space="0" w:color="auto"/>
                    <w:bottom w:val="single" w:sz="4" w:space="0" w:color="auto"/>
                    <w:right w:val="single" w:sz="4" w:space="0" w:color="auto"/>
                  </w:tcBorders>
                </w:tcPr>
                <w:p w14:paraId="06DB6858" w14:textId="77777777" w:rsidR="00D172FD" w:rsidRPr="008E65F1" w:rsidRDefault="00D172FD" w:rsidP="00D172FD">
                  <w:pPr>
                    <w:jc w:val="center"/>
                    <w:rPr>
                      <w:rFonts w:ascii="Arial Narrow" w:eastAsiaTheme="majorEastAsia" w:hAnsi="Arial Narrow"/>
                      <w:bCs/>
                      <w:color w:val="000000"/>
                      <w:sz w:val="18"/>
                      <w:szCs w:val="20"/>
                    </w:rPr>
                  </w:pPr>
                </w:p>
              </w:tc>
            </w:tr>
          </w:tbl>
          <w:p w14:paraId="28E2F2C0" w14:textId="77777777" w:rsidR="00CE76B8" w:rsidRPr="008E65F1" w:rsidRDefault="00CE76B8" w:rsidP="002E1D81">
            <w:pPr>
              <w:pStyle w:val="TableText0"/>
              <w:keepNext w:val="0"/>
            </w:pPr>
            <w:r w:rsidRPr="008E65F1">
              <w:t>Source: Calculated based on Y1 (2023) ABS population distribution by age (i.e., base paediatric or adult population by age / total population 1-17 years or 18-100 years)</w:t>
            </w:r>
          </w:p>
        </w:tc>
        <w:tc>
          <w:tcPr>
            <w:tcW w:w="2266" w:type="pct"/>
            <w:shd w:val="clear" w:color="auto" w:fill="auto"/>
            <w:vAlign w:val="center"/>
          </w:tcPr>
          <w:p w14:paraId="25876DF1" w14:textId="448C2FA5" w:rsidR="00CE76B8" w:rsidRPr="008E65F1" w:rsidRDefault="00CE76B8" w:rsidP="002E1D81">
            <w:pPr>
              <w:pStyle w:val="TableText0"/>
              <w:keepNext w:val="0"/>
            </w:pPr>
            <w:r w:rsidRPr="008E65F1">
              <w:t>The resubmission derived the population weighting to estimate the average number and strengths of treatment units (e.g. vials) required per dose in the population distribution by body weight/age. The resubmission inappropriately assumed the population weighting based on the Yr 1 (2023) ABS population distribution by age for all 6 years of listing. In the March 2021 meeting, DUSC noted that the pattern of use is likely to change over time; initially, prevalent patients are likely to be older and with greater disease duration; however, as the prevalent population is treated, the mean age of incident patients commencing BUR treatment is likely to be closer to 1 year of age (or age of diagnosis) (para 6.66 and 6.68, burosumab PSD March 2021).</w:t>
            </w:r>
          </w:p>
        </w:tc>
      </w:tr>
      <w:tr w:rsidR="00CE76B8" w:rsidRPr="008E65F1" w14:paraId="05C4250E" w14:textId="77777777" w:rsidTr="0095478A">
        <w:trPr>
          <w:cantSplit/>
        </w:trPr>
        <w:tc>
          <w:tcPr>
            <w:tcW w:w="775" w:type="pct"/>
            <w:shd w:val="clear" w:color="auto" w:fill="auto"/>
            <w:vAlign w:val="center"/>
          </w:tcPr>
          <w:p w14:paraId="04FE6DC8" w14:textId="77777777" w:rsidR="00CE76B8" w:rsidRPr="008E65F1" w:rsidRDefault="00CE76B8" w:rsidP="002E1D81">
            <w:pPr>
              <w:pStyle w:val="TableText0"/>
              <w:keepNext w:val="0"/>
            </w:pPr>
            <w:r w:rsidRPr="008E65F1">
              <w:t>% BUR pack split by population weight/age distribution</w:t>
            </w:r>
          </w:p>
        </w:tc>
        <w:tc>
          <w:tcPr>
            <w:tcW w:w="1959" w:type="pct"/>
            <w:shd w:val="clear" w:color="auto" w:fill="auto"/>
            <w:vAlign w:val="center"/>
          </w:tcPr>
          <w:tbl>
            <w:tblPr>
              <w:tblStyle w:val="TableGrid"/>
              <w:tblW w:w="3618" w:type="dxa"/>
              <w:tblLayout w:type="fixed"/>
              <w:tblCellMar>
                <w:left w:w="28" w:type="dxa"/>
                <w:right w:w="28" w:type="dxa"/>
              </w:tblCellMar>
              <w:tblLook w:val="04A0" w:firstRow="1" w:lastRow="0" w:firstColumn="1" w:lastColumn="0" w:noHBand="0" w:noVBand="1"/>
            </w:tblPr>
            <w:tblGrid>
              <w:gridCol w:w="525"/>
              <w:gridCol w:w="1031"/>
              <w:gridCol w:w="685"/>
              <w:gridCol w:w="1377"/>
            </w:tblGrid>
            <w:tr w:rsidR="000635C3" w:rsidRPr="008E65F1" w14:paraId="251CC953" w14:textId="45B15830" w:rsidTr="000A19FA">
              <w:tc>
                <w:tcPr>
                  <w:tcW w:w="525" w:type="dxa"/>
                </w:tcPr>
                <w:p w14:paraId="2FC648BB"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BUR</w:t>
                  </w:r>
                </w:p>
              </w:tc>
              <w:tc>
                <w:tcPr>
                  <w:tcW w:w="1031" w:type="dxa"/>
                </w:tcPr>
                <w:p w14:paraId="64E0F4D0"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 population split</w:t>
                  </w:r>
                </w:p>
              </w:tc>
              <w:tc>
                <w:tcPr>
                  <w:tcW w:w="685" w:type="dxa"/>
                </w:tcPr>
                <w:p w14:paraId="37F55253" w14:textId="580A47E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BUR</w:t>
                  </w:r>
                </w:p>
              </w:tc>
              <w:tc>
                <w:tcPr>
                  <w:tcW w:w="1377" w:type="dxa"/>
                </w:tcPr>
                <w:p w14:paraId="3F90F3EB" w14:textId="1D753C04"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 population split</w:t>
                  </w:r>
                </w:p>
              </w:tc>
            </w:tr>
            <w:tr w:rsidR="000A19FA" w:rsidRPr="008E65F1" w14:paraId="0A6BCF2C" w14:textId="36EA46FA" w:rsidTr="005739FB">
              <w:tc>
                <w:tcPr>
                  <w:tcW w:w="1556" w:type="dxa"/>
                  <w:gridSpan w:val="2"/>
                </w:tcPr>
                <w:p w14:paraId="5C642EFF" w14:textId="77777777" w:rsidR="000A19FA" w:rsidRPr="008E65F1" w:rsidRDefault="000A19FA" w:rsidP="000635C3">
                  <w:pPr>
                    <w:jc w:val="left"/>
                    <w:rPr>
                      <w:rFonts w:ascii="Arial Narrow" w:eastAsiaTheme="majorEastAsia" w:hAnsi="Arial Narrow" w:cstheme="majorBidi"/>
                      <w:b/>
                      <w:bCs/>
                      <w:sz w:val="18"/>
                    </w:rPr>
                  </w:pPr>
                  <w:r w:rsidRPr="008E65F1">
                    <w:rPr>
                      <w:rFonts w:ascii="Arial Narrow" w:eastAsiaTheme="majorEastAsia" w:hAnsi="Arial Narrow" w:cstheme="majorBidi"/>
                      <w:b/>
                      <w:bCs/>
                      <w:sz w:val="18"/>
                    </w:rPr>
                    <w:t>Paediatrics</w:t>
                  </w:r>
                </w:p>
              </w:tc>
              <w:tc>
                <w:tcPr>
                  <w:tcW w:w="2062" w:type="dxa"/>
                  <w:gridSpan w:val="2"/>
                </w:tcPr>
                <w:p w14:paraId="54B1BF08" w14:textId="7471E159" w:rsidR="000A19FA" w:rsidRPr="008E65F1" w:rsidRDefault="000A19FA" w:rsidP="000635C3">
                  <w:pPr>
                    <w:jc w:val="left"/>
                    <w:rPr>
                      <w:rFonts w:ascii="Arial Narrow" w:eastAsiaTheme="majorEastAsia" w:hAnsi="Arial Narrow" w:cstheme="majorBidi"/>
                      <w:b/>
                      <w:bCs/>
                      <w:sz w:val="18"/>
                    </w:rPr>
                  </w:pPr>
                  <w:r w:rsidRPr="008E65F1">
                    <w:rPr>
                      <w:rFonts w:ascii="Arial Narrow" w:eastAsiaTheme="majorEastAsia" w:hAnsi="Arial Narrow" w:cstheme="majorBidi"/>
                      <w:b/>
                      <w:bCs/>
                      <w:sz w:val="18"/>
                    </w:rPr>
                    <w:t>Adults</w:t>
                  </w:r>
                </w:p>
              </w:tc>
            </w:tr>
            <w:tr w:rsidR="000635C3" w:rsidRPr="008E65F1" w14:paraId="0A79C382" w14:textId="41FA8A6C" w:rsidTr="000A19FA">
              <w:tc>
                <w:tcPr>
                  <w:tcW w:w="525" w:type="dxa"/>
                </w:tcPr>
                <w:p w14:paraId="64F778FD"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10mg</w:t>
                  </w:r>
                </w:p>
              </w:tc>
              <w:tc>
                <w:tcPr>
                  <w:tcW w:w="1031" w:type="dxa"/>
                </w:tcPr>
                <w:p w14:paraId="04E96FF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18.23%</w:t>
                  </w:r>
                </w:p>
              </w:tc>
              <w:tc>
                <w:tcPr>
                  <w:tcW w:w="685" w:type="dxa"/>
                </w:tcPr>
                <w:p w14:paraId="70746497" w14:textId="65F2EB4A"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10mg</w:t>
                  </w:r>
                </w:p>
              </w:tc>
              <w:tc>
                <w:tcPr>
                  <w:tcW w:w="1377" w:type="dxa"/>
                </w:tcPr>
                <w:p w14:paraId="439D1605" w14:textId="33396F7E"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52.37%</w:t>
                  </w:r>
                </w:p>
              </w:tc>
            </w:tr>
            <w:tr w:rsidR="000635C3" w:rsidRPr="008E65F1" w14:paraId="5C659C3A" w14:textId="7C628DE9" w:rsidTr="000A19FA">
              <w:tc>
                <w:tcPr>
                  <w:tcW w:w="525" w:type="dxa"/>
                </w:tcPr>
                <w:p w14:paraId="7C4E0519"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20mg</w:t>
                  </w:r>
                </w:p>
              </w:tc>
              <w:tc>
                <w:tcPr>
                  <w:tcW w:w="1031" w:type="dxa"/>
                </w:tcPr>
                <w:p w14:paraId="58269D19"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70.19%</w:t>
                  </w:r>
                </w:p>
              </w:tc>
              <w:tc>
                <w:tcPr>
                  <w:tcW w:w="685" w:type="dxa"/>
                </w:tcPr>
                <w:p w14:paraId="15371C8C" w14:textId="3D77070C"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20mg</w:t>
                  </w:r>
                </w:p>
              </w:tc>
              <w:tc>
                <w:tcPr>
                  <w:tcW w:w="1377" w:type="dxa"/>
                </w:tcPr>
                <w:p w14:paraId="6BEB2A83" w14:textId="1A561BC6"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47.63%</w:t>
                  </w:r>
                </w:p>
              </w:tc>
            </w:tr>
            <w:tr w:rsidR="000635C3" w:rsidRPr="008E65F1" w14:paraId="1585F5CD" w14:textId="37CAE1FF" w:rsidTr="000A19FA">
              <w:tc>
                <w:tcPr>
                  <w:tcW w:w="525" w:type="dxa"/>
                </w:tcPr>
                <w:p w14:paraId="4127363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30mg</w:t>
                  </w:r>
                </w:p>
              </w:tc>
              <w:tc>
                <w:tcPr>
                  <w:tcW w:w="1031" w:type="dxa"/>
                </w:tcPr>
                <w:p w14:paraId="18587B7C" w14:textId="77777777"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46.26%</w:t>
                  </w:r>
                </w:p>
              </w:tc>
              <w:tc>
                <w:tcPr>
                  <w:tcW w:w="685" w:type="dxa"/>
                </w:tcPr>
                <w:p w14:paraId="30BF1690" w14:textId="7474282F"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30mg</w:t>
                  </w:r>
                </w:p>
              </w:tc>
              <w:tc>
                <w:tcPr>
                  <w:tcW w:w="1377" w:type="dxa"/>
                </w:tcPr>
                <w:p w14:paraId="7D4CB798" w14:textId="27368830" w:rsidR="000635C3" w:rsidRPr="008E65F1" w:rsidRDefault="000635C3" w:rsidP="000635C3">
                  <w:pPr>
                    <w:jc w:val="left"/>
                    <w:rPr>
                      <w:rFonts w:ascii="Arial Narrow" w:eastAsiaTheme="majorEastAsia" w:hAnsi="Arial Narrow" w:cstheme="majorBidi"/>
                      <w:bCs/>
                      <w:sz w:val="18"/>
                    </w:rPr>
                  </w:pPr>
                  <w:r w:rsidRPr="008E65F1">
                    <w:rPr>
                      <w:rFonts w:ascii="Arial Narrow" w:eastAsiaTheme="majorEastAsia" w:hAnsi="Arial Narrow" w:cstheme="majorBidi"/>
                      <w:bCs/>
                      <w:sz w:val="18"/>
                    </w:rPr>
                    <w:t>200.00%</w:t>
                  </w:r>
                </w:p>
              </w:tc>
            </w:tr>
          </w:tbl>
          <w:p w14:paraId="67EEF395" w14:textId="77777777" w:rsidR="00CE76B8" w:rsidRPr="008E65F1" w:rsidRDefault="00CE76B8" w:rsidP="002E1D81">
            <w:pPr>
              <w:pStyle w:val="TableText0"/>
              <w:keepNext w:val="0"/>
            </w:pPr>
            <w:r w:rsidRPr="008E65F1">
              <w:t>Source: Calculation based on Section 3. Sum of age/weight distribution (population weighting x number of BUR vials by strength)</w:t>
            </w:r>
          </w:p>
        </w:tc>
        <w:tc>
          <w:tcPr>
            <w:tcW w:w="2266" w:type="pct"/>
            <w:shd w:val="clear" w:color="auto" w:fill="auto"/>
            <w:vAlign w:val="center"/>
          </w:tcPr>
          <w:p w14:paraId="550396FC" w14:textId="77777777" w:rsidR="00CE76B8" w:rsidRPr="008E65F1" w:rsidRDefault="00CE76B8" w:rsidP="002E1D81">
            <w:pPr>
              <w:pStyle w:val="TableText0"/>
              <w:keepNext w:val="0"/>
            </w:pPr>
            <w:r w:rsidRPr="008E65F1">
              <w:t>The resubmission estimated % BUR pack split did not account for variations across the weight-based dosing and the required number of packs or strengths. Sensitivity analysis was conducted assuming average weight ±20%.</w:t>
            </w:r>
          </w:p>
        </w:tc>
      </w:tr>
      <w:tr w:rsidR="00CE76B8" w:rsidRPr="008E65F1" w14:paraId="361DF8EA" w14:textId="77777777" w:rsidTr="0095478A">
        <w:trPr>
          <w:cantSplit/>
        </w:trPr>
        <w:tc>
          <w:tcPr>
            <w:tcW w:w="775" w:type="pct"/>
            <w:shd w:val="clear" w:color="auto" w:fill="auto"/>
            <w:vAlign w:val="center"/>
          </w:tcPr>
          <w:p w14:paraId="50CE45F4" w14:textId="77777777" w:rsidR="00CE76B8" w:rsidRPr="008E65F1" w:rsidRDefault="00CE76B8" w:rsidP="002E1D81">
            <w:pPr>
              <w:pStyle w:val="TableText0"/>
              <w:keepNext w:val="0"/>
            </w:pPr>
            <w:r w:rsidRPr="008E65F1">
              <w:t>BUR scripts / year</w:t>
            </w:r>
          </w:p>
        </w:tc>
        <w:tc>
          <w:tcPr>
            <w:tcW w:w="1959" w:type="pct"/>
            <w:shd w:val="clear" w:color="auto" w:fill="auto"/>
            <w:vAlign w:val="center"/>
          </w:tcPr>
          <w:p w14:paraId="145E8081" w14:textId="77777777" w:rsidR="00CE76B8" w:rsidRPr="008E65F1" w:rsidRDefault="00CE76B8" w:rsidP="002E1D81">
            <w:pPr>
              <w:shd w:val="clear" w:color="auto" w:fill="C6D9F1" w:themeFill="text2" w:themeFillTint="33"/>
              <w:jc w:val="left"/>
              <w:rPr>
                <w:rFonts w:ascii="Arial Narrow" w:eastAsiaTheme="majorEastAsia" w:hAnsi="Arial Narrow" w:cstheme="majorBidi"/>
                <w:bCs/>
                <w:sz w:val="20"/>
              </w:rPr>
            </w:pPr>
            <w:r w:rsidRPr="008E65F1">
              <w:rPr>
                <w:rFonts w:ascii="Arial Narrow" w:eastAsiaTheme="majorEastAsia" w:hAnsi="Arial Narrow" w:cstheme="majorBidi"/>
                <w:b/>
                <w:bCs/>
                <w:sz w:val="20"/>
              </w:rPr>
              <w:t>Paediatrics:</w:t>
            </w:r>
            <w:r w:rsidRPr="008E65F1">
              <w:rPr>
                <w:rFonts w:ascii="Arial Narrow" w:eastAsiaTheme="majorEastAsia" w:hAnsi="Arial Narrow" w:cstheme="majorBidi"/>
                <w:bCs/>
                <w:sz w:val="20"/>
              </w:rPr>
              <w:t xml:space="preserve"> 13.04</w:t>
            </w:r>
          </w:p>
          <w:p w14:paraId="087486B2" w14:textId="77777777" w:rsidR="00CE76B8" w:rsidRPr="008E65F1" w:rsidRDefault="00CE76B8" w:rsidP="002E1D81">
            <w:pPr>
              <w:pStyle w:val="TableText0"/>
              <w:keepNext w:val="0"/>
              <w:rPr>
                <w:bCs w:val="0"/>
              </w:rPr>
            </w:pPr>
            <w:r w:rsidRPr="008E65F1">
              <w:rPr>
                <w:b/>
                <w:bCs w:val="0"/>
              </w:rPr>
              <w:t>Adults:</w:t>
            </w:r>
            <w:r w:rsidRPr="008E65F1">
              <w:rPr>
                <w:bCs w:val="0"/>
              </w:rPr>
              <w:t xml:space="preserve"> 6.52</w:t>
            </w:r>
          </w:p>
          <w:p w14:paraId="7960061F" w14:textId="77777777" w:rsidR="00CE76B8" w:rsidRPr="008E65F1" w:rsidRDefault="00CE76B8" w:rsidP="002E1D81">
            <w:pPr>
              <w:pStyle w:val="TableText0"/>
              <w:keepNext w:val="0"/>
            </w:pPr>
            <w:r w:rsidRPr="008E65F1">
              <w:rPr>
                <w:shd w:val="clear" w:color="auto" w:fill="C6D9F1" w:themeFill="text2" w:themeFillTint="33"/>
              </w:rPr>
              <w:t xml:space="preserve">Source: </w:t>
            </w:r>
            <w:r w:rsidRPr="008E65F1">
              <w:rPr>
                <w:bCs w:val="0"/>
                <w:shd w:val="clear" w:color="auto" w:fill="C6D9F1" w:themeFill="text2" w:themeFillTint="33"/>
              </w:rPr>
              <w:t>Compliance (100%) x duration (13.04 months) x doses/month (2 for paediatrics</w:t>
            </w:r>
            <w:r w:rsidRPr="008E65F1">
              <w:rPr>
                <w:bCs w:val="0"/>
              </w:rPr>
              <w:t xml:space="preserve"> or 1 for adults) </w:t>
            </w:r>
            <w:r w:rsidRPr="008E65F1">
              <w:rPr>
                <w:bCs w:val="0"/>
                <w:shd w:val="clear" w:color="auto" w:fill="C6D9F1" w:themeFill="text2" w:themeFillTint="33"/>
              </w:rPr>
              <w:t>/ pack size (2)</w:t>
            </w:r>
          </w:p>
        </w:tc>
        <w:tc>
          <w:tcPr>
            <w:tcW w:w="2266" w:type="pct"/>
            <w:shd w:val="clear" w:color="auto" w:fill="auto"/>
            <w:vAlign w:val="center"/>
          </w:tcPr>
          <w:p w14:paraId="73D7BA96" w14:textId="77777777" w:rsidR="00CE76B8" w:rsidRPr="008E65F1" w:rsidRDefault="00CE76B8" w:rsidP="002E1D81">
            <w:pPr>
              <w:pStyle w:val="TableText0"/>
              <w:keepNext w:val="0"/>
            </w:pPr>
            <w:r w:rsidRPr="008E65F1">
              <w:t>Reasonable.</w:t>
            </w:r>
          </w:p>
        </w:tc>
      </w:tr>
      <w:tr w:rsidR="00CE76B8" w:rsidRPr="008E65F1" w14:paraId="7E3C9276" w14:textId="77777777" w:rsidTr="0095478A">
        <w:trPr>
          <w:cantSplit/>
        </w:trPr>
        <w:tc>
          <w:tcPr>
            <w:tcW w:w="775" w:type="pct"/>
            <w:shd w:val="clear" w:color="auto" w:fill="auto"/>
            <w:vAlign w:val="center"/>
          </w:tcPr>
          <w:p w14:paraId="36E2FC8E" w14:textId="77777777" w:rsidR="00CE76B8" w:rsidRPr="008E65F1" w:rsidRDefault="00CE76B8" w:rsidP="002E1D81">
            <w:pPr>
              <w:pStyle w:val="TableText0"/>
              <w:keepNext w:val="0"/>
            </w:pPr>
            <w:r w:rsidRPr="008E65F1">
              <w:t>Conventional therapy scripts / year</w:t>
            </w:r>
          </w:p>
        </w:tc>
        <w:tc>
          <w:tcPr>
            <w:tcW w:w="1959" w:type="pct"/>
            <w:shd w:val="clear" w:color="auto" w:fill="auto"/>
            <w:vAlign w:val="center"/>
          </w:tcPr>
          <w:p w14:paraId="3CFF9B5E" w14:textId="77777777" w:rsidR="00CE76B8" w:rsidRPr="008E65F1" w:rsidRDefault="00CE76B8" w:rsidP="002E1D81">
            <w:pPr>
              <w:jc w:val="left"/>
              <w:rPr>
                <w:rFonts w:ascii="Arial Narrow" w:eastAsiaTheme="majorEastAsia" w:hAnsi="Arial Narrow" w:cstheme="majorBidi"/>
                <w:bCs/>
                <w:sz w:val="20"/>
              </w:rPr>
            </w:pPr>
            <w:r w:rsidRPr="008E65F1">
              <w:rPr>
                <w:rFonts w:ascii="Arial Narrow" w:eastAsiaTheme="majorEastAsia" w:hAnsi="Arial Narrow" w:cstheme="majorBidi"/>
                <w:b/>
                <w:bCs/>
                <w:sz w:val="20"/>
              </w:rPr>
              <w:t>Paediatrics:</w:t>
            </w:r>
            <w:r w:rsidRPr="008E65F1">
              <w:rPr>
                <w:rFonts w:ascii="Arial Narrow" w:eastAsiaTheme="majorEastAsia" w:hAnsi="Arial Narrow" w:cstheme="majorBidi"/>
                <w:bCs/>
                <w:sz w:val="20"/>
              </w:rPr>
              <w:t xml:space="preserve"> oral phosphate 14.60 and calcitriol 7.30</w:t>
            </w:r>
          </w:p>
          <w:p w14:paraId="34F83F70" w14:textId="77777777" w:rsidR="00CE76B8" w:rsidRPr="008E65F1" w:rsidRDefault="00CE76B8" w:rsidP="002E1D81">
            <w:pPr>
              <w:pStyle w:val="TableText0"/>
              <w:keepNext w:val="0"/>
              <w:rPr>
                <w:bCs w:val="0"/>
              </w:rPr>
            </w:pPr>
            <w:r w:rsidRPr="008E65F1">
              <w:rPr>
                <w:b/>
                <w:bCs w:val="0"/>
              </w:rPr>
              <w:t>Adults:</w:t>
            </w:r>
            <w:r w:rsidRPr="008E65F1">
              <w:rPr>
                <w:bCs w:val="0"/>
              </w:rPr>
              <w:t xml:space="preserve"> oral phosphate 12.80 and calcitriol 7.68</w:t>
            </w:r>
          </w:p>
          <w:p w14:paraId="32A680CF" w14:textId="77777777" w:rsidR="00CE76B8" w:rsidRPr="008E65F1" w:rsidRDefault="00CE76B8" w:rsidP="002E1D81">
            <w:pPr>
              <w:jc w:val="left"/>
              <w:rPr>
                <w:rFonts w:ascii="Arial Narrow" w:eastAsiaTheme="majorEastAsia" w:hAnsi="Arial Narrow" w:cstheme="majorBidi"/>
                <w:bCs/>
                <w:sz w:val="20"/>
                <w:szCs w:val="20"/>
              </w:rPr>
            </w:pPr>
            <w:r w:rsidRPr="008E65F1">
              <w:rPr>
                <w:rFonts w:ascii="Arial Narrow" w:hAnsi="Arial Narrow"/>
                <w:sz w:val="20"/>
                <w:szCs w:val="20"/>
                <w:shd w:val="clear" w:color="auto" w:fill="C6D9F1" w:themeFill="text2" w:themeFillTint="33"/>
              </w:rPr>
              <w:t xml:space="preserve">Source: </w:t>
            </w:r>
            <w:r w:rsidRPr="008E65F1">
              <w:rPr>
                <w:rFonts w:ascii="Arial Narrow" w:eastAsiaTheme="majorEastAsia" w:hAnsi="Arial Narrow" w:cstheme="majorBidi"/>
                <w:bCs/>
                <w:sz w:val="20"/>
                <w:szCs w:val="20"/>
                <w:shd w:val="clear" w:color="auto" w:fill="C6D9F1" w:themeFill="text2" w:themeFillTint="33"/>
              </w:rPr>
              <w:t>Paediatrics: Compliance (100%) x duration (13.04 months) x doses/period (112 phosphate and</w:t>
            </w:r>
            <w:r w:rsidRPr="008E65F1">
              <w:rPr>
                <w:rFonts w:ascii="Arial Narrow" w:eastAsiaTheme="majorEastAsia" w:hAnsi="Arial Narrow" w:cstheme="majorBidi"/>
                <w:bCs/>
                <w:sz w:val="20"/>
                <w:szCs w:val="20"/>
              </w:rPr>
              <w:t xml:space="preserve"> 56 </w:t>
            </w:r>
            <w:r w:rsidRPr="008E65F1">
              <w:rPr>
                <w:rFonts w:ascii="Arial Narrow" w:eastAsiaTheme="majorEastAsia" w:hAnsi="Arial Narrow" w:cstheme="majorBidi"/>
                <w:bCs/>
                <w:sz w:val="20"/>
                <w:szCs w:val="20"/>
                <w:shd w:val="clear" w:color="auto" w:fill="C6D9F1" w:themeFill="text2" w:themeFillTint="33"/>
              </w:rPr>
              <w:t>calcitriol) / pack size (100)</w:t>
            </w:r>
          </w:p>
          <w:p w14:paraId="38A845DD" w14:textId="77777777" w:rsidR="00CE76B8" w:rsidRPr="008E65F1" w:rsidRDefault="00CE76B8" w:rsidP="002E1D81">
            <w:pPr>
              <w:pStyle w:val="TableText0"/>
              <w:keepNext w:val="0"/>
            </w:pPr>
            <w:r w:rsidRPr="008E65F1">
              <w:rPr>
                <w:bCs w:val="0"/>
                <w:szCs w:val="20"/>
              </w:rPr>
              <w:t>Adults: Compliance (70.1%) x duration (13.04 months) x doses/period (140 phosphate and 84 calcitriol) / pack size (100)</w:t>
            </w:r>
          </w:p>
        </w:tc>
        <w:tc>
          <w:tcPr>
            <w:tcW w:w="2266" w:type="pct"/>
            <w:shd w:val="clear" w:color="auto" w:fill="auto"/>
            <w:vAlign w:val="center"/>
          </w:tcPr>
          <w:p w14:paraId="2A8CFFC3" w14:textId="77777777" w:rsidR="00CE76B8" w:rsidRPr="008E65F1" w:rsidRDefault="00CE76B8" w:rsidP="002E1D81">
            <w:pPr>
              <w:pStyle w:val="TableText0"/>
              <w:keepNext w:val="0"/>
            </w:pPr>
            <w:r w:rsidRPr="008E65F1">
              <w:t>The estimates were simplistic and did not account for variations in weight-based dosing.</w:t>
            </w:r>
          </w:p>
        </w:tc>
      </w:tr>
      <w:tr w:rsidR="00CE76B8" w:rsidRPr="008E65F1" w14:paraId="7DC782F3" w14:textId="77777777" w:rsidTr="0095478A">
        <w:trPr>
          <w:cantSplit/>
        </w:trPr>
        <w:tc>
          <w:tcPr>
            <w:tcW w:w="775" w:type="pct"/>
            <w:shd w:val="clear" w:color="auto" w:fill="auto"/>
            <w:vAlign w:val="center"/>
          </w:tcPr>
          <w:p w14:paraId="74CBA2AA" w14:textId="77777777" w:rsidR="00CE76B8" w:rsidRPr="008E65F1" w:rsidRDefault="00CE76B8" w:rsidP="002E1D81">
            <w:pPr>
              <w:pStyle w:val="TableText0"/>
              <w:keepNext w:val="0"/>
            </w:pPr>
            <w:r w:rsidRPr="008E65F1">
              <w:t>Substitution rate BUR : conventional therapy</w:t>
            </w:r>
          </w:p>
        </w:tc>
        <w:tc>
          <w:tcPr>
            <w:tcW w:w="1959" w:type="pct"/>
            <w:shd w:val="clear" w:color="auto" w:fill="C6D9F1" w:themeFill="text2" w:themeFillTint="33"/>
            <w:vAlign w:val="center"/>
          </w:tcPr>
          <w:p w14:paraId="432C3FE1" w14:textId="77777777" w:rsidR="00CE76B8" w:rsidRPr="008E65F1" w:rsidRDefault="00CE76B8" w:rsidP="002E1D81">
            <w:pPr>
              <w:jc w:val="left"/>
              <w:rPr>
                <w:rFonts w:ascii="Arial Narrow" w:eastAsiaTheme="majorEastAsia" w:hAnsi="Arial Narrow" w:cstheme="majorBidi"/>
                <w:bCs/>
                <w:sz w:val="20"/>
              </w:rPr>
            </w:pPr>
            <w:r w:rsidRPr="008E65F1">
              <w:rPr>
                <w:rFonts w:ascii="Arial Narrow" w:eastAsiaTheme="majorEastAsia" w:hAnsi="Arial Narrow" w:cstheme="majorBidi"/>
                <w:bCs/>
                <w:sz w:val="20"/>
              </w:rPr>
              <w:t>1 : 1</w:t>
            </w:r>
          </w:p>
          <w:p w14:paraId="139B78C7" w14:textId="77777777" w:rsidR="00CE76B8" w:rsidRPr="008E65F1" w:rsidRDefault="00CE76B8" w:rsidP="002E1D81">
            <w:pPr>
              <w:pStyle w:val="TableText0"/>
              <w:keepNext w:val="0"/>
            </w:pPr>
            <w:r w:rsidRPr="008E65F1">
              <w:t>Source: Assumption</w:t>
            </w:r>
          </w:p>
        </w:tc>
        <w:tc>
          <w:tcPr>
            <w:tcW w:w="2266" w:type="pct"/>
            <w:shd w:val="clear" w:color="auto" w:fill="auto"/>
            <w:vAlign w:val="center"/>
          </w:tcPr>
          <w:p w14:paraId="4E751C32" w14:textId="77777777" w:rsidR="00CE76B8" w:rsidRPr="008E65F1" w:rsidRDefault="00CE76B8" w:rsidP="002E1D81">
            <w:pPr>
              <w:pStyle w:val="TableText0"/>
              <w:keepNext w:val="0"/>
            </w:pPr>
            <w:r w:rsidRPr="008E65F1">
              <w:t xml:space="preserve">The resubmission assumed all eligible paediatric patients and 70.1% of adult patients initiating BUR would otherwise receive conventional therapy. </w:t>
            </w:r>
          </w:p>
        </w:tc>
      </w:tr>
      <w:tr w:rsidR="00CE76B8" w:rsidRPr="008E65F1" w14:paraId="58183D3D" w14:textId="77777777" w:rsidTr="0095478A">
        <w:trPr>
          <w:cantSplit/>
        </w:trPr>
        <w:tc>
          <w:tcPr>
            <w:tcW w:w="775" w:type="pct"/>
            <w:shd w:val="clear" w:color="auto" w:fill="auto"/>
            <w:vAlign w:val="center"/>
          </w:tcPr>
          <w:p w14:paraId="69F7ADD8" w14:textId="77777777" w:rsidR="00CE76B8" w:rsidRPr="008E65F1" w:rsidRDefault="00CE76B8" w:rsidP="002E1D81">
            <w:pPr>
              <w:pStyle w:val="TableText0"/>
              <w:keepNext w:val="0"/>
            </w:pPr>
            <w:r w:rsidRPr="008E65F1">
              <w:t>MBS costs (GP visit for BUR injection)</w:t>
            </w:r>
          </w:p>
        </w:tc>
        <w:tc>
          <w:tcPr>
            <w:tcW w:w="1959" w:type="pct"/>
            <w:shd w:val="clear" w:color="auto" w:fill="C6D9F1" w:themeFill="text2" w:themeFillTint="33"/>
            <w:vAlign w:val="center"/>
          </w:tcPr>
          <w:p w14:paraId="5DD52430" w14:textId="77777777" w:rsidR="00CE76B8" w:rsidRPr="008E65F1" w:rsidRDefault="00CE76B8" w:rsidP="002E1D81">
            <w:pPr>
              <w:pStyle w:val="TableText0"/>
              <w:keepNext w:val="0"/>
            </w:pPr>
            <w:r w:rsidRPr="008E65F1">
              <w:t>$17.75</w:t>
            </w:r>
          </w:p>
          <w:p w14:paraId="54DA34C8" w14:textId="77777777" w:rsidR="00CE76B8" w:rsidRPr="008E65F1" w:rsidRDefault="00CE76B8" w:rsidP="002E1D81">
            <w:pPr>
              <w:pStyle w:val="TableText0"/>
              <w:keepNext w:val="0"/>
            </w:pPr>
            <w:r w:rsidRPr="008E65F1">
              <w:t>Source: MBS item 3 (100%)</w:t>
            </w:r>
          </w:p>
        </w:tc>
        <w:tc>
          <w:tcPr>
            <w:tcW w:w="2266" w:type="pct"/>
            <w:shd w:val="clear" w:color="auto" w:fill="auto"/>
            <w:vAlign w:val="center"/>
          </w:tcPr>
          <w:p w14:paraId="5227B359" w14:textId="5495FA52" w:rsidR="00CE76B8" w:rsidRPr="008E65F1" w:rsidRDefault="00CE76B8" w:rsidP="002E1D81">
            <w:pPr>
              <w:pStyle w:val="TableText0"/>
              <w:keepNext w:val="0"/>
            </w:pPr>
            <w:r w:rsidRPr="008E65F1">
              <w:t>MBS item 3 attracts 100% benefit</w:t>
            </w:r>
            <w:r w:rsidR="005442CE">
              <w:t>;</w:t>
            </w:r>
            <w:r w:rsidRPr="008E65F1">
              <w:t xml:space="preserve"> however, the resubmission inappropriately applied an 80% rebate on the scheduled fee.</w:t>
            </w:r>
            <w:r w:rsidR="0036304F">
              <w:t xml:space="preserve"> T</w:t>
            </w:r>
            <w:r w:rsidRPr="008E65F1">
              <w:t>he cost of MBS item 3 was updated in the July 2021 schedule to $17.90.</w:t>
            </w:r>
          </w:p>
        </w:tc>
      </w:tr>
    </w:tbl>
    <w:p w14:paraId="00B2A3C0" w14:textId="77777777" w:rsidR="00603151" w:rsidRPr="00B03783" w:rsidRDefault="00603151" w:rsidP="00603151">
      <w:pPr>
        <w:pStyle w:val="TableFigureFooter"/>
        <w:spacing w:after="0"/>
        <w:rPr>
          <w:bCs/>
          <w:szCs w:val="18"/>
        </w:rPr>
      </w:pPr>
      <w:r w:rsidRPr="00B03783">
        <w:rPr>
          <w:rStyle w:val="CommentReference"/>
          <w:b w:val="0"/>
          <w:bCs/>
          <w:sz w:val="18"/>
          <w:szCs w:val="18"/>
          <w:shd w:val="clear" w:color="auto" w:fill="C6D9F1" w:themeFill="text2" w:themeFillTint="33"/>
        </w:rPr>
        <w:t>Blue shading</w:t>
      </w:r>
      <w:r w:rsidRPr="00B03783">
        <w:rPr>
          <w:rStyle w:val="CommentReference"/>
          <w:b w:val="0"/>
          <w:bCs/>
          <w:sz w:val="18"/>
          <w:szCs w:val="18"/>
        </w:rPr>
        <w:t xml:space="preserve"> indicates data previously seen by the PBAC. </w:t>
      </w:r>
    </w:p>
    <w:p w14:paraId="34F23A2F" w14:textId="2C952C60" w:rsidR="00CE76B8" w:rsidRPr="008E65F1" w:rsidRDefault="00CE76B8" w:rsidP="002E1D81">
      <w:pPr>
        <w:pStyle w:val="TableFigureFooter"/>
        <w:spacing w:after="0"/>
      </w:pPr>
      <w:r w:rsidRPr="008E65F1">
        <w:t xml:space="preserve">Source: Constructed during the evaluation from pp303-310 of the </w:t>
      </w:r>
      <w:r w:rsidR="00C86DB7" w:rsidRPr="008E65F1">
        <w:t>re</w:t>
      </w:r>
      <w:r w:rsidRPr="008E65F1">
        <w:t>submission and parameters in Section 4 Workbook.xlsx.</w:t>
      </w:r>
    </w:p>
    <w:p w14:paraId="4BAEDB90" w14:textId="7278143F" w:rsidR="00CE76B8" w:rsidRPr="008E65F1" w:rsidRDefault="00CE76B8" w:rsidP="002E1D81">
      <w:pPr>
        <w:pStyle w:val="TableFigureFooter"/>
        <w:spacing w:after="0"/>
      </w:pPr>
      <w:r w:rsidRPr="008E65F1">
        <w:t>BUR=burosumab; SC=subcutaneous; XLH=X-linked hypophosphataemia; Q2W=every 2 weeks; Q4W=every 4 weeks</w:t>
      </w:r>
    </w:p>
    <w:p w14:paraId="7EB03281" w14:textId="6C638ECC" w:rsidR="00CE76B8" w:rsidRPr="008E65F1" w:rsidRDefault="00CE76B8" w:rsidP="00603243">
      <w:pPr>
        <w:pStyle w:val="TableFigureFooter"/>
        <w:tabs>
          <w:tab w:val="left" w:pos="142"/>
        </w:tabs>
        <w:spacing w:after="0"/>
        <w:ind w:left="140" w:hanging="140"/>
      </w:pPr>
      <w:r w:rsidRPr="008E65F1">
        <w:t>#</w:t>
      </w:r>
      <w:r w:rsidRPr="008E65F1">
        <w:tab/>
        <w:t>Haffner D et al. 2019. Clinical practice recommendations for the diagnosis and management of X- linked hypophosphataemia: Consensus Statement. Nature Reviews Nephrology. 15(7):435-455</w:t>
      </w:r>
      <w:r w:rsidR="00603243" w:rsidRPr="008E65F1">
        <w:t xml:space="preserve"> and </w:t>
      </w:r>
      <w:r w:rsidRPr="008E65F1">
        <w:t>Carpenter TO et al. 2011. A clinician’s guide to X-</w:t>
      </w:r>
      <w:r w:rsidR="00E26EB0" w:rsidRPr="008E65F1">
        <w:t>linked hypophosphatemia</w:t>
      </w:r>
      <w:r w:rsidRPr="008E65F1">
        <w:t>. Journal of Bone and Mineral Research. 26(7):1381–8.</w:t>
      </w:r>
    </w:p>
    <w:p w14:paraId="3E4309BB" w14:textId="77777777" w:rsidR="00603243" w:rsidRPr="00D4558F" w:rsidRDefault="00603243" w:rsidP="00603243">
      <w:pPr>
        <w:pStyle w:val="TableFigureFooter"/>
        <w:tabs>
          <w:tab w:val="left" w:pos="142"/>
        </w:tabs>
        <w:spacing w:after="0"/>
        <w:ind w:left="140" w:hanging="140"/>
      </w:pPr>
    </w:p>
    <w:p w14:paraId="488E8429" w14:textId="7248316E" w:rsidR="00CE76B8" w:rsidRDefault="003A6411" w:rsidP="00CE76B8">
      <w:pPr>
        <w:pStyle w:val="3-BodyText"/>
      </w:pPr>
      <w:r>
        <w:t xml:space="preserve">Table 23 </w:t>
      </w:r>
      <w:r w:rsidR="00CE76B8">
        <w:t>summarises the estimated net financial</w:t>
      </w:r>
      <w:r w:rsidR="000A19FA">
        <w:t xml:space="preserve"> impact of the proposed burosumab listing </w:t>
      </w:r>
      <w:r w:rsidR="00CE76B8">
        <w:t>over the first six years (assumed 2023-2028</w:t>
      </w:r>
      <w:r w:rsidR="00BD2E9D">
        <w:t>)</w:t>
      </w:r>
      <w:r w:rsidR="00CE76B8" w:rsidRPr="00763C28">
        <w:t>.</w:t>
      </w:r>
    </w:p>
    <w:p w14:paraId="1E70F821" w14:textId="6D4C94A5" w:rsidR="00CE76B8" w:rsidRPr="00D4558F" w:rsidRDefault="00C06B83" w:rsidP="00C47542">
      <w:pPr>
        <w:keepNext/>
        <w:keepLines/>
        <w:rPr>
          <w:rFonts w:ascii="Arial Narrow" w:hAnsi="Arial Narrow"/>
          <w:b/>
          <w:bCs/>
          <w:sz w:val="20"/>
          <w:szCs w:val="20"/>
        </w:rPr>
      </w:pPr>
      <w:r w:rsidRPr="00271609">
        <w:rPr>
          <w:rFonts w:ascii="Arial Narrow" w:eastAsia="Calibri" w:hAnsi="Arial Narrow"/>
          <w:b/>
          <w:iCs/>
          <w:sz w:val="20"/>
          <w:szCs w:val="18"/>
          <w:lang w:eastAsia="en-US"/>
        </w:rPr>
        <w:t xml:space="preserve">Table </w:t>
      </w:r>
      <w:r w:rsidRPr="00271609">
        <w:rPr>
          <w:rFonts w:ascii="Arial Narrow" w:eastAsia="Calibri" w:hAnsi="Arial Narrow"/>
          <w:b/>
          <w:iCs/>
          <w:sz w:val="20"/>
          <w:szCs w:val="18"/>
          <w:lang w:eastAsia="en-US"/>
        </w:rPr>
        <w:fldChar w:fldCharType="begin"/>
      </w:r>
      <w:r w:rsidRPr="00271609">
        <w:rPr>
          <w:rFonts w:ascii="Arial Narrow" w:eastAsia="Calibri" w:hAnsi="Arial Narrow"/>
          <w:b/>
          <w:iCs/>
          <w:sz w:val="20"/>
          <w:szCs w:val="18"/>
          <w:lang w:eastAsia="en-US"/>
        </w:rPr>
        <w:instrText xml:space="preserve"> SEQ Table \* ARABIC </w:instrText>
      </w:r>
      <w:r w:rsidRPr="00271609">
        <w:rPr>
          <w:rFonts w:ascii="Arial Narrow" w:eastAsia="Calibri" w:hAnsi="Arial Narrow"/>
          <w:b/>
          <w:iCs/>
          <w:sz w:val="20"/>
          <w:szCs w:val="18"/>
          <w:lang w:eastAsia="en-US"/>
        </w:rPr>
        <w:fldChar w:fldCharType="separate"/>
      </w:r>
      <w:r w:rsidR="00676539">
        <w:rPr>
          <w:rFonts w:ascii="Arial Narrow" w:eastAsia="Calibri" w:hAnsi="Arial Narrow"/>
          <w:b/>
          <w:iCs/>
          <w:noProof/>
          <w:sz w:val="20"/>
          <w:szCs w:val="18"/>
          <w:lang w:eastAsia="en-US"/>
        </w:rPr>
        <w:t>23</w:t>
      </w:r>
      <w:r w:rsidRPr="00271609">
        <w:rPr>
          <w:rFonts w:ascii="Arial Narrow" w:eastAsia="Calibri" w:hAnsi="Arial Narrow"/>
          <w:b/>
          <w:iCs/>
          <w:sz w:val="20"/>
          <w:szCs w:val="18"/>
          <w:lang w:eastAsia="en-US"/>
        </w:rPr>
        <w:fldChar w:fldCharType="end"/>
      </w:r>
      <w:r w:rsidR="00CE76B8" w:rsidRPr="0000195E">
        <w:rPr>
          <w:rFonts w:ascii="Arial Narrow" w:hAnsi="Arial Narrow"/>
          <w:b/>
          <w:bCs/>
          <w:sz w:val="20"/>
          <w:szCs w:val="20"/>
        </w:rPr>
        <w:t xml:space="preserve">: </w:t>
      </w:r>
      <w:r w:rsidR="00CE76B8" w:rsidRPr="00D4558F">
        <w:rPr>
          <w:rFonts w:ascii="Arial Narrow" w:hAnsi="Arial Narrow"/>
          <w:b/>
          <w:bCs/>
          <w:sz w:val="20"/>
          <w:szCs w:val="20"/>
        </w:rPr>
        <w:t xml:space="preserve">Estimated use and financial implications </w:t>
      </w:r>
      <w:r w:rsidR="000A19FA">
        <w:rPr>
          <w:rFonts w:ascii="Arial Narrow" w:hAnsi="Arial Narrow"/>
          <w:b/>
          <w:bCs/>
          <w:sz w:val="20"/>
          <w:szCs w:val="20"/>
        </w:rPr>
        <w:t xml:space="preserve">of the </w:t>
      </w:r>
      <w:r w:rsidR="00CE76B8" w:rsidRPr="00D4558F">
        <w:rPr>
          <w:rFonts w:ascii="Arial Narrow" w:hAnsi="Arial Narrow"/>
          <w:b/>
          <w:bCs/>
          <w:sz w:val="20"/>
          <w:szCs w:val="20"/>
        </w:rPr>
        <w:t xml:space="preserve">proposed BUR </w:t>
      </w:r>
      <w:r w:rsidR="000A19FA">
        <w:rPr>
          <w:rFonts w:ascii="Arial Narrow" w:hAnsi="Arial Narrow"/>
          <w:b/>
          <w:bCs/>
          <w:sz w:val="20"/>
          <w:szCs w:val="20"/>
        </w:rPr>
        <w:t xml:space="preserve">listing </w:t>
      </w:r>
      <w:r w:rsidR="00CE76B8" w:rsidRPr="00D4558F">
        <w:rPr>
          <w:rFonts w:ascii="Arial Narrow" w:hAnsi="Arial Narrow"/>
          <w:b/>
          <w:bCs/>
          <w:sz w:val="20"/>
          <w:szCs w:val="20"/>
        </w:rPr>
        <w:t>using effective prices</w:t>
      </w:r>
      <w:r w:rsidR="00C33187" w:rsidRPr="00C33187">
        <w:rPr>
          <w:rFonts w:ascii="Arial Narrow" w:hAnsi="Arial Narrow"/>
          <w:b/>
          <w:bCs/>
          <w:sz w:val="20"/>
          <w:szCs w:val="20"/>
          <w:vertAlign w:val="superscript"/>
        </w:rPr>
        <w:t>a</w:t>
      </w:r>
    </w:p>
    <w:tbl>
      <w:tblPr>
        <w:tblStyle w:val="TableGrid"/>
        <w:tblW w:w="5000" w:type="pct"/>
        <w:tblCellMar>
          <w:left w:w="28" w:type="dxa"/>
          <w:right w:w="28" w:type="dxa"/>
        </w:tblCellMar>
        <w:tblLook w:val="04A0" w:firstRow="1" w:lastRow="0" w:firstColumn="1" w:lastColumn="0" w:noHBand="0" w:noVBand="1"/>
      </w:tblPr>
      <w:tblGrid>
        <w:gridCol w:w="2980"/>
        <w:gridCol w:w="1006"/>
        <w:gridCol w:w="1008"/>
        <w:gridCol w:w="1006"/>
        <w:gridCol w:w="1008"/>
        <w:gridCol w:w="1006"/>
        <w:gridCol w:w="1003"/>
      </w:tblGrid>
      <w:tr w:rsidR="00ED354D" w:rsidRPr="00D4558F" w14:paraId="29C4FCA0" w14:textId="77777777" w:rsidTr="002E1D81">
        <w:tc>
          <w:tcPr>
            <w:tcW w:w="1652" w:type="pct"/>
          </w:tcPr>
          <w:p w14:paraId="6EEBDEA8" w14:textId="77777777" w:rsidR="00CE76B8" w:rsidRPr="00D4558F" w:rsidRDefault="00CE76B8" w:rsidP="00C47542">
            <w:pPr>
              <w:keepNext/>
              <w:keepLines/>
              <w:rPr>
                <w:rFonts w:ascii="Arial Narrow" w:hAnsi="Arial Narrow"/>
                <w:sz w:val="20"/>
                <w:szCs w:val="20"/>
              </w:rPr>
            </w:pPr>
          </w:p>
        </w:tc>
        <w:tc>
          <w:tcPr>
            <w:tcW w:w="558" w:type="pct"/>
            <w:vAlign w:val="center"/>
          </w:tcPr>
          <w:p w14:paraId="69C9B69C"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1</w:t>
            </w:r>
          </w:p>
        </w:tc>
        <w:tc>
          <w:tcPr>
            <w:tcW w:w="559" w:type="pct"/>
            <w:vAlign w:val="center"/>
          </w:tcPr>
          <w:p w14:paraId="7A6F67F1"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2</w:t>
            </w:r>
          </w:p>
        </w:tc>
        <w:tc>
          <w:tcPr>
            <w:tcW w:w="558" w:type="pct"/>
            <w:vAlign w:val="center"/>
          </w:tcPr>
          <w:p w14:paraId="1EF3909F"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3</w:t>
            </w:r>
          </w:p>
        </w:tc>
        <w:tc>
          <w:tcPr>
            <w:tcW w:w="559" w:type="pct"/>
            <w:vAlign w:val="center"/>
          </w:tcPr>
          <w:p w14:paraId="00FFF836"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4</w:t>
            </w:r>
          </w:p>
        </w:tc>
        <w:tc>
          <w:tcPr>
            <w:tcW w:w="558" w:type="pct"/>
            <w:vAlign w:val="center"/>
          </w:tcPr>
          <w:p w14:paraId="76E1D7ED"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5</w:t>
            </w:r>
          </w:p>
        </w:tc>
        <w:tc>
          <w:tcPr>
            <w:tcW w:w="556" w:type="pct"/>
            <w:vAlign w:val="center"/>
          </w:tcPr>
          <w:p w14:paraId="512594A9" w14:textId="77777777" w:rsidR="00CE76B8" w:rsidRPr="00D4558F" w:rsidRDefault="00CE76B8" w:rsidP="00C47542">
            <w:pPr>
              <w:keepNext/>
              <w:keepLines/>
              <w:jc w:val="center"/>
              <w:rPr>
                <w:rFonts w:ascii="Arial Narrow" w:hAnsi="Arial Narrow"/>
                <w:b/>
                <w:sz w:val="20"/>
                <w:szCs w:val="20"/>
              </w:rPr>
            </w:pPr>
            <w:r w:rsidRPr="00D4558F">
              <w:rPr>
                <w:rFonts w:ascii="Arial Narrow" w:hAnsi="Arial Narrow"/>
                <w:b/>
                <w:sz w:val="20"/>
                <w:szCs w:val="20"/>
              </w:rPr>
              <w:t>Year 6</w:t>
            </w:r>
          </w:p>
        </w:tc>
      </w:tr>
      <w:tr w:rsidR="00CE76B8" w:rsidRPr="00D4558F" w14:paraId="2922205E" w14:textId="77777777" w:rsidTr="002E1D81">
        <w:tc>
          <w:tcPr>
            <w:tcW w:w="5000" w:type="pct"/>
            <w:gridSpan w:val="7"/>
            <w:vAlign w:val="center"/>
          </w:tcPr>
          <w:p w14:paraId="051C48D1" w14:textId="77777777" w:rsidR="00CE76B8" w:rsidRPr="00D4558F" w:rsidRDefault="00CE76B8" w:rsidP="00C47542">
            <w:pPr>
              <w:keepNext/>
              <w:keepLines/>
              <w:jc w:val="left"/>
              <w:rPr>
                <w:rFonts w:ascii="Arial Narrow" w:hAnsi="Arial Narrow"/>
                <w:b/>
                <w:sz w:val="20"/>
                <w:szCs w:val="20"/>
              </w:rPr>
            </w:pPr>
            <w:r w:rsidRPr="00D4558F">
              <w:rPr>
                <w:rFonts w:ascii="Arial Narrow" w:hAnsi="Arial Narrow"/>
                <w:b/>
                <w:sz w:val="20"/>
                <w:szCs w:val="20"/>
              </w:rPr>
              <w:t>Estimation of number of treated patients</w:t>
            </w:r>
          </w:p>
        </w:tc>
      </w:tr>
      <w:tr w:rsidR="00ED354D" w:rsidRPr="00D4558F" w14:paraId="55830987" w14:textId="77777777" w:rsidTr="002E1D81">
        <w:tc>
          <w:tcPr>
            <w:tcW w:w="1652" w:type="pct"/>
          </w:tcPr>
          <w:p w14:paraId="1D407098"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Australian population (age 1-17)</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C2C44C5" w14:textId="17B85639"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59571354" w14:textId="71B1D465"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3"/>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7C8D6E94" w14:textId="2FEE19FC"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2"/>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82"/>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58D827A3" w14:textId="145263A8"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1"/>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1"/>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77758C6D" w14:textId="5F07CE7B"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0"/>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0"/>
                <w14:textFill>
                  <w14:solidFill>
                    <w14:srgbClr w14:val="000000">
                      <w14:alpha w14:val="100000"/>
                    </w14:srgbClr>
                  </w14:solidFill>
                </w14:textFill>
              </w:rPr>
              <w:t xml:space="preserve">　</w:t>
            </w:r>
            <w:r w:rsidR="00E44816">
              <w:rPr>
                <w:rFonts w:ascii="Arial Narrow" w:hAnsi="Arial Narrow"/>
                <w:sz w:val="20"/>
                <w:szCs w:val="20"/>
                <w:vertAlign w:val="superscript"/>
              </w:rPr>
              <w:t>6</w:t>
            </w:r>
          </w:p>
        </w:tc>
        <w:tc>
          <w:tcPr>
            <w:tcW w:w="556" w:type="pct"/>
            <w:tcBorders>
              <w:top w:val="single" w:sz="4" w:space="0" w:color="auto"/>
              <w:left w:val="nil"/>
              <w:bottom w:val="single" w:sz="4" w:space="0" w:color="auto"/>
              <w:right w:val="single" w:sz="4" w:space="0" w:color="auto"/>
            </w:tcBorders>
            <w:shd w:val="clear" w:color="auto" w:fill="auto"/>
            <w:vAlign w:val="center"/>
          </w:tcPr>
          <w:p w14:paraId="7399273B" w14:textId="570E9BD5"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9"/>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9"/>
                <w14:textFill>
                  <w14:solidFill>
                    <w14:srgbClr w14:val="000000">
                      <w14:alpha w14:val="100000"/>
                    </w14:srgbClr>
                  </w14:solidFill>
                </w14:textFill>
              </w:rPr>
              <w:t xml:space="preserve">　</w:t>
            </w:r>
            <w:r w:rsidR="00E44816">
              <w:rPr>
                <w:rFonts w:ascii="Arial Narrow" w:hAnsi="Arial Narrow"/>
                <w:sz w:val="20"/>
                <w:szCs w:val="20"/>
                <w:vertAlign w:val="superscript"/>
              </w:rPr>
              <w:t>6</w:t>
            </w:r>
          </w:p>
        </w:tc>
      </w:tr>
      <w:tr w:rsidR="00ED354D" w:rsidRPr="00D4558F" w14:paraId="7A69EE7F" w14:textId="77777777" w:rsidTr="002E1D81">
        <w:tc>
          <w:tcPr>
            <w:tcW w:w="1652" w:type="pct"/>
            <w:vAlign w:val="center"/>
          </w:tcPr>
          <w:p w14:paraId="1F116D11"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paediatrics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A91E3AA" w14:textId="3E60BCC6"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8"/>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8"/>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9D7DD54" w14:textId="770D1EC7"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7"/>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7"/>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7"/>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7952C0FF" w14:textId="0509C083"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6"/>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76C2DC89" w14:textId="5D93362F"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2C93752C" w14:textId="30D26A4C"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3002E723" w14:textId="33B2ADA7"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r>
      <w:tr w:rsidR="00ED354D" w:rsidRPr="00D4558F" w14:paraId="093153B2" w14:textId="77777777" w:rsidTr="002E1D81">
        <w:tc>
          <w:tcPr>
            <w:tcW w:w="1652" w:type="pct"/>
          </w:tcPr>
          <w:p w14:paraId="4CEF7499"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1958F22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80%</w:t>
            </w:r>
          </w:p>
        </w:tc>
        <w:tc>
          <w:tcPr>
            <w:tcW w:w="559" w:type="pct"/>
            <w:tcBorders>
              <w:top w:val="single" w:sz="4" w:space="0" w:color="auto"/>
              <w:left w:val="nil"/>
              <w:bottom w:val="single" w:sz="4" w:space="0" w:color="auto"/>
              <w:right w:val="single" w:sz="4" w:space="0" w:color="auto"/>
            </w:tcBorders>
            <w:shd w:val="clear" w:color="auto" w:fill="auto"/>
            <w:vAlign w:val="center"/>
          </w:tcPr>
          <w:p w14:paraId="044F1445"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90%</w:t>
            </w:r>
          </w:p>
        </w:tc>
        <w:tc>
          <w:tcPr>
            <w:tcW w:w="558" w:type="pct"/>
            <w:tcBorders>
              <w:top w:val="single" w:sz="4" w:space="0" w:color="auto"/>
              <w:left w:val="nil"/>
              <w:bottom w:val="single" w:sz="4" w:space="0" w:color="auto"/>
              <w:right w:val="single" w:sz="4" w:space="0" w:color="auto"/>
            </w:tcBorders>
            <w:shd w:val="clear" w:color="auto" w:fill="auto"/>
            <w:vAlign w:val="center"/>
          </w:tcPr>
          <w:p w14:paraId="68C95AD4"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95%</w:t>
            </w:r>
          </w:p>
        </w:tc>
        <w:tc>
          <w:tcPr>
            <w:tcW w:w="559" w:type="pct"/>
            <w:tcBorders>
              <w:top w:val="single" w:sz="4" w:space="0" w:color="auto"/>
              <w:left w:val="nil"/>
              <w:bottom w:val="single" w:sz="4" w:space="0" w:color="auto"/>
              <w:right w:val="single" w:sz="4" w:space="0" w:color="auto"/>
            </w:tcBorders>
            <w:shd w:val="clear" w:color="auto" w:fill="auto"/>
            <w:vAlign w:val="center"/>
          </w:tcPr>
          <w:p w14:paraId="0FAE66F6"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96%</w:t>
            </w:r>
          </w:p>
        </w:tc>
        <w:tc>
          <w:tcPr>
            <w:tcW w:w="558" w:type="pct"/>
            <w:tcBorders>
              <w:top w:val="single" w:sz="4" w:space="0" w:color="auto"/>
              <w:left w:val="nil"/>
              <w:bottom w:val="single" w:sz="4" w:space="0" w:color="auto"/>
              <w:right w:val="single" w:sz="4" w:space="0" w:color="auto"/>
            </w:tcBorders>
            <w:shd w:val="clear" w:color="auto" w:fill="auto"/>
            <w:vAlign w:val="center"/>
          </w:tcPr>
          <w:p w14:paraId="30B0AD15"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97%</w:t>
            </w:r>
          </w:p>
        </w:tc>
        <w:tc>
          <w:tcPr>
            <w:tcW w:w="556" w:type="pct"/>
            <w:tcBorders>
              <w:top w:val="single" w:sz="4" w:space="0" w:color="auto"/>
              <w:left w:val="nil"/>
              <w:bottom w:val="single" w:sz="4" w:space="0" w:color="auto"/>
              <w:right w:val="single" w:sz="4" w:space="0" w:color="auto"/>
            </w:tcBorders>
            <w:shd w:val="clear" w:color="auto" w:fill="auto"/>
            <w:vAlign w:val="center"/>
          </w:tcPr>
          <w:p w14:paraId="04ECBD93"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98%</w:t>
            </w:r>
          </w:p>
        </w:tc>
      </w:tr>
      <w:tr w:rsidR="00ED354D" w:rsidRPr="00D4558F" w14:paraId="28C45C61" w14:textId="77777777" w:rsidTr="002E1D81">
        <w:tc>
          <w:tcPr>
            <w:tcW w:w="1652" w:type="pct"/>
          </w:tcPr>
          <w:p w14:paraId="44649C58"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 xml:space="preserve">Australian population (age </w:t>
            </w:r>
            <w:r>
              <w:rPr>
                <w:rFonts w:ascii="Arial Narrow" w:hAnsi="Arial Narrow"/>
                <w:sz w:val="20"/>
                <w:szCs w:val="20"/>
              </w:rPr>
              <w:t>18</w:t>
            </w:r>
            <w:r w:rsidRPr="00D4558F">
              <w:rPr>
                <w:rFonts w:ascii="Arial Narrow" w:hAnsi="Arial Narrow"/>
                <w:sz w:val="20"/>
                <w:szCs w:val="20"/>
              </w:rPr>
              <w:t>-</w:t>
            </w:r>
            <w:r>
              <w:rPr>
                <w:rFonts w:ascii="Arial Narrow" w:hAnsi="Arial Narrow"/>
                <w:sz w:val="20"/>
                <w:szCs w:val="20"/>
              </w:rPr>
              <w:t>64</w:t>
            </w:r>
            <w:r w:rsidRPr="00D4558F">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2CEBD26" w14:textId="50A56B12"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9" w:type="pct"/>
            <w:tcBorders>
              <w:top w:val="single" w:sz="4" w:space="0" w:color="auto"/>
              <w:left w:val="nil"/>
              <w:bottom w:val="single" w:sz="4" w:space="0" w:color="auto"/>
              <w:right w:val="single" w:sz="4" w:space="0" w:color="auto"/>
            </w:tcBorders>
            <w:shd w:val="clear" w:color="auto" w:fill="auto"/>
            <w:vAlign w:val="center"/>
          </w:tcPr>
          <w:p w14:paraId="303B4B33" w14:textId="745A60B1"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8" w:type="pct"/>
            <w:tcBorders>
              <w:top w:val="single" w:sz="4" w:space="0" w:color="auto"/>
              <w:left w:val="nil"/>
              <w:bottom w:val="single" w:sz="4" w:space="0" w:color="auto"/>
              <w:right w:val="single" w:sz="4" w:space="0" w:color="auto"/>
            </w:tcBorders>
            <w:shd w:val="clear" w:color="auto" w:fill="auto"/>
            <w:vAlign w:val="center"/>
          </w:tcPr>
          <w:p w14:paraId="6DC0A8AF" w14:textId="1A3FE2B0"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9" w:type="pct"/>
            <w:tcBorders>
              <w:top w:val="single" w:sz="4" w:space="0" w:color="auto"/>
              <w:left w:val="nil"/>
              <w:bottom w:val="single" w:sz="4" w:space="0" w:color="auto"/>
              <w:right w:val="single" w:sz="4" w:space="0" w:color="auto"/>
            </w:tcBorders>
            <w:shd w:val="clear" w:color="auto" w:fill="auto"/>
            <w:vAlign w:val="center"/>
          </w:tcPr>
          <w:p w14:paraId="13143484" w14:textId="2329402E"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8" w:type="pct"/>
            <w:tcBorders>
              <w:top w:val="single" w:sz="4" w:space="0" w:color="auto"/>
              <w:left w:val="nil"/>
              <w:bottom w:val="single" w:sz="4" w:space="0" w:color="auto"/>
              <w:right w:val="single" w:sz="4" w:space="0" w:color="auto"/>
            </w:tcBorders>
            <w:shd w:val="clear" w:color="auto" w:fill="auto"/>
            <w:vAlign w:val="center"/>
          </w:tcPr>
          <w:p w14:paraId="092F7802" w14:textId="3AF55715"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c>
          <w:tcPr>
            <w:tcW w:w="556" w:type="pct"/>
            <w:tcBorders>
              <w:top w:val="single" w:sz="4" w:space="0" w:color="auto"/>
              <w:left w:val="nil"/>
              <w:bottom w:val="single" w:sz="4" w:space="0" w:color="auto"/>
              <w:right w:val="single" w:sz="4" w:space="0" w:color="auto"/>
            </w:tcBorders>
            <w:shd w:val="clear" w:color="auto" w:fill="auto"/>
            <w:vAlign w:val="center"/>
          </w:tcPr>
          <w:p w14:paraId="7D1BA636" w14:textId="12EF10E9"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4"/>
                <w14:textFill>
                  <w14:solidFill>
                    <w14:srgbClr w14:val="000000">
                      <w14:alpha w14:val="100000"/>
                    </w14:srgbClr>
                  </w14:solidFill>
                </w14:textFill>
              </w:rPr>
              <w:t xml:space="preserve">　</w:t>
            </w:r>
            <w:r w:rsidR="00E44816">
              <w:rPr>
                <w:rFonts w:ascii="Arial Narrow" w:hAnsi="Arial Narrow"/>
                <w:sz w:val="20"/>
                <w:szCs w:val="20"/>
                <w:vertAlign w:val="superscript"/>
              </w:rPr>
              <w:t>7</w:t>
            </w:r>
          </w:p>
        </w:tc>
      </w:tr>
      <w:tr w:rsidR="00ED354D" w:rsidRPr="00D4558F" w14:paraId="6A885C1A" w14:textId="77777777" w:rsidTr="002E1D81">
        <w:tc>
          <w:tcPr>
            <w:tcW w:w="1652" w:type="pct"/>
            <w:vAlign w:val="center"/>
          </w:tcPr>
          <w:p w14:paraId="1018CB56"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adults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23D4A68" w14:textId="77CDD969"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245C390C" w14:textId="13AA782F"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2"/>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2"/>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82"/>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01053CDB" w14:textId="4355C46C"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1"/>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1"/>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81"/>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0FC5994" w14:textId="73384784"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0"/>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0"/>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0"/>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2C054933" w14:textId="0A1D2882"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9"/>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9"/>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9"/>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61D604F0" w14:textId="12CFD140" w:rsidR="00CE76B8" w:rsidRPr="00CC4353"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8"/>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8"/>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8"/>
                <w14:textFill>
                  <w14:solidFill>
                    <w14:srgbClr w14:val="000000">
                      <w14:alpha w14:val="100000"/>
                    </w14:srgbClr>
                  </w14:solidFill>
                </w14:textFill>
              </w:rPr>
              <w:t xml:space="preserve">　</w:t>
            </w:r>
            <w:r w:rsidR="00CC4353">
              <w:rPr>
                <w:rFonts w:ascii="Arial Narrow" w:hAnsi="Arial Narrow"/>
                <w:sz w:val="20"/>
                <w:szCs w:val="20"/>
                <w:vertAlign w:val="superscript"/>
              </w:rPr>
              <w:t>1</w:t>
            </w:r>
          </w:p>
        </w:tc>
      </w:tr>
      <w:tr w:rsidR="00ED354D" w:rsidRPr="00D4558F" w14:paraId="102F8F90" w14:textId="77777777" w:rsidTr="002E1D81">
        <w:tc>
          <w:tcPr>
            <w:tcW w:w="1652" w:type="pct"/>
          </w:tcPr>
          <w:p w14:paraId="0C424763"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5B950B1"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25%</w:t>
            </w:r>
          </w:p>
        </w:tc>
        <w:tc>
          <w:tcPr>
            <w:tcW w:w="559" w:type="pct"/>
            <w:tcBorders>
              <w:top w:val="single" w:sz="4" w:space="0" w:color="auto"/>
              <w:left w:val="nil"/>
              <w:bottom w:val="single" w:sz="4" w:space="0" w:color="auto"/>
              <w:right w:val="single" w:sz="4" w:space="0" w:color="auto"/>
            </w:tcBorders>
            <w:shd w:val="clear" w:color="auto" w:fill="auto"/>
            <w:vAlign w:val="center"/>
          </w:tcPr>
          <w:p w14:paraId="11598B31"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30%</w:t>
            </w:r>
          </w:p>
        </w:tc>
        <w:tc>
          <w:tcPr>
            <w:tcW w:w="558" w:type="pct"/>
            <w:tcBorders>
              <w:top w:val="single" w:sz="4" w:space="0" w:color="auto"/>
              <w:left w:val="nil"/>
              <w:bottom w:val="single" w:sz="4" w:space="0" w:color="auto"/>
              <w:right w:val="single" w:sz="4" w:space="0" w:color="auto"/>
            </w:tcBorders>
            <w:shd w:val="clear" w:color="auto" w:fill="auto"/>
            <w:vAlign w:val="center"/>
          </w:tcPr>
          <w:p w14:paraId="333D981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35%</w:t>
            </w:r>
          </w:p>
        </w:tc>
        <w:tc>
          <w:tcPr>
            <w:tcW w:w="559" w:type="pct"/>
            <w:tcBorders>
              <w:top w:val="single" w:sz="4" w:space="0" w:color="auto"/>
              <w:left w:val="nil"/>
              <w:bottom w:val="single" w:sz="4" w:space="0" w:color="auto"/>
              <w:right w:val="single" w:sz="4" w:space="0" w:color="auto"/>
            </w:tcBorders>
            <w:shd w:val="clear" w:color="auto" w:fill="auto"/>
            <w:vAlign w:val="center"/>
          </w:tcPr>
          <w:p w14:paraId="5CFF7FA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40%</w:t>
            </w:r>
          </w:p>
        </w:tc>
        <w:tc>
          <w:tcPr>
            <w:tcW w:w="558" w:type="pct"/>
            <w:tcBorders>
              <w:top w:val="single" w:sz="4" w:space="0" w:color="auto"/>
              <w:left w:val="nil"/>
              <w:bottom w:val="single" w:sz="4" w:space="0" w:color="auto"/>
              <w:right w:val="single" w:sz="4" w:space="0" w:color="auto"/>
            </w:tcBorders>
            <w:shd w:val="clear" w:color="auto" w:fill="auto"/>
            <w:vAlign w:val="center"/>
          </w:tcPr>
          <w:p w14:paraId="50D1A58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45%</w:t>
            </w:r>
          </w:p>
        </w:tc>
        <w:tc>
          <w:tcPr>
            <w:tcW w:w="556" w:type="pct"/>
            <w:tcBorders>
              <w:top w:val="single" w:sz="4" w:space="0" w:color="auto"/>
              <w:left w:val="nil"/>
              <w:bottom w:val="single" w:sz="4" w:space="0" w:color="auto"/>
              <w:right w:val="single" w:sz="4" w:space="0" w:color="auto"/>
            </w:tcBorders>
            <w:shd w:val="clear" w:color="auto" w:fill="auto"/>
            <w:vAlign w:val="center"/>
          </w:tcPr>
          <w:p w14:paraId="15C70C4C"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50%</w:t>
            </w:r>
          </w:p>
        </w:tc>
      </w:tr>
      <w:tr w:rsidR="00ED354D" w:rsidRPr="00D4558F" w14:paraId="63A2D972" w14:textId="77777777" w:rsidTr="002E1D81">
        <w:tc>
          <w:tcPr>
            <w:tcW w:w="1652" w:type="pct"/>
          </w:tcPr>
          <w:p w14:paraId="0BA33386" w14:textId="77777777" w:rsidR="00CE76B8" w:rsidRPr="00D4558F" w:rsidRDefault="00CE76B8" w:rsidP="00C47542">
            <w:pPr>
              <w:keepNext/>
              <w:keepLines/>
              <w:rPr>
                <w:rFonts w:ascii="Arial Narrow" w:hAnsi="Arial Narrow"/>
                <w:sz w:val="20"/>
                <w:szCs w:val="20"/>
              </w:rPr>
            </w:pPr>
            <w:r w:rsidRPr="00D4558F">
              <w:rPr>
                <w:rFonts w:ascii="Arial Narrow" w:hAnsi="Arial Narrow"/>
                <w:sz w:val="20"/>
                <w:szCs w:val="20"/>
              </w:rPr>
              <w:t xml:space="preserve">Australian population (age </w:t>
            </w:r>
            <w:r>
              <w:rPr>
                <w:rFonts w:ascii="Arial Narrow" w:hAnsi="Arial Narrow"/>
                <w:sz w:val="20"/>
                <w:szCs w:val="20"/>
              </w:rPr>
              <w:t>64-100</w:t>
            </w:r>
            <w:r w:rsidRPr="00D4558F">
              <w:rPr>
                <w:rFonts w:ascii="Arial Narrow" w:hAnsi="Arial Narrow"/>
                <w:sz w:val="20"/>
                <w:szCs w:val="20"/>
              </w:rPr>
              <w:t>)</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EFC559A" w14:textId="21AFCF85"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7"/>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7"/>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7"/>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016CB816" w14:textId="611B97A4"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6"/>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6"/>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6"/>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42DECDE1" w14:textId="6F673A4E"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5"/>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5"/>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5"/>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9" w:type="pct"/>
            <w:tcBorders>
              <w:top w:val="single" w:sz="4" w:space="0" w:color="auto"/>
              <w:left w:val="nil"/>
              <w:bottom w:val="single" w:sz="4" w:space="0" w:color="auto"/>
              <w:right w:val="single" w:sz="4" w:space="0" w:color="auto"/>
            </w:tcBorders>
            <w:shd w:val="clear" w:color="auto" w:fill="auto"/>
            <w:vAlign w:val="center"/>
          </w:tcPr>
          <w:p w14:paraId="788CF8D1" w14:textId="44788FFF"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4"/>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8" w:type="pct"/>
            <w:tcBorders>
              <w:top w:val="single" w:sz="4" w:space="0" w:color="auto"/>
              <w:left w:val="nil"/>
              <w:bottom w:val="single" w:sz="4" w:space="0" w:color="auto"/>
              <w:right w:val="single" w:sz="4" w:space="0" w:color="auto"/>
            </w:tcBorders>
            <w:shd w:val="clear" w:color="auto" w:fill="auto"/>
            <w:vAlign w:val="center"/>
          </w:tcPr>
          <w:p w14:paraId="53326B8D" w14:textId="6476CDA2"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3"/>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c>
          <w:tcPr>
            <w:tcW w:w="556" w:type="pct"/>
            <w:tcBorders>
              <w:top w:val="single" w:sz="4" w:space="0" w:color="auto"/>
              <w:left w:val="nil"/>
              <w:bottom w:val="single" w:sz="4" w:space="0" w:color="auto"/>
              <w:right w:val="single" w:sz="4" w:space="0" w:color="auto"/>
            </w:tcBorders>
            <w:shd w:val="clear" w:color="auto" w:fill="auto"/>
            <w:vAlign w:val="center"/>
          </w:tcPr>
          <w:p w14:paraId="5054E35A" w14:textId="039FF3A1" w:rsidR="00CE76B8" w:rsidRPr="00E44816"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2"/>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2"/>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2"/>
                <w14:textFill>
                  <w14:solidFill>
                    <w14:srgbClr w14:val="000000">
                      <w14:alpha w14:val="100000"/>
                    </w14:srgbClr>
                  </w14:solidFill>
                </w14:textFill>
              </w:rPr>
              <w:t xml:space="preserve">　</w:t>
            </w:r>
            <w:r w:rsidR="00E44816">
              <w:rPr>
                <w:rFonts w:ascii="Arial Narrow" w:hAnsi="Arial Narrow"/>
                <w:sz w:val="20"/>
                <w:szCs w:val="20"/>
                <w:vertAlign w:val="superscript"/>
              </w:rPr>
              <w:t>5</w:t>
            </w:r>
          </w:p>
        </w:tc>
      </w:tr>
      <w:tr w:rsidR="00ED354D" w:rsidRPr="00D4558F" w14:paraId="222D5971" w14:textId="77777777" w:rsidTr="002E1D81">
        <w:tc>
          <w:tcPr>
            <w:tcW w:w="1652" w:type="pct"/>
            <w:vAlign w:val="center"/>
          </w:tcPr>
          <w:p w14:paraId="797CDDE0"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Eligible </w:t>
            </w:r>
            <w:r>
              <w:rPr>
                <w:rFonts w:ascii="Arial Narrow" w:hAnsi="Arial Narrow"/>
                <w:sz w:val="20"/>
                <w:szCs w:val="20"/>
              </w:rPr>
              <w:t>adults with XLH confirmed</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658D70E" w14:textId="6ECCCAD1"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1"/>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1"/>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1"/>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593F1784" w14:textId="43485F48"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0"/>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6475FE37" w14:textId="313A3DA2"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69"/>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69"/>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69"/>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DA666F7" w14:textId="2222443A"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68"/>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13C8C330" w14:textId="37A9AD7E"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17F4B76C" w14:textId="75B5E97C"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ED354D" w:rsidRPr="00D4558F" w14:paraId="5A1A23B4" w14:textId="77777777" w:rsidTr="002E1D81">
        <w:tc>
          <w:tcPr>
            <w:tcW w:w="1652" w:type="pct"/>
          </w:tcPr>
          <w:p w14:paraId="40CD0829" w14:textId="77777777" w:rsidR="00CE76B8" w:rsidRPr="00D4558F" w:rsidRDefault="00CE76B8" w:rsidP="00C47542">
            <w:pPr>
              <w:keepNext/>
              <w:keepLines/>
              <w:ind w:left="112"/>
              <w:rPr>
                <w:rFonts w:ascii="Arial Narrow" w:hAnsi="Arial Narrow"/>
                <w:sz w:val="20"/>
                <w:szCs w:val="20"/>
              </w:rPr>
            </w:pPr>
            <w:r w:rsidRPr="00D4558F">
              <w:rPr>
                <w:rFonts w:ascii="Arial Narrow" w:hAnsi="Arial Narrow"/>
                <w:sz w:val="20"/>
                <w:szCs w:val="20"/>
              </w:rPr>
              <w:t xml:space="preserve">BUR </w:t>
            </w:r>
            <w:r>
              <w:rPr>
                <w:rFonts w:ascii="Arial Narrow" w:hAnsi="Arial Narrow"/>
                <w:sz w:val="20"/>
                <w:szCs w:val="20"/>
              </w:rPr>
              <w:t>u</w:t>
            </w:r>
            <w:r w:rsidRPr="00D4558F">
              <w:rPr>
                <w:rFonts w:ascii="Arial Narrow" w:hAnsi="Arial Narrow"/>
                <w:sz w:val="20"/>
                <w:szCs w:val="20"/>
              </w:rPr>
              <w:t>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14BEEB02"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7B4A6498"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12%</w:t>
            </w:r>
          </w:p>
        </w:tc>
        <w:tc>
          <w:tcPr>
            <w:tcW w:w="558" w:type="pct"/>
            <w:tcBorders>
              <w:top w:val="single" w:sz="4" w:space="0" w:color="auto"/>
              <w:left w:val="nil"/>
              <w:bottom w:val="single" w:sz="4" w:space="0" w:color="auto"/>
              <w:right w:val="single" w:sz="4" w:space="0" w:color="auto"/>
            </w:tcBorders>
            <w:shd w:val="clear" w:color="auto" w:fill="auto"/>
            <w:vAlign w:val="center"/>
          </w:tcPr>
          <w:p w14:paraId="70021640"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14%</w:t>
            </w:r>
          </w:p>
        </w:tc>
        <w:tc>
          <w:tcPr>
            <w:tcW w:w="559" w:type="pct"/>
            <w:tcBorders>
              <w:top w:val="single" w:sz="4" w:space="0" w:color="auto"/>
              <w:left w:val="nil"/>
              <w:bottom w:val="single" w:sz="4" w:space="0" w:color="auto"/>
              <w:right w:val="single" w:sz="4" w:space="0" w:color="auto"/>
            </w:tcBorders>
            <w:shd w:val="clear" w:color="auto" w:fill="auto"/>
            <w:vAlign w:val="center"/>
          </w:tcPr>
          <w:p w14:paraId="1B1C78FB"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16%</w:t>
            </w:r>
          </w:p>
        </w:tc>
        <w:tc>
          <w:tcPr>
            <w:tcW w:w="558" w:type="pct"/>
            <w:tcBorders>
              <w:top w:val="single" w:sz="4" w:space="0" w:color="auto"/>
              <w:left w:val="nil"/>
              <w:bottom w:val="single" w:sz="4" w:space="0" w:color="auto"/>
              <w:right w:val="single" w:sz="4" w:space="0" w:color="auto"/>
            </w:tcBorders>
            <w:shd w:val="clear" w:color="auto" w:fill="auto"/>
            <w:vAlign w:val="center"/>
          </w:tcPr>
          <w:p w14:paraId="2E5A0608"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18%</w:t>
            </w:r>
          </w:p>
        </w:tc>
        <w:tc>
          <w:tcPr>
            <w:tcW w:w="556" w:type="pct"/>
            <w:tcBorders>
              <w:top w:val="single" w:sz="4" w:space="0" w:color="auto"/>
              <w:left w:val="nil"/>
              <w:bottom w:val="single" w:sz="4" w:space="0" w:color="auto"/>
              <w:right w:val="single" w:sz="4" w:space="0" w:color="auto"/>
            </w:tcBorders>
            <w:shd w:val="clear" w:color="auto" w:fill="auto"/>
            <w:vAlign w:val="center"/>
          </w:tcPr>
          <w:p w14:paraId="4EA63A5F" w14:textId="77777777" w:rsidR="00CE76B8" w:rsidRPr="00205FBF" w:rsidRDefault="00CE76B8" w:rsidP="00C47542">
            <w:pPr>
              <w:keepNext/>
              <w:keepLines/>
              <w:jc w:val="center"/>
              <w:rPr>
                <w:rFonts w:ascii="Arial Narrow" w:hAnsi="Arial Narrow"/>
                <w:sz w:val="20"/>
                <w:szCs w:val="20"/>
              </w:rPr>
            </w:pPr>
            <w:r w:rsidRPr="00E747BF">
              <w:rPr>
                <w:rFonts w:ascii="Arial Narrow" w:hAnsi="Arial Narrow"/>
                <w:sz w:val="20"/>
                <w:szCs w:val="20"/>
              </w:rPr>
              <w:t>20%</w:t>
            </w:r>
          </w:p>
        </w:tc>
      </w:tr>
      <w:tr w:rsidR="00ED354D" w:rsidRPr="00D4558F" w14:paraId="31546D90" w14:textId="77777777" w:rsidTr="002E1D81">
        <w:tc>
          <w:tcPr>
            <w:tcW w:w="1652" w:type="pct"/>
          </w:tcPr>
          <w:p w14:paraId="37D89E63" w14:textId="77777777" w:rsidR="00CE76B8" w:rsidRPr="00D4558F" w:rsidRDefault="00CE76B8" w:rsidP="00C47542">
            <w:pPr>
              <w:keepNext/>
              <w:keepLines/>
              <w:rPr>
                <w:rFonts w:ascii="Arial Narrow" w:hAnsi="Arial Narrow"/>
                <w:sz w:val="20"/>
                <w:szCs w:val="20"/>
              </w:rPr>
            </w:pPr>
            <w:r>
              <w:rPr>
                <w:rFonts w:ascii="Arial Narrow" w:hAnsi="Arial Narrow"/>
                <w:sz w:val="20"/>
                <w:szCs w:val="20"/>
              </w:rPr>
              <w:t>Total patients treated with BUR</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C410852" w14:textId="311D4746"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82"/>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82"/>
                <w14:textFill>
                  <w14:solidFill>
                    <w14:srgbClr w14:val="000000">
                      <w14:alpha w14:val="100000"/>
                    </w14:srgbClr>
                  </w14:solidFill>
                </w14:textFill>
              </w:rPr>
              <w:t>|</w:t>
            </w:r>
            <w:r w:rsidRPr="0035108E">
              <w:rPr>
                <w:rFonts w:ascii="Arial Narrow" w:hAnsi="Arial Narrow" w:hint="eastAsia"/>
                <w:b/>
                <w:color w:val="000000"/>
                <w:w w:val="31"/>
                <w:sz w:val="20"/>
                <w:szCs w:val="20"/>
                <w:shd w:val="solid" w:color="000000" w:fill="000000"/>
                <w:fitText w:val="140" w:id="-1504470782"/>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35E8E8CA" w14:textId="24504ED4"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81"/>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81"/>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3374D4C" w14:textId="2AC26DE6"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80"/>
                <w14:textFill>
                  <w14:solidFill>
                    <w14:srgbClr w14:val="000000">
                      <w14:alpha w14:val="100000"/>
                    </w14:srgbClr>
                  </w14:solidFill>
                </w14:textFill>
              </w:rPr>
              <w:t>|</w:t>
            </w:r>
            <w:r w:rsidRPr="0035108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3B9D3420" w14:textId="641FFA07"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9"/>
                <w14:textFill>
                  <w14:solidFill>
                    <w14:srgbClr w14:val="000000">
                      <w14:alpha w14:val="100000"/>
                    </w14:srgbClr>
                  </w14:solidFill>
                </w14:textFill>
              </w:rPr>
              <w:t>|</w:t>
            </w:r>
            <w:r w:rsidRPr="0035108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18E58F76" w14:textId="0791CCAF"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8"/>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78"/>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39BD618F" w14:textId="29709718" w:rsidR="00CE76B8" w:rsidRPr="00463B45" w:rsidRDefault="00B355AE" w:rsidP="00C47542">
            <w:pPr>
              <w:keepNext/>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7"/>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77"/>
                <w14:textFill>
                  <w14:solidFill>
                    <w14:srgbClr w14:val="000000">
                      <w14:alpha w14:val="100000"/>
                    </w14:srgbClr>
                  </w14:solidFill>
                </w14:textFill>
              </w:rPr>
              <w:t xml:space="preserve">　</w:t>
            </w:r>
            <w:r w:rsidR="00463B45">
              <w:rPr>
                <w:rFonts w:ascii="Arial Narrow" w:hAnsi="Arial Narrow"/>
                <w:b/>
                <w:sz w:val="20"/>
                <w:szCs w:val="20"/>
                <w:vertAlign w:val="superscript"/>
              </w:rPr>
              <w:t>1</w:t>
            </w:r>
          </w:p>
        </w:tc>
      </w:tr>
      <w:tr w:rsidR="00ED354D" w:rsidRPr="00D4558F" w14:paraId="713D00D1" w14:textId="77777777" w:rsidTr="002E1D81">
        <w:tc>
          <w:tcPr>
            <w:tcW w:w="1652" w:type="pct"/>
          </w:tcPr>
          <w:p w14:paraId="0EFBF326" w14:textId="77777777" w:rsidR="00CE76B8" w:rsidRPr="00224A8F" w:rsidRDefault="00CE76B8" w:rsidP="00C47542">
            <w:pPr>
              <w:keepNext/>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2ABB75E" w14:textId="6F01CEE7"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0A684B0" w14:textId="41BC498E"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5"/>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F3D315F" w14:textId="4B248E8F"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799BF6C1" w14:textId="5D6A83BB"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6F5643DF" w14:textId="32459A62"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5B76A24B" w14:textId="2E7C04FC"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1"/>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ED354D" w:rsidRPr="00D4558F" w14:paraId="14E5238C" w14:textId="77777777" w:rsidTr="002E1D81">
        <w:tc>
          <w:tcPr>
            <w:tcW w:w="1652" w:type="pct"/>
          </w:tcPr>
          <w:p w14:paraId="4C554F81" w14:textId="77777777" w:rsidR="00CE76B8" w:rsidRPr="00224A8F" w:rsidRDefault="00CE76B8" w:rsidP="00C47542">
            <w:pPr>
              <w:keepNext/>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FD7F22F" w14:textId="4DD5FD6C"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A72EB9D" w14:textId="4038F172"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5C5A74C" w14:textId="08693796"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4AAFF077" w14:textId="61E12277"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4"/>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5AA8E79C" w14:textId="081948C2"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1CCA3878" w14:textId="5E227D77" w:rsidR="00CE76B8" w:rsidRPr="00463B45" w:rsidRDefault="00B355AE" w:rsidP="00C47542">
            <w:pPr>
              <w:keepNext/>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2"/>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2"/>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2"/>
                <w14:textFill>
                  <w14:solidFill>
                    <w14:srgbClr w14:val="000000">
                      <w14:alpha w14:val="100000"/>
                    </w14:srgbClr>
                  </w14:solidFill>
                </w14:textFill>
              </w:rPr>
              <w:t xml:space="preserve">　</w:t>
            </w:r>
            <w:r w:rsidR="00463B45">
              <w:rPr>
                <w:rFonts w:ascii="Arial Narrow" w:hAnsi="Arial Narrow"/>
                <w:sz w:val="20"/>
                <w:szCs w:val="20"/>
                <w:vertAlign w:val="superscript"/>
              </w:rPr>
              <w:t>1</w:t>
            </w:r>
          </w:p>
        </w:tc>
      </w:tr>
      <w:tr w:rsidR="00CE76B8" w:rsidRPr="00D4558F" w14:paraId="24D29276" w14:textId="77777777" w:rsidTr="002E1D81">
        <w:tc>
          <w:tcPr>
            <w:tcW w:w="5000" w:type="pct"/>
            <w:gridSpan w:val="7"/>
            <w:tcBorders>
              <w:right w:val="single" w:sz="4" w:space="0" w:color="auto"/>
            </w:tcBorders>
            <w:vAlign w:val="center"/>
          </w:tcPr>
          <w:p w14:paraId="35915E11" w14:textId="77777777" w:rsidR="00CE76B8" w:rsidRPr="00D4558F" w:rsidRDefault="00CE76B8" w:rsidP="00B03783">
            <w:pPr>
              <w:keepLines/>
              <w:jc w:val="left"/>
              <w:rPr>
                <w:rFonts w:ascii="Arial Narrow" w:hAnsi="Arial Narrow"/>
                <w:b/>
                <w:color w:val="000000"/>
                <w:sz w:val="20"/>
                <w:szCs w:val="20"/>
              </w:rPr>
            </w:pPr>
            <w:r w:rsidRPr="00D4558F">
              <w:rPr>
                <w:rFonts w:ascii="Arial Narrow" w:hAnsi="Arial Narrow"/>
                <w:b/>
                <w:color w:val="000000"/>
                <w:sz w:val="20"/>
                <w:szCs w:val="20"/>
              </w:rPr>
              <w:t>Estimation of the use and financial impact of BUR</w:t>
            </w:r>
            <w:r>
              <w:rPr>
                <w:rFonts w:ascii="Arial Narrow" w:hAnsi="Arial Narrow"/>
                <w:b/>
                <w:color w:val="000000"/>
                <w:sz w:val="20"/>
                <w:szCs w:val="20"/>
              </w:rPr>
              <w:t>#</w:t>
            </w:r>
          </w:p>
        </w:tc>
      </w:tr>
      <w:tr w:rsidR="00ED354D" w:rsidRPr="00D4558F" w14:paraId="18A3DDDA" w14:textId="77777777" w:rsidTr="002E1D81">
        <w:tc>
          <w:tcPr>
            <w:tcW w:w="1652" w:type="pct"/>
          </w:tcPr>
          <w:p w14:paraId="3D497C01"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 xml:space="preserve">Total </w:t>
            </w:r>
            <w:r>
              <w:rPr>
                <w:rFonts w:ascii="Arial Narrow" w:hAnsi="Arial Narrow"/>
                <w:sz w:val="20"/>
                <w:szCs w:val="20"/>
              </w:rPr>
              <w:t xml:space="preserve">number of </w:t>
            </w:r>
            <w:r w:rsidRPr="00D4558F">
              <w:rPr>
                <w:rFonts w:ascii="Arial Narrow" w:hAnsi="Arial Narrow"/>
                <w:sz w:val="20"/>
                <w:szCs w:val="20"/>
              </w:rPr>
              <w:t>BUR scripts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727029D" w14:textId="31150AE0"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81"/>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81"/>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81"/>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3E9C091E" w14:textId="0AAC5E61"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80"/>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80"/>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80"/>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031693B3" w14:textId="3D0AFA7F"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9"/>
                <w14:textFill>
                  <w14:solidFill>
                    <w14:srgbClr w14:val="000000">
                      <w14:alpha w14:val="100000"/>
                    </w14:srgbClr>
                  </w14:solidFill>
                </w14:textFill>
              </w:rPr>
              <w:t>|</w:t>
            </w:r>
            <w:r w:rsidRPr="0035108E">
              <w:rPr>
                <w:rFonts w:ascii="Arial Narrow" w:hAnsi="Arial Narrow" w:hint="eastAsia"/>
                <w:b/>
                <w:color w:val="000000"/>
                <w:w w:val="31"/>
                <w:sz w:val="20"/>
                <w:szCs w:val="20"/>
                <w:shd w:val="solid" w:color="000000" w:fill="000000"/>
                <w:fitText w:val="140" w:id="-1504470779"/>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142CFEAA" w14:textId="5AA43E1D"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8"/>
                <w14:textFill>
                  <w14:solidFill>
                    <w14:srgbClr w14:val="000000">
                      <w14:alpha w14:val="100000"/>
                    </w14:srgbClr>
                  </w14:solidFill>
                </w14:textFill>
              </w:rPr>
              <w:t>|</w:t>
            </w:r>
            <w:r w:rsidRPr="0035108E">
              <w:rPr>
                <w:rFonts w:ascii="Arial Narrow" w:hAnsi="Arial Narrow" w:hint="eastAsia"/>
                <w:b/>
                <w:color w:val="000000"/>
                <w:w w:val="31"/>
                <w:sz w:val="20"/>
                <w:szCs w:val="20"/>
                <w:shd w:val="solid" w:color="000000" w:fill="000000"/>
                <w:fitText w:val="140" w:id="-1504470778"/>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1D3281ED" w14:textId="1531F199"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7"/>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7"/>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77"/>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35AF1420" w14:textId="6D48B28E" w:rsidR="00CE76B8" w:rsidRPr="00CC4353" w:rsidRDefault="00B355AE" w:rsidP="00B03783">
            <w:pPr>
              <w:keepLines/>
              <w:jc w:val="center"/>
              <w:rPr>
                <w:rFonts w:ascii="Arial Narrow" w:hAnsi="Arial Narrow"/>
                <w:b/>
                <w:sz w:val="20"/>
                <w:szCs w:val="20"/>
                <w:vertAlign w:val="superscript"/>
              </w:rPr>
            </w:pPr>
            <w:r w:rsidRPr="0035108E">
              <w:rPr>
                <w:rFonts w:ascii="Arial Narrow" w:hAnsi="Arial Narrow" w:hint="eastAsia"/>
                <w:b/>
                <w:color w:val="000000"/>
                <w:w w:val="31"/>
                <w:sz w:val="20"/>
                <w:szCs w:val="20"/>
                <w:shd w:val="solid" w:color="000000" w:fill="000000"/>
                <w:fitText w:val="140" w:id="-1504470776"/>
                <w14:textFill>
                  <w14:solidFill>
                    <w14:srgbClr w14:val="000000">
                      <w14:alpha w14:val="100000"/>
                    </w14:srgbClr>
                  </w14:solidFill>
                </w14:textFill>
              </w:rPr>
              <w:t xml:space="preserve">　</w:t>
            </w:r>
            <w:r w:rsidRPr="0035108E">
              <w:rPr>
                <w:rFonts w:ascii="Arial Narrow" w:hAnsi="Arial Narrow"/>
                <w:b/>
                <w:color w:val="000000"/>
                <w:w w:val="31"/>
                <w:sz w:val="20"/>
                <w:szCs w:val="20"/>
                <w:shd w:val="solid" w:color="000000" w:fill="000000"/>
                <w:fitText w:val="140" w:id="-1504470776"/>
                <w14:textFill>
                  <w14:solidFill>
                    <w14:srgbClr w14:val="000000">
                      <w14:alpha w14:val="100000"/>
                    </w14:srgbClr>
                  </w14:solidFill>
                </w14:textFill>
              </w:rPr>
              <w:t>|</w:t>
            </w:r>
            <w:r w:rsidRPr="0035108E">
              <w:rPr>
                <w:rFonts w:ascii="Arial Narrow" w:hAnsi="Arial Narrow" w:hint="eastAsia"/>
                <w:b/>
                <w:color w:val="000000"/>
                <w:spacing w:val="3"/>
                <w:w w:val="31"/>
                <w:sz w:val="20"/>
                <w:szCs w:val="20"/>
                <w:shd w:val="solid" w:color="000000" w:fill="000000"/>
                <w:fitText w:val="140" w:id="-1504470776"/>
                <w14:textFill>
                  <w14:solidFill>
                    <w14:srgbClr w14:val="000000">
                      <w14:alpha w14:val="100000"/>
                    </w14:srgbClr>
                  </w14:solidFill>
                </w14:textFill>
              </w:rPr>
              <w:t xml:space="preserve">　</w:t>
            </w:r>
            <w:r w:rsidR="00CC4353">
              <w:rPr>
                <w:rFonts w:ascii="Arial Narrow" w:hAnsi="Arial Narrow"/>
                <w:b/>
                <w:color w:val="000000"/>
                <w:sz w:val="20"/>
                <w:szCs w:val="20"/>
                <w:vertAlign w:val="superscript"/>
              </w:rPr>
              <w:t>3</w:t>
            </w:r>
          </w:p>
        </w:tc>
      </w:tr>
      <w:tr w:rsidR="00ED354D" w:rsidRPr="00D4558F" w14:paraId="13DDB4F9" w14:textId="77777777" w:rsidTr="002E1D81">
        <w:tc>
          <w:tcPr>
            <w:tcW w:w="1652" w:type="pct"/>
          </w:tcPr>
          <w:p w14:paraId="6182BFF2"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10 mg</w:t>
            </w:r>
            <w:r>
              <w:rPr>
                <w:rFonts w:ascii="Arial Narrow" w:hAnsi="Arial Narrow"/>
                <w:sz w:val="20"/>
                <w:szCs w:val="20"/>
              </w:rPr>
              <w:t xml:space="preserve"> paediatrics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00A9941" w14:textId="35E3FB22"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5"/>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5"/>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5"/>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61A6337E" w14:textId="7F544D63"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4"/>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4"/>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01263BB" w14:textId="4E441F65"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3"/>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9" w:type="pct"/>
            <w:tcBorders>
              <w:top w:val="single" w:sz="4" w:space="0" w:color="auto"/>
              <w:left w:val="nil"/>
              <w:bottom w:val="single" w:sz="4" w:space="0" w:color="auto"/>
              <w:right w:val="single" w:sz="4" w:space="0" w:color="auto"/>
            </w:tcBorders>
            <w:shd w:val="clear" w:color="auto" w:fill="auto"/>
            <w:vAlign w:val="center"/>
          </w:tcPr>
          <w:p w14:paraId="1C88D98C" w14:textId="07E825FE"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2"/>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2"/>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2"/>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8" w:type="pct"/>
            <w:tcBorders>
              <w:top w:val="single" w:sz="4" w:space="0" w:color="auto"/>
              <w:left w:val="nil"/>
              <w:bottom w:val="single" w:sz="4" w:space="0" w:color="auto"/>
              <w:right w:val="single" w:sz="4" w:space="0" w:color="auto"/>
            </w:tcBorders>
            <w:shd w:val="clear" w:color="auto" w:fill="auto"/>
            <w:vAlign w:val="center"/>
          </w:tcPr>
          <w:p w14:paraId="490E96D1" w14:textId="7D7E2AD4"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1"/>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1"/>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1"/>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c>
          <w:tcPr>
            <w:tcW w:w="556" w:type="pct"/>
            <w:tcBorders>
              <w:top w:val="single" w:sz="4" w:space="0" w:color="auto"/>
              <w:left w:val="nil"/>
              <w:bottom w:val="single" w:sz="4" w:space="0" w:color="auto"/>
              <w:right w:val="single" w:sz="4" w:space="0" w:color="auto"/>
            </w:tcBorders>
            <w:shd w:val="clear" w:color="auto" w:fill="auto"/>
            <w:vAlign w:val="center"/>
          </w:tcPr>
          <w:p w14:paraId="4FBCAA4A" w14:textId="545B88B9"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0"/>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0"/>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1</w:t>
            </w:r>
          </w:p>
        </w:tc>
      </w:tr>
      <w:tr w:rsidR="00ED354D" w:rsidRPr="00D4558F" w14:paraId="6CBCBF50" w14:textId="77777777" w:rsidTr="002E1D81">
        <w:tc>
          <w:tcPr>
            <w:tcW w:w="1652" w:type="pct"/>
          </w:tcPr>
          <w:p w14:paraId="3B747100"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20 mgs</w:t>
            </w:r>
            <w:r>
              <w:rPr>
                <w:rFonts w:ascii="Arial Narrow" w:hAnsi="Arial Narrow"/>
                <w:sz w:val="20"/>
                <w:szCs w:val="20"/>
              </w:rPr>
              <w:t xml:space="preserve"> paediatrics</w:t>
            </w:r>
          </w:p>
        </w:tc>
        <w:tc>
          <w:tcPr>
            <w:tcW w:w="558" w:type="pct"/>
            <w:tcBorders>
              <w:top w:val="nil"/>
              <w:left w:val="single" w:sz="4" w:space="0" w:color="auto"/>
              <w:bottom w:val="single" w:sz="4" w:space="0" w:color="auto"/>
              <w:right w:val="single" w:sz="4" w:space="0" w:color="auto"/>
            </w:tcBorders>
            <w:shd w:val="clear" w:color="auto" w:fill="auto"/>
            <w:vAlign w:val="center"/>
          </w:tcPr>
          <w:p w14:paraId="7D1FDDD8" w14:textId="55B7F3C2"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69"/>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69"/>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69"/>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4A8EA74C" w14:textId="65DED5D3"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68"/>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68"/>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5DB4E3F4" w14:textId="19137E64"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4"/>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4"/>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7F99DD35" w14:textId="5A9353F7"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3"/>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83"/>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4CC824BA" w14:textId="1B6ADDDB" w:rsidR="00CE76B8" w:rsidRPr="0009759C"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2"/>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2"/>
                <w14:textFill>
                  <w14:solidFill>
                    <w14:srgbClr w14:val="000000">
                      <w14:alpha w14:val="100000"/>
                    </w14:srgbClr>
                  </w14:solidFill>
                </w14:textFill>
              </w:rPr>
              <w:t xml:space="preserve">　</w:t>
            </w:r>
            <w:r w:rsidR="0009759C">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3535D1C2" w14:textId="49C35993"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1"/>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8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7CCA5CDF" w14:textId="77777777" w:rsidTr="002E1D81">
        <w:tc>
          <w:tcPr>
            <w:tcW w:w="1652" w:type="pct"/>
          </w:tcPr>
          <w:p w14:paraId="200456FA"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30 mg</w:t>
            </w:r>
            <w:r>
              <w:rPr>
                <w:rFonts w:ascii="Arial Narrow" w:hAnsi="Arial Narrow"/>
                <w:sz w:val="20"/>
                <w:szCs w:val="20"/>
              </w:rPr>
              <w:t xml:space="preserve"> paediatrics</w:t>
            </w:r>
          </w:p>
        </w:tc>
        <w:tc>
          <w:tcPr>
            <w:tcW w:w="558" w:type="pct"/>
            <w:tcBorders>
              <w:top w:val="nil"/>
              <w:left w:val="single" w:sz="4" w:space="0" w:color="auto"/>
              <w:bottom w:val="single" w:sz="4" w:space="0" w:color="auto"/>
              <w:right w:val="single" w:sz="4" w:space="0" w:color="auto"/>
            </w:tcBorders>
            <w:shd w:val="clear" w:color="auto" w:fill="auto"/>
            <w:vAlign w:val="center"/>
          </w:tcPr>
          <w:p w14:paraId="6189727C" w14:textId="36CA23CE"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0"/>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78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70F9EBB1" w14:textId="7BDFF198"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9"/>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9"/>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3ED3CDAD" w14:textId="20DF059F"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8"/>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5E8640BC" w14:textId="36B5AA96"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7"/>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7"/>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7"/>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5F6E52CC" w14:textId="0793E0F1"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6"/>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6"/>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6"/>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266B4888" w14:textId="4FAEC2C1"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5"/>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75"/>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7B9A0D4A" w14:textId="77777777" w:rsidTr="002E1D81">
        <w:tc>
          <w:tcPr>
            <w:tcW w:w="1652" w:type="pct"/>
          </w:tcPr>
          <w:p w14:paraId="7A59E48C"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10 mg</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65A1D3B5" w14:textId="21955215"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4"/>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4"/>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0C43A28B" w14:textId="133BA4C4"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3"/>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3"/>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9BF7588" w14:textId="5284DF34"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2"/>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2"/>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610C9D60" w14:textId="162F911A"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7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71"/>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77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3BFE43D7" w14:textId="66FC9382"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7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70"/>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7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6" w:type="pct"/>
            <w:tcBorders>
              <w:top w:val="nil"/>
              <w:left w:val="nil"/>
              <w:bottom w:val="single" w:sz="4" w:space="0" w:color="auto"/>
              <w:right w:val="single" w:sz="4" w:space="0" w:color="auto"/>
            </w:tcBorders>
            <w:shd w:val="clear" w:color="auto" w:fill="auto"/>
            <w:vAlign w:val="center"/>
          </w:tcPr>
          <w:p w14:paraId="247D7263" w14:textId="6588263D"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69"/>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69"/>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r>
      <w:tr w:rsidR="00ED354D" w:rsidRPr="00D4558F" w14:paraId="3E1555A2" w14:textId="77777777" w:rsidTr="002E1D81">
        <w:tc>
          <w:tcPr>
            <w:tcW w:w="1652" w:type="pct"/>
          </w:tcPr>
          <w:p w14:paraId="5FFCBB1B"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20 mgs</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7DA2D1F2" w14:textId="7065CDEB"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6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68"/>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6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6A5D3AA1" w14:textId="66B7EF3C"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784"/>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78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59F2D4C" w14:textId="66FC3929"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78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78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78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9" w:type="pct"/>
            <w:tcBorders>
              <w:top w:val="nil"/>
              <w:left w:val="nil"/>
              <w:bottom w:val="single" w:sz="4" w:space="0" w:color="auto"/>
              <w:right w:val="single" w:sz="4" w:space="0" w:color="auto"/>
            </w:tcBorders>
            <w:shd w:val="clear" w:color="auto" w:fill="auto"/>
            <w:vAlign w:val="center"/>
          </w:tcPr>
          <w:p w14:paraId="16998B49" w14:textId="2939E35C"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528"/>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8"/>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28"/>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8" w:type="pct"/>
            <w:tcBorders>
              <w:top w:val="nil"/>
              <w:left w:val="nil"/>
              <w:bottom w:val="single" w:sz="4" w:space="0" w:color="auto"/>
              <w:right w:val="single" w:sz="4" w:space="0" w:color="auto"/>
            </w:tcBorders>
            <w:shd w:val="clear" w:color="auto" w:fill="auto"/>
            <w:vAlign w:val="center"/>
          </w:tcPr>
          <w:p w14:paraId="1B813EB9" w14:textId="5992C1E6"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527"/>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7"/>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27"/>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c>
          <w:tcPr>
            <w:tcW w:w="556" w:type="pct"/>
            <w:tcBorders>
              <w:top w:val="nil"/>
              <w:left w:val="nil"/>
              <w:bottom w:val="single" w:sz="4" w:space="0" w:color="auto"/>
              <w:right w:val="single" w:sz="4" w:space="0" w:color="auto"/>
            </w:tcBorders>
            <w:shd w:val="clear" w:color="auto" w:fill="auto"/>
            <w:vAlign w:val="center"/>
          </w:tcPr>
          <w:p w14:paraId="484FF275" w14:textId="0640C520"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526"/>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6"/>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26"/>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1</w:t>
            </w:r>
          </w:p>
        </w:tc>
      </w:tr>
      <w:tr w:rsidR="00ED354D" w:rsidRPr="00D4558F" w14:paraId="717156B2" w14:textId="77777777" w:rsidTr="002E1D81">
        <w:tc>
          <w:tcPr>
            <w:tcW w:w="1652" w:type="pct"/>
          </w:tcPr>
          <w:p w14:paraId="53830D9A" w14:textId="77777777" w:rsidR="00CE76B8" w:rsidRPr="00D4558F" w:rsidRDefault="00CE76B8" w:rsidP="00B03783">
            <w:pPr>
              <w:keepLines/>
              <w:ind w:left="115"/>
              <w:rPr>
                <w:rFonts w:ascii="Arial Narrow" w:hAnsi="Arial Narrow"/>
                <w:sz w:val="20"/>
                <w:szCs w:val="20"/>
              </w:rPr>
            </w:pPr>
            <w:r w:rsidRPr="00D4558F">
              <w:rPr>
                <w:rFonts w:ascii="Arial Narrow" w:hAnsi="Arial Narrow"/>
                <w:sz w:val="20"/>
                <w:szCs w:val="20"/>
              </w:rPr>
              <w:t>BUR 2 x 30 mg</w:t>
            </w:r>
            <w:r>
              <w:rPr>
                <w:rFonts w:ascii="Arial Narrow" w:hAnsi="Arial Narrow"/>
                <w:sz w:val="20"/>
                <w:szCs w:val="20"/>
              </w:rPr>
              <w:t xml:space="preserve"> adults</w:t>
            </w:r>
          </w:p>
        </w:tc>
        <w:tc>
          <w:tcPr>
            <w:tcW w:w="558" w:type="pct"/>
            <w:tcBorders>
              <w:top w:val="nil"/>
              <w:left w:val="single" w:sz="4" w:space="0" w:color="auto"/>
              <w:bottom w:val="single" w:sz="4" w:space="0" w:color="auto"/>
              <w:right w:val="single" w:sz="4" w:space="0" w:color="auto"/>
            </w:tcBorders>
            <w:shd w:val="clear" w:color="auto" w:fill="auto"/>
            <w:vAlign w:val="center"/>
          </w:tcPr>
          <w:p w14:paraId="65ADC068" w14:textId="1355BA83"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525"/>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5"/>
                <w14:textFill>
                  <w14:solidFill>
                    <w14:srgbClr w14:val="000000">
                      <w14:alpha w14:val="100000"/>
                    </w14:srgbClr>
                  </w14:solidFill>
                </w14:textFill>
              </w:rPr>
              <w:t>|</w:t>
            </w:r>
            <w:r w:rsidRPr="0035108E">
              <w:rPr>
                <w:rFonts w:ascii="Arial Narrow" w:hAnsi="Arial Narrow" w:hint="eastAsia"/>
                <w:color w:val="000000"/>
                <w:w w:val="20"/>
                <w:sz w:val="20"/>
                <w:szCs w:val="20"/>
                <w:shd w:val="solid" w:color="000000" w:fill="000000"/>
                <w:fitText w:val="90" w:id="-1504470525"/>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55BB5276" w14:textId="1F042222"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524"/>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4"/>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24"/>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0E575C4D" w14:textId="67A579F3"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523"/>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3"/>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23"/>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9" w:type="pct"/>
            <w:tcBorders>
              <w:top w:val="nil"/>
              <w:left w:val="nil"/>
              <w:bottom w:val="single" w:sz="4" w:space="0" w:color="auto"/>
              <w:right w:val="single" w:sz="4" w:space="0" w:color="auto"/>
            </w:tcBorders>
            <w:shd w:val="clear" w:color="auto" w:fill="auto"/>
            <w:vAlign w:val="center"/>
          </w:tcPr>
          <w:p w14:paraId="487CAADF" w14:textId="2B885263"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522"/>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2"/>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522"/>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8" w:type="pct"/>
            <w:tcBorders>
              <w:top w:val="nil"/>
              <w:left w:val="nil"/>
              <w:bottom w:val="single" w:sz="4" w:space="0" w:color="auto"/>
              <w:right w:val="single" w:sz="4" w:space="0" w:color="auto"/>
            </w:tcBorders>
            <w:shd w:val="clear" w:color="auto" w:fill="auto"/>
            <w:vAlign w:val="center"/>
          </w:tcPr>
          <w:p w14:paraId="71B40FFD" w14:textId="041572C8"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0"/>
                <w:sz w:val="20"/>
                <w:szCs w:val="20"/>
                <w:shd w:val="solid" w:color="000000" w:fill="000000"/>
                <w:fitText w:val="90" w:id="-1504470521"/>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1"/>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21"/>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23D65B17" w14:textId="1D394412" w:rsidR="00CE76B8" w:rsidRPr="00CC4353" w:rsidRDefault="00B355AE" w:rsidP="00B03783">
            <w:pPr>
              <w:keepLines/>
              <w:jc w:val="center"/>
              <w:rPr>
                <w:rFonts w:ascii="Arial Narrow" w:hAnsi="Arial Narrow"/>
                <w:sz w:val="20"/>
                <w:szCs w:val="20"/>
                <w:vertAlign w:val="superscript"/>
              </w:rPr>
            </w:pPr>
            <w:r w:rsidRPr="0035108E">
              <w:rPr>
                <w:rFonts w:ascii="Arial Narrow" w:hAnsi="Arial Narrow" w:hint="eastAsia"/>
                <w:color w:val="000000"/>
                <w:w w:val="22"/>
                <w:sz w:val="20"/>
                <w:szCs w:val="20"/>
                <w:shd w:val="solid" w:color="000000" w:fill="000000"/>
                <w:fitText w:val="100" w:id="-1504470520"/>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0"/>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20"/>
                <w14:textFill>
                  <w14:solidFill>
                    <w14:srgbClr w14:val="000000">
                      <w14:alpha w14:val="100000"/>
                    </w14:srgbClr>
                  </w14:solidFill>
                </w14:textFill>
              </w:rPr>
              <w:t xml:space="preserve">　</w:t>
            </w:r>
            <w:r w:rsidR="00CC4353">
              <w:rPr>
                <w:rFonts w:ascii="Arial Narrow" w:hAnsi="Arial Narrow"/>
                <w:color w:val="000000"/>
                <w:sz w:val="20"/>
                <w:szCs w:val="20"/>
                <w:vertAlign w:val="superscript"/>
              </w:rPr>
              <w:t>2</w:t>
            </w:r>
          </w:p>
        </w:tc>
      </w:tr>
      <w:tr w:rsidR="00ED354D" w:rsidRPr="00D4558F" w14:paraId="6E0CF34E" w14:textId="77777777" w:rsidTr="002E1D81">
        <w:tc>
          <w:tcPr>
            <w:tcW w:w="1652" w:type="pct"/>
          </w:tcPr>
          <w:p w14:paraId="2417E699"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Net cost PBS/RPBS, BUR</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3F63FD7" w14:textId="07A1C60C"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108"/>
                <w:sz w:val="20"/>
                <w:szCs w:val="20"/>
                <w:shd w:val="solid" w:color="000000" w:fill="000000"/>
                <w:fitText w:val="200" w:id="-1504470519"/>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200" w:id="-1504470519"/>
                <w14:textFill>
                  <w14:solidFill>
                    <w14:srgbClr w14:val="000000">
                      <w14:alpha w14:val="100000"/>
                    </w14:srgbClr>
                  </w14:solidFill>
                </w14:textFill>
              </w:rPr>
              <w:t>|</w:t>
            </w:r>
            <w:r w:rsidR="00ED354D">
              <w:rPr>
                <w:rFonts w:ascii="Arial Narrow" w:hAnsi="Arial Narrow"/>
                <w:b/>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58FC0727" w14:textId="23A8581A"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46"/>
                <w:sz w:val="20"/>
                <w:szCs w:val="20"/>
                <w:shd w:val="solid" w:color="000000" w:fill="000000"/>
                <w:fitText w:val="230" w:id="-1504470518"/>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30" w:id="-1504470518"/>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57AB3A29" w14:textId="286CC8F3"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46"/>
                <w:sz w:val="20"/>
                <w:szCs w:val="20"/>
                <w:shd w:val="solid" w:color="000000" w:fill="000000"/>
                <w:fitText w:val="230" w:id="-1504470517"/>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30" w:id="-1504470517"/>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5EE30C50" w14:textId="7756D159"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46"/>
                <w:sz w:val="20"/>
                <w:szCs w:val="20"/>
                <w:shd w:val="solid" w:color="000000" w:fill="000000"/>
                <w:fitText w:val="230" w:id="-1504470516"/>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30" w:id="-1504470516"/>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475C3599" w14:textId="6986310D"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46"/>
                <w:sz w:val="20"/>
                <w:szCs w:val="20"/>
                <w:shd w:val="solid" w:color="000000" w:fill="000000"/>
                <w:fitText w:val="230" w:id="-1504470515"/>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30" w:id="-1504470515"/>
                <w14:textFill>
                  <w14:solidFill>
                    <w14:srgbClr w14:val="000000">
                      <w14:alpha w14:val="100000"/>
                    </w14:srgbClr>
                  </w14:solidFill>
                </w14:textFill>
              </w:rPr>
              <w:t>|</w:t>
            </w:r>
            <w:r w:rsidR="00ED354D">
              <w:rPr>
                <w:rFonts w:ascii="Arial Narrow" w:hAnsi="Arial Narrow"/>
                <w:b/>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378114EF" w14:textId="0F9A60E3"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color w:val="000000"/>
                <w:sz w:val="20"/>
                <w:szCs w:val="20"/>
              </w:rPr>
              <w:t>$</w:t>
            </w:r>
            <w:r w:rsidR="00B355AE" w:rsidRPr="0035108E">
              <w:rPr>
                <w:rFonts w:ascii="Arial Narrow" w:hAnsi="Arial Narrow"/>
                <w:b/>
                <w:color w:val="000000"/>
                <w:spacing w:val="46"/>
                <w:sz w:val="20"/>
                <w:szCs w:val="20"/>
                <w:shd w:val="solid" w:color="000000" w:fill="000000"/>
                <w:fitText w:val="230" w:id="-1504470514"/>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30" w:id="-1504470514"/>
                <w14:textFill>
                  <w14:solidFill>
                    <w14:srgbClr w14:val="000000">
                      <w14:alpha w14:val="100000"/>
                    </w14:srgbClr>
                  </w14:solidFill>
                </w14:textFill>
              </w:rPr>
              <w:t>|</w:t>
            </w:r>
            <w:r w:rsidR="00ED354D">
              <w:rPr>
                <w:rFonts w:ascii="Arial Narrow" w:hAnsi="Arial Narrow"/>
                <w:b/>
                <w:color w:val="000000"/>
                <w:sz w:val="20"/>
                <w:szCs w:val="20"/>
                <w:vertAlign w:val="superscript"/>
              </w:rPr>
              <w:t>11</w:t>
            </w:r>
          </w:p>
        </w:tc>
      </w:tr>
      <w:tr w:rsidR="00ED354D" w:rsidRPr="00D4558F" w14:paraId="76083B28" w14:textId="77777777" w:rsidTr="002E1D81">
        <w:tc>
          <w:tcPr>
            <w:tcW w:w="1652" w:type="pct"/>
          </w:tcPr>
          <w:p w14:paraId="01DEF96A"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2131792" w14:textId="6B3BF26D"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13"/>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13"/>
                <w14:textFill>
                  <w14:solidFill>
                    <w14:srgbClr w14:val="000000">
                      <w14:alpha w14:val="100000"/>
                    </w14:srgbClr>
                  </w14:solidFill>
                </w14:textFill>
              </w:rPr>
              <w:t>|</w:t>
            </w:r>
            <w:r w:rsidR="00B355AE" w:rsidRPr="0035108E">
              <w:rPr>
                <w:rFonts w:ascii="Arial Narrow" w:hAnsi="Arial Narrow" w:hint="eastAsia"/>
                <w:color w:val="000000"/>
                <w:w w:val="33"/>
                <w:sz w:val="20"/>
                <w:szCs w:val="20"/>
                <w:shd w:val="solid" w:color="000000" w:fill="000000"/>
                <w:fitText w:val="150" w:id="-1504470513"/>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117C217F" w14:textId="0DCAD7E7"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12"/>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12"/>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12"/>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621DCD5E" w14:textId="3513C5E7"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8"/>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8"/>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28"/>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2C5C6CE3" w14:textId="2B75DB52"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7"/>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7"/>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27"/>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70C9FCDB" w14:textId="7330B438"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6"/>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6"/>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26"/>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6" w:type="pct"/>
            <w:tcBorders>
              <w:top w:val="single" w:sz="4" w:space="0" w:color="auto"/>
              <w:left w:val="nil"/>
              <w:bottom w:val="single" w:sz="4" w:space="0" w:color="auto"/>
              <w:right w:val="single" w:sz="4" w:space="0" w:color="auto"/>
            </w:tcBorders>
            <w:shd w:val="clear" w:color="auto" w:fill="auto"/>
            <w:vAlign w:val="center"/>
          </w:tcPr>
          <w:p w14:paraId="0FF646D6" w14:textId="4BEDDAEF"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5"/>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5"/>
                <w14:textFill>
                  <w14:solidFill>
                    <w14:srgbClr w14:val="000000">
                      <w14:alpha w14:val="100000"/>
                    </w14:srgbClr>
                  </w14:solidFill>
                </w14:textFill>
              </w:rPr>
              <w:t>|</w:t>
            </w:r>
            <w:r w:rsidR="00B355AE" w:rsidRPr="0035108E">
              <w:rPr>
                <w:rFonts w:ascii="Arial Narrow" w:hAnsi="Arial Narrow" w:hint="eastAsia"/>
                <w:color w:val="000000"/>
                <w:w w:val="33"/>
                <w:sz w:val="20"/>
                <w:szCs w:val="20"/>
                <w:shd w:val="solid" w:color="000000" w:fill="000000"/>
                <w:fitText w:val="150" w:id="-1504470525"/>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r>
      <w:tr w:rsidR="00ED354D" w:rsidRPr="00D4558F" w14:paraId="41596137" w14:textId="77777777" w:rsidTr="002E1D81">
        <w:tc>
          <w:tcPr>
            <w:tcW w:w="1652" w:type="pct"/>
          </w:tcPr>
          <w:p w14:paraId="34D26F4F"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804F442" w14:textId="0C2E8383"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4"/>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4"/>
                <w14:textFill>
                  <w14:solidFill>
                    <w14:srgbClr w14:val="000000">
                      <w14:alpha w14:val="100000"/>
                    </w14:srgbClr>
                  </w14:solidFill>
                </w14:textFill>
              </w:rPr>
              <w:t>|</w:t>
            </w:r>
            <w:r w:rsidR="00B355AE" w:rsidRPr="0035108E">
              <w:rPr>
                <w:rFonts w:ascii="Arial Narrow" w:hAnsi="Arial Narrow" w:hint="eastAsia"/>
                <w:color w:val="000000"/>
                <w:w w:val="33"/>
                <w:sz w:val="20"/>
                <w:szCs w:val="20"/>
                <w:shd w:val="solid" w:color="000000" w:fill="000000"/>
                <w:fitText w:val="150" w:id="-1504470524"/>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411B3130" w14:textId="1A195C2E"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3"/>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3"/>
                <w14:textFill>
                  <w14:solidFill>
                    <w14:srgbClr w14:val="000000">
                      <w14:alpha w14:val="100000"/>
                    </w14:srgbClr>
                  </w14:solidFill>
                </w14:textFill>
              </w:rPr>
              <w:t>|</w:t>
            </w:r>
            <w:r w:rsidR="00B355AE" w:rsidRPr="0035108E">
              <w:rPr>
                <w:rFonts w:ascii="Arial Narrow" w:hAnsi="Arial Narrow" w:hint="eastAsia"/>
                <w:color w:val="000000"/>
                <w:w w:val="33"/>
                <w:sz w:val="20"/>
                <w:szCs w:val="20"/>
                <w:shd w:val="solid" w:color="000000" w:fill="000000"/>
                <w:fitText w:val="150" w:id="-1504470523"/>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4B3AD488" w14:textId="77A2506B"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2"/>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2"/>
                <w14:textFill>
                  <w14:solidFill>
                    <w14:srgbClr w14:val="000000">
                      <w14:alpha w14:val="100000"/>
                    </w14:srgbClr>
                  </w14:solidFill>
                </w14:textFill>
              </w:rPr>
              <w:t>|</w:t>
            </w:r>
            <w:r w:rsidR="00B355AE" w:rsidRPr="0035108E">
              <w:rPr>
                <w:rFonts w:ascii="Arial Narrow" w:hAnsi="Arial Narrow" w:hint="eastAsia"/>
                <w:color w:val="000000"/>
                <w:w w:val="33"/>
                <w:sz w:val="20"/>
                <w:szCs w:val="20"/>
                <w:shd w:val="solid" w:color="000000" w:fill="000000"/>
                <w:fitText w:val="150" w:id="-1504470522"/>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2AF833EF" w14:textId="63BA142F"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1"/>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1"/>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21"/>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8" w:type="pct"/>
            <w:tcBorders>
              <w:top w:val="single" w:sz="4" w:space="0" w:color="auto"/>
              <w:left w:val="nil"/>
              <w:bottom w:val="single" w:sz="4" w:space="0" w:color="auto"/>
              <w:right w:val="single" w:sz="4" w:space="0" w:color="auto"/>
            </w:tcBorders>
            <w:shd w:val="clear" w:color="auto" w:fill="auto"/>
            <w:vAlign w:val="center"/>
          </w:tcPr>
          <w:p w14:paraId="0EED1917" w14:textId="50D75D36"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20"/>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20"/>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20"/>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c>
          <w:tcPr>
            <w:tcW w:w="556" w:type="pct"/>
            <w:tcBorders>
              <w:top w:val="single" w:sz="4" w:space="0" w:color="auto"/>
              <w:left w:val="nil"/>
              <w:bottom w:val="single" w:sz="4" w:space="0" w:color="auto"/>
              <w:right w:val="single" w:sz="4" w:space="0" w:color="auto"/>
            </w:tcBorders>
            <w:shd w:val="clear" w:color="auto" w:fill="auto"/>
            <w:vAlign w:val="center"/>
          </w:tcPr>
          <w:p w14:paraId="38E842D9" w14:textId="4C376468" w:rsidR="00CE76B8" w:rsidRPr="00ED354D" w:rsidRDefault="00CE76B8" w:rsidP="00B03783">
            <w:pPr>
              <w:keepLines/>
              <w:jc w:val="center"/>
              <w:rPr>
                <w:rFonts w:ascii="Arial Narrow" w:hAnsi="Arial Narrow"/>
                <w:b/>
                <w:bCs/>
                <w:color w:val="000000"/>
                <w:sz w:val="20"/>
                <w:szCs w:val="20"/>
                <w:vertAlign w:val="superscript"/>
              </w:rPr>
            </w:pPr>
            <w:r w:rsidRPr="008439D2">
              <w:rPr>
                <w:rFonts w:ascii="Arial Narrow" w:hAnsi="Arial Narrow"/>
                <w:color w:val="000000"/>
                <w:sz w:val="20"/>
                <w:szCs w:val="20"/>
              </w:rPr>
              <w:t>$</w:t>
            </w:r>
            <w:r w:rsidR="00B355AE" w:rsidRPr="0035108E">
              <w:rPr>
                <w:rFonts w:ascii="Arial Narrow" w:hAnsi="Arial Narrow" w:hint="eastAsia"/>
                <w:color w:val="000000"/>
                <w:w w:val="33"/>
                <w:sz w:val="20"/>
                <w:szCs w:val="20"/>
                <w:shd w:val="solid" w:color="000000" w:fill="000000"/>
                <w:fitText w:val="150" w:id="-1504470519"/>
                <w14:textFill>
                  <w14:solidFill>
                    <w14:srgbClr w14:val="000000">
                      <w14:alpha w14:val="100000"/>
                    </w14:srgbClr>
                  </w14:solidFill>
                </w14:textFill>
              </w:rPr>
              <w:t xml:space="preserve">　</w:t>
            </w:r>
            <w:r w:rsidR="00B355AE" w:rsidRPr="0035108E">
              <w:rPr>
                <w:rFonts w:ascii="Arial Narrow" w:hAnsi="Arial Narrow"/>
                <w:color w:val="000000"/>
                <w:w w:val="33"/>
                <w:sz w:val="20"/>
                <w:szCs w:val="20"/>
                <w:shd w:val="solid" w:color="000000" w:fill="000000"/>
                <w:fitText w:val="150" w:id="-1504470519"/>
                <w14:textFill>
                  <w14:solidFill>
                    <w14:srgbClr w14:val="000000">
                      <w14:alpha w14:val="100000"/>
                    </w14:srgbClr>
                  </w14:solidFill>
                </w14:textFill>
              </w:rPr>
              <w:t>|</w:t>
            </w:r>
            <w:r w:rsidR="00B355AE" w:rsidRPr="0035108E">
              <w:rPr>
                <w:rFonts w:ascii="Arial Narrow" w:hAnsi="Arial Narrow" w:hint="eastAsia"/>
                <w:color w:val="000000"/>
                <w:spacing w:val="4"/>
                <w:w w:val="33"/>
                <w:sz w:val="20"/>
                <w:szCs w:val="20"/>
                <w:shd w:val="solid" w:color="000000" w:fill="000000"/>
                <w:fitText w:val="150" w:id="-1504470519"/>
                <w14:textFill>
                  <w14:solidFill>
                    <w14:srgbClr w14:val="000000">
                      <w14:alpha w14:val="100000"/>
                    </w14:srgbClr>
                  </w14:solidFill>
                </w14:textFill>
              </w:rPr>
              <w:t xml:space="preserve">　</w:t>
            </w:r>
            <w:r w:rsidR="00ED354D">
              <w:rPr>
                <w:rFonts w:ascii="Arial Narrow" w:hAnsi="Arial Narrow"/>
                <w:color w:val="000000"/>
                <w:sz w:val="20"/>
                <w:szCs w:val="20"/>
                <w:vertAlign w:val="superscript"/>
              </w:rPr>
              <w:t>9</w:t>
            </w:r>
          </w:p>
        </w:tc>
      </w:tr>
      <w:tr w:rsidR="00CE76B8" w:rsidRPr="00D4558F" w14:paraId="3B214F75" w14:textId="77777777" w:rsidTr="002E1D81">
        <w:tc>
          <w:tcPr>
            <w:tcW w:w="5000" w:type="pct"/>
            <w:gridSpan w:val="7"/>
            <w:vAlign w:val="center"/>
          </w:tcPr>
          <w:p w14:paraId="1CF3416A" w14:textId="77777777" w:rsidR="00CE76B8" w:rsidRPr="00D4558F" w:rsidRDefault="00CE76B8" w:rsidP="00B03783">
            <w:pPr>
              <w:keepLines/>
              <w:jc w:val="left"/>
              <w:rPr>
                <w:rFonts w:ascii="Arial Narrow" w:hAnsi="Arial Narrow"/>
                <w:b/>
                <w:sz w:val="20"/>
                <w:szCs w:val="20"/>
              </w:rPr>
            </w:pPr>
            <w:r w:rsidRPr="00D4558F">
              <w:rPr>
                <w:rFonts w:ascii="Arial Narrow" w:hAnsi="Arial Narrow"/>
                <w:b/>
                <w:sz w:val="20"/>
                <w:szCs w:val="20"/>
              </w:rPr>
              <w:t>Estimation changes in use and financial impact of conventional therapy (oral phosphate and calcitriol)</w:t>
            </w:r>
          </w:p>
        </w:tc>
      </w:tr>
      <w:tr w:rsidR="00ED354D" w:rsidRPr="00D4558F" w14:paraId="08719016" w14:textId="77777777" w:rsidTr="002E1D81">
        <w:tc>
          <w:tcPr>
            <w:tcW w:w="1652" w:type="pct"/>
            <w:vAlign w:val="center"/>
          </w:tcPr>
          <w:p w14:paraId="07F20E14" w14:textId="77777777" w:rsidR="00CE76B8" w:rsidRPr="00D4558F" w:rsidRDefault="00CE76B8" w:rsidP="00B03783">
            <w:pPr>
              <w:keepLines/>
              <w:jc w:val="left"/>
              <w:rPr>
                <w:rFonts w:ascii="Arial Narrow" w:hAnsi="Arial Narrow"/>
                <w:sz w:val="20"/>
                <w:szCs w:val="20"/>
              </w:rPr>
            </w:pPr>
            <w:r w:rsidRPr="00D4558F">
              <w:rPr>
                <w:rFonts w:ascii="Arial Narrow" w:hAnsi="Arial Narrow"/>
                <w:sz w:val="20"/>
                <w:szCs w:val="20"/>
              </w:rPr>
              <w:t>Total number of oral phosphate and calcitriol scripts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C12CF2F" w14:textId="193BD371"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88"/>
                <w:sz w:val="20"/>
                <w:szCs w:val="20"/>
                <w:shd w:val="solid" w:color="000000" w:fill="000000"/>
                <w:fitText w:val="180" w:id="-1504470518"/>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80" w:id="-1504470518"/>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28A32793" w14:textId="44050269"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78"/>
                <w:sz w:val="20"/>
                <w:szCs w:val="20"/>
                <w:shd w:val="solid" w:color="000000" w:fill="000000"/>
                <w:fitText w:val="170" w:id="-1504470517"/>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70" w:id="-1504470517"/>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8" w:type="pct"/>
            <w:tcBorders>
              <w:top w:val="single" w:sz="4" w:space="0" w:color="auto"/>
              <w:left w:val="nil"/>
              <w:bottom w:val="single" w:sz="4" w:space="0" w:color="auto"/>
              <w:right w:val="single" w:sz="4" w:space="0" w:color="auto"/>
            </w:tcBorders>
            <w:shd w:val="clear" w:color="auto" w:fill="auto"/>
            <w:vAlign w:val="center"/>
          </w:tcPr>
          <w:p w14:paraId="163202A7" w14:textId="0A441C77"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88"/>
                <w:sz w:val="20"/>
                <w:szCs w:val="20"/>
                <w:shd w:val="solid" w:color="000000" w:fill="000000"/>
                <w:fitText w:val="180" w:id="-1504470516"/>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80" w:id="-1504470516"/>
                <w14:textFill>
                  <w14:solidFill>
                    <w14:srgbClr w14:val="000000">
                      <w14:alpha w14:val="100000"/>
                    </w14:srgbClr>
                  </w14:solidFill>
                </w14:textFill>
              </w:rPr>
              <w:t>|</w:t>
            </w:r>
            <w:r w:rsidR="00E44816">
              <w:rPr>
                <w:rFonts w:ascii="Arial Narrow" w:hAnsi="Arial Narrow"/>
                <w:b/>
                <w:color w:val="000000"/>
                <w:sz w:val="20"/>
                <w:szCs w:val="20"/>
                <w:vertAlign w:val="superscript"/>
              </w:rPr>
              <w:t>2</w:t>
            </w:r>
          </w:p>
        </w:tc>
        <w:tc>
          <w:tcPr>
            <w:tcW w:w="559" w:type="pct"/>
            <w:tcBorders>
              <w:top w:val="single" w:sz="4" w:space="0" w:color="auto"/>
              <w:left w:val="nil"/>
              <w:bottom w:val="single" w:sz="4" w:space="0" w:color="auto"/>
              <w:right w:val="single" w:sz="4" w:space="0" w:color="auto"/>
            </w:tcBorders>
            <w:shd w:val="clear" w:color="auto" w:fill="auto"/>
            <w:vAlign w:val="center"/>
          </w:tcPr>
          <w:p w14:paraId="179C88C0" w14:textId="32DA83F5"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78"/>
                <w:sz w:val="20"/>
                <w:szCs w:val="20"/>
                <w:shd w:val="solid" w:color="000000" w:fill="000000"/>
                <w:fitText w:val="170" w:id="-1504470515"/>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70" w:id="-1504470515"/>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c>
          <w:tcPr>
            <w:tcW w:w="558" w:type="pct"/>
            <w:tcBorders>
              <w:top w:val="single" w:sz="4" w:space="0" w:color="auto"/>
              <w:left w:val="nil"/>
              <w:bottom w:val="single" w:sz="4" w:space="0" w:color="auto"/>
              <w:right w:val="single" w:sz="4" w:space="0" w:color="auto"/>
            </w:tcBorders>
            <w:shd w:val="clear" w:color="auto" w:fill="auto"/>
            <w:vAlign w:val="center"/>
          </w:tcPr>
          <w:p w14:paraId="6B36FD8C" w14:textId="3317DE3A"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88"/>
                <w:sz w:val="20"/>
                <w:szCs w:val="20"/>
                <w:shd w:val="solid" w:color="000000" w:fill="000000"/>
                <w:fitText w:val="180" w:id="-1504470514"/>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80" w:id="-1504470514"/>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37A9CEDC" w14:textId="46CD96DB" w:rsidR="00CE76B8" w:rsidRPr="00463B45" w:rsidRDefault="00CE76B8" w:rsidP="00B03783">
            <w:pPr>
              <w:keepLines/>
              <w:jc w:val="center"/>
              <w:rPr>
                <w:rFonts w:ascii="Arial Narrow" w:hAnsi="Arial Narrow"/>
                <w:b/>
                <w:bCs/>
                <w:color w:val="000000"/>
                <w:sz w:val="20"/>
                <w:szCs w:val="20"/>
                <w:vertAlign w:val="superscript"/>
              </w:rPr>
            </w:pPr>
            <w:r w:rsidRPr="008955C9">
              <w:rPr>
                <w:rFonts w:ascii="Arial Narrow" w:hAnsi="Arial Narrow"/>
                <w:b/>
                <w:color w:val="000000"/>
                <w:sz w:val="20"/>
                <w:szCs w:val="20"/>
              </w:rPr>
              <w:t>-</w:t>
            </w:r>
            <w:r w:rsidR="00B355AE" w:rsidRPr="0035108E">
              <w:rPr>
                <w:rFonts w:ascii="Arial Narrow" w:hAnsi="Arial Narrow"/>
                <w:b/>
                <w:color w:val="000000"/>
                <w:spacing w:val="88"/>
                <w:sz w:val="20"/>
                <w:szCs w:val="20"/>
                <w:shd w:val="solid" w:color="000000" w:fill="000000"/>
                <w:fitText w:val="180" w:id="-1504470513"/>
                <w14:textFill>
                  <w14:solidFill>
                    <w14:srgbClr w14:val="000000">
                      <w14:alpha w14:val="100000"/>
                    </w14:srgbClr>
                  </w14:solidFill>
                </w14:textFill>
              </w:rPr>
              <w:t>|</w:t>
            </w:r>
            <w:r w:rsidR="00B355AE" w:rsidRPr="0035108E">
              <w:rPr>
                <w:rFonts w:ascii="Arial Narrow" w:hAnsi="Arial Narrow"/>
                <w:b/>
                <w:color w:val="000000"/>
                <w:sz w:val="20"/>
                <w:szCs w:val="20"/>
                <w:shd w:val="solid" w:color="000000" w:fill="000000"/>
                <w:fitText w:val="180" w:id="-1504470513"/>
                <w14:textFill>
                  <w14:solidFill>
                    <w14:srgbClr w14:val="000000">
                      <w14:alpha w14:val="100000"/>
                    </w14:srgbClr>
                  </w14:solidFill>
                </w14:textFill>
              </w:rPr>
              <w:t>|</w:t>
            </w:r>
            <w:r w:rsidR="00E44816">
              <w:rPr>
                <w:rFonts w:ascii="Arial Narrow" w:hAnsi="Arial Narrow"/>
                <w:b/>
                <w:color w:val="000000"/>
                <w:sz w:val="20"/>
                <w:szCs w:val="20"/>
                <w:vertAlign w:val="superscript"/>
              </w:rPr>
              <w:t>3</w:t>
            </w:r>
          </w:p>
        </w:tc>
      </w:tr>
      <w:tr w:rsidR="00ED354D" w:rsidRPr="00D4558F" w14:paraId="0EE9946C" w14:textId="77777777" w:rsidTr="002E1D81">
        <w:tc>
          <w:tcPr>
            <w:tcW w:w="1652" w:type="pct"/>
          </w:tcPr>
          <w:p w14:paraId="0379FEC7" w14:textId="77777777" w:rsidR="00CE76B8" w:rsidRPr="00D4558F" w:rsidRDefault="00CE76B8" w:rsidP="00B03783">
            <w:pPr>
              <w:keepLines/>
              <w:rPr>
                <w:rFonts w:ascii="Arial Narrow" w:hAnsi="Arial Narrow"/>
                <w:sz w:val="20"/>
                <w:szCs w:val="20"/>
              </w:rPr>
            </w:pPr>
            <w:r w:rsidRPr="00D4558F">
              <w:rPr>
                <w:rFonts w:ascii="Arial Narrow" w:hAnsi="Arial Narrow"/>
                <w:sz w:val="20"/>
                <w:szCs w:val="20"/>
              </w:rPr>
              <w:t>Net cost PBS/RPBS, oral phosphate and calcitriol</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A2FD668" w14:textId="29878B5B"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36"/>
                <w:sz w:val="20"/>
                <w:szCs w:val="20"/>
                <w:shd w:val="solid" w:color="000000" w:fill="000000"/>
                <w:fitText w:val="210" w:id="-1504470512"/>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10" w:id="-1504470512"/>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184143E0" w14:textId="321C464D"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41"/>
                <w:sz w:val="20"/>
                <w:szCs w:val="20"/>
                <w:shd w:val="solid" w:color="000000" w:fill="000000"/>
                <w:fitText w:val="220" w:id="-1504470528"/>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20" w:id="-1504470528"/>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AD5B807" w14:textId="5EE01F74"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36"/>
                <w:sz w:val="20"/>
                <w:szCs w:val="20"/>
                <w:shd w:val="solid" w:color="000000" w:fill="000000"/>
                <w:fitText w:val="210" w:id="-1504470527"/>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10" w:id="-1504470527"/>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14019B3E" w14:textId="033B6E15"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41"/>
                <w:sz w:val="20"/>
                <w:szCs w:val="20"/>
                <w:shd w:val="solid" w:color="000000" w:fill="000000"/>
                <w:fitText w:val="220" w:id="-1504470526"/>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20" w:id="-1504470526"/>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CAD63EE" w14:textId="383027FA"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36"/>
                <w:sz w:val="20"/>
                <w:szCs w:val="20"/>
                <w:shd w:val="solid" w:color="000000" w:fill="000000"/>
                <w:fitText w:val="210" w:id="-1504470525"/>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10" w:id="-1504470525"/>
                <w14:textFill>
                  <w14:solidFill>
                    <w14:srgbClr w14:val="000000">
                      <w14:alpha w14:val="100000"/>
                    </w14:srgbClr>
                  </w14:solidFill>
                </w14:textFill>
              </w:rPr>
              <w:t>|</w:t>
            </w:r>
            <w:r w:rsidR="00E44816">
              <w:rPr>
                <w:rFonts w:ascii="Arial Narrow" w:hAnsi="Arial Narrow"/>
                <w:b/>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42DF6319" w14:textId="673558F6" w:rsidR="00CE76B8" w:rsidRPr="00E44816" w:rsidRDefault="00CE76B8" w:rsidP="00B03783">
            <w:pPr>
              <w:keepLines/>
              <w:jc w:val="center"/>
              <w:rPr>
                <w:rFonts w:ascii="Arial Narrow" w:hAnsi="Arial Narrow"/>
                <w:b/>
                <w:bCs/>
                <w:sz w:val="20"/>
                <w:szCs w:val="20"/>
                <w:vertAlign w:val="superscript"/>
              </w:rPr>
            </w:pPr>
            <w:r w:rsidRPr="008955C9">
              <w:rPr>
                <w:rFonts w:ascii="Arial Narrow" w:hAnsi="Arial Narrow"/>
                <w:b/>
                <w:sz w:val="20"/>
                <w:szCs w:val="20"/>
              </w:rPr>
              <w:t>-$</w:t>
            </w:r>
            <w:r w:rsidR="00B355AE" w:rsidRPr="0035108E">
              <w:rPr>
                <w:rFonts w:ascii="Arial Narrow" w:hAnsi="Arial Narrow"/>
                <w:b/>
                <w:color w:val="000000"/>
                <w:spacing w:val="41"/>
                <w:sz w:val="20"/>
                <w:szCs w:val="20"/>
                <w:shd w:val="solid" w:color="000000" w:fill="000000"/>
                <w:fitText w:val="220" w:id="-1504470524"/>
                <w14:textFill>
                  <w14:solidFill>
                    <w14:srgbClr w14:val="000000">
                      <w14:alpha w14:val="100000"/>
                    </w14:srgbClr>
                  </w14:solidFill>
                </w14:textFill>
              </w:rPr>
              <w:t>||</w:t>
            </w:r>
            <w:r w:rsidR="00B355AE" w:rsidRPr="0035108E">
              <w:rPr>
                <w:rFonts w:ascii="Arial Narrow" w:hAnsi="Arial Narrow"/>
                <w:b/>
                <w:color w:val="000000"/>
                <w:spacing w:val="1"/>
                <w:sz w:val="20"/>
                <w:szCs w:val="20"/>
                <w:shd w:val="solid" w:color="000000" w:fill="000000"/>
                <w:fitText w:val="220" w:id="-1504470524"/>
                <w14:textFill>
                  <w14:solidFill>
                    <w14:srgbClr w14:val="000000">
                      <w14:alpha w14:val="100000"/>
                    </w14:srgbClr>
                  </w14:solidFill>
                </w14:textFill>
              </w:rPr>
              <w:t>|</w:t>
            </w:r>
            <w:r w:rsidR="00E44816">
              <w:rPr>
                <w:rFonts w:ascii="Arial Narrow" w:hAnsi="Arial Narrow"/>
                <w:b/>
                <w:sz w:val="20"/>
                <w:szCs w:val="20"/>
                <w:vertAlign w:val="superscript"/>
              </w:rPr>
              <w:t>8</w:t>
            </w:r>
          </w:p>
        </w:tc>
      </w:tr>
      <w:tr w:rsidR="00ED354D" w:rsidRPr="00D4558F" w14:paraId="332F43B8" w14:textId="77777777" w:rsidTr="002E1D81">
        <w:tc>
          <w:tcPr>
            <w:tcW w:w="1652" w:type="pct"/>
          </w:tcPr>
          <w:p w14:paraId="31EF9AA6"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 xml:space="preserve">Paediatrics (age 1-17)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500C9A9C" w14:textId="5CF53846"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23"/>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23"/>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0E943761" w14:textId="1827BABF"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22"/>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22"/>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671D3C82" w14:textId="1D3920F0"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21"/>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21"/>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67A730E0" w14:textId="08BC4300"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20"/>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20"/>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140ADF90" w14:textId="628E853C"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9"/>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9"/>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002F5728" w14:textId="76A4D23F"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8"/>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8"/>
                <w14:textFill>
                  <w14:solidFill>
                    <w14:srgbClr w14:val="000000">
                      <w14:alpha w14:val="100000"/>
                    </w14:srgbClr>
                  </w14:solidFill>
                </w14:textFill>
              </w:rPr>
              <w:t>|</w:t>
            </w:r>
            <w:r w:rsidR="00E44816">
              <w:rPr>
                <w:rFonts w:ascii="Arial Narrow" w:hAnsi="Arial Narrow"/>
                <w:sz w:val="20"/>
                <w:szCs w:val="20"/>
                <w:vertAlign w:val="superscript"/>
              </w:rPr>
              <w:t>8</w:t>
            </w:r>
          </w:p>
        </w:tc>
      </w:tr>
      <w:tr w:rsidR="00ED354D" w:rsidRPr="00D4558F" w14:paraId="0E06B169" w14:textId="77777777" w:rsidTr="002E1D81">
        <w:tc>
          <w:tcPr>
            <w:tcW w:w="1652" w:type="pct"/>
          </w:tcPr>
          <w:p w14:paraId="3745A770" w14:textId="77777777" w:rsidR="00CE76B8" w:rsidRPr="00D4558F" w:rsidRDefault="00CE76B8" w:rsidP="00B03783">
            <w:pPr>
              <w:keepLines/>
              <w:ind w:left="112"/>
              <w:rPr>
                <w:rFonts w:ascii="Arial Narrow" w:hAnsi="Arial Narrow"/>
                <w:sz w:val="20"/>
                <w:szCs w:val="20"/>
              </w:rPr>
            </w:pPr>
            <w:r w:rsidRPr="00224A8F">
              <w:rPr>
                <w:rFonts w:ascii="Arial Narrow" w:hAnsi="Arial Narrow"/>
                <w:sz w:val="20"/>
                <w:szCs w:val="20"/>
              </w:rPr>
              <w:t>Adults (age 18-100)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6354164" w14:textId="7490761A"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7"/>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7"/>
                <w14:textFill>
                  <w14:solidFill>
                    <w14:srgbClr w14:val="000000">
                      <w14:alpha w14:val="100000"/>
                    </w14:srgbClr>
                  </w14:solidFill>
                </w14:textFill>
              </w:rPr>
              <w:t>|</w:t>
            </w:r>
            <w:r w:rsidR="00E44816">
              <w:rPr>
                <w:rFonts w:ascii="Arial Narrow" w:hAnsi="Arial Narrow"/>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441A5AAA" w14:textId="5D13E395"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6"/>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6"/>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42151495" w14:textId="38A75361"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5"/>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5"/>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3DC37664" w14:textId="132B5DD6"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4"/>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4"/>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0EA1A124" w14:textId="7C34F2C4"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3"/>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3"/>
                <w14:textFill>
                  <w14:solidFill>
                    <w14:srgbClr w14:val="000000">
                      <w14:alpha w14:val="100000"/>
                    </w14:srgbClr>
                  </w14:solidFill>
                </w14:textFill>
              </w:rPr>
              <w:t>|</w:t>
            </w:r>
            <w:r w:rsidR="00E44816">
              <w:rPr>
                <w:rFonts w:ascii="Arial Narrow" w:hAnsi="Arial Narrow"/>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69AF8824" w14:textId="788515AC" w:rsidR="00CE76B8" w:rsidRPr="00E44816" w:rsidRDefault="00CE76B8" w:rsidP="00B03783">
            <w:pPr>
              <w:keepLines/>
              <w:jc w:val="center"/>
              <w:rPr>
                <w:rFonts w:ascii="Arial Narrow" w:hAnsi="Arial Narrow"/>
                <w:b/>
                <w:sz w:val="20"/>
                <w:szCs w:val="20"/>
                <w:vertAlign w:val="superscript"/>
              </w:rPr>
            </w:pPr>
            <w:r w:rsidRPr="008955C9">
              <w:rPr>
                <w:rFonts w:ascii="Arial Narrow" w:hAnsi="Arial Narrow"/>
                <w:sz w:val="20"/>
                <w:szCs w:val="20"/>
              </w:rPr>
              <w:t>-$</w:t>
            </w:r>
            <w:r w:rsidR="00B355AE" w:rsidRPr="0035108E">
              <w:rPr>
                <w:rFonts w:ascii="Arial Narrow" w:hAnsi="Arial Narrow"/>
                <w:color w:val="000000"/>
                <w:spacing w:val="94"/>
                <w:sz w:val="20"/>
                <w:szCs w:val="20"/>
                <w:shd w:val="solid" w:color="000000" w:fill="000000"/>
                <w:fitText w:val="180" w:id="-1504470512"/>
                <w14:textFill>
                  <w14:solidFill>
                    <w14:srgbClr w14:val="000000">
                      <w14:alpha w14:val="100000"/>
                    </w14:srgbClr>
                  </w14:solidFill>
                </w14:textFill>
              </w:rPr>
              <w:t>|</w:t>
            </w:r>
            <w:r w:rsidR="00B355AE" w:rsidRPr="0035108E">
              <w:rPr>
                <w:rFonts w:ascii="Arial Narrow" w:hAnsi="Arial Narrow"/>
                <w:color w:val="000000"/>
                <w:sz w:val="20"/>
                <w:szCs w:val="20"/>
                <w:shd w:val="solid" w:color="000000" w:fill="000000"/>
                <w:fitText w:val="180" w:id="-1504470512"/>
                <w14:textFill>
                  <w14:solidFill>
                    <w14:srgbClr w14:val="000000">
                      <w14:alpha w14:val="100000"/>
                    </w14:srgbClr>
                  </w14:solidFill>
                </w14:textFill>
              </w:rPr>
              <w:t>|</w:t>
            </w:r>
            <w:r w:rsidR="00E44816">
              <w:rPr>
                <w:rFonts w:ascii="Arial Narrow" w:hAnsi="Arial Narrow"/>
                <w:sz w:val="20"/>
                <w:szCs w:val="20"/>
                <w:vertAlign w:val="superscript"/>
              </w:rPr>
              <w:t>8</w:t>
            </w:r>
          </w:p>
        </w:tc>
      </w:tr>
      <w:tr w:rsidR="00CE76B8" w:rsidRPr="00D4558F" w14:paraId="31200314" w14:textId="77777777" w:rsidTr="002E1D81">
        <w:tc>
          <w:tcPr>
            <w:tcW w:w="5000" w:type="pct"/>
            <w:gridSpan w:val="7"/>
            <w:vAlign w:val="center"/>
          </w:tcPr>
          <w:p w14:paraId="31D0C4F0" w14:textId="77777777" w:rsidR="00CE76B8" w:rsidRPr="00D4558F" w:rsidRDefault="00CE76B8" w:rsidP="00B03783">
            <w:pPr>
              <w:keepLines/>
              <w:jc w:val="left"/>
              <w:rPr>
                <w:rFonts w:ascii="Arial Narrow" w:hAnsi="Arial Narrow"/>
                <w:b/>
                <w:sz w:val="20"/>
                <w:szCs w:val="20"/>
              </w:rPr>
            </w:pPr>
            <w:r w:rsidRPr="00D4558F">
              <w:rPr>
                <w:rFonts w:ascii="Arial Narrow" w:hAnsi="Arial Narrow"/>
                <w:b/>
                <w:sz w:val="20"/>
                <w:szCs w:val="20"/>
              </w:rPr>
              <w:t>Estimated financial implications for the PBS/RPBS and the health budget</w:t>
            </w:r>
          </w:p>
        </w:tc>
      </w:tr>
      <w:tr w:rsidR="00ED354D" w:rsidRPr="00D4558F" w14:paraId="2555243F" w14:textId="77777777" w:rsidTr="002E1D81">
        <w:tc>
          <w:tcPr>
            <w:tcW w:w="1652" w:type="pct"/>
            <w:vAlign w:val="center"/>
          </w:tcPr>
          <w:p w14:paraId="674604AA" w14:textId="77777777" w:rsidR="00CE76B8" w:rsidRPr="00D4558F" w:rsidRDefault="00CE76B8" w:rsidP="00B03783">
            <w:pPr>
              <w:keepLines/>
              <w:jc w:val="left"/>
              <w:rPr>
                <w:rFonts w:ascii="Arial Narrow" w:hAnsi="Arial Narrow"/>
                <w:sz w:val="20"/>
                <w:szCs w:val="20"/>
              </w:rPr>
            </w:pPr>
            <w:r w:rsidRPr="00D4558F">
              <w:rPr>
                <w:rFonts w:ascii="Arial Narrow" w:hAnsi="Arial Narrow"/>
                <w:sz w:val="20"/>
                <w:szCs w:val="20"/>
              </w:rPr>
              <w:t>Net cost PBS/RPBS, proposed listing</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042DCE6B" w14:textId="2E80C1A7"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108"/>
                <w:sz w:val="20"/>
                <w:szCs w:val="20"/>
                <w:shd w:val="solid" w:color="000000" w:fill="000000"/>
                <w:fitText w:val="200" w:id="-1504470528"/>
                <w14:textFill>
                  <w14:solidFill>
                    <w14:srgbClr w14:val="000000">
                      <w14:alpha w14:val="100000"/>
                    </w14:srgbClr>
                  </w14:solidFill>
                </w14:textFill>
              </w:rPr>
              <w:t>|</w:t>
            </w:r>
            <w:r w:rsidR="00B355AE" w:rsidRPr="0035108E">
              <w:rPr>
                <w:rFonts w:ascii="Arial Narrow" w:hAnsi="Arial Narrow"/>
                <w:b/>
                <w:bCs/>
                <w:color w:val="000000"/>
                <w:sz w:val="20"/>
                <w:szCs w:val="20"/>
                <w:shd w:val="solid" w:color="000000" w:fill="000000"/>
                <w:fitText w:val="200" w:id="-1504470528"/>
                <w14:textFill>
                  <w14:solidFill>
                    <w14:srgbClr w14:val="000000">
                      <w14:alpha w14:val="100000"/>
                    </w14:srgbClr>
                  </w14:solidFill>
                </w14:textFill>
              </w:rPr>
              <w:t>|</w:t>
            </w:r>
            <w:r w:rsidR="00ED354D">
              <w:rPr>
                <w:rFonts w:ascii="Arial Narrow" w:hAnsi="Arial Narrow"/>
                <w:b/>
                <w:bCs/>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6C549E7C" w14:textId="6F241332"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46"/>
                <w:sz w:val="20"/>
                <w:szCs w:val="20"/>
                <w:shd w:val="solid" w:color="000000" w:fill="000000"/>
                <w:fitText w:val="230" w:id="-1504470527"/>
                <w14:textFill>
                  <w14:solidFill>
                    <w14:srgbClr w14:val="000000">
                      <w14:alpha w14:val="100000"/>
                    </w14:srgbClr>
                  </w14:solidFill>
                </w14:textFill>
              </w:rPr>
              <w:t>||</w:t>
            </w:r>
            <w:r w:rsidR="00B355AE" w:rsidRPr="0035108E">
              <w:rPr>
                <w:rFonts w:ascii="Arial Narrow" w:hAnsi="Arial Narrow"/>
                <w:b/>
                <w:bCs/>
                <w:color w:val="000000"/>
                <w:spacing w:val="1"/>
                <w:sz w:val="20"/>
                <w:szCs w:val="20"/>
                <w:shd w:val="solid" w:color="000000" w:fill="000000"/>
                <w:fitText w:val="230" w:id="-1504470527"/>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0550DD0F" w14:textId="21C7A78D"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46"/>
                <w:sz w:val="20"/>
                <w:szCs w:val="20"/>
                <w:shd w:val="solid" w:color="000000" w:fill="000000"/>
                <w:fitText w:val="230" w:id="-1504470526"/>
                <w14:textFill>
                  <w14:solidFill>
                    <w14:srgbClr w14:val="000000">
                      <w14:alpha w14:val="100000"/>
                    </w14:srgbClr>
                  </w14:solidFill>
                </w14:textFill>
              </w:rPr>
              <w:t>||</w:t>
            </w:r>
            <w:r w:rsidR="00B355AE" w:rsidRPr="0035108E">
              <w:rPr>
                <w:rFonts w:ascii="Arial Narrow" w:hAnsi="Arial Narrow"/>
                <w:b/>
                <w:bCs/>
                <w:color w:val="000000"/>
                <w:spacing w:val="1"/>
                <w:sz w:val="20"/>
                <w:szCs w:val="20"/>
                <w:shd w:val="solid" w:color="000000" w:fill="000000"/>
                <w:fitText w:val="230" w:id="-1504470526"/>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0A3D2C0B" w14:textId="0A4974E7"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46"/>
                <w:sz w:val="20"/>
                <w:szCs w:val="20"/>
                <w:shd w:val="solid" w:color="000000" w:fill="000000"/>
                <w:fitText w:val="230" w:id="-1504470525"/>
                <w14:textFill>
                  <w14:solidFill>
                    <w14:srgbClr w14:val="000000">
                      <w14:alpha w14:val="100000"/>
                    </w14:srgbClr>
                  </w14:solidFill>
                </w14:textFill>
              </w:rPr>
              <w:t>||</w:t>
            </w:r>
            <w:r w:rsidR="00B355AE" w:rsidRPr="0035108E">
              <w:rPr>
                <w:rFonts w:ascii="Arial Narrow" w:hAnsi="Arial Narrow"/>
                <w:b/>
                <w:bCs/>
                <w:color w:val="000000"/>
                <w:spacing w:val="1"/>
                <w:sz w:val="20"/>
                <w:szCs w:val="20"/>
                <w:shd w:val="solid" w:color="000000" w:fill="000000"/>
                <w:fitText w:val="230" w:id="-1504470525"/>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67CF602F" w14:textId="1D021E0B"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46"/>
                <w:sz w:val="20"/>
                <w:szCs w:val="20"/>
                <w:shd w:val="solid" w:color="000000" w:fill="000000"/>
                <w:fitText w:val="230" w:id="-1504470524"/>
                <w14:textFill>
                  <w14:solidFill>
                    <w14:srgbClr w14:val="000000">
                      <w14:alpha w14:val="100000"/>
                    </w14:srgbClr>
                  </w14:solidFill>
                </w14:textFill>
              </w:rPr>
              <w:t>||</w:t>
            </w:r>
            <w:r w:rsidR="00B355AE" w:rsidRPr="0035108E">
              <w:rPr>
                <w:rFonts w:ascii="Arial Narrow" w:hAnsi="Arial Narrow"/>
                <w:b/>
                <w:bCs/>
                <w:color w:val="000000"/>
                <w:spacing w:val="1"/>
                <w:sz w:val="20"/>
                <w:szCs w:val="20"/>
                <w:shd w:val="solid" w:color="000000" w:fill="000000"/>
                <w:fitText w:val="230" w:id="-1504470524"/>
                <w14:textFill>
                  <w14:solidFill>
                    <w14:srgbClr w14:val="000000">
                      <w14:alpha w14:val="100000"/>
                    </w14:srgbClr>
                  </w14:solidFill>
                </w14:textFill>
              </w:rPr>
              <w:t>|</w:t>
            </w:r>
            <w:r w:rsidR="00ED354D">
              <w:rPr>
                <w:rFonts w:ascii="Arial Narrow" w:hAnsi="Arial Narrow"/>
                <w:b/>
                <w:bCs/>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19A9E223" w14:textId="12F420BE" w:rsidR="00CE76B8" w:rsidRPr="00ED354D" w:rsidRDefault="00CE76B8" w:rsidP="00B03783">
            <w:pPr>
              <w:keepLines/>
              <w:jc w:val="center"/>
              <w:rPr>
                <w:rFonts w:ascii="Arial Narrow" w:hAnsi="Arial Narrow"/>
                <w:b/>
                <w:bCs/>
                <w:color w:val="000000"/>
                <w:sz w:val="20"/>
                <w:szCs w:val="20"/>
                <w:vertAlign w:val="superscript"/>
              </w:rPr>
            </w:pPr>
            <w:r w:rsidRPr="002E31E9">
              <w:rPr>
                <w:rFonts w:ascii="Arial Narrow" w:hAnsi="Arial Narrow"/>
                <w:b/>
                <w:bCs/>
                <w:color w:val="000000"/>
                <w:sz w:val="20"/>
                <w:szCs w:val="20"/>
              </w:rPr>
              <w:t>$</w:t>
            </w:r>
            <w:r w:rsidR="00B355AE" w:rsidRPr="0035108E">
              <w:rPr>
                <w:rFonts w:ascii="Arial Narrow" w:hAnsi="Arial Narrow"/>
                <w:b/>
                <w:bCs/>
                <w:color w:val="000000"/>
                <w:spacing w:val="46"/>
                <w:sz w:val="20"/>
                <w:szCs w:val="20"/>
                <w:shd w:val="solid" w:color="000000" w:fill="000000"/>
                <w:fitText w:val="230" w:id="-1504470523"/>
                <w14:textFill>
                  <w14:solidFill>
                    <w14:srgbClr w14:val="000000">
                      <w14:alpha w14:val="100000"/>
                    </w14:srgbClr>
                  </w14:solidFill>
                </w14:textFill>
              </w:rPr>
              <w:t>||</w:t>
            </w:r>
            <w:r w:rsidR="00B355AE" w:rsidRPr="0035108E">
              <w:rPr>
                <w:rFonts w:ascii="Arial Narrow" w:hAnsi="Arial Narrow"/>
                <w:b/>
                <w:bCs/>
                <w:color w:val="000000"/>
                <w:spacing w:val="1"/>
                <w:sz w:val="20"/>
                <w:szCs w:val="20"/>
                <w:shd w:val="solid" w:color="000000" w:fill="000000"/>
                <w:fitText w:val="230" w:id="-1504470523"/>
                <w14:textFill>
                  <w14:solidFill>
                    <w14:srgbClr w14:val="000000">
                      <w14:alpha w14:val="100000"/>
                    </w14:srgbClr>
                  </w14:solidFill>
                </w14:textFill>
              </w:rPr>
              <w:t>|</w:t>
            </w:r>
            <w:r w:rsidR="00ED354D">
              <w:rPr>
                <w:rFonts w:ascii="Arial Narrow" w:hAnsi="Arial Narrow"/>
                <w:b/>
                <w:bCs/>
                <w:color w:val="000000"/>
                <w:sz w:val="20"/>
                <w:szCs w:val="20"/>
                <w:vertAlign w:val="superscript"/>
              </w:rPr>
              <w:t>11</w:t>
            </w:r>
          </w:p>
        </w:tc>
      </w:tr>
      <w:tr w:rsidR="00ED354D" w:rsidRPr="00D4558F" w14:paraId="6355EC58" w14:textId="77777777" w:rsidTr="002E1D81">
        <w:tc>
          <w:tcPr>
            <w:tcW w:w="1652" w:type="pct"/>
            <w:vAlign w:val="center"/>
          </w:tcPr>
          <w:p w14:paraId="4E5C3BF5" w14:textId="77777777" w:rsidR="00CE76B8" w:rsidRPr="000028BB" w:rsidRDefault="00CE76B8" w:rsidP="00B03783">
            <w:pPr>
              <w:keepLines/>
              <w:jc w:val="left"/>
              <w:rPr>
                <w:rFonts w:ascii="Arial Narrow" w:hAnsi="Arial Narrow"/>
                <w:sz w:val="20"/>
                <w:szCs w:val="20"/>
              </w:rPr>
            </w:pPr>
            <w:r w:rsidRPr="000028BB">
              <w:rPr>
                <w:rFonts w:ascii="Arial Narrow" w:hAnsi="Arial Narrow"/>
                <w:sz w:val="20"/>
                <w:szCs w:val="20"/>
              </w:rPr>
              <w:t>Number of MBS (Item 3) services</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3751340" w14:textId="3D1E9041" w:rsidR="00CE76B8" w:rsidRPr="000028BB" w:rsidRDefault="00B355AE" w:rsidP="00B03783">
            <w:pPr>
              <w:keepLines/>
              <w:jc w:val="center"/>
              <w:rPr>
                <w:rFonts w:ascii="Arial Narrow" w:hAnsi="Arial Narrow"/>
                <w:bCs/>
                <w:color w:val="000000"/>
                <w:sz w:val="20"/>
                <w:szCs w:val="20"/>
              </w:rPr>
            </w:pPr>
            <w:r w:rsidRPr="0035108E">
              <w:rPr>
                <w:rFonts w:ascii="Arial Narrow" w:hAnsi="Arial Narrow" w:hint="eastAsia"/>
                <w:color w:val="000000"/>
                <w:w w:val="20"/>
                <w:sz w:val="20"/>
                <w:szCs w:val="20"/>
                <w:shd w:val="solid" w:color="000000" w:fill="000000"/>
                <w:fitText w:val="90" w:id="-1504470522"/>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2"/>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22"/>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tcPr>
          <w:p w14:paraId="7D7051A4" w14:textId="41FC5CB3" w:rsidR="00CE76B8" w:rsidRPr="00992FB6" w:rsidRDefault="00B355AE" w:rsidP="00B03783">
            <w:pPr>
              <w:keepLines/>
              <w:jc w:val="center"/>
              <w:rPr>
                <w:rFonts w:ascii="Arial Narrow" w:hAnsi="Arial Narrow"/>
                <w:bCs/>
                <w:color w:val="000000"/>
                <w:sz w:val="20"/>
                <w:szCs w:val="20"/>
                <w:vertAlign w:val="superscript"/>
              </w:rPr>
            </w:pPr>
            <w:r w:rsidRPr="0035108E">
              <w:rPr>
                <w:rFonts w:ascii="Arial Narrow" w:hAnsi="Arial Narrow" w:hint="eastAsia"/>
                <w:color w:val="000000"/>
                <w:w w:val="22"/>
                <w:sz w:val="20"/>
                <w:szCs w:val="20"/>
                <w:shd w:val="solid" w:color="000000" w:fill="000000"/>
                <w:fitText w:val="100" w:id="-1504470521"/>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21"/>
                <w14:textFill>
                  <w14:solidFill>
                    <w14:srgbClr w14:val="000000">
                      <w14:alpha w14:val="100000"/>
                    </w14:srgbClr>
                  </w14:solidFill>
                </w14:textFill>
              </w:rPr>
              <w:t>|</w:t>
            </w:r>
            <w:r w:rsidRPr="0035108E">
              <w:rPr>
                <w:rFonts w:ascii="Arial Narrow" w:hAnsi="Arial Narrow" w:hint="eastAsia"/>
                <w:color w:val="000000"/>
                <w:w w:val="22"/>
                <w:sz w:val="20"/>
                <w:szCs w:val="20"/>
                <w:shd w:val="solid" w:color="000000" w:fill="000000"/>
                <w:fitText w:val="100" w:id="-1504470521"/>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14:paraId="58F90726" w14:textId="66D4BFC3" w:rsidR="00CE76B8" w:rsidRPr="000028BB" w:rsidRDefault="00B355AE" w:rsidP="00B03783">
            <w:pPr>
              <w:keepLines/>
              <w:jc w:val="center"/>
              <w:rPr>
                <w:rFonts w:ascii="Arial Narrow" w:hAnsi="Arial Narrow"/>
                <w:bCs/>
                <w:color w:val="000000"/>
                <w:sz w:val="20"/>
                <w:szCs w:val="20"/>
              </w:rPr>
            </w:pPr>
            <w:r w:rsidRPr="0035108E">
              <w:rPr>
                <w:rFonts w:ascii="Arial Narrow" w:hAnsi="Arial Narrow" w:hint="eastAsia"/>
                <w:color w:val="000000"/>
                <w:w w:val="20"/>
                <w:sz w:val="20"/>
                <w:szCs w:val="20"/>
                <w:shd w:val="solid" w:color="000000" w:fill="000000"/>
                <w:fitText w:val="90" w:id="-1504470520"/>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20"/>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20"/>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tcPr>
          <w:p w14:paraId="64941F55" w14:textId="7EE7CCD6" w:rsidR="00CE76B8" w:rsidRPr="000028BB" w:rsidRDefault="00B355AE" w:rsidP="00B03783">
            <w:pPr>
              <w:keepLines/>
              <w:jc w:val="center"/>
              <w:rPr>
                <w:rFonts w:ascii="Arial Narrow" w:hAnsi="Arial Narrow"/>
                <w:bCs/>
                <w:color w:val="000000"/>
                <w:sz w:val="20"/>
                <w:szCs w:val="20"/>
              </w:rPr>
            </w:pPr>
            <w:r w:rsidRPr="0035108E">
              <w:rPr>
                <w:rFonts w:ascii="Arial Narrow" w:hAnsi="Arial Narrow" w:hint="eastAsia"/>
                <w:color w:val="000000"/>
                <w:w w:val="22"/>
                <w:sz w:val="20"/>
                <w:szCs w:val="20"/>
                <w:shd w:val="solid" w:color="000000" w:fill="000000"/>
                <w:fitText w:val="100" w:id="-1504470519"/>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19"/>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19"/>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3</w:t>
            </w:r>
            <w:r w:rsidR="00CE76B8" w:rsidRPr="000028BB">
              <w:rPr>
                <w:rFonts w:ascii="Arial Narrow" w:hAnsi="Arial Narrow"/>
                <w:color w:val="000000"/>
                <w:sz w:val="20"/>
                <w:szCs w:val="20"/>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14:paraId="2182FA9D" w14:textId="0B30CBB2" w:rsidR="00CE76B8" w:rsidRPr="000028BB" w:rsidRDefault="00B355AE" w:rsidP="00B03783">
            <w:pPr>
              <w:keepLines/>
              <w:jc w:val="center"/>
              <w:rPr>
                <w:rFonts w:ascii="Arial Narrow" w:hAnsi="Arial Narrow"/>
                <w:bCs/>
                <w:color w:val="000000"/>
                <w:sz w:val="20"/>
                <w:szCs w:val="20"/>
              </w:rPr>
            </w:pPr>
            <w:r w:rsidRPr="0035108E">
              <w:rPr>
                <w:rFonts w:ascii="Arial Narrow" w:hAnsi="Arial Narrow" w:hint="eastAsia"/>
                <w:color w:val="000000"/>
                <w:w w:val="20"/>
                <w:sz w:val="20"/>
                <w:szCs w:val="20"/>
                <w:shd w:val="solid" w:color="000000" w:fill="000000"/>
                <w:fitText w:val="90" w:id="-1504470518"/>
                <w14:textFill>
                  <w14:solidFill>
                    <w14:srgbClr w14:val="000000">
                      <w14:alpha w14:val="100000"/>
                    </w14:srgbClr>
                  </w14:solidFill>
                </w14:textFill>
              </w:rPr>
              <w:t xml:space="preserve">　</w:t>
            </w:r>
            <w:r w:rsidRPr="0035108E">
              <w:rPr>
                <w:rFonts w:ascii="Arial Narrow" w:hAnsi="Arial Narrow"/>
                <w:color w:val="000000"/>
                <w:w w:val="20"/>
                <w:sz w:val="20"/>
                <w:szCs w:val="20"/>
                <w:shd w:val="solid" w:color="000000" w:fill="000000"/>
                <w:fitText w:val="90" w:id="-1504470518"/>
                <w14:textFill>
                  <w14:solidFill>
                    <w14:srgbClr w14:val="000000">
                      <w14:alpha w14:val="100000"/>
                    </w14:srgbClr>
                  </w14:solidFill>
                </w14:textFill>
              </w:rPr>
              <w:t>|</w:t>
            </w:r>
            <w:r w:rsidRPr="0035108E">
              <w:rPr>
                <w:rFonts w:ascii="Arial Narrow" w:hAnsi="Arial Narrow" w:hint="eastAsia"/>
                <w:color w:val="000000"/>
                <w:spacing w:val="3"/>
                <w:w w:val="20"/>
                <w:sz w:val="20"/>
                <w:szCs w:val="20"/>
                <w:shd w:val="solid" w:color="000000" w:fill="000000"/>
                <w:fitText w:val="90" w:id="-1504470518"/>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4</w:t>
            </w:r>
            <w:r w:rsidR="00CE76B8" w:rsidRPr="000028BB">
              <w:rPr>
                <w:rFonts w:ascii="Arial Narrow" w:hAnsi="Arial Narrow"/>
                <w:color w:val="000000"/>
                <w:sz w:val="20"/>
                <w:szCs w:val="20"/>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14:paraId="38D520BE" w14:textId="48A16ECB" w:rsidR="00CE76B8" w:rsidRPr="000028BB" w:rsidRDefault="00B355AE" w:rsidP="00B03783">
            <w:pPr>
              <w:keepLines/>
              <w:jc w:val="center"/>
              <w:rPr>
                <w:rFonts w:ascii="Arial Narrow" w:hAnsi="Arial Narrow"/>
                <w:bCs/>
                <w:color w:val="000000"/>
                <w:sz w:val="20"/>
                <w:szCs w:val="20"/>
              </w:rPr>
            </w:pPr>
            <w:r w:rsidRPr="0035108E">
              <w:rPr>
                <w:rFonts w:ascii="Arial Narrow" w:hAnsi="Arial Narrow" w:hint="eastAsia"/>
                <w:color w:val="000000"/>
                <w:w w:val="22"/>
                <w:sz w:val="20"/>
                <w:szCs w:val="20"/>
                <w:shd w:val="solid" w:color="000000" w:fill="000000"/>
                <w:fitText w:val="100" w:id="-1504470517"/>
                <w14:textFill>
                  <w14:solidFill>
                    <w14:srgbClr w14:val="000000">
                      <w14:alpha w14:val="100000"/>
                    </w14:srgbClr>
                  </w14:solidFill>
                </w14:textFill>
              </w:rPr>
              <w:t xml:space="preserve">　</w:t>
            </w:r>
            <w:r w:rsidRPr="0035108E">
              <w:rPr>
                <w:rFonts w:ascii="Arial Narrow" w:hAnsi="Arial Narrow"/>
                <w:color w:val="000000"/>
                <w:w w:val="22"/>
                <w:sz w:val="20"/>
                <w:szCs w:val="20"/>
                <w:shd w:val="solid" w:color="000000" w:fill="000000"/>
                <w:fitText w:val="100" w:id="-1504470517"/>
                <w14:textFill>
                  <w14:solidFill>
                    <w14:srgbClr w14:val="000000">
                      <w14:alpha w14:val="100000"/>
                    </w14:srgbClr>
                  </w14:solidFill>
                </w14:textFill>
              </w:rPr>
              <w:t>|</w:t>
            </w:r>
            <w:r w:rsidRPr="0035108E">
              <w:rPr>
                <w:rFonts w:ascii="Arial Narrow" w:hAnsi="Arial Narrow" w:hint="eastAsia"/>
                <w:color w:val="000000"/>
                <w:spacing w:val="3"/>
                <w:w w:val="22"/>
                <w:sz w:val="20"/>
                <w:szCs w:val="20"/>
                <w:shd w:val="solid" w:color="000000" w:fill="000000"/>
                <w:fitText w:val="100" w:id="-1504470517"/>
                <w14:textFill>
                  <w14:solidFill>
                    <w14:srgbClr w14:val="000000">
                      <w14:alpha w14:val="100000"/>
                    </w14:srgbClr>
                  </w14:solidFill>
                </w14:textFill>
              </w:rPr>
              <w:t xml:space="preserve">　</w:t>
            </w:r>
            <w:r w:rsidR="00992FB6">
              <w:rPr>
                <w:rFonts w:ascii="Arial Narrow" w:hAnsi="Arial Narrow"/>
                <w:color w:val="000000"/>
                <w:sz w:val="20"/>
                <w:szCs w:val="20"/>
                <w:vertAlign w:val="superscript"/>
              </w:rPr>
              <w:t>4</w:t>
            </w:r>
            <w:r w:rsidR="00CE76B8" w:rsidRPr="000028BB">
              <w:rPr>
                <w:rFonts w:ascii="Arial Narrow" w:hAnsi="Arial Narrow"/>
                <w:color w:val="000000"/>
                <w:sz w:val="20"/>
                <w:szCs w:val="20"/>
              </w:rPr>
              <w:t xml:space="preserve"> </w:t>
            </w:r>
          </w:p>
        </w:tc>
      </w:tr>
      <w:tr w:rsidR="00ED354D" w:rsidRPr="008E65F1" w14:paraId="671266D0" w14:textId="77777777" w:rsidTr="002E1D81">
        <w:tc>
          <w:tcPr>
            <w:tcW w:w="1652" w:type="pct"/>
          </w:tcPr>
          <w:p w14:paraId="7258C535" w14:textId="77777777" w:rsidR="00CE76B8" w:rsidRPr="008E65F1" w:rsidRDefault="00CE76B8" w:rsidP="00B03783">
            <w:pPr>
              <w:keepLines/>
              <w:rPr>
                <w:rFonts w:ascii="Arial Narrow" w:hAnsi="Arial Narrow"/>
                <w:iCs/>
                <w:sz w:val="20"/>
                <w:szCs w:val="20"/>
              </w:rPr>
            </w:pPr>
            <w:r w:rsidRPr="008E65F1">
              <w:rPr>
                <w:rFonts w:ascii="Arial Narrow" w:hAnsi="Arial Narrow"/>
                <w:iCs/>
                <w:sz w:val="20"/>
                <w:szCs w:val="20"/>
              </w:rPr>
              <w:t>Net cost to MBS</w:t>
            </w:r>
            <w:r w:rsidRPr="008E65F1">
              <w:rPr>
                <w:rFonts w:ascii="Arial Narrow" w:hAnsi="Arial Narrow"/>
                <w:iCs/>
                <w:sz w:val="20"/>
                <w:szCs w:val="20"/>
                <w:vertAlign w:val="superscript"/>
              </w:rPr>
              <w:t>b</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529268E8" w14:textId="1CB0776C"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16"/>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16"/>
                <w14:textFill>
                  <w14:solidFill>
                    <w14:srgbClr w14:val="000000">
                      <w14:alpha w14:val="100000"/>
                    </w14:srgbClr>
                  </w14:solidFill>
                </w14:textFill>
              </w:rPr>
              <w:t>|</w:t>
            </w:r>
            <w:r w:rsidR="00B355AE" w:rsidRPr="0035108E">
              <w:rPr>
                <w:rFonts w:ascii="Arial Narrow" w:hAnsi="Arial Narrow" w:hint="eastAsia"/>
                <w:iCs/>
                <w:color w:val="000000"/>
                <w:w w:val="33"/>
                <w:sz w:val="20"/>
                <w:szCs w:val="20"/>
                <w:shd w:val="solid" w:color="000000" w:fill="000000"/>
                <w:fitText w:val="150" w:id="-1504470516"/>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55CF606D" w14:textId="6A8904E1"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15"/>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15"/>
                <w14:textFill>
                  <w14:solidFill>
                    <w14:srgbClr w14:val="000000">
                      <w14:alpha w14:val="100000"/>
                    </w14:srgbClr>
                  </w14:solidFill>
                </w14:textFill>
              </w:rPr>
              <w:t>|</w:t>
            </w:r>
            <w:r w:rsidR="00B355AE" w:rsidRPr="0035108E">
              <w:rPr>
                <w:rFonts w:ascii="Arial Narrow" w:hAnsi="Arial Narrow" w:hint="eastAsia"/>
                <w:iCs/>
                <w:color w:val="000000"/>
                <w:spacing w:val="4"/>
                <w:w w:val="33"/>
                <w:sz w:val="20"/>
                <w:szCs w:val="20"/>
                <w:shd w:val="solid" w:color="000000" w:fill="000000"/>
                <w:fitText w:val="150" w:id="-1504470515"/>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0FB30EC4" w14:textId="19CA9873"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14"/>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14"/>
                <w14:textFill>
                  <w14:solidFill>
                    <w14:srgbClr w14:val="000000">
                      <w14:alpha w14:val="100000"/>
                    </w14:srgbClr>
                  </w14:solidFill>
                </w14:textFill>
              </w:rPr>
              <w:t>|</w:t>
            </w:r>
            <w:r w:rsidR="00B355AE" w:rsidRPr="0035108E">
              <w:rPr>
                <w:rFonts w:ascii="Arial Narrow" w:hAnsi="Arial Narrow" w:hint="eastAsia"/>
                <w:iCs/>
                <w:color w:val="000000"/>
                <w:spacing w:val="4"/>
                <w:w w:val="33"/>
                <w:sz w:val="20"/>
                <w:szCs w:val="20"/>
                <w:shd w:val="solid" w:color="000000" w:fill="000000"/>
                <w:fitText w:val="150" w:id="-1504470514"/>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9" w:type="pct"/>
            <w:tcBorders>
              <w:top w:val="single" w:sz="4" w:space="0" w:color="auto"/>
              <w:left w:val="nil"/>
              <w:bottom w:val="single" w:sz="4" w:space="0" w:color="auto"/>
              <w:right w:val="single" w:sz="4" w:space="0" w:color="auto"/>
            </w:tcBorders>
            <w:shd w:val="clear" w:color="auto" w:fill="auto"/>
            <w:vAlign w:val="center"/>
          </w:tcPr>
          <w:p w14:paraId="634A2E85" w14:textId="635C2EA3"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13"/>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13"/>
                <w14:textFill>
                  <w14:solidFill>
                    <w14:srgbClr w14:val="000000">
                      <w14:alpha w14:val="100000"/>
                    </w14:srgbClr>
                  </w14:solidFill>
                </w14:textFill>
              </w:rPr>
              <w:t>|</w:t>
            </w:r>
            <w:r w:rsidR="00B355AE" w:rsidRPr="0035108E">
              <w:rPr>
                <w:rFonts w:ascii="Arial Narrow" w:hAnsi="Arial Narrow" w:hint="eastAsia"/>
                <w:iCs/>
                <w:color w:val="000000"/>
                <w:spacing w:val="4"/>
                <w:w w:val="33"/>
                <w:sz w:val="20"/>
                <w:szCs w:val="20"/>
                <w:shd w:val="solid" w:color="000000" w:fill="000000"/>
                <w:fitText w:val="150" w:id="-1504470513"/>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8" w:type="pct"/>
            <w:tcBorders>
              <w:top w:val="single" w:sz="4" w:space="0" w:color="auto"/>
              <w:left w:val="nil"/>
              <w:bottom w:val="single" w:sz="4" w:space="0" w:color="auto"/>
              <w:right w:val="single" w:sz="4" w:space="0" w:color="auto"/>
            </w:tcBorders>
            <w:shd w:val="clear" w:color="auto" w:fill="auto"/>
            <w:vAlign w:val="center"/>
          </w:tcPr>
          <w:p w14:paraId="2FE7A2CC" w14:textId="76866D3F"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12"/>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12"/>
                <w14:textFill>
                  <w14:solidFill>
                    <w14:srgbClr w14:val="000000">
                      <w14:alpha w14:val="100000"/>
                    </w14:srgbClr>
                  </w14:solidFill>
                </w14:textFill>
              </w:rPr>
              <w:t>|</w:t>
            </w:r>
            <w:r w:rsidR="00B355AE" w:rsidRPr="0035108E">
              <w:rPr>
                <w:rFonts w:ascii="Arial Narrow" w:hAnsi="Arial Narrow" w:hint="eastAsia"/>
                <w:iCs/>
                <w:color w:val="000000"/>
                <w:spacing w:val="4"/>
                <w:w w:val="33"/>
                <w:sz w:val="20"/>
                <w:szCs w:val="20"/>
                <w:shd w:val="solid" w:color="000000" w:fill="000000"/>
                <w:fitText w:val="150" w:id="-1504470512"/>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c>
          <w:tcPr>
            <w:tcW w:w="556" w:type="pct"/>
            <w:tcBorders>
              <w:top w:val="single" w:sz="4" w:space="0" w:color="auto"/>
              <w:left w:val="nil"/>
              <w:bottom w:val="single" w:sz="4" w:space="0" w:color="auto"/>
              <w:right w:val="single" w:sz="4" w:space="0" w:color="auto"/>
            </w:tcBorders>
            <w:shd w:val="clear" w:color="auto" w:fill="auto"/>
            <w:vAlign w:val="center"/>
          </w:tcPr>
          <w:p w14:paraId="645D36F6" w14:textId="64B81BE0" w:rsidR="00CE76B8" w:rsidRPr="00E44816" w:rsidRDefault="00CE76B8" w:rsidP="00B03783">
            <w:pPr>
              <w:keepLines/>
              <w:jc w:val="center"/>
              <w:rPr>
                <w:rFonts w:ascii="Arial Narrow" w:hAnsi="Arial Narrow"/>
                <w:bCs/>
                <w:iCs/>
                <w:color w:val="000000"/>
                <w:sz w:val="20"/>
                <w:szCs w:val="20"/>
                <w:vertAlign w:val="superscript"/>
              </w:rPr>
            </w:pPr>
            <w:r w:rsidRPr="008E65F1">
              <w:rPr>
                <w:rFonts w:ascii="Arial Narrow" w:hAnsi="Arial Narrow"/>
                <w:iCs/>
                <w:color w:val="000000"/>
                <w:sz w:val="20"/>
                <w:szCs w:val="20"/>
              </w:rPr>
              <w:t>$</w:t>
            </w:r>
            <w:r w:rsidR="00B355AE" w:rsidRPr="0035108E">
              <w:rPr>
                <w:rFonts w:ascii="Arial Narrow" w:hAnsi="Arial Narrow" w:hint="eastAsia"/>
                <w:iCs/>
                <w:color w:val="000000"/>
                <w:w w:val="33"/>
                <w:sz w:val="20"/>
                <w:szCs w:val="20"/>
                <w:shd w:val="solid" w:color="000000" w:fill="000000"/>
                <w:fitText w:val="150" w:id="-1504470528"/>
                <w14:textFill>
                  <w14:solidFill>
                    <w14:srgbClr w14:val="000000">
                      <w14:alpha w14:val="100000"/>
                    </w14:srgbClr>
                  </w14:solidFill>
                </w14:textFill>
              </w:rPr>
              <w:t xml:space="preserve">　</w:t>
            </w:r>
            <w:r w:rsidR="00B355AE" w:rsidRPr="0035108E">
              <w:rPr>
                <w:rFonts w:ascii="Arial Narrow" w:hAnsi="Arial Narrow"/>
                <w:iCs/>
                <w:color w:val="000000"/>
                <w:w w:val="33"/>
                <w:sz w:val="20"/>
                <w:szCs w:val="20"/>
                <w:shd w:val="solid" w:color="000000" w:fill="000000"/>
                <w:fitText w:val="150" w:id="-1504470528"/>
                <w14:textFill>
                  <w14:solidFill>
                    <w14:srgbClr w14:val="000000">
                      <w14:alpha w14:val="100000"/>
                    </w14:srgbClr>
                  </w14:solidFill>
                </w14:textFill>
              </w:rPr>
              <w:t>|</w:t>
            </w:r>
            <w:r w:rsidR="00B355AE" w:rsidRPr="0035108E">
              <w:rPr>
                <w:rFonts w:ascii="Arial Narrow" w:hAnsi="Arial Narrow" w:hint="eastAsia"/>
                <w:iCs/>
                <w:color w:val="000000"/>
                <w:spacing w:val="4"/>
                <w:w w:val="33"/>
                <w:sz w:val="20"/>
                <w:szCs w:val="20"/>
                <w:shd w:val="solid" w:color="000000" w:fill="000000"/>
                <w:fitText w:val="150" w:id="-1504470528"/>
                <w14:textFill>
                  <w14:solidFill>
                    <w14:srgbClr w14:val="000000">
                      <w14:alpha w14:val="100000"/>
                    </w14:srgbClr>
                  </w14:solidFill>
                </w14:textFill>
              </w:rPr>
              <w:t xml:space="preserve">　</w:t>
            </w:r>
            <w:r w:rsidR="00E44816">
              <w:rPr>
                <w:rFonts w:ascii="Arial Narrow" w:hAnsi="Arial Narrow"/>
                <w:iCs/>
                <w:color w:val="000000"/>
                <w:sz w:val="20"/>
                <w:szCs w:val="20"/>
                <w:vertAlign w:val="superscript"/>
              </w:rPr>
              <w:t>8</w:t>
            </w:r>
          </w:p>
        </w:tc>
      </w:tr>
      <w:tr w:rsidR="00ED354D" w:rsidRPr="008E65F1" w14:paraId="0E716F24" w14:textId="77777777" w:rsidTr="002E1D81">
        <w:tc>
          <w:tcPr>
            <w:tcW w:w="1652" w:type="pct"/>
          </w:tcPr>
          <w:p w14:paraId="47FF2589" w14:textId="77777777" w:rsidR="00CE76B8" w:rsidRPr="008E65F1" w:rsidRDefault="00CE76B8" w:rsidP="00B03783">
            <w:pPr>
              <w:keepLines/>
              <w:rPr>
                <w:rFonts w:ascii="Arial Narrow" w:hAnsi="Arial Narrow"/>
                <w:iCs/>
                <w:sz w:val="20"/>
                <w:szCs w:val="20"/>
              </w:rPr>
            </w:pPr>
            <w:r w:rsidRPr="008E65F1">
              <w:rPr>
                <w:rFonts w:ascii="Arial Narrow" w:hAnsi="Arial Narrow"/>
                <w:iCs/>
                <w:sz w:val="20"/>
                <w:szCs w:val="20"/>
              </w:rPr>
              <w:t>Net change to government budget</w:t>
            </w:r>
            <w:r w:rsidRPr="008E65F1">
              <w:rPr>
                <w:rFonts w:ascii="Arial Narrow" w:hAnsi="Arial Narrow"/>
                <w:iCs/>
                <w:sz w:val="20"/>
                <w:szCs w:val="20"/>
                <w:vertAlign w:val="superscript"/>
              </w:rPr>
              <w:t>b</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24FC8CC" w14:textId="133342EC"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108"/>
                <w:sz w:val="20"/>
                <w:szCs w:val="20"/>
                <w:shd w:val="solid" w:color="000000" w:fill="000000"/>
                <w:fitText w:val="200" w:id="-1504470527"/>
                <w14:textFill>
                  <w14:solidFill>
                    <w14:srgbClr w14:val="000000">
                      <w14:alpha w14:val="100000"/>
                    </w14:srgbClr>
                  </w14:solidFill>
                </w14:textFill>
              </w:rPr>
              <w:t>|</w:t>
            </w:r>
            <w:r w:rsidR="00B355AE" w:rsidRPr="0035108E">
              <w:rPr>
                <w:rFonts w:ascii="Arial Narrow" w:hAnsi="Arial Narrow"/>
                <w:b/>
                <w:iCs/>
                <w:color w:val="000000"/>
                <w:sz w:val="20"/>
                <w:szCs w:val="20"/>
                <w:shd w:val="solid" w:color="000000" w:fill="000000"/>
                <w:fitText w:val="200" w:id="-1504470527"/>
                <w14:textFill>
                  <w14:solidFill>
                    <w14:srgbClr w14:val="000000">
                      <w14:alpha w14:val="100000"/>
                    </w14:srgbClr>
                  </w14:solidFill>
                </w14:textFill>
              </w:rPr>
              <w:t>|</w:t>
            </w:r>
            <w:r w:rsidR="00ED354D">
              <w:rPr>
                <w:rFonts w:ascii="Arial Narrow" w:hAnsi="Arial Narrow"/>
                <w:b/>
                <w:iCs/>
                <w:color w:val="000000"/>
                <w:sz w:val="20"/>
                <w:szCs w:val="20"/>
                <w:vertAlign w:val="superscript"/>
              </w:rPr>
              <w:t>9</w:t>
            </w:r>
          </w:p>
        </w:tc>
        <w:tc>
          <w:tcPr>
            <w:tcW w:w="559" w:type="pct"/>
            <w:tcBorders>
              <w:top w:val="single" w:sz="4" w:space="0" w:color="auto"/>
              <w:left w:val="nil"/>
              <w:bottom w:val="single" w:sz="4" w:space="0" w:color="auto"/>
              <w:right w:val="single" w:sz="4" w:space="0" w:color="auto"/>
            </w:tcBorders>
            <w:shd w:val="clear" w:color="auto" w:fill="auto"/>
            <w:vAlign w:val="center"/>
          </w:tcPr>
          <w:p w14:paraId="69D6ED48" w14:textId="6F57DAA7"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46"/>
                <w:sz w:val="20"/>
                <w:szCs w:val="20"/>
                <w:shd w:val="solid" w:color="000000" w:fill="000000"/>
                <w:fitText w:val="230" w:id="-1504470526"/>
                <w14:textFill>
                  <w14:solidFill>
                    <w14:srgbClr w14:val="000000">
                      <w14:alpha w14:val="100000"/>
                    </w14:srgbClr>
                  </w14:solidFill>
                </w14:textFill>
              </w:rPr>
              <w:t>||</w:t>
            </w:r>
            <w:r w:rsidR="00B355AE" w:rsidRPr="0035108E">
              <w:rPr>
                <w:rFonts w:ascii="Arial Narrow" w:hAnsi="Arial Narrow"/>
                <w:b/>
                <w:iCs/>
                <w:color w:val="000000"/>
                <w:spacing w:val="1"/>
                <w:sz w:val="20"/>
                <w:szCs w:val="20"/>
                <w:shd w:val="solid" w:color="000000" w:fill="000000"/>
                <w:fitText w:val="230" w:id="-1504470526"/>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7559E5AE" w14:textId="27E49262"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46"/>
                <w:sz w:val="20"/>
                <w:szCs w:val="20"/>
                <w:shd w:val="solid" w:color="000000" w:fill="000000"/>
                <w:fitText w:val="230" w:id="-1504470525"/>
                <w14:textFill>
                  <w14:solidFill>
                    <w14:srgbClr w14:val="000000">
                      <w14:alpha w14:val="100000"/>
                    </w14:srgbClr>
                  </w14:solidFill>
                </w14:textFill>
              </w:rPr>
              <w:t>||</w:t>
            </w:r>
            <w:r w:rsidR="00B355AE" w:rsidRPr="0035108E">
              <w:rPr>
                <w:rFonts w:ascii="Arial Narrow" w:hAnsi="Arial Narrow"/>
                <w:b/>
                <w:iCs/>
                <w:color w:val="000000"/>
                <w:spacing w:val="1"/>
                <w:sz w:val="20"/>
                <w:szCs w:val="20"/>
                <w:shd w:val="solid" w:color="000000" w:fill="000000"/>
                <w:fitText w:val="230" w:id="-1504470525"/>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9" w:type="pct"/>
            <w:tcBorders>
              <w:top w:val="single" w:sz="4" w:space="0" w:color="auto"/>
              <w:left w:val="nil"/>
              <w:bottom w:val="single" w:sz="4" w:space="0" w:color="auto"/>
              <w:right w:val="single" w:sz="4" w:space="0" w:color="auto"/>
            </w:tcBorders>
            <w:shd w:val="clear" w:color="auto" w:fill="auto"/>
            <w:vAlign w:val="center"/>
          </w:tcPr>
          <w:p w14:paraId="14CD2E16" w14:textId="3EA06B0E"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46"/>
                <w:sz w:val="20"/>
                <w:szCs w:val="20"/>
                <w:shd w:val="solid" w:color="000000" w:fill="000000"/>
                <w:fitText w:val="230" w:id="-1504470524"/>
                <w14:textFill>
                  <w14:solidFill>
                    <w14:srgbClr w14:val="000000">
                      <w14:alpha w14:val="100000"/>
                    </w14:srgbClr>
                  </w14:solidFill>
                </w14:textFill>
              </w:rPr>
              <w:t>||</w:t>
            </w:r>
            <w:r w:rsidR="00B355AE" w:rsidRPr="0035108E">
              <w:rPr>
                <w:rFonts w:ascii="Arial Narrow" w:hAnsi="Arial Narrow"/>
                <w:b/>
                <w:iCs/>
                <w:color w:val="000000"/>
                <w:spacing w:val="1"/>
                <w:sz w:val="20"/>
                <w:szCs w:val="20"/>
                <w:shd w:val="solid" w:color="000000" w:fill="000000"/>
                <w:fitText w:val="230" w:id="-1504470524"/>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8" w:type="pct"/>
            <w:tcBorders>
              <w:top w:val="single" w:sz="4" w:space="0" w:color="auto"/>
              <w:left w:val="nil"/>
              <w:bottom w:val="single" w:sz="4" w:space="0" w:color="auto"/>
              <w:right w:val="single" w:sz="4" w:space="0" w:color="auto"/>
            </w:tcBorders>
            <w:shd w:val="clear" w:color="auto" w:fill="auto"/>
            <w:vAlign w:val="center"/>
          </w:tcPr>
          <w:p w14:paraId="1E6DCECC" w14:textId="297CD39B"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46"/>
                <w:sz w:val="20"/>
                <w:szCs w:val="20"/>
                <w:shd w:val="solid" w:color="000000" w:fill="000000"/>
                <w:fitText w:val="230" w:id="-1504470523"/>
                <w14:textFill>
                  <w14:solidFill>
                    <w14:srgbClr w14:val="000000">
                      <w14:alpha w14:val="100000"/>
                    </w14:srgbClr>
                  </w14:solidFill>
                </w14:textFill>
              </w:rPr>
              <w:t>||</w:t>
            </w:r>
            <w:r w:rsidR="00B355AE" w:rsidRPr="0035108E">
              <w:rPr>
                <w:rFonts w:ascii="Arial Narrow" w:hAnsi="Arial Narrow"/>
                <w:b/>
                <w:iCs/>
                <w:color w:val="000000"/>
                <w:spacing w:val="1"/>
                <w:sz w:val="20"/>
                <w:szCs w:val="20"/>
                <w:shd w:val="solid" w:color="000000" w:fill="000000"/>
                <w:fitText w:val="230" w:id="-1504470523"/>
                <w14:textFill>
                  <w14:solidFill>
                    <w14:srgbClr w14:val="000000">
                      <w14:alpha w14:val="100000"/>
                    </w14:srgbClr>
                  </w14:solidFill>
                </w14:textFill>
              </w:rPr>
              <w:t>|</w:t>
            </w:r>
            <w:r w:rsidR="00ED354D">
              <w:rPr>
                <w:rFonts w:ascii="Arial Narrow" w:hAnsi="Arial Narrow"/>
                <w:b/>
                <w:iCs/>
                <w:color w:val="000000"/>
                <w:sz w:val="20"/>
                <w:szCs w:val="20"/>
                <w:vertAlign w:val="superscript"/>
              </w:rPr>
              <w:t>10</w:t>
            </w:r>
          </w:p>
        </w:tc>
        <w:tc>
          <w:tcPr>
            <w:tcW w:w="556" w:type="pct"/>
            <w:tcBorders>
              <w:top w:val="single" w:sz="4" w:space="0" w:color="auto"/>
              <w:left w:val="nil"/>
              <w:bottom w:val="single" w:sz="4" w:space="0" w:color="auto"/>
              <w:right w:val="single" w:sz="4" w:space="0" w:color="auto"/>
            </w:tcBorders>
            <w:shd w:val="clear" w:color="auto" w:fill="auto"/>
            <w:vAlign w:val="center"/>
          </w:tcPr>
          <w:p w14:paraId="75A3228D" w14:textId="7F5738DB" w:rsidR="00CE76B8" w:rsidRPr="00ED354D" w:rsidRDefault="00CE76B8" w:rsidP="00B03783">
            <w:pPr>
              <w:keepLines/>
              <w:jc w:val="center"/>
              <w:rPr>
                <w:rFonts w:ascii="Arial Narrow" w:hAnsi="Arial Narrow"/>
                <w:b/>
                <w:bCs/>
                <w:iCs/>
                <w:color w:val="000000"/>
                <w:sz w:val="20"/>
                <w:szCs w:val="20"/>
                <w:vertAlign w:val="superscript"/>
              </w:rPr>
            </w:pPr>
            <w:r w:rsidRPr="008E65F1">
              <w:rPr>
                <w:rFonts w:ascii="Arial Narrow" w:hAnsi="Arial Narrow"/>
                <w:b/>
                <w:iCs/>
                <w:color w:val="000000"/>
                <w:sz w:val="20"/>
                <w:szCs w:val="20"/>
              </w:rPr>
              <w:t>$</w:t>
            </w:r>
            <w:r w:rsidR="00B355AE" w:rsidRPr="0035108E">
              <w:rPr>
                <w:rFonts w:ascii="Arial Narrow" w:hAnsi="Arial Narrow"/>
                <w:b/>
                <w:iCs/>
                <w:color w:val="000000"/>
                <w:spacing w:val="46"/>
                <w:sz w:val="20"/>
                <w:szCs w:val="20"/>
                <w:shd w:val="solid" w:color="000000" w:fill="000000"/>
                <w:fitText w:val="230" w:id="-1504470522"/>
                <w14:textFill>
                  <w14:solidFill>
                    <w14:srgbClr w14:val="000000">
                      <w14:alpha w14:val="100000"/>
                    </w14:srgbClr>
                  </w14:solidFill>
                </w14:textFill>
              </w:rPr>
              <w:t>||</w:t>
            </w:r>
            <w:r w:rsidR="00B355AE" w:rsidRPr="0035108E">
              <w:rPr>
                <w:rFonts w:ascii="Arial Narrow" w:hAnsi="Arial Narrow"/>
                <w:b/>
                <w:iCs/>
                <w:color w:val="000000"/>
                <w:spacing w:val="1"/>
                <w:sz w:val="20"/>
                <w:szCs w:val="20"/>
                <w:shd w:val="solid" w:color="000000" w:fill="000000"/>
                <w:fitText w:val="230" w:id="-1504470522"/>
                <w14:textFill>
                  <w14:solidFill>
                    <w14:srgbClr w14:val="000000">
                      <w14:alpha w14:val="100000"/>
                    </w14:srgbClr>
                  </w14:solidFill>
                </w14:textFill>
              </w:rPr>
              <w:t>|</w:t>
            </w:r>
            <w:r w:rsidR="00ED354D">
              <w:rPr>
                <w:rFonts w:ascii="Arial Narrow" w:hAnsi="Arial Narrow"/>
                <w:b/>
                <w:iCs/>
                <w:color w:val="000000"/>
                <w:sz w:val="20"/>
                <w:szCs w:val="20"/>
                <w:vertAlign w:val="superscript"/>
              </w:rPr>
              <w:t>11</w:t>
            </w:r>
          </w:p>
        </w:tc>
      </w:tr>
    </w:tbl>
    <w:p w14:paraId="47035EDA" w14:textId="1D38756C" w:rsidR="000A19FA" w:rsidRPr="008E65F1" w:rsidRDefault="00CE76B8" w:rsidP="00B03783">
      <w:pPr>
        <w:keepLines/>
        <w:spacing w:after="120"/>
        <w:contextualSpacing/>
        <w:rPr>
          <w:rFonts w:ascii="Arial Narrow" w:hAnsi="Arial Narrow"/>
          <w:iCs/>
          <w:snapToGrid w:val="0"/>
          <w:sz w:val="18"/>
          <w:szCs w:val="22"/>
        </w:rPr>
      </w:pPr>
      <w:r w:rsidRPr="008E65F1">
        <w:rPr>
          <w:rFonts w:ascii="Arial Narrow" w:hAnsi="Arial Narrow"/>
          <w:iCs/>
          <w:snapToGrid w:val="0"/>
          <w:sz w:val="18"/>
          <w:szCs w:val="22"/>
        </w:rPr>
        <w:t xml:space="preserve">Source: Tables 4-1 to 4-4, pp307-309 of the </w:t>
      </w:r>
      <w:r w:rsidR="00C86DB7" w:rsidRPr="008E65F1">
        <w:rPr>
          <w:rFonts w:ascii="Arial Narrow" w:hAnsi="Arial Narrow"/>
          <w:iCs/>
          <w:snapToGrid w:val="0"/>
          <w:sz w:val="18"/>
          <w:szCs w:val="22"/>
        </w:rPr>
        <w:t>re</w:t>
      </w:r>
      <w:r w:rsidRPr="008E65F1">
        <w:rPr>
          <w:rFonts w:ascii="Arial Narrow" w:hAnsi="Arial Narrow"/>
          <w:iCs/>
          <w:snapToGrid w:val="0"/>
          <w:sz w:val="18"/>
          <w:szCs w:val="22"/>
        </w:rPr>
        <w:t>submission and Section 4 Workbook.xlsx.</w:t>
      </w:r>
    </w:p>
    <w:p w14:paraId="0747F843" w14:textId="00999442" w:rsidR="00CE76B8" w:rsidRPr="008E65F1" w:rsidRDefault="00CE76B8" w:rsidP="00B03783">
      <w:pPr>
        <w:keepLines/>
        <w:spacing w:after="120"/>
        <w:contextualSpacing/>
        <w:rPr>
          <w:rFonts w:ascii="Arial Narrow" w:hAnsi="Arial Narrow"/>
          <w:iCs/>
          <w:snapToGrid w:val="0"/>
          <w:sz w:val="18"/>
          <w:szCs w:val="22"/>
        </w:rPr>
      </w:pPr>
      <w:r w:rsidRPr="008E65F1">
        <w:rPr>
          <w:rFonts w:ascii="Arial Narrow" w:hAnsi="Arial Narrow"/>
          <w:iCs/>
          <w:snapToGrid w:val="0"/>
          <w:sz w:val="18"/>
          <w:szCs w:val="22"/>
        </w:rPr>
        <w:t>BUR=burosumab; XLH=X-linked hypophosphataemia</w:t>
      </w:r>
    </w:p>
    <w:p w14:paraId="6F0BD55D" w14:textId="77777777" w:rsidR="00CE76B8" w:rsidRPr="008E65F1" w:rsidRDefault="00CE76B8" w:rsidP="00B03783">
      <w:pPr>
        <w:keepLines/>
        <w:tabs>
          <w:tab w:val="left" w:pos="142"/>
        </w:tabs>
        <w:spacing w:after="120"/>
        <w:ind w:left="140" w:hanging="140"/>
        <w:contextualSpacing/>
        <w:rPr>
          <w:rFonts w:ascii="Arial Narrow" w:hAnsi="Arial Narrow"/>
          <w:iCs/>
          <w:snapToGrid w:val="0"/>
          <w:sz w:val="18"/>
          <w:szCs w:val="22"/>
        </w:rPr>
      </w:pPr>
      <w:r w:rsidRPr="008E65F1">
        <w:rPr>
          <w:rFonts w:ascii="Arial Narrow" w:hAnsi="Arial Narrow"/>
          <w:iCs/>
          <w:snapToGrid w:val="0"/>
          <w:sz w:val="18"/>
          <w:szCs w:val="22"/>
        </w:rPr>
        <w:t>a</w:t>
      </w:r>
      <w:r w:rsidRPr="008E65F1">
        <w:rPr>
          <w:rFonts w:ascii="Arial Narrow" w:hAnsi="Arial Narrow"/>
          <w:iCs/>
          <w:snapToGrid w:val="0"/>
          <w:sz w:val="18"/>
          <w:szCs w:val="22"/>
        </w:rPr>
        <w:tab/>
        <w:t>The resubmission included RPBS co-payment for paediatrics in the financial estimates.</w:t>
      </w:r>
    </w:p>
    <w:p w14:paraId="34054560" w14:textId="77777777" w:rsidR="00CE76B8" w:rsidRPr="008E65F1" w:rsidRDefault="00CE76B8" w:rsidP="00B03783">
      <w:pPr>
        <w:keepLines/>
        <w:tabs>
          <w:tab w:val="left" w:pos="142"/>
        </w:tabs>
        <w:spacing w:after="120"/>
        <w:ind w:left="140" w:hanging="140"/>
        <w:contextualSpacing/>
        <w:rPr>
          <w:rFonts w:ascii="Arial Narrow" w:hAnsi="Arial Narrow"/>
          <w:iCs/>
          <w:snapToGrid w:val="0"/>
          <w:sz w:val="18"/>
          <w:szCs w:val="22"/>
        </w:rPr>
      </w:pPr>
      <w:r w:rsidRPr="008E65F1">
        <w:rPr>
          <w:rFonts w:ascii="Arial Narrow" w:hAnsi="Arial Narrow"/>
          <w:iCs/>
          <w:snapToGrid w:val="0"/>
          <w:sz w:val="18"/>
          <w:szCs w:val="22"/>
        </w:rPr>
        <w:t>b</w:t>
      </w:r>
      <w:r w:rsidRPr="008E65F1">
        <w:rPr>
          <w:rFonts w:ascii="Arial Narrow" w:hAnsi="Arial Narrow"/>
          <w:iCs/>
          <w:snapToGrid w:val="0"/>
          <w:sz w:val="18"/>
          <w:szCs w:val="22"/>
        </w:rPr>
        <w:tab/>
        <w:t>Corrected for MBS item 3 to receive 100% benefit and updated fee $17.90 (July 2021 MBS schedule). The resubmission applied an 80% rebate on the scheduled fee for MBS item 3 and used the previous fee $17.75 (July 2020 MBS schedule).</w:t>
      </w:r>
    </w:p>
    <w:p w14:paraId="49433FA1" w14:textId="31753350" w:rsidR="00CE76B8" w:rsidRDefault="00CE76B8" w:rsidP="00B03783">
      <w:pPr>
        <w:keepLines/>
        <w:tabs>
          <w:tab w:val="left" w:pos="142"/>
        </w:tabs>
        <w:spacing w:after="120"/>
        <w:ind w:left="140" w:hanging="140"/>
        <w:contextualSpacing/>
        <w:rPr>
          <w:rFonts w:ascii="Arial Narrow" w:hAnsi="Arial Narrow"/>
          <w:iCs/>
          <w:snapToGrid w:val="0"/>
          <w:sz w:val="18"/>
          <w:szCs w:val="22"/>
        </w:rPr>
      </w:pPr>
      <w:r w:rsidRPr="008E65F1">
        <w:rPr>
          <w:rFonts w:ascii="Arial Narrow" w:hAnsi="Arial Narrow"/>
          <w:iCs/>
          <w:snapToGrid w:val="0"/>
          <w:sz w:val="18"/>
          <w:szCs w:val="22"/>
        </w:rPr>
        <w:t>#</w:t>
      </w:r>
      <w:r w:rsidRPr="008E65F1">
        <w:rPr>
          <w:rFonts w:ascii="Arial Narrow" w:hAnsi="Arial Narrow"/>
          <w:iCs/>
          <w:snapToGrid w:val="0"/>
          <w:sz w:val="18"/>
          <w:szCs w:val="22"/>
        </w:rPr>
        <w:tab/>
        <w:t xml:space="preserve">Corrected for mean weight-age distribution at age 7 and 8 years (i.e. 23 and 26 kg, respectively), which did not impact the base case analysis. The resubmission’s mean weight for patients aged 7 and 8 was 17.77 kg and 20.77 kg, respectively </w:t>
      </w:r>
    </w:p>
    <w:p w14:paraId="3B50CD51" w14:textId="77777777" w:rsidR="0009759C" w:rsidRPr="009A6D58" w:rsidRDefault="0009759C" w:rsidP="0009759C">
      <w:pPr>
        <w:rPr>
          <w:rFonts w:ascii="Arial Narrow" w:hAnsi="Arial Narrow"/>
          <w:i/>
          <w:sz w:val="18"/>
          <w:szCs w:val="18"/>
        </w:rPr>
      </w:pPr>
      <w:bookmarkStart w:id="62" w:name="_Hlk102748847"/>
      <w:r w:rsidRPr="009A6D58">
        <w:rPr>
          <w:rFonts w:ascii="Arial Narrow" w:hAnsi="Arial Narrow"/>
          <w:i/>
          <w:sz w:val="18"/>
          <w:szCs w:val="18"/>
        </w:rPr>
        <w:t xml:space="preserve">The redacted values correspond to the following </w:t>
      </w:r>
      <w:r w:rsidRPr="00AB30F9">
        <w:rPr>
          <w:rFonts w:ascii="Arial Narrow" w:hAnsi="Arial Narrow"/>
          <w:i/>
          <w:sz w:val="18"/>
          <w:szCs w:val="18"/>
        </w:rPr>
        <w:t>ranges:</w:t>
      </w:r>
      <w:r w:rsidRPr="009A6D58">
        <w:rPr>
          <w:rFonts w:ascii="Arial Narrow" w:hAnsi="Arial Narrow"/>
          <w:i/>
          <w:sz w:val="18"/>
          <w:szCs w:val="18"/>
        </w:rPr>
        <w:t xml:space="preserve"> </w:t>
      </w:r>
    </w:p>
    <w:bookmarkEnd w:id="62"/>
    <w:p w14:paraId="25E16EEC" w14:textId="77777777" w:rsidR="0009759C" w:rsidRPr="0083773E" w:rsidRDefault="0009759C" w:rsidP="0009759C">
      <w:pPr>
        <w:rPr>
          <w:rFonts w:ascii="Arial Narrow" w:hAnsi="Arial Narrow"/>
          <w:i/>
          <w:sz w:val="18"/>
          <w:szCs w:val="18"/>
        </w:rPr>
      </w:pPr>
      <w:r w:rsidRPr="0083773E">
        <w:rPr>
          <w:rFonts w:ascii="Arial Narrow" w:hAnsi="Arial Narrow"/>
          <w:i/>
          <w:sz w:val="18"/>
          <w:szCs w:val="18"/>
          <w:vertAlign w:val="superscript"/>
        </w:rPr>
        <w:t>1</w:t>
      </w:r>
      <w:r w:rsidRPr="0083773E">
        <w:rPr>
          <w:rFonts w:ascii="Arial Narrow" w:hAnsi="Arial Narrow"/>
          <w:i/>
          <w:sz w:val="18"/>
          <w:szCs w:val="18"/>
        </w:rPr>
        <w:t xml:space="preserve"> &lt; 500</w:t>
      </w:r>
    </w:p>
    <w:p w14:paraId="4F28A993" w14:textId="77777777" w:rsidR="00CC4353" w:rsidRDefault="0009759C" w:rsidP="00CC4353">
      <w:pPr>
        <w:ind w:right="147"/>
        <w:rPr>
          <w:rFonts w:ascii="Arial Narrow" w:hAnsi="Arial Narrow"/>
          <w:b/>
          <w:bCs/>
          <w:i/>
          <w:sz w:val="18"/>
          <w:szCs w:val="18"/>
        </w:rPr>
      </w:pPr>
      <w:r w:rsidRPr="0083773E">
        <w:rPr>
          <w:rFonts w:ascii="Arial Narrow" w:hAnsi="Arial Narrow"/>
          <w:i/>
          <w:sz w:val="18"/>
          <w:szCs w:val="18"/>
          <w:vertAlign w:val="superscript"/>
        </w:rPr>
        <w:t>2</w:t>
      </w:r>
      <w:r w:rsidRPr="0083773E">
        <w:rPr>
          <w:rFonts w:ascii="Arial Narrow" w:hAnsi="Arial Narrow"/>
          <w:i/>
          <w:sz w:val="18"/>
          <w:szCs w:val="18"/>
        </w:rPr>
        <w:t xml:space="preserve"> 500 &lt; 5,000</w:t>
      </w:r>
    </w:p>
    <w:p w14:paraId="182E9740" w14:textId="281C232C" w:rsidR="00CC4353" w:rsidRDefault="00CC4353" w:rsidP="00CC4353">
      <w:pPr>
        <w:ind w:right="147"/>
        <w:rPr>
          <w:rFonts w:ascii="Arial Narrow" w:hAnsi="Arial Narrow"/>
          <w:b/>
          <w:bCs/>
          <w:i/>
          <w:sz w:val="18"/>
          <w:szCs w:val="18"/>
        </w:rPr>
      </w:pPr>
      <w:r>
        <w:rPr>
          <w:rFonts w:ascii="Arial Narrow" w:hAnsi="Arial Narrow"/>
          <w:i/>
          <w:sz w:val="18"/>
          <w:szCs w:val="18"/>
          <w:vertAlign w:val="superscript"/>
        </w:rPr>
        <w:t>3</w:t>
      </w:r>
      <w:r w:rsidRPr="00CC4353">
        <w:rPr>
          <w:rFonts w:ascii="Arial Narrow" w:hAnsi="Arial Narrow"/>
          <w:i/>
          <w:sz w:val="18"/>
          <w:szCs w:val="18"/>
        </w:rPr>
        <w:t>5,000 to &lt; 10,000</w:t>
      </w:r>
    </w:p>
    <w:p w14:paraId="31CEFC68" w14:textId="29DC07DA" w:rsidR="00992FB6" w:rsidRPr="00E44816" w:rsidRDefault="00E44816" w:rsidP="00992FB6">
      <w:pPr>
        <w:ind w:right="147"/>
        <w:rPr>
          <w:rFonts w:ascii="Arial Narrow" w:hAnsi="Arial Narrow"/>
          <w:i/>
          <w:sz w:val="18"/>
          <w:szCs w:val="18"/>
        </w:rPr>
      </w:pPr>
      <w:r>
        <w:rPr>
          <w:rFonts w:ascii="Arial Narrow" w:hAnsi="Arial Narrow"/>
          <w:i/>
          <w:sz w:val="18"/>
          <w:szCs w:val="18"/>
          <w:vertAlign w:val="superscript"/>
        </w:rPr>
        <w:lastRenderedPageBreak/>
        <w:t>4</w:t>
      </w:r>
      <w:r w:rsidR="00992FB6" w:rsidRPr="00E44816">
        <w:rPr>
          <w:rFonts w:ascii="Arial Narrow" w:hAnsi="Arial Narrow"/>
          <w:i/>
          <w:sz w:val="18"/>
          <w:szCs w:val="18"/>
        </w:rPr>
        <w:t>10,000 to &lt; 20,000</w:t>
      </w:r>
    </w:p>
    <w:p w14:paraId="3B8AEF71" w14:textId="79260398" w:rsidR="00E55CFF" w:rsidRPr="00E44816" w:rsidRDefault="00E44816" w:rsidP="00E55CFF">
      <w:pPr>
        <w:ind w:right="147"/>
        <w:rPr>
          <w:rFonts w:ascii="Arial Narrow" w:hAnsi="Arial Narrow"/>
          <w:i/>
          <w:sz w:val="18"/>
          <w:szCs w:val="18"/>
        </w:rPr>
      </w:pPr>
      <w:r>
        <w:rPr>
          <w:rFonts w:ascii="Arial Narrow" w:hAnsi="Arial Narrow"/>
          <w:i/>
          <w:sz w:val="18"/>
          <w:szCs w:val="18"/>
          <w:vertAlign w:val="superscript"/>
        </w:rPr>
        <w:t>5</w:t>
      </w:r>
      <w:r w:rsidR="00E55CFF" w:rsidRPr="00E44816">
        <w:rPr>
          <w:rFonts w:ascii="Arial Narrow" w:hAnsi="Arial Narrow"/>
          <w:i/>
          <w:sz w:val="18"/>
          <w:szCs w:val="18"/>
        </w:rPr>
        <w:t>4,000,000 to &lt; 6,000,000</w:t>
      </w:r>
    </w:p>
    <w:p w14:paraId="6BC2BBAB" w14:textId="4264D069" w:rsidR="00E44816" w:rsidRPr="00E44816" w:rsidRDefault="00E44816" w:rsidP="00E44816">
      <w:pPr>
        <w:ind w:right="147"/>
        <w:rPr>
          <w:rFonts w:ascii="Arial Narrow" w:hAnsi="Arial Narrow"/>
          <w:i/>
          <w:sz w:val="18"/>
          <w:szCs w:val="18"/>
        </w:rPr>
      </w:pPr>
      <w:r>
        <w:rPr>
          <w:rFonts w:ascii="Arial Narrow" w:hAnsi="Arial Narrow"/>
          <w:i/>
          <w:sz w:val="18"/>
          <w:szCs w:val="18"/>
          <w:vertAlign w:val="superscript"/>
        </w:rPr>
        <w:t>6</w:t>
      </w:r>
      <w:r w:rsidRPr="00E44816">
        <w:rPr>
          <w:rFonts w:ascii="Arial Narrow" w:hAnsi="Arial Narrow"/>
          <w:i/>
          <w:sz w:val="18"/>
          <w:szCs w:val="18"/>
        </w:rPr>
        <w:t>6,000,000 to &lt; 7,000,000</w:t>
      </w:r>
    </w:p>
    <w:p w14:paraId="5A7E13EB" w14:textId="7061921D" w:rsidR="00992FB6" w:rsidRPr="00E44816" w:rsidRDefault="00E44816" w:rsidP="00CC4353">
      <w:pPr>
        <w:ind w:right="147"/>
        <w:rPr>
          <w:rFonts w:ascii="Arial Narrow" w:hAnsi="Arial Narrow"/>
          <w:i/>
          <w:sz w:val="18"/>
          <w:szCs w:val="18"/>
        </w:rPr>
      </w:pPr>
      <w:r>
        <w:rPr>
          <w:rFonts w:ascii="Arial Narrow" w:hAnsi="Arial Narrow"/>
          <w:i/>
          <w:sz w:val="18"/>
          <w:szCs w:val="18"/>
          <w:vertAlign w:val="superscript"/>
        </w:rPr>
        <w:t>7</w:t>
      </w:r>
      <w:r w:rsidRPr="00E44816">
        <w:rPr>
          <w:rFonts w:ascii="Arial Narrow" w:hAnsi="Arial Narrow"/>
          <w:i/>
          <w:sz w:val="18"/>
          <w:szCs w:val="18"/>
        </w:rPr>
        <w:t>&gt; 10,000,000</w:t>
      </w:r>
    </w:p>
    <w:p w14:paraId="23A18B30" w14:textId="511C1125"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8</w:t>
      </w:r>
      <w:r w:rsidR="00463B45" w:rsidRPr="00463B45">
        <w:rPr>
          <w:rFonts w:ascii="Arial Narrow" w:hAnsi="Arial Narrow"/>
          <w:i/>
          <w:sz w:val="18"/>
          <w:szCs w:val="18"/>
        </w:rPr>
        <w:t>$0 to &lt; $10 million</w:t>
      </w:r>
    </w:p>
    <w:p w14:paraId="076572AE" w14:textId="2879556C"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9</w:t>
      </w:r>
      <w:r w:rsidR="00463B45" w:rsidRPr="00463B45">
        <w:rPr>
          <w:rFonts w:ascii="Arial Narrow" w:hAnsi="Arial Narrow"/>
          <w:i/>
          <w:sz w:val="18"/>
          <w:szCs w:val="18"/>
        </w:rPr>
        <w:t>$10 million to &lt; $20 million</w:t>
      </w:r>
    </w:p>
    <w:p w14:paraId="59ED3734" w14:textId="092D75A1" w:rsidR="00463B45" w:rsidRPr="00463B45" w:rsidRDefault="00E44816" w:rsidP="00463B45">
      <w:pPr>
        <w:ind w:right="150"/>
        <w:rPr>
          <w:rFonts w:ascii="Arial Narrow" w:hAnsi="Arial Narrow"/>
          <w:i/>
          <w:sz w:val="18"/>
          <w:szCs w:val="18"/>
        </w:rPr>
      </w:pPr>
      <w:r>
        <w:rPr>
          <w:rFonts w:ascii="Arial Narrow" w:hAnsi="Arial Narrow"/>
          <w:i/>
          <w:sz w:val="18"/>
          <w:szCs w:val="18"/>
          <w:vertAlign w:val="superscript"/>
        </w:rPr>
        <w:t>10</w:t>
      </w:r>
      <w:r w:rsidR="00463B45" w:rsidRPr="00463B45">
        <w:rPr>
          <w:rFonts w:ascii="Arial Narrow" w:hAnsi="Arial Narrow"/>
          <w:i/>
          <w:sz w:val="18"/>
          <w:szCs w:val="18"/>
        </w:rPr>
        <w:t>$20 million to &lt; $30 million</w:t>
      </w:r>
    </w:p>
    <w:p w14:paraId="628F607B" w14:textId="6F25692F" w:rsidR="0009759C" w:rsidRPr="003C231F" w:rsidRDefault="00E44816" w:rsidP="003C231F">
      <w:pPr>
        <w:spacing w:after="120"/>
        <w:ind w:right="150"/>
        <w:rPr>
          <w:rFonts w:ascii="Arial Narrow" w:hAnsi="Arial Narrow"/>
          <w:i/>
          <w:sz w:val="18"/>
          <w:szCs w:val="18"/>
        </w:rPr>
      </w:pPr>
      <w:r>
        <w:rPr>
          <w:rFonts w:ascii="Arial Narrow" w:hAnsi="Arial Narrow"/>
          <w:i/>
          <w:sz w:val="18"/>
          <w:szCs w:val="18"/>
          <w:vertAlign w:val="superscript"/>
        </w:rPr>
        <w:t>11</w:t>
      </w:r>
      <w:r w:rsidR="00463B45" w:rsidRPr="00463B45">
        <w:rPr>
          <w:rFonts w:ascii="Arial Narrow" w:hAnsi="Arial Narrow"/>
          <w:i/>
          <w:sz w:val="18"/>
          <w:szCs w:val="18"/>
        </w:rPr>
        <w:t>$30 million to &lt; $40 million</w:t>
      </w:r>
    </w:p>
    <w:p w14:paraId="33ECCF77" w14:textId="5A531342" w:rsidR="00CE76B8" w:rsidRPr="008E65F1" w:rsidRDefault="00CE76B8" w:rsidP="00935341">
      <w:pPr>
        <w:pStyle w:val="3-BodyText"/>
      </w:pPr>
      <w:r w:rsidRPr="008E65F1">
        <w:t xml:space="preserve">The net cost to the PBS/RPBS was estimated to be </w:t>
      </w:r>
      <w:r w:rsidR="00935341" w:rsidRPr="00935341">
        <w:t>$100 million to &lt; $200 million</w:t>
      </w:r>
      <w:r w:rsidR="00935341">
        <w:t xml:space="preserve"> </w:t>
      </w:r>
      <w:r w:rsidRPr="008E65F1">
        <w:t xml:space="preserve">(plus </w:t>
      </w:r>
      <w:r w:rsidR="00935341" w:rsidRPr="00935341">
        <w:t>$0 to &lt; $10 million</w:t>
      </w:r>
      <w:r w:rsidR="00935341" w:rsidRPr="008E65F1" w:rsidDel="00935341">
        <w:t xml:space="preserve"> </w:t>
      </w:r>
      <w:r w:rsidRPr="008E65F1">
        <w:t xml:space="preserve">net cost to MBS) over the first six years of listing. </w:t>
      </w:r>
      <w:bookmarkStart w:id="63" w:name="_Hlk92890049"/>
      <w:r w:rsidR="00110A48" w:rsidRPr="008E65F1">
        <w:t xml:space="preserve">The net cost to the PBS/RPBS in the March 2021 submission for the proposed listing in paediatrics only was estimated to be </w:t>
      </w:r>
      <w:r w:rsidR="00935341" w:rsidRPr="00935341">
        <w:t>$100 million to &lt; $200 million</w:t>
      </w:r>
      <w:r w:rsidR="00935341">
        <w:t xml:space="preserve"> </w:t>
      </w:r>
      <w:r w:rsidR="00110A48" w:rsidRPr="008E65F1">
        <w:t xml:space="preserve">(plus $309,700 net cost to MBS). </w:t>
      </w:r>
      <w:bookmarkEnd w:id="63"/>
      <w:r w:rsidRPr="001A2C4E">
        <w:t xml:space="preserve">The </w:t>
      </w:r>
      <w:r w:rsidR="00B757F1" w:rsidRPr="001A2C4E">
        <w:t>ESC considered that</w:t>
      </w:r>
      <w:r w:rsidR="00B757F1">
        <w:t xml:space="preserve"> the </w:t>
      </w:r>
      <w:r w:rsidR="00110A48" w:rsidRPr="008E65F1">
        <w:t xml:space="preserve">resubmission’s </w:t>
      </w:r>
      <w:r w:rsidRPr="008E65F1">
        <w:t>financial estimates were uncertain due to:</w:t>
      </w:r>
    </w:p>
    <w:p w14:paraId="1EDFE91D" w14:textId="77777777" w:rsidR="00CE76B8" w:rsidRPr="008E65F1" w:rsidRDefault="00CE76B8" w:rsidP="00CE76B8">
      <w:pPr>
        <w:pStyle w:val="ListParagraph"/>
        <w:numPr>
          <w:ilvl w:val="0"/>
          <w:numId w:val="3"/>
        </w:numPr>
        <w:ind w:left="1080"/>
      </w:pPr>
      <w:r w:rsidRPr="008E65F1">
        <w:t>The lack of Australian data on which to base the eligible population. Although the resubmission noted recent prevalence estimates for the Australian paediatric population (Munns et al 2021), which may be underestimated due to missing data, there were no prevalence data available for the Australian adult population.</w:t>
      </w:r>
    </w:p>
    <w:p w14:paraId="0EFED20F" w14:textId="77777777" w:rsidR="00CE76B8" w:rsidRPr="008E65F1" w:rsidRDefault="00CE76B8" w:rsidP="00CE76B8">
      <w:pPr>
        <w:pStyle w:val="ListParagraph"/>
        <w:numPr>
          <w:ilvl w:val="0"/>
          <w:numId w:val="3"/>
        </w:numPr>
        <w:ind w:left="1080"/>
      </w:pPr>
      <w:r w:rsidRPr="008E65F1">
        <w:t xml:space="preserve">The lack of Australian data informing the weight distribution of patients with XLH. The assumed body weight by age distribution from the general Australian adult population may be an overestimate given patients with XLH typically have short stature and tend to be lighter in weight. It was also inconsistent with the modelled economic evaluation that assumed the average patient with XLH was aged 40 years with an average weight of 70 kg based on CL303. </w:t>
      </w:r>
    </w:p>
    <w:p w14:paraId="60CD38BA" w14:textId="34184944" w:rsidR="00CE76B8" w:rsidRPr="008E65F1" w:rsidRDefault="00CE76B8" w:rsidP="00CE76B8">
      <w:pPr>
        <w:pStyle w:val="ListParagraph"/>
        <w:numPr>
          <w:ilvl w:val="0"/>
          <w:numId w:val="3"/>
        </w:numPr>
        <w:ind w:left="1080"/>
      </w:pPr>
      <w:r w:rsidRPr="008E65F1">
        <w:t xml:space="preserve">The assumption that Year 1 (2023) bodyweight/age distribution will be maintained over the first six years of listing and that age distribution of the PBS XLH population will follow that of the general population (with patient numbers evenly split across all ages 1-17 years or 18-100 years). The PBAC </w:t>
      </w:r>
      <w:r w:rsidR="00B757F1">
        <w:t xml:space="preserve">previously </w:t>
      </w:r>
      <w:r w:rsidRPr="008E65F1">
        <w:t>considered that there was a “likelihood that more older, and hence heavier, prevalent patients would be treated initially” (paragraph 7.12, burosumab PSD</w:t>
      </w:r>
      <w:r w:rsidR="00C47542">
        <w:t>,</w:t>
      </w:r>
      <w:r w:rsidRPr="008E65F1">
        <w:t xml:space="preserve"> March 2021), and that over time as the prevalent patients are treated, then incident patients commencing BUR treatment is likely to be younger with mean age closer to 1 years (or age of diagnosis) (paragraph 6.68, burosumab PSD</w:t>
      </w:r>
      <w:r w:rsidR="00C47542">
        <w:t xml:space="preserve">, </w:t>
      </w:r>
      <w:r w:rsidRPr="008E65F1">
        <w:t>March 2021).</w:t>
      </w:r>
    </w:p>
    <w:p w14:paraId="3C062903" w14:textId="22BF74F2" w:rsidR="00CE76B8" w:rsidRPr="008E65F1" w:rsidRDefault="00CE76B8" w:rsidP="00CE76B8">
      <w:pPr>
        <w:pStyle w:val="ListParagraph"/>
        <w:numPr>
          <w:ilvl w:val="0"/>
          <w:numId w:val="3"/>
        </w:numPr>
        <w:ind w:left="1080"/>
      </w:pPr>
      <w:r w:rsidRPr="008E65F1">
        <w:t>All paediatric (age 1-17 years) and adult (age 18-100 years) patients will receive an average burosumab dose of 0.91 mg/kg Q2</w:t>
      </w:r>
      <w:r w:rsidR="008C26A4">
        <w:t>W</w:t>
      </w:r>
      <w:r w:rsidRPr="008E65F1">
        <w:t xml:space="preserve"> and 0.95 mg/kg Q4W, respectively, which was based on unpublished North American Disease Monitoring Program. </w:t>
      </w:r>
      <w:r w:rsidR="00690A43" w:rsidRPr="008E65F1">
        <w:t xml:space="preserve">The dose likely to be used in Australian practice is uncertain. </w:t>
      </w:r>
      <w:r w:rsidRPr="008E65F1">
        <w:t xml:space="preserve">The PBAC </w:t>
      </w:r>
      <w:r w:rsidR="00B757F1">
        <w:t xml:space="preserve">previously </w:t>
      </w:r>
      <w:r w:rsidRPr="008E65F1">
        <w:t>noted that the mean dose received by children in the EAP was 1.05 mg/kg (paragraph 7.11, burosumab PSD</w:t>
      </w:r>
      <w:r w:rsidR="00C47542">
        <w:t>,</w:t>
      </w:r>
      <w:r w:rsidRPr="008E65F1">
        <w:t xml:space="preserve"> March 2021). In the main adult study, CL303, the mean dose of burosumab was 0.88-0.98 mg/kg (range: 0.2-1.5 mg/kg).</w:t>
      </w:r>
    </w:p>
    <w:p w14:paraId="2C6E08E0" w14:textId="7758C0E7" w:rsidR="00CE76B8" w:rsidRPr="008E65F1" w:rsidRDefault="00CE76B8" w:rsidP="00CE76B8">
      <w:pPr>
        <w:pStyle w:val="ListParagraph"/>
        <w:numPr>
          <w:ilvl w:val="0"/>
          <w:numId w:val="3"/>
        </w:numPr>
        <w:ind w:left="1080"/>
      </w:pPr>
      <w:r w:rsidRPr="008E65F1">
        <w:t>Burosumab treatment compliance of 100% and zero attrition over time was inconsistent with the proposed continuation criteria for burosumab listing.</w:t>
      </w:r>
    </w:p>
    <w:p w14:paraId="20A57C3B" w14:textId="77777777" w:rsidR="00CE76B8" w:rsidRPr="00C9624D" w:rsidRDefault="00CE76B8" w:rsidP="00606FBA">
      <w:pPr>
        <w:pStyle w:val="4-SubsectionHeading"/>
      </w:pPr>
      <w:bookmarkStart w:id="64" w:name="_Toc22897649"/>
      <w:bookmarkStart w:id="65" w:name="_Toc92386488"/>
      <w:bookmarkStart w:id="66" w:name="_Toc93406138"/>
      <w:r w:rsidRPr="00C9624D">
        <w:lastRenderedPageBreak/>
        <w:t>Financial Management – Risk Sharing Arrangements</w:t>
      </w:r>
      <w:bookmarkEnd w:id="64"/>
      <w:bookmarkEnd w:id="65"/>
      <w:bookmarkEnd w:id="66"/>
    </w:p>
    <w:p w14:paraId="29E6E10D" w14:textId="1ED96A71" w:rsidR="00411DBB" w:rsidRDefault="00CE76B8" w:rsidP="00411DBB">
      <w:pPr>
        <w:pStyle w:val="ListParagraph"/>
        <w:numPr>
          <w:ilvl w:val="1"/>
          <w:numId w:val="1"/>
        </w:numPr>
      </w:pPr>
      <w:r w:rsidRPr="006A23F8">
        <w:t xml:space="preserve">The resubmission stated </w:t>
      </w:r>
      <w:r>
        <w:t>that</w:t>
      </w:r>
      <w:r w:rsidRPr="006A23F8">
        <w:t xml:space="preserve"> the sponsor proposed a risk sharing arrangement </w:t>
      </w:r>
      <w:r w:rsidR="00411DBB">
        <w:t xml:space="preserve">(RSA) </w:t>
      </w:r>
      <w:r w:rsidRPr="006A23F8">
        <w:t xml:space="preserve">given uncertainties around the utilisation estimates and financial impact related to the eligible population, uptake rate and potential use outside the intended population or excess use or wastage of medicine. Under the </w:t>
      </w:r>
      <w:r w:rsidR="00411DBB">
        <w:t>RSA</w:t>
      </w:r>
      <w:r w:rsidRPr="006A23F8">
        <w:t xml:space="preserve"> the sponsor would reimburse the Commonwealth 50% of any expenditure on </w:t>
      </w:r>
      <w:r>
        <w:t>burosumab</w:t>
      </w:r>
      <w:r w:rsidRPr="006A23F8">
        <w:t>, over and above the annual financial caps, which would be calculated based on the resubmission’s base case assumptions of eligibility, uptake, and utilisation.</w:t>
      </w:r>
      <w:r w:rsidR="00411DBB">
        <w:t xml:space="preserve"> </w:t>
      </w:r>
    </w:p>
    <w:p w14:paraId="68A32000" w14:textId="7BBB23E2" w:rsidR="00411DBB" w:rsidRPr="001A2C4E" w:rsidRDefault="00411DBB" w:rsidP="00411DBB">
      <w:pPr>
        <w:pStyle w:val="ListParagraph"/>
        <w:numPr>
          <w:ilvl w:val="1"/>
          <w:numId w:val="1"/>
        </w:numPr>
      </w:pPr>
      <w:r w:rsidRPr="001A2C4E">
        <w:t xml:space="preserve">The ESC, noting that the PSCR stated that the main financial issues would be addressed in the pre-PBAC response, considered that a </w:t>
      </w:r>
      <w:r w:rsidR="009A59BB" w:rsidRPr="001A2C4E">
        <w:t>R</w:t>
      </w:r>
      <w:r w:rsidRPr="001A2C4E">
        <w:t>SA which was based on revised patient estimates would be required.</w:t>
      </w:r>
      <w:r w:rsidR="007A58F4">
        <w:t xml:space="preserve"> The PBAC noted that the pre-PBAC response did not provide revised estimates.</w:t>
      </w:r>
    </w:p>
    <w:p w14:paraId="36C6386C" w14:textId="3E006C71" w:rsidR="001A2C4E" w:rsidRPr="001A2C4E" w:rsidRDefault="001A2C4E" w:rsidP="001A2C4E">
      <w:pPr>
        <w:ind w:left="510" w:firstLine="170"/>
        <w:rPr>
          <w:i/>
          <w:iCs/>
        </w:rPr>
      </w:pPr>
      <w:r w:rsidRPr="001A2C4E">
        <w:rPr>
          <w:i/>
          <w:iCs/>
        </w:rPr>
        <w:t>For more detail on PBAC’s view, see section 7 PBAC outcome.</w:t>
      </w:r>
    </w:p>
    <w:p w14:paraId="0BE1E80B" w14:textId="77777777" w:rsidR="001A2C4E" w:rsidRPr="0090150D" w:rsidRDefault="001A2C4E" w:rsidP="003C231F">
      <w:pPr>
        <w:pStyle w:val="2-SectionHeading"/>
      </w:pPr>
      <w:bookmarkStart w:id="67" w:name="_Hlk76381249"/>
      <w:bookmarkStart w:id="68" w:name="_Hlk76377955"/>
      <w:r w:rsidRPr="0090150D">
        <w:t>PBAC Outcome</w:t>
      </w:r>
    </w:p>
    <w:p w14:paraId="1AD4DA2A" w14:textId="15B6B8D5" w:rsidR="00433CA5" w:rsidRPr="00433CA5" w:rsidRDefault="00AD0FEE" w:rsidP="001A2C4E">
      <w:pPr>
        <w:widowControl w:val="0"/>
        <w:numPr>
          <w:ilvl w:val="1"/>
          <w:numId w:val="1"/>
        </w:numPr>
        <w:spacing w:after="120"/>
        <w:rPr>
          <w:rFonts w:asciiTheme="minorHAnsi" w:hAnsiTheme="minorHAnsi"/>
          <w:snapToGrid w:val="0"/>
          <w:lang w:val="en-GB"/>
        </w:rPr>
      </w:pPr>
      <w:r w:rsidRPr="006E6121">
        <w:rPr>
          <w:rFonts w:asciiTheme="minorHAnsi" w:hAnsiTheme="minorHAnsi" w:cstheme="minorHAnsi"/>
        </w:rPr>
        <w:t xml:space="preserve">The PBAC </w:t>
      </w:r>
      <w:r w:rsidRPr="00433CA5">
        <w:rPr>
          <w:rFonts w:asciiTheme="minorHAnsi" w:hAnsiTheme="minorHAnsi" w:cstheme="minorHAnsi"/>
          <w:bCs/>
        </w:rPr>
        <w:t>did not recommend</w:t>
      </w:r>
      <w:r w:rsidRPr="006E6121">
        <w:rPr>
          <w:rFonts w:asciiTheme="minorHAnsi" w:hAnsiTheme="minorHAnsi" w:cstheme="minorHAnsi"/>
        </w:rPr>
        <w:t xml:space="preserve"> burosumab for the treatment of </w:t>
      </w:r>
      <w:r w:rsidR="00433CA5">
        <w:rPr>
          <w:rFonts w:asciiTheme="minorHAnsi" w:hAnsiTheme="minorHAnsi" w:cstheme="minorHAnsi"/>
        </w:rPr>
        <w:t>paediatric and adult patients with X</w:t>
      </w:r>
      <w:r w:rsidRPr="006E6121">
        <w:rPr>
          <w:rFonts w:asciiTheme="minorHAnsi" w:hAnsiTheme="minorHAnsi" w:cstheme="minorHAnsi"/>
        </w:rPr>
        <w:t>-linked hypophosphataemia</w:t>
      </w:r>
      <w:r>
        <w:rPr>
          <w:rFonts w:asciiTheme="minorHAnsi" w:hAnsiTheme="minorHAnsi" w:cstheme="minorHAnsi"/>
        </w:rPr>
        <w:t xml:space="preserve"> (XLH)</w:t>
      </w:r>
      <w:r w:rsidRPr="006E6121">
        <w:rPr>
          <w:rFonts w:asciiTheme="minorHAnsi" w:hAnsiTheme="minorHAnsi" w:cstheme="minorHAnsi"/>
        </w:rPr>
        <w:t xml:space="preserve">. The PBAC noted the high clinical need and strong consumer support for treatments for this condition. However, the PBAC considered that the incremental cost-effectiveness ratio </w:t>
      </w:r>
      <w:r w:rsidR="004765A2">
        <w:rPr>
          <w:rFonts w:asciiTheme="minorHAnsi" w:hAnsiTheme="minorHAnsi" w:cstheme="minorHAnsi"/>
        </w:rPr>
        <w:t xml:space="preserve">(ICER) </w:t>
      </w:r>
      <w:r w:rsidRPr="006E6121">
        <w:rPr>
          <w:rFonts w:asciiTheme="minorHAnsi" w:hAnsiTheme="minorHAnsi" w:cstheme="minorHAnsi"/>
        </w:rPr>
        <w:t xml:space="preserve">was unacceptably high at the proposed price. The PBAC considered a risk sharing arrangement </w:t>
      </w:r>
      <w:r w:rsidR="008C26A4">
        <w:rPr>
          <w:rFonts w:asciiTheme="minorHAnsi" w:hAnsiTheme="minorHAnsi" w:cstheme="minorHAnsi"/>
        </w:rPr>
        <w:t xml:space="preserve">(RSA) </w:t>
      </w:r>
      <w:r w:rsidRPr="006E6121">
        <w:rPr>
          <w:rFonts w:asciiTheme="minorHAnsi" w:hAnsiTheme="minorHAnsi" w:cstheme="minorHAnsi"/>
        </w:rPr>
        <w:t xml:space="preserve">was needed to </w:t>
      </w:r>
      <w:r w:rsidR="002D2F3A">
        <w:rPr>
          <w:rFonts w:asciiTheme="minorHAnsi" w:hAnsiTheme="minorHAnsi" w:cstheme="minorHAnsi"/>
        </w:rPr>
        <w:t xml:space="preserve">address </w:t>
      </w:r>
      <w:r w:rsidR="00242578">
        <w:rPr>
          <w:rFonts w:asciiTheme="minorHAnsi" w:hAnsiTheme="minorHAnsi" w:cstheme="minorHAnsi"/>
        </w:rPr>
        <w:t xml:space="preserve">substantial </w:t>
      </w:r>
      <w:r w:rsidR="002D2F3A">
        <w:rPr>
          <w:rFonts w:asciiTheme="minorHAnsi" w:hAnsiTheme="minorHAnsi" w:cstheme="minorHAnsi"/>
        </w:rPr>
        <w:t>uncertainties around</w:t>
      </w:r>
      <w:r w:rsidRPr="006E6121">
        <w:rPr>
          <w:rFonts w:asciiTheme="minorHAnsi" w:hAnsiTheme="minorHAnsi" w:cstheme="minorHAnsi"/>
        </w:rPr>
        <w:t xml:space="preserve"> the financial </w:t>
      </w:r>
      <w:r w:rsidR="002D2F3A">
        <w:rPr>
          <w:rFonts w:asciiTheme="minorHAnsi" w:hAnsiTheme="minorHAnsi" w:cstheme="minorHAnsi"/>
        </w:rPr>
        <w:t>estimates</w:t>
      </w:r>
      <w:r w:rsidRPr="006E6121">
        <w:rPr>
          <w:rFonts w:asciiTheme="minorHAnsi" w:hAnsiTheme="minorHAnsi" w:cstheme="minorHAnsi"/>
        </w:rPr>
        <w:t>, including the impact associated with use of higher doses.</w:t>
      </w:r>
    </w:p>
    <w:p w14:paraId="206C9B9B" w14:textId="581C6F63" w:rsidR="00433CA5" w:rsidRDefault="00433CA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w:t>
      </w:r>
      <w:r w:rsidR="001E4EF7">
        <w:rPr>
          <w:rFonts w:asciiTheme="minorHAnsi" w:hAnsiTheme="minorHAnsi"/>
          <w:snapToGrid w:val="0"/>
          <w:lang w:val="en-GB"/>
        </w:rPr>
        <w:t>ognised the high clinical need for effective XLH treatments and noted the strong consumer support for burosumab describing a range of benefits including the ease of administration compared to currently available therapies and the effectiveness, tolerability and improvements to quality of life associated with burosumab.</w:t>
      </w:r>
    </w:p>
    <w:p w14:paraId="55EA05E0" w14:textId="2A3CC461"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resubmission requested a broad PBS listing for paediatric and adult patients and considered that this was appropriate.</w:t>
      </w:r>
    </w:p>
    <w:p w14:paraId="78467A60" w14:textId="0689ADE7"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nominated comparator of conventional therapy, consisting of oral phosphorus and calcitriol, was appropriate</w:t>
      </w:r>
      <w:r w:rsidR="00FF1615">
        <w:rPr>
          <w:rFonts w:asciiTheme="minorHAnsi" w:hAnsiTheme="minorHAnsi"/>
          <w:snapToGrid w:val="0"/>
          <w:lang w:val="en-GB"/>
        </w:rPr>
        <w:t xml:space="preserve"> for both the paediatric and adult populations</w:t>
      </w:r>
      <w:r>
        <w:rPr>
          <w:rFonts w:asciiTheme="minorHAnsi" w:hAnsiTheme="minorHAnsi"/>
          <w:snapToGrid w:val="0"/>
          <w:lang w:val="en-GB"/>
        </w:rPr>
        <w:t>.</w:t>
      </w:r>
    </w:p>
    <w:p w14:paraId="6AE11E67" w14:textId="00FE28D6" w:rsidR="00FF1615" w:rsidRPr="004765A2" w:rsidRDefault="00FF1615" w:rsidP="00FF1615">
      <w:pPr>
        <w:widowControl w:val="0"/>
        <w:spacing w:after="120"/>
        <w:rPr>
          <w:rFonts w:asciiTheme="minorHAnsi" w:hAnsiTheme="minorHAnsi"/>
          <w:b/>
          <w:bCs/>
          <w:snapToGrid w:val="0"/>
          <w:lang w:val="en-GB"/>
        </w:rPr>
      </w:pPr>
      <w:r w:rsidRPr="004765A2">
        <w:rPr>
          <w:rFonts w:asciiTheme="minorHAnsi" w:hAnsiTheme="minorHAnsi"/>
          <w:b/>
          <w:bCs/>
          <w:snapToGrid w:val="0"/>
          <w:lang w:val="en-GB"/>
        </w:rPr>
        <w:t>Paediatric</w:t>
      </w:r>
      <w:r w:rsidR="004765A2" w:rsidRPr="004765A2">
        <w:rPr>
          <w:rFonts w:asciiTheme="minorHAnsi" w:hAnsiTheme="minorHAnsi"/>
          <w:b/>
          <w:bCs/>
          <w:snapToGrid w:val="0"/>
          <w:lang w:val="en-GB"/>
        </w:rPr>
        <w:t>s</w:t>
      </w:r>
    </w:p>
    <w:p w14:paraId="62562732" w14:textId="4C98F877" w:rsidR="001E4EF7" w:rsidRDefault="001E4EF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For paediatric patients, the PBAC noted that the resubmission again presented data from the randomised controlled trial CL301 and two non-comparative studies (CL201 and CL205). The PBAC noted that additional non-comparative data were presented from study KRN23-003.</w:t>
      </w:r>
      <w:r w:rsidR="0040322B">
        <w:rPr>
          <w:rFonts w:asciiTheme="minorHAnsi" w:hAnsiTheme="minorHAnsi"/>
          <w:snapToGrid w:val="0"/>
          <w:lang w:val="en-GB"/>
        </w:rPr>
        <w:t xml:space="preserve"> The PBAC noted that no longer term follow up data or data for patients aged 13 to 18 years was presented in the resubmission.</w:t>
      </w:r>
    </w:p>
    <w:p w14:paraId="0ECF0220" w14:textId="051960CC" w:rsidR="001E4EF7" w:rsidRDefault="00FF161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The PBAC noted that the primary outcomes presented were again the rickets severity score (RSS) and the radiographical global impression of change (RGI-C).</w:t>
      </w:r>
      <w:r w:rsidR="0036304F" w:rsidRPr="0036304F">
        <w:t xml:space="preserve"> </w:t>
      </w:r>
      <w:r w:rsidR="0036304F">
        <w:t>The PBAC noted that the results of CL301 demonstrated that burosumab was associated with statistically significant changes in RSS and RGI-C at Weeks 40 and 64.</w:t>
      </w:r>
      <w:r>
        <w:rPr>
          <w:rFonts w:asciiTheme="minorHAnsi" w:hAnsiTheme="minorHAnsi"/>
          <w:snapToGrid w:val="0"/>
          <w:lang w:val="en-GB"/>
        </w:rPr>
        <w:t xml:space="preserve"> The PBAC recalled that it had previously noted that these outcomes did not capture aspects of XLH which were important to patients such as changes in gross motor skills, the need for corrective surgery, pain and oral health.</w:t>
      </w:r>
      <w:r w:rsidR="00E51259">
        <w:rPr>
          <w:rFonts w:asciiTheme="minorHAnsi" w:hAnsiTheme="minorHAnsi"/>
          <w:snapToGrid w:val="0"/>
          <w:lang w:val="en-GB"/>
        </w:rPr>
        <w:t xml:space="preserve"> </w:t>
      </w:r>
    </w:p>
    <w:p w14:paraId="20B17317" w14:textId="4BCD6F15" w:rsidR="0040322B" w:rsidRDefault="0040322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recalled that it had previously considered that clinical claim that burosumab was superior to conventional therapy in children was reasonable. The PBAC considered that this was again supported</w:t>
      </w:r>
      <w:r w:rsidR="00640C2C">
        <w:rPr>
          <w:rFonts w:asciiTheme="minorHAnsi" w:hAnsiTheme="minorHAnsi"/>
          <w:snapToGrid w:val="0"/>
          <w:lang w:val="en-GB"/>
        </w:rPr>
        <w:t xml:space="preserve">, noting </w:t>
      </w:r>
      <w:r w:rsidR="004765A2">
        <w:rPr>
          <w:rFonts w:asciiTheme="minorHAnsi" w:hAnsiTheme="minorHAnsi"/>
          <w:snapToGrid w:val="0"/>
          <w:lang w:val="en-GB"/>
        </w:rPr>
        <w:t>the lack of data</w:t>
      </w:r>
      <w:r w:rsidR="00640C2C">
        <w:rPr>
          <w:rFonts w:asciiTheme="minorHAnsi" w:hAnsiTheme="minorHAnsi"/>
          <w:snapToGrid w:val="0"/>
          <w:lang w:val="en-GB"/>
        </w:rPr>
        <w:t xml:space="preserve"> for children aged 13 to 18 years</w:t>
      </w:r>
      <w:r w:rsidR="004765A2">
        <w:rPr>
          <w:rFonts w:asciiTheme="minorHAnsi" w:hAnsiTheme="minorHAnsi"/>
          <w:snapToGrid w:val="0"/>
          <w:lang w:val="en-GB"/>
        </w:rPr>
        <w:t xml:space="preserve"> and relating to longer term follow up</w:t>
      </w:r>
      <w:r w:rsidR="00640C2C">
        <w:rPr>
          <w:rFonts w:asciiTheme="minorHAnsi" w:hAnsiTheme="minorHAnsi"/>
          <w:snapToGrid w:val="0"/>
          <w:lang w:val="en-GB"/>
        </w:rPr>
        <w:t>.</w:t>
      </w:r>
    </w:p>
    <w:p w14:paraId="33A9FEEE" w14:textId="09BFE936" w:rsidR="0040322B" w:rsidRPr="00473000" w:rsidRDefault="0040322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In terms of safety, the PBAC noted that the resubmission described burosumab as superior (</w:t>
      </w:r>
      <w:r w:rsidR="007B26D4">
        <w:rPr>
          <w:rFonts w:asciiTheme="minorHAnsi" w:hAnsiTheme="minorHAnsi"/>
          <w:snapToGrid w:val="0"/>
          <w:lang w:val="en-GB"/>
        </w:rPr>
        <w:t>and</w:t>
      </w:r>
      <w:r>
        <w:rPr>
          <w:rFonts w:asciiTheme="minorHAnsi" w:hAnsiTheme="minorHAnsi"/>
          <w:snapToGrid w:val="0"/>
          <w:lang w:val="en-GB"/>
        </w:rPr>
        <w:t xml:space="preserve"> different) compared to conventional therapy. The PBAC recalled that it had previously </w:t>
      </w:r>
      <w:r w:rsidR="00640C2C">
        <w:rPr>
          <w:rFonts w:asciiTheme="minorHAnsi" w:hAnsiTheme="minorHAnsi"/>
          <w:snapToGrid w:val="0"/>
          <w:lang w:val="en-GB"/>
        </w:rPr>
        <w:t>considered that burosumab had a different safety profile compared to conventional therapy with more appreciable short-term side-effects</w:t>
      </w:r>
      <w:r w:rsidR="003A6411">
        <w:rPr>
          <w:rFonts w:asciiTheme="minorHAnsi" w:hAnsiTheme="minorHAnsi"/>
          <w:snapToGrid w:val="0"/>
          <w:lang w:val="en-GB"/>
        </w:rPr>
        <w:t xml:space="preserve">. The PBAC also noted </w:t>
      </w:r>
      <w:r>
        <w:rPr>
          <w:rFonts w:asciiTheme="minorHAnsi" w:hAnsiTheme="minorHAnsi"/>
          <w:snapToGrid w:val="0"/>
          <w:lang w:val="en-GB"/>
        </w:rPr>
        <w:t xml:space="preserve">that </w:t>
      </w:r>
      <w:r w:rsidRPr="001A2C4E">
        <w:t xml:space="preserve">although the rate of serious </w:t>
      </w:r>
      <w:r>
        <w:t>adverse events (</w:t>
      </w:r>
      <w:r w:rsidRPr="001A2C4E">
        <w:t>AEs</w:t>
      </w:r>
      <w:r>
        <w:t>)</w:t>
      </w:r>
      <w:r w:rsidRPr="001A2C4E">
        <w:t xml:space="preserve"> and Grade 3 or 4 AEs were similar between burosumab and conventional therapy, burosumab was associated with more dental caries, tooth abscesses, diarrhoea and cough as well as administration site conditions such as pyrexia and that long-term use of conventional therapy is associated with nephrocalcinosis and secondary hyperparathyroidism</w:t>
      </w:r>
      <w:r>
        <w:t xml:space="preserve">. As no new safety data were presented in the resubmission, the PBAC therefore again considered that the claim of superior </w:t>
      </w:r>
      <w:r w:rsidR="007B26D4">
        <w:t>(and different) safety could not be supported.</w:t>
      </w:r>
    </w:p>
    <w:p w14:paraId="672BC760" w14:textId="4BFA0544" w:rsidR="00C67F9E" w:rsidRDefault="00473000"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resubmission presented an updated cost utility analysis comparing burosumab to conventional therapy in children less than 18 years of age. The PBAC noted that </w:t>
      </w:r>
      <w:r w:rsidR="00C67F9E">
        <w:rPr>
          <w:rFonts w:asciiTheme="minorHAnsi" w:hAnsiTheme="minorHAnsi"/>
          <w:snapToGrid w:val="0"/>
          <w:lang w:val="en-GB"/>
        </w:rPr>
        <w:t xml:space="preserve">although </w:t>
      </w:r>
      <w:r>
        <w:rPr>
          <w:rFonts w:asciiTheme="minorHAnsi" w:hAnsiTheme="minorHAnsi"/>
          <w:snapToGrid w:val="0"/>
          <w:lang w:val="en-GB"/>
        </w:rPr>
        <w:t xml:space="preserve">the structure was unchanged from </w:t>
      </w:r>
      <w:r w:rsidR="0036304F">
        <w:rPr>
          <w:rFonts w:asciiTheme="minorHAnsi" w:hAnsiTheme="minorHAnsi"/>
          <w:snapToGrid w:val="0"/>
          <w:lang w:val="en-GB"/>
        </w:rPr>
        <w:t xml:space="preserve">the </w:t>
      </w:r>
      <w:r>
        <w:rPr>
          <w:rFonts w:asciiTheme="minorHAnsi" w:hAnsiTheme="minorHAnsi"/>
          <w:snapToGrid w:val="0"/>
          <w:lang w:val="en-GB"/>
        </w:rPr>
        <w:t>March 2021</w:t>
      </w:r>
      <w:r w:rsidR="0036304F">
        <w:rPr>
          <w:rFonts w:asciiTheme="minorHAnsi" w:hAnsiTheme="minorHAnsi"/>
          <w:snapToGrid w:val="0"/>
          <w:lang w:val="en-GB"/>
        </w:rPr>
        <w:t xml:space="preserve"> economic model</w:t>
      </w:r>
      <w:r w:rsidR="00C67F9E">
        <w:rPr>
          <w:rFonts w:asciiTheme="minorHAnsi" w:hAnsiTheme="minorHAnsi"/>
          <w:snapToGrid w:val="0"/>
          <w:lang w:val="en-GB"/>
        </w:rPr>
        <w:t xml:space="preserve">, </w:t>
      </w:r>
      <w:r w:rsidR="00AF0180">
        <w:rPr>
          <w:rFonts w:asciiTheme="minorHAnsi" w:hAnsiTheme="minorHAnsi"/>
          <w:snapToGrid w:val="0"/>
          <w:lang w:val="en-GB"/>
        </w:rPr>
        <w:t xml:space="preserve">a number of the PBAC’s key concerns were addressed </w:t>
      </w:r>
      <w:r w:rsidR="005F692B">
        <w:rPr>
          <w:rFonts w:asciiTheme="minorHAnsi" w:hAnsiTheme="minorHAnsi"/>
          <w:snapToGrid w:val="0"/>
          <w:lang w:val="en-GB"/>
        </w:rPr>
        <w:t>including: the inclusion of a small survival advantage for patients receiving burosumab</w:t>
      </w:r>
      <w:r w:rsidR="001704E5">
        <w:rPr>
          <w:rFonts w:asciiTheme="minorHAnsi" w:hAnsiTheme="minorHAnsi"/>
          <w:snapToGrid w:val="0"/>
          <w:lang w:val="en-GB"/>
        </w:rPr>
        <w:t xml:space="preserve"> (the original model assumed no difference)</w:t>
      </w:r>
      <w:r w:rsidR="005F692B">
        <w:rPr>
          <w:rFonts w:asciiTheme="minorHAnsi" w:hAnsiTheme="minorHAnsi"/>
          <w:snapToGrid w:val="0"/>
          <w:lang w:val="en-GB"/>
        </w:rPr>
        <w:t>, an increase in the average dose</w:t>
      </w:r>
      <w:r w:rsidR="00C67F9E">
        <w:rPr>
          <w:rFonts w:asciiTheme="minorHAnsi" w:hAnsiTheme="minorHAnsi"/>
          <w:snapToGrid w:val="0"/>
          <w:lang w:val="en-GB"/>
        </w:rPr>
        <w:t xml:space="preserve"> from 0.86 mg/kg to 0.91 mg/kg</w:t>
      </w:r>
      <w:r w:rsidR="00B86163">
        <w:rPr>
          <w:rFonts w:asciiTheme="minorHAnsi" w:hAnsiTheme="minorHAnsi"/>
          <w:snapToGrid w:val="0"/>
          <w:lang w:val="en-GB"/>
        </w:rPr>
        <w:t xml:space="preserve">, reduced utilisation of burosumab in adulthood </w:t>
      </w:r>
      <w:r w:rsidR="00F67BA2">
        <w:rPr>
          <w:rFonts w:asciiTheme="minorHAnsi" w:hAnsiTheme="minorHAnsi"/>
          <w:snapToGrid w:val="0"/>
          <w:lang w:val="en-GB"/>
        </w:rPr>
        <w:t>(</w:t>
      </w:r>
      <w:r w:rsidR="00C67F9E">
        <w:rPr>
          <w:rFonts w:asciiTheme="minorHAnsi" w:hAnsiTheme="minorHAnsi"/>
          <w:snapToGrid w:val="0"/>
          <w:lang w:val="en-GB"/>
        </w:rPr>
        <w:t>from 100% to 80% at 18 years, 60% from 20 years and 50% from 30 to 50 years</w:t>
      </w:r>
      <w:r w:rsidR="00F67BA2">
        <w:rPr>
          <w:rFonts w:asciiTheme="minorHAnsi" w:hAnsiTheme="minorHAnsi"/>
          <w:snapToGrid w:val="0"/>
          <w:lang w:val="en-GB"/>
        </w:rPr>
        <w:t>)</w:t>
      </w:r>
      <w:r w:rsidR="00C67F9E">
        <w:rPr>
          <w:rFonts w:asciiTheme="minorHAnsi" w:hAnsiTheme="minorHAnsi"/>
          <w:snapToGrid w:val="0"/>
          <w:lang w:val="en-GB"/>
        </w:rPr>
        <w:t xml:space="preserve"> </w:t>
      </w:r>
      <w:r w:rsidR="00B86163">
        <w:rPr>
          <w:rFonts w:asciiTheme="minorHAnsi" w:hAnsiTheme="minorHAnsi"/>
          <w:snapToGrid w:val="0"/>
          <w:lang w:val="en-GB"/>
        </w:rPr>
        <w:t>and a reduction in the time horizon</w:t>
      </w:r>
      <w:r w:rsidR="00C67F9E">
        <w:rPr>
          <w:rFonts w:asciiTheme="minorHAnsi" w:hAnsiTheme="minorHAnsi"/>
          <w:snapToGrid w:val="0"/>
          <w:lang w:val="en-GB"/>
        </w:rPr>
        <w:t xml:space="preserve"> from 100 to 50 years. </w:t>
      </w:r>
      <w:r w:rsidR="0072213F">
        <w:rPr>
          <w:rFonts w:asciiTheme="minorHAnsi" w:hAnsiTheme="minorHAnsi"/>
          <w:snapToGrid w:val="0"/>
          <w:lang w:val="en-GB"/>
        </w:rPr>
        <w:t>The PBAC noted that the ESC considered that a 50 year time horizon strongly favoured burosumab, as did the reduced utilisation of burosumab into adulthood</w:t>
      </w:r>
      <w:r w:rsidR="004765A2">
        <w:rPr>
          <w:rFonts w:asciiTheme="minorHAnsi" w:hAnsiTheme="minorHAnsi"/>
          <w:snapToGrid w:val="0"/>
          <w:lang w:val="en-GB"/>
        </w:rPr>
        <w:t>,</w:t>
      </w:r>
      <w:r w:rsidR="0072213F">
        <w:rPr>
          <w:rFonts w:asciiTheme="minorHAnsi" w:hAnsiTheme="minorHAnsi"/>
          <w:snapToGrid w:val="0"/>
          <w:lang w:val="en-GB"/>
        </w:rPr>
        <w:t xml:space="preserve"> as only costs were impacted with discontinued patients assumed to continue to receive the utility benefits from treatment.</w:t>
      </w:r>
    </w:p>
    <w:p w14:paraId="7D61AE61" w14:textId="224DD571" w:rsidR="00C52621" w:rsidRPr="00F67BA2" w:rsidRDefault="00C67F9E" w:rsidP="00B43A10">
      <w:pPr>
        <w:widowControl w:val="0"/>
        <w:numPr>
          <w:ilvl w:val="1"/>
          <w:numId w:val="1"/>
        </w:numPr>
        <w:spacing w:after="120"/>
        <w:rPr>
          <w:rFonts w:asciiTheme="minorHAnsi" w:hAnsiTheme="minorHAnsi"/>
          <w:snapToGrid w:val="0"/>
          <w:lang w:val="en-GB"/>
        </w:rPr>
      </w:pPr>
      <w:r w:rsidRPr="00F67BA2">
        <w:rPr>
          <w:rFonts w:asciiTheme="minorHAnsi" w:hAnsiTheme="minorHAnsi"/>
          <w:snapToGrid w:val="0"/>
          <w:lang w:val="en-GB"/>
        </w:rPr>
        <w:t>The PBAC noted that the PSCR presented a revised base case which further reduced the time horizon to 25 years, increased the utilisation of burosumab in adulthood to 90% at 18 years, 80% at 20 years and 70% at 30 years</w:t>
      </w:r>
      <w:r w:rsidR="00C52621" w:rsidRPr="00F67BA2">
        <w:rPr>
          <w:rFonts w:asciiTheme="minorHAnsi" w:hAnsiTheme="minorHAnsi"/>
          <w:snapToGrid w:val="0"/>
          <w:lang w:val="en-GB"/>
        </w:rPr>
        <w:t xml:space="preserve"> and </w:t>
      </w:r>
      <w:r w:rsidR="0072213F" w:rsidRPr="00F67BA2">
        <w:rPr>
          <w:rFonts w:asciiTheme="minorHAnsi" w:hAnsiTheme="minorHAnsi"/>
          <w:snapToGrid w:val="0"/>
          <w:lang w:val="en-GB"/>
        </w:rPr>
        <w:t xml:space="preserve">corrected </w:t>
      </w:r>
      <w:r w:rsidR="00C52621" w:rsidRPr="00F67BA2">
        <w:rPr>
          <w:rFonts w:asciiTheme="minorHAnsi" w:hAnsiTheme="minorHAnsi"/>
          <w:snapToGrid w:val="0"/>
          <w:lang w:val="en-GB"/>
        </w:rPr>
        <w:t xml:space="preserve">minor errors. This resulted in an </w:t>
      </w:r>
      <w:r w:rsidR="00C52621" w:rsidRPr="004801E5">
        <w:rPr>
          <w:rFonts w:asciiTheme="minorHAnsi" w:hAnsiTheme="minorHAnsi"/>
          <w:snapToGrid w:val="0"/>
          <w:lang w:val="en-GB"/>
        </w:rPr>
        <w:t>ICER of $</w:t>
      </w:r>
      <w:r w:rsidR="00B62B1E" w:rsidRPr="004801E5">
        <w:rPr>
          <w:color w:val="333333"/>
        </w:rPr>
        <w:t>455,000 to &lt; $555,000</w:t>
      </w:r>
      <w:r w:rsidR="00C52621" w:rsidRPr="004801E5">
        <w:rPr>
          <w:rFonts w:asciiTheme="minorHAnsi" w:hAnsiTheme="minorHAnsi"/>
          <w:snapToGrid w:val="0"/>
          <w:lang w:val="en-GB"/>
        </w:rPr>
        <w:t xml:space="preserve"> per</w:t>
      </w:r>
      <w:r w:rsidRPr="00F67BA2">
        <w:rPr>
          <w:rFonts w:asciiTheme="minorHAnsi" w:hAnsiTheme="minorHAnsi"/>
          <w:snapToGrid w:val="0"/>
          <w:lang w:val="en-GB"/>
        </w:rPr>
        <w:t xml:space="preserve"> </w:t>
      </w:r>
      <w:r w:rsidR="004765A2" w:rsidRPr="00F67BA2">
        <w:rPr>
          <w:rFonts w:asciiTheme="minorHAnsi" w:hAnsiTheme="minorHAnsi"/>
          <w:snapToGrid w:val="0"/>
          <w:lang w:val="en-GB"/>
        </w:rPr>
        <w:t>quality adjusted life year (</w:t>
      </w:r>
      <w:r w:rsidR="00C52621" w:rsidRPr="00F67BA2">
        <w:rPr>
          <w:rFonts w:asciiTheme="minorHAnsi" w:hAnsiTheme="minorHAnsi"/>
          <w:snapToGrid w:val="0"/>
          <w:lang w:val="en-GB"/>
        </w:rPr>
        <w:t>QALY</w:t>
      </w:r>
      <w:r w:rsidR="004765A2" w:rsidRPr="00F67BA2">
        <w:rPr>
          <w:rFonts w:asciiTheme="minorHAnsi" w:hAnsiTheme="minorHAnsi"/>
          <w:snapToGrid w:val="0"/>
          <w:lang w:val="en-GB"/>
        </w:rPr>
        <w:t>)</w:t>
      </w:r>
      <w:r w:rsidR="00C52621" w:rsidRPr="00F67BA2">
        <w:rPr>
          <w:rFonts w:asciiTheme="minorHAnsi" w:hAnsiTheme="minorHAnsi"/>
          <w:snapToGrid w:val="0"/>
          <w:lang w:val="en-GB"/>
        </w:rPr>
        <w:t xml:space="preserve">. The PBAC noted that the pre-PBAC response </w:t>
      </w:r>
      <w:r w:rsidR="00F67BA2" w:rsidRPr="00F67BA2">
        <w:rPr>
          <w:rFonts w:asciiTheme="minorHAnsi" w:hAnsiTheme="minorHAnsi"/>
          <w:snapToGrid w:val="0"/>
          <w:lang w:val="en-GB"/>
        </w:rPr>
        <w:t>reduced</w:t>
      </w:r>
      <w:r w:rsidR="00C52621" w:rsidRPr="00F67BA2">
        <w:rPr>
          <w:rFonts w:asciiTheme="minorHAnsi" w:hAnsiTheme="minorHAnsi"/>
          <w:snapToGrid w:val="0"/>
          <w:lang w:val="en-GB"/>
        </w:rPr>
        <w:t xml:space="preserve"> the effective approved ex-manufacturer price (AEMP) of burosumab by </w:t>
      </w:r>
      <w:r w:rsidR="00B355AE" w:rsidRPr="00676539">
        <w:rPr>
          <w:rFonts w:asciiTheme="minorHAnsi" w:hAnsiTheme="minorHAnsi"/>
          <w:snapToGrid w:val="0"/>
          <w:color w:val="000000"/>
          <w:w w:val="15"/>
          <w:shd w:val="solid" w:color="000000" w:fill="000000"/>
          <w:fitText w:val="-20" w:id="-1504470521"/>
          <w:lang w:val="en-GB"/>
          <w14:textFill>
            <w14:solidFill>
              <w14:srgbClr w14:val="000000">
                <w14:alpha w14:val="100000"/>
              </w14:srgbClr>
            </w14:solidFill>
          </w14:textFill>
        </w:rPr>
        <w:t xml:space="preserve">|  </w:t>
      </w:r>
      <w:r w:rsidR="00B355AE" w:rsidRPr="00676539">
        <w:rPr>
          <w:rFonts w:asciiTheme="minorHAnsi" w:hAnsiTheme="minorHAnsi"/>
          <w:snapToGrid w:val="0"/>
          <w:color w:val="000000"/>
          <w:spacing w:val="-69"/>
          <w:w w:val="15"/>
          <w:shd w:val="solid" w:color="000000" w:fill="000000"/>
          <w:fitText w:val="-20" w:id="-1504470521"/>
          <w:lang w:val="en-GB"/>
          <w14:textFill>
            <w14:solidFill>
              <w14:srgbClr w14:val="000000">
                <w14:alpha w14:val="100000"/>
              </w14:srgbClr>
            </w14:solidFill>
          </w14:textFill>
        </w:rPr>
        <w:t>|</w:t>
      </w:r>
      <w:r w:rsidR="00C52621" w:rsidRPr="003C231F">
        <w:rPr>
          <w:rFonts w:asciiTheme="minorHAnsi" w:hAnsiTheme="minorHAnsi"/>
          <w:snapToGrid w:val="0"/>
          <w:lang w:val="en-GB"/>
        </w:rPr>
        <w:t>%,</w:t>
      </w:r>
      <w:r w:rsidR="00C52621" w:rsidRPr="00F67BA2">
        <w:rPr>
          <w:rFonts w:asciiTheme="minorHAnsi" w:hAnsiTheme="minorHAnsi"/>
          <w:snapToGrid w:val="0"/>
          <w:lang w:val="en-GB"/>
        </w:rPr>
        <w:t xml:space="preserve"> resulting in an ICER of $</w:t>
      </w:r>
      <w:r w:rsidR="00B62B1E" w:rsidRPr="004801E5">
        <w:rPr>
          <w:color w:val="333333"/>
        </w:rPr>
        <w:t>355,000 to &lt; $455,000</w:t>
      </w:r>
      <w:r w:rsidR="00C52621" w:rsidRPr="00F67BA2">
        <w:rPr>
          <w:rFonts w:asciiTheme="minorHAnsi" w:hAnsiTheme="minorHAnsi"/>
          <w:snapToGrid w:val="0"/>
          <w:lang w:val="en-GB"/>
        </w:rPr>
        <w:t xml:space="preserve"> per QALY.</w:t>
      </w:r>
    </w:p>
    <w:p w14:paraId="595893F8" w14:textId="70A9C941" w:rsidR="00C52621" w:rsidRDefault="00C52621"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The PBAC not</w:t>
      </w:r>
      <w:r w:rsidR="0072213F">
        <w:rPr>
          <w:rFonts w:asciiTheme="minorHAnsi" w:hAnsiTheme="minorHAnsi"/>
          <w:snapToGrid w:val="0"/>
          <w:lang w:val="en-GB"/>
        </w:rPr>
        <w:t>ed</w:t>
      </w:r>
      <w:r>
        <w:rPr>
          <w:rFonts w:asciiTheme="minorHAnsi" w:hAnsiTheme="minorHAnsi"/>
          <w:snapToGrid w:val="0"/>
          <w:lang w:val="en-GB"/>
        </w:rPr>
        <w:t xml:space="preserve"> that </w:t>
      </w:r>
      <w:r w:rsidR="0072213F">
        <w:rPr>
          <w:rFonts w:asciiTheme="minorHAnsi" w:hAnsiTheme="minorHAnsi"/>
          <w:snapToGrid w:val="0"/>
          <w:lang w:val="en-GB"/>
        </w:rPr>
        <w:t xml:space="preserve">a number of </w:t>
      </w:r>
      <w:r>
        <w:rPr>
          <w:rFonts w:asciiTheme="minorHAnsi" w:hAnsiTheme="minorHAnsi"/>
          <w:snapToGrid w:val="0"/>
          <w:lang w:val="en-GB"/>
        </w:rPr>
        <w:t xml:space="preserve">issues and uncertainties </w:t>
      </w:r>
      <w:r w:rsidR="004765A2">
        <w:rPr>
          <w:rFonts w:asciiTheme="minorHAnsi" w:hAnsiTheme="minorHAnsi"/>
          <w:snapToGrid w:val="0"/>
          <w:lang w:val="en-GB"/>
        </w:rPr>
        <w:t xml:space="preserve">remained in the revised model </w:t>
      </w:r>
      <w:r w:rsidR="00724488">
        <w:rPr>
          <w:rFonts w:asciiTheme="minorHAnsi" w:hAnsiTheme="minorHAnsi"/>
          <w:snapToGrid w:val="0"/>
          <w:lang w:val="en-GB"/>
        </w:rPr>
        <w:t>includ</w:t>
      </w:r>
      <w:r>
        <w:rPr>
          <w:rFonts w:asciiTheme="minorHAnsi" w:hAnsiTheme="minorHAnsi"/>
          <w:snapToGrid w:val="0"/>
          <w:lang w:val="en-GB"/>
        </w:rPr>
        <w:t>ing</w:t>
      </w:r>
      <w:r w:rsidR="004765A2">
        <w:rPr>
          <w:rFonts w:asciiTheme="minorHAnsi" w:hAnsiTheme="minorHAnsi"/>
          <w:snapToGrid w:val="0"/>
          <w:lang w:val="en-GB"/>
        </w:rPr>
        <w:t>:</w:t>
      </w:r>
      <w:r>
        <w:rPr>
          <w:rFonts w:asciiTheme="minorHAnsi" w:hAnsiTheme="minorHAnsi"/>
          <w:snapToGrid w:val="0"/>
          <w:lang w:val="en-GB"/>
        </w:rPr>
        <w:t xml:space="preserve"> </w:t>
      </w:r>
      <w:r w:rsidR="00724488">
        <w:rPr>
          <w:rFonts w:asciiTheme="minorHAnsi" w:hAnsiTheme="minorHAnsi"/>
          <w:snapToGrid w:val="0"/>
          <w:lang w:val="en-GB"/>
        </w:rPr>
        <w:t xml:space="preserve">(i) </w:t>
      </w:r>
      <w:r>
        <w:rPr>
          <w:rFonts w:asciiTheme="minorHAnsi" w:hAnsiTheme="minorHAnsi"/>
          <w:snapToGrid w:val="0"/>
          <w:lang w:val="en-GB"/>
        </w:rPr>
        <w:t>the dose of burosumab</w:t>
      </w:r>
      <w:r w:rsidR="00724488">
        <w:rPr>
          <w:rFonts w:asciiTheme="minorHAnsi" w:hAnsiTheme="minorHAnsi"/>
          <w:snapToGrid w:val="0"/>
          <w:lang w:val="en-GB"/>
        </w:rPr>
        <w:t xml:space="preserve"> applied (0.91 mg/kg) which was less than that received by patients in the Early Access Program of 1.05 mg/kg and the maximum dose in the Product Information (2 mg/kg)</w:t>
      </w:r>
      <w:r w:rsidR="004765A2">
        <w:rPr>
          <w:rFonts w:asciiTheme="minorHAnsi" w:hAnsiTheme="minorHAnsi"/>
          <w:snapToGrid w:val="0"/>
          <w:lang w:val="en-GB"/>
        </w:rPr>
        <w:t>;</w:t>
      </w:r>
      <w:r>
        <w:rPr>
          <w:rFonts w:asciiTheme="minorHAnsi" w:hAnsiTheme="minorHAnsi"/>
          <w:snapToGrid w:val="0"/>
          <w:lang w:val="en-GB"/>
        </w:rPr>
        <w:t xml:space="preserve"> </w:t>
      </w:r>
      <w:r w:rsidR="00724488">
        <w:rPr>
          <w:rFonts w:asciiTheme="minorHAnsi" w:hAnsiTheme="minorHAnsi"/>
          <w:snapToGrid w:val="0"/>
          <w:lang w:val="en-GB"/>
        </w:rPr>
        <w:t xml:space="preserve">(ii) </w:t>
      </w:r>
      <w:r>
        <w:rPr>
          <w:rFonts w:asciiTheme="minorHAnsi" w:hAnsiTheme="minorHAnsi"/>
          <w:snapToGrid w:val="0"/>
          <w:lang w:val="en-GB"/>
        </w:rPr>
        <w:t xml:space="preserve">the derivation of the transition probability applied to patients remaining in the healed health state </w:t>
      </w:r>
      <w:r w:rsidR="00724488">
        <w:rPr>
          <w:rFonts w:asciiTheme="minorHAnsi" w:hAnsiTheme="minorHAnsi"/>
          <w:snapToGrid w:val="0"/>
          <w:lang w:val="en-GB"/>
        </w:rPr>
        <w:t>which was informed by one patient</w:t>
      </w:r>
      <w:r w:rsidR="004765A2">
        <w:rPr>
          <w:rFonts w:asciiTheme="minorHAnsi" w:hAnsiTheme="minorHAnsi"/>
          <w:snapToGrid w:val="0"/>
          <w:lang w:val="en-GB"/>
        </w:rPr>
        <w:t>;</w:t>
      </w:r>
      <w:r w:rsidR="00724488">
        <w:rPr>
          <w:rFonts w:asciiTheme="minorHAnsi" w:hAnsiTheme="minorHAnsi"/>
          <w:snapToGrid w:val="0"/>
          <w:lang w:val="en-GB"/>
        </w:rPr>
        <w:t xml:space="preserve"> (iii) </w:t>
      </w:r>
      <w:r>
        <w:rPr>
          <w:rFonts w:asciiTheme="minorHAnsi" w:hAnsiTheme="minorHAnsi"/>
          <w:snapToGrid w:val="0"/>
          <w:lang w:val="en-GB"/>
        </w:rPr>
        <w:t>the extrapolation of the trial data from 64 weeks to</w:t>
      </w:r>
      <w:r w:rsidR="00C33A4D">
        <w:rPr>
          <w:rFonts w:asciiTheme="minorHAnsi" w:hAnsiTheme="minorHAnsi"/>
          <w:snapToGrid w:val="0"/>
          <w:lang w:val="en-GB"/>
        </w:rPr>
        <w:t xml:space="preserve"> a</w:t>
      </w:r>
      <w:r>
        <w:rPr>
          <w:rFonts w:asciiTheme="minorHAnsi" w:hAnsiTheme="minorHAnsi"/>
          <w:snapToGrid w:val="0"/>
          <w:lang w:val="en-GB"/>
        </w:rPr>
        <w:t xml:space="preserve"> 25-year time horizon</w:t>
      </w:r>
      <w:r w:rsidR="004765A2">
        <w:rPr>
          <w:rFonts w:asciiTheme="minorHAnsi" w:hAnsiTheme="minorHAnsi"/>
          <w:snapToGrid w:val="0"/>
          <w:lang w:val="en-GB"/>
        </w:rPr>
        <w:t>;</w:t>
      </w:r>
      <w:r w:rsidR="00E75F50">
        <w:rPr>
          <w:rFonts w:asciiTheme="minorHAnsi" w:hAnsiTheme="minorHAnsi"/>
          <w:snapToGrid w:val="0"/>
          <w:lang w:val="en-GB"/>
        </w:rPr>
        <w:t xml:space="preserve"> and (iv) the costs of harms and adverse events were not considere</w:t>
      </w:r>
      <w:r w:rsidR="004765A2">
        <w:rPr>
          <w:rFonts w:asciiTheme="minorHAnsi" w:hAnsiTheme="minorHAnsi"/>
          <w:snapToGrid w:val="0"/>
          <w:lang w:val="en-GB"/>
        </w:rPr>
        <w:t>d</w:t>
      </w:r>
      <w:r w:rsidR="0072213F">
        <w:rPr>
          <w:rFonts w:asciiTheme="minorHAnsi" w:hAnsiTheme="minorHAnsi"/>
          <w:snapToGrid w:val="0"/>
          <w:lang w:val="en-GB"/>
        </w:rPr>
        <w:t>. Overall</w:t>
      </w:r>
      <w:r>
        <w:rPr>
          <w:rFonts w:asciiTheme="minorHAnsi" w:hAnsiTheme="minorHAnsi"/>
          <w:snapToGrid w:val="0"/>
          <w:lang w:val="en-GB"/>
        </w:rPr>
        <w:t xml:space="preserve">, </w:t>
      </w:r>
      <w:r w:rsidR="0072213F">
        <w:rPr>
          <w:rFonts w:asciiTheme="minorHAnsi" w:hAnsiTheme="minorHAnsi"/>
          <w:snapToGrid w:val="0"/>
          <w:lang w:val="en-GB"/>
        </w:rPr>
        <w:t xml:space="preserve">the PBAC </w:t>
      </w:r>
      <w:r>
        <w:rPr>
          <w:rFonts w:asciiTheme="minorHAnsi" w:hAnsiTheme="minorHAnsi"/>
          <w:snapToGrid w:val="0"/>
          <w:lang w:val="en-GB"/>
        </w:rPr>
        <w:t xml:space="preserve">considered that the ICER presented in the pre-PBAC response remained </w:t>
      </w:r>
      <w:r w:rsidR="005661ED">
        <w:rPr>
          <w:rFonts w:asciiTheme="minorHAnsi" w:hAnsiTheme="minorHAnsi"/>
          <w:snapToGrid w:val="0"/>
          <w:lang w:val="en-GB"/>
        </w:rPr>
        <w:t xml:space="preserve">very </w:t>
      </w:r>
      <w:r>
        <w:rPr>
          <w:rFonts w:asciiTheme="minorHAnsi" w:hAnsiTheme="minorHAnsi"/>
          <w:snapToGrid w:val="0"/>
          <w:lang w:val="en-GB"/>
        </w:rPr>
        <w:t xml:space="preserve">high and was likely </w:t>
      </w:r>
      <w:r w:rsidR="005661ED">
        <w:rPr>
          <w:rFonts w:asciiTheme="minorHAnsi" w:hAnsiTheme="minorHAnsi"/>
          <w:snapToGrid w:val="0"/>
          <w:lang w:val="en-GB"/>
        </w:rPr>
        <w:t>unde</w:t>
      </w:r>
      <w:r>
        <w:rPr>
          <w:rFonts w:asciiTheme="minorHAnsi" w:hAnsiTheme="minorHAnsi"/>
          <w:snapToGrid w:val="0"/>
          <w:lang w:val="en-GB"/>
        </w:rPr>
        <w:t>restimated.</w:t>
      </w:r>
    </w:p>
    <w:p w14:paraId="7187E2C1" w14:textId="793ABA85" w:rsidR="00C52621" w:rsidRPr="004765A2" w:rsidRDefault="00C52621" w:rsidP="00C52621">
      <w:pPr>
        <w:widowControl w:val="0"/>
        <w:spacing w:after="120"/>
        <w:rPr>
          <w:rFonts w:asciiTheme="minorHAnsi" w:hAnsiTheme="minorHAnsi"/>
          <w:b/>
          <w:bCs/>
          <w:snapToGrid w:val="0"/>
          <w:lang w:val="en-GB"/>
        </w:rPr>
      </w:pPr>
      <w:r w:rsidRPr="004765A2">
        <w:rPr>
          <w:rFonts w:asciiTheme="minorHAnsi" w:hAnsiTheme="minorHAnsi"/>
          <w:b/>
          <w:bCs/>
          <w:snapToGrid w:val="0"/>
          <w:lang w:val="en-GB"/>
        </w:rPr>
        <w:t>Adult</w:t>
      </w:r>
      <w:r w:rsidR="004765A2" w:rsidRPr="004765A2">
        <w:rPr>
          <w:rFonts w:asciiTheme="minorHAnsi" w:hAnsiTheme="minorHAnsi"/>
          <w:b/>
          <w:bCs/>
          <w:snapToGrid w:val="0"/>
          <w:lang w:val="en-GB"/>
        </w:rPr>
        <w:t>s</w:t>
      </w:r>
    </w:p>
    <w:p w14:paraId="5CE96DAF" w14:textId="5B168ACC" w:rsidR="00C52621" w:rsidRDefault="00B76CC5"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resubmission presented data from one randomised trial, CL303 that compared burosumab with placebo</w:t>
      </w:r>
      <w:r w:rsidR="004765A2">
        <w:rPr>
          <w:rFonts w:asciiTheme="minorHAnsi" w:hAnsiTheme="minorHAnsi"/>
          <w:snapToGrid w:val="0"/>
          <w:lang w:val="en-GB"/>
        </w:rPr>
        <w:t>,</w:t>
      </w:r>
      <w:r>
        <w:rPr>
          <w:rFonts w:asciiTheme="minorHAnsi" w:hAnsiTheme="minorHAnsi"/>
          <w:snapToGrid w:val="0"/>
          <w:lang w:val="en-GB"/>
        </w:rPr>
        <w:t xml:space="preserve"> and supportive data from six non-comparative studies. </w:t>
      </w:r>
      <w:r w:rsidR="00224F7F">
        <w:rPr>
          <w:rFonts w:asciiTheme="minorHAnsi" w:hAnsiTheme="minorHAnsi"/>
          <w:snapToGrid w:val="0"/>
          <w:lang w:val="en-GB"/>
        </w:rPr>
        <w:t xml:space="preserve">The PBAC noted that burosumab in adults was used to treat the underlying pathophysiology of the FGF23-induced hypophosphataemia and that the outcomes presented included fracture healing, biochemical markers of phosphate homeostasis and bone mineralisation, patient reported outcomes of </w:t>
      </w:r>
      <w:r w:rsidR="00C33A4D">
        <w:rPr>
          <w:rFonts w:asciiTheme="minorHAnsi" w:hAnsiTheme="minorHAnsi"/>
          <w:snapToGrid w:val="0"/>
          <w:lang w:val="en-GB"/>
        </w:rPr>
        <w:t xml:space="preserve">pain, </w:t>
      </w:r>
      <w:r w:rsidR="00224F7F">
        <w:rPr>
          <w:rFonts w:asciiTheme="minorHAnsi" w:hAnsiTheme="minorHAnsi"/>
          <w:snapToGrid w:val="0"/>
          <w:lang w:val="en-GB"/>
        </w:rPr>
        <w:t>stiffness</w:t>
      </w:r>
      <w:r w:rsidR="00C33A4D">
        <w:rPr>
          <w:rFonts w:asciiTheme="minorHAnsi" w:hAnsiTheme="minorHAnsi"/>
          <w:snapToGrid w:val="0"/>
          <w:lang w:val="en-GB"/>
        </w:rPr>
        <w:t xml:space="preserve"> and physical functioning</w:t>
      </w:r>
      <w:r w:rsidR="00224F7F">
        <w:rPr>
          <w:rFonts w:asciiTheme="minorHAnsi" w:hAnsiTheme="minorHAnsi"/>
          <w:snapToGrid w:val="0"/>
          <w:lang w:val="en-GB"/>
        </w:rPr>
        <w:t xml:space="preserve"> (WOMAC) and physical function (6MWT) which were generally consistent with the recommended clinical, biochemical and radiological follow-up assessments of adults with XLH.</w:t>
      </w:r>
    </w:p>
    <w:p w14:paraId="387C3BFA" w14:textId="0AD7A52E" w:rsidR="00C67F9E" w:rsidRDefault="00DE29AB"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there was improved healing of fractures</w:t>
      </w:r>
      <w:r w:rsidR="00C33A4D">
        <w:rPr>
          <w:rFonts w:asciiTheme="minorHAnsi" w:hAnsiTheme="minorHAnsi"/>
          <w:snapToGrid w:val="0"/>
          <w:lang w:val="en-GB"/>
        </w:rPr>
        <w:t xml:space="preserve"> and pseudofractures</w:t>
      </w:r>
      <w:r w:rsidR="007501CD">
        <w:rPr>
          <w:rFonts w:asciiTheme="minorHAnsi" w:hAnsiTheme="minorHAnsi"/>
          <w:snapToGrid w:val="0"/>
          <w:lang w:val="en-GB"/>
        </w:rPr>
        <w:t xml:space="preserve"> for burosumab patients in CL303</w:t>
      </w:r>
      <w:r w:rsidR="00C33A4D">
        <w:rPr>
          <w:rFonts w:asciiTheme="minorHAnsi" w:hAnsiTheme="minorHAnsi"/>
          <w:snapToGrid w:val="0"/>
          <w:lang w:val="en-GB"/>
        </w:rPr>
        <w:t xml:space="preserve">, </w:t>
      </w:r>
      <w:r w:rsidR="007501CD">
        <w:rPr>
          <w:rFonts w:asciiTheme="minorHAnsi" w:hAnsiTheme="minorHAnsi"/>
          <w:snapToGrid w:val="0"/>
          <w:lang w:val="en-GB"/>
        </w:rPr>
        <w:t>with the percentage of baseline fractures/</w:t>
      </w:r>
      <w:r w:rsidR="004765A2">
        <w:rPr>
          <w:rFonts w:asciiTheme="minorHAnsi" w:hAnsiTheme="minorHAnsi"/>
          <w:snapToGrid w:val="0"/>
          <w:lang w:val="en-GB"/>
        </w:rPr>
        <w:t xml:space="preserve"> </w:t>
      </w:r>
      <w:r w:rsidR="007501CD">
        <w:rPr>
          <w:rFonts w:asciiTheme="minorHAnsi" w:hAnsiTheme="minorHAnsi"/>
          <w:snapToGrid w:val="0"/>
          <w:lang w:val="en-GB"/>
        </w:rPr>
        <w:t xml:space="preserve">pseudofractures graded as fully healed at Week 24 higher in the burosumab arm (43.1%) compared to the placebo arm (7.7%). The PBAC noted that patients treated with burosumab also demonstrated improvements in serum PD biochemical and bone biomarkers, </w:t>
      </w:r>
      <w:r w:rsidR="0072213F">
        <w:rPr>
          <w:rFonts w:asciiTheme="minorHAnsi" w:hAnsiTheme="minorHAnsi"/>
          <w:snapToGrid w:val="0"/>
          <w:lang w:val="en-GB"/>
        </w:rPr>
        <w:t xml:space="preserve">improvements in </w:t>
      </w:r>
      <w:r w:rsidR="00C33A4D">
        <w:rPr>
          <w:rFonts w:asciiTheme="minorHAnsi" w:hAnsiTheme="minorHAnsi"/>
          <w:snapToGrid w:val="0"/>
          <w:lang w:val="en-GB"/>
        </w:rPr>
        <w:t>patient reported outcomes in terms of WOMAC domains and increases from baseline in 6MWT distance walked</w:t>
      </w:r>
      <w:r w:rsidR="007501CD">
        <w:rPr>
          <w:rFonts w:asciiTheme="minorHAnsi" w:hAnsiTheme="minorHAnsi"/>
          <w:snapToGrid w:val="0"/>
          <w:lang w:val="en-GB"/>
        </w:rPr>
        <w:t>.</w:t>
      </w:r>
    </w:p>
    <w:p w14:paraId="141BFA58" w14:textId="603FF468" w:rsidR="007501CD" w:rsidRDefault="007501CD"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the PBAC considered that the claim that burosumab was superior to placebo in terms of effectiveness was supported by the data</w:t>
      </w:r>
      <w:r w:rsidR="00CA6E98">
        <w:rPr>
          <w:rFonts w:asciiTheme="minorHAnsi" w:hAnsiTheme="minorHAnsi"/>
          <w:snapToGrid w:val="0"/>
          <w:lang w:val="en-GB"/>
        </w:rPr>
        <w:t xml:space="preserve">, noting the </w:t>
      </w:r>
      <w:r w:rsidR="008C26A4">
        <w:rPr>
          <w:rFonts w:asciiTheme="minorHAnsi" w:hAnsiTheme="minorHAnsi"/>
          <w:snapToGrid w:val="0"/>
          <w:lang w:val="en-GB"/>
        </w:rPr>
        <w:t xml:space="preserve">lack of long term follow up data and </w:t>
      </w:r>
      <w:r>
        <w:rPr>
          <w:rFonts w:asciiTheme="minorHAnsi" w:hAnsiTheme="minorHAnsi"/>
          <w:snapToGrid w:val="0"/>
          <w:lang w:val="en-GB"/>
        </w:rPr>
        <w:t>comparative evidence comparing burosumab with the nominated comparator.</w:t>
      </w:r>
    </w:p>
    <w:p w14:paraId="2F599967" w14:textId="6301EC8B" w:rsidR="007501CD" w:rsidRDefault="007501CD"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claim that burosumab had inferior (</w:t>
      </w:r>
      <w:r w:rsidR="005661ED">
        <w:rPr>
          <w:rFonts w:asciiTheme="minorHAnsi" w:hAnsiTheme="minorHAnsi"/>
          <w:snapToGrid w:val="0"/>
          <w:lang w:val="en-GB"/>
        </w:rPr>
        <w:t>and</w:t>
      </w:r>
      <w:r>
        <w:rPr>
          <w:rFonts w:asciiTheme="minorHAnsi" w:hAnsiTheme="minorHAnsi"/>
          <w:snapToGrid w:val="0"/>
          <w:lang w:val="en-GB"/>
        </w:rPr>
        <w:t xml:space="preserve"> acceptable) safety compared to placebo was </w:t>
      </w:r>
      <w:r w:rsidR="00BF5B11">
        <w:rPr>
          <w:rFonts w:asciiTheme="minorHAnsi" w:hAnsiTheme="minorHAnsi"/>
          <w:snapToGrid w:val="0"/>
          <w:lang w:val="en-GB"/>
        </w:rPr>
        <w:t xml:space="preserve">reasonable, noting that burosumab was associated with a higher incidence of nasopharyngitis, back pain, headache and tooth abscesses. </w:t>
      </w:r>
    </w:p>
    <w:p w14:paraId="32EF9DCF" w14:textId="2B3D8A05" w:rsidR="00BF5B11" w:rsidRDefault="00724488"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resubmission presented a cost utility analysis for the adult population comparing burosumab with standard of care</w:t>
      </w:r>
      <w:r w:rsidR="004765A2">
        <w:rPr>
          <w:rFonts w:asciiTheme="minorHAnsi" w:hAnsiTheme="minorHAnsi"/>
          <w:snapToGrid w:val="0"/>
          <w:lang w:val="en-GB"/>
        </w:rPr>
        <w:t>, which co</w:t>
      </w:r>
      <w:r w:rsidR="00706B31">
        <w:rPr>
          <w:rFonts w:asciiTheme="minorHAnsi" w:hAnsiTheme="minorHAnsi"/>
          <w:snapToGrid w:val="0"/>
          <w:lang w:val="en-GB"/>
        </w:rPr>
        <w:t>mprised</w:t>
      </w:r>
      <w:r w:rsidR="004765A2">
        <w:rPr>
          <w:rFonts w:asciiTheme="minorHAnsi" w:hAnsiTheme="minorHAnsi"/>
          <w:snapToGrid w:val="0"/>
          <w:lang w:val="en-GB"/>
        </w:rPr>
        <w:t xml:space="preserve"> of </w:t>
      </w:r>
      <w:r w:rsidR="00706B31">
        <w:rPr>
          <w:rFonts w:asciiTheme="minorHAnsi" w:hAnsiTheme="minorHAnsi"/>
          <w:snapToGrid w:val="0"/>
          <w:lang w:val="en-GB"/>
        </w:rPr>
        <w:t>70.1% conventional therapy and 29.9% no treatment</w:t>
      </w:r>
      <w:r>
        <w:rPr>
          <w:rFonts w:asciiTheme="minorHAnsi" w:hAnsiTheme="minorHAnsi"/>
          <w:snapToGrid w:val="0"/>
          <w:lang w:val="en-GB"/>
        </w:rPr>
        <w:t>.</w:t>
      </w:r>
    </w:p>
    <w:p w14:paraId="47B3A9F6" w14:textId="589C3079" w:rsidR="002A1AD2" w:rsidRPr="006309E4" w:rsidRDefault="00724488" w:rsidP="009064F3">
      <w:pPr>
        <w:widowControl w:val="0"/>
        <w:numPr>
          <w:ilvl w:val="1"/>
          <w:numId w:val="1"/>
        </w:numPr>
        <w:spacing w:after="120"/>
        <w:rPr>
          <w:rFonts w:asciiTheme="minorHAnsi" w:hAnsiTheme="minorHAnsi"/>
          <w:snapToGrid w:val="0"/>
          <w:lang w:val="en-GB"/>
        </w:rPr>
      </w:pPr>
      <w:r w:rsidRPr="006309E4">
        <w:rPr>
          <w:rFonts w:asciiTheme="minorHAnsi" w:hAnsiTheme="minorHAnsi"/>
          <w:snapToGrid w:val="0"/>
          <w:lang w:val="en-GB"/>
        </w:rPr>
        <w:t xml:space="preserve">The PBAC noted that </w:t>
      </w:r>
      <w:r w:rsidR="006309E4" w:rsidRPr="006309E4">
        <w:rPr>
          <w:rFonts w:asciiTheme="minorHAnsi" w:hAnsiTheme="minorHAnsi"/>
          <w:snapToGrid w:val="0"/>
          <w:lang w:val="en-GB"/>
        </w:rPr>
        <w:t xml:space="preserve">the PSCR presented a revised base case that corrected for </w:t>
      </w:r>
      <w:r w:rsidRPr="006309E4">
        <w:rPr>
          <w:rFonts w:asciiTheme="minorHAnsi" w:hAnsiTheme="minorHAnsi"/>
          <w:snapToGrid w:val="0"/>
          <w:lang w:val="en-GB"/>
        </w:rPr>
        <w:t>a number of errors w</w:t>
      </w:r>
      <w:r w:rsidR="006309E4" w:rsidRPr="006309E4">
        <w:rPr>
          <w:rFonts w:asciiTheme="minorHAnsi" w:hAnsiTheme="minorHAnsi"/>
          <w:snapToGrid w:val="0"/>
          <w:lang w:val="en-GB"/>
        </w:rPr>
        <w:t>hich we</w:t>
      </w:r>
      <w:r w:rsidRPr="006309E4">
        <w:rPr>
          <w:rFonts w:asciiTheme="minorHAnsi" w:hAnsiTheme="minorHAnsi"/>
          <w:snapToGrid w:val="0"/>
          <w:lang w:val="en-GB"/>
        </w:rPr>
        <w:t xml:space="preserve">re identified in the model during the evaluation phase </w:t>
      </w:r>
      <w:r w:rsidR="006309E4" w:rsidRPr="006309E4">
        <w:rPr>
          <w:rFonts w:asciiTheme="minorHAnsi" w:hAnsiTheme="minorHAnsi"/>
          <w:snapToGrid w:val="0"/>
          <w:lang w:val="en-GB"/>
        </w:rPr>
        <w:t>and</w:t>
      </w:r>
      <w:r w:rsidR="002A1AD2" w:rsidRPr="006309E4">
        <w:rPr>
          <w:rFonts w:asciiTheme="minorHAnsi" w:hAnsiTheme="minorHAnsi"/>
          <w:snapToGrid w:val="0"/>
          <w:lang w:val="en-GB"/>
        </w:rPr>
        <w:t xml:space="preserve"> removed the accrual of disutility decrements associated with repeating morbidities. </w:t>
      </w:r>
      <w:r w:rsidR="002A1AD2" w:rsidRPr="006309E4">
        <w:rPr>
          <w:rFonts w:asciiTheme="minorHAnsi" w:hAnsiTheme="minorHAnsi"/>
          <w:snapToGrid w:val="0"/>
          <w:lang w:val="en-GB"/>
        </w:rPr>
        <w:lastRenderedPageBreak/>
        <w:t>The PBAC noted that the revised ICER was $</w:t>
      </w:r>
      <w:r w:rsidR="00B62B1E">
        <w:rPr>
          <w:rFonts w:asciiTheme="minorHAnsi" w:hAnsiTheme="minorHAnsi"/>
          <w:snapToGrid w:val="0"/>
          <w:lang w:val="en-GB"/>
        </w:rPr>
        <w:t>550,000 to &lt; $655,000</w:t>
      </w:r>
      <w:r w:rsidR="002A1AD2" w:rsidRPr="006309E4">
        <w:rPr>
          <w:rFonts w:asciiTheme="minorHAnsi" w:hAnsiTheme="minorHAnsi"/>
          <w:snapToGrid w:val="0"/>
          <w:lang w:val="en-GB"/>
        </w:rPr>
        <w:t xml:space="preserve"> per QALY. </w:t>
      </w:r>
      <w:r w:rsidR="006309E4" w:rsidRPr="006309E4">
        <w:rPr>
          <w:rFonts w:asciiTheme="minorHAnsi" w:hAnsiTheme="minorHAnsi"/>
          <w:snapToGrid w:val="0"/>
          <w:lang w:val="en-GB"/>
        </w:rPr>
        <w:t xml:space="preserve">The PBAC noted that the pre-PBAC response reduced the effective AEMP of burosumab by </w:t>
      </w:r>
      <w:r w:rsidR="00B355AE" w:rsidRPr="00676539">
        <w:rPr>
          <w:rFonts w:asciiTheme="minorHAnsi" w:hAnsiTheme="minorHAnsi"/>
          <w:snapToGrid w:val="0"/>
          <w:color w:val="000000"/>
          <w:w w:val="15"/>
          <w:shd w:val="solid" w:color="000000" w:fill="000000"/>
          <w:fitText w:val="-20" w:id="-1504470520"/>
          <w:lang w:val="en-GB"/>
          <w14:textFill>
            <w14:solidFill>
              <w14:srgbClr w14:val="000000">
                <w14:alpha w14:val="100000"/>
              </w14:srgbClr>
            </w14:solidFill>
          </w14:textFill>
        </w:rPr>
        <w:t xml:space="preserve">|  </w:t>
      </w:r>
      <w:r w:rsidR="00B355AE" w:rsidRPr="00676539">
        <w:rPr>
          <w:rFonts w:asciiTheme="minorHAnsi" w:hAnsiTheme="minorHAnsi"/>
          <w:snapToGrid w:val="0"/>
          <w:color w:val="000000"/>
          <w:spacing w:val="-69"/>
          <w:w w:val="15"/>
          <w:shd w:val="solid" w:color="000000" w:fill="000000"/>
          <w:fitText w:val="-20" w:id="-1504470520"/>
          <w:lang w:val="en-GB"/>
          <w14:textFill>
            <w14:solidFill>
              <w14:srgbClr w14:val="000000">
                <w14:alpha w14:val="100000"/>
              </w14:srgbClr>
            </w14:solidFill>
          </w14:textFill>
        </w:rPr>
        <w:t>|</w:t>
      </w:r>
      <w:r w:rsidR="006309E4" w:rsidRPr="003C231F">
        <w:rPr>
          <w:rFonts w:asciiTheme="minorHAnsi" w:hAnsiTheme="minorHAnsi"/>
          <w:snapToGrid w:val="0"/>
          <w:lang w:val="en-GB"/>
        </w:rPr>
        <w:t>%,</w:t>
      </w:r>
      <w:r w:rsidR="006309E4" w:rsidRPr="006309E4">
        <w:rPr>
          <w:rFonts w:asciiTheme="minorHAnsi" w:hAnsiTheme="minorHAnsi"/>
          <w:snapToGrid w:val="0"/>
          <w:lang w:val="en-GB"/>
        </w:rPr>
        <w:t xml:space="preserve"> resulting in an ICER of $</w:t>
      </w:r>
      <w:r w:rsidR="00B62B1E" w:rsidRPr="00B62B1E">
        <w:rPr>
          <w:rFonts w:asciiTheme="minorHAnsi" w:hAnsiTheme="minorHAnsi"/>
          <w:snapToGrid w:val="0"/>
          <w:lang w:val="en-GB"/>
        </w:rPr>
        <w:t>455,000 to &lt; $555,000</w:t>
      </w:r>
      <w:r w:rsidR="003668AC">
        <w:rPr>
          <w:rFonts w:asciiTheme="minorHAnsi" w:hAnsiTheme="minorHAnsi"/>
          <w:snapToGrid w:val="0"/>
          <w:lang w:val="en-GB"/>
        </w:rPr>
        <w:t xml:space="preserve"> </w:t>
      </w:r>
      <w:r w:rsidR="006309E4" w:rsidRPr="006309E4">
        <w:rPr>
          <w:rFonts w:asciiTheme="minorHAnsi" w:hAnsiTheme="minorHAnsi"/>
          <w:snapToGrid w:val="0"/>
          <w:lang w:val="en-GB"/>
        </w:rPr>
        <w:t xml:space="preserve">QALY. </w:t>
      </w:r>
    </w:p>
    <w:p w14:paraId="71E75A06" w14:textId="227DBADC" w:rsidR="002A1AD2" w:rsidRDefault="002A1AD2"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ICER presented in the pre-PBAC response remained high and was likely optimistic noting that uncertainties in the model structure and assumption applied </w:t>
      </w:r>
      <w:r w:rsidR="004C08DD">
        <w:rPr>
          <w:rFonts w:asciiTheme="minorHAnsi" w:hAnsiTheme="minorHAnsi"/>
          <w:snapToGrid w:val="0"/>
          <w:lang w:val="en-GB"/>
        </w:rPr>
        <w:t>reflected</w:t>
      </w:r>
      <w:r>
        <w:rPr>
          <w:rFonts w:asciiTheme="minorHAnsi" w:hAnsiTheme="minorHAnsi"/>
          <w:snapToGrid w:val="0"/>
          <w:lang w:val="en-GB"/>
        </w:rPr>
        <w:t xml:space="preserve"> the available data. In addition, the PBAC noted </w:t>
      </w:r>
      <w:r w:rsidR="00E75F50">
        <w:rPr>
          <w:rFonts w:asciiTheme="minorHAnsi" w:hAnsiTheme="minorHAnsi"/>
          <w:snapToGrid w:val="0"/>
          <w:lang w:val="en-GB"/>
        </w:rPr>
        <w:t xml:space="preserve">that a number of the model inputs </w:t>
      </w:r>
      <w:r>
        <w:rPr>
          <w:rFonts w:asciiTheme="minorHAnsi" w:hAnsiTheme="minorHAnsi"/>
          <w:snapToGrid w:val="0"/>
          <w:lang w:val="en-GB"/>
        </w:rPr>
        <w:t>likely favoured burosumab</w:t>
      </w:r>
      <w:r w:rsidR="00E75F50">
        <w:rPr>
          <w:rFonts w:asciiTheme="minorHAnsi" w:hAnsiTheme="minorHAnsi"/>
          <w:snapToGrid w:val="0"/>
          <w:lang w:val="en-GB"/>
        </w:rPr>
        <w:t>,</w:t>
      </w:r>
      <w:r>
        <w:rPr>
          <w:rFonts w:asciiTheme="minorHAnsi" w:hAnsiTheme="minorHAnsi"/>
          <w:snapToGrid w:val="0"/>
          <w:lang w:val="en-GB"/>
        </w:rPr>
        <w:t xml:space="preserve"> including</w:t>
      </w:r>
      <w:r w:rsidR="00706B31">
        <w:rPr>
          <w:rFonts w:asciiTheme="minorHAnsi" w:hAnsiTheme="minorHAnsi"/>
          <w:snapToGrid w:val="0"/>
          <w:lang w:val="en-GB"/>
        </w:rPr>
        <w:t>:</w:t>
      </w:r>
      <w:r>
        <w:rPr>
          <w:rFonts w:asciiTheme="minorHAnsi" w:hAnsiTheme="minorHAnsi"/>
          <w:snapToGrid w:val="0"/>
          <w:lang w:val="en-GB"/>
        </w:rPr>
        <w:t xml:space="preserve"> (i) the </w:t>
      </w:r>
      <w:r w:rsidR="002C2687">
        <w:rPr>
          <w:rFonts w:asciiTheme="minorHAnsi" w:hAnsiTheme="minorHAnsi"/>
          <w:snapToGrid w:val="0"/>
          <w:lang w:val="en-GB"/>
        </w:rPr>
        <w:t xml:space="preserve">application of an average </w:t>
      </w:r>
      <w:r>
        <w:rPr>
          <w:rFonts w:asciiTheme="minorHAnsi" w:hAnsiTheme="minorHAnsi"/>
          <w:snapToGrid w:val="0"/>
          <w:lang w:val="en-GB"/>
        </w:rPr>
        <w:t xml:space="preserve">burosumab dose </w:t>
      </w:r>
      <w:r w:rsidR="002C2687">
        <w:rPr>
          <w:rFonts w:asciiTheme="minorHAnsi" w:hAnsiTheme="minorHAnsi"/>
          <w:snapToGrid w:val="0"/>
          <w:lang w:val="en-GB"/>
        </w:rPr>
        <w:t>of 0.95 mg/kg which resulted in a dose of 70 mg every four weeks which was lower than the maximum dose in the Product Information of 90 mg every four weeks</w:t>
      </w:r>
      <w:r w:rsidR="00706B31">
        <w:rPr>
          <w:rFonts w:asciiTheme="minorHAnsi" w:hAnsiTheme="minorHAnsi"/>
          <w:snapToGrid w:val="0"/>
          <w:lang w:val="en-GB"/>
        </w:rPr>
        <w:t>;</w:t>
      </w:r>
      <w:r>
        <w:rPr>
          <w:rFonts w:asciiTheme="minorHAnsi" w:hAnsiTheme="minorHAnsi"/>
          <w:snapToGrid w:val="0"/>
          <w:lang w:val="en-GB"/>
        </w:rPr>
        <w:t xml:space="preserve"> (ii) the application of general population morbidity and mortality to the burosumab arm</w:t>
      </w:r>
      <w:r w:rsidR="002C2687">
        <w:rPr>
          <w:rFonts w:asciiTheme="minorHAnsi" w:hAnsiTheme="minorHAnsi"/>
          <w:snapToGrid w:val="0"/>
          <w:lang w:val="en-GB"/>
        </w:rPr>
        <w:t xml:space="preserve"> which likely overestimated the effect of burosumab</w:t>
      </w:r>
      <w:r w:rsidR="00706B31">
        <w:rPr>
          <w:rFonts w:asciiTheme="minorHAnsi" w:hAnsiTheme="minorHAnsi"/>
          <w:snapToGrid w:val="0"/>
          <w:lang w:val="en-GB"/>
        </w:rPr>
        <w:t>;</w:t>
      </w:r>
      <w:r w:rsidR="00E75F50">
        <w:rPr>
          <w:rFonts w:asciiTheme="minorHAnsi" w:hAnsiTheme="minorHAnsi"/>
          <w:snapToGrid w:val="0"/>
          <w:lang w:val="en-GB"/>
        </w:rPr>
        <w:t xml:space="preserve"> and</w:t>
      </w:r>
      <w:r>
        <w:rPr>
          <w:rFonts w:asciiTheme="minorHAnsi" w:hAnsiTheme="minorHAnsi"/>
          <w:snapToGrid w:val="0"/>
          <w:lang w:val="en-GB"/>
        </w:rPr>
        <w:t xml:space="preserve"> (iii) burosumab treatment related utility gains regardless of event occurrence.</w:t>
      </w:r>
    </w:p>
    <w:p w14:paraId="73307E50" w14:textId="126808AA" w:rsidR="002A1AD2" w:rsidRPr="00706B31" w:rsidRDefault="002A1AD2" w:rsidP="002A1AD2">
      <w:pPr>
        <w:widowControl w:val="0"/>
        <w:spacing w:after="120"/>
        <w:rPr>
          <w:rFonts w:asciiTheme="minorHAnsi" w:hAnsiTheme="minorHAnsi"/>
          <w:b/>
          <w:bCs/>
          <w:snapToGrid w:val="0"/>
          <w:lang w:val="en-GB"/>
        </w:rPr>
      </w:pPr>
      <w:r w:rsidRPr="00706B31">
        <w:rPr>
          <w:rFonts w:asciiTheme="minorHAnsi" w:hAnsiTheme="minorHAnsi"/>
          <w:b/>
          <w:bCs/>
          <w:snapToGrid w:val="0"/>
          <w:lang w:val="en-GB"/>
        </w:rPr>
        <w:t>Paediatric and adult populations</w:t>
      </w:r>
    </w:p>
    <w:p w14:paraId="6D45A0AB" w14:textId="5057935B" w:rsidR="00E75F50" w:rsidRDefault="002C2687"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Overall, the PBAC considered that the ICERs for the paediatric and adult populations </w:t>
      </w:r>
      <w:r w:rsidR="00A56BA1">
        <w:rPr>
          <w:rFonts w:asciiTheme="minorHAnsi" w:hAnsiTheme="minorHAnsi"/>
          <w:snapToGrid w:val="0"/>
          <w:lang w:val="en-GB"/>
        </w:rPr>
        <w:t>remained</w:t>
      </w:r>
      <w:r>
        <w:rPr>
          <w:rFonts w:asciiTheme="minorHAnsi" w:hAnsiTheme="minorHAnsi"/>
          <w:snapToGrid w:val="0"/>
          <w:lang w:val="en-GB"/>
        </w:rPr>
        <w:t xml:space="preserve"> </w:t>
      </w:r>
      <w:r w:rsidR="00E75F50">
        <w:rPr>
          <w:rFonts w:asciiTheme="minorHAnsi" w:hAnsiTheme="minorHAnsi"/>
          <w:snapToGrid w:val="0"/>
          <w:lang w:val="en-GB"/>
        </w:rPr>
        <w:t xml:space="preserve">very </w:t>
      </w:r>
      <w:r>
        <w:rPr>
          <w:rFonts w:asciiTheme="minorHAnsi" w:hAnsiTheme="minorHAnsi"/>
          <w:snapToGrid w:val="0"/>
          <w:lang w:val="en-GB"/>
        </w:rPr>
        <w:t xml:space="preserve">high and </w:t>
      </w:r>
      <w:r w:rsidR="00A56BA1">
        <w:rPr>
          <w:rFonts w:asciiTheme="minorHAnsi" w:hAnsiTheme="minorHAnsi"/>
          <w:snapToGrid w:val="0"/>
          <w:lang w:val="en-GB"/>
        </w:rPr>
        <w:t xml:space="preserve">were </w:t>
      </w:r>
      <w:r>
        <w:rPr>
          <w:rFonts w:asciiTheme="minorHAnsi" w:hAnsiTheme="minorHAnsi"/>
          <w:snapToGrid w:val="0"/>
          <w:lang w:val="en-GB"/>
        </w:rPr>
        <w:t xml:space="preserve">likely </w:t>
      </w:r>
      <w:r w:rsidR="00E75F50">
        <w:rPr>
          <w:rFonts w:asciiTheme="minorHAnsi" w:hAnsiTheme="minorHAnsi"/>
          <w:snapToGrid w:val="0"/>
          <w:lang w:val="en-GB"/>
        </w:rPr>
        <w:t>under</w:t>
      </w:r>
      <w:r>
        <w:rPr>
          <w:rFonts w:asciiTheme="minorHAnsi" w:hAnsiTheme="minorHAnsi"/>
          <w:snapToGrid w:val="0"/>
          <w:lang w:val="en-GB"/>
        </w:rPr>
        <w:t>estimated</w:t>
      </w:r>
      <w:r w:rsidR="00E75F50">
        <w:rPr>
          <w:rFonts w:asciiTheme="minorHAnsi" w:hAnsiTheme="minorHAnsi"/>
          <w:snapToGrid w:val="0"/>
          <w:lang w:val="en-GB"/>
        </w:rPr>
        <w:t xml:space="preserve"> due to the inclusion of assumptions which favoured burosumab</w:t>
      </w:r>
      <w:r>
        <w:rPr>
          <w:rFonts w:asciiTheme="minorHAnsi" w:hAnsiTheme="minorHAnsi"/>
          <w:snapToGrid w:val="0"/>
          <w:lang w:val="en-GB"/>
        </w:rPr>
        <w:t>.</w:t>
      </w:r>
      <w:r w:rsidR="00E75F50">
        <w:rPr>
          <w:rFonts w:asciiTheme="minorHAnsi" w:hAnsiTheme="minorHAnsi"/>
          <w:snapToGrid w:val="0"/>
          <w:lang w:val="en-GB"/>
        </w:rPr>
        <w:t xml:space="preserve"> </w:t>
      </w:r>
      <w:r w:rsidR="006B2320">
        <w:rPr>
          <w:rFonts w:asciiTheme="minorHAnsi" w:hAnsiTheme="minorHAnsi"/>
          <w:snapToGrid w:val="0"/>
          <w:lang w:val="en-GB"/>
        </w:rPr>
        <w:t xml:space="preserve">The PBAC considered that </w:t>
      </w:r>
      <w:r w:rsidR="00CF269F">
        <w:rPr>
          <w:rFonts w:asciiTheme="minorHAnsi" w:hAnsiTheme="minorHAnsi"/>
          <w:snapToGrid w:val="0"/>
          <w:lang w:val="en-GB"/>
        </w:rPr>
        <w:t>ICER</w:t>
      </w:r>
      <w:r w:rsidR="005102AD">
        <w:rPr>
          <w:rFonts w:asciiTheme="minorHAnsi" w:hAnsiTheme="minorHAnsi"/>
          <w:snapToGrid w:val="0"/>
          <w:lang w:val="en-GB"/>
        </w:rPr>
        <w:t>s</w:t>
      </w:r>
      <w:r w:rsidR="00CF269F">
        <w:rPr>
          <w:rFonts w:asciiTheme="minorHAnsi" w:hAnsiTheme="minorHAnsi"/>
          <w:snapToGrid w:val="0"/>
          <w:lang w:val="en-GB"/>
        </w:rPr>
        <w:t xml:space="preserve"> of </w:t>
      </w:r>
      <w:r w:rsidR="006B2320">
        <w:rPr>
          <w:rFonts w:asciiTheme="minorHAnsi" w:hAnsiTheme="minorHAnsi"/>
          <w:snapToGrid w:val="0"/>
          <w:lang w:val="en-GB"/>
        </w:rPr>
        <w:t>approximately $</w:t>
      </w:r>
      <w:r w:rsidR="00B62B1E" w:rsidRPr="004801E5">
        <w:rPr>
          <w:color w:val="333333"/>
        </w:rPr>
        <w:t>255,000 to &lt; $355,000</w:t>
      </w:r>
      <w:r w:rsidR="006B2320">
        <w:rPr>
          <w:rFonts w:asciiTheme="minorHAnsi" w:hAnsiTheme="minorHAnsi"/>
          <w:snapToGrid w:val="0"/>
          <w:lang w:val="en-GB"/>
        </w:rPr>
        <w:t xml:space="preserve"> per QALY for the paediatric and adult populations</w:t>
      </w:r>
      <w:r w:rsidR="00CF269F">
        <w:rPr>
          <w:rFonts w:asciiTheme="minorHAnsi" w:hAnsiTheme="minorHAnsi"/>
          <w:snapToGrid w:val="0"/>
          <w:lang w:val="en-GB"/>
        </w:rPr>
        <w:t xml:space="preserve"> would be reasonable</w:t>
      </w:r>
      <w:r w:rsidR="006B2320">
        <w:rPr>
          <w:rFonts w:asciiTheme="minorHAnsi" w:hAnsiTheme="minorHAnsi"/>
          <w:snapToGrid w:val="0"/>
          <w:lang w:val="en-GB"/>
        </w:rPr>
        <w:t>.</w:t>
      </w:r>
    </w:p>
    <w:p w14:paraId="4F5A998E" w14:textId="77777777" w:rsidR="001704E5" w:rsidRDefault="005D2231"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utilisation estimates, the PBAC </w:t>
      </w:r>
      <w:r w:rsidR="001704E5">
        <w:rPr>
          <w:rFonts w:asciiTheme="minorHAnsi" w:hAnsiTheme="minorHAnsi"/>
          <w:snapToGrid w:val="0"/>
          <w:lang w:val="en-GB"/>
        </w:rPr>
        <w:t xml:space="preserve">noted </w:t>
      </w:r>
      <w:r>
        <w:rPr>
          <w:rFonts w:asciiTheme="minorHAnsi" w:hAnsiTheme="minorHAnsi"/>
          <w:snapToGrid w:val="0"/>
          <w:lang w:val="en-GB"/>
        </w:rPr>
        <w:t>that the u</w:t>
      </w:r>
      <w:r w:rsidR="006309E4">
        <w:rPr>
          <w:rFonts w:asciiTheme="minorHAnsi" w:hAnsiTheme="minorHAnsi"/>
          <w:snapToGrid w:val="0"/>
          <w:lang w:val="en-GB"/>
        </w:rPr>
        <w:t>se of burosumab</w:t>
      </w:r>
      <w:r>
        <w:rPr>
          <w:rFonts w:asciiTheme="minorHAnsi" w:hAnsiTheme="minorHAnsi"/>
          <w:snapToGrid w:val="0"/>
          <w:lang w:val="en-GB"/>
        </w:rPr>
        <w:t xml:space="preserve"> </w:t>
      </w:r>
      <w:r w:rsidR="006309E4">
        <w:rPr>
          <w:rFonts w:asciiTheme="minorHAnsi" w:hAnsiTheme="minorHAnsi"/>
          <w:snapToGrid w:val="0"/>
          <w:lang w:val="en-GB"/>
        </w:rPr>
        <w:t>may</w:t>
      </w:r>
      <w:r w:rsidR="00706B31">
        <w:rPr>
          <w:rFonts w:asciiTheme="minorHAnsi" w:hAnsiTheme="minorHAnsi"/>
          <w:snapToGrid w:val="0"/>
          <w:lang w:val="en-GB"/>
        </w:rPr>
        <w:t xml:space="preserve"> be </w:t>
      </w:r>
      <w:r>
        <w:rPr>
          <w:rFonts w:asciiTheme="minorHAnsi" w:hAnsiTheme="minorHAnsi"/>
          <w:snapToGrid w:val="0"/>
          <w:lang w:val="en-GB"/>
        </w:rPr>
        <w:t>higher in clinical practice</w:t>
      </w:r>
      <w:r w:rsidR="001704E5">
        <w:rPr>
          <w:rFonts w:asciiTheme="minorHAnsi" w:hAnsiTheme="minorHAnsi"/>
          <w:snapToGrid w:val="0"/>
          <w:lang w:val="en-GB"/>
        </w:rPr>
        <w:t xml:space="preserve"> as</w:t>
      </w:r>
      <w:r>
        <w:rPr>
          <w:rFonts w:asciiTheme="minorHAnsi" w:hAnsiTheme="minorHAnsi"/>
          <w:snapToGrid w:val="0"/>
          <w:lang w:val="en-GB"/>
        </w:rPr>
        <w:t xml:space="preserve"> there were no prevalence data available for the Australian adult population. </w:t>
      </w:r>
      <w:r w:rsidR="001704E5">
        <w:rPr>
          <w:rFonts w:asciiTheme="minorHAnsi" w:hAnsiTheme="minorHAnsi"/>
          <w:snapToGrid w:val="0"/>
          <w:lang w:val="en-GB"/>
        </w:rPr>
        <w:t xml:space="preserve"> The PBAC considered that the estimated patient numbers were conservative and reasonable in the context of a RSA. </w:t>
      </w:r>
    </w:p>
    <w:p w14:paraId="0C75C59A" w14:textId="421C3644" w:rsidR="008C26A4" w:rsidRDefault="00CA6E98" w:rsidP="001A2C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5D2231">
        <w:rPr>
          <w:rFonts w:asciiTheme="minorHAnsi" w:hAnsiTheme="minorHAnsi"/>
          <w:snapToGrid w:val="0"/>
          <w:lang w:val="en-GB"/>
        </w:rPr>
        <w:t xml:space="preserve">he PBAC noted that the average dose applied for paediatric patients (0.91 mg/kg) was lower than that </w:t>
      </w:r>
      <w:r w:rsidR="008C26A4">
        <w:rPr>
          <w:rFonts w:asciiTheme="minorHAnsi" w:hAnsiTheme="minorHAnsi"/>
          <w:snapToGrid w:val="0"/>
          <w:lang w:val="en-GB"/>
        </w:rPr>
        <w:t>was received by children in the EAP (1.05 mg/kg)</w:t>
      </w:r>
      <w:r>
        <w:rPr>
          <w:rFonts w:asciiTheme="minorHAnsi" w:hAnsiTheme="minorHAnsi"/>
          <w:snapToGrid w:val="0"/>
          <w:lang w:val="en-GB"/>
        </w:rPr>
        <w:t>, which may have underestimated the financial impact of listing. In addition, the PBAC noted that the estimates did not include treatment costs related to harms</w:t>
      </w:r>
      <w:r w:rsidR="0090323A">
        <w:rPr>
          <w:rFonts w:asciiTheme="minorHAnsi" w:hAnsiTheme="minorHAnsi"/>
          <w:snapToGrid w:val="0"/>
          <w:lang w:val="en-GB"/>
        </w:rPr>
        <w:t xml:space="preserve"> and adverse events</w:t>
      </w:r>
      <w:r>
        <w:rPr>
          <w:rFonts w:asciiTheme="minorHAnsi" w:hAnsiTheme="minorHAnsi"/>
          <w:snapToGrid w:val="0"/>
          <w:lang w:val="en-GB"/>
        </w:rPr>
        <w:t xml:space="preserve"> </w:t>
      </w:r>
      <w:r w:rsidR="00706B31">
        <w:rPr>
          <w:rFonts w:asciiTheme="minorHAnsi" w:hAnsiTheme="minorHAnsi"/>
          <w:snapToGrid w:val="0"/>
          <w:lang w:val="en-GB"/>
        </w:rPr>
        <w:t>(</w:t>
      </w:r>
      <w:r>
        <w:rPr>
          <w:rFonts w:asciiTheme="minorHAnsi" w:hAnsiTheme="minorHAnsi"/>
          <w:snapToGrid w:val="0"/>
          <w:lang w:val="en-GB"/>
        </w:rPr>
        <w:t>e.g. dental abscesses</w:t>
      </w:r>
      <w:r w:rsidR="00706B31">
        <w:rPr>
          <w:rFonts w:asciiTheme="minorHAnsi" w:hAnsiTheme="minorHAnsi"/>
          <w:snapToGrid w:val="0"/>
          <w:lang w:val="en-GB"/>
        </w:rPr>
        <w:t>)</w:t>
      </w:r>
      <w:r>
        <w:rPr>
          <w:rFonts w:asciiTheme="minorHAnsi" w:hAnsiTheme="minorHAnsi"/>
          <w:snapToGrid w:val="0"/>
          <w:lang w:val="en-GB"/>
        </w:rPr>
        <w:t xml:space="preserve"> and considered that the listing of burosumab on the PBS would result in an increase in the testing of PHEX mutation on the MBS</w:t>
      </w:r>
      <w:r w:rsidR="008C26A4">
        <w:rPr>
          <w:rFonts w:asciiTheme="minorHAnsi" w:hAnsiTheme="minorHAnsi"/>
          <w:snapToGrid w:val="0"/>
          <w:lang w:val="en-GB"/>
        </w:rPr>
        <w:t>.</w:t>
      </w:r>
    </w:p>
    <w:p w14:paraId="36D88886" w14:textId="2CE8D7A4" w:rsidR="007A58F4" w:rsidRDefault="008C26A4"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proposed RSA</w:t>
      </w:r>
      <w:r w:rsidR="002C2687">
        <w:rPr>
          <w:rFonts w:asciiTheme="minorHAnsi" w:hAnsiTheme="minorHAnsi"/>
          <w:snapToGrid w:val="0"/>
          <w:lang w:val="en-GB"/>
        </w:rPr>
        <w:t xml:space="preserve"> </w:t>
      </w:r>
      <w:r w:rsidR="00CA6E98">
        <w:rPr>
          <w:rFonts w:asciiTheme="minorHAnsi" w:hAnsiTheme="minorHAnsi"/>
          <w:snapToGrid w:val="0"/>
          <w:lang w:val="en-GB"/>
        </w:rPr>
        <w:t xml:space="preserve">which offered a </w:t>
      </w:r>
      <w:r w:rsidR="00B355AE" w:rsidRPr="0035108E">
        <w:rPr>
          <w:rFonts w:asciiTheme="minorHAnsi" w:hAnsiTheme="minorHAnsi"/>
          <w:snapToGrid w:val="0"/>
          <w:color w:val="000000"/>
          <w:w w:val="60"/>
          <w:shd w:val="solid" w:color="000000" w:fill="000000"/>
          <w:fitText w:val="470" w:id="-1504470519"/>
          <w:lang w:val="en-GB"/>
          <w14:textFill>
            <w14:solidFill>
              <w14:srgbClr w14:val="000000">
                <w14:alpha w14:val="100000"/>
              </w14:srgbClr>
            </w14:solidFill>
          </w14:textFill>
        </w:rPr>
        <w:t>|||  |||</w:t>
      </w:r>
      <w:r w:rsidR="00CA6E98" w:rsidRPr="003C231F">
        <w:rPr>
          <w:rFonts w:asciiTheme="minorHAnsi" w:hAnsiTheme="minorHAnsi"/>
          <w:snapToGrid w:val="0"/>
          <w:lang w:val="en-GB"/>
        </w:rPr>
        <w:t>%</w:t>
      </w:r>
      <w:r w:rsidR="00CA6E98">
        <w:rPr>
          <w:rFonts w:asciiTheme="minorHAnsi" w:hAnsiTheme="minorHAnsi"/>
          <w:snapToGrid w:val="0"/>
          <w:lang w:val="en-GB"/>
        </w:rPr>
        <w:t xml:space="preserve"> rebate over agreed expenditure caps. The PBAC considered that </w:t>
      </w:r>
      <w:r w:rsidR="007A58F4">
        <w:rPr>
          <w:rFonts w:asciiTheme="minorHAnsi" w:hAnsiTheme="minorHAnsi"/>
          <w:snapToGrid w:val="0"/>
          <w:lang w:val="en-GB"/>
        </w:rPr>
        <w:t xml:space="preserve">due to the uncertainties in the financial estimates, particularly concerning the dose of burosumab administered, a rebate of 100% would be </w:t>
      </w:r>
      <w:r w:rsidR="007224BC">
        <w:rPr>
          <w:rFonts w:asciiTheme="minorHAnsi" w:hAnsiTheme="minorHAnsi"/>
          <w:snapToGrid w:val="0"/>
          <w:lang w:val="en-GB"/>
        </w:rPr>
        <w:t>required</w:t>
      </w:r>
      <w:r w:rsidR="007A58F4">
        <w:rPr>
          <w:rFonts w:asciiTheme="minorHAnsi" w:hAnsiTheme="minorHAnsi"/>
          <w:snapToGrid w:val="0"/>
          <w:lang w:val="en-GB"/>
        </w:rPr>
        <w:t>.</w:t>
      </w:r>
    </w:p>
    <w:p w14:paraId="5A1D4D4D" w14:textId="7125B315" w:rsidR="009064F3" w:rsidRDefault="003B16E7"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restriction, the PBAC </w:t>
      </w:r>
      <w:r w:rsidR="009064F3">
        <w:rPr>
          <w:rFonts w:asciiTheme="minorHAnsi" w:hAnsiTheme="minorHAnsi"/>
          <w:snapToGrid w:val="0"/>
          <w:lang w:val="en-GB"/>
        </w:rPr>
        <w:t>noted that the Secretariat proposed a General Section 85 listing with a</w:t>
      </w:r>
      <w:r w:rsidR="00C47542">
        <w:rPr>
          <w:rFonts w:asciiTheme="minorHAnsi" w:hAnsiTheme="minorHAnsi"/>
          <w:snapToGrid w:val="0"/>
          <w:lang w:val="en-GB"/>
        </w:rPr>
        <w:t xml:space="preserve"> telephone/online</w:t>
      </w:r>
      <w:r w:rsidR="00697E8D">
        <w:rPr>
          <w:rFonts w:asciiTheme="minorHAnsi" w:hAnsiTheme="minorHAnsi"/>
          <w:snapToGrid w:val="0"/>
          <w:lang w:val="en-GB"/>
        </w:rPr>
        <w:t xml:space="preserve"> authori</w:t>
      </w:r>
      <w:r w:rsidR="009064F3">
        <w:rPr>
          <w:rFonts w:asciiTheme="minorHAnsi" w:hAnsiTheme="minorHAnsi"/>
          <w:snapToGrid w:val="0"/>
          <w:lang w:val="en-GB"/>
        </w:rPr>
        <w:t xml:space="preserve">ty for the initial, continuing and grandfather supplies. The PBAC considered that this was reasonable as the </w:t>
      </w:r>
      <w:r w:rsidR="00697E8D">
        <w:rPr>
          <w:rFonts w:asciiTheme="minorHAnsi" w:hAnsiTheme="minorHAnsi"/>
          <w:snapToGrid w:val="0"/>
          <w:lang w:val="en-GB"/>
        </w:rPr>
        <w:t xml:space="preserve">data </w:t>
      </w:r>
      <w:r w:rsidR="009064F3">
        <w:rPr>
          <w:rFonts w:asciiTheme="minorHAnsi" w:hAnsiTheme="minorHAnsi"/>
          <w:snapToGrid w:val="0"/>
          <w:lang w:val="en-GB"/>
        </w:rPr>
        <w:t xml:space="preserve">to be collected at the time of prescribing </w:t>
      </w:r>
      <w:r w:rsidR="00697E8D">
        <w:rPr>
          <w:rFonts w:asciiTheme="minorHAnsi" w:hAnsiTheme="minorHAnsi"/>
          <w:snapToGrid w:val="0"/>
          <w:lang w:val="en-GB"/>
        </w:rPr>
        <w:t xml:space="preserve">could be captured by </w:t>
      </w:r>
      <w:r w:rsidR="00C47542">
        <w:rPr>
          <w:rFonts w:asciiTheme="minorHAnsi" w:hAnsiTheme="minorHAnsi"/>
          <w:snapToGrid w:val="0"/>
          <w:lang w:val="en-GB"/>
        </w:rPr>
        <w:t>the digital service at Services Australia</w:t>
      </w:r>
      <w:r w:rsidR="00697E8D">
        <w:rPr>
          <w:rFonts w:asciiTheme="minorHAnsi" w:hAnsiTheme="minorHAnsi"/>
          <w:snapToGrid w:val="0"/>
          <w:lang w:val="en-GB"/>
        </w:rPr>
        <w:t>. The PBAC also considered that a number of the Prescriber instructions could be combined into the clinical criteria.</w:t>
      </w:r>
    </w:p>
    <w:p w14:paraId="7951DACB" w14:textId="30666FA9" w:rsidR="003B16E7" w:rsidRDefault="00697E8D" w:rsidP="007A58F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3B16E7">
        <w:rPr>
          <w:rFonts w:asciiTheme="minorHAnsi" w:hAnsiTheme="minorHAnsi"/>
          <w:snapToGrid w:val="0"/>
          <w:lang w:val="en-GB"/>
        </w:rPr>
        <w:t xml:space="preserve">considered that the </w:t>
      </w:r>
      <w:r w:rsidR="00B552DF">
        <w:rPr>
          <w:rFonts w:asciiTheme="minorHAnsi" w:hAnsiTheme="minorHAnsi"/>
          <w:snapToGrid w:val="0"/>
          <w:lang w:val="en-GB"/>
        </w:rPr>
        <w:t xml:space="preserve">change to the continuation criterion proposed in the </w:t>
      </w:r>
      <w:r w:rsidR="00B552DF">
        <w:rPr>
          <w:rFonts w:asciiTheme="minorHAnsi" w:hAnsiTheme="minorHAnsi"/>
          <w:snapToGrid w:val="0"/>
          <w:lang w:val="en-GB"/>
        </w:rPr>
        <w:lastRenderedPageBreak/>
        <w:t xml:space="preserve">resubmission from “normalisation of serum phosphate levels” to “normalisation or greater than 30% improvement from pre-treatment baseline in serum phosphate levels” was not appropriate. The PBAC agreed with the ESC in considering that at 30% improvement </w:t>
      </w:r>
      <w:r w:rsidR="00F05724">
        <w:rPr>
          <w:rFonts w:asciiTheme="minorHAnsi" w:hAnsiTheme="minorHAnsi"/>
          <w:snapToGrid w:val="0"/>
          <w:lang w:val="en-GB"/>
        </w:rPr>
        <w:t>may be uninformative for some patients, (</w:t>
      </w:r>
      <w:proofErr w:type="gramStart"/>
      <w:r w:rsidR="00F05724">
        <w:rPr>
          <w:rFonts w:asciiTheme="minorHAnsi" w:hAnsiTheme="minorHAnsi"/>
          <w:snapToGrid w:val="0"/>
          <w:lang w:val="en-GB"/>
        </w:rPr>
        <w:t>e.g.</w:t>
      </w:r>
      <w:proofErr w:type="gramEnd"/>
      <w:r w:rsidR="00F05724">
        <w:rPr>
          <w:rFonts w:asciiTheme="minorHAnsi" w:hAnsiTheme="minorHAnsi"/>
          <w:snapToGrid w:val="0"/>
          <w:lang w:val="en-GB"/>
        </w:rPr>
        <w:t xml:space="preserve"> adolescence and menopause can influence target serum levels) and in noting that the 30% threshold was based on CL303 which enrolled only adult patients</w:t>
      </w:r>
      <w:r w:rsidR="00706B31">
        <w:rPr>
          <w:rFonts w:asciiTheme="minorHAnsi" w:hAnsiTheme="minorHAnsi"/>
          <w:snapToGrid w:val="0"/>
          <w:lang w:val="en-GB"/>
        </w:rPr>
        <w:t xml:space="preserve"> (see paragraphs 3.</w:t>
      </w:r>
      <w:r w:rsidR="00311FE2">
        <w:rPr>
          <w:rFonts w:asciiTheme="minorHAnsi" w:hAnsiTheme="minorHAnsi"/>
          <w:snapToGrid w:val="0"/>
          <w:lang w:val="en-GB"/>
        </w:rPr>
        <w:t>4</w:t>
      </w:r>
      <w:r w:rsidR="00706B31">
        <w:rPr>
          <w:rFonts w:asciiTheme="minorHAnsi" w:hAnsiTheme="minorHAnsi"/>
          <w:snapToGrid w:val="0"/>
          <w:lang w:val="en-GB"/>
        </w:rPr>
        <w:t xml:space="preserve"> and 3.</w:t>
      </w:r>
      <w:r w:rsidR="00311FE2">
        <w:rPr>
          <w:rFonts w:asciiTheme="minorHAnsi" w:hAnsiTheme="minorHAnsi"/>
          <w:snapToGrid w:val="0"/>
          <w:lang w:val="en-GB"/>
        </w:rPr>
        <w:t>5</w:t>
      </w:r>
      <w:r w:rsidR="00706B31">
        <w:rPr>
          <w:rFonts w:asciiTheme="minorHAnsi" w:hAnsiTheme="minorHAnsi"/>
          <w:snapToGrid w:val="0"/>
          <w:lang w:val="en-GB"/>
        </w:rPr>
        <w:t>)</w:t>
      </w:r>
      <w:r w:rsidR="00F05724">
        <w:rPr>
          <w:rFonts w:asciiTheme="minorHAnsi" w:hAnsiTheme="minorHAnsi"/>
          <w:snapToGrid w:val="0"/>
          <w:lang w:val="en-GB"/>
        </w:rPr>
        <w:t>.</w:t>
      </w:r>
    </w:p>
    <w:p w14:paraId="173DCF44" w14:textId="4A8F370E" w:rsidR="0090323A" w:rsidRDefault="001A2C4E" w:rsidP="0090323A">
      <w:pPr>
        <w:widowControl w:val="0"/>
        <w:numPr>
          <w:ilvl w:val="1"/>
          <w:numId w:val="1"/>
        </w:numPr>
        <w:spacing w:after="120"/>
        <w:rPr>
          <w:rFonts w:asciiTheme="minorHAnsi" w:hAnsiTheme="minorHAnsi"/>
          <w:snapToGrid w:val="0"/>
          <w:lang w:val="en-GB"/>
        </w:rPr>
      </w:pPr>
      <w:r w:rsidRPr="007A58F4">
        <w:rPr>
          <w:rFonts w:asciiTheme="minorHAnsi" w:hAnsiTheme="minorHAnsi"/>
          <w:snapToGrid w:val="0"/>
          <w:lang w:val="en-GB"/>
        </w:rPr>
        <w:t xml:space="preserve">The PBAC considered the outstanding issues could be resolved in a simple resubmission for </w:t>
      </w:r>
      <w:r w:rsidR="007A58F4">
        <w:rPr>
          <w:rFonts w:asciiTheme="minorHAnsi" w:hAnsiTheme="minorHAnsi"/>
          <w:snapToGrid w:val="0"/>
          <w:lang w:val="en-GB"/>
        </w:rPr>
        <w:t>burosumab</w:t>
      </w:r>
      <w:r w:rsidRPr="007A58F4">
        <w:rPr>
          <w:rFonts w:asciiTheme="minorHAnsi" w:hAnsiTheme="minorHAnsi"/>
          <w:snapToGrid w:val="0"/>
          <w:lang w:val="en-GB"/>
        </w:rPr>
        <w:t xml:space="preserve">. The PBAC considered </w:t>
      </w:r>
      <w:r w:rsidR="007A58F4">
        <w:rPr>
          <w:rFonts w:asciiTheme="minorHAnsi" w:hAnsiTheme="minorHAnsi"/>
          <w:snapToGrid w:val="0"/>
          <w:lang w:val="en-GB"/>
        </w:rPr>
        <w:t>burosumab</w:t>
      </w:r>
      <w:r w:rsidRPr="007A58F4">
        <w:rPr>
          <w:rFonts w:asciiTheme="minorHAnsi" w:hAnsiTheme="minorHAnsi"/>
          <w:snapToGrid w:val="0"/>
          <w:lang w:val="en-GB"/>
        </w:rPr>
        <w:t xml:space="preserve"> addresses a high and urgent unmet clinical need and was expected to provide a substantial and clinically relevant improvement in efficacy/reduction of toxicity, over </w:t>
      </w:r>
      <w:r w:rsidR="00706B31">
        <w:rPr>
          <w:rFonts w:asciiTheme="minorHAnsi" w:hAnsiTheme="minorHAnsi"/>
          <w:snapToGrid w:val="0"/>
          <w:lang w:val="en-GB"/>
        </w:rPr>
        <w:t xml:space="preserve">the </w:t>
      </w:r>
      <w:r w:rsidRPr="007A58F4">
        <w:rPr>
          <w:rFonts w:asciiTheme="minorHAnsi" w:hAnsiTheme="minorHAnsi"/>
          <w:snapToGrid w:val="0"/>
          <w:lang w:val="en-GB"/>
        </w:rPr>
        <w:t>alternative therapies. Therefore, the PBAC considered an early resolution pathway would be acceptable. If the sponsor accepts this pathway, the following changes may address these outstanding issues without requiring further re-evaluation</w:t>
      </w:r>
      <w:r w:rsidR="007A58F4">
        <w:rPr>
          <w:rFonts w:asciiTheme="minorHAnsi" w:hAnsiTheme="minorHAnsi"/>
          <w:snapToGrid w:val="0"/>
          <w:lang w:val="en-GB"/>
        </w:rPr>
        <w:t>:</w:t>
      </w:r>
      <w:r w:rsidR="0090323A">
        <w:rPr>
          <w:rFonts w:asciiTheme="minorHAnsi" w:hAnsiTheme="minorHAnsi"/>
          <w:snapToGrid w:val="0"/>
          <w:lang w:val="en-GB"/>
        </w:rPr>
        <w:t xml:space="preserve"> </w:t>
      </w:r>
    </w:p>
    <w:p w14:paraId="6801ABCC" w14:textId="5C705097" w:rsidR="0090323A" w:rsidRPr="004801E5" w:rsidRDefault="0090323A" w:rsidP="001704E5">
      <w:pPr>
        <w:pStyle w:val="ListParagraph"/>
        <w:widowControl w:val="0"/>
        <w:numPr>
          <w:ilvl w:val="0"/>
          <w:numId w:val="33"/>
        </w:numPr>
        <w:ind w:left="1077" w:hanging="357"/>
        <w:rPr>
          <w:rFonts w:cstheme="minorHAnsi"/>
          <w:lang w:val="en-GB"/>
        </w:rPr>
      </w:pPr>
      <w:r w:rsidRPr="004801E5">
        <w:rPr>
          <w:rFonts w:cstheme="minorHAnsi"/>
          <w:lang w:val="en-GB"/>
        </w:rPr>
        <w:t>A further price reduction which results in ICERs of approximately $</w:t>
      </w:r>
      <w:r w:rsidR="00356050" w:rsidRPr="004801E5">
        <w:rPr>
          <w:rFonts w:cstheme="minorHAnsi"/>
          <w:color w:val="333333"/>
        </w:rPr>
        <w:t>255,000 to &lt; $355,000</w:t>
      </w:r>
      <w:r w:rsidRPr="004801E5">
        <w:rPr>
          <w:rFonts w:cstheme="minorHAnsi"/>
          <w:lang w:val="en-GB"/>
        </w:rPr>
        <w:t xml:space="preserve"> per QALY for both the paediatric and adult populations;</w:t>
      </w:r>
      <w:r w:rsidR="001704E5" w:rsidRPr="004801E5">
        <w:rPr>
          <w:rFonts w:cstheme="minorHAnsi"/>
          <w:lang w:val="en-GB"/>
        </w:rPr>
        <w:t xml:space="preserve"> </w:t>
      </w:r>
      <w:r w:rsidRPr="004801E5">
        <w:rPr>
          <w:rFonts w:cstheme="minorHAnsi"/>
          <w:lang w:val="en-GB"/>
        </w:rPr>
        <w:t>and</w:t>
      </w:r>
    </w:p>
    <w:p w14:paraId="23288DDF" w14:textId="592742DD" w:rsidR="0090323A" w:rsidRPr="007A58F4" w:rsidRDefault="0090323A" w:rsidP="0090323A">
      <w:pPr>
        <w:pStyle w:val="ListBullet"/>
        <w:tabs>
          <w:tab w:val="clear" w:pos="360"/>
          <w:tab w:val="num" w:pos="1040"/>
        </w:tabs>
        <w:spacing w:after="120"/>
        <w:ind w:left="1077" w:hanging="357"/>
        <w:contextualSpacing w:val="0"/>
        <w:rPr>
          <w:lang w:val="en-GB"/>
        </w:rPr>
      </w:pPr>
      <w:r>
        <w:rPr>
          <w:lang w:val="en-GB"/>
        </w:rPr>
        <w:t xml:space="preserve">A revised RSA which offers a rebate of 100% for use over the financial </w:t>
      </w:r>
      <w:r w:rsidR="001704E5">
        <w:rPr>
          <w:lang w:val="en-GB"/>
        </w:rPr>
        <w:t xml:space="preserve">impact </w:t>
      </w:r>
      <w:r>
        <w:rPr>
          <w:lang w:val="en-GB"/>
        </w:rPr>
        <w:t>estimates</w:t>
      </w:r>
      <w:r w:rsidR="00706B31">
        <w:rPr>
          <w:lang w:val="en-GB"/>
        </w:rPr>
        <w:t>.</w:t>
      </w:r>
    </w:p>
    <w:p w14:paraId="65D778E7" w14:textId="77777777" w:rsidR="0090323A" w:rsidRDefault="0090323A" w:rsidP="0090323A">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1CF733F0" w14:textId="33351A46" w:rsidR="0090323A" w:rsidRPr="0090323A" w:rsidRDefault="0090323A" w:rsidP="0090323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is eligible for an Independent Review.</w:t>
      </w:r>
    </w:p>
    <w:p w14:paraId="5A449D73" w14:textId="75CA5AB8" w:rsidR="001A2C4E" w:rsidRPr="00525B39" w:rsidRDefault="001A2C4E" w:rsidP="001A2C4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706C46D" w14:textId="55A7BCE4" w:rsidR="001A2C4E" w:rsidRDefault="001A2C4E" w:rsidP="003C231F">
      <w:pPr>
        <w:rPr>
          <w:rFonts w:asciiTheme="minorHAnsi" w:hAnsiTheme="minorHAnsi"/>
          <w:bCs/>
          <w:snapToGrid w:val="0"/>
          <w:lang w:val="en-GB"/>
        </w:rPr>
      </w:pPr>
      <w:r>
        <w:rPr>
          <w:rFonts w:asciiTheme="minorHAnsi" w:hAnsiTheme="minorHAnsi"/>
          <w:bCs/>
          <w:snapToGrid w:val="0"/>
          <w:lang w:val="en-GB"/>
        </w:rPr>
        <w:t>Not recommended</w:t>
      </w:r>
    </w:p>
    <w:p w14:paraId="6D5D2A3B" w14:textId="77777777" w:rsidR="00AE4EEA" w:rsidRDefault="00AE4EEA" w:rsidP="00AE4EEA">
      <w:pPr>
        <w:pStyle w:val="2-SectionHeading"/>
        <w:rPr>
          <w:bCs/>
          <w:lang w:val="en-GB"/>
        </w:rPr>
      </w:pPr>
      <w:r w:rsidRPr="003C231F">
        <w:t>Context</w:t>
      </w:r>
      <w:r w:rsidRPr="00BB6824">
        <w:rPr>
          <w:bCs/>
          <w:lang w:val="en-GB"/>
        </w:rPr>
        <w:t xml:space="preserve"> for Decision</w:t>
      </w:r>
    </w:p>
    <w:p w14:paraId="2A2A19A3" w14:textId="77777777" w:rsidR="00AE4EEA" w:rsidRPr="007129F2" w:rsidRDefault="00AE4EEA" w:rsidP="00AE4EEA">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C2653F7" w14:textId="77777777" w:rsidR="00AE4EEA" w:rsidRPr="00BB6824" w:rsidRDefault="00AE4EEA" w:rsidP="00AE4EEA">
      <w:pPr>
        <w:pStyle w:val="2-SectionHeading"/>
        <w:rPr>
          <w:bCs/>
          <w:lang w:val="en-GB"/>
        </w:rPr>
      </w:pPr>
      <w:r w:rsidRPr="003C231F">
        <w:lastRenderedPageBreak/>
        <w:t>Sponsor’s</w:t>
      </w:r>
      <w:r w:rsidRPr="00BB6824">
        <w:rPr>
          <w:bCs/>
          <w:lang w:val="en-GB"/>
        </w:rPr>
        <w:t xml:space="preserve"> Comment</w:t>
      </w:r>
    </w:p>
    <w:p w14:paraId="556FE4B9" w14:textId="77777777" w:rsidR="00AE4EEA" w:rsidRPr="00525B39" w:rsidRDefault="00AE4EEA" w:rsidP="00AE4EEA">
      <w:pPr>
        <w:spacing w:after="120"/>
        <w:ind w:left="720"/>
        <w:rPr>
          <w:rFonts w:asciiTheme="minorHAnsi" w:hAnsiTheme="minorHAnsi"/>
          <w:b/>
          <w:bCs/>
          <w:snapToGrid w:val="0"/>
        </w:rPr>
      </w:pPr>
      <w:r w:rsidRPr="007D024C">
        <w:rPr>
          <w:rFonts w:asciiTheme="minorHAnsi" w:hAnsiTheme="minorHAnsi"/>
          <w:bCs/>
          <w:lang w:val="en-GB"/>
        </w:rPr>
        <w:t>While disappointed by the decision of the PBAC not to recommend the reimbursement of Crysvita® (burosumab) for the treatment of children and adults with X-linked hypophosphataemia (XLH), Kyowa Kirin considers the offer of an early resolution pathway to be a positive step forward</w:t>
      </w:r>
      <w:r>
        <w:rPr>
          <w:rFonts w:asciiTheme="minorHAnsi" w:hAnsiTheme="minorHAnsi"/>
          <w:bCs/>
          <w:lang w:val="en-GB"/>
        </w:rPr>
        <w:t>.</w:t>
      </w:r>
    </w:p>
    <w:p w14:paraId="7BE9C92D" w14:textId="1F80C1C1" w:rsidR="00AE4EEA" w:rsidRDefault="00AE4EEA" w:rsidP="00AE4EEA">
      <w:pPr>
        <w:widowControl w:val="0"/>
        <w:rPr>
          <w:rFonts w:asciiTheme="minorHAnsi" w:hAnsiTheme="minorHAnsi"/>
          <w:b/>
          <w:bCs/>
          <w:snapToGrid w:val="0"/>
          <w:color w:val="FF0000"/>
          <w:sz w:val="28"/>
          <w:szCs w:val="28"/>
        </w:rPr>
      </w:pPr>
      <w:r>
        <w:rPr>
          <w:rFonts w:asciiTheme="minorHAnsi" w:hAnsiTheme="minorHAnsi"/>
          <w:b/>
          <w:bCs/>
          <w:snapToGrid w:val="0"/>
          <w:color w:val="FF0000"/>
          <w:sz w:val="28"/>
          <w:szCs w:val="28"/>
        </w:rPr>
        <w:t xml:space="preserve">Addendum to the March 2022 PBAC </w:t>
      </w:r>
      <w:r w:rsidR="0068646A">
        <w:rPr>
          <w:rFonts w:asciiTheme="minorHAnsi" w:hAnsiTheme="minorHAnsi"/>
          <w:b/>
          <w:bCs/>
          <w:snapToGrid w:val="0"/>
          <w:color w:val="FF0000"/>
          <w:sz w:val="28"/>
          <w:szCs w:val="28"/>
        </w:rPr>
        <w:t>public summary document</w:t>
      </w:r>
      <w:r>
        <w:rPr>
          <w:rFonts w:asciiTheme="minorHAnsi" w:hAnsiTheme="minorHAnsi"/>
          <w:b/>
          <w:bCs/>
          <w:snapToGrid w:val="0"/>
          <w:color w:val="FF0000"/>
          <w:sz w:val="28"/>
          <w:szCs w:val="28"/>
        </w:rPr>
        <w:t>:</w:t>
      </w:r>
    </w:p>
    <w:p w14:paraId="3EC4EA5C" w14:textId="77777777" w:rsidR="00AE4EEA" w:rsidRDefault="00AE4EEA" w:rsidP="00AE4EEA">
      <w:pPr>
        <w:pStyle w:val="1-MainHeading"/>
      </w:pPr>
      <w:r>
        <w:t>7.02</w:t>
      </w:r>
      <w:r>
        <w:tab/>
        <w:t>BUROSUMAB,</w:t>
      </w:r>
      <w:r>
        <w:br/>
      </w:r>
      <w:r>
        <w:rPr>
          <w:sz w:val="32"/>
          <w:szCs w:val="32"/>
        </w:rPr>
        <w:t>Injection 10 mg in 1 mL, Injection 20 mg in 1 mL, Injection 30 mg in 1 mL</w:t>
      </w:r>
      <w:r>
        <w:rPr>
          <w:sz w:val="32"/>
          <w:szCs w:val="32"/>
        </w:rPr>
        <w:br/>
        <w:t>Crysvita®</w:t>
      </w:r>
      <w:r>
        <w:rPr>
          <w:sz w:val="32"/>
          <w:szCs w:val="32"/>
        </w:rPr>
        <w:br/>
        <w:t>Kyowa Kirin Australia Pty Ltd</w:t>
      </w:r>
      <w:r>
        <w:rPr>
          <w:sz w:val="32"/>
          <w:szCs w:val="32"/>
          <w:vertAlign w:val="superscript"/>
        </w:rPr>
        <w:t>®</w:t>
      </w:r>
    </w:p>
    <w:p w14:paraId="235F91DB" w14:textId="77777777" w:rsidR="00AE4EEA" w:rsidRDefault="00AE4EEA" w:rsidP="0073079A">
      <w:pPr>
        <w:pStyle w:val="2-SectionHeading"/>
        <w:snapToGrid w:val="0"/>
      </w:pPr>
      <w:r>
        <w:t>Background</w:t>
      </w:r>
    </w:p>
    <w:p w14:paraId="246B4E82" w14:textId="77777777" w:rsidR="00AE4EEA" w:rsidRDefault="00AE4EEA" w:rsidP="0073079A">
      <w:pPr>
        <w:pStyle w:val="3-BodyText"/>
        <w:rPr>
          <w:lang w:val="en-GB"/>
        </w:rPr>
      </w:pPr>
      <w:r>
        <w:rPr>
          <w:rFonts w:cstheme="minorHAnsi"/>
        </w:rPr>
        <w:t xml:space="preserve">An early resolution submission was provided that sought to address the PBAC’s concerns from its March 2022 meeting at which the PBAC did not recommend burosumab for the treatment of paediatric and adult patients with X-linked hypophosphataemia (XLH). </w:t>
      </w:r>
    </w:p>
    <w:p w14:paraId="43AFA3CC" w14:textId="77777777" w:rsidR="00AE4EEA" w:rsidRDefault="00AE4EEA" w:rsidP="0073079A">
      <w:pPr>
        <w:pStyle w:val="2-SectionHeading"/>
        <w:snapToGrid w:val="0"/>
        <w:rPr>
          <w:snapToGrid/>
        </w:rPr>
      </w:pPr>
      <w:r>
        <w:t>Consideration of the evidence</w:t>
      </w:r>
    </w:p>
    <w:p w14:paraId="442BA964" w14:textId="77777777" w:rsidR="00AE4EEA" w:rsidRDefault="00AE4EEA" w:rsidP="0073079A">
      <w:pPr>
        <w:pStyle w:val="3-BodyText"/>
        <w:rPr>
          <w:lang w:val="en-GB"/>
        </w:rPr>
      </w:pPr>
      <w:r>
        <w:rPr>
          <w:rFonts w:cstheme="minorHAnsi"/>
        </w:rPr>
        <w:t>At its March 2022 meeting, the PBAC considered that the following outstanding issues with the burosumab resubmission could be addressed in a simple resubmission:</w:t>
      </w:r>
    </w:p>
    <w:p w14:paraId="5A0E4AD3" w14:textId="2995CEE9" w:rsidR="00AE4EEA" w:rsidRDefault="00AE4EEA" w:rsidP="00AE4EEA">
      <w:pPr>
        <w:pStyle w:val="ListParagraph"/>
        <w:numPr>
          <w:ilvl w:val="0"/>
          <w:numId w:val="41"/>
        </w:numPr>
        <w:snapToGrid w:val="0"/>
        <w:ind w:left="1077" w:hanging="357"/>
        <w:rPr>
          <w:snapToGrid/>
          <w:lang w:val="en-GB"/>
        </w:rPr>
      </w:pPr>
      <w:r>
        <w:rPr>
          <w:lang w:val="en-GB"/>
        </w:rPr>
        <w:t xml:space="preserve">A further price reduction which resulted in incremental cost effectiveness ratios (ICERs) of approximately </w:t>
      </w:r>
      <w:r w:rsidR="004801E5" w:rsidRPr="004801E5">
        <w:rPr>
          <w:rFonts w:cstheme="minorHAnsi"/>
          <w:lang w:val="en-GB"/>
        </w:rPr>
        <w:t>$</w:t>
      </w:r>
      <w:r w:rsidR="004801E5" w:rsidRPr="004801E5">
        <w:rPr>
          <w:rFonts w:cstheme="minorHAnsi"/>
          <w:color w:val="333333"/>
        </w:rPr>
        <w:t>255,000 to &lt; $355,000</w:t>
      </w:r>
      <w:r w:rsidR="004801E5" w:rsidRPr="004801E5">
        <w:rPr>
          <w:rFonts w:cstheme="minorHAnsi"/>
          <w:lang w:val="en-GB"/>
        </w:rPr>
        <w:t xml:space="preserve"> </w:t>
      </w:r>
      <w:r>
        <w:rPr>
          <w:lang w:val="en-GB"/>
        </w:rPr>
        <w:t>per quality adjusted life year (QALY) for both the paediatric and adult populations would be required; and</w:t>
      </w:r>
    </w:p>
    <w:p w14:paraId="71597743" w14:textId="77777777" w:rsidR="00AE4EEA" w:rsidRDefault="00AE4EEA" w:rsidP="00AE4EEA">
      <w:pPr>
        <w:pStyle w:val="ListParagraph"/>
        <w:numPr>
          <w:ilvl w:val="0"/>
          <w:numId w:val="41"/>
        </w:numPr>
        <w:snapToGrid w:val="0"/>
        <w:ind w:left="1077" w:hanging="357"/>
        <w:rPr>
          <w:lang w:val="en-GB"/>
        </w:rPr>
      </w:pPr>
      <w:r>
        <w:rPr>
          <w:lang w:val="en-GB"/>
        </w:rPr>
        <w:t>A revised risk sharing arrangement (RSA) which offered a rebate of 100% for use over the financial impact estimates.</w:t>
      </w:r>
    </w:p>
    <w:p w14:paraId="104133CA" w14:textId="26D2FC53" w:rsidR="00AE4EEA" w:rsidRDefault="00AE4EEA" w:rsidP="0073079A">
      <w:pPr>
        <w:pStyle w:val="3-BodyText"/>
        <w:rPr>
          <w:lang w:val="en-GB"/>
        </w:rPr>
      </w:pPr>
      <w:r>
        <w:rPr>
          <w:lang w:val="en-GB"/>
        </w:rPr>
        <w:t xml:space="preserve">The early resolution resubmission offered a price reduction for the </w:t>
      </w:r>
      <w:r>
        <w:t xml:space="preserve">10, 20 and 30 mg vials, which was </w:t>
      </w:r>
      <w:r w:rsidR="00495E6E" w:rsidRPr="00676539">
        <w:rPr>
          <w:color w:val="000000"/>
          <w:w w:val="15"/>
          <w:shd w:val="solid" w:color="000000" w:fill="000000"/>
          <w:fitText w:val="-20" w:id="-1463135488"/>
          <w14:textFill>
            <w14:solidFill>
              <w14:srgbClr w14:val="000000">
                <w14:alpha w14:val="100000"/>
              </w14:srgbClr>
            </w14:solidFill>
          </w14:textFill>
        </w:rPr>
        <w:t xml:space="preserve">|  </w:t>
      </w:r>
      <w:r w:rsidR="00495E6E" w:rsidRPr="00676539">
        <w:rPr>
          <w:color w:val="000000"/>
          <w:spacing w:val="-69"/>
          <w:w w:val="15"/>
          <w:shd w:val="solid" w:color="000000" w:fill="000000"/>
          <w:fitText w:val="-20" w:id="-1463135488"/>
          <w14:textFill>
            <w14:solidFill>
              <w14:srgbClr w14:val="000000">
                <w14:alpha w14:val="100000"/>
              </w14:srgbClr>
            </w14:solidFill>
          </w14:textFill>
        </w:rPr>
        <w:t>|</w:t>
      </w:r>
      <w:r>
        <w:t>% lower than the effective prices offered in the original March 2021 submission. The proposed approve ex-manufacturer prices (AEMPs) were $</w:t>
      </w:r>
      <w:r w:rsidR="006523EC" w:rsidRPr="00676539">
        <w:rPr>
          <w:color w:val="000000" w:themeColor="text1"/>
          <w:w w:val="15"/>
          <w:shd w:val="solid" w:color="000000" w:fill="000000"/>
          <w:fitText w:val="-20" w:id="-1477767424"/>
          <w14:textFill>
            <w14:solidFill>
              <w14:schemeClr w14:val="tx1">
                <w14:alpha w14:val="100000"/>
              </w14:schemeClr>
            </w14:solidFill>
          </w14:textFill>
        </w:rPr>
        <w:t xml:space="preserve">|  </w:t>
      </w:r>
      <w:r w:rsidR="006523EC" w:rsidRPr="00676539">
        <w:rPr>
          <w:color w:val="000000" w:themeColor="text1"/>
          <w:spacing w:val="-69"/>
          <w:w w:val="15"/>
          <w:shd w:val="solid" w:color="000000" w:fill="000000"/>
          <w:fitText w:val="-20" w:id="-1477767424"/>
          <w14:textFill>
            <w14:solidFill>
              <w14:schemeClr w14:val="tx1">
                <w14:alpha w14:val="100000"/>
              </w14:schemeClr>
            </w14:solidFill>
          </w14:textFill>
        </w:rPr>
        <w:t>|</w:t>
      </w:r>
      <w:r>
        <w:t xml:space="preserve"> for 2 x 10 mg vials, $</w:t>
      </w:r>
      <w:r w:rsidR="006523EC" w:rsidRPr="00676539">
        <w:rPr>
          <w:color w:val="000000" w:themeColor="text1"/>
          <w:w w:val="15"/>
          <w:shd w:val="solid" w:color="000000" w:fill="000000"/>
          <w:fitText w:val="-20" w:id="-1477767423"/>
          <w14:textFill>
            <w14:solidFill>
              <w14:schemeClr w14:val="tx1">
                <w14:alpha w14:val="100000"/>
              </w14:schemeClr>
            </w14:solidFill>
          </w14:textFill>
        </w:rPr>
        <w:t xml:space="preserve">|  </w:t>
      </w:r>
      <w:r w:rsidR="006523EC" w:rsidRPr="00676539">
        <w:rPr>
          <w:color w:val="000000" w:themeColor="text1"/>
          <w:spacing w:val="-69"/>
          <w:w w:val="15"/>
          <w:shd w:val="solid" w:color="000000" w:fill="000000"/>
          <w:fitText w:val="-20" w:id="-1477767423"/>
          <w14:textFill>
            <w14:solidFill>
              <w14:schemeClr w14:val="tx1">
                <w14:alpha w14:val="100000"/>
              </w14:schemeClr>
            </w14:solidFill>
          </w14:textFill>
        </w:rPr>
        <w:t>|</w:t>
      </w:r>
      <w:r>
        <w:t xml:space="preserve"> for 2 x 20 mg vials and $</w:t>
      </w:r>
      <w:r w:rsidR="006523EC" w:rsidRPr="00676539">
        <w:rPr>
          <w:color w:val="000000" w:themeColor="text1"/>
          <w:w w:val="15"/>
          <w:shd w:val="solid" w:color="000000" w:fill="000000"/>
          <w:fitText w:val="-20" w:id="-1477767422"/>
          <w14:textFill>
            <w14:solidFill>
              <w14:schemeClr w14:val="tx1">
                <w14:alpha w14:val="100000"/>
              </w14:schemeClr>
            </w14:solidFill>
          </w14:textFill>
        </w:rPr>
        <w:t xml:space="preserve">|  </w:t>
      </w:r>
      <w:r w:rsidR="006523EC" w:rsidRPr="00676539">
        <w:rPr>
          <w:color w:val="000000" w:themeColor="text1"/>
          <w:spacing w:val="-69"/>
          <w:w w:val="15"/>
          <w:shd w:val="solid" w:color="000000" w:fill="000000"/>
          <w:fitText w:val="-20" w:id="-1477767422"/>
          <w14:textFill>
            <w14:solidFill>
              <w14:schemeClr w14:val="tx1">
                <w14:alpha w14:val="100000"/>
              </w14:schemeClr>
            </w14:solidFill>
          </w14:textFill>
        </w:rPr>
        <w:t>|</w:t>
      </w:r>
      <w:r>
        <w:t xml:space="preserve"> for 2 x 30 mg vials.</w:t>
      </w:r>
    </w:p>
    <w:p w14:paraId="306C75F8" w14:textId="06C37905" w:rsidR="00AE4EEA" w:rsidRDefault="00AE4EEA" w:rsidP="0073079A">
      <w:pPr>
        <w:pStyle w:val="3-BodyText"/>
        <w:rPr>
          <w:lang w:val="en-GB"/>
        </w:rPr>
      </w:pPr>
      <w:r>
        <w:t>The incorporation of the reduced prices into the paediatric and adult models resulted in ICERs of approximately $</w:t>
      </w:r>
      <w:r w:rsidR="004801E5" w:rsidRPr="004801E5">
        <w:rPr>
          <w:rFonts w:cstheme="minorHAnsi"/>
          <w:color w:val="333333"/>
        </w:rPr>
        <w:t>255,000 to &lt; $355,000</w:t>
      </w:r>
      <w:r w:rsidR="004801E5">
        <w:rPr>
          <w:rFonts w:cstheme="minorHAnsi"/>
          <w:color w:val="333333"/>
        </w:rPr>
        <w:t xml:space="preserve"> </w:t>
      </w:r>
      <w:r>
        <w:t>per QALY for each population (see Table 24). The ICER in the March 2022 pre-PBAC response for the paediatric population was $</w:t>
      </w:r>
      <w:r w:rsidR="004801E5" w:rsidRPr="004801E5">
        <w:t>455,000 to &lt; $555,000</w:t>
      </w:r>
      <w:r w:rsidR="004801E5">
        <w:t xml:space="preserve"> </w:t>
      </w:r>
      <w:r>
        <w:t>per QALY, and for the adult population it was $</w:t>
      </w:r>
      <w:r w:rsidR="00593844" w:rsidRPr="004801E5">
        <w:t>455,000 to &lt; $555,000</w:t>
      </w:r>
      <w:r>
        <w:t xml:space="preserve"> per QALY.</w:t>
      </w:r>
    </w:p>
    <w:p w14:paraId="1DF331CB" w14:textId="77777777" w:rsidR="006523EC" w:rsidRDefault="006523EC" w:rsidP="00AE4EEA">
      <w:pPr>
        <w:rPr>
          <w:rFonts w:ascii="Arial Narrow" w:hAnsi="Arial Narrow"/>
          <w:b/>
          <w:bCs/>
          <w:sz w:val="20"/>
          <w:szCs w:val="20"/>
        </w:rPr>
      </w:pPr>
    </w:p>
    <w:p w14:paraId="4BF67DAA" w14:textId="6594F11F" w:rsidR="00AE4EEA" w:rsidRDefault="00AE4EEA" w:rsidP="00AE4EEA">
      <w:pPr>
        <w:rPr>
          <w:rFonts w:ascii="Arial Narrow" w:hAnsi="Arial Narrow"/>
          <w:b/>
          <w:bCs/>
          <w:sz w:val="20"/>
          <w:szCs w:val="20"/>
        </w:rPr>
      </w:pPr>
      <w:r>
        <w:rPr>
          <w:rFonts w:ascii="Arial Narrow" w:hAnsi="Arial Narrow"/>
          <w:b/>
          <w:bCs/>
          <w:sz w:val="20"/>
          <w:szCs w:val="20"/>
        </w:rPr>
        <w:lastRenderedPageBreak/>
        <w:t>Table 24: Early resolution resubmission proposed ICERs</w:t>
      </w:r>
    </w:p>
    <w:tbl>
      <w:tblPr>
        <w:tblStyle w:val="TableGrid"/>
        <w:tblW w:w="0" w:type="auto"/>
        <w:tblLook w:val="04A0" w:firstRow="1" w:lastRow="0" w:firstColumn="1" w:lastColumn="0" w:noHBand="0" w:noVBand="1"/>
      </w:tblPr>
      <w:tblGrid>
        <w:gridCol w:w="2254"/>
        <w:gridCol w:w="2254"/>
        <w:gridCol w:w="2254"/>
        <w:gridCol w:w="2254"/>
      </w:tblGrid>
      <w:tr w:rsidR="00AE4EEA" w14:paraId="54E7307E" w14:textId="77777777" w:rsidTr="00AE4EEA">
        <w:tc>
          <w:tcPr>
            <w:tcW w:w="2254" w:type="dxa"/>
            <w:tcBorders>
              <w:top w:val="single" w:sz="4" w:space="0" w:color="auto"/>
              <w:left w:val="single" w:sz="4" w:space="0" w:color="auto"/>
              <w:bottom w:val="single" w:sz="4" w:space="0" w:color="auto"/>
              <w:right w:val="single" w:sz="4" w:space="0" w:color="auto"/>
            </w:tcBorders>
          </w:tcPr>
          <w:p w14:paraId="4A3FC30A" w14:textId="77777777" w:rsidR="00AE4EEA" w:rsidRDefault="00AE4EEA">
            <w:pPr>
              <w:rPr>
                <w:rFonts w:ascii="Arial Narrow" w:hAnsi="Arial Narrow"/>
                <w:sz w:val="20"/>
                <w:szCs w:val="20"/>
              </w:rPr>
            </w:pPr>
          </w:p>
        </w:tc>
        <w:tc>
          <w:tcPr>
            <w:tcW w:w="2254" w:type="dxa"/>
            <w:tcBorders>
              <w:top w:val="single" w:sz="4" w:space="0" w:color="auto"/>
              <w:left w:val="single" w:sz="4" w:space="0" w:color="auto"/>
              <w:bottom w:val="single" w:sz="4" w:space="0" w:color="auto"/>
              <w:right w:val="single" w:sz="4" w:space="0" w:color="auto"/>
            </w:tcBorders>
            <w:hideMark/>
          </w:tcPr>
          <w:p w14:paraId="0B2A4023" w14:textId="77777777" w:rsidR="00AE4EEA" w:rsidRDefault="00AE4EEA">
            <w:pPr>
              <w:jc w:val="center"/>
              <w:rPr>
                <w:rFonts w:ascii="Arial Narrow" w:hAnsi="Arial Narrow"/>
                <w:b/>
                <w:bCs/>
                <w:sz w:val="20"/>
                <w:szCs w:val="20"/>
              </w:rPr>
            </w:pPr>
            <w:r>
              <w:rPr>
                <w:rFonts w:ascii="Arial Narrow" w:hAnsi="Arial Narrow"/>
                <w:b/>
                <w:bCs/>
                <w:sz w:val="20"/>
                <w:szCs w:val="20"/>
              </w:rPr>
              <w:t>Burosumb</w:t>
            </w:r>
          </w:p>
        </w:tc>
        <w:tc>
          <w:tcPr>
            <w:tcW w:w="2254" w:type="dxa"/>
            <w:tcBorders>
              <w:top w:val="single" w:sz="4" w:space="0" w:color="auto"/>
              <w:left w:val="single" w:sz="4" w:space="0" w:color="auto"/>
              <w:bottom w:val="single" w:sz="4" w:space="0" w:color="auto"/>
              <w:right w:val="single" w:sz="4" w:space="0" w:color="auto"/>
            </w:tcBorders>
            <w:hideMark/>
          </w:tcPr>
          <w:p w14:paraId="6EEB2899" w14:textId="77777777" w:rsidR="00AE4EEA" w:rsidRDefault="00AE4EEA">
            <w:pPr>
              <w:jc w:val="center"/>
              <w:rPr>
                <w:rFonts w:ascii="Arial Narrow" w:hAnsi="Arial Narrow"/>
                <w:b/>
                <w:bCs/>
                <w:sz w:val="20"/>
                <w:szCs w:val="20"/>
              </w:rPr>
            </w:pPr>
            <w:r>
              <w:rPr>
                <w:rFonts w:ascii="Arial Narrow" w:hAnsi="Arial Narrow"/>
                <w:b/>
                <w:bCs/>
                <w:sz w:val="20"/>
                <w:szCs w:val="20"/>
              </w:rPr>
              <w:t>SOC</w:t>
            </w:r>
          </w:p>
        </w:tc>
        <w:tc>
          <w:tcPr>
            <w:tcW w:w="2254" w:type="dxa"/>
            <w:tcBorders>
              <w:top w:val="single" w:sz="4" w:space="0" w:color="auto"/>
              <w:left w:val="single" w:sz="4" w:space="0" w:color="auto"/>
              <w:bottom w:val="single" w:sz="4" w:space="0" w:color="auto"/>
              <w:right w:val="single" w:sz="4" w:space="0" w:color="auto"/>
            </w:tcBorders>
            <w:hideMark/>
          </w:tcPr>
          <w:p w14:paraId="4E816407" w14:textId="77777777" w:rsidR="00AE4EEA" w:rsidRDefault="00AE4EEA">
            <w:pPr>
              <w:jc w:val="center"/>
              <w:rPr>
                <w:rFonts w:ascii="Arial Narrow" w:hAnsi="Arial Narrow"/>
                <w:b/>
                <w:bCs/>
                <w:sz w:val="20"/>
                <w:szCs w:val="20"/>
              </w:rPr>
            </w:pPr>
            <w:r>
              <w:rPr>
                <w:rFonts w:ascii="Arial Narrow" w:hAnsi="Arial Narrow"/>
                <w:b/>
                <w:bCs/>
                <w:sz w:val="20"/>
                <w:szCs w:val="20"/>
              </w:rPr>
              <w:t>Increment</w:t>
            </w:r>
          </w:p>
        </w:tc>
      </w:tr>
      <w:tr w:rsidR="00AE4EEA" w14:paraId="524B2440" w14:textId="77777777" w:rsidTr="00AE4EEA">
        <w:tc>
          <w:tcPr>
            <w:tcW w:w="9016" w:type="dxa"/>
            <w:gridSpan w:val="4"/>
            <w:tcBorders>
              <w:top w:val="single" w:sz="4" w:space="0" w:color="auto"/>
              <w:left w:val="single" w:sz="4" w:space="0" w:color="auto"/>
              <w:bottom w:val="single" w:sz="4" w:space="0" w:color="auto"/>
              <w:right w:val="single" w:sz="4" w:space="0" w:color="auto"/>
            </w:tcBorders>
            <w:hideMark/>
          </w:tcPr>
          <w:p w14:paraId="443C2458" w14:textId="77777777" w:rsidR="00AE4EEA" w:rsidRDefault="00AE4EEA">
            <w:pPr>
              <w:rPr>
                <w:rFonts w:ascii="Arial Narrow" w:hAnsi="Arial Narrow"/>
                <w:b/>
                <w:bCs/>
                <w:sz w:val="20"/>
                <w:szCs w:val="20"/>
              </w:rPr>
            </w:pPr>
            <w:r>
              <w:rPr>
                <w:rFonts w:ascii="Arial Narrow" w:hAnsi="Arial Narrow"/>
                <w:b/>
                <w:bCs/>
                <w:sz w:val="20"/>
                <w:szCs w:val="20"/>
              </w:rPr>
              <w:t>Paediatric model</w:t>
            </w:r>
          </w:p>
        </w:tc>
      </w:tr>
      <w:tr w:rsidR="00AE4EEA" w14:paraId="5AD70B99" w14:textId="77777777" w:rsidTr="00AE4EEA">
        <w:tc>
          <w:tcPr>
            <w:tcW w:w="2254" w:type="dxa"/>
            <w:tcBorders>
              <w:top w:val="single" w:sz="4" w:space="0" w:color="auto"/>
              <w:left w:val="single" w:sz="4" w:space="0" w:color="auto"/>
              <w:bottom w:val="single" w:sz="4" w:space="0" w:color="auto"/>
              <w:right w:val="single" w:sz="4" w:space="0" w:color="auto"/>
            </w:tcBorders>
            <w:hideMark/>
          </w:tcPr>
          <w:p w14:paraId="27BA94C0" w14:textId="77777777" w:rsidR="00AE4EEA" w:rsidRDefault="00AE4EEA">
            <w:pPr>
              <w:rPr>
                <w:rFonts w:ascii="Arial Narrow" w:hAnsi="Arial Narrow"/>
                <w:sz w:val="20"/>
                <w:szCs w:val="20"/>
              </w:rPr>
            </w:pPr>
            <w:r>
              <w:rPr>
                <w:rFonts w:ascii="Arial Narrow" w:hAnsi="Arial Narrow"/>
                <w:sz w:val="20"/>
                <w:szCs w:val="20"/>
              </w:rPr>
              <w:t>Total costs</w:t>
            </w:r>
          </w:p>
        </w:tc>
        <w:tc>
          <w:tcPr>
            <w:tcW w:w="2254" w:type="dxa"/>
            <w:tcBorders>
              <w:top w:val="single" w:sz="4" w:space="0" w:color="auto"/>
              <w:left w:val="single" w:sz="4" w:space="0" w:color="auto"/>
              <w:bottom w:val="single" w:sz="4" w:space="0" w:color="auto"/>
              <w:right w:val="single" w:sz="4" w:space="0" w:color="auto"/>
            </w:tcBorders>
            <w:hideMark/>
          </w:tcPr>
          <w:p w14:paraId="3BE95A00" w14:textId="28FC1BA2"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254" w:type="dxa"/>
            <w:tcBorders>
              <w:top w:val="single" w:sz="4" w:space="0" w:color="auto"/>
              <w:left w:val="single" w:sz="4" w:space="0" w:color="auto"/>
              <w:bottom w:val="single" w:sz="4" w:space="0" w:color="auto"/>
              <w:right w:val="single" w:sz="4" w:space="0" w:color="auto"/>
            </w:tcBorders>
            <w:hideMark/>
          </w:tcPr>
          <w:p w14:paraId="022E7A16" w14:textId="0FCC7305"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254" w:type="dxa"/>
            <w:tcBorders>
              <w:top w:val="single" w:sz="4" w:space="0" w:color="auto"/>
              <w:left w:val="single" w:sz="4" w:space="0" w:color="auto"/>
              <w:bottom w:val="single" w:sz="4" w:space="0" w:color="auto"/>
              <w:right w:val="single" w:sz="4" w:space="0" w:color="auto"/>
            </w:tcBorders>
            <w:hideMark/>
          </w:tcPr>
          <w:p w14:paraId="4C0E476D" w14:textId="6AC26884"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AE4EEA" w14:paraId="34C82EA0" w14:textId="77777777" w:rsidTr="00AE4EEA">
        <w:tc>
          <w:tcPr>
            <w:tcW w:w="2254" w:type="dxa"/>
            <w:tcBorders>
              <w:top w:val="single" w:sz="4" w:space="0" w:color="auto"/>
              <w:left w:val="single" w:sz="4" w:space="0" w:color="auto"/>
              <w:bottom w:val="single" w:sz="4" w:space="0" w:color="auto"/>
              <w:right w:val="single" w:sz="4" w:space="0" w:color="auto"/>
            </w:tcBorders>
            <w:hideMark/>
          </w:tcPr>
          <w:p w14:paraId="06E4C5C0" w14:textId="77777777" w:rsidR="00AE4EEA" w:rsidRDefault="00AE4EEA">
            <w:pPr>
              <w:rPr>
                <w:rFonts w:ascii="Arial Narrow" w:hAnsi="Arial Narrow"/>
                <w:sz w:val="20"/>
                <w:szCs w:val="20"/>
              </w:rPr>
            </w:pPr>
            <w:r>
              <w:rPr>
                <w:rFonts w:ascii="Arial Narrow" w:hAnsi="Arial Narrow"/>
                <w:sz w:val="20"/>
                <w:szCs w:val="20"/>
              </w:rPr>
              <w:t>Total QALYs</w:t>
            </w:r>
          </w:p>
        </w:tc>
        <w:tc>
          <w:tcPr>
            <w:tcW w:w="2254" w:type="dxa"/>
            <w:tcBorders>
              <w:top w:val="single" w:sz="4" w:space="0" w:color="auto"/>
              <w:left w:val="single" w:sz="4" w:space="0" w:color="auto"/>
              <w:bottom w:val="single" w:sz="4" w:space="0" w:color="auto"/>
              <w:right w:val="single" w:sz="4" w:space="0" w:color="auto"/>
            </w:tcBorders>
            <w:hideMark/>
          </w:tcPr>
          <w:p w14:paraId="11831013" w14:textId="77777777" w:rsidR="00AE4EEA" w:rsidRDefault="00AE4EEA">
            <w:pPr>
              <w:jc w:val="center"/>
              <w:rPr>
                <w:rFonts w:ascii="Arial Narrow" w:hAnsi="Arial Narrow"/>
                <w:sz w:val="20"/>
                <w:szCs w:val="20"/>
              </w:rPr>
            </w:pPr>
            <w:r>
              <w:rPr>
                <w:rFonts w:ascii="Arial Narrow" w:hAnsi="Arial Narrow"/>
                <w:sz w:val="20"/>
                <w:szCs w:val="20"/>
              </w:rPr>
              <w:t>12.42</w:t>
            </w:r>
          </w:p>
        </w:tc>
        <w:tc>
          <w:tcPr>
            <w:tcW w:w="2254" w:type="dxa"/>
            <w:tcBorders>
              <w:top w:val="single" w:sz="4" w:space="0" w:color="auto"/>
              <w:left w:val="single" w:sz="4" w:space="0" w:color="auto"/>
              <w:bottom w:val="single" w:sz="4" w:space="0" w:color="auto"/>
              <w:right w:val="single" w:sz="4" w:space="0" w:color="auto"/>
            </w:tcBorders>
            <w:hideMark/>
          </w:tcPr>
          <w:p w14:paraId="6C0C5AA7" w14:textId="77777777" w:rsidR="00AE4EEA" w:rsidRDefault="00AE4EEA">
            <w:pPr>
              <w:jc w:val="center"/>
              <w:rPr>
                <w:rFonts w:ascii="Arial Narrow" w:hAnsi="Arial Narrow"/>
                <w:sz w:val="20"/>
                <w:szCs w:val="20"/>
              </w:rPr>
            </w:pPr>
            <w:r>
              <w:rPr>
                <w:rFonts w:ascii="Arial Narrow" w:hAnsi="Arial Narrow"/>
                <w:sz w:val="20"/>
                <w:szCs w:val="20"/>
              </w:rPr>
              <w:t>9,54</w:t>
            </w:r>
          </w:p>
        </w:tc>
        <w:tc>
          <w:tcPr>
            <w:tcW w:w="2254" w:type="dxa"/>
            <w:tcBorders>
              <w:top w:val="single" w:sz="4" w:space="0" w:color="auto"/>
              <w:left w:val="single" w:sz="4" w:space="0" w:color="auto"/>
              <w:bottom w:val="single" w:sz="4" w:space="0" w:color="auto"/>
              <w:right w:val="single" w:sz="4" w:space="0" w:color="auto"/>
            </w:tcBorders>
            <w:hideMark/>
          </w:tcPr>
          <w:p w14:paraId="30FEA9E3" w14:textId="77777777" w:rsidR="00AE4EEA" w:rsidRDefault="00AE4EEA">
            <w:pPr>
              <w:jc w:val="center"/>
              <w:rPr>
                <w:rFonts w:ascii="Arial Narrow" w:hAnsi="Arial Narrow"/>
                <w:sz w:val="20"/>
                <w:szCs w:val="20"/>
              </w:rPr>
            </w:pPr>
            <w:r>
              <w:rPr>
                <w:rFonts w:ascii="Arial Narrow" w:hAnsi="Arial Narrow"/>
                <w:sz w:val="20"/>
                <w:szCs w:val="20"/>
              </w:rPr>
              <w:t>2.87</w:t>
            </w:r>
          </w:p>
        </w:tc>
      </w:tr>
      <w:tr w:rsidR="00AE4EEA" w14:paraId="65AF043C" w14:textId="77777777" w:rsidTr="00AE4EEA">
        <w:tc>
          <w:tcPr>
            <w:tcW w:w="6762" w:type="dxa"/>
            <w:gridSpan w:val="3"/>
            <w:tcBorders>
              <w:top w:val="single" w:sz="4" w:space="0" w:color="auto"/>
              <w:left w:val="single" w:sz="4" w:space="0" w:color="auto"/>
              <w:bottom w:val="single" w:sz="4" w:space="0" w:color="auto"/>
              <w:right w:val="single" w:sz="4" w:space="0" w:color="auto"/>
            </w:tcBorders>
            <w:hideMark/>
          </w:tcPr>
          <w:p w14:paraId="7EB17CB3" w14:textId="77777777" w:rsidR="00AE4EEA" w:rsidRDefault="00AE4EEA">
            <w:pPr>
              <w:rPr>
                <w:rFonts w:ascii="Arial Narrow" w:hAnsi="Arial Narrow"/>
                <w:sz w:val="20"/>
                <w:szCs w:val="20"/>
              </w:rPr>
            </w:pPr>
            <w:r>
              <w:rPr>
                <w:rFonts w:ascii="Arial Narrow" w:hAnsi="Arial Narrow"/>
                <w:sz w:val="20"/>
                <w:szCs w:val="20"/>
              </w:rPr>
              <w:t>ICER per QALY</w:t>
            </w:r>
          </w:p>
        </w:tc>
        <w:tc>
          <w:tcPr>
            <w:tcW w:w="2254" w:type="dxa"/>
            <w:tcBorders>
              <w:top w:val="single" w:sz="4" w:space="0" w:color="auto"/>
              <w:left w:val="single" w:sz="4" w:space="0" w:color="auto"/>
              <w:bottom w:val="single" w:sz="4" w:space="0" w:color="auto"/>
              <w:right w:val="single" w:sz="4" w:space="0" w:color="auto"/>
            </w:tcBorders>
            <w:hideMark/>
          </w:tcPr>
          <w:p w14:paraId="7A09D14A" w14:textId="71058572"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BF51B1" w:rsidRPr="00BF51B1">
              <w:rPr>
                <w:rFonts w:ascii="Arial Narrow" w:hAnsi="Arial Narrow"/>
                <w:sz w:val="20"/>
                <w:szCs w:val="20"/>
                <w:vertAlign w:val="superscript"/>
              </w:rPr>
              <w:t>1</w:t>
            </w:r>
          </w:p>
        </w:tc>
      </w:tr>
      <w:tr w:rsidR="00AE4EEA" w14:paraId="393CB3CD" w14:textId="77777777" w:rsidTr="00AE4EEA">
        <w:tc>
          <w:tcPr>
            <w:tcW w:w="9016" w:type="dxa"/>
            <w:gridSpan w:val="4"/>
            <w:tcBorders>
              <w:top w:val="single" w:sz="4" w:space="0" w:color="auto"/>
              <w:left w:val="single" w:sz="4" w:space="0" w:color="auto"/>
              <w:bottom w:val="single" w:sz="4" w:space="0" w:color="auto"/>
              <w:right w:val="single" w:sz="4" w:space="0" w:color="auto"/>
            </w:tcBorders>
            <w:hideMark/>
          </w:tcPr>
          <w:p w14:paraId="0642517C" w14:textId="77777777" w:rsidR="00AE4EEA" w:rsidRDefault="00AE4EEA">
            <w:pPr>
              <w:rPr>
                <w:rFonts w:ascii="Arial Narrow" w:hAnsi="Arial Narrow"/>
                <w:b/>
                <w:bCs/>
                <w:sz w:val="20"/>
                <w:szCs w:val="20"/>
              </w:rPr>
            </w:pPr>
            <w:r>
              <w:rPr>
                <w:rFonts w:ascii="Arial Narrow" w:hAnsi="Arial Narrow"/>
                <w:b/>
                <w:bCs/>
                <w:sz w:val="20"/>
                <w:szCs w:val="20"/>
              </w:rPr>
              <w:t>Adult model</w:t>
            </w:r>
          </w:p>
        </w:tc>
      </w:tr>
      <w:tr w:rsidR="00AE4EEA" w14:paraId="55C26736" w14:textId="77777777" w:rsidTr="00AE4EEA">
        <w:tc>
          <w:tcPr>
            <w:tcW w:w="2254" w:type="dxa"/>
            <w:tcBorders>
              <w:top w:val="single" w:sz="4" w:space="0" w:color="auto"/>
              <w:left w:val="single" w:sz="4" w:space="0" w:color="auto"/>
              <w:bottom w:val="single" w:sz="4" w:space="0" w:color="auto"/>
              <w:right w:val="single" w:sz="4" w:space="0" w:color="auto"/>
            </w:tcBorders>
            <w:hideMark/>
          </w:tcPr>
          <w:p w14:paraId="68CA8A53" w14:textId="77777777" w:rsidR="00AE4EEA" w:rsidRDefault="00AE4EEA">
            <w:pPr>
              <w:rPr>
                <w:rFonts w:ascii="Arial Narrow" w:hAnsi="Arial Narrow"/>
                <w:sz w:val="20"/>
                <w:szCs w:val="20"/>
              </w:rPr>
            </w:pPr>
            <w:r>
              <w:rPr>
                <w:rFonts w:ascii="Arial Narrow" w:hAnsi="Arial Narrow"/>
                <w:sz w:val="20"/>
                <w:szCs w:val="20"/>
              </w:rPr>
              <w:t>Total costs</w:t>
            </w:r>
          </w:p>
        </w:tc>
        <w:tc>
          <w:tcPr>
            <w:tcW w:w="2254" w:type="dxa"/>
            <w:tcBorders>
              <w:top w:val="single" w:sz="4" w:space="0" w:color="auto"/>
              <w:left w:val="single" w:sz="4" w:space="0" w:color="auto"/>
              <w:bottom w:val="single" w:sz="4" w:space="0" w:color="auto"/>
              <w:right w:val="single" w:sz="4" w:space="0" w:color="auto"/>
            </w:tcBorders>
            <w:hideMark/>
          </w:tcPr>
          <w:p w14:paraId="3D297D9A" w14:textId="059F2F42"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254" w:type="dxa"/>
            <w:tcBorders>
              <w:top w:val="single" w:sz="4" w:space="0" w:color="auto"/>
              <w:left w:val="single" w:sz="4" w:space="0" w:color="auto"/>
              <w:bottom w:val="single" w:sz="4" w:space="0" w:color="auto"/>
              <w:right w:val="single" w:sz="4" w:space="0" w:color="auto"/>
            </w:tcBorders>
            <w:hideMark/>
          </w:tcPr>
          <w:p w14:paraId="7BC4428D" w14:textId="3192DBB0"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254" w:type="dxa"/>
            <w:tcBorders>
              <w:top w:val="single" w:sz="4" w:space="0" w:color="auto"/>
              <w:left w:val="single" w:sz="4" w:space="0" w:color="auto"/>
              <w:bottom w:val="single" w:sz="4" w:space="0" w:color="auto"/>
              <w:right w:val="single" w:sz="4" w:space="0" w:color="auto"/>
            </w:tcBorders>
            <w:hideMark/>
          </w:tcPr>
          <w:p w14:paraId="333A119C" w14:textId="65031FE4"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AE4EEA" w14:paraId="02CAF1A9" w14:textId="77777777" w:rsidTr="00AE4EEA">
        <w:tc>
          <w:tcPr>
            <w:tcW w:w="2254" w:type="dxa"/>
            <w:tcBorders>
              <w:top w:val="single" w:sz="4" w:space="0" w:color="auto"/>
              <w:left w:val="single" w:sz="4" w:space="0" w:color="auto"/>
              <w:bottom w:val="single" w:sz="4" w:space="0" w:color="auto"/>
              <w:right w:val="single" w:sz="4" w:space="0" w:color="auto"/>
            </w:tcBorders>
            <w:hideMark/>
          </w:tcPr>
          <w:p w14:paraId="1DFE5EC8" w14:textId="77777777" w:rsidR="00AE4EEA" w:rsidRDefault="00AE4EEA">
            <w:pPr>
              <w:rPr>
                <w:rFonts w:ascii="Arial Narrow" w:hAnsi="Arial Narrow"/>
                <w:sz w:val="20"/>
                <w:szCs w:val="20"/>
              </w:rPr>
            </w:pPr>
            <w:r>
              <w:rPr>
                <w:rFonts w:ascii="Arial Narrow" w:hAnsi="Arial Narrow"/>
                <w:sz w:val="20"/>
                <w:szCs w:val="20"/>
              </w:rPr>
              <w:t>Total QALYs</w:t>
            </w:r>
          </w:p>
        </w:tc>
        <w:tc>
          <w:tcPr>
            <w:tcW w:w="2254" w:type="dxa"/>
            <w:tcBorders>
              <w:top w:val="single" w:sz="4" w:space="0" w:color="auto"/>
              <w:left w:val="single" w:sz="4" w:space="0" w:color="auto"/>
              <w:bottom w:val="single" w:sz="4" w:space="0" w:color="auto"/>
              <w:right w:val="single" w:sz="4" w:space="0" w:color="auto"/>
            </w:tcBorders>
            <w:hideMark/>
          </w:tcPr>
          <w:p w14:paraId="4286E22B" w14:textId="77777777" w:rsidR="00AE4EEA" w:rsidRDefault="00AE4EEA">
            <w:pPr>
              <w:jc w:val="center"/>
              <w:rPr>
                <w:rFonts w:ascii="Arial Narrow" w:hAnsi="Arial Narrow"/>
                <w:sz w:val="20"/>
                <w:szCs w:val="20"/>
              </w:rPr>
            </w:pPr>
            <w:r>
              <w:rPr>
                <w:rFonts w:ascii="Arial Narrow" w:hAnsi="Arial Narrow"/>
                <w:sz w:val="20"/>
                <w:szCs w:val="20"/>
              </w:rPr>
              <w:t>8.280</w:t>
            </w:r>
          </w:p>
        </w:tc>
        <w:tc>
          <w:tcPr>
            <w:tcW w:w="2254" w:type="dxa"/>
            <w:tcBorders>
              <w:top w:val="single" w:sz="4" w:space="0" w:color="auto"/>
              <w:left w:val="single" w:sz="4" w:space="0" w:color="auto"/>
              <w:bottom w:val="single" w:sz="4" w:space="0" w:color="auto"/>
              <w:right w:val="single" w:sz="4" w:space="0" w:color="auto"/>
            </w:tcBorders>
            <w:hideMark/>
          </w:tcPr>
          <w:p w14:paraId="4B9F5859" w14:textId="77777777" w:rsidR="00AE4EEA" w:rsidRDefault="00AE4EEA">
            <w:pPr>
              <w:jc w:val="center"/>
              <w:rPr>
                <w:rFonts w:ascii="Arial Narrow" w:hAnsi="Arial Narrow"/>
                <w:sz w:val="20"/>
                <w:szCs w:val="20"/>
              </w:rPr>
            </w:pPr>
            <w:r>
              <w:rPr>
                <w:rFonts w:ascii="Arial Narrow" w:hAnsi="Arial Narrow"/>
                <w:sz w:val="20"/>
                <w:szCs w:val="20"/>
              </w:rPr>
              <w:t>5.838</w:t>
            </w:r>
          </w:p>
        </w:tc>
        <w:tc>
          <w:tcPr>
            <w:tcW w:w="2254" w:type="dxa"/>
            <w:tcBorders>
              <w:top w:val="single" w:sz="4" w:space="0" w:color="auto"/>
              <w:left w:val="single" w:sz="4" w:space="0" w:color="auto"/>
              <w:bottom w:val="single" w:sz="4" w:space="0" w:color="auto"/>
              <w:right w:val="single" w:sz="4" w:space="0" w:color="auto"/>
            </w:tcBorders>
            <w:hideMark/>
          </w:tcPr>
          <w:p w14:paraId="3B0D282C" w14:textId="77777777" w:rsidR="00AE4EEA" w:rsidRDefault="00AE4EEA">
            <w:pPr>
              <w:jc w:val="center"/>
              <w:rPr>
                <w:rFonts w:ascii="Arial Narrow" w:hAnsi="Arial Narrow"/>
                <w:sz w:val="20"/>
                <w:szCs w:val="20"/>
              </w:rPr>
            </w:pPr>
            <w:r>
              <w:rPr>
                <w:rFonts w:ascii="Arial Narrow" w:hAnsi="Arial Narrow"/>
                <w:sz w:val="20"/>
                <w:szCs w:val="20"/>
              </w:rPr>
              <w:t>2.441</w:t>
            </w:r>
          </w:p>
        </w:tc>
      </w:tr>
      <w:tr w:rsidR="00AE4EEA" w14:paraId="5CBBE59F" w14:textId="77777777" w:rsidTr="00AE4EEA">
        <w:tc>
          <w:tcPr>
            <w:tcW w:w="6762" w:type="dxa"/>
            <w:gridSpan w:val="3"/>
            <w:tcBorders>
              <w:top w:val="single" w:sz="4" w:space="0" w:color="auto"/>
              <w:left w:val="single" w:sz="4" w:space="0" w:color="auto"/>
              <w:bottom w:val="single" w:sz="4" w:space="0" w:color="auto"/>
              <w:right w:val="single" w:sz="4" w:space="0" w:color="auto"/>
            </w:tcBorders>
            <w:hideMark/>
          </w:tcPr>
          <w:p w14:paraId="3EA5936C" w14:textId="77777777" w:rsidR="00AE4EEA" w:rsidRDefault="00AE4EEA">
            <w:pPr>
              <w:rPr>
                <w:rFonts w:ascii="Arial Narrow" w:hAnsi="Arial Narrow"/>
                <w:sz w:val="20"/>
                <w:szCs w:val="20"/>
              </w:rPr>
            </w:pPr>
            <w:r>
              <w:rPr>
                <w:rFonts w:ascii="Arial Narrow" w:hAnsi="Arial Narrow"/>
                <w:sz w:val="20"/>
                <w:szCs w:val="20"/>
              </w:rPr>
              <w:t>ICER per QALY</w:t>
            </w:r>
          </w:p>
        </w:tc>
        <w:tc>
          <w:tcPr>
            <w:tcW w:w="2254" w:type="dxa"/>
            <w:tcBorders>
              <w:top w:val="single" w:sz="4" w:space="0" w:color="auto"/>
              <w:left w:val="single" w:sz="4" w:space="0" w:color="auto"/>
              <w:bottom w:val="single" w:sz="4" w:space="0" w:color="auto"/>
              <w:right w:val="single" w:sz="4" w:space="0" w:color="auto"/>
            </w:tcBorders>
            <w:hideMark/>
          </w:tcPr>
          <w:p w14:paraId="71156476" w14:textId="403D3B8A" w:rsidR="00AE4EEA" w:rsidRDefault="00AE4EEA">
            <w:pPr>
              <w:jc w:val="center"/>
              <w:rPr>
                <w:rFonts w:ascii="Arial Narrow" w:hAnsi="Arial Narrow"/>
                <w:sz w:val="20"/>
                <w:szCs w:val="20"/>
              </w:rPr>
            </w:pPr>
            <w:r>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E93318">
              <w:rPr>
                <w:rFonts w:ascii="Arial Narrow" w:hAnsi="Arial Narrow"/>
                <w:sz w:val="20"/>
                <w:szCs w:val="20"/>
                <w:vertAlign w:val="superscript"/>
              </w:rPr>
              <w:t>1</w:t>
            </w:r>
          </w:p>
        </w:tc>
      </w:tr>
    </w:tbl>
    <w:p w14:paraId="2F64EE30" w14:textId="77777777" w:rsidR="00AE4EEA" w:rsidRDefault="00AE4EEA" w:rsidP="00E93318">
      <w:pPr>
        <w:pStyle w:val="TableFigureFooter"/>
      </w:pPr>
      <w:r>
        <w:t>Source: Tables 6 and 7, p5 of the early resolution resubmission</w:t>
      </w:r>
    </w:p>
    <w:p w14:paraId="4E1270B8" w14:textId="12DB6D73" w:rsidR="00AE4EEA" w:rsidRDefault="00AE4EEA" w:rsidP="00E93318">
      <w:pPr>
        <w:pStyle w:val="TableFigureFooter"/>
      </w:pPr>
      <w:r>
        <w:t>ICER = incremental cost effectiveness ratio; QALY = quality adjusted life year; SOC = standard of care</w:t>
      </w:r>
    </w:p>
    <w:p w14:paraId="07027E4B" w14:textId="0EEEEA32" w:rsidR="00FC464B" w:rsidRDefault="00FC464B" w:rsidP="00E93318">
      <w:pPr>
        <w:pStyle w:val="TableFigureFooter"/>
      </w:pPr>
      <w:r w:rsidRPr="00FC464B">
        <w:t>The redacted values correspond to the following ranges:</w:t>
      </w:r>
    </w:p>
    <w:p w14:paraId="347B0F0C" w14:textId="14065843" w:rsidR="00AE4EEA" w:rsidRDefault="00BF51B1" w:rsidP="00E93318">
      <w:pPr>
        <w:pStyle w:val="TableFigureFooter"/>
      </w:pPr>
      <w:r>
        <w:rPr>
          <w:vertAlign w:val="superscript"/>
        </w:rPr>
        <w:t>1</w:t>
      </w:r>
      <w:r w:rsidRPr="00044C36">
        <w:t>$</w:t>
      </w:r>
      <w:r w:rsidRPr="00BF51B1">
        <w:t>255,000 to &lt; $355,000</w:t>
      </w:r>
    </w:p>
    <w:p w14:paraId="6FFD0EC8" w14:textId="7C427062" w:rsidR="00AE4EEA" w:rsidRDefault="00AE4EEA" w:rsidP="0073079A">
      <w:pPr>
        <w:pStyle w:val="3-BodyText"/>
        <w:rPr>
          <w:lang w:val="en-GB"/>
        </w:rPr>
      </w:pPr>
      <w:r>
        <w:t>The results of incorporating the revised effective prices of burosumab into the financial impact model are presented below. The total cost over the first six years of listing was estimated to be $</w:t>
      </w:r>
      <w:r w:rsidR="00BF51B1" w:rsidRPr="00BF51B1">
        <w:t>80 million to &lt; $90 million</w:t>
      </w:r>
      <w:r>
        <w:t>, compared to $</w:t>
      </w:r>
      <w:r w:rsidR="00BF51B1" w:rsidRPr="00BF51B1">
        <w:t>100 million to &lt; $200 million</w:t>
      </w:r>
      <w:r>
        <w:t xml:space="preserve"> in the March 2022 resubmission.</w:t>
      </w:r>
    </w:p>
    <w:p w14:paraId="5A2CFD2D" w14:textId="77777777" w:rsidR="00AE4EEA" w:rsidRDefault="00AE4EEA" w:rsidP="00AE4EEA">
      <w:pPr>
        <w:rPr>
          <w:rFonts w:ascii="Arial Narrow" w:hAnsi="Arial Narrow"/>
          <w:b/>
          <w:bCs/>
          <w:sz w:val="20"/>
          <w:szCs w:val="20"/>
        </w:rPr>
      </w:pPr>
      <w:r>
        <w:rPr>
          <w:rFonts w:ascii="Arial Narrow" w:hAnsi="Arial Narrow"/>
          <w:b/>
          <w:bCs/>
          <w:sz w:val="20"/>
          <w:szCs w:val="20"/>
        </w:rPr>
        <w:t xml:space="preserve">Table 25: Early resolution resubmission estimated financial impact </w:t>
      </w:r>
    </w:p>
    <w:tbl>
      <w:tblPr>
        <w:tblStyle w:val="TableGrid"/>
        <w:tblW w:w="5000" w:type="pct"/>
        <w:tblCellMar>
          <w:left w:w="28" w:type="dxa"/>
          <w:right w:w="28" w:type="dxa"/>
        </w:tblCellMar>
        <w:tblLook w:val="04A0" w:firstRow="1" w:lastRow="0" w:firstColumn="1" w:lastColumn="0" w:noHBand="0" w:noVBand="1"/>
      </w:tblPr>
      <w:tblGrid>
        <w:gridCol w:w="2982"/>
        <w:gridCol w:w="1005"/>
        <w:gridCol w:w="1006"/>
        <w:gridCol w:w="1004"/>
        <w:gridCol w:w="1015"/>
        <w:gridCol w:w="1004"/>
        <w:gridCol w:w="1001"/>
      </w:tblGrid>
      <w:tr w:rsidR="001549C5" w14:paraId="4CD2917E" w14:textId="77777777" w:rsidTr="00AE4EEA">
        <w:tc>
          <w:tcPr>
            <w:tcW w:w="1653" w:type="pct"/>
            <w:tcBorders>
              <w:top w:val="single" w:sz="4" w:space="0" w:color="auto"/>
              <w:left w:val="single" w:sz="4" w:space="0" w:color="auto"/>
              <w:bottom w:val="single" w:sz="4" w:space="0" w:color="auto"/>
              <w:right w:val="single" w:sz="4" w:space="0" w:color="auto"/>
            </w:tcBorders>
          </w:tcPr>
          <w:p w14:paraId="0AF97E31" w14:textId="77777777" w:rsidR="00AE4EEA" w:rsidRDefault="00AE4EEA">
            <w:pPr>
              <w:keepNext/>
              <w:keepLines/>
              <w:rPr>
                <w:rFonts w:ascii="Arial Narrow" w:hAnsi="Arial Narrow"/>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206AE549" w14:textId="77777777" w:rsidR="00AE4EEA" w:rsidRDefault="00AE4EEA">
            <w:pPr>
              <w:keepNext/>
              <w:keepLines/>
              <w:jc w:val="center"/>
              <w:rPr>
                <w:rFonts w:ascii="Arial Narrow" w:hAnsi="Arial Narrow"/>
                <w:b/>
                <w:sz w:val="20"/>
                <w:szCs w:val="20"/>
              </w:rPr>
            </w:pPr>
            <w:r>
              <w:rPr>
                <w:rFonts w:ascii="Arial Narrow" w:hAnsi="Arial Narrow"/>
                <w:b/>
                <w:sz w:val="20"/>
                <w:szCs w:val="20"/>
              </w:rPr>
              <w:t>Year 1</w:t>
            </w:r>
          </w:p>
        </w:tc>
        <w:tc>
          <w:tcPr>
            <w:tcW w:w="558" w:type="pct"/>
            <w:tcBorders>
              <w:top w:val="single" w:sz="4" w:space="0" w:color="auto"/>
              <w:left w:val="single" w:sz="4" w:space="0" w:color="auto"/>
              <w:bottom w:val="single" w:sz="4" w:space="0" w:color="auto"/>
              <w:right w:val="single" w:sz="4" w:space="0" w:color="auto"/>
            </w:tcBorders>
            <w:vAlign w:val="center"/>
            <w:hideMark/>
          </w:tcPr>
          <w:p w14:paraId="3FEADFEF" w14:textId="77777777" w:rsidR="00AE4EEA" w:rsidRDefault="00AE4EEA">
            <w:pPr>
              <w:keepNext/>
              <w:keepLines/>
              <w:jc w:val="center"/>
              <w:rPr>
                <w:rFonts w:ascii="Arial Narrow" w:hAnsi="Arial Narrow"/>
                <w:b/>
                <w:sz w:val="20"/>
                <w:szCs w:val="20"/>
              </w:rPr>
            </w:pPr>
            <w:r>
              <w:rPr>
                <w:rFonts w:ascii="Arial Narrow" w:hAnsi="Arial Narrow"/>
                <w:b/>
                <w:sz w:val="20"/>
                <w:szCs w:val="20"/>
              </w:rPr>
              <w:t>Year 2</w:t>
            </w:r>
          </w:p>
        </w:tc>
        <w:tc>
          <w:tcPr>
            <w:tcW w:w="557" w:type="pct"/>
            <w:tcBorders>
              <w:top w:val="single" w:sz="4" w:space="0" w:color="auto"/>
              <w:left w:val="single" w:sz="4" w:space="0" w:color="auto"/>
              <w:bottom w:val="single" w:sz="4" w:space="0" w:color="auto"/>
              <w:right w:val="single" w:sz="4" w:space="0" w:color="auto"/>
            </w:tcBorders>
            <w:vAlign w:val="center"/>
            <w:hideMark/>
          </w:tcPr>
          <w:p w14:paraId="309DB96E" w14:textId="77777777" w:rsidR="00AE4EEA" w:rsidRDefault="00AE4EEA">
            <w:pPr>
              <w:keepNext/>
              <w:keepLines/>
              <w:jc w:val="center"/>
              <w:rPr>
                <w:rFonts w:ascii="Arial Narrow" w:hAnsi="Arial Narrow"/>
                <w:b/>
                <w:sz w:val="20"/>
                <w:szCs w:val="20"/>
              </w:rPr>
            </w:pPr>
            <w:r>
              <w:rPr>
                <w:rFonts w:ascii="Arial Narrow" w:hAnsi="Arial Narrow"/>
                <w:b/>
                <w:sz w:val="20"/>
                <w:szCs w:val="20"/>
              </w:rPr>
              <w:t>Year 3</w:t>
            </w:r>
          </w:p>
        </w:tc>
        <w:tc>
          <w:tcPr>
            <w:tcW w:w="563" w:type="pct"/>
            <w:tcBorders>
              <w:top w:val="single" w:sz="4" w:space="0" w:color="auto"/>
              <w:left w:val="single" w:sz="4" w:space="0" w:color="auto"/>
              <w:bottom w:val="single" w:sz="4" w:space="0" w:color="auto"/>
              <w:right w:val="single" w:sz="4" w:space="0" w:color="auto"/>
            </w:tcBorders>
            <w:vAlign w:val="center"/>
            <w:hideMark/>
          </w:tcPr>
          <w:p w14:paraId="2DDF7020" w14:textId="77777777" w:rsidR="00AE4EEA" w:rsidRDefault="00AE4EEA">
            <w:pPr>
              <w:keepNext/>
              <w:keepLines/>
              <w:jc w:val="center"/>
              <w:rPr>
                <w:rFonts w:ascii="Arial Narrow" w:hAnsi="Arial Narrow"/>
                <w:b/>
                <w:sz w:val="20"/>
                <w:szCs w:val="20"/>
              </w:rPr>
            </w:pPr>
            <w:r>
              <w:rPr>
                <w:rFonts w:ascii="Arial Narrow" w:hAnsi="Arial Narrow"/>
                <w:b/>
                <w:sz w:val="20"/>
                <w:szCs w:val="20"/>
              </w:rPr>
              <w:t>Year 4</w:t>
            </w:r>
          </w:p>
        </w:tc>
        <w:tc>
          <w:tcPr>
            <w:tcW w:w="557" w:type="pct"/>
            <w:tcBorders>
              <w:top w:val="single" w:sz="4" w:space="0" w:color="auto"/>
              <w:left w:val="single" w:sz="4" w:space="0" w:color="auto"/>
              <w:bottom w:val="single" w:sz="4" w:space="0" w:color="auto"/>
              <w:right w:val="single" w:sz="4" w:space="0" w:color="auto"/>
            </w:tcBorders>
            <w:vAlign w:val="center"/>
            <w:hideMark/>
          </w:tcPr>
          <w:p w14:paraId="6FDD5A2F" w14:textId="77777777" w:rsidR="00AE4EEA" w:rsidRDefault="00AE4EEA">
            <w:pPr>
              <w:keepNext/>
              <w:keepLines/>
              <w:jc w:val="center"/>
              <w:rPr>
                <w:rFonts w:ascii="Arial Narrow" w:hAnsi="Arial Narrow"/>
                <w:b/>
                <w:sz w:val="20"/>
                <w:szCs w:val="20"/>
              </w:rPr>
            </w:pPr>
            <w:r>
              <w:rPr>
                <w:rFonts w:ascii="Arial Narrow" w:hAnsi="Arial Narrow"/>
                <w:b/>
                <w:sz w:val="20"/>
                <w:szCs w:val="20"/>
              </w:rPr>
              <w:t>Year 5</w:t>
            </w:r>
          </w:p>
        </w:tc>
        <w:tc>
          <w:tcPr>
            <w:tcW w:w="556" w:type="pct"/>
            <w:tcBorders>
              <w:top w:val="single" w:sz="4" w:space="0" w:color="auto"/>
              <w:left w:val="single" w:sz="4" w:space="0" w:color="auto"/>
              <w:bottom w:val="single" w:sz="4" w:space="0" w:color="auto"/>
              <w:right w:val="single" w:sz="4" w:space="0" w:color="auto"/>
            </w:tcBorders>
            <w:vAlign w:val="center"/>
            <w:hideMark/>
          </w:tcPr>
          <w:p w14:paraId="19D99FC2" w14:textId="77777777" w:rsidR="00AE4EEA" w:rsidRDefault="00AE4EEA">
            <w:pPr>
              <w:keepNext/>
              <w:keepLines/>
              <w:jc w:val="center"/>
              <w:rPr>
                <w:rFonts w:ascii="Arial Narrow" w:hAnsi="Arial Narrow"/>
                <w:b/>
                <w:sz w:val="20"/>
                <w:szCs w:val="20"/>
              </w:rPr>
            </w:pPr>
            <w:r>
              <w:rPr>
                <w:rFonts w:ascii="Arial Narrow" w:hAnsi="Arial Narrow"/>
                <w:b/>
                <w:sz w:val="20"/>
                <w:szCs w:val="20"/>
              </w:rPr>
              <w:t>Year 6</w:t>
            </w:r>
          </w:p>
        </w:tc>
      </w:tr>
      <w:tr w:rsidR="001549C5" w14:paraId="64331AD4" w14:textId="77777777" w:rsidTr="00AE4EEA">
        <w:tc>
          <w:tcPr>
            <w:tcW w:w="1653" w:type="pct"/>
            <w:tcBorders>
              <w:top w:val="single" w:sz="4" w:space="0" w:color="auto"/>
              <w:left w:val="single" w:sz="4" w:space="0" w:color="auto"/>
              <w:bottom w:val="single" w:sz="4" w:space="0" w:color="auto"/>
              <w:right w:val="single" w:sz="4" w:space="0" w:color="auto"/>
            </w:tcBorders>
            <w:hideMark/>
          </w:tcPr>
          <w:p w14:paraId="45247B92" w14:textId="77777777" w:rsidR="00AE4EEA" w:rsidRDefault="00AE4EEA">
            <w:pPr>
              <w:keepNext/>
              <w:keepLines/>
              <w:rPr>
                <w:rFonts w:ascii="Arial Narrow" w:hAnsi="Arial Narrow"/>
                <w:sz w:val="20"/>
                <w:szCs w:val="20"/>
              </w:rPr>
            </w:pPr>
            <w:r>
              <w:rPr>
                <w:rFonts w:ascii="Arial Narrow" w:hAnsi="Arial Narrow"/>
                <w:sz w:val="20"/>
                <w:szCs w:val="20"/>
              </w:rPr>
              <w:t>Treated patients</w:t>
            </w:r>
          </w:p>
        </w:tc>
        <w:tc>
          <w:tcPr>
            <w:tcW w:w="557" w:type="pct"/>
            <w:tcBorders>
              <w:top w:val="single" w:sz="4" w:space="0" w:color="auto"/>
              <w:left w:val="single" w:sz="4" w:space="0" w:color="auto"/>
              <w:bottom w:val="single" w:sz="4" w:space="0" w:color="auto"/>
              <w:right w:val="single" w:sz="4" w:space="0" w:color="auto"/>
            </w:tcBorders>
            <w:hideMark/>
          </w:tcPr>
          <w:p w14:paraId="23A55FFD" w14:textId="7DAB1B99"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c>
          <w:tcPr>
            <w:tcW w:w="558" w:type="pct"/>
            <w:tcBorders>
              <w:top w:val="single" w:sz="4" w:space="0" w:color="auto"/>
              <w:left w:val="single" w:sz="4" w:space="0" w:color="auto"/>
              <w:bottom w:val="single" w:sz="4" w:space="0" w:color="auto"/>
              <w:right w:val="single" w:sz="4" w:space="0" w:color="auto"/>
            </w:tcBorders>
            <w:hideMark/>
          </w:tcPr>
          <w:p w14:paraId="1A603F7C" w14:textId="074647FF"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c>
          <w:tcPr>
            <w:tcW w:w="557" w:type="pct"/>
            <w:tcBorders>
              <w:top w:val="single" w:sz="4" w:space="0" w:color="auto"/>
              <w:left w:val="single" w:sz="4" w:space="0" w:color="auto"/>
              <w:bottom w:val="single" w:sz="4" w:space="0" w:color="auto"/>
              <w:right w:val="single" w:sz="4" w:space="0" w:color="auto"/>
            </w:tcBorders>
            <w:hideMark/>
          </w:tcPr>
          <w:p w14:paraId="797031F7" w14:textId="25873B9F"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c>
          <w:tcPr>
            <w:tcW w:w="563" w:type="pct"/>
            <w:tcBorders>
              <w:top w:val="single" w:sz="4" w:space="0" w:color="auto"/>
              <w:left w:val="single" w:sz="4" w:space="0" w:color="auto"/>
              <w:bottom w:val="single" w:sz="4" w:space="0" w:color="auto"/>
              <w:right w:val="single" w:sz="4" w:space="0" w:color="auto"/>
            </w:tcBorders>
            <w:hideMark/>
          </w:tcPr>
          <w:p w14:paraId="6039BA3A" w14:textId="5DDC3A35"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c>
          <w:tcPr>
            <w:tcW w:w="557" w:type="pct"/>
            <w:tcBorders>
              <w:top w:val="single" w:sz="4" w:space="0" w:color="auto"/>
              <w:left w:val="single" w:sz="4" w:space="0" w:color="auto"/>
              <w:bottom w:val="single" w:sz="4" w:space="0" w:color="auto"/>
              <w:right w:val="single" w:sz="4" w:space="0" w:color="auto"/>
            </w:tcBorders>
            <w:hideMark/>
          </w:tcPr>
          <w:p w14:paraId="21AA39AF" w14:textId="77C634EC"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c>
          <w:tcPr>
            <w:tcW w:w="556" w:type="pct"/>
            <w:tcBorders>
              <w:top w:val="single" w:sz="4" w:space="0" w:color="auto"/>
              <w:left w:val="single" w:sz="4" w:space="0" w:color="auto"/>
              <w:bottom w:val="single" w:sz="4" w:space="0" w:color="auto"/>
              <w:right w:val="single" w:sz="4" w:space="0" w:color="auto"/>
            </w:tcBorders>
            <w:hideMark/>
          </w:tcPr>
          <w:p w14:paraId="1A73B6A8" w14:textId="71865AA4" w:rsidR="00AE4EEA" w:rsidRPr="001549C5" w:rsidRDefault="006523EC">
            <w:pPr>
              <w:keepNext/>
              <w:keepLines/>
              <w:jc w:val="center"/>
              <w:rPr>
                <w:rFonts w:ascii="Arial Narrow" w:hAnsi="Arial Narrow"/>
                <w:b/>
                <w:sz w:val="20"/>
                <w:szCs w:val="20"/>
                <w:highlight w:val="yellow"/>
              </w:rPr>
            </w:pPr>
            <w:r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r w:rsidR="001549C5" w:rsidRPr="001549C5">
              <w:rPr>
                <w:rFonts w:ascii="Arial Narrow" w:hAnsi="Arial Narrow"/>
                <w:sz w:val="20"/>
                <w:szCs w:val="20"/>
                <w:vertAlign w:val="superscript"/>
              </w:rPr>
              <w:t>1</w:t>
            </w:r>
          </w:p>
        </w:tc>
      </w:tr>
      <w:tr w:rsidR="001549C5" w14:paraId="2B3AB3B5" w14:textId="77777777" w:rsidTr="00AE4EEA">
        <w:tc>
          <w:tcPr>
            <w:tcW w:w="1653" w:type="pct"/>
            <w:tcBorders>
              <w:top w:val="single" w:sz="4" w:space="0" w:color="auto"/>
              <w:left w:val="single" w:sz="4" w:space="0" w:color="auto"/>
              <w:bottom w:val="single" w:sz="4" w:space="0" w:color="auto"/>
              <w:right w:val="single" w:sz="4" w:space="0" w:color="auto"/>
            </w:tcBorders>
            <w:hideMark/>
          </w:tcPr>
          <w:p w14:paraId="17992204" w14:textId="77777777" w:rsidR="00AE4EEA" w:rsidRDefault="00AE4EEA">
            <w:pPr>
              <w:keepNext/>
              <w:keepLines/>
              <w:rPr>
                <w:rFonts w:ascii="Arial Narrow" w:hAnsi="Arial Narrow"/>
                <w:b/>
                <w:bCs/>
                <w:sz w:val="20"/>
                <w:szCs w:val="20"/>
              </w:rPr>
            </w:pPr>
            <w:r>
              <w:rPr>
                <w:rFonts w:ascii="Arial Narrow" w:hAnsi="Arial Narrow"/>
                <w:b/>
                <w:bCs/>
                <w:sz w:val="20"/>
                <w:szCs w:val="20"/>
              </w:rPr>
              <w:t>Cost to PBS/RPBS</w:t>
            </w:r>
          </w:p>
        </w:tc>
        <w:tc>
          <w:tcPr>
            <w:tcW w:w="557" w:type="pct"/>
            <w:tcBorders>
              <w:top w:val="single" w:sz="4" w:space="0" w:color="auto"/>
              <w:left w:val="single" w:sz="4" w:space="0" w:color="auto"/>
              <w:bottom w:val="single" w:sz="4" w:space="0" w:color="auto"/>
              <w:right w:val="single" w:sz="4" w:space="0" w:color="auto"/>
            </w:tcBorders>
            <w:hideMark/>
          </w:tcPr>
          <w:p w14:paraId="68BAB59D" w14:textId="7CD88DE2"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hideMark/>
          </w:tcPr>
          <w:p w14:paraId="5DD630C9" w14:textId="58B49108"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7" w:type="pct"/>
            <w:tcBorders>
              <w:top w:val="single" w:sz="4" w:space="0" w:color="auto"/>
              <w:left w:val="single" w:sz="4" w:space="0" w:color="auto"/>
              <w:bottom w:val="single" w:sz="4" w:space="0" w:color="auto"/>
              <w:right w:val="single" w:sz="4" w:space="0" w:color="auto"/>
            </w:tcBorders>
            <w:hideMark/>
          </w:tcPr>
          <w:p w14:paraId="7D1A664F" w14:textId="7AB10E54"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63" w:type="pct"/>
            <w:tcBorders>
              <w:top w:val="single" w:sz="4" w:space="0" w:color="auto"/>
              <w:left w:val="single" w:sz="4" w:space="0" w:color="auto"/>
              <w:bottom w:val="single" w:sz="4" w:space="0" w:color="auto"/>
              <w:right w:val="single" w:sz="4" w:space="0" w:color="auto"/>
            </w:tcBorders>
            <w:hideMark/>
          </w:tcPr>
          <w:p w14:paraId="78D3D5FD" w14:textId="10125F91"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7" w:type="pct"/>
            <w:tcBorders>
              <w:top w:val="single" w:sz="4" w:space="0" w:color="auto"/>
              <w:left w:val="single" w:sz="4" w:space="0" w:color="auto"/>
              <w:bottom w:val="single" w:sz="4" w:space="0" w:color="auto"/>
              <w:right w:val="single" w:sz="4" w:space="0" w:color="auto"/>
            </w:tcBorders>
            <w:hideMark/>
          </w:tcPr>
          <w:p w14:paraId="71C53D53" w14:textId="682DE2A7"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6" w:type="pct"/>
            <w:tcBorders>
              <w:top w:val="single" w:sz="4" w:space="0" w:color="auto"/>
              <w:left w:val="single" w:sz="4" w:space="0" w:color="auto"/>
              <w:bottom w:val="single" w:sz="4" w:space="0" w:color="auto"/>
              <w:right w:val="single" w:sz="4" w:space="0" w:color="auto"/>
            </w:tcBorders>
            <w:hideMark/>
          </w:tcPr>
          <w:p w14:paraId="36CE8114" w14:textId="51CF4DE1" w:rsidR="00AE4EEA" w:rsidRPr="00E93318" w:rsidRDefault="00E93318">
            <w:pPr>
              <w:keepNext/>
              <w:keepLines/>
              <w:jc w:val="center"/>
              <w:rPr>
                <w:rFonts w:ascii="Arial Narrow" w:hAnsi="Arial Narrow"/>
                <w:b/>
                <w:bCs/>
                <w:sz w:val="20"/>
                <w:szCs w:val="20"/>
                <w:highlight w:val="yellow"/>
              </w:rPr>
            </w:pPr>
            <w:r w:rsidRPr="00E93318">
              <w:rPr>
                <w:rStyle w:val="SmallItalics"/>
                <w:rFonts w:ascii="Arial Narrow" w:hAnsi="Arial Narrow"/>
                <w:b/>
                <w:bCs/>
                <w:szCs w:val="20"/>
              </w:rPr>
              <w:t>$</w:t>
            </w:r>
            <w:r w:rsidR="006523EC" w:rsidRPr="006523EC">
              <w:rPr>
                <w:rStyle w:val="SmallItalics"/>
                <w:rFonts w:ascii="Arial Narrow" w:hAnsi="Arial Narrow"/>
                <w:b/>
                <w:bCs/>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r>
      <w:tr w:rsidR="001549C5" w14:paraId="33B0AA14" w14:textId="77777777" w:rsidTr="00AE4EEA">
        <w:tc>
          <w:tcPr>
            <w:tcW w:w="1653" w:type="pct"/>
            <w:tcBorders>
              <w:top w:val="single" w:sz="4" w:space="0" w:color="auto"/>
              <w:left w:val="single" w:sz="4" w:space="0" w:color="auto"/>
              <w:bottom w:val="single" w:sz="4" w:space="0" w:color="auto"/>
              <w:right w:val="single" w:sz="4" w:space="0" w:color="auto"/>
            </w:tcBorders>
            <w:hideMark/>
          </w:tcPr>
          <w:p w14:paraId="060CFF9F" w14:textId="77777777" w:rsidR="00AE4EEA" w:rsidRDefault="00AE4EEA">
            <w:pPr>
              <w:keepNext/>
              <w:keepLines/>
              <w:rPr>
                <w:rFonts w:ascii="Arial Narrow" w:hAnsi="Arial Narrow"/>
                <w:sz w:val="20"/>
                <w:szCs w:val="20"/>
              </w:rPr>
            </w:pPr>
            <w:r>
              <w:rPr>
                <w:rFonts w:ascii="Arial Narrow" w:hAnsi="Arial Narrow"/>
                <w:sz w:val="20"/>
                <w:szCs w:val="20"/>
              </w:rPr>
              <w:t>Cost to MBS</w:t>
            </w:r>
          </w:p>
        </w:tc>
        <w:tc>
          <w:tcPr>
            <w:tcW w:w="557" w:type="pct"/>
            <w:tcBorders>
              <w:top w:val="single" w:sz="4" w:space="0" w:color="auto"/>
              <w:left w:val="single" w:sz="4" w:space="0" w:color="auto"/>
              <w:bottom w:val="single" w:sz="4" w:space="0" w:color="auto"/>
              <w:right w:val="single" w:sz="4" w:space="0" w:color="auto"/>
            </w:tcBorders>
            <w:hideMark/>
          </w:tcPr>
          <w:p w14:paraId="3BB73A93" w14:textId="5C2EE561" w:rsidR="00AE4EEA" w:rsidRPr="00E93318" w:rsidRDefault="00E93318">
            <w:pPr>
              <w:keepNext/>
              <w:keepLines/>
              <w:jc w:val="center"/>
              <w:rPr>
                <w:rStyle w:val="SmallItalics"/>
                <w:rFonts w:ascii="Arial Narrow" w:hAnsi="Arial Narrow"/>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8" w:type="pct"/>
            <w:tcBorders>
              <w:top w:val="single" w:sz="4" w:space="0" w:color="auto"/>
              <w:left w:val="single" w:sz="4" w:space="0" w:color="auto"/>
              <w:bottom w:val="single" w:sz="4" w:space="0" w:color="auto"/>
              <w:right w:val="single" w:sz="4" w:space="0" w:color="auto"/>
            </w:tcBorders>
            <w:hideMark/>
          </w:tcPr>
          <w:p w14:paraId="7F4EDBA3" w14:textId="77F8A391" w:rsidR="00AE4EEA" w:rsidRPr="00E93318" w:rsidRDefault="00E93318">
            <w:pPr>
              <w:keepNext/>
              <w:keepLines/>
              <w:jc w:val="center"/>
              <w:rPr>
                <w:rStyle w:val="SmallItalics"/>
                <w:rFonts w:ascii="Arial Narrow" w:hAnsi="Arial Narrow"/>
                <w:szCs w:val="20"/>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7" w:type="pct"/>
            <w:tcBorders>
              <w:top w:val="single" w:sz="4" w:space="0" w:color="auto"/>
              <w:left w:val="single" w:sz="4" w:space="0" w:color="auto"/>
              <w:bottom w:val="single" w:sz="4" w:space="0" w:color="auto"/>
              <w:right w:val="single" w:sz="4" w:space="0" w:color="auto"/>
            </w:tcBorders>
            <w:hideMark/>
          </w:tcPr>
          <w:p w14:paraId="0F4CEBF0" w14:textId="44509ED5" w:rsidR="00AE4EEA" w:rsidRPr="00E93318" w:rsidRDefault="00E93318">
            <w:pPr>
              <w:keepNext/>
              <w:keepLines/>
              <w:jc w:val="center"/>
              <w:rPr>
                <w:rStyle w:val="SmallItalics"/>
                <w:rFonts w:ascii="Arial Narrow" w:hAnsi="Arial Narrow"/>
                <w:szCs w:val="20"/>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63" w:type="pct"/>
            <w:tcBorders>
              <w:top w:val="single" w:sz="4" w:space="0" w:color="auto"/>
              <w:left w:val="single" w:sz="4" w:space="0" w:color="auto"/>
              <w:bottom w:val="single" w:sz="4" w:space="0" w:color="auto"/>
              <w:right w:val="single" w:sz="4" w:space="0" w:color="auto"/>
            </w:tcBorders>
            <w:hideMark/>
          </w:tcPr>
          <w:p w14:paraId="15040313" w14:textId="3F05CF7B" w:rsidR="00AE4EEA" w:rsidRPr="00E93318" w:rsidRDefault="00E93318">
            <w:pPr>
              <w:keepNext/>
              <w:keepLines/>
              <w:jc w:val="center"/>
              <w:rPr>
                <w:rStyle w:val="SmallItalics"/>
                <w:rFonts w:ascii="Arial Narrow" w:hAnsi="Arial Narrow"/>
                <w:szCs w:val="20"/>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7" w:type="pct"/>
            <w:tcBorders>
              <w:top w:val="single" w:sz="4" w:space="0" w:color="auto"/>
              <w:left w:val="single" w:sz="4" w:space="0" w:color="auto"/>
              <w:bottom w:val="single" w:sz="4" w:space="0" w:color="auto"/>
              <w:right w:val="single" w:sz="4" w:space="0" w:color="auto"/>
            </w:tcBorders>
            <w:hideMark/>
          </w:tcPr>
          <w:p w14:paraId="55F69BCF" w14:textId="12ED189E" w:rsidR="00AE4EEA" w:rsidRPr="00E93318" w:rsidRDefault="00E93318">
            <w:pPr>
              <w:keepNext/>
              <w:keepLines/>
              <w:jc w:val="center"/>
              <w:rPr>
                <w:rStyle w:val="SmallItalics"/>
                <w:rFonts w:ascii="Arial Narrow" w:hAnsi="Arial Narrow"/>
                <w:szCs w:val="20"/>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6" w:type="pct"/>
            <w:tcBorders>
              <w:top w:val="single" w:sz="4" w:space="0" w:color="auto"/>
              <w:left w:val="single" w:sz="4" w:space="0" w:color="auto"/>
              <w:bottom w:val="single" w:sz="4" w:space="0" w:color="auto"/>
              <w:right w:val="single" w:sz="4" w:space="0" w:color="auto"/>
            </w:tcBorders>
            <w:hideMark/>
          </w:tcPr>
          <w:p w14:paraId="70C43EF8" w14:textId="45B09C69" w:rsidR="00AE4EEA" w:rsidRPr="00E93318" w:rsidRDefault="00E93318">
            <w:pPr>
              <w:keepNext/>
              <w:keepLines/>
              <w:jc w:val="center"/>
              <w:rPr>
                <w:rStyle w:val="SmallItalics"/>
                <w:rFonts w:ascii="Arial Narrow" w:hAnsi="Arial Narrow"/>
                <w:szCs w:val="20"/>
                <w:highlight w:val="yellow"/>
              </w:rPr>
            </w:pPr>
            <w:r w:rsidRPr="00E93318">
              <w:rPr>
                <w:rFonts w:ascii="Arial Narrow" w:hAnsi="Arial Narrow"/>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1549C5" w14:paraId="1D374301" w14:textId="77777777" w:rsidTr="00AE4EEA">
        <w:tc>
          <w:tcPr>
            <w:tcW w:w="1653" w:type="pct"/>
            <w:tcBorders>
              <w:top w:val="single" w:sz="4" w:space="0" w:color="auto"/>
              <w:left w:val="single" w:sz="4" w:space="0" w:color="auto"/>
              <w:bottom w:val="single" w:sz="4" w:space="0" w:color="auto"/>
              <w:right w:val="single" w:sz="4" w:space="0" w:color="auto"/>
            </w:tcBorders>
            <w:hideMark/>
          </w:tcPr>
          <w:p w14:paraId="1B799005" w14:textId="77777777" w:rsidR="00AE4EEA" w:rsidRDefault="00AE4EEA">
            <w:pPr>
              <w:keepNext/>
              <w:keepLines/>
            </w:pPr>
            <w:r>
              <w:rPr>
                <w:rFonts w:ascii="Arial Narrow" w:hAnsi="Arial Narrow"/>
                <w:sz w:val="20"/>
                <w:szCs w:val="20"/>
              </w:rPr>
              <w:t>Net cost to Government</w:t>
            </w:r>
          </w:p>
        </w:tc>
        <w:tc>
          <w:tcPr>
            <w:tcW w:w="557" w:type="pct"/>
            <w:tcBorders>
              <w:top w:val="single" w:sz="4" w:space="0" w:color="auto"/>
              <w:left w:val="single" w:sz="4" w:space="0" w:color="auto"/>
              <w:bottom w:val="single" w:sz="4" w:space="0" w:color="auto"/>
              <w:right w:val="single" w:sz="4" w:space="0" w:color="auto"/>
            </w:tcBorders>
            <w:hideMark/>
          </w:tcPr>
          <w:p w14:paraId="2196BF9F" w14:textId="0AF4AD1C"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hideMark/>
          </w:tcPr>
          <w:p w14:paraId="2F420C42" w14:textId="51AB3F45"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7" w:type="pct"/>
            <w:tcBorders>
              <w:top w:val="single" w:sz="4" w:space="0" w:color="auto"/>
              <w:left w:val="single" w:sz="4" w:space="0" w:color="auto"/>
              <w:bottom w:val="single" w:sz="4" w:space="0" w:color="auto"/>
              <w:right w:val="single" w:sz="4" w:space="0" w:color="auto"/>
            </w:tcBorders>
            <w:hideMark/>
          </w:tcPr>
          <w:p w14:paraId="13DCFD1F" w14:textId="4260FDF1"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63" w:type="pct"/>
            <w:tcBorders>
              <w:top w:val="single" w:sz="4" w:space="0" w:color="auto"/>
              <w:left w:val="single" w:sz="4" w:space="0" w:color="auto"/>
              <w:bottom w:val="single" w:sz="4" w:space="0" w:color="auto"/>
              <w:right w:val="single" w:sz="4" w:space="0" w:color="auto"/>
            </w:tcBorders>
            <w:hideMark/>
          </w:tcPr>
          <w:p w14:paraId="1FE74A22" w14:textId="6840736D"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7" w:type="pct"/>
            <w:tcBorders>
              <w:top w:val="single" w:sz="4" w:space="0" w:color="auto"/>
              <w:left w:val="single" w:sz="4" w:space="0" w:color="auto"/>
              <w:bottom w:val="single" w:sz="4" w:space="0" w:color="auto"/>
              <w:right w:val="single" w:sz="4" w:space="0" w:color="auto"/>
            </w:tcBorders>
            <w:hideMark/>
          </w:tcPr>
          <w:p w14:paraId="0713B2DA" w14:textId="72D42A96"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6" w:type="pct"/>
            <w:tcBorders>
              <w:top w:val="single" w:sz="4" w:space="0" w:color="auto"/>
              <w:left w:val="single" w:sz="4" w:space="0" w:color="auto"/>
              <w:bottom w:val="single" w:sz="4" w:space="0" w:color="auto"/>
              <w:right w:val="single" w:sz="4" w:space="0" w:color="auto"/>
            </w:tcBorders>
            <w:hideMark/>
          </w:tcPr>
          <w:p w14:paraId="19C10706" w14:textId="4E321837" w:rsidR="00AE4EEA" w:rsidRPr="00E93318" w:rsidRDefault="00E93318">
            <w:pPr>
              <w:keepNext/>
              <w:keepLines/>
              <w:jc w:val="center"/>
              <w:rPr>
                <w:rFonts w:ascii="Arial Narrow" w:hAnsi="Arial Narrow"/>
                <w:sz w:val="20"/>
                <w:szCs w:val="20"/>
                <w:highlight w:val="yellow"/>
              </w:rPr>
            </w:pPr>
            <w:r w:rsidRPr="00E93318">
              <w:rPr>
                <w:rStyle w:val="SmallItalics"/>
                <w:rFonts w:ascii="Arial Narrow" w:hAnsi="Arial Narrow"/>
                <w:szCs w:val="20"/>
              </w:rPr>
              <w:t>$</w:t>
            </w:r>
            <w:r w:rsidR="006523EC" w:rsidRPr="006523EC">
              <w:rPr>
                <w:rStyle w:val="SmallItalics"/>
                <w:rFonts w:ascii="Arial Narrow" w:hAnsi="Arial Narrow"/>
                <w:color w:val="000000" w:themeColor="text1"/>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r>
      <w:tr w:rsidR="00AE4EEA" w14:paraId="12EDE280" w14:textId="77777777" w:rsidTr="00AE4EEA">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23E53" w14:textId="77777777" w:rsidR="00AE4EEA" w:rsidRPr="00E93318" w:rsidRDefault="00AE4EEA">
            <w:pPr>
              <w:keepNext/>
              <w:keepLines/>
              <w:jc w:val="left"/>
              <w:rPr>
                <w:rFonts w:ascii="Arial Narrow" w:hAnsi="Arial Narrow"/>
                <w:b/>
                <w:bCs/>
                <w:sz w:val="20"/>
                <w:szCs w:val="20"/>
                <w:highlight w:val="yellow"/>
              </w:rPr>
            </w:pPr>
            <w:r w:rsidRPr="00E93318">
              <w:rPr>
                <w:rFonts w:ascii="Arial Narrow" w:hAnsi="Arial Narrow"/>
                <w:b/>
                <w:bCs/>
                <w:sz w:val="20"/>
                <w:szCs w:val="20"/>
              </w:rPr>
              <w:t>March 2022 resubmission</w:t>
            </w:r>
          </w:p>
        </w:tc>
      </w:tr>
      <w:tr w:rsidR="001549C5" w14:paraId="146E5EF8" w14:textId="77777777" w:rsidTr="00AE4EEA">
        <w:tc>
          <w:tcPr>
            <w:tcW w:w="165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171527" w14:textId="77777777" w:rsidR="00AE4EEA" w:rsidRDefault="00AE4EEA">
            <w:pPr>
              <w:keepNext/>
              <w:keepLines/>
              <w:rPr>
                <w:rFonts w:ascii="Arial Narrow" w:hAnsi="Arial Narrow"/>
                <w:sz w:val="20"/>
                <w:szCs w:val="20"/>
              </w:rPr>
            </w:pPr>
            <w:r>
              <w:rPr>
                <w:rFonts w:ascii="Arial Narrow" w:hAnsi="Arial Narrow"/>
                <w:sz w:val="20"/>
                <w:szCs w:val="20"/>
              </w:rPr>
              <w:t>Cost to PBS/RPBS</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934C0A" w14:textId="2BCD3128"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D8F16D" w14:textId="46E7963F"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B2BB9C" w14:textId="0AE73052"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D447C8" w14:textId="4D5E3BED"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D2A418" w14:textId="5A0063A1"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EDD76D" w14:textId="5630758E" w:rsidR="00AE4EEA" w:rsidRPr="00E93318" w:rsidRDefault="00E93318">
            <w:pPr>
              <w:keepNext/>
              <w:keepLines/>
              <w:jc w:val="center"/>
              <w:rPr>
                <w:rFonts w:ascii="Arial Narrow" w:hAnsi="Arial Narrow"/>
                <w:sz w:val="20"/>
                <w:szCs w:val="20"/>
                <w:highlight w:val="yellow"/>
              </w:rPr>
            </w:pPr>
            <w:r w:rsidRPr="00E93318">
              <w:rPr>
                <w:rFonts w:ascii="Arial Narrow" w:hAnsi="Arial Narrow"/>
                <w:b/>
                <w:bCs/>
                <w:color w:val="000000"/>
                <w:sz w:val="20"/>
                <w:szCs w:val="20"/>
              </w:rPr>
              <w:t>$</w:t>
            </w:r>
            <w:r w:rsidR="006523EC" w:rsidRPr="006523EC">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5</w:t>
            </w:r>
          </w:p>
        </w:tc>
      </w:tr>
      <w:tr w:rsidR="001549C5" w14:paraId="5A94099E" w14:textId="77777777" w:rsidTr="00AE4EEA">
        <w:tc>
          <w:tcPr>
            <w:tcW w:w="165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3E18EC" w14:textId="77777777" w:rsidR="00AE4EEA" w:rsidRDefault="00AE4EEA">
            <w:pPr>
              <w:keepNext/>
              <w:keepLines/>
              <w:rPr>
                <w:rFonts w:ascii="Arial Narrow" w:hAnsi="Arial Narrow"/>
                <w:sz w:val="20"/>
                <w:szCs w:val="20"/>
              </w:rPr>
            </w:pPr>
            <w:r>
              <w:rPr>
                <w:rFonts w:ascii="Arial Narrow" w:hAnsi="Arial Narrow"/>
                <w:sz w:val="20"/>
                <w:szCs w:val="20"/>
              </w:rPr>
              <w:t>Cost to MBS</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4F04DB" w14:textId="373C11C4"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7A0759" w14:textId="76B429C6"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78A73D" w14:textId="08C13C64"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B4BB0E" w14:textId="27800EEB"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78F780" w14:textId="304BF447"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5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BBED87" w14:textId="6A7375CF" w:rsidR="00AE4EEA" w:rsidRPr="00E93318" w:rsidRDefault="00E93318">
            <w:pPr>
              <w:keepNext/>
              <w:keepLines/>
              <w:jc w:val="center"/>
              <w:rPr>
                <w:rFonts w:ascii="Arial Narrow" w:hAnsi="Arial Narrow"/>
                <w:sz w:val="20"/>
                <w:szCs w:val="20"/>
                <w:highlight w:val="yellow"/>
              </w:rPr>
            </w:pPr>
            <w:r w:rsidRPr="00E93318">
              <w:rPr>
                <w:rFonts w:ascii="Arial Narrow" w:hAnsi="Arial Narrow"/>
                <w:color w:val="000000"/>
                <w:sz w:val="20"/>
                <w:szCs w:val="20"/>
              </w:rPr>
              <w:t>$</w:t>
            </w:r>
            <w:r w:rsidR="006523EC" w:rsidRPr="006523EC">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1549C5" w14:paraId="1A631C86" w14:textId="77777777" w:rsidTr="00AE4EEA">
        <w:tc>
          <w:tcPr>
            <w:tcW w:w="165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C75D" w14:textId="77777777" w:rsidR="00AE4EEA" w:rsidRDefault="00AE4EEA">
            <w:pPr>
              <w:keepNext/>
              <w:keepLines/>
              <w:rPr>
                <w:rFonts w:ascii="Arial Narrow" w:hAnsi="Arial Narrow"/>
                <w:sz w:val="20"/>
                <w:szCs w:val="20"/>
              </w:rPr>
            </w:pPr>
            <w:r>
              <w:rPr>
                <w:rFonts w:ascii="Arial Narrow" w:hAnsi="Arial Narrow"/>
                <w:sz w:val="20"/>
                <w:szCs w:val="20"/>
              </w:rPr>
              <w:t>Net cost to Government</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8A3A3E" w14:textId="0446D211"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3</w:t>
            </w:r>
          </w:p>
        </w:tc>
        <w:tc>
          <w:tcPr>
            <w:tcW w:w="5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E90EF4" w14:textId="26DA2A4C"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EF637D" w14:textId="4E22036F"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C86966" w14:textId="75C27351"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804513" w14:textId="6E2DBA13"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4</w:t>
            </w:r>
          </w:p>
        </w:tc>
        <w:tc>
          <w:tcPr>
            <w:tcW w:w="5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E6C6BC" w14:textId="07853E5C" w:rsidR="00AE4EEA" w:rsidRPr="00E93318" w:rsidRDefault="00E93318">
            <w:pPr>
              <w:keepNext/>
              <w:keepLines/>
              <w:jc w:val="center"/>
              <w:rPr>
                <w:rFonts w:ascii="Arial Narrow" w:hAnsi="Arial Narrow"/>
                <w:bCs/>
                <w:sz w:val="20"/>
                <w:szCs w:val="20"/>
                <w:highlight w:val="yellow"/>
              </w:rPr>
            </w:pPr>
            <w:r w:rsidRPr="00E93318">
              <w:rPr>
                <w:rFonts w:ascii="Arial Narrow" w:hAnsi="Arial Narrow"/>
                <w:bCs/>
                <w:color w:val="000000"/>
                <w:sz w:val="20"/>
                <w:szCs w:val="20"/>
              </w:rPr>
              <w:t>$</w:t>
            </w:r>
            <w:r w:rsidR="006523EC" w:rsidRPr="006523EC">
              <w:rPr>
                <w:rFonts w:ascii="Arial Narrow" w:hAnsi="Arial Narrow"/>
                <w:bCs/>
                <w:color w:val="000000" w:themeColor="text1"/>
                <w:sz w:val="20"/>
                <w:szCs w:val="20"/>
                <w:shd w:val="solid" w:color="000000" w:fill="000000"/>
                <w14:textFill>
                  <w14:solidFill>
                    <w14:schemeClr w14:val="tx1">
                      <w14:alpha w14:val="100000"/>
                    </w14:schemeClr>
                  </w14:solidFill>
                </w14:textFill>
              </w:rPr>
              <w:t>|</w:t>
            </w:r>
            <w:r w:rsidR="001549C5">
              <w:rPr>
                <w:rFonts w:ascii="Arial Narrow" w:hAnsi="Arial Narrow"/>
                <w:sz w:val="20"/>
                <w:szCs w:val="20"/>
                <w:vertAlign w:val="superscript"/>
              </w:rPr>
              <w:t>5</w:t>
            </w:r>
          </w:p>
        </w:tc>
      </w:tr>
    </w:tbl>
    <w:p w14:paraId="674A0ED4" w14:textId="7E9B392E" w:rsidR="00AE4EEA" w:rsidRDefault="00AE4EEA" w:rsidP="00AE4EEA">
      <w:pPr>
        <w:rPr>
          <w:rFonts w:ascii="Arial Narrow" w:hAnsi="Arial Narrow"/>
          <w:sz w:val="18"/>
          <w:szCs w:val="18"/>
        </w:rPr>
      </w:pPr>
      <w:r>
        <w:rPr>
          <w:rFonts w:ascii="Arial Narrow" w:hAnsi="Arial Narrow"/>
          <w:sz w:val="18"/>
          <w:szCs w:val="18"/>
        </w:rPr>
        <w:t>Source: Table 8, p6 of the early resolution resubmission</w:t>
      </w:r>
    </w:p>
    <w:p w14:paraId="23EDA2AF" w14:textId="466DAD58" w:rsidR="00FC464B" w:rsidRDefault="00FC464B" w:rsidP="00AE4EEA">
      <w:pPr>
        <w:rPr>
          <w:rFonts w:ascii="Arial Narrow" w:hAnsi="Arial Narrow"/>
          <w:sz w:val="18"/>
          <w:szCs w:val="18"/>
        </w:rPr>
      </w:pPr>
      <w:r w:rsidRPr="00FC464B">
        <w:rPr>
          <w:rFonts w:ascii="Arial Narrow" w:hAnsi="Arial Narrow"/>
          <w:sz w:val="18"/>
          <w:szCs w:val="18"/>
        </w:rPr>
        <w:t>The redacted values correspond to the following ranges:</w:t>
      </w:r>
    </w:p>
    <w:p w14:paraId="18A71BE8" w14:textId="658874DC" w:rsidR="00E93318" w:rsidRDefault="00E93318" w:rsidP="00E93318">
      <w:pPr>
        <w:pStyle w:val="TableFigureFooter"/>
      </w:pPr>
      <w:r w:rsidRPr="00E93318">
        <w:rPr>
          <w:vertAlign w:val="superscript"/>
        </w:rPr>
        <w:t>1</w:t>
      </w:r>
      <w:r w:rsidRPr="00E93318">
        <w:t>&lt;</w:t>
      </w:r>
      <w:r>
        <w:t xml:space="preserve"> 500</w:t>
      </w:r>
    </w:p>
    <w:p w14:paraId="68F420A2" w14:textId="77777777" w:rsidR="00E93318" w:rsidRPr="00E93318" w:rsidRDefault="00E93318" w:rsidP="00E93318">
      <w:pPr>
        <w:pStyle w:val="TableFigureFooter"/>
      </w:pPr>
      <w:r w:rsidRPr="00E93318">
        <w:rPr>
          <w:vertAlign w:val="superscript"/>
        </w:rPr>
        <w:t>2</w:t>
      </w:r>
      <w:r w:rsidRPr="00E93318">
        <w:t>$0 to &lt; $10 million</w:t>
      </w:r>
    </w:p>
    <w:p w14:paraId="3EF801AD" w14:textId="0F9667FB" w:rsidR="00E93318" w:rsidRDefault="00E93318" w:rsidP="00E93318">
      <w:pPr>
        <w:pStyle w:val="TableFigureFooter"/>
      </w:pPr>
      <w:r w:rsidRPr="00E93318">
        <w:rPr>
          <w:vertAlign w:val="superscript"/>
        </w:rPr>
        <w:t>3</w:t>
      </w:r>
      <w:r w:rsidRPr="00E93318">
        <w:t>$10 million to &lt; $20 million</w:t>
      </w:r>
    </w:p>
    <w:p w14:paraId="181FC973" w14:textId="0B9B95ED" w:rsidR="001549C5" w:rsidRDefault="001549C5" w:rsidP="00E93318">
      <w:pPr>
        <w:pStyle w:val="TableFigureFooter"/>
      </w:pPr>
      <w:r w:rsidRPr="001549C5">
        <w:rPr>
          <w:vertAlign w:val="superscript"/>
        </w:rPr>
        <w:t>4</w:t>
      </w:r>
      <w:r w:rsidRPr="00E93318">
        <w:t>$</w:t>
      </w:r>
      <w:r>
        <w:t>20</w:t>
      </w:r>
      <w:r w:rsidRPr="00E93318">
        <w:t xml:space="preserve"> million to &lt; $</w:t>
      </w:r>
      <w:r>
        <w:t>3</w:t>
      </w:r>
      <w:r w:rsidRPr="00E93318">
        <w:t>0 million</w:t>
      </w:r>
    </w:p>
    <w:p w14:paraId="486A178A" w14:textId="2B33A512" w:rsidR="001549C5" w:rsidRPr="001549C5" w:rsidRDefault="001549C5" w:rsidP="001549C5">
      <w:pPr>
        <w:pStyle w:val="TableFigureFooter"/>
        <w:rPr>
          <w:vertAlign w:val="superscript"/>
        </w:rPr>
      </w:pPr>
      <w:r w:rsidRPr="001549C5">
        <w:rPr>
          <w:vertAlign w:val="superscript"/>
        </w:rPr>
        <w:t>5</w:t>
      </w:r>
      <w:r w:rsidRPr="00E93318">
        <w:t>$</w:t>
      </w:r>
      <w:r>
        <w:t>30</w:t>
      </w:r>
      <w:r w:rsidRPr="00E93318">
        <w:t xml:space="preserve"> million to &lt; $</w:t>
      </w:r>
      <w:r>
        <w:t>4</w:t>
      </w:r>
      <w:r w:rsidRPr="00E93318">
        <w:t>0 million</w:t>
      </w:r>
    </w:p>
    <w:p w14:paraId="53EA095B" w14:textId="60ED5D6E" w:rsidR="00AE4EEA" w:rsidRDefault="00AE4EEA" w:rsidP="0073079A">
      <w:pPr>
        <w:pStyle w:val="3-BodyText"/>
        <w:rPr>
          <w:lang w:val="en-GB"/>
        </w:rPr>
      </w:pPr>
      <w:r>
        <w:t xml:space="preserve">The early resolution resubmission noted that in March 2022 the PBAC suggested a RSA with a 100% rebate for any use over the financial impact estimates would be required. The sponsor advised that this was not commercially viable and proposed a revised RSA incorporating a </w:t>
      </w:r>
      <w:r w:rsidR="006523EC" w:rsidRPr="00676539">
        <w:rPr>
          <w:color w:val="000000" w:themeColor="text1"/>
          <w:w w:val="15"/>
          <w:shd w:val="solid" w:color="000000" w:fill="000000"/>
          <w:fitText w:val="-20" w:id="-1477767421"/>
          <w14:textFill>
            <w14:solidFill>
              <w14:schemeClr w14:val="tx1">
                <w14:alpha w14:val="100000"/>
              </w14:schemeClr>
            </w14:solidFill>
          </w14:textFill>
        </w:rPr>
        <w:t xml:space="preserve">|  </w:t>
      </w:r>
      <w:r w:rsidR="006523EC" w:rsidRPr="00676539">
        <w:rPr>
          <w:color w:val="000000" w:themeColor="text1"/>
          <w:spacing w:val="-69"/>
          <w:w w:val="15"/>
          <w:shd w:val="solid" w:color="000000" w:fill="000000"/>
          <w:fitText w:val="-20" w:id="-1477767421"/>
          <w14:textFill>
            <w14:solidFill>
              <w14:schemeClr w14:val="tx1">
                <w14:alpha w14:val="100000"/>
              </w14:schemeClr>
            </w14:solidFill>
          </w14:textFill>
        </w:rPr>
        <w:t>|</w:t>
      </w:r>
      <w:r>
        <w:t>% rebate for any use over the financial impact estimates presented above.</w:t>
      </w:r>
    </w:p>
    <w:p w14:paraId="5475C891" w14:textId="77777777" w:rsidR="00AE4EEA" w:rsidRDefault="00AE4EEA" w:rsidP="0073079A">
      <w:pPr>
        <w:pStyle w:val="3-BodyText"/>
        <w:rPr>
          <w:lang w:val="en-GB"/>
        </w:rPr>
      </w:pPr>
      <w:r>
        <w:t>In terms of the proposed restriction, the early resolution resubmission requested that burosumab be listed on the PBS as a Section 100 (Highly Specialised Drugs Program [HSDP]) listing, rather than a Section 85 (General Schedule) listing as:</w:t>
      </w:r>
    </w:p>
    <w:p w14:paraId="459C3AB7" w14:textId="77777777" w:rsidR="00AE4EEA" w:rsidRDefault="00AE4EEA" w:rsidP="00AE4EEA">
      <w:pPr>
        <w:pStyle w:val="NormalBulletList"/>
        <w:numPr>
          <w:ilvl w:val="0"/>
          <w:numId w:val="42"/>
        </w:numPr>
        <w:spacing w:after="120" w:line="240" w:lineRule="auto"/>
        <w:ind w:left="1077" w:hanging="357"/>
        <w:jc w:val="both"/>
        <w:rPr>
          <w:rFonts w:asciiTheme="minorHAnsi" w:hAnsiTheme="minorHAnsi" w:cstheme="minorHAnsi"/>
          <w:szCs w:val="24"/>
        </w:rPr>
      </w:pPr>
      <w:r>
        <w:rPr>
          <w:rFonts w:asciiTheme="minorHAnsi" w:hAnsiTheme="minorHAnsi" w:cstheme="minorHAnsi"/>
          <w:szCs w:val="24"/>
        </w:rPr>
        <w:t xml:space="preserve">XLH is a rare and complex condition which is diagnosed and managed at a limited number of specialised (mainly public hospital) treatment centres; </w:t>
      </w:r>
    </w:p>
    <w:p w14:paraId="158568BB" w14:textId="77777777" w:rsidR="00AE4EEA" w:rsidRDefault="00AE4EEA" w:rsidP="00AE4EEA">
      <w:pPr>
        <w:pStyle w:val="NormalBulletList"/>
        <w:numPr>
          <w:ilvl w:val="0"/>
          <w:numId w:val="42"/>
        </w:numPr>
        <w:spacing w:after="120" w:line="240" w:lineRule="auto"/>
        <w:ind w:left="1077" w:hanging="357"/>
        <w:jc w:val="both"/>
        <w:rPr>
          <w:rFonts w:asciiTheme="minorHAnsi" w:hAnsiTheme="minorHAnsi" w:cstheme="minorHAnsi"/>
          <w:szCs w:val="24"/>
        </w:rPr>
      </w:pPr>
      <w:r>
        <w:rPr>
          <w:rFonts w:asciiTheme="minorHAnsi" w:hAnsiTheme="minorHAnsi" w:cstheme="minorHAnsi"/>
          <w:szCs w:val="24"/>
        </w:rPr>
        <w:lastRenderedPageBreak/>
        <w:t xml:space="preserve">Prescribing, dispensing and administration of burosumab is reasonably complex, involving weight-based dose calculations, efficient combination of vial sizes, subcutaneous injection by a healthcare provider and patient monitoring; </w:t>
      </w:r>
    </w:p>
    <w:p w14:paraId="3A0F9724" w14:textId="77777777" w:rsidR="00AE4EEA" w:rsidRDefault="00AE4EEA" w:rsidP="00AE4EEA">
      <w:pPr>
        <w:pStyle w:val="NormalBulletList"/>
        <w:numPr>
          <w:ilvl w:val="0"/>
          <w:numId w:val="42"/>
        </w:numPr>
        <w:spacing w:after="120" w:line="240" w:lineRule="auto"/>
        <w:ind w:left="1077" w:hanging="357"/>
        <w:jc w:val="both"/>
        <w:rPr>
          <w:rFonts w:asciiTheme="minorHAnsi" w:hAnsiTheme="minorHAnsi" w:cstheme="minorHAnsi"/>
          <w:szCs w:val="24"/>
        </w:rPr>
      </w:pPr>
      <w:r>
        <w:rPr>
          <w:rFonts w:asciiTheme="minorHAnsi" w:hAnsiTheme="minorHAnsi" w:cstheme="minorHAnsi"/>
          <w:szCs w:val="24"/>
        </w:rPr>
        <w:t>Other similarly specialised rare disease medicines are listed as Section 100 (HSDP) items, such as tocilizumab for severe active juvenile idiopathic arthritis, anakinra for cryopyrin associated periodic syndromes, and ivacaftor for cystic fibrosis; and</w:t>
      </w:r>
    </w:p>
    <w:p w14:paraId="03260551" w14:textId="132855A0" w:rsidR="00AE4EEA" w:rsidRDefault="00AE4EEA" w:rsidP="00AE4EEA">
      <w:pPr>
        <w:pStyle w:val="ListParagraph"/>
        <w:widowControl w:val="0"/>
        <w:numPr>
          <w:ilvl w:val="0"/>
          <w:numId w:val="42"/>
        </w:numPr>
        <w:snapToGrid w:val="0"/>
        <w:ind w:left="1077" w:hanging="357"/>
        <w:rPr>
          <w:rFonts w:cstheme="minorHAnsi"/>
        </w:rPr>
      </w:pPr>
      <w:r>
        <w:rPr>
          <w:rFonts w:cstheme="minorHAnsi"/>
        </w:rPr>
        <w:t xml:space="preserve">Listing as a Section 85 item (with associated regulated markups and margins) would preclude the sponsor from being able to meet the cost effectiveness criteria specified by PBAC for this medicine in the </w:t>
      </w:r>
      <w:r w:rsidR="0068646A">
        <w:rPr>
          <w:rFonts w:cstheme="minorHAnsi"/>
        </w:rPr>
        <w:t>public summary document</w:t>
      </w:r>
      <w:r>
        <w:rPr>
          <w:rFonts w:cstheme="minorHAnsi"/>
        </w:rPr>
        <w:t xml:space="preserve"> from the March 2022 meeting.</w:t>
      </w:r>
    </w:p>
    <w:p w14:paraId="64A6A19B" w14:textId="77777777" w:rsidR="00AE4EEA" w:rsidRDefault="00AE4EEA" w:rsidP="0073079A">
      <w:pPr>
        <w:pStyle w:val="2-SectionHeading"/>
        <w:snapToGrid w:val="0"/>
      </w:pPr>
      <w:r>
        <w:t>PBAC Outcome</w:t>
      </w:r>
    </w:p>
    <w:p w14:paraId="6792A574" w14:textId="0D698DDB" w:rsidR="00AE4EEA" w:rsidRDefault="00AE4EEA" w:rsidP="0073079A">
      <w:pPr>
        <w:pStyle w:val="3-BodyText"/>
        <w:rPr>
          <w:lang w:val="en-GB"/>
        </w:rPr>
      </w:pPr>
      <w:r>
        <w:t xml:space="preserve">The PBAC recommended the listing of burosumab for the treatment of </w:t>
      </w:r>
      <w:r w:rsidR="00291EC5">
        <w:t>patients</w:t>
      </w:r>
      <w:r>
        <w:t xml:space="preserve"> with X-linked hypophosphataemia (XLH). The PBAC noted the high clinical need and previous strong consumer support for treatments for this condition. The PBAC considered that the incremental cost-effectiveness ratios (ICERs) for both the paediatric and adult populations were acceptable at the proposed price and that the proposed risk sharing arrangement was adequate to manage the risks associated with the uncertainties relating to the estimated financial impact to the PBS.</w:t>
      </w:r>
    </w:p>
    <w:p w14:paraId="7FE2446E" w14:textId="30983295" w:rsidR="00AE4EEA" w:rsidRDefault="00AE4EEA" w:rsidP="0073079A">
      <w:pPr>
        <w:pStyle w:val="3-BodyText"/>
        <w:rPr>
          <w:lang w:val="en-GB"/>
        </w:rPr>
      </w:pPr>
      <w:r>
        <w:rPr>
          <w:lang w:val="en-GB"/>
        </w:rPr>
        <w:t>The PBAC noted that the incorporation of the reduced approved ex-manufacturer prices (AEMPs) for the 10, 20 and 30 mg vials into the paediatric and adult economic models resulted in ICERs of approximately $</w:t>
      </w:r>
      <w:r w:rsidR="001549C5" w:rsidRPr="004801E5">
        <w:rPr>
          <w:rFonts w:cstheme="minorHAnsi"/>
          <w:color w:val="333333"/>
        </w:rPr>
        <w:t>255,000 to &lt; $355,000</w:t>
      </w:r>
      <w:r>
        <w:rPr>
          <w:lang w:val="en-GB"/>
        </w:rPr>
        <w:t xml:space="preserve"> per QALY. The PBAC considered that the resultant ICERs were reasonable (ICER = $</w:t>
      </w:r>
      <w:r w:rsidR="001549C5" w:rsidRPr="004801E5">
        <w:rPr>
          <w:rFonts w:cstheme="minorHAnsi"/>
          <w:color w:val="333333"/>
        </w:rPr>
        <w:t>255,000 to &lt; $355,000</w:t>
      </w:r>
      <w:r>
        <w:rPr>
          <w:lang w:val="en-GB"/>
        </w:rPr>
        <w:t xml:space="preserve"> per QALY for the paediatric population, and ICER = $</w:t>
      </w:r>
      <w:r w:rsidR="001549C5" w:rsidRPr="004801E5">
        <w:rPr>
          <w:rFonts w:cstheme="minorHAnsi"/>
          <w:color w:val="333333"/>
        </w:rPr>
        <w:t>255,000 to &lt; $355,000</w:t>
      </w:r>
      <w:r>
        <w:rPr>
          <w:lang w:val="en-GB"/>
        </w:rPr>
        <w:t xml:space="preserve"> per QALY for the adult population).</w:t>
      </w:r>
    </w:p>
    <w:p w14:paraId="26682261" w14:textId="41DE67A3" w:rsidR="00AE4EEA" w:rsidRDefault="00AE4EEA" w:rsidP="0073079A">
      <w:pPr>
        <w:pStyle w:val="3-BodyText"/>
        <w:rPr>
          <w:lang w:val="en-GB"/>
        </w:rPr>
      </w:pPr>
      <w:r>
        <w:rPr>
          <w:lang w:val="en-GB"/>
        </w:rPr>
        <w:t>The PBAC noted that the incorporation of the revised effective prices of burosumab into the financial impact model resulted in a net cost to the PBS/RPBS of approximately $</w:t>
      </w:r>
      <w:r w:rsidR="001549C5" w:rsidRPr="001549C5">
        <w:rPr>
          <w:lang w:val="en-GB"/>
        </w:rPr>
        <w:t>80 million to &lt; $90 million</w:t>
      </w:r>
      <w:r>
        <w:rPr>
          <w:lang w:val="en-GB"/>
        </w:rPr>
        <w:t xml:space="preserve"> over the first six years of listing. The PBAC considered that the revised financial impact of listing burosumab on the PBS was reasonable.</w:t>
      </w:r>
    </w:p>
    <w:p w14:paraId="03FBA4CE" w14:textId="46E4DB84" w:rsidR="00AE4EEA" w:rsidRDefault="00AE4EEA" w:rsidP="0073079A">
      <w:pPr>
        <w:pStyle w:val="3-BodyText"/>
        <w:rPr>
          <w:lang w:val="en-GB"/>
        </w:rPr>
      </w:pPr>
      <w:r>
        <w:rPr>
          <w:lang w:val="en-GB"/>
        </w:rPr>
        <w:t xml:space="preserve">The PBAC considered that the proposed RSA of a </w:t>
      </w:r>
      <w:r w:rsidR="006523EC" w:rsidRPr="00676539">
        <w:rPr>
          <w:color w:val="000000" w:themeColor="text1"/>
          <w:w w:val="25"/>
          <w:shd w:val="solid" w:color="000000" w:fill="000000"/>
          <w:fitText w:val="200" w:id="-1477767420"/>
          <w:lang w:val="en-GB"/>
          <w14:textFill>
            <w14:solidFill>
              <w14:schemeClr w14:val="tx1">
                <w14:alpha w14:val="100000"/>
              </w14:schemeClr>
            </w14:solidFill>
          </w14:textFill>
        </w:rPr>
        <w:t>|||  |||</w:t>
      </w:r>
      <w:r>
        <w:rPr>
          <w:lang w:val="en-GB"/>
        </w:rPr>
        <w:t>% rebate for use over the revised financial estimates was reasonable and would mitigate the risks associated with the uncertainties related to the dose of burosumab administered and the lack of prevalence data for the Australian adult XLH population, in the context of the reduced price and budget impact proposed in the resubmission.</w:t>
      </w:r>
    </w:p>
    <w:p w14:paraId="67EE23D6" w14:textId="77777777" w:rsidR="00AE4EEA" w:rsidRDefault="00AE4EEA" w:rsidP="0073079A">
      <w:pPr>
        <w:pStyle w:val="3-BodyText"/>
        <w:rPr>
          <w:lang w:val="en-GB"/>
        </w:rPr>
      </w:pPr>
      <w:r>
        <w:rPr>
          <w:lang w:val="en-GB"/>
        </w:rPr>
        <w:t>In terms of the restriction, the PBAC considered a Section 100 – Highly Specialised Drugs Program listing was appropriate.</w:t>
      </w:r>
    </w:p>
    <w:p w14:paraId="35E1C101" w14:textId="77777777" w:rsidR="00AE4EEA" w:rsidRDefault="00AE4EEA" w:rsidP="0073079A">
      <w:pPr>
        <w:pStyle w:val="3-BodyText"/>
        <w:rPr>
          <w:lang w:val="en-GB"/>
        </w:rPr>
      </w:pPr>
      <w:r>
        <w:rPr>
          <w:lang w:val="en-GB"/>
        </w:rPr>
        <w:lastRenderedPageBreak/>
        <w:t xml:space="preserve">The PBAC recommended that burosumab should not be treated as interchangeable on an individual patient basis with any other drugs, according to s101(3BA) of the </w:t>
      </w:r>
      <w:r>
        <w:rPr>
          <w:i/>
          <w:iCs/>
          <w:lang w:val="en-GB"/>
        </w:rPr>
        <w:t>National Health Act</w:t>
      </w:r>
      <w:r>
        <w:rPr>
          <w:lang w:val="en-GB"/>
        </w:rPr>
        <w:t>.</w:t>
      </w:r>
    </w:p>
    <w:p w14:paraId="30B60B4C" w14:textId="77777777" w:rsidR="00AE4EEA" w:rsidRDefault="00AE4EEA" w:rsidP="0073079A">
      <w:pPr>
        <w:pStyle w:val="3-BodyText"/>
        <w:rPr>
          <w:lang w:val="en-GB"/>
        </w:rPr>
      </w:pPr>
      <w:r>
        <w:rPr>
          <w:lang w:val="en-GB"/>
        </w:rPr>
        <w:t>The PBAC advised that burosumab is not suitable for prescribing by nurse practitioners.</w:t>
      </w:r>
    </w:p>
    <w:p w14:paraId="52DC2478" w14:textId="77777777" w:rsidR="00AE4EEA" w:rsidRDefault="00AE4EEA" w:rsidP="0073079A">
      <w:pPr>
        <w:pStyle w:val="3-BodyText"/>
        <w:rPr>
          <w:lang w:val="en-GB"/>
        </w:rPr>
      </w:pPr>
      <w:r>
        <w:rPr>
          <w:lang w:val="en-GB"/>
        </w:rPr>
        <w:t>The PBAC recommended that the Early Supply Rule should apply.</w:t>
      </w:r>
    </w:p>
    <w:p w14:paraId="627002D5" w14:textId="77777777" w:rsidR="00AE4EEA" w:rsidRDefault="00AE4EEA" w:rsidP="0073079A">
      <w:pPr>
        <w:pStyle w:val="3-BodyText"/>
        <w:rPr>
          <w:lang w:val="en-GB"/>
        </w:rPr>
      </w:pPr>
      <w:r>
        <w:rPr>
          <w:lang w:val="en-GB"/>
        </w:rPr>
        <w:t xml:space="preserve">The PBAC found that the criteria prescribed by the </w:t>
      </w:r>
      <w:r>
        <w:rPr>
          <w:i/>
          <w:iCs/>
          <w:lang w:val="en-GB"/>
        </w:rPr>
        <w:t>National Health (Pharmaceuticals and Vaccines – Cost Recovery) Regulations 2009</w:t>
      </w:r>
      <w:r>
        <w:rPr>
          <w:lang w:val="en-GB"/>
        </w:rPr>
        <w:t xml:space="preserve"> for Pricing Pathway A were met. Specifically, the PBAC found that in the circumstances of its recommendation for burosumab:</w:t>
      </w:r>
    </w:p>
    <w:p w14:paraId="7E298D27" w14:textId="77777777" w:rsidR="00AE4EEA" w:rsidRDefault="00AE4EEA" w:rsidP="00AE4EEA">
      <w:pPr>
        <w:pStyle w:val="ListParagraph"/>
        <w:widowControl w:val="0"/>
        <w:numPr>
          <w:ilvl w:val="0"/>
          <w:numId w:val="43"/>
        </w:numPr>
        <w:snapToGrid w:val="0"/>
        <w:ind w:left="1077" w:hanging="357"/>
        <w:contextualSpacing/>
        <w:rPr>
          <w:snapToGrid/>
          <w:lang w:val="en-GB"/>
        </w:rPr>
      </w:pPr>
      <w:r>
        <w:rPr>
          <w:lang w:val="en-GB"/>
        </w:rPr>
        <w:t>The treatment is expected to provide a substantial and clinically relevant improvement in efficacy over conventional therapy;</w:t>
      </w:r>
    </w:p>
    <w:p w14:paraId="1B1900F7" w14:textId="77777777" w:rsidR="00AE4EEA" w:rsidRDefault="00AE4EEA" w:rsidP="00AE4EEA">
      <w:pPr>
        <w:pStyle w:val="ListBullet"/>
        <w:numPr>
          <w:ilvl w:val="0"/>
          <w:numId w:val="43"/>
        </w:numPr>
        <w:tabs>
          <w:tab w:val="left" w:pos="720"/>
        </w:tabs>
        <w:spacing w:after="120"/>
        <w:ind w:left="1077" w:hanging="357"/>
        <w:rPr>
          <w:lang w:val="en-GB"/>
        </w:rPr>
      </w:pPr>
      <w:r>
        <w:rPr>
          <w:lang w:val="en-GB"/>
        </w:rPr>
        <w:t>The treatment is expected to address a high an urgent unmet clinical need as there are currently no effective treatments for this patient population; and</w:t>
      </w:r>
    </w:p>
    <w:p w14:paraId="2946B782" w14:textId="77777777" w:rsidR="00AE4EEA" w:rsidRDefault="00AE4EEA" w:rsidP="00AE4EEA">
      <w:pPr>
        <w:pStyle w:val="ListBullet"/>
        <w:numPr>
          <w:ilvl w:val="0"/>
          <w:numId w:val="43"/>
        </w:numPr>
        <w:tabs>
          <w:tab w:val="left" w:pos="720"/>
        </w:tabs>
        <w:spacing w:after="120"/>
        <w:rPr>
          <w:lang w:val="en-GB"/>
        </w:rPr>
      </w:pPr>
      <w:r>
        <w:rPr>
          <w:lang w:val="en-GB"/>
        </w:rPr>
        <w:t>It would be in the public interest for the subsequent pricing application to be progressed under Pricing Pathway A on the basis of the preceding findings.</w:t>
      </w:r>
    </w:p>
    <w:p w14:paraId="18FABD69" w14:textId="77777777" w:rsidR="00AE4EEA" w:rsidRDefault="00AE4EEA" w:rsidP="0073079A">
      <w:pPr>
        <w:pStyle w:val="3-BodyText"/>
        <w:rPr>
          <w:lang w:val="en-GB"/>
        </w:rPr>
      </w:pPr>
      <w:r>
        <w:rPr>
          <w:lang w:val="en-GB"/>
        </w:rPr>
        <w:t>The PBAC noted that this submission was not eligible for an Independent Review as it is a positive recommendation.</w:t>
      </w:r>
    </w:p>
    <w:p w14:paraId="66412E0C" w14:textId="77777777" w:rsidR="00AE4EEA" w:rsidRDefault="00AE4EEA" w:rsidP="00AE4EEA">
      <w:pPr>
        <w:rPr>
          <w:rFonts w:asciiTheme="minorHAnsi" w:hAnsiTheme="minorHAnsi"/>
          <w:b/>
          <w:snapToGrid w:val="0"/>
          <w:lang w:val="en-GB"/>
        </w:rPr>
      </w:pPr>
    </w:p>
    <w:p w14:paraId="6D907872" w14:textId="77777777" w:rsidR="00AE4EEA" w:rsidRDefault="00AE4EEA" w:rsidP="00AE4EEA">
      <w:pPr>
        <w:rPr>
          <w:rFonts w:asciiTheme="minorHAnsi" w:hAnsiTheme="minorHAnsi"/>
          <w:b/>
          <w:snapToGrid w:val="0"/>
          <w:lang w:val="en-GB"/>
        </w:rPr>
      </w:pPr>
      <w:r>
        <w:rPr>
          <w:rFonts w:asciiTheme="minorHAnsi" w:hAnsiTheme="minorHAnsi"/>
          <w:b/>
          <w:snapToGrid w:val="0"/>
          <w:lang w:val="en-GB"/>
        </w:rPr>
        <w:t>Outcome:</w:t>
      </w:r>
    </w:p>
    <w:p w14:paraId="1EFD88C6" w14:textId="7AD60259" w:rsidR="00AE4EEA" w:rsidRPr="00AE4EEA" w:rsidRDefault="00AE4EEA" w:rsidP="00AE4EEA">
      <w:pPr>
        <w:rPr>
          <w:rFonts w:asciiTheme="minorHAnsi" w:hAnsiTheme="minorHAnsi"/>
          <w:bCs/>
          <w:snapToGrid w:val="0"/>
          <w:lang w:val="en-GB"/>
        </w:rPr>
      </w:pPr>
      <w:r>
        <w:rPr>
          <w:rFonts w:asciiTheme="minorHAnsi" w:hAnsiTheme="minorHAnsi"/>
          <w:bCs/>
          <w:snapToGrid w:val="0"/>
          <w:lang w:val="en-GB"/>
        </w:rPr>
        <w:t>Recommended</w:t>
      </w:r>
    </w:p>
    <w:p w14:paraId="7F74DCE8" w14:textId="77777777" w:rsidR="00AE4EEA" w:rsidRDefault="00AE4EEA" w:rsidP="0073079A">
      <w:pPr>
        <w:pStyle w:val="2-SectionHeading"/>
        <w:snapToGrid w:val="0"/>
        <w:rPr>
          <w:snapToGrid/>
        </w:rPr>
      </w:pPr>
      <w:r>
        <w:t>Recommended listing</w:t>
      </w:r>
    </w:p>
    <w:p w14:paraId="414BAD56" w14:textId="77777777" w:rsidR="00AE4EEA" w:rsidRDefault="00AE4EEA" w:rsidP="0073079A">
      <w:pPr>
        <w:pStyle w:val="3-BodyText"/>
        <w:snapToGrid w:val="0"/>
      </w:pPr>
      <w:r>
        <w:t xml:space="preserve">Add new item: </w:t>
      </w:r>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2269"/>
        <w:gridCol w:w="1702"/>
        <w:gridCol w:w="143"/>
        <w:gridCol w:w="1276"/>
        <w:gridCol w:w="989"/>
        <w:gridCol w:w="72"/>
        <w:gridCol w:w="2576"/>
      </w:tblGrid>
      <w:tr w:rsidR="00AE4EEA" w14:paraId="114D2AAB" w14:textId="77777777" w:rsidTr="00AE4EEA">
        <w:tc>
          <w:tcPr>
            <w:tcW w:w="1256" w:type="pct"/>
            <w:tcBorders>
              <w:top w:val="single" w:sz="4" w:space="0" w:color="auto"/>
              <w:left w:val="nil"/>
              <w:bottom w:val="single" w:sz="4" w:space="0" w:color="auto"/>
              <w:right w:val="nil"/>
            </w:tcBorders>
            <w:hideMark/>
          </w:tcPr>
          <w:p w14:paraId="0F459C3B" w14:textId="77777777" w:rsidR="00AE4EEA" w:rsidRDefault="00AE4EEA">
            <w:pPr>
              <w:keepNext/>
              <w:jc w:val="left"/>
              <w:rPr>
                <w:rFonts w:ascii="Arial Narrow" w:hAnsi="Arial Narrow" w:cs="Times New Roman"/>
                <w:b/>
                <w:bCs/>
                <w:snapToGrid w:val="0"/>
                <w:sz w:val="20"/>
              </w:rPr>
            </w:pPr>
            <w:r>
              <w:rPr>
                <w:rFonts w:ascii="Arial Narrow" w:hAnsi="Arial Narrow" w:cs="Times New Roman"/>
                <w:b/>
                <w:snapToGrid w:val="0"/>
                <w:sz w:val="20"/>
              </w:rPr>
              <w:t>Name, restriction, manner of administration, form</w:t>
            </w:r>
          </w:p>
        </w:tc>
        <w:tc>
          <w:tcPr>
            <w:tcW w:w="1022" w:type="pct"/>
            <w:gridSpan w:val="2"/>
            <w:tcBorders>
              <w:top w:val="single" w:sz="4" w:space="0" w:color="auto"/>
              <w:left w:val="nil"/>
              <w:bottom w:val="single" w:sz="4" w:space="0" w:color="auto"/>
              <w:right w:val="nil"/>
            </w:tcBorders>
            <w:hideMark/>
          </w:tcPr>
          <w:p w14:paraId="7C872AB1" w14:textId="77777777" w:rsidR="00AE4EEA" w:rsidRDefault="00AE4EEA">
            <w:pPr>
              <w:keepNext/>
              <w:jc w:val="center"/>
              <w:rPr>
                <w:rFonts w:ascii="Arial Narrow" w:hAnsi="Arial Narrow" w:cs="Times New Roman"/>
                <w:b/>
                <w:bCs/>
                <w:snapToGrid w:val="0"/>
                <w:sz w:val="20"/>
              </w:rPr>
            </w:pPr>
            <w:r>
              <w:rPr>
                <w:rFonts w:ascii="Arial Narrow" w:hAnsi="Arial Narrow" w:cs="Times New Roman"/>
                <w:b/>
                <w:snapToGrid w:val="0"/>
                <w:sz w:val="20"/>
              </w:rPr>
              <w:t>Maximum quantity (packs)</w:t>
            </w:r>
          </w:p>
        </w:tc>
        <w:tc>
          <w:tcPr>
            <w:tcW w:w="707" w:type="pct"/>
            <w:tcBorders>
              <w:top w:val="single" w:sz="4" w:space="0" w:color="auto"/>
              <w:left w:val="nil"/>
              <w:bottom w:val="single" w:sz="4" w:space="0" w:color="auto"/>
              <w:right w:val="nil"/>
            </w:tcBorders>
            <w:hideMark/>
          </w:tcPr>
          <w:p w14:paraId="687DCF65" w14:textId="77777777" w:rsidR="00AE4EEA" w:rsidRDefault="00AE4EEA">
            <w:pPr>
              <w:keepNext/>
              <w:jc w:val="center"/>
              <w:rPr>
                <w:rFonts w:ascii="Arial Narrow" w:hAnsi="Arial Narrow" w:cs="Times New Roman"/>
                <w:b/>
                <w:bCs/>
                <w:snapToGrid w:val="0"/>
                <w:sz w:val="20"/>
              </w:rPr>
            </w:pPr>
            <w:r>
              <w:rPr>
                <w:rFonts w:ascii="Arial Narrow" w:hAnsi="Arial Narrow" w:cs="Times New Roman"/>
                <w:b/>
                <w:snapToGrid w:val="0"/>
                <w:sz w:val="20"/>
              </w:rPr>
              <w:t>Maximum quantity (units)</w:t>
            </w:r>
          </w:p>
        </w:tc>
        <w:tc>
          <w:tcPr>
            <w:tcW w:w="548" w:type="pct"/>
            <w:tcBorders>
              <w:top w:val="single" w:sz="4" w:space="0" w:color="auto"/>
              <w:left w:val="nil"/>
              <w:bottom w:val="single" w:sz="4" w:space="0" w:color="auto"/>
              <w:right w:val="nil"/>
            </w:tcBorders>
            <w:hideMark/>
          </w:tcPr>
          <w:p w14:paraId="3D8A42B6" w14:textId="77777777" w:rsidR="00AE4EEA" w:rsidRDefault="00AE4EEA">
            <w:pPr>
              <w:keepNext/>
              <w:jc w:val="center"/>
              <w:rPr>
                <w:rFonts w:ascii="Arial Narrow" w:hAnsi="Arial Narrow" w:cs="Times New Roman"/>
                <w:b/>
                <w:bCs/>
                <w:snapToGrid w:val="0"/>
                <w:sz w:val="20"/>
              </w:rPr>
            </w:pPr>
            <w:r>
              <w:rPr>
                <w:rFonts w:ascii="Arial Narrow" w:hAnsi="Arial Narrow" w:cs="Times New Roman"/>
                <w:b/>
                <w:snapToGrid w:val="0"/>
                <w:sz w:val="20"/>
              </w:rPr>
              <w:t>No. of repeats</w:t>
            </w:r>
          </w:p>
        </w:tc>
        <w:tc>
          <w:tcPr>
            <w:tcW w:w="1467" w:type="pct"/>
            <w:gridSpan w:val="2"/>
            <w:tcBorders>
              <w:top w:val="single" w:sz="4" w:space="0" w:color="auto"/>
              <w:left w:val="nil"/>
              <w:bottom w:val="single" w:sz="4" w:space="0" w:color="auto"/>
              <w:right w:val="nil"/>
            </w:tcBorders>
            <w:hideMark/>
          </w:tcPr>
          <w:p w14:paraId="7C2E24F8" w14:textId="77777777" w:rsidR="00AE4EEA" w:rsidRDefault="00AE4EEA">
            <w:pPr>
              <w:keepNext/>
              <w:jc w:val="center"/>
              <w:rPr>
                <w:rFonts w:ascii="Arial Narrow" w:hAnsi="Arial Narrow" w:cs="Times New Roman"/>
                <w:b/>
                <w:bCs/>
                <w:snapToGrid w:val="0"/>
                <w:sz w:val="20"/>
              </w:rPr>
            </w:pPr>
            <w:r>
              <w:rPr>
                <w:rFonts w:ascii="Arial Narrow" w:hAnsi="Arial Narrow" w:cs="Times New Roman"/>
                <w:b/>
                <w:snapToGrid w:val="0"/>
                <w:sz w:val="20"/>
              </w:rPr>
              <w:t>Proprietary name and manufacturer</w:t>
            </w:r>
          </w:p>
        </w:tc>
      </w:tr>
      <w:tr w:rsidR="00AE4EEA" w14:paraId="1EA4A446" w14:textId="77777777" w:rsidTr="00AE4EEA">
        <w:tc>
          <w:tcPr>
            <w:tcW w:w="3533" w:type="pct"/>
            <w:gridSpan w:val="5"/>
            <w:tcBorders>
              <w:top w:val="single" w:sz="4" w:space="0" w:color="auto"/>
              <w:left w:val="nil"/>
              <w:bottom w:val="single" w:sz="4" w:space="0" w:color="auto"/>
              <w:right w:val="nil"/>
            </w:tcBorders>
            <w:vAlign w:val="bottom"/>
            <w:hideMark/>
          </w:tcPr>
          <w:p w14:paraId="586A9D3D" w14:textId="77777777" w:rsidR="00AE4EEA" w:rsidRDefault="00AE4EEA">
            <w:pPr>
              <w:jc w:val="left"/>
              <w:rPr>
                <w:rFonts w:ascii="Arial Narrow" w:hAnsi="Arial Narrow" w:cs="Times New Roman"/>
                <w:snapToGrid w:val="0"/>
                <w:sz w:val="20"/>
              </w:rPr>
            </w:pPr>
            <w:r>
              <w:rPr>
                <w:rFonts w:ascii="Arial Narrow" w:hAnsi="Arial Narrow" w:cs="Times New Roman"/>
                <w:b/>
                <w:bCs/>
                <w:i/>
                <w:iCs/>
                <w:snapToGrid w:val="0"/>
                <w:sz w:val="20"/>
              </w:rPr>
              <w:t>Initial / Continuing / Grandfathered</w:t>
            </w:r>
          </w:p>
        </w:tc>
        <w:tc>
          <w:tcPr>
            <w:tcW w:w="40" w:type="pct"/>
            <w:tcBorders>
              <w:top w:val="single" w:sz="4" w:space="0" w:color="auto"/>
              <w:left w:val="nil"/>
              <w:bottom w:val="single" w:sz="4" w:space="0" w:color="auto"/>
              <w:right w:val="nil"/>
            </w:tcBorders>
            <w:vAlign w:val="bottom"/>
          </w:tcPr>
          <w:p w14:paraId="0D1F1311" w14:textId="77777777" w:rsidR="00AE4EEA" w:rsidRDefault="00AE4EEA">
            <w:pPr>
              <w:jc w:val="left"/>
              <w:rPr>
                <w:rFonts w:ascii="Arial Narrow" w:hAnsi="Arial Narrow" w:cs="Times New Roman"/>
                <w:i/>
                <w:iCs/>
                <w:snapToGrid w:val="0"/>
                <w:sz w:val="20"/>
              </w:rPr>
            </w:pPr>
          </w:p>
        </w:tc>
        <w:tc>
          <w:tcPr>
            <w:tcW w:w="1427" w:type="pct"/>
            <w:tcBorders>
              <w:top w:val="single" w:sz="4" w:space="0" w:color="auto"/>
              <w:left w:val="nil"/>
              <w:bottom w:val="single" w:sz="4" w:space="0" w:color="auto"/>
              <w:right w:val="nil"/>
            </w:tcBorders>
            <w:vAlign w:val="bottom"/>
          </w:tcPr>
          <w:p w14:paraId="7C2B27D9" w14:textId="77777777" w:rsidR="00AE4EEA" w:rsidRDefault="00AE4EEA">
            <w:pPr>
              <w:jc w:val="left"/>
              <w:rPr>
                <w:rFonts w:ascii="Arial Narrow" w:hAnsi="Arial Narrow" w:cs="Times New Roman"/>
                <w:i/>
                <w:iCs/>
                <w:snapToGrid w:val="0"/>
                <w:sz w:val="20"/>
              </w:rPr>
            </w:pPr>
          </w:p>
        </w:tc>
      </w:tr>
      <w:tr w:rsidR="00AE4EEA" w14:paraId="381E0607" w14:textId="77777777" w:rsidTr="00AE4EEA">
        <w:tc>
          <w:tcPr>
            <w:tcW w:w="1256" w:type="pct"/>
            <w:tcBorders>
              <w:top w:val="single" w:sz="4" w:space="0" w:color="auto"/>
              <w:left w:val="nil"/>
              <w:bottom w:val="single" w:sz="4" w:space="0" w:color="auto"/>
              <w:right w:val="nil"/>
            </w:tcBorders>
            <w:vAlign w:val="bottom"/>
            <w:hideMark/>
          </w:tcPr>
          <w:p w14:paraId="2D3ECF66" w14:textId="77777777" w:rsidR="00AE4EEA" w:rsidRDefault="00AE4EEA">
            <w:pPr>
              <w:jc w:val="left"/>
              <w:rPr>
                <w:rFonts w:ascii="Arial Narrow" w:hAnsi="Arial Narrow" w:cs="Times New Roman"/>
                <w:bCs/>
                <w:snapToGrid w:val="0"/>
                <w:sz w:val="20"/>
              </w:rPr>
            </w:pPr>
            <w:r>
              <w:rPr>
                <w:rFonts w:ascii="Arial Narrow" w:hAnsi="Arial Narrow" w:cs="Times New Roman"/>
                <w:snapToGrid w:val="0"/>
                <w:sz w:val="20"/>
              </w:rPr>
              <w:t>BUROSUMAB</w:t>
            </w:r>
            <w:r>
              <w:rPr>
                <w:rFonts w:ascii="Arial Narrow" w:hAnsi="Arial Narrow" w:cs="Times New Roman"/>
                <w:bCs/>
                <w:snapToGrid w:val="0"/>
                <w:sz w:val="20"/>
              </w:rPr>
              <w:t xml:space="preserve"> </w:t>
            </w:r>
          </w:p>
          <w:p w14:paraId="5DA737D9" w14:textId="77777777" w:rsidR="00AE4EEA" w:rsidRDefault="00AE4EEA">
            <w:pPr>
              <w:jc w:val="left"/>
              <w:rPr>
                <w:rFonts w:ascii="Arial Narrow" w:hAnsi="Arial Narrow" w:cs="Times New Roman"/>
                <w:snapToGrid w:val="0"/>
                <w:sz w:val="20"/>
              </w:rPr>
            </w:pPr>
            <w:r>
              <w:rPr>
                <w:rFonts w:ascii="Arial Narrow" w:hAnsi="Arial Narrow" w:cs="Times New Roman"/>
                <w:bCs/>
                <w:snapToGrid w:val="0"/>
                <w:sz w:val="20"/>
              </w:rPr>
              <w:t>10 mg in 1 mL</w:t>
            </w:r>
          </w:p>
        </w:tc>
        <w:tc>
          <w:tcPr>
            <w:tcW w:w="943" w:type="pct"/>
            <w:tcBorders>
              <w:top w:val="single" w:sz="4" w:space="0" w:color="auto"/>
              <w:left w:val="nil"/>
              <w:bottom w:val="single" w:sz="4" w:space="0" w:color="auto"/>
              <w:right w:val="nil"/>
            </w:tcBorders>
            <w:vAlign w:val="center"/>
            <w:hideMark/>
          </w:tcPr>
          <w:p w14:paraId="731657B8"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786" w:type="pct"/>
            <w:gridSpan w:val="2"/>
            <w:tcBorders>
              <w:top w:val="single" w:sz="4" w:space="0" w:color="auto"/>
              <w:left w:val="nil"/>
              <w:bottom w:val="single" w:sz="4" w:space="0" w:color="auto"/>
              <w:right w:val="nil"/>
            </w:tcBorders>
            <w:vAlign w:val="center"/>
            <w:hideMark/>
          </w:tcPr>
          <w:p w14:paraId="3B303085"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548" w:type="pct"/>
            <w:tcBorders>
              <w:top w:val="single" w:sz="4" w:space="0" w:color="auto"/>
              <w:left w:val="nil"/>
              <w:bottom w:val="single" w:sz="4" w:space="0" w:color="auto"/>
              <w:right w:val="nil"/>
            </w:tcBorders>
            <w:vAlign w:val="center"/>
            <w:hideMark/>
          </w:tcPr>
          <w:p w14:paraId="42C22FC3"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0</w:t>
            </w:r>
          </w:p>
        </w:tc>
        <w:tc>
          <w:tcPr>
            <w:tcW w:w="1467" w:type="pct"/>
            <w:gridSpan w:val="2"/>
            <w:vMerge w:val="restart"/>
            <w:tcBorders>
              <w:top w:val="single" w:sz="4" w:space="0" w:color="auto"/>
              <w:left w:val="nil"/>
              <w:bottom w:val="single" w:sz="4" w:space="0" w:color="auto"/>
              <w:right w:val="nil"/>
            </w:tcBorders>
            <w:vAlign w:val="center"/>
            <w:hideMark/>
          </w:tcPr>
          <w:p w14:paraId="2EAF36B0"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Crysvita®</w:t>
            </w:r>
          </w:p>
          <w:p w14:paraId="12D1D887"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Kyowa Kirin</w:t>
            </w:r>
          </w:p>
          <w:p w14:paraId="176C7DAD"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Australia Pty Ltd</w:t>
            </w:r>
          </w:p>
        </w:tc>
      </w:tr>
      <w:tr w:rsidR="00AE4EEA" w14:paraId="4DB98CD6" w14:textId="77777777" w:rsidTr="00AE4EEA">
        <w:tc>
          <w:tcPr>
            <w:tcW w:w="1256" w:type="pct"/>
            <w:tcBorders>
              <w:top w:val="single" w:sz="4" w:space="0" w:color="auto"/>
              <w:left w:val="nil"/>
              <w:bottom w:val="single" w:sz="4" w:space="0" w:color="auto"/>
              <w:right w:val="nil"/>
            </w:tcBorders>
            <w:vAlign w:val="center"/>
            <w:hideMark/>
          </w:tcPr>
          <w:p w14:paraId="72DA0C83" w14:textId="77777777" w:rsidR="00AE4EEA" w:rsidRDefault="00AE4EEA">
            <w:pPr>
              <w:jc w:val="left"/>
              <w:rPr>
                <w:rFonts w:ascii="Arial Narrow" w:hAnsi="Arial Narrow" w:cs="Times New Roman"/>
                <w:snapToGrid w:val="0"/>
                <w:sz w:val="20"/>
              </w:rPr>
            </w:pPr>
            <w:r>
              <w:rPr>
                <w:rFonts w:ascii="Arial Narrow" w:hAnsi="Arial Narrow" w:cs="Times New Roman"/>
                <w:snapToGrid w:val="0"/>
                <w:sz w:val="20"/>
              </w:rPr>
              <w:t xml:space="preserve">BUROSUMAB </w:t>
            </w:r>
          </w:p>
          <w:p w14:paraId="321EF2DB" w14:textId="77777777" w:rsidR="00AE4EEA" w:rsidRDefault="00AE4EEA">
            <w:pPr>
              <w:jc w:val="left"/>
              <w:rPr>
                <w:rFonts w:ascii="Arial Narrow" w:hAnsi="Arial Narrow" w:cs="Times New Roman"/>
                <w:snapToGrid w:val="0"/>
                <w:sz w:val="20"/>
              </w:rPr>
            </w:pPr>
            <w:r>
              <w:rPr>
                <w:rFonts w:ascii="Arial Narrow" w:hAnsi="Arial Narrow" w:cs="Times New Roman"/>
                <w:snapToGrid w:val="0"/>
                <w:sz w:val="20"/>
              </w:rPr>
              <w:t>20 mg in 1 mL</w:t>
            </w:r>
          </w:p>
        </w:tc>
        <w:tc>
          <w:tcPr>
            <w:tcW w:w="943" w:type="pct"/>
            <w:tcBorders>
              <w:top w:val="single" w:sz="4" w:space="0" w:color="auto"/>
              <w:left w:val="nil"/>
              <w:bottom w:val="single" w:sz="4" w:space="0" w:color="auto"/>
              <w:right w:val="nil"/>
            </w:tcBorders>
            <w:vAlign w:val="center"/>
            <w:hideMark/>
          </w:tcPr>
          <w:p w14:paraId="6857795F"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786" w:type="pct"/>
            <w:gridSpan w:val="2"/>
            <w:tcBorders>
              <w:top w:val="single" w:sz="4" w:space="0" w:color="auto"/>
              <w:left w:val="nil"/>
              <w:bottom w:val="single" w:sz="4" w:space="0" w:color="auto"/>
              <w:right w:val="nil"/>
            </w:tcBorders>
            <w:vAlign w:val="center"/>
            <w:hideMark/>
          </w:tcPr>
          <w:p w14:paraId="7ED82C17"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548" w:type="pct"/>
            <w:tcBorders>
              <w:top w:val="single" w:sz="4" w:space="0" w:color="auto"/>
              <w:left w:val="nil"/>
              <w:bottom w:val="single" w:sz="4" w:space="0" w:color="auto"/>
              <w:right w:val="nil"/>
            </w:tcBorders>
            <w:vAlign w:val="center"/>
            <w:hideMark/>
          </w:tcPr>
          <w:p w14:paraId="462074DA"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0</w:t>
            </w:r>
          </w:p>
        </w:tc>
        <w:tc>
          <w:tcPr>
            <w:tcW w:w="0" w:type="auto"/>
            <w:gridSpan w:val="2"/>
            <w:vMerge/>
            <w:tcBorders>
              <w:top w:val="single" w:sz="4" w:space="0" w:color="auto"/>
              <w:left w:val="nil"/>
              <w:bottom w:val="single" w:sz="4" w:space="0" w:color="auto"/>
              <w:right w:val="nil"/>
            </w:tcBorders>
            <w:vAlign w:val="center"/>
            <w:hideMark/>
          </w:tcPr>
          <w:p w14:paraId="662FAAD5" w14:textId="77777777" w:rsidR="00AE4EEA" w:rsidRDefault="00AE4EEA">
            <w:pPr>
              <w:jc w:val="left"/>
              <w:rPr>
                <w:rFonts w:ascii="Arial Narrow" w:hAnsi="Arial Narrow" w:cs="Times New Roman"/>
                <w:snapToGrid w:val="0"/>
                <w:sz w:val="20"/>
              </w:rPr>
            </w:pPr>
          </w:p>
        </w:tc>
      </w:tr>
      <w:tr w:rsidR="00AE4EEA" w14:paraId="0C7D161B" w14:textId="77777777" w:rsidTr="00AE4EEA">
        <w:tc>
          <w:tcPr>
            <w:tcW w:w="1256" w:type="pct"/>
            <w:tcBorders>
              <w:top w:val="single" w:sz="4" w:space="0" w:color="auto"/>
              <w:left w:val="nil"/>
              <w:bottom w:val="single" w:sz="4" w:space="0" w:color="auto"/>
              <w:right w:val="nil"/>
            </w:tcBorders>
            <w:vAlign w:val="center"/>
            <w:hideMark/>
          </w:tcPr>
          <w:p w14:paraId="625CD750" w14:textId="77777777" w:rsidR="00AE4EEA" w:rsidRDefault="00AE4EEA">
            <w:pPr>
              <w:jc w:val="left"/>
              <w:rPr>
                <w:rFonts w:ascii="Arial Narrow" w:hAnsi="Arial Narrow" w:cs="Times New Roman"/>
                <w:snapToGrid w:val="0"/>
                <w:sz w:val="20"/>
              </w:rPr>
            </w:pPr>
            <w:r>
              <w:rPr>
                <w:rFonts w:ascii="Arial Narrow" w:hAnsi="Arial Narrow" w:cs="Times New Roman"/>
                <w:snapToGrid w:val="0"/>
                <w:sz w:val="20"/>
              </w:rPr>
              <w:t xml:space="preserve">BUROSUMAB </w:t>
            </w:r>
          </w:p>
          <w:p w14:paraId="1EBD15A5" w14:textId="77777777" w:rsidR="00AE4EEA" w:rsidRDefault="00AE4EEA">
            <w:pPr>
              <w:jc w:val="left"/>
              <w:rPr>
                <w:rFonts w:ascii="Arial Narrow" w:hAnsi="Arial Narrow" w:cs="Times New Roman"/>
                <w:snapToGrid w:val="0"/>
                <w:sz w:val="20"/>
              </w:rPr>
            </w:pPr>
            <w:r>
              <w:rPr>
                <w:rFonts w:ascii="Arial Narrow" w:hAnsi="Arial Narrow" w:cs="Times New Roman"/>
                <w:snapToGrid w:val="0"/>
                <w:sz w:val="20"/>
              </w:rPr>
              <w:t>30 mg in 1 mL</w:t>
            </w:r>
          </w:p>
        </w:tc>
        <w:tc>
          <w:tcPr>
            <w:tcW w:w="943" w:type="pct"/>
            <w:tcBorders>
              <w:top w:val="single" w:sz="4" w:space="0" w:color="auto"/>
              <w:left w:val="nil"/>
              <w:bottom w:val="single" w:sz="4" w:space="0" w:color="auto"/>
              <w:right w:val="nil"/>
            </w:tcBorders>
            <w:vAlign w:val="center"/>
            <w:hideMark/>
          </w:tcPr>
          <w:p w14:paraId="56F41EE6"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786" w:type="pct"/>
            <w:gridSpan w:val="2"/>
            <w:tcBorders>
              <w:top w:val="single" w:sz="4" w:space="0" w:color="auto"/>
              <w:left w:val="nil"/>
              <w:bottom w:val="single" w:sz="4" w:space="0" w:color="auto"/>
              <w:right w:val="nil"/>
            </w:tcBorders>
            <w:vAlign w:val="center"/>
            <w:hideMark/>
          </w:tcPr>
          <w:p w14:paraId="6E525417"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2</w:t>
            </w:r>
          </w:p>
        </w:tc>
        <w:tc>
          <w:tcPr>
            <w:tcW w:w="548" w:type="pct"/>
            <w:tcBorders>
              <w:top w:val="single" w:sz="4" w:space="0" w:color="auto"/>
              <w:left w:val="nil"/>
              <w:bottom w:val="single" w:sz="4" w:space="0" w:color="auto"/>
              <w:right w:val="nil"/>
            </w:tcBorders>
            <w:vAlign w:val="center"/>
            <w:hideMark/>
          </w:tcPr>
          <w:p w14:paraId="6770DDD4" w14:textId="77777777" w:rsidR="00AE4EEA" w:rsidRDefault="00AE4EEA">
            <w:pPr>
              <w:jc w:val="center"/>
              <w:rPr>
                <w:rFonts w:ascii="Arial Narrow" w:hAnsi="Arial Narrow" w:cs="Times New Roman"/>
                <w:snapToGrid w:val="0"/>
                <w:sz w:val="20"/>
              </w:rPr>
            </w:pPr>
            <w:r>
              <w:rPr>
                <w:rFonts w:ascii="Arial Narrow" w:hAnsi="Arial Narrow" w:cs="Times New Roman"/>
                <w:snapToGrid w:val="0"/>
                <w:sz w:val="20"/>
              </w:rPr>
              <w:t>0</w:t>
            </w:r>
          </w:p>
        </w:tc>
        <w:tc>
          <w:tcPr>
            <w:tcW w:w="0" w:type="auto"/>
            <w:gridSpan w:val="2"/>
            <w:vMerge/>
            <w:tcBorders>
              <w:top w:val="single" w:sz="4" w:space="0" w:color="auto"/>
              <w:left w:val="nil"/>
              <w:bottom w:val="single" w:sz="4" w:space="0" w:color="auto"/>
              <w:right w:val="nil"/>
            </w:tcBorders>
            <w:vAlign w:val="center"/>
            <w:hideMark/>
          </w:tcPr>
          <w:p w14:paraId="6FFB085F" w14:textId="77777777" w:rsidR="00AE4EEA" w:rsidRDefault="00AE4EEA">
            <w:pPr>
              <w:jc w:val="left"/>
              <w:rPr>
                <w:rFonts w:ascii="Arial Narrow" w:hAnsi="Arial Narrow" w:cs="Times New Roman"/>
                <w:snapToGrid w:val="0"/>
                <w:sz w:val="20"/>
              </w:rPr>
            </w:pPr>
          </w:p>
        </w:tc>
      </w:tr>
    </w:tbl>
    <w:p w14:paraId="35C5CB5F" w14:textId="77777777" w:rsidR="00AE4EEA" w:rsidRDefault="00AE4EEA" w:rsidP="00AE4EEA"/>
    <w:tbl>
      <w:tblPr>
        <w:tblStyle w:val="TableGrid"/>
        <w:tblW w:w="9072" w:type="dxa"/>
        <w:tblLook w:val="04A0" w:firstRow="1" w:lastRow="0" w:firstColumn="1" w:lastColumn="0" w:noHBand="0" w:noVBand="1"/>
      </w:tblPr>
      <w:tblGrid>
        <w:gridCol w:w="9072"/>
      </w:tblGrid>
      <w:tr w:rsidR="00AE4EEA" w14:paraId="2D01D3A3"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17D2E2" w14:textId="77777777" w:rsidR="00AE4EEA" w:rsidRDefault="00AE4EEA">
            <w:pPr>
              <w:pStyle w:val="Table"/>
              <w:rPr>
                <w:rFonts w:ascii="Arial Narrow" w:hAnsi="Arial Narrow"/>
                <w:strike/>
                <w:szCs w:val="20"/>
              </w:rPr>
            </w:pPr>
            <w:r>
              <w:rPr>
                <w:rFonts w:ascii="Arial Narrow" w:hAnsi="Arial Narrow"/>
                <w:b/>
                <w:szCs w:val="20"/>
              </w:rPr>
              <w:t xml:space="preserve">Category / program: </w:t>
            </w:r>
            <w:r>
              <w:rPr>
                <w:rFonts w:ascii="Arial Narrow" w:hAnsi="Arial Narrow"/>
                <w:szCs w:val="20"/>
              </w:rPr>
              <w:t xml:space="preserve">Section 100 (Highly Specialised Drugs Program) </w:t>
            </w:r>
          </w:p>
        </w:tc>
      </w:tr>
      <w:tr w:rsidR="00AE4EEA" w14:paraId="19AA6D4E"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20DC26" w14:textId="77777777" w:rsidR="00AE4EEA" w:rsidRDefault="00AE4EEA">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AE4EEA" w14:paraId="15D63DD8" w14:textId="77777777" w:rsidTr="00AE4EEA">
        <w:trPr>
          <w:trHeight w:val="178"/>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301876" w14:textId="77777777" w:rsidR="00AE4EEA" w:rsidRDefault="00AE4EEA">
            <w:pPr>
              <w:pStyle w:val="Table"/>
              <w:rPr>
                <w:rFonts w:ascii="Arial Narrow" w:hAnsi="Arial Narrow"/>
                <w:b/>
                <w:szCs w:val="20"/>
              </w:rPr>
            </w:pPr>
            <w:r>
              <w:rPr>
                <w:rFonts w:ascii="Arial Narrow" w:hAnsi="Arial Narrow"/>
                <w:b/>
                <w:szCs w:val="20"/>
              </w:rPr>
              <w:t xml:space="preserve">Restriction type: </w:t>
            </w:r>
          </w:p>
          <w:p w14:paraId="62273983" w14:textId="77777777" w:rsidR="00AE4EEA" w:rsidRDefault="00AE4EEA">
            <w:pPr>
              <w:pStyle w:val="Table"/>
              <w:rPr>
                <w:rFonts w:ascii="Arial Narrow" w:hAnsi="Arial Narrow"/>
                <w:szCs w:val="20"/>
              </w:rPr>
            </w:pPr>
            <w:r>
              <w:fldChar w:fldCharType="begin">
                <w:ffData>
                  <w:name w:val="Check5"/>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 Authority Required – telephone/online PBS Authorities system</w:t>
            </w:r>
          </w:p>
        </w:tc>
      </w:tr>
      <w:tr w:rsidR="00AE4EEA" w14:paraId="000FD3AD"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0F467B" w14:textId="77777777" w:rsidR="00AE4EEA" w:rsidRDefault="00AE4EEA">
            <w:pPr>
              <w:pStyle w:val="Table"/>
              <w:rPr>
                <w:rFonts w:ascii="Arial Narrow" w:hAnsi="Arial Narrow"/>
                <w:szCs w:val="20"/>
              </w:rPr>
            </w:pPr>
            <w:r>
              <w:rPr>
                <w:rFonts w:ascii="Arial Narrow" w:hAnsi="Arial Narrow"/>
                <w:b/>
                <w:szCs w:val="20"/>
              </w:rPr>
              <w:t xml:space="preserve">Episodicity: </w:t>
            </w:r>
            <w:r>
              <w:rPr>
                <w:rFonts w:ascii="Arial Narrow" w:hAnsi="Arial Narrow"/>
                <w:szCs w:val="20"/>
              </w:rPr>
              <w:t>[blank]</w:t>
            </w:r>
          </w:p>
        </w:tc>
      </w:tr>
      <w:tr w:rsidR="00AE4EEA" w14:paraId="58E4B18E" w14:textId="77777777" w:rsidTr="00AE4EEA">
        <w:trPr>
          <w:trHeight w:val="18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38320A" w14:textId="77777777" w:rsidR="00AE4EEA" w:rsidRDefault="00AE4EEA">
            <w:pPr>
              <w:pStyle w:val="Table"/>
              <w:rPr>
                <w:rFonts w:ascii="Arial Narrow" w:hAnsi="Arial Narrow"/>
                <w:szCs w:val="20"/>
              </w:rPr>
            </w:pPr>
            <w:r>
              <w:rPr>
                <w:rFonts w:ascii="Arial Narrow" w:hAnsi="Arial Narrow"/>
                <w:b/>
                <w:szCs w:val="20"/>
              </w:rPr>
              <w:t xml:space="preserve">Severity: </w:t>
            </w:r>
            <w:r>
              <w:rPr>
                <w:rFonts w:ascii="Arial Narrow" w:hAnsi="Arial Narrow"/>
                <w:szCs w:val="20"/>
              </w:rPr>
              <w:t>[blank]</w:t>
            </w:r>
          </w:p>
        </w:tc>
      </w:tr>
      <w:tr w:rsidR="00AE4EEA" w14:paraId="37D066D7" w14:textId="77777777" w:rsidTr="00AE4EEA">
        <w:trPr>
          <w:trHeight w:val="72"/>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7C68E1" w14:textId="77777777" w:rsidR="00AE4EEA" w:rsidRDefault="00AE4EEA">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X-linked hypophosphataemia</w:t>
            </w:r>
          </w:p>
        </w:tc>
      </w:tr>
      <w:tr w:rsidR="00AE4EEA" w14:paraId="72A85CB9"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061D8C" w14:textId="77777777" w:rsidR="00AE4EEA" w:rsidRDefault="00AE4EEA">
            <w:pPr>
              <w:pStyle w:val="Table"/>
              <w:rPr>
                <w:rFonts w:ascii="Arial Narrow" w:hAnsi="Arial Narrow"/>
                <w:szCs w:val="20"/>
              </w:rPr>
            </w:pPr>
            <w:r>
              <w:rPr>
                <w:rFonts w:ascii="Arial Narrow" w:hAnsi="Arial Narrow"/>
                <w:b/>
                <w:szCs w:val="20"/>
              </w:rPr>
              <w:lastRenderedPageBreak/>
              <w:t xml:space="preserve">PBS Indication: </w:t>
            </w:r>
            <w:r>
              <w:rPr>
                <w:rFonts w:ascii="Arial Narrow" w:hAnsi="Arial Narrow"/>
                <w:szCs w:val="20"/>
              </w:rPr>
              <w:t>X-linked hypophosphataemia</w:t>
            </w:r>
          </w:p>
        </w:tc>
      </w:tr>
      <w:tr w:rsidR="00AE4EEA" w14:paraId="772CE4E9" w14:textId="77777777" w:rsidTr="00AE4EEA">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FA0F61" w14:textId="77777777" w:rsidR="00AE4EEA" w:rsidRDefault="00AE4EEA">
            <w:pPr>
              <w:pStyle w:val="Table"/>
              <w:rPr>
                <w:rFonts w:ascii="Arial Narrow" w:hAnsi="Arial Narrow"/>
                <w:szCs w:val="20"/>
              </w:rPr>
            </w:pPr>
            <w:r>
              <w:rPr>
                <w:rFonts w:ascii="Arial Narrow" w:hAnsi="Arial Narrow"/>
                <w:b/>
                <w:szCs w:val="20"/>
              </w:rPr>
              <w:t xml:space="preserve">Treatment phase: </w:t>
            </w:r>
            <w:r>
              <w:rPr>
                <w:rFonts w:ascii="Arial Narrow" w:hAnsi="Arial Narrow"/>
                <w:szCs w:val="20"/>
              </w:rPr>
              <w:t>Initial</w:t>
            </w:r>
          </w:p>
        </w:tc>
      </w:tr>
      <w:tr w:rsidR="00AE4EEA" w14:paraId="69774CED" w14:textId="77777777" w:rsidTr="00AE4EEA">
        <w:trPr>
          <w:trHeight w:val="136"/>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56B556" w14:textId="77777777" w:rsidR="00AE4EEA" w:rsidRDefault="00AE4EEA">
            <w:pPr>
              <w:pStyle w:val="Table"/>
              <w:rPr>
                <w:rFonts w:ascii="Arial Narrow" w:hAnsi="Arial Narrow"/>
                <w:b/>
                <w:szCs w:val="20"/>
              </w:rPr>
            </w:pPr>
          </w:p>
        </w:tc>
      </w:tr>
      <w:tr w:rsidR="00AE4EEA" w14:paraId="42F7B416" w14:textId="77777777" w:rsidTr="00AE4EEA">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CF1224" w14:textId="77777777" w:rsidR="00AE4EEA" w:rsidRDefault="00AE4EEA">
            <w:pPr>
              <w:pStyle w:val="Table"/>
              <w:rPr>
                <w:rFonts w:ascii="Arial Narrow" w:hAnsi="Arial Narrow"/>
                <w:szCs w:val="20"/>
              </w:rPr>
            </w:pPr>
            <w:r>
              <w:rPr>
                <w:rFonts w:ascii="Arial Narrow" w:hAnsi="Arial Narrow"/>
                <w:b/>
                <w:szCs w:val="20"/>
              </w:rPr>
              <w:t xml:space="preserve">Clinical criteria: </w:t>
            </w:r>
          </w:p>
        </w:tc>
      </w:tr>
      <w:tr w:rsidR="00AE4EEA" w14:paraId="1794CEC9" w14:textId="77777777" w:rsidTr="00AE4EEA">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C494FF" w14:textId="77777777" w:rsidR="00AE4EEA" w:rsidRDefault="00AE4EEA">
            <w:pPr>
              <w:pStyle w:val="Table"/>
              <w:rPr>
                <w:rFonts w:ascii="Arial Narrow" w:hAnsi="Arial Narrow"/>
                <w:b/>
                <w:szCs w:val="20"/>
              </w:rPr>
            </w:pPr>
            <w:r>
              <w:rPr>
                <w:rFonts w:ascii="Arial Narrow" w:hAnsi="Arial Narrow"/>
                <w:szCs w:val="20"/>
              </w:rPr>
              <w:t>Patient must have a documented confirmation of PHEX pathogenic variant; OR</w:t>
            </w:r>
          </w:p>
        </w:tc>
      </w:tr>
      <w:tr w:rsidR="00AE4EEA" w14:paraId="66AC02F8" w14:textId="77777777" w:rsidTr="00AE4EEA">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CDA7D2" w14:textId="77777777" w:rsidR="00AE4EEA" w:rsidRDefault="00AE4EEA">
            <w:pPr>
              <w:pStyle w:val="Table"/>
              <w:rPr>
                <w:rFonts w:ascii="Arial Narrow" w:hAnsi="Arial Narrow"/>
                <w:szCs w:val="20"/>
              </w:rPr>
            </w:pPr>
            <w:r>
              <w:rPr>
                <w:rFonts w:ascii="Arial Narrow" w:hAnsi="Arial Narrow"/>
                <w:szCs w:val="20"/>
              </w:rPr>
              <w:t>Patient must have a diagnosis of X-Linked hypophosphataemia by the presence of all of the following: (i) a serum phosphate concentration below the age adjusted lower limit of normal; (ii) current or historical (for those with growth plate fusion) radiographic X-ray evidence of rickets; (iii) elevated (or inappropriately normal) serum or plasma FGF-23 levels of above the mean of the assay-specific reference range; (iv) renal phosphate wasting demonstrated by a ratio of tubular maximum reabsorption rate of phosphate to glomerular filtration rate (TmP/GFR) according to age specific normal ranges using the second morning urine void and paired serum sample measuring phosphate and creatinine</w:t>
            </w:r>
          </w:p>
        </w:tc>
      </w:tr>
      <w:tr w:rsidR="00AE4EEA" w14:paraId="06D2EC42" w14:textId="77777777" w:rsidTr="00AE4EEA">
        <w:trPr>
          <w:trHeight w:val="2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FAE292" w14:textId="77777777" w:rsidR="00AE4EEA" w:rsidRDefault="00AE4EEA">
            <w:pPr>
              <w:pStyle w:val="Table"/>
              <w:rPr>
                <w:rFonts w:ascii="Arial Narrow" w:hAnsi="Arial Narrow"/>
                <w:szCs w:val="20"/>
              </w:rPr>
            </w:pPr>
          </w:p>
        </w:tc>
      </w:tr>
      <w:tr w:rsidR="00AE4EEA" w14:paraId="773ABC4A" w14:textId="77777777" w:rsidTr="00AE4EEA">
        <w:trPr>
          <w:trHeight w:val="221"/>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BE6522" w14:textId="77777777" w:rsidR="00AE4EEA" w:rsidRDefault="00AE4EEA">
            <w:pPr>
              <w:pStyle w:val="Table"/>
              <w:rPr>
                <w:rFonts w:ascii="Arial Narrow" w:hAnsi="Arial Narrow"/>
                <w:b/>
                <w:szCs w:val="20"/>
              </w:rPr>
            </w:pPr>
            <w:r>
              <w:rPr>
                <w:rFonts w:ascii="Arial Narrow" w:hAnsi="Arial Narrow"/>
                <w:b/>
                <w:szCs w:val="20"/>
              </w:rPr>
              <w:t>Treatment criteria:</w:t>
            </w:r>
          </w:p>
        </w:tc>
      </w:tr>
      <w:tr w:rsidR="00AE4EEA" w14:paraId="420D6CCB" w14:textId="77777777" w:rsidTr="00AE4EEA">
        <w:trPr>
          <w:trHeight w:val="125"/>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565527" w14:textId="77777777" w:rsidR="00AE4EEA" w:rsidRDefault="00AE4EEA">
            <w:pPr>
              <w:pStyle w:val="Table"/>
              <w:rPr>
                <w:rFonts w:ascii="Arial Narrow" w:hAnsi="Arial Narrow"/>
                <w:szCs w:val="20"/>
              </w:rPr>
            </w:pPr>
            <w:r>
              <w:rPr>
                <w:rFonts w:ascii="Arial Narrow" w:hAnsi="Arial Narrow"/>
                <w:szCs w:val="20"/>
              </w:rPr>
              <w:t>Patient must be treated by one of the following specialists: (i) paediatric endocrinologist, (ii) paediatric nephrologist, (iii) endocrinologist, or (iv) nephrologist</w:t>
            </w:r>
          </w:p>
        </w:tc>
      </w:tr>
      <w:tr w:rsidR="00AE4EEA" w14:paraId="403C7F35"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13875B" w14:textId="77777777" w:rsidR="00AE4EEA" w:rsidRDefault="00AE4EEA">
            <w:pPr>
              <w:pStyle w:val="Table"/>
              <w:rPr>
                <w:rFonts w:ascii="Arial Narrow" w:hAnsi="Arial Narrow"/>
                <w:b/>
                <w:szCs w:val="20"/>
              </w:rPr>
            </w:pPr>
          </w:p>
        </w:tc>
      </w:tr>
      <w:tr w:rsidR="00AE4EEA" w14:paraId="60621324" w14:textId="77777777" w:rsidTr="00AE4EEA">
        <w:trPr>
          <w:trHeight w:val="70"/>
        </w:trPr>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E8E33A" w14:textId="77777777" w:rsidR="00AE4EEA" w:rsidRDefault="00AE4EEA">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AE4EEA" w14:paraId="6B4E1489" w14:textId="77777777" w:rsidTr="00AE4EEA">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853BA6" w14:textId="77777777" w:rsidR="00AE4EEA" w:rsidRDefault="00AE4EEA">
            <w:pPr>
              <w:rPr>
                <w:rFonts w:ascii="Arial Narrow" w:hAnsi="Arial Narrow"/>
                <w:bCs/>
                <w:u w:val="single"/>
              </w:rPr>
            </w:pPr>
          </w:p>
        </w:tc>
      </w:tr>
      <w:tr w:rsidR="00AE4EEA" w14:paraId="1960A96F" w14:textId="77777777" w:rsidTr="00AE4EEA">
        <w:tc>
          <w:tcPr>
            <w:tcW w:w="90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76C5AE" w14:textId="77777777" w:rsidR="00AE4EEA" w:rsidRDefault="00AE4EEA">
            <w:pPr>
              <w:rPr>
                <w:rFonts w:ascii="Arial Narrow" w:hAnsi="Arial Narrow"/>
                <w:bCs/>
                <w:color w:val="333333"/>
                <w:sz w:val="20"/>
                <w:szCs w:val="20"/>
                <w:u w:val="single"/>
              </w:rPr>
            </w:pPr>
            <w:r>
              <w:rPr>
                <w:rFonts w:ascii="Arial Narrow" w:hAnsi="Arial Narrow"/>
                <w:bCs/>
                <w:color w:val="333333"/>
                <w:sz w:val="20"/>
                <w:szCs w:val="20"/>
                <w:u w:val="single"/>
              </w:rPr>
              <w:t>Note</w:t>
            </w:r>
          </w:p>
          <w:p w14:paraId="408A6C11" w14:textId="77777777" w:rsidR="00AE4EEA" w:rsidRDefault="00AE4EEA">
            <w:pPr>
              <w:rPr>
                <w:rFonts w:ascii="Arial Narrow" w:hAnsi="Arial Narrow"/>
                <w:bCs/>
                <w:sz w:val="20"/>
                <w:szCs w:val="20"/>
                <w:u w:val="single"/>
              </w:rPr>
            </w:pPr>
            <w:r>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2C50D853" w14:textId="77777777" w:rsidR="00AE4EEA" w:rsidRDefault="00AE4EEA" w:rsidP="00AE4EEA"/>
    <w:tbl>
      <w:tblPr>
        <w:tblStyle w:val="TableGrid"/>
        <w:tblW w:w="9077" w:type="dxa"/>
        <w:tblInd w:w="-5" w:type="dxa"/>
        <w:tblLook w:val="04A0" w:firstRow="1" w:lastRow="0" w:firstColumn="1" w:lastColumn="0" w:noHBand="0" w:noVBand="1"/>
      </w:tblPr>
      <w:tblGrid>
        <w:gridCol w:w="9077"/>
      </w:tblGrid>
      <w:tr w:rsidR="00AE4EEA" w14:paraId="537289C0"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87A931" w14:textId="77777777" w:rsidR="00AE4EEA" w:rsidRDefault="00AE4EEA">
            <w:pPr>
              <w:pStyle w:val="Table"/>
              <w:rPr>
                <w:rFonts w:ascii="Arial Narrow" w:hAnsi="Arial Narrow"/>
                <w:strike/>
                <w:szCs w:val="20"/>
              </w:rPr>
            </w:pPr>
            <w:r>
              <w:rPr>
                <w:rFonts w:ascii="Arial Narrow" w:hAnsi="Arial Narrow"/>
                <w:b/>
                <w:szCs w:val="20"/>
              </w:rPr>
              <w:t xml:space="preserve">Category / program: </w:t>
            </w:r>
            <w:r>
              <w:rPr>
                <w:rFonts w:ascii="Arial Narrow" w:hAnsi="Arial Narrow"/>
                <w:szCs w:val="20"/>
              </w:rPr>
              <w:t xml:space="preserve">Section 100 (Highly Specialised Drugs Program) </w:t>
            </w:r>
          </w:p>
        </w:tc>
      </w:tr>
      <w:tr w:rsidR="00AE4EEA" w14:paraId="7510C271"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1B797E" w14:textId="77777777" w:rsidR="00AE4EEA" w:rsidRDefault="00AE4EEA">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AE4EEA" w14:paraId="161E30B0" w14:textId="77777777" w:rsidTr="00AE4EEA">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006A01" w14:textId="77777777" w:rsidR="00AE4EEA" w:rsidRDefault="00AE4EEA">
            <w:pPr>
              <w:pStyle w:val="Table"/>
              <w:rPr>
                <w:rFonts w:ascii="Arial Narrow" w:hAnsi="Arial Narrow"/>
                <w:b/>
                <w:szCs w:val="20"/>
              </w:rPr>
            </w:pPr>
            <w:r>
              <w:rPr>
                <w:rFonts w:ascii="Arial Narrow" w:hAnsi="Arial Narrow"/>
                <w:b/>
                <w:szCs w:val="20"/>
              </w:rPr>
              <w:t xml:space="preserve">Restriction type: </w:t>
            </w:r>
          </w:p>
          <w:p w14:paraId="6DEF7310" w14:textId="77777777" w:rsidR="00AE4EEA" w:rsidRDefault="00AE4EEA">
            <w:pPr>
              <w:pStyle w:val="Table"/>
              <w:rPr>
                <w:rFonts w:ascii="Arial Narrow" w:hAnsi="Arial Narrow"/>
                <w:szCs w:val="20"/>
              </w:rPr>
            </w:pPr>
            <w:r>
              <w:fldChar w:fldCharType="begin">
                <w:ffData>
                  <w:name w:val="Check5"/>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 Authority Required – telephone/online PBS Authorities system</w:t>
            </w:r>
          </w:p>
        </w:tc>
      </w:tr>
      <w:tr w:rsidR="00AE4EEA" w14:paraId="40381DA8" w14:textId="77777777" w:rsidTr="00AE4EEA">
        <w:trPr>
          <w:trHeight w:val="70"/>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3E9DCA" w14:textId="77777777" w:rsidR="00AE4EEA" w:rsidRDefault="00AE4EEA">
            <w:pPr>
              <w:pStyle w:val="Table"/>
              <w:rPr>
                <w:rFonts w:ascii="Arial Narrow" w:hAnsi="Arial Narrow"/>
                <w:szCs w:val="20"/>
                <w:lang w:val="en-US"/>
              </w:rPr>
            </w:pPr>
            <w:r>
              <w:rPr>
                <w:rFonts w:ascii="Arial Narrow" w:hAnsi="Arial Narrow"/>
                <w:b/>
                <w:szCs w:val="20"/>
              </w:rPr>
              <w:t xml:space="preserve">Episodicity: </w:t>
            </w:r>
            <w:r>
              <w:rPr>
                <w:rFonts w:ascii="Arial Narrow" w:hAnsi="Arial Narrow"/>
                <w:szCs w:val="20"/>
              </w:rPr>
              <w:t>[blank]</w:t>
            </w:r>
          </w:p>
        </w:tc>
      </w:tr>
      <w:tr w:rsidR="00AE4EEA" w14:paraId="1A5CE40C" w14:textId="77777777" w:rsidTr="00AE4EEA">
        <w:trPr>
          <w:trHeight w:val="181"/>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D6969D" w14:textId="77777777" w:rsidR="00AE4EEA" w:rsidRDefault="00AE4EEA">
            <w:pPr>
              <w:pStyle w:val="Table"/>
              <w:rPr>
                <w:rFonts w:ascii="Arial Narrow" w:hAnsi="Arial Narrow"/>
                <w:szCs w:val="20"/>
                <w:lang w:val="en-US"/>
              </w:rPr>
            </w:pPr>
            <w:r>
              <w:rPr>
                <w:rFonts w:ascii="Arial Narrow" w:hAnsi="Arial Narrow"/>
                <w:b/>
                <w:szCs w:val="20"/>
              </w:rPr>
              <w:t xml:space="preserve">Severity: </w:t>
            </w:r>
            <w:r>
              <w:rPr>
                <w:rFonts w:ascii="Arial Narrow" w:hAnsi="Arial Narrow"/>
                <w:szCs w:val="20"/>
              </w:rPr>
              <w:t>[blank]</w:t>
            </w:r>
          </w:p>
        </w:tc>
      </w:tr>
      <w:tr w:rsidR="00AE4EEA" w14:paraId="7B657534" w14:textId="77777777" w:rsidTr="00AE4EEA">
        <w:trPr>
          <w:trHeight w:val="72"/>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A5601F" w14:textId="77777777" w:rsidR="00AE4EEA" w:rsidRDefault="00AE4EEA">
            <w:pPr>
              <w:pStyle w:val="Table"/>
              <w:rPr>
                <w:rFonts w:ascii="Arial Narrow" w:hAnsi="Arial Narrow"/>
                <w:szCs w:val="20"/>
                <w:lang w:val="en-US"/>
              </w:rPr>
            </w:pPr>
            <w:r>
              <w:rPr>
                <w:rFonts w:ascii="Arial Narrow" w:hAnsi="Arial Narrow"/>
                <w:b/>
                <w:szCs w:val="20"/>
              </w:rPr>
              <w:t xml:space="preserve">Condition: </w:t>
            </w:r>
            <w:r>
              <w:rPr>
                <w:rFonts w:ascii="Arial Narrow" w:hAnsi="Arial Narrow"/>
                <w:szCs w:val="20"/>
              </w:rPr>
              <w:t>X-linked hypophosphataemia</w:t>
            </w:r>
          </w:p>
        </w:tc>
      </w:tr>
      <w:tr w:rsidR="00AE4EEA" w14:paraId="19322FDA" w14:textId="77777777" w:rsidTr="00AE4EEA">
        <w:trPr>
          <w:trHeight w:val="70"/>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4E341D" w14:textId="77777777" w:rsidR="00AE4EEA" w:rsidRDefault="00AE4EEA">
            <w:pPr>
              <w:pStyle w:val="Table"/>
              <w:rPr>
                <w:rFonts w:ascii="Arial Narrow" w:hAnsi="Arial Narrow"/>
                <w:szCs w:val="20"/>
                <w:lang w:val="en-US"/>
              </w:rPr>
            </w:pPr>
            <w:r>
              <w:rPr>
                <w:rFonts w:ascii="Arial Narrow" w:hAnsi="Arial Narrow"/>
                <w:b/>
                <w:szCs w:val="20"/>
              </w:rPr>
              <w:t xml:space="preserve">PBS Indication: </w:t>
            </w:r>
            <w:r>
              <w:rPr>
                <w:rFonts w:ascii="Arial Narrow" w:hAnsi="Arial Narrow"/>
                <w:szCs w:val="20"/>
              </w:rPr>
              <w:t>X-linked hypophosphataemia</w:t>
            </w:r>
          </w:p>
        </w:tc>
      </w:tr>
      <w:tr w:rsidR="00AE4EEA" w14:paraId="1FD480F2" w14:textId="77777777" w:rsidTr="00AE4EEA">
        <w:trPr>
          <w:trHeight w:val="136"/>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6286A7" w14:textId="77777777" w:rsidR="00AE4EEA" w:rsidRDefault="00AE4EEA">
            <w:pPr>
              <w:pStyle w:val="Table"/>
              <w:rPr>
                <w:rFonts w:ascii="Arial Narrow" w:hAnsi="Arial Narrow"/>
                <w:szCs w:val="20"/>
                <w:lang w:val="en-US"/>
              </w:rPr>
            </w:pPr>
            <w:r>
              <w:rPr>
                <w:rFonts w:ascii="Arial Narrow" w:hAnsi="Arial Narrow"/>
                <w:b/>
                <w:szCs w:val="20"/>
              </w:rPr>
              <w:t>Treatment phase:</w:t>
            </w:r>
            <w:r>
              <w:rPr>
                <w:rFonts w:ascii="Arial Narrow" w:hAnsi="Arial Narrow"/>
                <w:szCs w:val="20"/>
              </w:rPr>
              <w:t xml:space="preserve"> Continuing</w:t>
            </w:r>
          </w:p>
        </w:tc>
      </w:tr>
      <w:tr w:rsidR="00AE4EEA" w14:paraId="26238CBC" w14:textId="77777777" w:rsidTr="00AE4EEA">
        <w:trPr>
          <w:trHeight w:val="136"/>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639A4F" w14:textId="77777777" w:rsidR="00AE4EEA" w:rsidRDefault="00AE4EEA">
            <w:pPr>
              <w:pStyle w:val="Table"/>
              <w:rPr>
                <w:rFonts w:ascii="Arial Narrow" w:hAnsi="Arial Narrow"/>
                <w:b/>
                <w:szCs w:val="20"/>
              </w:rPr>
            </w:pPr>
          </w:p>
        </w:tc>
      </w:tr>
      <w:tr w:rsidR="00AE4EEA" w14:paraId="33BAAF0B"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DADF70" w14:textId="77777777" w:rsidR="00AE4EEA" w:rsidRDefault="00AE4EEA">
            <w:pPr>
              <w:pStyle w:val="Table"/>
              <w:rPr>
                <w:rFonts w:ascii="Arial Narrow" w:hAnsi="Arial Narrow"/>
                <w:szCs w:val="20"/>
                <w:lang w:val="en-US"/>
              </w:rPr>
            </w:pPr>
            <w:r>
              <w:rPr>
                <w:rFonts w:ascii="Arial Narrow" w:hAnsi="Arial Narrow"/>
                <w:b/>
                <w:szCs w:val="20"/>
              </w:rPr>
              <w:t xml:space="preserve">Clinical criteria: </w:t>
            </w:r>
          </w:p>
        </w:tc>
      </w:tr>
      <w:tr w:rsidR="00AE4EEA" w14:paraId="173CB6FD"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DA0D4B" w14:textId="77777777" w:rsidR="00AE4EEA" w:rsidRDefault="00AE4EEA">
            <w:pPr>
              <w:pStyle w:val="Table"/>
              <w:rPr>
                <w:rFonts w:ascii="Arial Narrow" w:hAnsi="Arial Narrow"/>
                <w:szCs w:val="20"/>
                <w:lang w:val="en-US"/>
              </w:rPr>
            </w:pPr>
            <w:r>
              <w:rPr>
                <w:rFonts w:ascii="Arial Narrow" w:hAnsi="Arial Narrow"/>
                <w:szCs w:val="20"/>
              </w:rPr>
              <w:t>Patient must have previously received PBS-subsidised treatment with this drug for this condition</w:t>
            </w:r>
          </w:p>
        </w:tc>
      </w:tr>
      <w:tr w:rsidR="00AE4EEA" w14:paraId="5A799AC6"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44B8FE" w14:textId="77777777" w:rsidR="00AE4EEA" w:rsidRDefault="00AE4EEA">
            <w:pPr>
              <w:pStyle w:val="Table"/>
              <w:rPr>
                <w:rFonts w:ascii="Arial Narrow" w:hAnsi="Arial Narrow"/>
                <w:szCs w:val="20"/>
                <w:lang w:val="en-US"/>
              </w:rPr>
            </w:pPr>
            <w:r>
              <w:rPr>
                <w:rFonts w:ascii="Arial Narrow" w:hAnsi="Arial Narrow"/>
                <w:szCs w:val="20"/>
              </w:rPr>
              <w:t>AND</w:t>
            </w:r>
          </w:p>
        </w:tc>
      </w:tr>
      <w:tr w:rsidR="00AE4EEA" w14:paraId="01F9360D"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33881B" w14:textId="77777777" w:rsidR="00AE4EEA" w:rsidRDefault="00AE4EEA">
            <w:pPr>
              <w:pStyle w:val="Table"/>
              <w:rPr>
                <w:rFonts w:ascii="Arial Narrow" w:hAnsi="Arial Narrow"/>
                <w:szCs w:val="20"/>
                <w:lang w:val="en-US"/>
              </w:rPr>
            </w:pPr>
            <w:r>
              <w:rPr>
                <w:rFonts w:ascii="Arial Narrow" w:hAnsi="Arial Narrow"/>
                <w:b/>
                <w:szCs w:val="20"/>
              </w:rPr>
              <w:t>Clinical criteria:</w:t>
            </w:r>
          </w:p>
        </w:tc>
      </w:tr>
      <w:tr w:rsidR="00AE4EEA" w14:paraId="6D1BC6A7"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9B33B7" w14:textId="77777777" w:rsidR="00AE4EEA" w:rsidRDefault="00AE4EEA">
            <w:pPr>
              <w:pStyle w:val="Table"/>
              <w:rPr>
                <w:rFonts w:ascii="Arial Narrow" w:hAnsi="Arial Narrow"/>
                <w:szCs w:val="20"/>
                <w:lang w:val="en-US"/>
              </w:rPr>
            </w:pPr>
            <w:r>
              <w:rPr>
                <w:rFonts w:ascii="Arial Narrow" w:hAnsi="Arial Narrow"/>
                <w:szCs w:val="20"/>
              </w:rPr>
              <w:t>Patient must have achieved normalisation in serum phosphate levels</w:t>
            </w:r>
          </w:p>
        </w:tc>
      </w:tr>
      <w:tr w:rsidR="00AE4EEA" w14:paraId="7E63F448"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A0D6F9" w14:textId="77777777" w:rsidR="00AE4EEA" w:rsidRDefault="00AE4EEA">
            <w:pPr>
              <w:pStyle w:val="Table"/>
              <w:rPr>
                <w:rFonts w:ascii="Arial Narrow" w:hAnsi="Arial Narrow"/>
                <w:b/>
                <w:szCs w:val="20"/>
              </w:rPr>
            </w:pPr>
            <w:r>
              <w:rPr>
                <w:rFonts w:ascii="Arial Narrow" w:hAnsi="Arial Narrow"/>
                <w:b/>
                <w:szCs w:val="20"/>
              </w:rPr>
              <w:t>AND</w:t>
            </w:r>
          </w:p>
        </w:tc>
      </w:tr>
      <w:tr w:rsidR="00AE4EEA" w14:paraId="0D7C3B34"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9F6896" w14:textId="77777777" w:rsidR="00AE4EEA" w:rsidRDefault="00AE4EEA">
            <w:pPr>
              <w:pStyle w:val="Table"/>
              <w:rPr>
                <w:rFonts w:ascii="Arial Narrow" w:hAnsi="Arial Narrow"/>
                <w:b/>
                <w:szCs w:val="20"/>
              </w:rPr>
            </w:pPr>
            <w:r>
              <w:rPr>
                <w:rFonts w:ascii="Arial Narrow" w:hAnsi="Arial Narrow"/>
                <w:b/>
                <w:szCs w:val="20"/>
              </w:rPr>
              <w:t>Clinical criteria</w:t>
            </w:r>
          </w:p>
        </w:tc>
      </w:tr>
      <w:tr w:rsidR="00AE4EEA" w14:paraId="52EEF791"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F80544" w14:textId="77777777" w:rsidR="00AE4EEA" w:rsidRDefault="00AE4EEA">
            <w:pPr>
              <w:pStyle w:val="Table"/>
              <w:rPr>
                <w:rFonts w:ascii="Arial Narrow" w:hAnsi="Arial Narrow"/>
                <w:bCs/>
                <w:szCs w:val="20"/>
              </w:rPr>
            </w:pPr>
            <w:r>
              <w:rPr>
                <w:rFonts w:ascii="Arial Narrow" w:hAnsi="Arial Narrow"/>
                <w:bCs/>
                <w:szCs w:val="20"/>
              </w:rPr>
              <w:t>Patient must have radiographical evidence of stabilisation or improvement in rickets in patients without growth plate fusion</w:t>
            </w:r>
          </w:p>
        </w:tc>
      </w:tr>
      <w:tr w:rsidR="00AE4EEA" w14:paraId="6A0B1EFD"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9C44E0" w14:textId="77777777" w:rsidR="00AE4EEA" w:rsidRDefault="00AE4EEA">
            <w:pPr>
              <w:pStyle w:val="Table"/>
              <w:rPr>
                <w:rFonts w:ascii="Arial Narrow" w:hAnsi="Arial Narrow"/>
                <w:b/>
                <w:szCs w:val="20"/>
              </w:rPr>
            </w:pPr>
          </w:p>
        </w:tc>
      </w:tr>
      <w:tr w:rsidR="00AE4EEA" w14:paraId="60D16C62"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B0B30A" w14:textId="77777777" w:rsidR="00AE4EEA" w:rsidRDefault="00AE4EEA">
            <w:pPr>
              <w:pStyle w:val="Table"/>
              <w:rPr>
                <w:rFonts w:ascii="Arial Narrow" w:hAnsi="Arial Narrow"/>
                <w:b/>
                <w:szCs w:val="20"/>
                <w:lang w:val="en-US"/>
              </w:rPr>
            </w:pPr>
            <w:r>
              <w:rPr>
                <w:rFonts w:ascii="Arial Narrow" w:hAnsi="Arial Narrow"/>
                <w:b/>
                <w:szCs w:val="20"/>
              </w:rPr>
              <w:t>Treatment criteria:</w:t>
            </w:r>
          </w:p>
        </w:tc>
      </w:tr>
      <w:tr w:rsidR="00AE4EEA" w14:paraId="4375657E"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37DF11" w14:textId="77777777" w:rsidR="00AE4EEA" w:rsidRDefault="00AE4EEA">
            <w:pPr>
              <w:pStyle w:val="Table"/>
              <w:rPr>
                <w:rFonts w:ascii="Arial Narrow" w:hAnsi="Arial Narrow"/>
                <w:szCs w:val="20"/>
                <w:lang w:val="en-US"/>
              </w:rPr>
            </w:pPr>
            <w:r>
              <w:rPr>
                <w:rFonts w:ascii="Arial Narrow" w:hAnsi="Arial Narrow"/>
                <w:szCs w:val="20"/>
              </w:rPr>
              <w:t>Patient must be treated by one of the following specialists: (i) paediatric endocrinologist, (ii) paediatric nephrologist, (iii) endocrinologist, or (iv) nephrologist</w:t>
            </w:r>
          </w:p>
        </w:tc>
      </w:tr>
      <w:tr w:rsidR="00AE4EEA" w14:paraId="2A9A8428"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C37635" w14:textId="77777777" w:rsidR="00AE4EEA" w:rsidRDefault="00AE4EEA">
            <w:pPr>
              <w:pStyle w:val="Table"/>
              <w:rPr>
                <w:rFonts w:ascii="Arial Narrow" w:hAnsi="Arial Narrow"/>
                <w:b/>
                <w:szCs w:val="20"/>
              </w:rPr>
            </w:pPr>
          </w:p>
        </w:tc>
      </w:tr>
      <w:tr w:rsidR="00AE4EEA" w14:paraId="3B681C9F"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CCAF27" w14:textId="77777777" w:rsidR="00AE4EEA" w:rsidRDefault="00AE4EEA">
            <w:pPr>
              <w:pStyle w:val="Table"/>
              <w:rPr>
                <w:rFonts w:ascii="Arial Narrow" w:hAnsi="Arial Narrow"/>
                <w:b/>
                <w:szCs w:val="20"/>
              </w:rPr>
            </w:pPr>
            <w:r>
              <w:rPr>
                <w:rFonts w:ascii="Arial Narrow" w:hAnsi="Arial Narrow"/>
                <w:b/>
                <w:szCs w:val="20"/>
              </w:rPr>
              <w:t>Prescriber instructions:</w:t>
            </w:r>
          </w:p>
        </w:tc>
      </w:tr>
      <w:tr w:rsidR="00AE4EEA" w14:paraId="4DE24260"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1ED51B" w14:textId="77777777" w:rsidR="00AE4EEA" w:rsidRDefault="00AE4EEA">
            <w:pPr>
              <w:pStyle w:val="Table"/>
              <w:rPr>
                <w:rFonts w:ascii="Arial Narrow" w:hAnsi="Arial Narrow"/>
                <w:szCs w:val="20"/>
                <w:lang w:val="en-US"/>
              </w:rPr>
            </w:pPr>
            <w:r>
              <w:rPr>
                <w:rFonts w:ascii="Arial Narrow" w:hAnsi="Arial Narrow"/>
                <w:szCs w:val="20"/>
              </w:rPr>
              <w:t xml:space="preserve">Where adequate response to treatment with burosumab cannot be demonstrated, evidence that consideration of continuing therapy has been determined to be clinically required by a second specialist physician with expertise in the treatment of X-linked hypophosphataemia.  </w:t>
            </w:r>
          </w:p>
        </w:tc>
      </w:tr>
      <w:tr w:rsidR="00AE4EEA" w14:paraId="70D2FF70"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194758" w14:textId="77777777" w:rsidR="00AE4EEA" w:rsidRDefault="00AE4EEA">
            <w:pPr>
              <w:pStyle w:val="Table"/>
              <w:rPr>
                <w:rFonts w:ascii="Arial Narrow" w:hAnsi="Arial Narrow"/>
                <w:szCs w:val="20"/>
              </w:rPr>
            </w:pPr>
          </w:p>
        </w:tc>
      </w:tr>
      <w:tr w:rsidR="00AE4EEA" w14:paraId="7E6CD243"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9E7148" w14:textId="77777777" w:rsidR="00AE4EEA" w:rsidRDefault="00AE4EEA">
            <w:pPr>
              <w:pStyle w:val="Table"/>
              <w:rPr>
                <w:rFonts w:ascii="Arial Narrow" w:hAnsi="Arial Narrow"/>
                <w:szCs w:val="20"/>
                <w:lang w:val="en-US"/>
              </w:rPr>
            </w:pPr>
            <w:r>
              <w:rPr>
                <w:rFonts w:ascii="Arial Narrow" w:hAnsi="Arial Narrow"/>
                <w:b/>
                <w:szCs w:val="20"/>
              </w:rPr>
              <w:t xml:space="preserve">Administrative advice: </w:t>
            </w:r>
            <w:r>
              <w:rPr>
                <w:rFonts w:ascii="Arial Narrow" w:hAnsi="Arial Narrow"/>
                <w:szCs w:val="20"/>
              </w:rPr>
              <w:t>Special Pricing Arrangements apply</w:t>
            </w:r>
          </w:p>
        </w:tc>
      </w:tr>
      <w:tr w:rsidR="00AE4EEA" w14:paraId="23386FB2" w14:textId="77777777" w:rsidTr="00AE4EEA">
        <w:trPr>
          <w:trHeight w:val="225"/>
          <w:tblHeader/>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CB3EE4" w14:textId="77777777" w:rsidR="00AE4EEA" w:rsidRDefault="00AE4EEA">
            <w:pPr>
              <w:pStyle w:val="Table"/>
              <w:rPr>
                <w:rFonts w:ascii="Arial Narrow" w:hAnsi="Arial Narrow"/>
                <w:b/>
                <w:szCs w:val="20"/>
              </w:rPr>
            </w:pPr>
          </w:p>
        </w:tc>
      </w:tr>
      <w:tr w:rsidR="00AE4EEA" w14:paraId="5E3DBFF1" w14:textId="77777777" w:rsidTr="00AE4EEA">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21C25A" w14:textId="77777777" w:rsidR="00AE4EEA" w:rsidRDefault="00AE4EEA">
            <w:pPr>
              <w:rPr>
                <w:rFonts w:ascii="Arial Narrow" w:hAnsi="Arial Narrow"/>
                <w:bCs/>
                <w:color w:val="333333"/>
                <w:sz w:val="20"/>
                <w:szCs w:val="20"/>
                <w:u w:val="single"/>
              </w:rPr>
            </w:pPr>
            <w:r>
              <w:rPr>
                <w:rFonts w:ascii="Arial Narrow" w:hAnsi="Arial Narrow"/>
                <w:bCs/>
                <w:color w:val="333333"/>
                <w:sz w:val="20"/>
                <w:szCs w:val="20"/>
                <w:u w:val="single"/>
              </w:rPr>
              <w:t>Note</w:t>
            </w:r>
          </w:p>
          <w:p w14:paraId="7529C37E" w14:textId="77777777" w:rsidR="00AE4EEA" w:rsidRDefault="00AE4EEA">
            <w:pPr>
              <w:rPr>
                <w:rFonts w:ascii="Arial Narrow" w:hAnsi="Arial Narrow"/>
                <w:bCs/>
                <w:sz w:val="20"/>
                <w:szCs w:val="20"/>
                <w:u w:val="single"/>
              </w:rPr>
            </w:pPr>
            <w:r>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01F97478" w14:textId="77777777" w:rsidR="00AE4EEA" w:rsidRDefault="00AE4EEA" w:rsidP="00AE4EEA"/>
    <w:tbl>
      <w:tblPr>
        <w:tblStyle w:val="TableGrid"/>
        <w:tblW w:w="9077" w:type="dxa"/>
        <w:tblInd w:w="-5" w:type="dxa"/>
        <w:tblLook w:val="04A0" w:firstRow="1" w:lastRow="0" w:firstColumn="1" w:lastColumn="0" w:noHBand="0" w:noVBand="1"/>
      </w:tblPr>
      <w:tblGrid>
        <w:gridCol w:w="9077"/>
      </w:tblGrid>
      <w:tr w:rsidR="00AE4EEA" w14:paraId="46AC4B58"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F5D2FE" w14:textId="77777777" w:rsidR="00AE4EEA" w:rsidRDefault="00AE4EEA">
            <w:pPr>
              <w:pStyle w:val="Table"/>
              <w:rPr>
                <w:rFonts w:ascii="Arial Narrow" w:hAnsi="Arial Narrow"/>
                <w:strike/>
                <w:szCs w:val="20"/>
              </w:rPr>
            </w:pPr>
            <w:r>
              <w:rPr>
                <w:rFonts w:ascii="Arial Narrow" w:hAnsi="Arial Narrow"/>
                <w:b/>
                <w:szCs w:val="20"/>
              </w:rPr>
              <w:t xml:space="preserve">Category / program: </w:t>
            </w:r>
            <w:r>
              <w:rPr>
                <w:rFonts w:ascii="Arial Narrow" w:hAnsi="Arial Narrow"/>
                <w:szCs w:val="20"/>
              </w:rPr>
              <w:t xml:space="preserve">Section 100 (Highly Specialised Drugs Program) </w:t>
            </w:r>
          </w:p>
        </w:tc>
      </w:tr>
      <w:tr w:rsidR="00AE4EEA" w14:paraId="74DC930B"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AD33D1E" w14:textId="77777777" w:rsidR="00AE4EEA" w:rsidRDefault="00AE4EEA">
            <w:pPr>
              <w:pStyle w:val="Table"/>
              <w:rPr>
                <w:rFonts w:ascii="Arial Narrow" w:hAnsi="Arial Narrow"/>
                <w:szCs w:val="20"/>
              </w:rPr>
            </w:pPr>
            <w:r>
              <w:rPr>
                <w:rFonts w:ascii="Arial Narrow" w:hAnsi="Arial Narrow"/>
                <w:b/>
                <w:szCs w:val="20"/>
              </w:rPr>
              <w:t xml:space="preserve">Prescriber type: </w:t>
            </w:r>
            <w:r>
              <w:fldChar w:fldCharType="begin">
                <w:ffData>
                  <w:name w:val=""/>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Medical Practitioners  </w:t>
            </w:r>
          </w:p>
        </w:tc>
      </w:tr>
      <w:tr w:rsidR="00AE4EEA" w14:paraId="287DAB01" w14:textId="77777777" w:rsidTr="00AE4EEA">
        <w:trPr>
          <w:trHeight w:val="178"/>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020375" w14:textId="77777777" w:rsidR="00AE4EEA" w:rsidRDefault="00AE4EEA">
            <w:pPr>
              <w:pStyle w:val="Table"/>
              <w:rPr>
                <w:rFonts w:ascii="Arial Narrow" w:hAnsi="Arial Narrow"/>
                <w:b/>
                <w:szCs w:val="20"/>
              </w:rPr>
            </w:pPr>
            <w:r>
              <w:rPr>
                <w:rFonts w:ascii="Arial Narrow" w:hAnsi="Arial Narrow"/>
                <w:b/>
                <w:szCs w:val="20"/>
              </w:rPr>
              <w:t xml:space="preserve">Restriction type: </w:t>
            </w:r>
          </w:p>
          <w:p w14:paraId="614B8016" w14:textId="77777777" w:rsidR="00AE4EEA" w:rsidRDefault="00AE4EEA">
            <w:pPr>
              <w:pStyle w:val="Table"/>
              <w:rPr>
                <w:rFonts w:ascii="Arial Narrow" w:hAnsi="Arial Narrow"/>
                <w:szCs w:val="20"/>
              </w:rPr>
            </w:pPr>
            <w:r>
              <w:fldChar w:fldCharType="begin">
                <w:ffData>
                  <w:name w:val="Check5"/>
                  <w:enabled/>
                  <w:calcOnExit w:val="0"/>
                  <w:checkBox>
                    <w:sizeAuto/>
                    <w:default w:val="1"/>
                  </w:checkBox>
                </w:ffData>
              </w:fldChar>
            </w:r>
            <w:r>
              <w:rPr>
                <w:rFonts w:ascii="Arial Narrow" w:hAnsi="Arial Narrow"/>
                <w:szCs w:val="20"/>
              </w:rPr>
              <w:instrText xml:space="preserve"> FORMCHECKBOX </w:instrText>
            </w:r>
            <w:r w:rsidR="001A1E7C">
              <w:fldChar w:fldCharType="separate"/>
            </w:r>
            <w:r>
              <w:fldChar w:fldCharType="end"/>
            </w:r>
            <w:r>
              <w:rPr>
                <w:rFonts w:ascii="Arial Narrow" w:hAnsi="Arial Narrow"/>
                <w:szCs w:val="20"/>
              </w:rPr>
              <w:t xml:space="preserve"> Authority Required – telephone/online PBS Authorities system</w:t>
            </w:r>
          </w:p>
        </w:tc>
      </w:tr>
      <w:tr w:rsidR="00AE4EEA" w14:paraId="7FCF8C90"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160520" w14:textId="77777777" w:rsidR="00AE4EEA" w:rsidRDefault="00AE4EEA">
            <w:pPr>
              <w:pStyle w:val="Table"/>
              <w:rPr>
                <w:rFonts w:ascii="Arial Narrow" w:hAnsi="Arial Narrow"/>
                <w:szCs w:val="20"/>
              </w:rPr>
            </w:pPr>
            <w:r>
              <w:rPr>
                <w:rFonts w:ascii="Arial Narrow" w:hAnsi="Arial Narrow"/>
                <w:b/>
                <w:szCs w:val="20"/>
              </w:rPr>
              <w:t xml:space="preserve">Episodicity: </w:t>
            </w:r>
            <w:r>
              <w:rPr>
                <w:rFonts w:ascii="Arial Narrow" w:hAnsi="Arial Narrow"/>
                <w:szCs w:val="20"/>
              </w:rPr>
              <w:t>[blank]</w:t>
            </w:r>
          </w:p>
        </w:tc>
      </w:tr>
      <w:tr w:rsidR="00AE4EEA" w14:paraId="232130DF" w14:textId="77777777" w:rsidTr="00AE4EEA">
        <w:trPr>
          <w:trHeight w:val="18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507EE6" w14:textId="77777777" w:rsidR="00AE4EEA" w:rsidRDefault="00AE4EEA">
            <w:pPr>
              <w:pStyle w:val="Table"/>
              <w:rPr>
                <w:rFonts w:ascii="Arial Narrow" w:hAnsi="Arial Narrow"/>
                <w:szCs w:val="20"/>
              </w:rPr>
            </w:pPr>
            <w:r>
              <w:rPr>
                <w:rFonts w:ascii="Arial Narrow" w:hAnsi="Arial Narrow"/>
                <w:b/>
                <w:szCs w:val="20"/>
              </w:rPr>
              <w:t xml:space="preserve">Severity: </w:t>
            </w:r>
            <w:r>
              <w:rPr>
                <w:rFonts w:ascii="Arial Narrow" w:hAnsi="Arial Narrow"/>
                <w:szCs w:val="20"/>
              </w:rPr>
              <w:t>[blank]</w:t>
            </w:r>
          </w:p>
        </w:tc>
      </w:tr>
      <w:tr w:rsidR="00AE4EEA" w14:paraId="3BF51F00" w14:textId="77777777" w:rsidTr="00AE4EEA">
        <w:trPr>
          <w:trHeight w:val="72"/>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5CA364" w14:textId="77777777" w:rsidR="00AE4EEA" w:rsidRDefault="00AE4EEA">
            <w:pPr>
              <w:pStyle w:val="Table"/>
              <w:rPr>
                <w:rFonts w:ascii="Arial Narrow" w:hAnsi="Arial Narrow"/>
                <w:szCs w:val="20"/>
              </w:rPr>
            </w:pPr>
            <w:r>
              <w:rPr>
                <w:rFonts w:ascii="Arial Narrow" w:hAnsi="Arial Narrow"/>
                <w:b/>
                <w:szCs w:val="20"/>
              </w:rPr>
              <w:t xml:space="preserve">Condition: </w:t>
            </w:r>
            <w:r>
              <w:rPr>
                <w:rFonts w:ascii="Arial Narrow" w:hAnsi="Arial Narrow"/>
                <w:szCs w:val="20"/>
              </w:rPr>
              <w:t>X-linked hypophosphataemia</w:t>
            </w:r>
          </w:p>
        </w:tc>
      </w:tr>
      <w:tr w:rsidR="00AE4EEA" w14:paraId="0380149E"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31D83" w14:textId="77777777" w:rsidR="00AE4EEA" w:rsidRDefault="00AE4EEA">
            <w:pPr>
              <w:pStyle w:val="Table"/>
              <w:rPr>
                <w:rFonts w:ascii="Arial Narrow" w:hAnsi="Arial Narrow"/>
                <w:szCs w:val="20"/>
              </w:rPr>
            </w:pPr>
            <w:r>
              <w:rPr>
                <w:rFonts w:ascii="Arial Narrow" w:hAnsi="Arial Narrow"/>
                <w:b/>
                <w:szCs w:val="20"/>
              </w:rPr>
              <w:t xml:space="preserve">PBS Indication: </w:t>
            </w:r>
            <w:r>
              <w:rPr>
                <w:rFonts w:ascii="Arial Narrow" w:hAnsi="Arial Narrow"/>
                <w:szCs w:val="20"/>
              </w:rPr>
              <w:t>X-linked hypophosphataemia</w:t>
            </w:r>
          </w:p>
        </w:tc>
      </w:tr>
      <w:tr w:rsidR="00AE4EEA" w14:paraId="181895A1" w14:textId="77777777" w:rsidTr="00AE4EEA">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A3A5B2" w14:textId="77777777" w:rsidR="00AE4EEA" w:rsidRDefault="00AE4EEA">
            <w:pPr>
              <w:pStyle w:val="Table"/>
              <w:rPr>
                <w:rFonts w:ascii="Arial Narrow" w:hAnsi="Arial Narrow"/>
                <w:szCs w:val="20"/>
              </w:rPr>
            </w:pPr>
            <w:r>
              <w:rPr>
                <w:rFonts w:ascii="Arial Narrow" w:hAnsi="Arial Narrow"/>
                <w:b/>
                <w:szCs w:val="20"/>
              </w:rPr>
              <w:t xml:space="preserve">Treatment phase: </w:t>
            </w:r>
            <w:r>
              <w:rPr>
                <w:rFonts w:ascii="Arial Narrow" w:hAnsi="Arial Narrow"/>
                <w:szCs w:val="20"/>
              </w:rPr>
              <w:t>Grandfather</w:t>
            </w:r>
          </w:p>
        </w:tc>
      </w:tr>
      <w:tr w:rsidR="00AE4EEA" w14:paraId="2A15E635" w14:textId="77777777" w:rsidTr="00AE4EEA">
        <w:trPr>
          <w:trHeight w:val="136"/>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30ED8D" w14:textId="77777777" w:rsidR="00AE4EEA" w:rsidRDefault="00AE4EEA">
            <w:pPr>
              <w:pStyle w:val="Table"/>
              <w:rPr>
                <w:rFonts w:ascii="Arial Narrow" w:hAnsi="Arial Narrow"/>
                <w:b/>
                <w:szCs w:val="20"/>
              </w:rPr>
            </w:pPr>
          </w:p>
        </w:tc>
      </w:tr>
      <w:tr w:rsidR="00AE4EEA" w14:paraId="55950F5A"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2D4AA3" w14:textId="77777777" w:rsidR="00AE4EEA" w:rsidRDefault="00AE4EEA">
            <w:pPr>
              <w:pStyle w:val="Table"/>
              <w:rPr>
                <w:rFonts w:ascii="Arial Narrow" w:hAnsi="Arial Narrow"/>
                <w:szCs w:val="20"/>
              </w:rPr>
            </w:pPr>
            <w:r>
              <w:rPr>
                <w:rFonts w:ascii="Arial Narrow" w:hAnsi="Arial Narrow"/>
                <w:b/>
                <w:szCs w:val="20"/>
              </w:rPr>
              <w:t xml:space="preserve">Clinical criteria: </w:t>
            </w:r>
          </w:p>
        </w:tc>
      </w:tr>
      <w:tr w:rsidR="00AE4EEA" w14:paraId="4E5B3E5E"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7ADC1E" w14:textId="77777777" w:rsidR="00AE4EEA" w:rsidRDefault="00AE4EEA">
            <w:pPr>
              <w:pStyle w:val="Table"/>
              <w:rPr>
                <w:rFonts w:ascii="Arial Narrow" w:hAnsi="Arial Narrow"/>
                <w:b/>
                <w:szCs w:val="20"/>
              </w:rPr>
            </w:pPr>
            <w:r>
              <w:rPr>
                <w:rFonts w:ascii="Arial Narrow" w:hAnsi="Arial Narrow"/>
                <w:szCs w:val="20"/>
              </w:rPr>
              <w:t>Patient must have a documented confirmation of PHEX pathogenic variant; OR</w:t>
            </w:r>
          </w:p>
        </w:tc>
      </w:tr>
      <w:tr w:rsidR="00AE4EEA" w14:paraId="19DEE591"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748354" w14:textId="77777777" w:rsidR="00AE4EEA" w:rsidRDefault="00AE4EEA">
            <w:pPr>
              <w:pStyle w:val="Table"/>
              <w:rPr>
                <w:rFonts w:ascii="Arial Narrow" w:hAnsi="Arial Narrow"/>
                <w:szCs w:val="20"/>
              </w:rPr>
            </w:pPr>
            <w:r>
              <w:rPr>
                <w:rFonts w:ascii="Arial Narrow" w:hAnsi="Arial Narrow"/>
                <w:szCs w:val="20"/>
              </w:rPr>
              <w:t>Patient must have a confirmed diagnosis of X-Linked hypophosphataemia by the presence of all of the following: (i) a serum phosphate concentration below the age adjusted lower limit of normal; (ii) current or historical (for those with growth plate fusion) radiographic evidence of rickets; (iii) elevated (or inappropriately normal) serum or plasma FGF-23 levels of above the mean of the assay-specific reference range; (iv) renal phosphate wasting demonstrated by a ratio of tubular maximum reabsorption rate of phosphate to glomerular filtration rate (TmP/GFR) according to age specific normal ranges using the second morning urine void and paired serum sample measuring phosphate and creatinine</w:t>
            </w:r>
          </w:p>
        </w:tc>
      </w:tr>
      <w:tr w:rsidR="00AE4EEA" w14:paraId="4C37F5A2"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199A0F" w14:textId="77777777" w:rsidR="00AE4EEA" w:rsidRDefault="00AE4EEA">
            <w:pPr>
              <w:pStyle w:val="Table"/>
              <w:rPr>
                <w:rFonts w:ascii="Arial Narrow" w:hAnsi="Arial Narrow"/>
                <w:b/>
                <w:bCs/>
                <w:szCs w:val="20"/>
              </w:rPr>
            </w:pPr>
            <w:r>
              <w:rPr>
                <w:rFonts w:ascii="Arial Narrow" w:hAnsi="Arial Narrow"/>
                <w:b/>
                <w:bCs/>
                <w:szCs w:val="20"/>
              </w:rPr>
              <w:t>AND</w:t>
            </w:r>
          </w:p>
        </w:tc>
      </w:tr>
      <w:tr w:rsidR="00AE4EEA" w14:paraId="6EE38192"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D72CEF" w14:textId="77777777" w:rsidR="00AE4EEA" w:rsidRDefault="00AE4EEA">
            <w:pPr>
              <w:pStyle w:val="Table"/>
              <w:rPr>
                <w:rFonts w:ascii="Arial Narrow" w:hAnsi="Arial Narrow"/>
                <w:b/>
                <w:bCs/>
                <w:szCs w:val="20"/>
              </w:rPr>
            </w:pPr>
            <w:r>
              <w:rPr>
                <w:rFonts w:ascii="Arial Narrow" w:hAnsi="Arial Narrow"/>
                <w:b/>
                <w:bCs/>
                <w:szCs w:val="20"/>
              </w:rPr>
              <w:t>Clinical criteria:</w:t>
            </w:r>
          </w:p>
        </w:tc>
      </w:tr>
      <w:tr w:rsidR="00AE4EEA" w14:paraId="694D2A8B"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EEB973" w14:textId="77777777" w:rsidR="00AE4EEA" w:rsidRDefault="00AE4EEA">
            <w:pPr>
              <w:pStyle w:val="Table"/>
              <w:rPr>
                <w:rFonts w:ascii="Arial Narrow" w:hAnsi="Arial Narrow"/>
                <w:szCs w:val="20"/>
              </w:rPr>
            </w:pPr>
            <w:r>
              <w:rPr>
                <w:rFonts w:ascii="Arial Narrow" w:hAnsi="Arial Narrow"/>
                <w:szCs w:val="20"/>
              </w:rPr>
              <w:t>Patient must have demonstrated an adequate response to non-PBS-subsidised treatment with this drug for this condition</w:t>
            </w:r>
          </w:p>
        </w:tc>
      </w:tr>
      <w:tr w:rsidR="00AE4EEA" w14:paraId="77C3BFB9"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66186C" w14:textId="77777777" w:rsidR="00AE4EEA" w:rsidRDefault="00AE4EEA">
            <w:pPr>
              <w:pStyle w:val="Table"/>
              <w:rPr>
                <w:rFonts w:ascii="Arial Narrow" w:hAnsi="Arial Narrow"/>
                <w:b/>
                <w:bCs/>
                <w:szCs w:val="20"/>
              </w:rPr>
            </w:pPr>
            <w:r>
              <w:rPr>
                <w:rFonts w:ascii="Arial Narrow" w:hAnsi="Arial Narrow"/>
                <w:b/>
                <w:bCs/>
                <w:szCs w:val="20"/>
              </w:rPr>
              <w:t>AND</w:t>
            </w:r>
          </w:p>
        </w:tc>
      </w:tr>
      <w:tr w:rsidR="00AE4EEA" w14:paraId="0F4BB9C3"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9F09E7" w14:textId="77777777" w:rsidR="00AE4EEA" w:rsidRDefault="00AE4EEA">
            <w:pPr>
              <w:pStyle w:val="Table"/>
              <w:rPr>
                <w:rFonts w:ascii="Arial Narrow" w:hAnsi="Arial Narrow"/>
                <w:b/>
                <w:bCs/>
                <w:szCs w:val="20"/>
              </w:rPr>
            </w:pPr>
            <w:r>
              <w:rPr>
                <w:rFonts w:ascii="Arial Narrow" w:hAnsi="Arial Narrow"/>
                <w:b/>
                <w:bCs/>
                <w:szCs w:val="20"/>
              </w:rPr>
              <w:t>Clinical criteria:</w:t>
            </w:r>
          </w:p>
        </w:tc>
      </w:tr>
      <w:tr w:rsidR="00AE4EEA" w14:paraId="26646F92"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223552" w14:textId="77777777" w:rsidR="00AE4EEA" w:rsidRDefault="00AE4EEA">
            <w:pPr>
              <w:pStyle w:val="Table"/>
              <w:rPr>
                <w:rFonts w:ascii="Arial Narrow" w:hAnsi="Arial Narrow"/>
                <w:szCs w:val="20"/>
              </w:rPr>
            </w:pPr>
            <w:r>
              <w:rPr>
                <w:rFonts w:ascii="Arial Narrow" w:hAnsi="Arial Narrow"/>
                <w:szCs w:val="20"/>
              </w:rPr>
              <w:t>Patient must have previously received non-PBS subsidised treatment with this drug for this condition prior to [listing date]</w:t>
            </w:r>
          </w:p>
        </w:tc>
      </w:tr>
      <w:tr w:rsidR="00AE4EEA" w14:paraId="3639D052" w14:textId="77777777" w:rsidTr="00AE4EEA">
        <w:trPr>
          <w:trHeight w:val="2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18F347" w14:textId="77777777" w:rsidR="00AE4EEA" w:rsidRDefault="00AE4EEA">
            <w:pPr>
              <w:pStyle w:val="Table"/>
              <w:rPr>
                <w:rFonts w:ascii="Arial Narrow" w:hAnsi="Arial Narrow"/>
                <w:szCs w:val="20"/>
              </w:rPr>
            </w:pPr>
          </w:p>
        </w:tc>
      </w:tr>
      <w:tr w:rsidR="00AE4EEA" w14:paraId="2124F0E3" w14:textId="77777777" w:rsidTr="00AE4EEA">
        <w:trPr>
          <w:trHeight w:val="221"/>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F9B86C" w14:textId="77777777" w:rsidR="00AE4EEA" w:rsidRDefault="00AE4EEA">
            <w:pPr>
              <w:pStyle w:val="Table"/>
              <w:rPr>
                <w:rFonts w:ascii="Arial Narrow" w:hAnsi="Arial Narrow"/>
                <w:b/>
                <w:szCs w:val="20"/>
              </w:rPr>
            </w:pPr>
            <w:r>
              <w:rPr>
                <w:rFonts w:ascii="Arial Narrow" w:hAnsi="Arial Narrow"/>
                <w:b/>
                <w:szCs w:val="20"/>
              </w:rPr>
              <w:t>Treatment criteria:</w:t>
            </w:r>
          </w:p>
        </w:tc>
      </w:tr>
      <w:tr w:rsidR="00AE4EEA" w14:paraId="462A92B9" w14:textId="77777777" w:rsidTr="00AE4EEA">
        <w:trPr>
          <w:trHeight w:val="125"/>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39EC4A" w14:textId="77777777" w:rsidR="00AE4EEA" w:rsidRDefault="00AE4EEA">
            <w:pPr>
              <w:pStyle w:val="Table"/>
              <w:rPr>
                <w:rFonts w:ascii="Arial Narrow" w:hAnsi="Arial Narrow"/>
                <w:szCs w:val="20"/>
              </w:rPr>
            </w:pPr>
            <w:r>
              <w:rPr>
                <w:rFonts w:ascii="Arial Narrow" w:hAnsi="Arial Narrow"/>
                <w:szCs w:val="20"/>
              </w:rPr>
              <w:t>Patient must be treated by one of the following specialists: (i) paediatric endocrinologist, (ii) paediatric nephrologist, (iii) endocrinologist, or (iv) nephrologist</w:t>
            </w:r>
          </w:p>
        </w:tc>
      </w:tr>
      <w:tr w:rsidR="00AE4EEA" w14:paraId="70703711"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B93C1" w14:textId="77777777" w:rsidR="00AE4EEA" w:rsidRDefault="00AE4EEA">
            <w:pPr>
              <w:pStyle w:val="Table"/>
              <w:rPr>
                <w:rFonts w:ascii="Arial Narrow" w:hAnsi="Arial Narrow"/>
                <w:b/>
                <w:szCs w:val="20"/>
              </w:rPr>
            </w:pPr>
          </w:p>
        </w:tc>
      </w:tr>
      <w:tr w:rsidR="00AE4EEA" w14:paraId="6445D3C4" w14:textId="77777777" w:rsidTr="00AE4EEA">
        <w:trPr>
          <w:trHeight w:val="70"/>
        </w:trPr>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FD6CDB" w14:textId="77777777" w:rsidR="00AE4EEA" w:rsidRDefault="00AE4EEA">
            <w:pPr>
              <w:pStyle w:val="Table"/>
              <w:rPr>
                <w:rFonts w:ascii="Arial Narrow" w:hAnsi="Arial Narrow"/>
                <w:szCs w:val="20"/>
              </w:rPr>
            </w:pPr>
            <w:r>
              <w:rPr>
                <w:rFonts w:ascii="Arial Narrow" w:hAnsi="Arial Narrow"/>
                <w:b/>
                <w:szCs w:val="20"/>
              </w:rPr>
              <w:t xml:space="preserve">Administrative advice: </w:t>
            </w:r>
            <w:r>
              <w:rPr>
                <w:rFonts w:ascii="Arial Narrow" w:hAnsi="Arial Narrow"/>
                <w:szCs w:val="20"/>
              </w:rPr>
              <w:t>Special Pricing Arrangements apply</w:t>
            </w:r>
          </w:p>
        </w:tc>
      </w:tr>
      <w:tr w:rsidR="00AE4EEA" w14:paraId="73972A9A" w14:textId="77777777" w:rsidTr="00AE4EEA">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D9E79C" w14:textId="77777777" w:rsidR="00AE4EEA" w:rsidRDefault="00AE4EEA">
            <w:pPr>
              <w:rPr>
                <w:rFonts w:ascii="Arial Narrow" w:hAnsi="Arial Narrow"/>
                <w:bCs/>
                <w:sz w:val="20"/>
                <w:szCs w:val="20"/>
              </w:rPr>
            </w:pPr>
            <w:r>
              <w:rPr>
                <w:rFonts w:ascii="Arial Narrow" w:hAnsi="Arial Narrow"/>
                <w:b/>
                <w:sz w:val="20"/>
                <w:szCs w:val="20"/>
              </w:rPr>
              <w:t xml:space="preserve">Administrative advice: </w:t>
            </w:r>
            <w:r>
              <w:rPr>
                <w:rFonts w:ascii="Arial Narrow" w:hAnsi="Arial Narrow"/>
                <w:bCs/>
                <w:sz w:val="20"/>
                <w:szCs w:val="20"/>
              </w:rPr>
              <w:t>This grandfather restriction will cease to operate from 12 months after the date specified in the clinical criteria</w:t>
            </w:r>
          </w:p>
        </w:tc>
      </w:tr>
      <w:tr w:rsidR="00AE4EEA" w14:paraId="04A3D873" w14:textId="77777777" w:rsidTr="00AE4EEA">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A5B79" w14:textId="77777777" w:rsidR="00AE4EEA" w:rsidRDefault="00AE4EEA">
            <w:pPr>
              <w:rPr>
                <w:rFonts w:ascii="Arial Narrow" w:hAnsi="Arial Narrow"/>
                <w:bCs/>
                <w:u w:val="single"/>
              </w:rPr>
            </w:pPr>
          </w:p>
        </w:tc>
      </w:tr>
      <w:tr w:rsidR="00AE4EEA" w14:paraId="63A24953" w14:textId="77777777" w:rsidTr="00AE4EEA">
        <w:tc>
          <w:tcPr>
            <w:tcW w:w="90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B35CB1" w14:textId="77777777" w:rsidR="00AE4EEA" w:rsidRDefault="00AE4EEA">
            <w:pPr>
              <w:rPr>
                <w:rFonts w:ascii="Arial Narrow" w:hAnsi="Arial Narrow"/>
                <w:bCs/>
                <w:color w:val="333333"/>
                <w:sz w:val="20"/>
                <w:szCs w:val="20"/>
                <w:u w:val="single"/>
              </w:rPr>
            </w:pPr>
            <w:r>
              <w:rPr>
                <w:rFonts w:ascii="Arial Narrow" w:hAnsi="Arial Narrow"/>
                <w:bCs/>
                <w:color w:val="333333"/>
                <w:sz w:val="20"/>
                <w:szCs w:val="20"/>
                <w:u w:val="single"/>
              </w:rPr>
              <w:t>Note</w:t>
            </w:r>
          </w:p>
          <w:p w14:paraId="27F7AC86" w14:textId="77777777" w:rsidR="00AE4EEA" w:rsidRDefault="00AE4EEA">
            <w:pPr>
              <w:rPr>
                <w:rFonts w:ascii="Arial Narrow" w:hAnsi="Arial Narrow"/>
                <w:bCs/>
                <w:sz w:val="20"/>
                <w:szCs w:val="20"/>
                <w:u w:val="single"/>
              </w:rPr>
            </w:pPr>
            <w:r>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63E3DB47" w14:textId="77777777" w:rsidR="00AE4EEA" w:rsidRDefault="00AE4EEA" w:rsidP="00AE4EEA">
      <w:pPr>
        <w:pStyle w:val="3-BodyText"/>
        <w:numPr>
          <w:ilvl w:val="0"/>
          <w:numId w:val="0"/>
        </w:numPr>
        <w:rPr>
          <w:lang w:val="en-GB"/>
        </w:rPr>
      </w:pPr>
    </w:p>
    <w:p w14:paraId="376022BD" w14:textId="77777777" w:rsidR="00AE4EEA" w:rsidRDefault="00AE4EEA" w:rsidP="00AE4EEA">
      <w:pPr>
        <w:pStyle w:val="3-BodyText"/>
        <w:numPr>
          <w:ilvl w:val="0"/>
          <w:numId w:val="0"/>
        </w:numPr>
        <w:rPr>
          <w:lang w:val="en-GB"/>
        </w:rPr>
      </w:pPr>
      <w:r>
        <w:rPr>
          <w:b/>
          <w:bCs/>
          <w:i/>
          <w:szCs w:val="22"/>
        </w:rPr>
        <w:t>This restriction may be subject to further review. Should there be any changes made to the restriction the sponsor will be informed</w:t>
      </w:r>
      <w:r>
        <w:rPr>
          <w:szCs w:val="22"/>
        </w:rPr>
        <w:t>.</w:t>
      </w:r>
    </w:p>
    <w:p w14:paraId="1A30D042" w14:textId="602F8BD0" w:rsidR="00AE4EEA" w:rsidRDefault="00AE4EEA" w:rsidP="00AE4EEA">
      <w:pPr>
        <w:pStyle w:val="2-SectionHeading"/>
        <w:rPr>
          <w:bCs/>
          <w:lang w:val="en-GB"/>
        </w:rPr>
      </w:pPr>
      <w:r w:rsidRPr="00C07617">
        <w:lastRenderedPageBreak/>
        <w:t>Context for Decision</w:t>
      </w:r>
    </w:p>
    <w:p w14:paraId="5DB23B75" w14:textId="77777777" w:rsidR="00AE4EEA" w:rsidRPr="007129F2" w:rsidRDefault="00AE4EEA" w:rsidP="00AE4EEA">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99FDC49" w14:textId="381C552C" w:rsidR="00AE4EEA" w:rsidRPr="00C07617" w:rsidRDefault="00AE4EEA" w:rsidP="00AE4EEA">
      <w:pPr>
        <w:pStyle w:val="2-SectionHeading"/>
      </w:pPr>
      <w:r>
        <w:t>Sponsor’s Comment</w:t>
      </w:r>
    </w:p>
    <w:p w14:paraId="4C20C85A" w14:textId="7FAC6D34" w:rsidR="00503ECA" w:rsidRPr="00525B39" w:rsidRDefault="004C3471" w:rsidP="006C5AEF">
      <w:pPr>
        <w:pStyle w:val="3-BodyText"/>
        <w:numPr>
          <w:ilvl w:val="0"/>
          <w:numId w:val="0"/>
        </w:numPr>
        <w:ind w:left="720"/>
        <w:rPr>
          <w:b/>
          <w:bCs/>
        </w:rPr>
      </w:pPr>
      <w:r w:rsidRPr="008F082A">
        <w:rPr>
          <w:lang w:val="en-GB"/>
        </w:rPr>
        <w:t xml:space="preserve">Kyowa Kirin welcomes the recommendation by the Pharmaceutical Benefits Advisory </w:t>
      </w:r>
      <w:r>
        <w:rPr>
          <w:lang w:val="en-GB"/>
        </w:rPr>
        <w:t xml:space="preserve">  </w:t>
      </w:r>
      <w:r w:rsidRPr="008F082A">
        <w:rPr>
          <w:lang w:val="en-GB"/>
        </w:rPr>
        <w:t>Committee (PBAC) to include Crysvita® (burosumab) on the Pharmaceutical Benefits Scheme for Australians living with X-Linked Hypophosphataemia (XLH).</w:t>
      </w:r>
      <w:bookmarkEnd w:id="2"/>
      <w:bookmarkEnd w:id="3"/>
      <w:bookmarkEnd w:id="4"/>
      <w:bookmarkEnd w:id="5"/>
      <w:bookmarkEnd w:id="67"/>
      <w:bookmarkEnd w:id="68"/>
    </w:p>
    <w:sectPr w:rsidR="00503ECA" w:rsidRPr="00525B39" w:rsidSect="00974F00">
      <w:headerReference w:type="default" r:id="rId14"/>
      <w:footerReference w:type="defaul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73448" w14:textId="77777777" w:rsidR="001A1E7C" w:rsidRDefault="001A1E7C" w:rsidP="00124A51">
      <w:r>
        <w:separator/>
      </w:r>
    </w:p>
    <w:p w14:paraId="3E6DA25F" w14:textId="77777777" w:rsidR="001A1E7C" w:rsidRDefault="001A1E7C"/>
  </w:endnote>
  <w:endnote w:type="continuationSeparator" w:id="0">
    <w:p w14:paraId="4A4E309A" w14:textId="77777777" w:rsidR="001A1E7C" w:rsidRDefault="001A1E7C" w:rsidP="00124A51">
      <w:r>
        <w:continuationSeparator/>
      </w:r>
    </w:p>
    <w:p w14:paraId="34AB62F5" w14:textId="77777777" w:rsidR="001A1E7C" w:rsidRDefault="001A1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505194"/>
      <w:docPartObj>
        <w:docPartGallery w:val="Page Numbers (Bottom of Page)"/>
        <w:docPartUnique/>
      </w:docPartObj>
    </w:sdtPr>
    <w:sdtEndPr>
      <w:rPr>
        <w:noProof/>
      </w:rPr>
    </w:sdtEndPr>
    <w:sdtContent>
      <w:p w14:paraId="3DA51AED" w14:textId="77777777" w:rsidR="001A1E7C" w:rsidRDefault="001A1E7C">
        <w:pPr>
          <w:pStyle w:val="Footer"/>
          <w:jc w:val="center"/>
        </w:pPr>
      </w:p>
      <w:p w14:paraId="0BB5FFA6" w14:textId="6E04C485" w:rsidR="001A1E7C" w:rsidRDefault="001A1E7C">
        <w:pPr>
          <w:pStyle w:val="Footer"/>
          <w:jc w:val="center"/>
        </w:pPr>
        <w:r w:rsidRPr="001A2C4E">
          <w:rPr>
            <w:b/>
            <w:bCs/>
          </w:rPr>
          <w:fldChar w:fldCharType="begin"/>
        </w:r>
        <w:r w:rsidRPr="001A2C4E">
          <w:rPr>
            <w:b/>
            <w:bCs/>
          </w:rPr>
          <w:instrText xml:space="preserve"> PAGE   \* MERGEFORMAT </w:instrText>
        </w:r>
        <w:r w:rsidRPr="001A2C4E">
          <w:rPr>
            <w:b/>
            <w:bCs/>
          </w:rPr>
          <w:fldChar w:fldCharType="separate"/>
        </w:r>
        <w:r>
          <w:rPr>
            <w:b/>
            <w:bCs/>
            <w:noProof/>
          </w:rPr>
          <w:t>60</w:t>
        </w:r>
        <w:r w:rsidRPr="001A2C4E">
          <w:rPr>
            <w:b/>
            <w:bCs/>
            <w:noProof/>
          </w:rPr>
          <w:fldChar w:fldCharType="end"/>
        </w:r>
      </w:p>
    </w:sdtContent>
  </w:sdt>
  <w:p w14:paraId="402A236C" w14:textId="479C921B" w:rsidR="001A1E7C" w:rsidRDefault="001A1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E8B1" w14:textId="77777777" w:rsidR="001A1E7C" w:rsidRDefault="001A1E7C" w:rsidP="00124A51">
      <w:r>
        <w:separator/>
      </w:r>
    </w:p>
    <w:p w14:paraId="1DAFC19E" w14:textId="77777777" w:rsidR="001A1E7C" w:rsidRDefault="001A1E7C"/>
  </w:footnote>
  <w:footnote w:type="continuationSeparator" w:id="0">
    <w:p w14:paraId="7042C7F6" w14:textId="77777777" w:rsidR="001A1E7C" w:rsidRDefault="001A1E7C" w:rsidP="00124A51">
      <w:r>
        <w:continuationSeparator/>
      </w:r>
    </w:p>
    <w:p w14:paraId="4CFE2951" w14:textId="77777777" w:rsidR="001A1E7C" w:rsidRDefault="001A1E7C"/>
  </w:footnote>
  <w:footnote w:id="1">
    <w:p w14:paraId="634D18FB" w14:textId="07CD86F3" w:rsidR="001A1E7C" w:rsidRDefault="001A1E7C">
      <w:pPr>
        <w:pStyle w:val="FootnoteText"/>
      </w:pPr>
      <w:r>
        <w:rPr>
          <w:rStyle w:val="FootnoteReference"/>
        </w:rPr>
        <w:footnoteRef/>
      </w:r>
      <w:r>
        <w:t xml:space="preserve"> Brandi ML, Wood S, Nixon M, et al. Clinical responses in adult XLH patients not achieving consistent serum phosphate normalisation: A subgroup analysis of a randomised, double-blind, placebo-controlled, Phase III study. ASBMR 2020 Annual Meeting; Sept 11-15, 2020.</w:t>
      </w:r>
    </w:p>
  </w:footnote>
  <w:footnote w:id="2">
    <w:p w14:paraId="23DBFF47" w14:textId="448D24F5" w:rsidR="001A1E7C" w:rsidRDefault="001A1E7C">
      <w:pPr>
        <w:pStyle w:val="FootnoteText"/>
      </w:pPr>
      <w:r>
        <w:rPr>
          <w:rStyle w:val="FootnoteReference"/>
        </w:rPr>
        <w:footnoteRef/>
      </w:r>
      <w:r>
        <w:t xml:space="preserve"> Aljuraibah F, Bacchetta J, Brandi ML, et al. An expert perspective on phosphate dysregulation with a focus on chronic hypophosphatemia. JBMR. 2021:DOI 10.1002/jbmr.4486</w:t>
      </w:r>
    </w:p>
  </w:footnote>
  <w:footnote w:id="3">
    <w:p w14:paraId="21836B73" w14:textId="4CA4C11F" w:rsidR="001A1E7C" w:rsidRDefault="001A1E7C" w:rsidP="00EC2D5E">
      <w:pPr>
        <w:pStyle w:val="FootnoteText"/>
      </w:pPr>
      <w:r>
        <w:rPr>
          <w:rStyle w:val="FootnoteReference"/>
        </w:rPr>
        <w:footnoteRef/>
      </w:r>
      <w:r>
        <w:t xml:space="preserve"> Aljuraibah F, Al Amiri E, Al Dubayee M, et al. 2021. Diagnosis and management of X-linked hypophosphatemia in children and adolescent in the Gulf Cooperation Council countries. Archives of Osteoporosis. 16(1):52.</w:t>
      </w:r>
    </w:p>
  </w:footnote>
  <w:footnote w:id="4">
    <w:p w14:paraId="49BDCD5B" w14:textId="77777777" w:rsidR="001A1E7C" w:rsidRDefault="001A1E7C" w:rsidP="00EC2D5E">
      <w:pPr>
        <w:pStyle w:val="FootnoteText"/>
      </w:pPr>
      <w:r>
        <w:rPr>
          <w:rStyle w:val="FootnoteReference"/>
        </w:rPr>
        <w:footnoteRef/>
      </w:r>
      <w:r>
        <w:t xml:space="preserve"> Rothenbuhler A, Schnabel D, Högler W, Linglart A. 2020. Diagnosis, treatment-monitoring and follow-up of children and adolescents with X-linked hypophosphatemia (XLH). Metabolism. 103:153892. doi: 10.1016/j.metabol.2019.03.009.</w:t>
      </w:r>
    </w:p>
  </w:footnote>
  <w:footnote w:id="5">
    <w:p w14:paraId="117BE6D7" w14:textId="47F6FE47" w:rsidR="001A1E7C" w:rsidRDefault="001A1E7C" w:rsidP="00EC2D5E">
      <w:pPr>
        <w:pStyle w:val="FootnoteText"/>
      </w:pPr>
      <w:r>
        <w:rPr>
          <w:rStyle w:val="FootnoteReference"/>
        </w:rPr>
        <w:footnoteRef/>
      </w:r>
      <w:r>
        <w:t xml:space="preserve"> Haffner D, Emma F, Eastwood DM, et al. 2019. Clinical practice recommendations for the diagnosis and management of X-linked hypophosphataemia. Nat Rev Nephrol. 15(7):435-455.</w:t>
      </w:r>
    </w:p>
  </w:footnote>
  <w:footnote w:id="6">
    <w:p w14:paraId="4E29D299" w14:textId="5886F8F7" w:rsidR="001A1E7C" w:rsidRDefault="001A1E7C" w:rsidP="00EC2D5E">
      <w:pPr>
        <w:pStyle w:val="FootnoteText"/>
      </w:pPr>
      <w:r>
        <w:rPr>
          <w:rStyle w:val="FootnoteReference"/>
          <w:rFonts w:eastAsiaTheme="majorEastAsia"/>
        </w:rPr>
        <w:footnoteRef/>
      </w:r>
      <w:r>
        <w:t xml:space="preserve"> Haffner D, Emma F, Eastwood DM, et al. 2019. Clinical practice recommendations for the diagnosis and management of X- linked hypophosphataemia: Consensus Statement. Nature Reviews Nephrology 15(7):435-455.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F0E7" w14:textId="28989EA6" w:rsidR="001A1E7C" w:rsidRPr="001A2C4E" w:rsidRDefault="001A1E7C" w:rsidP="001A2C4E">
    <w:pPr>
      <w:tabs>
        <w:tab w:val="left" w:pos="142"/>
        <w:tab w:val="right" w:pos="9027"/>
      </w:tabs>
      <w:jc w:val="center"/>
      <w:rPr>
        <w:i/>
        <w:iCs/>
      </w:rPr>
    </w:pPr>
    <w:r>
      <w:rPr>
        <w:i/>
        <w:iCs/>
      </w:rPr>
      <w:t xml:space="preserve">Public Summary Document </w:t>
    </w:r>
    <w:r w:rsidRPr="001A2C4E">
      <w:rPr>
        <w:i/>
        <w:iCs/>
      </w:rPr>
      <w:t>– March 2022 PBAC Meeting</w:t>
    </w:r>
    <w:r>
      <w:rPr>
        <w:i/>
        <w:iCs/>
      </w:rPr>
      <w:t xml:space="preserve"> with May 2022 Addendum</w:t>
    </w:r>
  </w:p>
  <w:p w14:paraId="5E83BD6D" w14:textId="77777777" w:rsidR="001A1E7C" w:rsidRDefault="001A1E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27A4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A8E"/>
    <w:multiLevelType w:val="hybridMultilevel"/>
    <w:tmpl w:val="361AD7E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5F36A8"/>
    <w:multiLevelType w:val="hybridMultilevel"/>
    <w:tmpl w:val="5A6082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6701C0F"/>
    <w:multiLevelType w:val="hybridMultilevel"/>
    <w:tmpl w:val="5ADC2712"/>
    <w:lvl w:ilvl="0" w:tplc="24A6690C">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211AAF"/>
    <w:multiLevelType w:val="hybridMultilevel"/>
    <w:tmpl w:val="D1F8A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A96E3F"/>
    <w:multiLevelType w:val="multilevel"/>
    <w:tmpl w:val="9168BB0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A24F07"/>
    <w:multiLevelType w:val="hybridMultilevel"/>
    <w:tmpl w:val="229E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3468D"/>
    <w:multiLevelType w:val="hybridMultilevel"/>
    <w:tmpl w:val="6C300F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B55998"/>
    <w:multiLevelType w:val="hybridMultilevel"/>
    <w:tmpl w:val="CFD84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4F7FB0"/>
    <w:multiLevelType w:val="hybridMultilevel"/>
    <w:tmpl w:val="AAFC2CD0"/>
    <w:lvl w:ilvl="0" w:tplc="FFFFFFFF">
      <w:start w:val="1"/>
      <w:numFmt w:val="bullet"/>
      <w:lvlText w:val="•"/>
      <w:lvlJc w:val="left"/>
      <w:pPr>
        <w:ind w:left="1068" w:hanging="360"/>
      </w:p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7" w15:restartNumberingAfterBreak="0">
    <w:nsid w:val="40FC3F25"/>
    <w:multiLevelType w:val="hybridMultilevel"/>
    <w:tmpl w:val="535443F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start w:val="1"/>
      <w:numFmt w:val="bullet"/>
      <w:lvlText w:val=""/>
      <w:lvlJc w:val="left"/>
      <w:pPr>
        <w:ind w:left="2880" w:hanging="360"/>
      </w:pPr>
      <w:rPr>
        <w:rFonts w:ascii="Symbol" w:hAnsi="Symbol" w:hint="default"/>
      </w:rPr>
    </w:lvl>
    <w:lvl w:ilvl="4" w:tplc="4EE87910">
      <w:start w:val="1"/>
      <w:numFmt w:val="bullet"/>
      <w:lvlText w:val="o"/>
      <w:lvlJc w:val="left"/>
      <w:pPr>
        <w:ind w:left="3600" w:hanging="360"/>
      </w:pPr>
      <w:rPr>
        <w:rFonts w:ascii="Courier New" w:hAnsi="Courier New" w:cs="Courier New" w:hint="default"/>
      </w:rPr>
    </w:lvl>
    <w:lvl w:ilvl="5" w:tplc="E2D8FC36">
      <w:start w:val="1"/>
      <w:numFmt w:val="bullet"/>
      <w:lvlText w:val=""/>
      <w:lvlJc w:val="left"/>
      <w:pPr>
        <w:ind w:left="4320" w:hanging="360"/>
      </w:pPr>
      <w:rPr>
        <w:rFonts w:ascii="Wingdings" w:hAnsi="Wingdings" w:hint="default"/>
      </w:rPr>
    </w:lvl>
    <w:lvl w:ilvl="6" w:tplc="4B22A9DC">
      <w:start w:val="1"/>
      <w:numFmt w:val="bullet"/>
      <w:lvlText w:val=""/>
      <w:lvlJc w:val="left"/>
      <w:pPr>
        <w:ind w:left="5040" w:hanging="360"/>
      </w:pPr>
      <w:rPr>
        <w:rFonts w:ascii="Symbol" w:hAnsi="Symbol" w:hint="default"/>
      </w:rPr>
    </w:lvl>
    <w:lvl w:ilvl="7" w:tplc="02445202">
      <w:start w:val="1"/>
      <w:numFmt w:val="bullet"/>
      <w:lvlText w:val="o"/>
      <w:lvlJc w:val="left"/>
      <w:pPr>
        <w:ind w:left="5760" w:hanging="360"/>
      </w:pPr>
      <w:rPr>
        <w:rFonts w:ascii="Courier New" w:hAnsi="Courier New" w:cs="Courier New" w:hint="default"/>
      </w:rPr>
    </w:lvl>
    <w:lvl w:ilvl="8" w:tplc="947490A4">
      <w:start w:val="1"/>
      <w:numFmt w:val="bullet"/>
      <w:lvlText w:val=""/>
      <w:lvlJc w:val="left"/>
      <w:pPr>
        <w:ind w:left="6480" w:hanging="360"/>
      </w:pPr>
      <w:rPr>
        <w:rFonts w:ascii="Wingdings" w:hAnsi="Wingdings" w:hint="default"/>
      </w:rPr>
    </w:lvl>
  </w:abstractNum>
  <w:abstractNum w:abstractNumId="19"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66B232D4"/>
    <w:lvl w:ilvl="0" w:tplc="04090001">
      <w:start w:val="1"/>
      <w:numFmt w:val="bullet"/>
      <w:lvlText w:val=""/>
      <w:lvlJc w:val="left"/>
      <w:pPr>
        <w:ind w:left="720" w:hanging="360"/>
      </w:pPr>
      <w:rPr>
        <w:rFonts w:ascii="Symbol" w:hAnsi="Symbol" w:hint="default"/>
      </w:rPr>
    </w:lvl>
    <w:lvl w:ilvl="1" w:tplc="629A1AC4">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162C4"/>
    <w:multiLevelType w:val="hybridMultilevel"/>
    <w:tmpl w:val="DAB289EE"/>
    <w:lvl w:ilvl="0" w:tplc="DE5ABF1E">
      <w:start w:val="1"/>
      <w:numFmt w:val="decimal"/>
      <w:lvlText w:val="%1."/>
      <w:lvlJc w:val="left"/>
      <w:pPr>
        <w:ind w:left="720" w:hanging="360"/>
      </w:pPr>
      <w:rPr>
        <w:b w:val="0"/>
        <w:color w:val="000000"/>
      </w:rPr>
    </w:lvl>
    <w:lvl w:ilvl="1" w:tplc="3A88D610">
      <w:start w:val="1"/>
      <w:numFmt w:val="bullet"/>
      <w:lvlText w:val=""/>
      <w:lvlJc w:val="left"/>
      <w:pPr>
        <w:ind w:left="1440" w:hanging="360"/>
      </w:pPr>
      <w:rPr>
        <w:rFonts w:ascii="Symbol" w:hAnsi="Symbol" w:hint="default"/>
        <w:color w:val="00000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29619C5"/>
    <w:multiLevelType w:val="hybridMultilevel"/>
    <w:tmpl w:val="B9BCDD42"/>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F36992"/>
    <w:multiLevelType w:val="hybridMultilevel"/>
    <w:tmpl w:val="BD562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14CFC"/>
    <w:multiLevelType w:val="hybridMultilevel"/>
    <w:tmpl w:val="2A0A32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0375C1A"/>
    <w:multiLevelType w:val="hybridMultilevel"/>
    <w:tmpl w:val="95543FFC"/>
    <w:lvl w:ilvl="0" w:tplc="F0B28DE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84B40EC"/>
    <w:multiLevelType w:val="multilevel"/>
    <w:tmpl w:val="D7021F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C5657B"/>
    <w:multiLevelType w:val="hybridMultilevel"/>
    <w:tmpl w:val="95543FFC"/>
    <w:lvl w:ilvl="0" w:tplc="F0B28DE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76C24644"/>
    <w:multiLevelType w:val="hybridMultilevel"/>
    <w:tmpl w:val="D9481AD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81F4E2E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611347"/>
    <w:multiLevelType w:val="hybridMultilevel"/>
    <w:tmpl w:val="7A08210E"/>
    <w:lvl w:ilvl="0" w:tplc="6194FB72">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3"/>
  </w:num>
  <w:num w:numId="2">
    <w:abstractNumId w:val="20"/>
  </w:num>
  <w:num w:numId="3">
    <w:abstractNumId w:val="21"/>
  </w:num>
  <w:num w:numId="4">
    <w:abstractNumId w:val="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14"/>
  </w:num>
  <w:num w:numId="9">
    <w:abstractNumId w:val="21"/>
  </w:num>
  <w:num w:numId="10">
    <w:abstractNumId w:val="0"/>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7"/>
  </w:num>
  <w:num w:numId="18">
    <w:abstractNumId w:val="32"/>
  </w:num>
  <w:num w:numId="19">
    <w:abstractNumId w:val="1"/>
  </w:num>
  <w:num w:numId="20">
    <w:abstractNumId w:val="23"/>
  </w:num>
  <w:num w:numId="21">
    <w:abstractNumId w:val="15"/>
  </w:num>
  <w:num w:numId="22">
    <w:abstractNumId w:val="5"/>
  </w:num>
  <w:num w:numId="23">
    <w:abstractNumId w:val="26"/>
  </w:num>
  <w:num w:numId="24">
    <w:abstractNumId w:val="6"/>
  </w:num>
  <w:num w:numId="25">
    <w:abstractNumId w:val="2"/>
  </w:num>
  <w:num w:numId="26">
    <w:abstractNumId w:val="11"/>
  </w:num>
  <w:num w:numId="27">
    <w:abstractNumId w:val="13"/>
  </w:num>
  <w:num w:numId="28">
    <w:abstractNumId w:val="10"/>
  </w:num>
  <w:num w:numId="2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 w:numId="34">
    <w:abstractNumId w:val="29"/>
  </w:num>
  <w:num w:numId="35">
    <w:abstractNumId w:val="33"/>
  </w:num>
  <w:num w:numId="36">
    <w:abstractNumId w:val="33"/>
  </w:num>
  <w:num w:numId="37">
    <w:abstractNumId w:val="33"/>
  </w:num>
  <w:num w:numId="38">
    <w:abstractNumId w:val="33"/>
  </w:num>
  <w:num w:numId="39">
    <w:abstractNumId w:val="0"/>
  </w:num>
  <w:num w:numId="40">
    <w:abstractNumId w:val="18"/>
  </w:num>
  <w:num w:numId="41">
    <w:abstractNumId w:val="12"/>
  </w:num>
  <w:num w:numId="42">
    <w:abstractNumId w:val="7"/>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04"/>
    <w:rsid w:val="0000110B"/>
    <w:rsid w:val="000012BC"/>
    <w:rsid w:val="0000195C"/>
    <w:rsid w:val="00003499"/>
    <w:rsid w:val="00003721"/>
    <w:rsid w:val="000039B7"/>
    <w:rsid w:val="00003B85"/>
    <w:rsid w:val="000057E7"/>
    <w:rsid w:val="0000639A"/>
    <w:rsid w:val="00006756"/>
    <w:rsid w:val="00007B79"/>
    <w:rsid w:val="00011362"/>
    <w:rsid w:val="0001192F"/>
    <w:rsid w:val="00013148"/>
    <w:rsid w:val="00013247"/>
    <w:rsid w:val="00015886"/>
    <w:rsid w:val="00015894"/>
    <w:rsid w:val="000162EF"/>
    <w:rsid w:val="00016CF7"/>
    <w:rsid w:val="000179D2"/>
    <w:rsid w:val="000200CB"/>
    <w:rsid w:val="000207C9"/>
    <w:rsid w:val="0002225F"/>
    <w:rsid w:val="000224DE"/>
    <w:rsid w:val="0002365D"/>
    <w:rsid w:val="00023763"/>
    <w:rsid w:val="00027404"/>
    <w:rsid w:val="000274B8"/>
    <w:rsid w:val="00027B79"/>
    <w:rsid w:val="00030586"/>
    <w:rsid w:val="00031EA9"/>
    <w:rsid w:val="00033863"/>
    <w:rsid w:val="00034600"/>
    <w:rsid w:val="0003516A"/>
    <w:rsid w:val="00035DC0"/>
    <w:rsid w:val="00036562"/>
    <w:rsid w:val="00036771"/>
    <w:rsid w:val="00036829"/>
    <w:rsid w:val="00036F69"/>
    <w:rsid w:val="00037818"/>
    <w:rsid w:val="00040895"/>
    <w:rsid w:val="00040BA8"/>
    <w:rsid w:val="000435EE"/>
    <w:rsid w:val="00043C37"/>
    <w:rsid w:val="00044911"/>
    <w:rsid w:val="00044C36"/>
    <w:rsid w:val="00045017"/>
    <w:rsid w:val="00045A2B"/>
    <w:rsid w:val="0004698F"/>
    <w:rsid w:val="00047D91"/>
    <w:rsid w:val="0005045F"/>
    <w:rsid w:val="0005101C"/>
    <w:rsid w:val="000520D6"/>
    <w:rsid w:val="00052493"/>
    <w:rsid w:val="00052ED2"/>
    <w:rsid w:val="000539D0"/>
    <w:rsid w:val="00053FAF"/>
    <w:rsid w:val="00054097"/>
    <w:rsid w:val="00054621"/>
    <w:rsid w:val="000546D7"/>
    <w:rsid w:val="00055E02"/>
    <w:rsid w:val="00056ECF"/>
    <w:rsid w:val="000604DF"/>
    <w:rsid w:val="000616FE"/>
    <w:rsid w:val="00061832"/>
    <w:rsid w:val="0006285E"/>
    <w:rsid w:val="00062C8F"/>
    <w:rsid w:val="000635C3"/>
    <w:rsid w:val="00063623"/>
    <w:rsid w:val="00063929"/>
    <w:rsid w:val="00063ECC"/>
    <w:rsid w:val="00064084"/>
    <w:rsid w:val="0006416D"/>
    <w:rsid w:val="00064BD7"/>
    <w:rsid w:val="00065308"/>
    <w:rsid w:val="000653B5"/>
    <w:rsid w:val="00065751"/>
    <w:rsid w:val="00066360"/>
    <w:rsid w:val="00066AF8"/>
    <w:rsid w:val="0007036B"/>
    <w:rsid w:val="00070BCF"/>
    <w:rsid w:val="00070CDA"/>
    <w:rsid w:val="00071248"/>
    <w:rsid w:val="00071315"/>
    <w:rsid w:val="000720B9"/>
    <w:rsid w:val="00072C74"/>
    <w:rsid w:val="000737F7"/>
    <w:rsid w:val="000755EF"/>
    <w:rsid w:val="000764F2"/>
    <w:rsid w:val="000766C3"/>
    <w:rsid w:val="0007672F"/>
    <w:rsid w:val="00076B54"/>
    <w:rsid w:val="000771C5"/>
    <w:rsid w:val="000774F0"/>
    <w:rsid w:val="00077FEF"/>
    <w:rsid w:val="00080909"/>
    <w:rsid w:val="000812CA"/>
    <w:rsid w:val="00081E63"/>
    <w:rsid w:val="0008258D"/>
    <w:rsid w:val="000828E9"/>
    <w:rsid w:val="00083846"/>
    <w:rsid w:val="00083E99"/>
    <w:rsid w:val="00084FA8"/>
    <w:rsid w:val="000856C5"/>
    <w:rsid w:val="00085C31"/>
    <w:rsid w:val="0008788F"/>
    <w:rsid w:val="00087D3C"/>
    <w:rsid w:val="000902D9"/>
    <w:rsid w:val="00090C7E"/>
    <w:rsid w:val="00092600"/>
    <w:rsid w:val="0009262B"/>
    <w:rsid w:val="00093310"/>
    <w:rsid w:val="0009445C"/>
    <w:rsid w:val="00095200"/>
    <w:rsid w:val="00095FE5"/>
    <w:rsid w:val="00096284"/>
    <w:rsid w:val="000963AF"/>
    <w:rsid w:val="00096A0D"/>
    <w:rsid w:val="0009759C"/>
    <w:rsid w:val="000976A0"/>
    <w:rsid w:val="00097E30"/>
    <w:rsid w:val="000A1306"/>
    <w:rsid w:val="000A180F"/>
    <w:rsid w:val="000A19FA"/>
    <w:rsid w:val="000A1BC0"/>
    <w:rsid w:val="000A266E"/>
    <w:rsid w:val="000A3700"/>
    <w:rsid w:val="000A6039"/>
    <w:rsid w:val="000A6A6A"/>
    <w:rsid w:val="000A7453"/>
    <w:rsid w:val="000A7D08"/>
    <w:rsid w:val="000B0121"/>
    <w:rsid w:val="000B0670"/>
    <w:rsid w:val="000B08CF"/>
    <w:rsid w:val="000B0E75"/>
    <w:rsid w:val="000B1F59"/>
    <w:rsid w:val="000B2266"/>
    <w:rsid w:val="000B2DCB"/>
    <w:rsid w:val="000B3A63"/>
    <w:rsid w:val="000B5CE0"/>
    <w:rsid w:val="000B6CAC"/>
    <w:rsid w:val="000B7612"/>
    <w:rsid w:val="000B78AE"/>
    <w:rsid w:val="000C096B"/>
    <w:rsid w:val="000C15A7"/>
    <w:rsid w:val="000C199A"/>
    <w:rsid w:val="000C3A49"/>
    <w:rsid w:val="000C3DF9"/>
    <w:rsid w:val="000C5699"/>
    <w:rsid w:val="000C6713"/>
    <w:rsid w:val="000C6F9C"/>
    <w:rsid w:val="000C7A4F"/>
    <w:rsid w:val="000D0164"/>
    <w:rsid w:val="000D1BB1"/>
    <w:rsid w:val="000D1BFC"/>
    <w:rsid w:val="000D1D5D"/>
    <w:rsid w:val="000D281A"/>
    <w:rsid w:val="000D2848"/>
    <w:rsid w:val="000D326A"/>
    <w:rsid w:val="000D3378"/>
    <w:rsid w:val="000D51FB"/>
    <w:rsid w:val="000D7622"/>
    <w:rsid w:val="000E04D7"/>
    <w:rsid w:val="000E0640"/>
    <w:rsid w:val="000E135D"/>
    <w:rsid w:val="000E450E"/>
    <w:rsid w:val="000E61E3"/>
    <w:rsid w:val="000F00BA"/>
    <w:rsid w:val="000F20FA"/>
    <w:rsid w:val="000F316A"/>
    <w:rsid w:val="000F3C74"/>
    <w:rsid w:val="000F4BB8"/>
    <w:rsid w:val="000F4D98"/>
    <w:rsid w:val="000F4FA9"/>
    <w:rsid w:val="000F53FB"/>
    <w:rsid w:val="000F5DAF"/>
    <w:rsid w:val="000F5DEB"/>
    <w:rsid w:val="000F6C72"/>
    <w:rsid w:val="000F7127"/>
    <w:rsid w:val="000F7B54"/>
    <w:rsid w:val="00100F8A"/>
    <w:rsid w:val="00100F8E"/>
    <w:rsid w:val="0010205D"/>
    <w:rsid w:val="0010374E"/>
    <w:rsid w:val="00103934"/>
    <w:rsid w:val="0010452E"/>
    <w:rsid w:val="00104780"/>
    <w:rsid w:val="00105A31"/>
    <w:rsid w:val="00105AE2"/>
    <w:rsid w:val="00105B93"/>
    <w:rsid w:val="001060C6"/>
    <w:rsid w:val="00106B80"/>
    <w:rsid w:val="00110123"/>
    <w:rsid w:val="0011032E"/>
    <w:rsid w:val="00110A48"/>
    <w:rsid w:val="00110B2B"/>
    <w:rsid w:val="00112A6D"/>
    <w:rsid w:val="00112F7B"/>
    <w:rsid w:val="0011348B"/>
    <w:rsid w:val="00115982"/>
    <w:rsid w:val="00115CC5"/>
    <w:rsid w:val="00116C53"/>
    <w:rsid w:val="00117F4B"/>
    <w:rsid w:val="001201F5"/>
    <w:rsid w:val="0012098A"/>
    <w:rsid w:val="00121799"/>
    <w:rsid w:val="001222FC"/>
    <w:rsid w:val="00122B1C"/>
    <w:rsid w:val="0012379A"/>
    <w:rsid w:val="00123902"/>
    <w:rsid w:val="00124A51"/>
    <w:rsid w:val="00125690"/>
    <w:rsid w:val="00126621"/>
    <w:rsid w:val="00126B1D"/>
    <w:rsid w:val="00126FAC"/>
    <w:rsid w:val="001301E9"/>
    <w:rsid w:val="00130D2E"/>
    <w:rsid w:val="00131036"/>
    <w:rsid w:val="00131D82"/>
    <w:rsid w:val="00132763"/>
    <w:rsid w:val="00132B22"/>
    <w:rsid w:val="00133345"/>
    <w:rsid w:val="00133D36"/>
    <w:rsid w:val="00133F6F"/>
    <w:rsid w:val="001362BB"/>
    <w:rsid w:val="00137645"/>
    <w:rsid w:val="0014015A"/>
    <w:rsid w:val="00140E99"/>
    <w:rsid w:val="0014160E"/>
    <w:rsid w:val="0014203D"/>
    <w:rsid w:val="00142E54"/>
    <w:rsid w:val="001435BF"/>
    <w:rsid w:val="00143BF7"/>
    <w:rsid w:val="00143F67"/>
    <w:rsid w:val="00145540"/>
    <w:rsid w:val="001456B0"/>
    <w:rsid w:val="001458B2"/>
    <w:rsid w:val="00145D30"/>
    <w:rsid w:val="001460C9"/>
    <w:rsid w:val="0015020F"/>
    <w:rsid w:val="00150410"/>
    <w:rsid w:val="00151384"/>
    <w:rsid w:val="00151451"/>
    <w:rsid w:val="00151543"/>
    <w:rsid w:val="001549C5"/>
    <w:rsid w:val="00156898"/>
    <w:rsid w:val="001569C8"/>
    <w:rsid w:val="00156F8F"/>
    <w:rsid w:val="00157130"/>
    <w:rsid w:val="001576B1"/>
    <w:rsid w:val="0016047B"/>
    <w:rsid w:val="00160A4C"/>
    <w:rsid w:val="001613C6"/>
    <w:rsid w:val="001615B1"/>
    <w:rsid w:val="00162913"/>
    <w:rsid w:val="00162CAA"/>
    <w:rsid w:val="00162E1D"/>
    <w:rsid w:val="00163EFF"/>
    <w:rsid w:val="00163F5E"/>
    <w:rsid w:val="00163F66"/>
    <w:rsid w:val="001657BC"/>
    <w:rsid w:val="00165E43"/>
    <w:rsid w:val="0016600C"/>
    <w:rsid w:val="001661FB"/>
    <w:rsid w:val="001671A0"/>
    <w:rsid w:val="00167492"/>
    <w:rsid w:val="0016767F"/>
    <w:rsid w:val="001704E5"/>
    <w:rsid w:val="00170815"/>
    <w:rsid w:val="00173565"/>
    <w:rsid w:val="00173B07"/>
    <w:rsid w:val="00174BFE"/>
    <w:rsid w:val="001751FA"/>
    <w:rsid w:val="00177049"/>
    <w:rsid w:val="00180AFA"/>
    <w:rsid w:val="00180ED4"/>
    <w:rsid w:val="00180EFD"/>
    <w:rsid w:val="001816EC"/>
    <w:rsid w:val="00181D9C"/>
    <w:rsid w:val="0018236E"/>
    <w:rsid w:val="0018278D"/>
    <w:rsid w:val="00184530"/>
    <w:rsid w:val="00184B0E"/>
    <w:rsid w:val="00185FD8"/>
    <w:rsid w:val="0018752F"/>
    <w:rsid w:val="00187647"/>
    <w:rsid w:val="00192B88"/>
    <w:rsid w:val="0019337A"/>
    <w:rsid w:val="00193838"/>
    <w:rsid w:val="001945F3"/>
    <w:rsid w:val="00194AD8"/>
    <w:rsid w:val="00195222"/>
    <w:rsid w:val="00196308"/>
    <w:rsid w:val="001975D8"/>
    <w:rsid w:val="001A0EDC"/>
    <w:rsid w:val="001A178E"/>
    <w:rsid w:val="001A1C06"/>
    <w:rsid w:val="001A1E7C"/>
    <w:rsid w:val="001A20F1"/>
    <w:rsid w:val="001A2559"/>
    <w:rsid w:val="001A2A41"/>
    <w:rsid w:val="001A2C4E"/>
    <w:rsid w:val="001A3300"/>
    <w:rsid w:val="001A36DC"/>
    <w:rsid w:val="001A3E7A"/>
    <w:rsid w:val="001A41E1"/>
    <w:rsid w:val="001A43FA"/>
    <w:rsid w:val="001A47C5"/>
    <w:rsid w:val="001A59BB"/>
    <w:rsid w:val="001A59FB"/>
    <w:rsid w:val="001A5E9E"/>
    <w:rsid w:val="001A6354"/>
    <w:rsid w:val="001A6366"/>
    <w:rsid w:val="001A6E0D"/>
    <w:rsid w:val="001A70FA"/>
    <w:rsid w:val="001A7330"/>
    <w:rsid w:val="001A7AE8"/>
    <w:rsid w:val="001B092A"/>
    <w:rsid w:val="001B0DD4"/>
    <w:rsid w:val="001B204E"/>
    <w:rsid w:val="001B2372"/>
    <w:rsid w:val="001B28CE"/>
    <w:rsid w:val="001B3443"/>
    <w:rsid w:val="001B41CB"/>
    <w:rsid w:val="001B4D20"/>
    <w:rsid w:val="001B6940"/>
    <w:rsid w:val="001B7B51"/>
    <w:rsid w:val="001B7DB2"/>
    <w:rsid w:val="001C2939"/>
    <w:rsid w:val="001C2A9B"/>
    <w:rsid w:val="001C34B7"/>
    <w:rsid w:val="001C4299"/>
    <w:rsid w:val="001C4642"/>
    <w:rsid w:val="001C4874"/>
    <w:rsid w:val="001C4DD1"/>
    <w:rsid w:val="001C5AEF"/>
    <w:rsid w:val="001C5F94"/>
    <w:rsid w:val="001C6573"/>
    <w:rsid w:val="001C6E66"/>
    <w:rsid w:val="001C7258"/>
    <w:rsid w:val="001D0239"/>
    <w:rsid w:val="001D038E"/>
    <w:rsid w:val="001D1100"/>
    <w:rsid w:val="001D1391"/>
    <w:rsid w:val="001D25D7"/>
    <w:rsid w:val="001D2E66"/>
    <w:rsid w:val="001D4554"/>
    <w:rsid w:val="001D50B2"/>
    <w:rsid w:val="001D50FA"/>
    <w:rsid w:val="001D62AE"/>
    <w:rsid w:val="001D7645"/>
    <w:rsid w:val="001D7B33"/>
    <w:rsid w:val="001E124A"/>
    <w:rsid w:val="001E1E86"/>
    <w:rsid w:val="001E238E"/>
    <w:rsid w:val="001E23AA"/>
    <w:rsid w:val="001E2483"/>
    <w:rsid w:val="001E26E7"/>
    <w:rsid w:val="001E2B1E"/>
    <w:rsid w:val="001E2CFF"/>
    <w:rsid w:val="001E2F24"/>
    <w:rsid w:val="001E30D4"/>
    <w:rsid w:val="001E33AA"/>
    <w:rsid w:val="001E34DF"/>
    <w:rsid w:val="001E4EF7"/>
    <w:rsid w:val="001E52EB"/>
    <w:rsid w:val="001E5F75"/>
    <w:rsid w:val="001E61D2"/>
    <w:rsid w:val="001E740C"/>
    <w:rsid w:val="001E792A"/>
    <w:rsid w:val="001E7A16"/>
    <w:rsid w:val="001F1235"/>
    <w:rsid w:val="001F1734"/>
    <w:rsid w:val="001F1CB3"/>
    <w:rsid w:val="001F2408"/>
    <w:rsid w:val="001F2CBD"/>
    <w:rsid w:val="001F38B5"/>
    <w:rsid w:val="001F3AF4"/>
    <w:rsid w:val="001F4081"/>
    <w:rsid w:val="001F4E0F"/>
    <w:rsid w:val="001F5126"/>
    <w:rsid w:val="001F661D"/>
    <w:rsid w:val="001F6A87"/>
    <w:rsid w:val="001F7361"/>
    <w:rsid w:val="001F7C95"/>
    <w:rsid w:val="00200294"/>
    <w:rsid w:val="00201036"/>
    <w:rsid w:val="002011B0"/>
    <w:rsid w:val="00203170"/>
    <w:rsid w:val="00203181"/>
    <w:rsid w:val="00203783"/>
    <w:rsid w:val="0020385F"/>
    <w:rsid w:val="00203A1E"/>
    <w:rsid w:val="00203A28"/>
    <w:rsid w:val="002042C7"/>
    <w:rsid w:val="002043B1"/>
    <w:rsid w:val="0020573C"/>
    <w:rsid w:val="002068A0"/>
    <w:rsid w:val="00207021"/>
    <w:rsid w:val="0020732F"/>
    <w:rsid w:val="00207C7F"/>
    <w:rsid w:val="00207D00"/>
    <w:rsid w:val="0021008B"/>
    <w:rsid w:val="002105C1"/>
    <w:rsid w:val="00211191"/>
    <w:rsid w:val="00212278"/>
    <w:rsid w:val="00212962"/>
    <w:rsid w:val="00212E95"/>
    <w:rsid w:val="00213E00"/>
    <w:rsid w:val="00213EF5"/>
    <w:rsid w:val="00215DDD"/>
    <w:rsid w:val="002165B3"/>
    <w:rsid w:val="00216BF5"/>
    <w:rsid w:val="00220387"/>
    <w:rsid w:val="00221680"/>
    <w:rsid w:val="00221AC8"/>
    <w:rsid w:val="002237F2"/>
    <w:rsid w:val="00223B49"/>
    <w:rsid w:val="00223D5A"/>
    <w:rsid w:val="00224DD4"/>
    <w:rsid w:val="00224F7F"/>
    <w:rsid w:val="00225CF5"/>
    <w:rsid w:val="00225E9A"/>
    <w:rsid w:val="00226720"/>
    <w:rsid w:val="00226C40"/>
    <w:rsid w:val="00226FD2"/>
    <w:rsid w:val="002278A0"/>
    <w:rsid w:val="002309CC"/>
    <w:rsid w:val="0023209F"/>
    <w:rsid w:val="0023252B"/>
    <w:rsid w:val="00232DE9"/>
    <w:rsid w:val="00233410"/>
    <w:rsid w:val="0023396B"/>
    <w:rsid w:val="00233C01"/>
    <w:rsid w:val="00233D51"/>
    <w:rsid w:val="0023413C"/>
    <w:rsid w:val="002346F0"/>
    <w:rsid w:val="0023629D"/>
    <w:rsid w:val="00236A54"/>
    <w:rsid w:val="00237255"/>
    <w:rsid w:val="00241AE7"/>
    <w:rsid w:val="002424AF"/>
    <w:rsid w:val="00242578"/>
    <w:rsid w:val="002439DC"/>
    <w:rsid w:val="00243D5E"/>
    <w:rsid w:val="00243FB3"/>
    <w:rsid w:val="002441D2"/>
    <w:rsid w:val="002444F8"/>
    <w:rsid w:val="00244588"/>
    <w:rsid w:val="00244DC8"/>
    <w:rsid w:val="002458BA"/>
    <w:rsid w:val="00245CE9"/>
    <w:rsid w:val="0024636C"/>
    <w:rsid w:val="00247040"/>
    <w:rsid w:val="00247925"/>
    <w:rsid w:val="002505D7"/>
    <w:rsid w:val="00250CE4"/>
    <w:rsid w:val="00251006"/>
    <w:rsid w:val="002510D9"/>
    <w:rsid w:val="002524D5"/>
    <w:rsid w:val="00253B1D"/>
    <w:rsid w:val="00253CFB"/>
    <w:rsid w:val="00254DCF"/>
    <w:rsid w:val="00255216"/>
    <w:rsid w:val="0025534B"/>
    <w:rsid w:val="00255BB7"/>
    <w:rsid w:val="002564AE"/>
    <w:rsid w:val="002568EB"/>
    <w:rsid w:val="002572B0"/>
    <w:rsid w:val="00257541"/>
    <w:rsid w:val="00257A39"/>
    <w:rsid w:val="00257AC4"/>
    <w:rsid w:val="0026054F"/>
    <w:rsid w:val="00261EEF"/>
    <w:rsid w:val="00262A1A"/>
    <w:rsid w:val="00262A87"/>
    <w:rsid w:val="00264777"/>
    <w:rsid w:val="00264D26"/>
    <w:rsid w:val="00266EFD"/>
    <w:rsid w:val="00267642"/>
    <w:rsid w:val="00267AEA"/>
    <w:rsid w:val="002700E6"/>
    <w:rsid w:val="00270CD7"/>
    <w:rsid w:val="00271001"/>
    <w:rsid w:val="00271201"/>
    <w:rsid w:val="002728E2"/>
    <w:rsid w:val="0027294B"/>
    <w:rsid w:val="00273532"/>
    <w:rsid w:val="00273EB4"/>
    <w:rsid w:val="00274682"/>
    <w:rsid w:val="00274D81"/>
    <w:rsid w:val="00275B04"/>
    <w:rsid w:val="00275C5A"/>
    <w:rsid w:val="00277FEC"/>
    <w:rsid w:val="00281014"/>
    <w:rsid w:val="00281BE5"/>
    <w:rsid w:val="00281D27"/>
    <w:rsid w:val="00282CB0"/>
    <w:rsid w:val="002833A4"/>
    <w:rsid w:val="00284006"/>
    <w:rsid w:val="002849B2"/>
    <w:rsid w:val="0028665D"/>
    <w:rsid w:val="002875BC"/>
    <w:rsid w:val="00287BF7"/>
    <w:rsid w:val="002909C2"/>
    <w:rsid w:val="00291EC5"/>
    <w:rsid w:val="002934A1"/>
    <w:rsid w:val="002951C7"/>
    <w:rsid w:val="00296970"/>
    <w:rsid w:val="00297213"/>
    <w:rsid w:val="002A07C2"/>
    <w:rsid w:val="002A14AB"/>
    <w:rsid w:val="002A1AD2"/>
    <w:rsid w:val="002A1C78"/>
    <w:rsid w:val="002A273A"/>
    <w:rsid w:val="002A2ADE"/>
    <w:rsid w:val="002A2F50"/>
    <w:rsid w:val="002A4489"/>
    <w:rsid w:val="002A4C98"/>
    <w:rsid w:val="002A587C"/>
    <w:rsid w:val="002B05A1"/>
    <w:rsid w:val="002B09A4"/>
    <w:rsid w:val="002B0FD8"/>
    <w:rsid w:val="002B1A7E"/>
    <w:rsid w:val="002B1C1F"/>
    <w:rsid w:val="002B2772"/>
    <w:rsid w:val="002B363E"/>
    <w:rsid w:val="002B3655"/>
    <w:rsid w:val="002B432F"/>
    <w:rsid w:val="002B4781"/>
    <w:rsid w:val="002B62B3"/>
    <w:rsid w:val="002B6754"/>
    <w:rsid w:val="002B68EE"/>
    <w:rsid w:val="002B6CCE"/>
    <w:rsid w:val="002C140A"/>
    <w:rsid w:val="002C2510"/>
    <w:rsid w:val="002C2687"/>
    <w:rsid w:val="002C2775"/>
    <w:rsid w:val="002C27C1"/>
    <w:rsid w:val="002C5099"/>
    <w:rsid w:val="002C5889"/>
    <w:rsid w:val="002C71CE"/>
    <w:rsid w:val="002D03FF"/>
    <w:rsid w:val="002D08F8"/>
    <w:rsid w:val="002D1E63"/>
    <w:rsid w:val="002D2F3A"/>
    <w:rsid w:val="002D47D3"/>
    <w:rsid w:val="002D4897"/>
    <w:rsid w:val="002D577C"/>
    <w:rsid w:val="002D66A5"/>
    <w:rsid w:val="002E0095"/>
    <w:rsid w:val="002E070B"/>
    <w:rsid w:val="002E07D4"/>
    <w:rsid w:val="002E0E53"/>
    <w:rsid w:val="002E1071"/>
    <w:rsid w:val="002E15B9"/>
    <w:rsid w:val="002E1D81"/>
    <w:rsid w:val="002E2158"/>
    <w:rsid w:val="002E3CB5"/>
    <w:rsid w:val="002E446E"/>
    <w:rsid w:val="002E4F02"/>
    <w:rsid w:val="002E5156"/>
    <w:rsid w:val="002E66FF"/>
    <w:rsid w:val="002E68CE"/>
    <w:rsid w:val="002E69B0"/>
    <w:rsid w:val="002E7722"/>
    <w:rsid w:val="002F07BA"/>
    <w:rsid w:val="002F0DA9"/>
    <w:rsid w:val="002F1014"/>
    <w:rsid w:val="002F16B7"/>
    <w:rsid w:val="002F336E"/>
    <w:rsid w:val="002F3738"/>
    <w:rsid w:val="002F4127"/>
    <w:rsid w:val="002F42D3"/>
    <w:rsid w:val="002F4E0F"/>
    <w:rsid w:val="002F60BA"/>
    <w:rsid w:val="002F643C"/>
    <w:rsid w:val="002F6893"/>
    <w:rsid w:val="002F68FC"/>
    <w:rsid w:val="002F71C0"/>
    <w:rsid w:val="002F74F1"/>
    <w:rsid w:val="00300B65"/>
    <w:rsid w:val="00301017"/>
    <w:rsid w:val="0030155F"/>
    <w:rsid w:val="00301CF7"/>
    <w:rsid w:val="0030587B"/>
    <w:rsid w:val="00305B1F"/>
    <w:rsid w:val="00305DD4"/>
    <w:rsid w:val="003061D7"/>
    <w:rsid w:val="00306D98"/>
    <w:rsid w:val="0030786C"/>
    <w:rsid w:val="00307EEB"/>
    <w:rsid w:val="0031031A"/>
    <w:rsid w:val="00310981"/>
    <w:rsid w:val="00311FE2"/>
    <w:rsid w:val="00312033"/>
    <w:rsid w:val="003124D9"/>
    <w:rsid w:val="00312594"/>
    <w:rsid w:val="003132C2"/>
    <w:rsid w:val="003132E3"/>
    <w:rsid w:val="00313770"/>
    <w:rsid w:val="0031488A"/>
    <w:rsid w:val="00315498"/>
    <w:rsid w:val="00316474"/>
    <w:rsid w:val="003213EC"/>
    <w:rsid w:val="00322107"/>
    <w:rsid w:val="00322355"/>
    <w:rsid w:val="00322846"/>
    <w:rsid w:val="003254AC"/>
    <w:rsid w:val="0032631B"/>
    <w:rsid w:val="00326DA7"/>
    <w:rsid w:val="003270E4"/>
    <w:rsid w:val="00330DAA"/>
    <w:rsid w:val="00330F5C"/>
    <w:rsid w:val="0033295A"/>
    <w:rsid w:val="003356E5"/>
    <w:rsid w:val="003366C9"/>
    <w:rsid w:val="003371B0"/>
    <w:rsid w:val="00340DF1"/>
    <w:rsid w:val="00341F55"/>
    <w:rsid w:val="0034402D"/>
    <w:rsid w:val="003445F0"/>
    <w:rsid w:val="0034654A"/>
    <w:rsid w:val="003474C3"/>
    <w:rsid w:val="0035108E"/>
    <w:rsid w:val="003517F9"/>
    <w:rsid w:val="00351BA9"/>
    <w:rsid w:val="00352004"/>
    <w:rsid w:val="00353034"/>
    <w:rsid w:val="0035340D"/>
    <w:rsid w:val="00354083"/>
    <w:rsid w:val="00354BC2"/>
    <w:rsid w:val="00354F64"/>
    <w:rsid w:val="003558F2"/>
    <w:rsid w:val="00356050"/>
    <w:rsid w:val="0035620E"/>
    <w:rsid w:val="00356AA7"/>
    <w:rsid w:val="003579A9"/>
    <w:rsid w:val="00360345"/>
    <w:rsid w:val="00360D3E"/>
    <w:rsid w:val="003619CF"/>
    <w:rsid w:val="00361A05"/>
    <w:rsid w:val="003624C4"/>
    <w:rsid w:val="0036304F"/>
    <w:rsid w:val="003638EF"/>
    <w:rsid w:val="00363B00"/>
    <w:rsid w:val="00364565"/>
    <w:rsid w:val="00364F1B"/>
    <w:rsid w:val="003654AC"/>
    <w:rsid w:val="003655DD"/>
    <w:rsid w:val="003668AC"/>
    <w:rsid w:val="00366E1E"/>
    <w:rsid w:val="00367323"/>
    <w:rsid w:val="0036736C"/>
    <w:rsid w:val="0037021E"/>
    <w:rsid w:val="00370F33"/>
    <w:rsid w:val="003710CF"/>
    <w:rsid w:val="00371B6F"/>
    <w:rsid w:val="00372353"/>
    <w:rsid w:val="0037358A"/>
    <w:rsid w:val="003750F6"/>
    <w:rsid w:val="003760FC"/>
    <w:rsid w:val="0037659C"/>
    <w:rsid w:val="00381CF6"/>
    <w:rsid w:val="0038352A"/>
    <w:rsid w:val="0038365C"/>
    <w:rsid w:val="0038369B"/>
    <w:rsid w:val="00383B78"/>
    <w:rsid w:val="00383E77"/>
    <w:rsid w:val="00385A9D"/>
    <w:rsid w:val="00385EA7"/>
    <w:rsid w:val="003902B1"/>
    <w:rsid w:val="0039179C"/>
    <w:rsid w:val="00396896"/>
    <w:rsid w:val="00396FD0"/>
    <w:rsid w:val="00397129"/>
    <w:rsid w:val="003A0B35"/>
    <w:rsid w:val="003A1A7A"/>
    <w:rsid w:val="003A1C23"/>
    <w:rsid w:val="003A2392"/>
    <w:rsid w:val="003A2831"/>
    <w:rsid w:val="003A3CB6"/>
    <w:rsid w:val="003A3ED1"/>
    <w:rsid w:val="003A44DB"/>
    <w:rsid w:val="003A5084"/>
    <w:rsid w:val="003A6411"/>
    <w:rsid w:val="003B06BA"/>
    <w:rsid w:val="003B16E7"/>
    <w:rsid w:val="003B1C67"/>
    <w:rsid w:val="003B3971"/>
    <w:rsid w:val="003B55D1"/>
    <w:rsid w:val="003B5B61"/>
    <w:rsid w:val="003C1654"/>
    <w:rsid w:val="003C1D39"/>
    <w:rsid w:val="003C231F"/>
    <w:rsid w:val="003C2822"/>
    <w:rsid w:val="003C4BEC"/>
    <w:rsid w:val="003C52D0"/>
    <w:rsid w:val="003C5542"/>
    <w:rsid w:val="003C63CB"/>
    <w:rsid w:val="003C666F"/>
    <w:rsid w:val="003C7D19"/>
    <w:rsid w:val="003C7D2F"/>
    <w:rsid w:val="003D0316"/>
    <w:rsid w:val="003D0935"/>
    <w:rsid w:val="003D1828"/>
    <w:rsid w:val="003D1DE4"/>
    <w:rsid w:val="003D1DE5"/>
    <w:rsid w:val="003D1E9A"/>
    <w:rsid w:val="003D2422"/>
    <w:rsid w:val="003D2F4C"/>
    <w:rsid w:val="003D39A1"/>
    <w:rsid w:val="003D3AD8"/>
    <w:rsid w:val="003D3FBF"/>
    <w:rsid w:val="003D407C"/>
    <w:rsid w:val="003D4A30"/>
    <w:rsid w:val="003D5041"/>
    <w:rsid w:val="003D7452"/>
    <w:rsid w:val="003D746D"/>
    <w:rsid w:val="003D79BB"/>
    <w:rsid w:val="003D7C98"/>
    <w:rsid w:val="003D7D9D"/>
    <w:rsid w:val="003E0541"/>
    <w:rsid w:val="003E0543"/>
    <w:rsid w:val="003E0843"/>
    <w:rsid w:val="003E0CA4"/>
    <w:rsid w:val="003E2890"/>
    <w:rsid w:val="003E36FE"/>
    <w:rsid w:val="003E6578"/>
    <w:rsid w:val="003E749E"/>
    <w:rsid w:val="003F0849"/>
    <w:rsid w:val="003F1660"/>
    <w:rsid w:val="003F185B"/>
    <w:rsid w:val="003F30CD"/>
    <w:rsid w:val="003F4156"/>
    <w:rsid w:val="003F4562"/>
    <w:rsid w:val="003F4802"/>
    <w:rsid w:val="003F4D28"/>
    <w:rsid w:val="003F5ADF"/>
    <w:rsid w:val="003F5F8F"/>
    <w:rsid w:val="003F640F"/>
    <w:rsid w:val="003F77C2"/>
    <w:rsid w:val="003F7B33"/>
    <w:rsid w:val="004006E9"/>
    <w:rsid w:val="00400930"/>
    <w:rsid w:val="00400B29"/>
    <w:rsid w:val="00402675"/>
    <w:rsid w:val="0040322B"/>
    <w:rsid w:val="00403FA8"/>
    <w:rsid w:val="0040504B"/>
    <w:rsid w:val="004059F4"/>
    <w:rsid w:val="00406404"/>
    <w:rsid w:val="00406E9E"/>
    <w:rsid w:val="00407FE5"/>
    <w:rsid w:val="004101B0"/>
    <w:rsid w:val="00410326"/>
    <w:rsid w:val="00410705"/>
    <w:rsid w:val="00410708"/>
    <w:rsid w:val="00410EC7"/>
    <w:rsid w:val="0041188C"/>
    <w:rsid w:val="00411B39"/>
    <w:rsid w:val="00411DBB"/>
    <w:rsid w:val="004127A7"/>
    <w:rsid w:val="00413A1E"/>
    <w:rsid w:val="0041427E"/>
    <w:rsid w:val="00414476"/>
    <w:rsid w:val="00414C2E"/>
    <w:rsid w:val="004151CF"/>
    <w:rsid w:val="00415FAE"/>
    <w:rsid w:val="00416364"/>
    <w:rsid w:val="0042047F"/>
    <w:rsid w:val="004208E8"/>
    <w:rsid w:val="00420AA6"/>
    <w:rsid w:val="00420B9F"/>
    <w:rsid w:val="00421269"/>
    <w:rsid w:val="0042192C"/>
    <w:rsid w:val="00421A16"/>
    <w:rsid w:val="00422260"/>
    <w:rsid w:val="0042413F"/>
    <w:rsid w:val="00424E91"/>
    <w:rsid w:val="004251D1"/>
    <w:rsid w:val="00425CBF"/>
    <w:rsid w:val="00426255"/>
    <w:rsid w:val="00426468"/>
    <w:rsid w:val="00430BDF"/>
    <w:rsid w:val="004319F8"/>
    <w:rsid w:val="00431E55"/>
    <w:rsid w:val="004321F6"/>
    <w:rsid w:val="00433044"/>
    <w:rsid w:val="00433CA5"/>
    <w:rsid w:val="00433F2D"/>
    <w:rsid w:val="00434088"/>
    <w:rsid w:val="0043457A"/>
    <w:rsid w:val="00437097"/>
    <w:rsid w:val="004375B9"/>
    <w:rsid w:val="0044022D"/>
    <w:rsid w:val="00442636"/>
    <w:rsid w:val="004428D0"/>
    <w:rsid w:val="00444185"/>
    <w:rsid w:val="004443A7"/>
    <w:rsid w:val="0044442C"/>
    <w:rsid w:val="00444918"/>
    <w:rsid w:val="00444DAD"/>
    <w:rsid w:val="00444FEA"/>
    <w:rsid w:val="004458E8"/>
    <w:rsid w:val="00445941"/>
    <w:rsid w:val="00445EDA"/>
    <w:rsid w:val="004464EB"/>
    <w:rsid w:val="00447821"/>
    <w:rsid w:val="00447D26"/>
    <w:rsid w:val="00447DFC"/>
    <w:rsid w:val="00450192"/>
    <w:rsid w:val="00452DC5"/>
    <w:rsid w:val="00453264"/>
    <w:rsid w:val="00455D45"/>
    <w:rsid w:val="00456A0D"/>
    <w:rsid w:val="0046140B"/>
    <w:rsid w:val="00463B45"/>
    <w:rsid w:val="004641F9"/>
    <w:rsid w:val="00464244"/>
    <w:rsid w:val="00464595"/>
    <w:rsid w:val="004658B5"/>
    <w:rsid w:val="0046615C"/>
    <w:rsid w:val="0046670E"/>
    <w:rsid w:val="00471EA5"/>
    <w:rsid w:val="00471EC2"/>
    <w:rsid w:val="00472A79"/>
    <w:rsid w:val="00472E1D"/>
    <w:rsid w:val="00473000"/>
    <w:rsid w:val="0047321C"/>
    <w:rsid w:val="004738C0"/>
    <w:rsid w:val="00473F19"/>
    <w:rsid w:val="00474732"/>
    <w:rsid w:val="00474C2A"/>
    <w:rsid w:val="004751DA"/>
    <w:rsid w:val="00475E22"/>
    <w:rsid w:val="004765A2"/>
    <w:rsid w:val="004801E5"/>
    <w:rsid w:val="0048088E"/>
    <w:rsid w:val="00480F2B"/>
    <w:rsid w:val="00480FEF"/>
    <w:rsid w:val="00481357"/>
    <w:rsid w:val="00482720"/>
    <w:rsid w:val="00482A31"/>
    <w:rsid w:val="00482F66"/>
    <w:rsid w:val="004835E7"/>
    <w:rsid w:val="00484B98"/>
    <w:rsid w:val="00485960"/>
    <w:rsid w:val="004867E2"/>
    <w:rsid w:val="004869ED"/>
    <w:rsid w:val="00487072"/>
    <w:rsid w:val="00490519"/>
    <w:rsid w:val="00490B17"/>
    <w:rsid w:val="004916CB"/>
    <w:rsid w:val="00491807"/>
    <w:rsid w:val="00491B3A"/>
    <w:rsid w:val="00492CFD"/>
    <w:rsid w:val="00492E3D"/>
    <w:rsid w:val="00493F94"/>
    <w:rsid w:val="00494207"/>
    <w:rsid w:val="00494DD5"/>
    <w:rsid w:val="0049570A"/>
    <w:rsid w:val="00495E6E"/>
    <w:rsid w:val="004962D2"/>
    <w:rsid w:val="0049662E"/>
    <w:rsid w:val="00496B22"/>
    <w:rsid w:val="004A0A67"/>
    <w:rsid w:val="004A0DA1"/>
    <w:rsid w:val="004A13D6"/>
    <w:rsid w:val="004A2CA4"/>
    <w:rsid w:val="004A3A3A"/>
    <w:rsid w:val="004A4B6F"/>
    <w:rsid w:val="004A52E9"/>
    <w:rsid w:val="004A6040"/>
    <w:rsid w:val="004A6061"/>
    <w:rsid w:val="004A6597"/>
    <w:rsid w:val="004A6A7D"/>
    <w:rsid w:val="004A7848"/>
    <w:rsid w:val="004A79B1"/>
    <w:rsid w:val="004B0A64"/>
    <w:rsid w:val="004B1CB4"/>
    <w:rsid w:val="004B2F18"/>
    <w:rsid w:val="004B3DDB"/>
    <w:rsid w:val="004B44FD"/>
    <w:rsid w:val="004B52A7"/>
    <w:rsid w:val="004B5CFC"/>
    <w:rsid w:val="004B640F"/>
    <w:rsid w:val="004B6F79"/>
    <w:rsid w:val="004B774D"/>
    <w:rsid w:val="004B7F7B"/>
    <w:rsid w:val="004C0043"/>
    <w:rsid w:val="004C08DD"/>
    <w:rsid w:val="004C170C"/>
    <w:rsid w:val="004C1752"/>
    <w:rsid w:val="004C179E"/>
    <w:rsid w:val="004C3471"/>
    <w:rsid w:val="004C3C7A"/>
    <w:rsid w:val="004C45A6"/>
    <w:rsid w:val="004C4AED"/>
    <w:rsid w:val="004C5364"/>
    <w:rsid w:val="004C5551"/>
    <w:rsid w:val="004C6211"/>
    <w:rsid w:val="004C6D72"/>
    <w:rsid w:val="004D0750"/>
    <w:rsid w:val="004D28B2"/>
    <w:rsid w:val="004D2A33"/>
    <w:rsid w:val="004D2C2D"/>
    <w:rsid w:val="004D45A3"/>
    <w:rsid w:val="004D69B5"/>
    <w:rsid w:val="004D7227"/>
    <w:rsid w:val="004D778F"/>
    <w:rsid w:val="004E0713"/>
    <w:rsid w:val="004E0E7F"/>
    <w:rsid w:val="004E0EB8"/>
    <w:rsid w:val="004E18E9"/>
    <w:rsid w:val="004E2ADC"/>
    <w:rsid w:val="004E43B2"/>
    <w:rsid w:val="004E47C2"/>
    <w:rsid w:val="004E5759"/>
    <w:rsid w:val="004E6890"/>
    <w:rsid w:val="004E700A"/>
    <w:rsid w:val="004E7717"/>
    <w:rsid w:val="004E7C06"/>
    <w:rsid w:val="004F1D02"/>
    <w:rsid w:val="004F22AE"/>
    <w:rsid w:val="004F2679"/>
    <w:rsid w:val="004F2EC5"/>
    <w:rsid w:val="004F2F21"/>
    <w:rsid w:val="004F3508"/>
    <w:rsid w:val="004F35FE"/>
    <w:rsid w:val="004F3651"/>
    <w:rsid w:val="004F369E"/>
    <w:rsid w:val="004F3DE5"/>
    <w:rsid w:val="004F6913"/>
    <w:rsid w:val="004F753C"/>
    <w:rsid w:val="004F7865"/>
    <w:rsid w:val="0050174E"/>
    <w:rsid w:val="00501854"/>
    <w:rsid w:val="0050219B"/>
    <w:rsid w:val="005021C6"/>
    <w:rsid w:val="00503ECA"/>
    <w:rsid w:val="00503F17"/>
    <w:rsid w:val="005061B3"/>
    <w:rsid w:val="005066A9"/>
    <w:rsid w:val="00506928"/>
    <w:rsid w:val="005077EF"/>
    <w:rsid w:val="005102AD"/>
    <w:rsid w:val="005109D4"/>
    <w:rsid w:val="005114F8"/>
    <w:rsid w:val="00511AD5"/>
    <w:rsid w:val="00511D66"/>
    <w:rsid w:val="00511DC7"/>
    <w:rsid w:val="005142C5"/>
    <w:rsid w:val="0051501B"/>
    <w:rsid w:val="005152B5"/>
    <w:rsid w:val="0052123C"/>
    <w:rsid w:val="00521319"/>
    <w:rsid w:val="00521D98"/>
    <w:rsid w:val="00522B94"/>
    <w:rsid w:val="00522BC8"/>
    <w:rsid w:val="00523C28"/>
    <w:rsid w:val="00526AAB"/>
    <w:rsid w:val="005273D5"/>
    <w:rsid w:val="005309C0"/>
    <w:rsid w:val="0053176B"/>
    <w:rsid w:val="00531BE3"/>
    <w:rsid w:val="00531FD3"/>
    <w:rsid w:val="0053223E"/>
    <w:rsid w:val="00532A37"/>
    <w:rsid w:val="00534EC7"/>
    <w:rsid w:val="00535A8B"/>
    <w:rsid w:val="00536EF0"/>
    <w:rsid w:val="00536F42"/>
    <w:rsid w:val="00537182"/>
    <w:rsid w:val="00537783"/>
    <w:rsid w:val="00537FD7"/>
    <w:rsid w:val="00540052"/>
    <w:rsid w:val="00541A9A"/>
    <w:rsid w:val="00541EDD"/>
    <w:rsid w:val="00542743"/>
    <w:rsid w:val="005428CC"/>
    <w:rsid w:val="00542C2D"/>
    <w:rsid w:val="00542E5D"/>
    <w:rsid w:val="00543D64"/>
    <w:rsid w:val="005442CE"/>
    <w:rsid w:val="00546774"/>
    <w:rsid w:val="005468FB"/>
    <w:rsid w:val="005478BD"/>
    <w:rsid w:val="005479E3"/>
    <w:rsid w:val="00551985"/>
    <w:rsid w:val="00552213"/>
    <w:rsid w:val="00552BD3"/>
    <w:rsid w:val="005532A0"/>
    <w:rsid w:val="005535C0"/>
    <w:rsid w:val="00553AF8"/>
    <w:rsid w:val="00554A8A"/>
    <w:rsid w:val="00555109"/>
    <w:rsid w:val="00556887"/>
    <w:rsid w:val="00556B35"/>
    <w:rsid w:val="0055741A"/>
    <w:rsid w:val="005611B7"/>
    <w:rsid w:val="00561427"/>
    <w:rsid w:val="005618D4"/>
    <w:rsid w:val="00562D61"/>
    <w:rsid w:val="005643D8"/>
    <w:rsid w:val="00565DF0"/>
    <w:rsid w:val="005661ED"/>
    <w:rsid w:val="00566229"/>
    <w:rsid w:val="0056696F"/>
    <w:rsid w:val="00566F9D"/>
    <w:rsid w:val="0056783E"/>
    <w:rsid w:val="005703E7"/>
    <w:rsid w:val="00572269"/>
    <w:rsid w:val="0057244A"/>
    <w:rsid w:val="00572F26"/>
    <w:rsid w:val="005739FB"/>
    <w:rsid w:val="00573BA1"/>
    <w:rsid w:val="005750C5"/>
    <w:rsid w:val="005752DE"/>
    <w:rsid w:val="00575D8D"/>
    <w:rsid w:val="00576972"/>
    <w:rsid w:val="00583699"/>
    <w:rsid w:val="005843F5"/>
    <w:rsid w:val="00584E95"/>
    <w:rsid w:val="00584FF9"/>
    <w:rsid w:val="00585CDD"/>
    <w:rsid w:val="00587058"/>
    <w:rsid w:val="00591121"/>
    <w:rsid w:val="00591957"/>
    <w:rsid w:val="00591CFD"/>
    <w:rsid w:val="00592737"/>
    <w:rsid w:val="005935AC"/>
    <w:rsid w:val="00593844"/>
    <w:rsid w:val="005957D2"/>
    <w:rsid w:val="00595E80"/>
    <w:rsid w:val="005978DD"/>
    <w:rsid w:val="00597BF9"/>
    <w:rsid w:val="005A1382"/>
    <w:rsid w:val="005A2129"/>
    <w:rsid w:val="005A2B98"/>
    <w:rsid w:val="005A309A"/>
    <w:rsid w:val="005A3630"/>
    <w:rsid w:val="005A373D"/>
    <w:rsid w:val="005A46AC"/>
    <w:rsid w:val="005A46FA"/>
    <w:rsid w:val="005A48B1"/>
    <w:rsid w:val="005B0B58"/>
    <w:rsid w:val="005B1BBC"/>
    <w:rsid w:val="005B2067"/>
    <w:rsid w:val="005B2DCC"/>
    <w:rsid w:val="005B4E53"/>
    <w:rsid w:val="005B560E"/>
    <w:rsid w:val="005B5857"/>
    <w:rsid w:val="005B6E15"/>
    <w:rsid w:val="005B76F1"/>
    <w:rsid w:val="005B786C"/>
    <w:rsid w:val="005B7D42"/>
    <w:rsid w:val="005C0BCE"/>
    <w:rsid w:val="005C12C2"/>
    <w:rsid w:val="005C19E2"/>
    <w:rsid w:val="005C1B83"/>
    <w:rsid w:val="005C25FF"/>
    <w:rsid w:val="005C29B8"/>
    <w:rsid w:val="005C2D55"/>
    <w:rsid w:val="005C346B"/>
    <w:rsid w:val="005C447D"/>
    <w:rsid w:val="005C4CE9"/>
    <w:rsid w:val="005C501F"/>
    <w:rsid w:val="005C700F"/>
    <w:rsid w:val="005C7E82"/>
    <w:rsid w:val="005D044D"/>
    <w:rsid w:val="005D09CC"/>
    <w:rsid w:val="005D0ABD"/>
    <w:rsid w:val="005D1184"/>
    <w:rsid w:val="005D18AD"/>
    <w:rsid w:val="005D2231"/>
    <w:rsid w:val="005D26B4"/>
    <w:rsid w:val="005D2E05"/>
    <w:rsid w:val="005D5422"/>
    <w:rsid w:val="005D7073"/>
    <w:rsid w:val="005E01D4"/>
    <w:rsid w:val="005E1720"/>
    <w:rsid w:val="005E1AE3"/>
    <w:rsid w:val="005E25FD"/>
    <w:rsid w:val="005E30B5"/>
    <w:rsid w:val="005E44CF"/>
    <w:rsid w:val="005E4E6B"/>
    <w:rsid w:val="005E5416"/>
    <w:rsid w:val="005E5DC9"/>
    <w:rsid w:val="005E6502"/>
    <w:rsid w:val="005E6CBC"/>
    <w:rsid w:val="005E72FF"/>
    <w:rsid w:val="005E731A"/>
    <w:rsid w:val="005E73C0"/>
    <w:rsid w:val="005E7435"/>
    <w:rsid w:val="005E7CD6"/>
    <w:rsid w:val="005F1649"/>
    <w:rsid w:val="005F165D"/>
    <w:rsid w:val="005F26C9"/>
    <w:rsid w:val="005F2706"/>
    <w:rsid w:val="005F5A65"/>
    <w:rsid w:val="005F692B"/>
    <w:rsid w:val="005F6A31"/>
    <w:rsid w:val="005F6A8F"/>
    <w:rsid w:val="005F6BB7"/>
    <w:rsid w:val="005F7588"/>
    <w:rsid w:val="0060191E"/>
    <w:rsid w:val="00603151"/>
    <w:rsid w:val="00603243"/>
    <w:rsid w:val="00603C5B"/>
    <w:rsid w:val="00603DB9"/>
    <w:rsid w:val="006040B0"/>
    <w:rsid w:val="006046FC"/>
    <w:rsid w:val="006052CB"/>
    <w:rsid w:val="00606FBA"/>
    <w:rsid w:val="00607278"/>
    <w:rsid w:val="00607669"/>
    <w:rsid w:val="006076F4"/>
    <w:rsid w:val="00607AFD"/>
    <w:rsid w:val="006102B1"/>
    <w:rsid w:val="00612F97"/>
    <w:rsid w:val="0061345D"/>
    <w:rsid w:val="006138DA"/>
    <w:rsid w:val="00613A4F"/>
    <w:rsid w:val="00614386"/>
    <w:rsid w:val="0061549B"/>
    <w:rsid w:val="00616174"/>
    <w:rsid w:val="0061655C"/>
    <w:rsid w:val="00616802"/>
    <w:rsid w:val="006169F8"/>
    <w:rsid w:val="00617E12"/>
    <w:rsid w:val="00620663"/>
    <w:rsid w:val="00620C25"/>
    <w:rsid w:val="00621477"/>
    <w:rsid w:val="00621ADA"/>
    <w:rsid w:val="00623F7B"/>
    <w:rsid w:val="006248F9"/>
    <w:rsid w:val="00625E8C"/>
    <w:rsid w:val="00627F65"/>
    <w:rsid w:val="006309E4"/>
    <w:rsid w:val="0063158F"/>
    <w:rsid w:val="00631D6B"/>
    <w:rsid w:val="00631EA9"/>
    <w:rsid w:val="00631FC6"/>
    <w:rsid w:val="00632183"/>
    <w:rsid w:val="006329B4"/>
    <w:rsid w:val="00632D1E"/>
    <w:rsid w:val="00632E54"/>
    <w:rsid w:val="006330A1"/>
    <w:rsid w:val="006340B4"/>
    <w:rsid w:val="0063479F"/>
    <w:rsid w:val="006352A0"/>
    <w:rsid w:val="006353F0"/>
    <w:rsid w:val="006357B5"/>
    <w:rsid w:val="006364A1"/>
    <w:rsid w:val="0063678E"/>
    <w:rsid w:val="0063689E"/>
    <w:rsid w:val="0063703F"/>
    <w:rsid w:val="0063705C"/>
    <w:rsid w:val="00637BFD"/>
    <w:rsid w:val="00640313"/>
    <w:rsid w:val="00640C2C"/>
    <w:rsid w:val="006410B8"/>
    <w:rsid w:val="006414BA"/>
    <w:rsid w:val="00641C4E"/>
    <w:rsid w:val="00641FB3"/>
    <w:rsid w:val="0064263D"/>
    <w:rsid w:val="00642EA2"/>
    <w:rsid w:val="00642ED8"/>
    <w:rsid w:val="0064434C"/>
    <w:rsid w:val="00645336"/>
    <w:rsid w:val="006471CC"/>
    <w:rsid w:val="00647267"/>
    <w:rsid w:val="00647A29"/>
    <w:rsid w:val="006504D9"/>
    <w:rsid w:val="0065079F"/>
    <w:rsid w:val="00651148"/>
    <w:rsid w:val="006523AA"/>
    <w:rsid w:val="006523EC"/>
    <w:rsid w:val="00652A28"/>
    <w:rsid w:val="0065379F"/>
    <w:rsid w:val="006538C0"/>
    <w:rsid w:val="00654CE6"/>
    <w:rsid w:val="00656188"/>
    <w:rsid w:val="0065645C"/>
    <w:rsid w:val="0065715A"/>
    <w:rsid w:val="0065752F"/>
    <w:rsid w:val="00660060"/>
    <w:rsid w:val="00660935"/>
    <w:rsid w:val="006610E1"/>
    <w:rsid w:val="006610F1"/>
    <w:rsid w:val="00661C6B"/>
    <w:rsid w:val="00662A02"/>
    <w:rsid w:val="006633CC"/>
    <w:rsid w:val="0066455F"/>
    <w:rsid w:val="00664755"/>
    <w:rsid w:val="00664B8B"/>
    <w:rsid w:val="00667B91"/>
    <w:rsid w:val="00667F51"/>
    <w:rsid w:val="00670042"/>
    <w:rsid w:val="00671004"/>
    <w:rsid w:val="00672505"/>
    <w:rsid w:val="00672646"/>
    <w:rsid w:val="00672DDF"/>
    <w:rsid w:val="00674324"/>
    <w:rsid w:val="00674E42"/>
    <w:rsid w:val="006751AD"/>
    <w:rsid w:val="0067628A"/>
    <w:rsid w:val="00676539"/>
    <w:rsid w:val="006769F5"/>
    <w:rsid w:val="00677C99"/>
    <w:rsid w:val="00680022"/>
    <w:rsid w:val="006813F8"/>
    <w:rsid w:val="00682112"/>
    <w:rsid w:val="00682AE8"/>
    <w:rsid w:val="00682BA6"/>
    <w:rsid w:val="00683C58"/>
    <w:rsid w:val="006851CF"/>
    <w:rsid w:val="0068646A"/>
    <w:rsid w:val="00686957"/>
    <w:rsid w:val="006872BA"/>
    <w:rsid w:val="00690795"/>
    <w:rsid w:val="00690A43"/>
    <w:rsid w:val="00691648"/>
    <w:rsid w:val="006917D7"/>
    <w:rsid w:val="00692CF0"/>
    <w:rsid w:val="006931D5"/>
    <w:rsid w:val="0069434C"/>
    <w:rsid w:val="00694A19"/>
    <w:rsid w:val="00694F27"/>
    <w:rsid w:val="00694F44"/>
    <w:rsid w:val="00696F51"/>
    <w:rsid w:val="00696FFA"/>
    <w:rsid w:val="0069714D"/>
    <w:rsid w:val="006978CC"/>
    <w:rsid w:val="006979A5"/>
    <w:rsid w:val="00697E8D"/>
    <w:rsid w:val="006A0853"/>
    <w:rsid w:val="006A2C96"/>
    <w:rsid w:val="006A4CC6"/>
    <w:rsid w:val="006A4CD9"/>
    <w:rsid w:val="006A6B99"/>
    <w:rsid w:val="006A6BFD"/>
    <w:rsid w:val="006A7E5F"/>
    <w:rsid w:val="006B1228"/>
    <w:rsid w:val="006B124E"/>
    <w:rsid w:val="006B2320"/>
    <w:rsid w:val="006B261B"/>
    <w:rsid w:val="006B2C90"/>
    <w:rsid w:val="006B35E6"/>
    <w:rsid w:val="006B465A"/>
    <w:rsid w:val="006B4991"/>
    <w:rsid w:val="006B4AD8"/>
    <w:rsid w:val="006B657C"/>
    <w:rsid w:val="006B6DD0"/>
    <w:rsid w:val="006B6E52"/>
    <w:rsid w:val="006B7661"/>
    <w:rsid w:val="006B7748"/>
    <w:rsid w:val="006C0399"/>
    <w:rsid w:val="006C04B4"/>
    <w:rsid w:val="006C13C5"/>
    <w:rsid w:val="006C2A8E"/>
    <w:rsid w:val="006C31A9"/>
    <w:rsid w:val="006C3255"/>
    <w:rsid w:val="006C3F26"/>
    <w:rsid w:val="006C4EDD"/>
    <w:rsid w:val="006C5AEF"/>
    <w:rsid w:val="006C7D5A"/>
    <w:rsid w:val="006C7DBE"/>
    <w:rsid w:val="006D0D17"/>
    <w:rsid w:val="006D2846"/>
    <w:rsid w:val="006D32AB"/>
    <w:rsid w:val="006D3C7D"/>
    <w:rsid w:val="006D3EBB"/>
    <w:rsid w:val="006D4659"/>
    <w:rsid w:val="006D548C"/>
    <w:rsid w:val="006D5D5F"/>
    <w:rsid w:val="006D63FB"/>
    <w:rsid w:val="006D68FB"/>
    <w:rsid w:val="006E059A"/>
    <w:rsid w:val="006E092D"/>
    <w:rsid w:val="006E281F"/>
    <w:rsid w:val="006E2843"/>
    <w:rsid w:val="006E2868"/>
    <w:rsid w:val="006E2A84"/>
    <w:rsid w:val="006E3E01"/>
    <w:rsid w:val="006E4BFA"/>
    <w:rsid w:val="006E560D"/>
    <w:rsid w:val="006E6B61"/>
    <w:rsid w:val="006E7FF0"/>
    <w:rsid w:val="006F05AA"/>
    <w:rsid w:val="006F084E"/>
    <w:rsid w:val="006F0EBD"/>
    <w:rsid w:val="006F1317"/>
    <w:rsid w:val="006F2145"/>
    <w:rsid w:val="006F2D8A"/>
    <w:rsid w:val="006F306C"/>
    <w:rsid w:val="006F35F0"/>
    <w:rsid w:val="006F3688"/>
    <w:rsid w:val="006F4D14"/>
    <w:rsid w:val="006F4DA2"/>
    <w:rsid w:val="006F4FC6"/>
    <w:rsid w:val="006F5551"/>
    <w:rsid w:val="006F63A5"/>
    <w:rsid w:val="006F6E25"/>
    <w:rsid w:val="006F7048"/>
    <w:rsid w:val="006F73E0"/>
    <w:rsid w:val="0070142B"/>
    <w:rsid w:val="0070176F"/>
    <w:rsid w:val="0070276E"/>
    <w:rsid w:val="00702F8F"/>
    <w:rsid w:val="00703220"/>
    <w:rsid w:val="00703B34"/>
    <w:rsid w:val="00704477"/>
    <w:rsid w:val="00704FB3"/>
    <w:rsid w:val="00705137"/>
    <w:rsid w:val="00705B56"/>
    <w:rsid w:val="00706AA8"/>
    <w:rsid w:val="00706B31"/>
    <w:rsid w:val="007079FC"/>
    <w:rsid w:val="00710428"/>
    <w:rsid w:val="00711A36"/>
    <w:rsid w:val="00712698"/>
    <w:rsid w:val="00713B96"/>
    <w:rsid w:val="00714C26"/>
    <w:rsid w:val="00714E2A"/>
    <w:rsid w:val="0071529C"/>
    <w:rsid w:val="007152F1"/>
    <w:rsid w:val="007157C0"/>
    <w:rsid w:val="007170DA"/>
    <w:rsid w:val="007172AD"/>
    <w:rsid w:val="00717775"/>
    <w:rsid w:val="0071785D"/>
    <w:rsid w:val="00720801"/>
    <w:rsid w:val="00721074"/>
    <w:rsid w:val="00721CB2"/>
    <w:rsid w:val="00721E1F"/>
    <w:rsid w:val="0072213F"/>
    <w:rsid w:val="007224BC"/>
    <w:rsid w:val="007224C7"/>
    <w:rsid w:val="00722B1B"/>
    <w:rsid w:val="00723D0D"/>
    <w:rsid w:val="0072416F"/>
    <w:rsid w:val="00724488"/>
    <w:rsid w:val="007245D1"/>
    <w:rsid w:val="007256F1"/>
    <w:rsid w:val="00726407"/>
    <w:rsid w:val="00727283"/>
    <w:rsid w:val="00727C94"/>
    <w:rsid w:val="007305D6"/>
    <w:rsid w:val="0073079A"/>
    <w:rsid w:val="00730F7B"/>
    <w:rsid w:val="00731B0A"/>
    <w:rsid w:val="00731EAE"/>
    <w:rsid w:val="00732A15"/>
    <w:rsid w:val="00732F70"/>
    <w:rsid w:val="00733073"/>
    <w:rsid w:val="007334FF"/>
    <w:rsid w:val="00734177"/>
    <w:rsid w:val="00735033"/>
    <w:rsid w:val="00735328"/>
    <w:rsid w:val="0073685B"/>
    <w:rsid w:val="00740389"/>
    <w:rsid w:val="00742D9A"/>
    <w:rsid w:val="007449BF"/>
    <w:rsid w:val="00744D8D"/>
    <w:rsid w:val="007452C6"/>
    <w:rsid w:val="00746394"/>
    <w:rsid w:val="0074685E"/>
    <w:rsid w:val="00746BC0"/>
    <w:rsid w:val="00747204"/>
    <w:rsid w:val="007501CD"/>
    <w:rsid w:val="00750389"/>
    <w:rsid w:val="00750C28"/>
    <w:rsid w:val="007510B4"/>
    <w:rsid w:val="00751DA4"/>
    <w:rsid w:val="00752142"/>
    <w:rsid w:val="007523F9"/>
    <w:rsid w:val="00752D3A"/>
    <w:rsid w:val="0075357E"/>
    <w:rsid w:val="00753FB6"/>
    <w:rsid w:val="00754ABB"/>
    <w:rsid w:val="00754D95"/>
    <w:rsid w:val="00755353"/>
    <w:rsid w:val="00755D27"/>
    <w:rsid w:val="007571D0"/>
    <w:rsid w:val="007573E8"/>
    <w:rsid w:val="00757AAE"/>
    <w:rsid w:val="00760C4E"/>
    <w:rsid w:val="00760F9E"/>
    <w:rsid w:val="00761FE4"/>
    <w:rsid w:val="007625EE"/>
    <w:rsid w:val="007627BE"/>
    <w:rsid w:val="00762FEA"/>
    <w:rsid w:val="00763385"/>
    <w:rsid w:val="00764F03"/>
    <w:rsid w:val="00765B1A"/>
    <w:rsid w:val="0076706B"/>
    <w:rsid w:val="0076731C"/>
    <w:rsid w:val="00767BFF"/>
    <w:rsid w:val="007706B8"/>
    <w:rsid w:val="00771AFA"/>
    <w:rsid w:val="007724CE"/>
    <w:rsid w:val="0077284A"/>
    <w:rsid w:val="007757C4"/>
    <w:rsid w:val="0077704B"/>
    <w:rsid w:val="00777335"/>
    <w:rsid w:val="00777FDB"/>
    <w:rsid w:val="00780852"/>
    <w:rsid w:val="00781356"/>
    <w:rsid w:val="00782793"/>
    <w:rsid w:val="007843F2"/>
    <w:rsid w:val="00784A5A"/>
    <w:rsid w:val="0078569D"/>
    <w:rsid w:val="00785A9F"/>
    <w:rsid w:val="00785CDD"/>
    <w:rsid w:val="00785EF9"/>
    <w:rsid w:val="007862E5"/>
    <w:rsid w:val="00786B0B"/>
    <w:rsid w:val="00786B51"/>
    <w:rsid w:val="00787BC9"/>
    <w:rsid w:val="007908D5"/>
    <w:rsid w:val="007925DF"/>
    <w:rsid w:val="00792956"/>
    <w:rsid w:val="00792DD8"/>
    <w:rsid w:val="007942F6"/>
    <w:rsid w:val="00794770"/>
    <w:rsid w:val="00795DC0"/>
    <w:rsid w:val="007976D5"/>
    <w:rsid w:val="007A0395"/>
    <w:rsid w:val="007A08AA"/>
    <w:rsid w:val="007A0A12"/>
    <w:rsid w:val="007A132D"/>
    <w:rsid w:val="007A1345"/>
    <w:rsid w:val="007A2DDB"/>
    <w:rsid w:val="007A2F5C"/>
    <w:rsid w:val="007A4CC5"/>
    <w:rsid w:val="007A58F4"/>
    <w:rsid w:val="007A600B"/>
    <w:rsid w:val="007A6249"/>
    <w:rsid w:val="007A6A8D"/>
    <w:rsid w:val="007A70BA"/>
    <w:rsid w:val="007B0D68"/>
    <w:rsid w:val="007B251D"/>
    <w:rsid w:val="007B26D4"/>
    <w:rsid w:val="007B4F57"/>
    <w:rsid w:val="007B4F58"/>
    <w:rsid w:val="007B528D"/>
    <w:rsid w:val="007B565C"/>
    <w:rsid w:val="007B63CA"/>
    <w:rsid w:val="007B77D1"/>
    <w:rsid w:val="007C07C7"/>
    <w:rsid w:val="007C1CD9"/>
    <w:rsid w:val="007C2F0F"/>
    <w:rsid w:val="007C32EF"/>
    <w:rsid w:val="007C361D"/>
    <w:rsid w:val="007C3DED"/>
    <w:rsid w:val="007C4B84"/>
    <w:rsid w:val="007C4D2E"/>
    <w:rsid w:val="007C60DE"/>
    <w:rsid w:val="007C69D7"/>
    <w:rsid w:val="007C6D8D"/>
    <w:rsid w:val="007C70FF"/>
    <w:rsid w:val="007C7C25"/>
    <w:rsid w:val="007D004F"/>
    <w:rsid w:val="007D024C"/>
    <w:rsid w:val="007D03DF"/>
    <w:rsid w:val="007D0B38"/>
    <w:rsid w:val="007D10A1"/>
    <w:rsid w:val="007D13AC"/>
    <w:rsid w:val="007D5440"/>
    <w:rsid w:val="007D5F01"/>
    <w:rsid w:val="007D69EB"/>
    <w:rsid w:val="007D795C"/>
    <w:rsid w:val="007E128F"/>
    <w:rsid w:val="007E2BCD"/>
    <w:rsid w:val="007E37A2"/>
    <w:rsid w:val="007E37C9"/>
    <w:rsid w:val="007E6D81"/>
    <w:rsid w:val="007E7AFD"/>
    <w:rsid w:val="007F1017"/>
    <w:rsid w:val="007F135A"/>
    <w:rsid w:val="007F4A3F"/>
    <w:rsid w:val="007F4A61"/>
    <w:rsid w:val="007F5255"/>
    <w:rsid w:val="007F56CC"/>
    <w:rsid w:val="007F61C2"/>
    <w:rsid w:val="00801E90"/>
    <w:rsid w:val="00802080"/>
    <w:rsid w:val="00802CBE"/>
    <w:rsid w:val="00803D62"/>
    <w:rsid w:val="00805142"/>
    <w:rsid w:val="00805FCE"/>
    <w:rsid w:val="00806F0E"/>
    <w:rsid w:val="00807905"/>
    <w:rsid w:val="00807A8B"/>
    <w:rsid w:val="00811383"/>
    <w:rsid w:val="00812149"/>
    <w:rsid w:val="00812CAC"/>
    <w:rsid w:val="00814DF3"/>
    <w:rsid w:val="00816361"/>
    <w:rsid w:val="008166EF"/>
    <w:rsid w:val="00816FEF"/>
    <w:rsid w:val="00817795"/>
    <w:rsid w:val="008179D9"/>
    <w:rsid w:val="00817E17"/>
    <w:rsid w:val="00820A8C"/>
    <w:rsid w:val="008211A5"/>
    <w:rsid w:val="008215FB"/>
    <w:rsid w:val="00821847"/>
    <w:rsid w:val="00821C68"/>
    <w:rsid w:val="00822872"/>
    <w:rsid w:val="00823174"/>
    <w:rsid w:val="008233BA"/>
    <w:rsid w:val="00823460"/>
    <w:rsid w:val="00824847"/>
    <w:rsid w:val="00824864"/>
    <w:rsid w:val="0082493C"/>
    <w:rsid w:val="00825751"/>
    <w:rsid w:val="00825D48"/>
    <w:rsid w:val="008264EB"/>
    <w:rsid w:val="008265F2"/>
    <w:rsid w:val="008309DA"/>
    <w:rsid w:val="00831AD0"/>
    <w:rsid w:val="00833499"/>
    <w:rsid w:val="00833635"/>
    <w:rsid w:val="00833B05"/>
    <w:rsid w:val="008351E1"/>
    <w:rsid w:val="008362B4"/>
    <w:rsid w:val="00840CA2"/>
    <w:rsid w:val="0084374F"/>
    <w:rsid w:val="00844A22"/>
    <w:rsid w:val="00847703"/>
    <w:rsid w:val="00847DF5"/>
    <w:rsid w:val="008508F2"/>
    <w:rsid w:val="00851332"/>
    <w:rsid w:val="008519D9"/>
    <w:rsid w:val="0085309D"/>
    <w:rsid w:val="0085395E"/>
    <w:rsid w:val="00853D62"/>
    <w:rsid w:val="00854DB9"/>
    <w:rsid w:val="00854E58"/>
    <w:rsid w:val="00855620"/>
    <w:rsid w:val="00856897"/>
    <w:rsid w:val="00856E9A"/>
    <w:rsid w:val="008571C0"/>
    <w:rsid w:val="008577C8"/>
    <w:rsid w:val="0086042F"/>
    <w:rsid w:val="0086075D"/>
    <w:rsid w:val="00860C37"/>
    <w:rsid w:val="00862502"/>
    <w:rsid w:val="00862CC1"/>
    <w:rsid w:val="008639BD"/>
    <w:rsid w:val="00863DDF"/>
    <w:rsid w:val="008660D4"/>
    <w:rsid w:val="00870D47"/>
    <w:rsid w:val="008714EF"/>
    <w:rsid w:val="00871FA9"/>
    <w:rsid w:val="008728E9"/>
    <w:rsid w:val="0087500B"/>
    <w:rsid w:val="00875929"/>
    <w:rsid w:val="008764C5"/>
    <w:rsid w:val="008778CE"/>
    <w:rsid w:val="008809EC"/>
    <w:rsid w:val="0088198E"/>
    <w:rsid w:val="00881E45"/>
    <w:rsid w:val="00882490"/>
    <w:rsid w:val="00882874"/>
    <w:rsid w:val="00882E3C"/>
    <w:rsid w:val="00883787"/>
    <w:rsid w:val="00885471"/>
    <w:rsid w:val="008855E4"/>
    <w:rsid w:val="00886CD2"/>
    <w:rsid w:val="00886D68"/>
    <w:rsid w:val="00890199"/>
    <w:rsid w:val="00891C07"/>
    <w:rsid w:val="00891E6F"/>
    <w:rsid w:val="00891EBD"/>
    <w:rsid w:val="0089275D"/>
    <w:rsid w:val="00892A36"/>
    <w:rsid w:val="00892CA2"/>
    <w:rsid w:val="00893239"/>
    <w:rsid w:val="00894489"/>
    <w:rsid w:val="00894E15"/>
    <w:rsid w:val="008963A5"/>
    <w:rsid w:val="00896D5D"/>
    <w:rsid w:val="008976BC"/>
    <w:rsid w:val="008A1853"/>
    <w:rsid w:val="008A2695"/>
    <w:rsid w:val="008A2EFE"/>
    <w:rsid w:val="008A3363"/>
    <w:rsid w:val="008A3371"/>
    <w:rsid w:val="008A3C3E"/>
    <w:rsid w:val="008A41E5"/>
    <w:rsid w:val="008A4623"/>
    <w:rsid w:val="008A73C8"/>
    <w:rsid w:val="008A79DE"/>
    <w:rsid w:val="008B1757"/>
    <w:rsid w:val="008B2003"/>
    <w:rsid w:val="008B4571"/>
    <w:rsid w:val="008B5249"/>
    <w:rsid w:val="008B56FE"/>
    <w:rsid w:val="008B57ED"/>
    <w:rsid w:val="008B7992"/>
    <w:rsid w:val="008B7D7E"/>
    <w:rsid w:val="008C04EA"/>
    <w:rsid w:val="008C2655"/>
    <w:rsid w:val="008C26A4"/>
    <w:rsid w:val="008C48D6"/>
    <w:rsid w:val="008C5180"/>
    <w:rsid w:val="008C5610"/>
    <w:rsid w:val="008C5661"/>
    <w:rsid w:val="008C5739"/>
    <w:rsid w:val="008C7ECB"/>
    <w:rsid w:val="008D1831"/>
    <w:rsid w:val="008D1B79"/>
    <w:rsid w:val="008D38A4"/>
    <w:rsid w:val="008D3B86"/>
    <w:rsid w:val="008D434D"/>
    <w:rsid w:val="008D4755"/>
    <w:rsid w:val="008D4C3D"/>
    <w:rsid w:val="008D4EE6"/>
    <w:rsid w:val="008D569E"/>
    <w:rsid w:val="008D6830"/>
    <w:rsid w:val="008D6DA2"/>
    <w:rsid w:val="008D743C"/>
    <w:rsid w:val="008E0ACE"/>
    <w:rsid w:val="008E0D3C"/>
    <w:rsid w:val="008E131A"/>
    <w:rsid w:val="008E1B9E"/>
    <w:rsid w:val="008E5039"/>
    <w:rsid w:val="008E55AB"/>
    <w:rsid w:val="008E616D"/>
    <w:rsid w:val="008E61CF"/>
    <w:rsid w:val="008E65F1"/>
    <w:rsid w:val="008E6EFE"/>
    <w:rsid w:val="008E7595"/>
    <w:rsid w:val="008E7EF2"/>
    <w:rsid w:val="008F0D61"/>
    <w:rsid w:val="008F120A"/>
    <w:rsid w:val="008F1331"/>
    <w:rsid w:val="008F18B8"/>
    <w:rsid w:val="008F1C06"/>
    <w:rsid w:val="008F27E0"/>
    <w:rsid w:val="008F48EB"/>
    <w:rsid w:val="008F4F0B"/>
    <w:rsid w:val="008F5726"/>
    <w:rsid w:val="008F5836"/>
    <w:rsid w:val="008F5CF5"/>
    <w:rsid w:val="008F61E3"/>
    <w:rsid w:val="008F6AF7"/>
    <w:rsid w:val="008F72E8"/>
    <w:rsid w:val="00900698"/>
    <w:rsid w:val="009014D0"/>
    <w:rsid w:val="0090323A"/>
    <w:rsid w:val="00903DC9"/>
    <w:rsid w:val="009046C4"/>
    <w:rsid w:val="009062A5"/>
    <w:rsid w:val="009062DD"/>
    <w:rsid w:val="009064A1"/>
    <w:rsid w:val="009064F3"/>
    <w:rsid w:val="00910FA7"/>
    <w:rsid w:val="00911272"/>
    <w:rsid w:val="009112B1"/>
    <w:rsid w:val="00911DDD"/>
    <w:rsid w:val="0091222D"/>
    <w:rsid w:val="00912C35"/>
    <w:rsid w:val="009135D6"/>
    <w:rsid w:val="00913CDA"/>
    <w:rsid w:val="00914C77"/>
    <w:rsid w:val="009155C5"/>
    <w:rsid w:val="0091661F"/>
    <w:rsid w:val="00921ACB"/>
    <w:rsid w:val="00921D8C"/>
    <w:rsid w:val="0092369B"/>
    <w:rsid w:val="00931F6A"/>
    <w:rsid w:val="0093279B"/>
    <w:rsid w:val="00933462"/>
    <w:rsid w:val="00934988"/>
    <w:rsid w:val="00935341"/>
    <w:rsid w:val="00935F77"/>
    <w:rsid w:val="00936DB8"/>
    <w:rsid w:val="00937089"/>
    <w:rsid w:val="00937FD4"/>
    <w:rsid w:val="009408C2"/>
    <w:rsid w:val="00940C2D"/>
    <w:rsid w:val="00942DA5"/>
    <w:rsid w:val="00943E63"/>
    <w:rsid w:val="00944F8A"/>
    <w:rsid w:val="009510A2"/>
    <w:rsid w:val="00951ABD"/>
    <w:rsid w:val="00953257"/>
    <w:rsid w:val="0095474C"/>
    <w:rsid w:val="0095478A"/>
    <w:rsid w:val="00954DEA"/>
    <w:rsid w:val="00955497"/>
    <w:rsid w:val="00955F73"/>
    <w:rsid w:val="009607D4"/>
    <w:rsid w:val="0096089C"/>
    <w:rsid w:val="0096261D"/>
    <w:rsid w:val="00962CB9"/>
    <w:rsid w:val="0096360B"/>
    <w:rsid w:val="00964312"/>
    <w:rsid w:val="00964F81"/>
    <w:rsid w:val="00965251"/>
    <w:rsid w:val="0096581C"/>
    <w:rsid w:val="00965B8A"/>
    <w:rsid w:val="009703B0"/>
    <w:rsid w:val="0097071F"/>
    <w:rsid w:val="00970BAD"/>
    <w:rsid w:val="009717AC"/>
    <w:rsid w:val="00973C8B"/>
    <w:rsid w:val="00973D67"/>
    <w:rsid w:val="00974BC3"/>
    <w:rsid w:val="00974CED"/>
    <w:rsid w:val="00974F00"/>
    <w:rsid w:val="009751C1"/>
    <w:rsid w:val="00975207"/>
    <w:rsid w:val="00975C95"/>
    <w:rsid w:val="00980753"/>
    <w:rsid w:val="009811F1"/>
    <w:rsid w:val="00983E57"/>
    <w:rsid w:val="00985DE2"/>
    <w:rsid w:val="0098675D"/>
    <w:rsid w:val="00986F3A"/>
    <w:rsid w:val="00986FE3"/>
    <w:rsid w:val="0098720C"/>
    <w:rsid w:val="00992478"/>
    <w:rsid w:val="009926E0"/>
    <w:rsid w:val="009927EB"/>
    <w:rsid w:val="00992FB6"/>
    <w:rsid w:val="009943E0"/>
    <w:rsid w:val="0099451E"/>
    <w:rsid w:val="00994FA7"/>
    <w:rsid w:val="009960D5"/>
    <w:rsid w:val="00996B1A"/>
    <w:rsid w:val="00997AA5"/>
    <w:rsid w:val="00997B57"/>
    <w:rsid w:val="009A2B60"/>
    <w:rsid w:val="009A2DCC"/>
    <w:rsid w:val="009A42A8"/>
    <w:rsid w:val="009A59BB"/>
    <w:rsid w:val="009A5ABC"/>
    <w:rsid w:val="009A7F10"/>
    <w:rsid w:val="009B3E26"/>
    <w:rsid w:val="009B41EC"/>
    <w:rsid w:val="009B54BA"/>
    <w:rsid w:val="009B7074"/>
    <w:rsid w:val="009B70FF"/>
    <w:rsid w:val="009B7C89"/>
    <w:rsid w:val="009C2AEE"/>
    <w:rsid w:val="009C3706"/>
    <w:rsid w:val="009C3A3A"/>
    <w:rsid w:val="009C44BF"/>
    <w:rsid w:val="009C49EA"/>
    <w:rsid w:val="009C5C77"/>
    <w:rsid w:val="009C6CEA"/>
    <w:rsid w:val="009C7B85"/>
    <w:rsid w:val="009C7E3D"/>
    <w:rsid w:val="009D0120"/>
    <w:rsid w:val="009D0213"/>
    <w:rsid w:val="009D0254"/>
    <w:rsid w:val="009D1888"/>
    <w:rsid w:val="009D18B8"/>
    <w:rsid w:val="009D1A64"/>
    <w:rsid w:val="009D2829"/>
    <w:rsid w:val="009D2E59"/>
    <w:rsid w:val="009D2F88"/>
    <w:rsid w:val="009D343C"/>
    <w:rsid w:val="009D391C"/>
    <w:rsid w:val="009D3F60"/>
    <w:rsid w:val="009D4E2A"/>
    <w:rsid w:val="009D5B91"/>
    <w:rsid w:val="009D6266"/>
    <w:rsid w:val="009D6C12"/>
    <w:rsid w:val="009D792E"/>
    <w:rsid w:val="009D7B6E"/>
    <w:rsid w:val="009E0DFE"/>
    <w:rsid w:val="009E1C69"/>
    <w:rsid w:val="009E1FA4"/>
    <w:rsid w:val="009E200A"/>
    <w:rsid w:val="009E2A00"/>
    <w:rsid w:val="009E2DEE"/>
    <w:rsid w:val="009E31F6"/>
    <w:rsid w:val="009E3398"/>
    <w:rsid w:val="009E3B78"/>
    <w:rsid w:val="009E43A4"/>
    <w:rsid w:val="009E4C07"/>
    <w:rsid w:val="009E72D1"/>
    <w:rsid w:val="009F0359"/>
    <w:rsid w:val="009F094E"/>
    <w:rsid w:val="009F189D"/>
    <w:rsid w:val="009F54AD"/>
    <w:rsid w:val="009F7980"/>
    <w:rsid w:val="009F7C63"/>
    <w:rsid w:val="00A00427"/>
    <w:rsid w:val="00A01184"/>
    <w:rsid w:val="00A0203A"/>
    <w:rsid w:val="00A02BBE"/>
    <w:rsid w:val="00A035F4"/>
    <w:rsid w:val="00A036EE"/>
    <w:rsid w:val="00A037C2"/>
    <w:rsid w:val="00A03D43"/>
    <w:rsid w:val="00A04380"/>
    <w:rsid w:val="00A05472"/>
    <w:rsid w:val="00A05C32"/>
    <w:rsid w:val="00A0653F"/>
    <w:rsid w:val="00A07840"/>
    <w:rsid w:val="00A11A10"/>
    <w:rsid w:val="00A11CD0"/>
    <w:rsid w:val="00A125AC"/>
    <w:rsid w:val="00A13948"/>
    <w:rsid w:val="00A14326"/>
    <w:rsid w:val="00A1555B"/>
    <w:rsid w:val="00A155C5"/>
    <w:rsid w:val="00A15C7C"/>
    <w:rsid w:val="00A16AD8"/>
    <w:rsid w:val="00A16BF8"/>
    <w:rsid w:val="00A20582"/>
    <w:rsid w:val="00A20D71"/>
    <w:rsid w:val="00A21B81"/>
    <w:rsid w:val="00A21C95"/>
    <w:rsid w:val="00A21CF3"/>
    <w:rsid w:val="00A22A63"/>
    <w:rsid w:val="00A23220"/>
    <w:rsid w:val="00A24131"/>
    <w:rsid w:val="00A24813"/>
    <w:rsid w:val="00A25E3F"/>
    <w:rsid w:val="00A261B1"/>
    <w:rsid w:val="00A27AEC"/>
    <w:rsid w:val="00A309AA"/>
    <w:rsid w:val="00A320DB"/>
    <w:rsid w:val="00A35D16"/>
    <w:rsid w:val="00A36535"/>
    <w:rsid w:val="00A376FD"/>
    <w:rsid w:val="00A37BCD"/>
    <w:rsid w:val="00A41689"/>
    <w:rsid w:val="00A42592"/>
    <w:rsid w:val="00A4279B"/>
    <w:rsid w:val="00A43110"/>
    <w:rsid w:val="00A43C59"/>
    <w:rsid w:val="00A44B6D"/>
    <w:rsid w:val="00A450FD"/>
    <w:rsid w:val="00A4538F"/>
    <w:rsid w:val="00A45695"/>
    <w:rsid w:val="00A4600B"/>
    <w:rsid w:val="00A46857"/>
    <w:rsid w:val="00A501F5"/>
    <w:rsid w:val="00A50D92"/>
    <w:rsid w:val="00A50ECD"/>
    <w:rsid w:val="00A518F3"/>
    <w:rsid w:val="00A521F2"/>
    <w:rsid w:val="00A52729"/>
    <w:rsid w:val="00A53675"/>
    <w:rsid w:val="00A5496E"/>
    <w:rsid w:val="00A556DF"/>
    <w:rsid w:val="00A564D7"/>
    <w:rsid w:val="00A56B6A"/>
    <w:rsid w:val="00A56BA1"/>
    <w:rsid w:val="00A578DC"/>
    <w:rsid w:val="00A633DC"/>
    <w:rsid w:val="00A640E2"/>
    <w:rsid w:val="00A6478C"/>
    <w:rsid w:val="00A6488C"/>
    <w:rsid w:val="00A64D65"/>
    <w:rsid w:val="00A66014"/>
    <w:rsid w:val="00A664D8"/>
    <w:rsid w:val="00A670E3"/>
    <w:rsid w:val="00A6725B"/>
    <w:rsid w:val="00A67DF1"/>
    <w:rsid w:val="00A702A1"/>
    <w:rsid w:val="00A70605"/>
    <w:rsid w:val="00A70CB4"/>
    <w:rsid w:val="00A7260A"/>
    <w:rsid w:val="00A73134"/>
    <w:rsid w:val="00A75640"/>
    <w:rsid w:val="00A76001"/>
    <w:rsid w:val="00A777B2"/>
    <w:rsid w:val="00A81C1E"/>
    <w:rsid w:val="00A825D4"/>
    <w:rsid w:val="00A827C4"/>
    <w:rsid w:val="00A828F6"/>
    <w:rsid w:val="00A82B73"/>
    <w:rsid w:val="00A84A1C"/>
    <w:rsid w:val="00A85D19"/>
    <w:rsid w:val="00A85E5F"/>
    <w:rsid w:val="00A86E8B"/>
    <w:rsid w:val="00A87164"/>
    <w:rsid w:val="00A872E7"/>
    <w:rsid w:val="00A9038B"/>
    <w:rsid w:val="00A917B0"/>
    <w:rsid w:val="00A9265F"/>
    <w:rsid w:val="00A93072"/>
    <w:rsid w:val="00A93196"/>
    <w:rsid w:val="00A93847"/>
    <w:rsid w:val="00A938BD"/>
    <w:rsid w:val="00A938F8"/>
    <w:rsid w:val="00A93953"/>
    <w:rsid w:val="00A94A4C"/>
    <w:rsid w:val="00A959D8"/>
    <w:rsid w:val="00A95F82"/>
    <w:rsid w:val="00A97478"/>
    <w:rsid w:val="00AA0C68"/>
    <w:rsid w:val="00AA113D"/>
    <w:rsid w:val="00AA25B9"/>
    <w:rsid w:val="00AA6BD5"/>
    <w:rsid w:val="00AA6BD8"/>
    <w:rsid w:val="00AA6C7D"/>
    <w:rsid w:val="00AA73BF"/>
    <w:rsid w:val="00AA7FD6"/>
    <w:rsid w:val="00AB042A"/>
    <w:rsid w:val="00AB19EF"/>
    <w:rsid w:val="00AB2D34"/>
    <w:rsid w:val="00AB3430"/>
    <w:rsid w:val="00AB37B9"/>
    <w:rsid w:val="00AB3FEC"/>
    <w:rsid w:val="00AB49B7"/>
    <w:rsid w:val="00AB4AD1"/>
    <w:rsid w:val="00AB5E07"/>
    <w:rsid w:val="00AB5F04"/>
    <w:rsid w:val="00AB67A5"/>
    <w:rsid w:val="00AB7CFA"/>
    <w:rsid w:val="00AC0AAE"/>
    <w:rsid w:val="00AC18F5"/>
    <w:rsid w:val="00AC1E5D"/>
    <w:rsid w:val="00AC4047"/>
    <w:rsid w:val="00AC45A0"/>
    <w:rsid w:val="00AC5B48"/>
    <w:rsid w:val="00AC70D3"/>
    <w:rsid w:val="00AC773F"/>
    <w:rsid w:val="00AD08F5"/>
    <w:rsid w:val="00AD0DBB"/>
    <w:rsid w:val="00AD0FEE"/>
    <w:rsid w:val="00AD1450"/>
    <w:rsid w:val="00AD232A"/>
    <w:rsid w:val="00AD43E7"/>
    <w:rsid w:val="00AD44A9"/>
    <w:rsid w:val="00AD4E98"/>
    <w:rsid w:val="00AD53C9"/>
    <w:rsid w:val="00AD5BF4"/>
    <w:rsid w:val="00AD6502"/>
    <w:rsid w:val="00AD76CD"/>
    <w:rsid w:val="00AD7A8F"/>
    <w:rsid w:val="00AE0695"/>
    <w:rsid w:val="00AE3E7E"/>
    <w:rsid w:val="00AE4EEA"/>
    <w:rsid w:val="00AE63AF"/>
    <w:rsid w:val="00AF0180"/>
    <w:rsid w:val="00AF0F18"/>
    <w:rsid w:val="00AF1315"/>
    <w:rsid w:val="00AF14FC"/>
    <w:rsid w:val="00AF15E6"/>
    <w:rsid w:val="00AF19BF"/>
    <w:rsid w:val="00AF22D4"/>
    <w:rsid w:val="00AF2C5E"/>
    <w:rsid w:val="00AF2DC3"/>
    <w:rsid w:val="00AF3458"/>
    <w:rsid w:val="00AF53FA"/>
    <w:rsid w:val="00AF5D1A"/>
    <w:rsid w:val="00B0095C"/>
    <w:rsid w:val="00B033E5"/>
    <w:rsid w:val="00B03783"/>
    <w:rsid w:val="00B03A63"/>
    <w:rsid w:val="00B06EFF"/>
    <w:rsid w:val="00B132F3"/>
    <w:rsid w:val="00B13F91"/>
    <w:rsid w:val="00B17CA7"/>
    <w:rsid w:val="00B201A4"/>
    <w:rsid w:val="00B201D1"/>
    <w:rsid w:val="00B210A3"/>
    <w:rsid w:val="00B21318"/>
    <w:rsid w:val="00B213A6"/>
    <w:rsid w:val="00B235B0"/>
    <w:rsid w:val="00B24DF6"/>
    <w:rsid w:val="00B257E2"/>
    <w:rsid w:val="00B2656B"/>
    <w:rsid w:val="00B272B9"/>
    <w:rsid w:val="00B277DC"/>
    <w:rsid w:val="00B30A3B"/>
    <w:rsid w:val="00B30E1E"/>
    <w:rsid w:val="00B30F4F"/>
    <w:rsid w:val="00B3272B"/>
    <w:rsid w:val="00B32BAC"/>
    <w:rsid w:val="00B33A18"/>
    <w:rsid w:val="00B33EBC"/>
    <w:rsid w:val="00B34FE2"/>
    <w:rsid w:val="00B35166"/>
    <w:rsid w:val="00B355AE"/>
    <w:rsid w:val="00B357D8"/>
    <w:rsid w:val="00B360F4"/>
    <w:rsid w:val="00B365A6"/>
    <w:rsid w:val="00B36A00"/>
    <w:rsid w:val="00B37BFC"/>
    <w:rsid w:val="00B40358"/>
    <w:rsid w:val="00B4153E"/>
    <w:rsid w:val="00B41614"/>
    <w:rsid w:val="00B42851"/>
    <w:rsid w:val="00B4285D"/>
    <w:rsid w:val="00B42F80"/>
    <w:rsid w:val="00B435CB"/>
    <w:rsid w:val="00B43967"/>
    <w:rsid w:val="00B43A10"/>
    <w:rsid w:val="00B4593A"/>
    <w:rsid w:val="00B46D1E"/>
    <w:rsid w:val="00B47B15"/>
    <w:rsid w:val="00B505C8"/>
    <w:rsid w:val="00B50D8E"/>
    <w:rsid w:val="00B50DB8"/>
    <w:rsid w:val="00B51B3C"/>
    <w:rsid w:val="00B5362F"/>
    <w:rsid w:val="00B53654"/>
    <w:rsid w:val="00B53905"/>
    <w:rsid w:val="00B53C56"/>
    <w:rsid w:val="00B54B5B"/>
    <w:rsid w:val="00B552DF"/>
    <w:rsid w:val="00B5562E"/>
    <w:rsid w:val="00B5583C"/>
    <w:rsid w:val="00B55D65"/>
    <w:rsid w:val="00B57000"/>
    <w:rsid w:val="00B60939"/>
    <w:rsid w:val="00B60AFD"/>
    <w:rsid w:val="00B62715"/>
    <w:rsid w:val="00B62B1E"/>
    <w:rsid w:val="00B63004"/>
    <w:rsid w:val="00B6358D"/>
    <w:rsid w:val="00B63B9A"/>
    <w:rsid w:val="00B65611"/>
    <w:rsid w:val="00B678CE"/>
    <w:rsid w:val="00B67E0B"/>
    <w:rsid w:val="00B701D8"/>
    <w:rsid w:val="00B7054D"/>
    <w:rsid w:val="00B70E8E"/>
    <w:rsid w:val="00B7217B"/>
    <w:rsid w:val="00B73349"/>
    <w:rsid w:val="00B73612"/>
    <w:rsid w:val="00B741EF"/>
    <w:rsid w:val="00B757F1"/>
    <w:rsid w:val="00B76C92"/>
    <w:rsid w:val="00B76CC5"/>
    <w:rsid w:val="00B77ACF"/>
    <w:rsid w:val="00B818A4"/>
    <w:rsid w:val="00B81D3E"/>
    <w:rsid w:val="00B828F1"/>
    <w:rsid w:val="00B84117"/>
    <w:rsid w:val="00B84FDD"/>
    <w:rsid w:val="00B858F0"/>
    <w:rsid w:val="00B85AA2"/>
    <w:rsid w:val="00B85C0F"/>
    <w:rsid w:val="00B86163"/>
    <w:rsid w:val="00B8649C"/>
    <w:rsid w:val="00B8695D"/>
    <w:rsid w:val="00B872A2"/>
    <w:rsid w:val="00B87F0A"/>
    <w:rsid w:val="00B9044D"/>
    <w:rsid w:val="00B90732"/>
    <w:rsid w:val="00B90C11"/>
    <w:rsid w:val="00B91359"/>
    <w:rsid w:val="00B92D0B"/>
    <w:rsid w:val="00B94945"/>
    <w:rsid w:val="00B94DD6"/>
    <w:rsid w:val="00B95B42"/>
    <w:rsid w:val="00B95CCD"/>
    <w:rsid w:val="00B97396"/>
    <w:rsid w:val="00B978E7"/>
    <w:rsid w:val="00BA0129"/>
    <w:rsid w:val="00BA043D"/>
    <w:rsid w:val="00BA18F4"/>
    <w:rsid w:val="00BA322D"/>
    <w:rsid w:val="00BA45D1"/>
    <w:rsid w:val="00BA473A"/>
    <w:rsid w:val="00BA63FA"/>
    <w:rsid w:val="00BB00B3"/>
    <w:rsid w:val="00BB08BA"/>
    <w:rsid w:val="00BB0BDD"/>
    <w:rsid w:val="00BB1444"/>
    <w:rsid w:val="00BB176C"/>
    <w:rsid w:val="00BB1C4C"/>
    <w:rsid w:val="00BB2412"/>
    <w:rsid w:val="00BB2A73"/>
    <w:rsid w:val="00BB3A45"/>
    <w:rsid w:val="00BB4ACC"/>
    <w:rsid w:val="00BB6ED2"/>
    <w:rsid w:val="00BB703E"/>
    <w:rsid w:val="00BB730F"/>
    <w:rsid w:val="00BB732D"/>
    <w:rsid w:val="00BB7405"/>
    <w:rsid w:val="00BB7DC8"/>
    <w:rsid w:val="00BC078F"/>
    <w:rsid w:val="00BC0915"/>
    <w:rsid w:val="00BC0ADA"/>
    <w:rsid w:val="00BC1E81"/>
    <w:rsid w:val="00BC2FD7"/>
    <w:rsid w:val="00BC32ED"/>
    <w:rsid w:val="00BC3631"/>
    <w:rsid w:val="00BC4134"/>
    <w:rsid w:val="00BC591F"/>
    <w:rsid w:val="00BC7D6D"/>
    <w:rsid w:val="00BD0654"/>
    <w:rsid w:val="00BD1F7C"/>
    <w:rsid w:val="00BD2108"/>
    <w:rsid w:val="00BD2E9D"/>
    <w:rsid w:val="00BD4F21"/>
    <w:rsid w:val="00BD68A3"/>
    <w:rsid w:val="00BD6938"/>
    <w:rsid w:val="00BD6CF3"/>
    <w:rsid w:val="00BD6EA9"/>
    <w:rsid w:val="00BD6F56"/>
    <w:rsid w:val="00BD7F7A"/>
    <w:rsid w:val="00BE09AF"/>
    <w:rsid w:val="00BE0DB6"/>
    <w:rsid w:val="00BE0ECA"/>
    <w:rsid w:val="00BE1187"/>
    <w:rsid w:val="00BE2180"/>
    <w:rsid w:val="00BE21F2"/>
    <w:rsid w:val="00BE3835"/>
    <w:rsid w:val="00BE4275"/>
    <w:rsid w:val="00BE483D"/>
    <w:rsid w:val="00BE59FB"/>
    <w:rsid w:val="00BE7794"/>
    <w:rsid w:val="00BF06AE"/>
    <w:rsid w:val="00BF0F95"/>
    <w:rsid w:val="00BF1583"/>
    <w:rsid w:val="00BF1680"/>
    <w:rsid w:val="00BF2433"/>
    <w:rsid w:val="00BF3934"/>
    <w:rsid w:val="00BF3BA3"/>
    <w:rsid w:val="00BF4937"/>
    <w:rsid w:val="00BF4A74"/>
    <w:rsid w:val="00BF4E45"/>
    <w:rsid w:val="00BF51B1"/>
    <w:rsid w:val="00BF5B11"/>
    <w:rsid w:val="00BF5F72"/>
    <w:rsid w:val="00BF6069"/>
    <w:rsid w:val="00BF60C5"/>
    <w:rsid w:val="00BF6161"/>
    <w:rsid w:val="00BF61C9"/>
    <w:rsid w:val="00BF6C94"/>
    <w:rsid w:val="00BF7089"/>
    <w:rsid w:val="00BF7931"/>
    <w:rsid w:val="00C00424"/>
    <w:rsid w:val="00C00E8A"/>
    <w:rsid w:val="00C00F07"/>
    <w:rsid w:val="00C02677"/>
    <w:rsid w:val="00C02713"/>
    <w:rsid w:val="00C02DB4"/>
    <w:rsid w:val="00C03166"/>
    <w:rsid w:val="00C03C6E"/>
    <w:rsid w:val="00C047F9"/>
    <w:rsid w:val="00C04AA0"/>
    <w:rsid w:val="00C059FD"/>
    <w:rsid w:val="00C06B83"/>
    <w:rsid w:val="00C0775C"/>
    <w:rsid w:val="00C10686"/>
    <w:rsid w:val="00C1179F"/>
    <w:rsid w:val="00C12C14"/>
    <w:rsid w:val="00C14542"/>
    <w:rsid w:val="00C158A3"/>
    <w:rsid w:val="00C15F04"/>
    <w:rsid w:val="00C16050"/>
    <w:rsid w:val="00C179B3"/>
    <w:rsid w:val="00C17E3F"/>
    <w:rsid w:val="00C200AA"/>
    <w:rsid w:val="00C22422"/>
    <w:rsid w:val="00C237ED"/>
    <w:rsid w:val="00C24632"/>
    <w:rsid w:val="00C25418"/>
    <w:rsid w:val="00C25D9C"/>
    <w:rsid w:val="00C25EDF"/>
    <w:rsid w:val="00C2778B"/>
    <w:rsid w:val="00C31649"/>
    <w:rsid w:val="00C33187"/>
    <w:rsid w:val="00C33A4D"/>
    <w:rsid w:val="00C3434C"/>
    <w:rsid w:val="00C35746"/>
    <w:rsid w:val="00C40385"/>
    <w:rsid w:val="00C41768"/>
    <w:rsid w:val="00C417F2"/>
    <w:rsid w:val="00C43BEC"/>
    <w:rsid w:val="00C4636A"/>
    <w:rsid w:val="00C46CC7"/>
    <w:rsid w:val="00C47430"/>
    <w:rsid w:val="00C47542"/>
    <w:rsid w:val="00C475AA"/>
    <w:rsid w:val="00C507A0"/>
    <w:rsid w:val="00C52621"/>
    <w:rsid w:val="00C5287B"/>
    <w:rsid w:val="00C52B40"/>
    <w:rsid w:val="00C53B8D"/>
    <w:rsid w:val="00C53C98"/>
    <w:rsid w:val="00C56FCF"/>
    <w:rsid w:val="00C57813"/>
    <w:rsid w:val="00C57B6C"/>
    <w:rsid w:val="00C603AC"/>
    <w:rsid w:val="00C60BF7"/>
    <w:rsid w:val="00C6253A"/>
    <w:rsid w:val="00C628A6"/>
    <w:rsid w:val="00C633C4"/>
    <w:rsid w:val="00C64344"/>
    <w:rsid w:val="00C647D8"/>
    <w:rsid w:val="00C65108"/>
    <w:rsid w:val="00C65576"/>
    <w:rsid w:val="00C66165"/>
    <w:rsid w:val="00C6663F"/>
    <w:rsid w:val="00C669E2"/>
    <w:rsid w:val="00C67F9E"/>
    <w:rsid w:val="00C70013"/>
    <w:rsid w:val="00C703D2"/>
    <w:rsid w:val="00C70404"/>
    <w:rsid w:val="00C7060A"/>
    <w:rsid w:val="00C7151A"/>
    <w:rsid w:val="00C717E3"/>
    <w:rsid w:val="00C71D0C"/>
    <w:rsid w:val="00C71F60"/>
    <w:rsid w:val="00C72241"/>
    <w:rsid w:val="00C725B6"/>
    <w:rsid w:val="00C73BF1"/>
    <w:rsid w:val="00C750C8"/>
    <w:rsid w:val="00C7560F"/>
    <w:rsid w:val="00C75923"/>
    <w:rsid w:val="00C770AE"/>
    <w:rsid w:val="00C80A0E"/>
    <w:rsid w:val="00C8117C"/>
    <w:rsid w:val="00C8213F"/>
    <w:rsid w:val="00C84364"/>
    <w:rsid w:val="00C85154"/>
    <w:rsid w:val="00C8585A"/>
    <w:rsid w:val="00C85CCF"/>
    <w:rsid w:val="00C866CD"/>
    <w:rsid w:val="00C86DB4"/>
    <w:rsid w:val="00C86DB7"/>
    <w:rsid w:val="00C86EC9"/>
    <w:rsid w:val="00C8797A"/>
    <w:rsid w:val="00C9006A"/>
    <w:rsid w:val="00C90075"/>
    <w:rsid w:val="00C900B8"/>
    <w:rsid w:val="00C90C71"/>
    <w:rsid w:val="00C91D8D"/>
    <w:rsid w:val="00C91FD1"/>
    <w:rsid w:val="00C931CF"/>
    <w:rsid w:val="00C938CF"/>
    <w:rsid w:val="00C94053"/>
    <w:rsid w:val="00C9423E"/>
    <w:rsid w:val="00C94394"/>
    <w:rsid w:val="00C94C8D"/>
    <w:rsid w:val="00C9528E"/>
    <w:rsid w:val="00C952DD"/>
    <w:rsid w:val="00C95B0F"/>
    <w:rsid w:val="00C95E30"/>
    <w:rsid w:val="00C9611D"/>
    <w:rsid w:val="00C9624D"/>
    <w:rsid w:val="00C969DA"/>
    <w:rsid w:val="00C96C79"/>
    <w:rsid w:val="00CA153D"/>
    <w:rsid w:val="00CA2BD6"/>
    <w:rsid w:val="00CA2C77"/>
    <w:rsid w:val="00CA444F"/>
    <w:rsid w:val="00CA5245"/>
    <w:rsid w:val="00CA6E98"/>
    <w:rsid w:val="00CA71F4"/>
    <w:rsid w:val="00CA7B09"/>
    <w:rsid w:val="00CB01A2"/>
    <w:rsid w:val="00CB092F"/>
    <w:rsid w:val="00CB12A5"/>
    <w:rsid w:val="00CB1CAC"/>
    <w:rsid w:val="00CB2F2A"/>
    <w:rsid w:val="00CB466B"/>
    <w:rsid w:val="00CB5B1A"/>
    <w:rsid w:val="00CB64B7"/>
    <w:rsid w:val="00CB6B22"/>
    <w:rsid w:val="00CB7BF5"/>
    <w:rsid w:val="00CB7F5F"/>
    <w:rsid w:val="00CC0503"/>
    <w:rsid w:val="00CC0B3E"/>
    <w:rsid w:val="00CC1B39"/>
    <w:rsid w:val="00CC33AA"/>
    <w:rsid w:val="00CC35EA"/>
    <w:rsid w:val="00CC3848"/>
    <w:rsid w:val="00CC4353"/>
    <w:rsid w:val="00CC4B35"/>
    <w:rsid w:val="00CC629A"/>
    <w:rsid w:val="00CC6384"/>
    <w:rsid w:val="00CC6CFB"/>
    <w:rsid w:val="00CC7091"/>
    <w:rsid w:val="00CC7944"/>
    <w:rsid w:val="00CD1679"/>
    <w:rsid w:val="00CD197B"/>
    <w:rsid w:val="00CD227A"/>
    <w:rsid w:val="00CD2A26"/>
    <w:rsid w:val="00CD3F5B"/>
    <w:rsid w:val="00CD3F77"/>
    <w:rsid w:val="00CD4D47"/>
    <w:rsid w:val="00CD5D17"/>
    <w:rsid w:val="00CD6ADC"/>
    <w:rsid w:val="00CD716F"/>
    <w:rsid w:val="00CD7193"/>
    <w:rsid w:val="00CD78C4"/>
    <w:rsid w:val="00CD7EAF"/>
    <w:rsid w:val="00CE1579"/>
    <w:rsid w:val="00CE38C8"/>
    <w:rsid w:val="00CE3C2D"/>
    <w:rsid w:val="00CE3CC1"/>
    <w:rsid w:val="00CE40E8"/>
    <w:rsid w:val="00CE6274"/>
    <w:rsid w:val="00CE6D17"/>
    <w:rsid w:val="00CE76B8"/>
    <w:rsid w:val="00CE77B6"/>
    <w:rsid w:val="00CE7EFD"/>
    <w:rsid w:val="00CE7F89"/>
    <w:rsid w:val="00CF1430"/>
    <w:rsid w:val="00CF269F"/>
    <w:rsid w:val="00CF2B8D"/>
    <w:rsid w:val="00CF34F3"/>
    <w:rsid w:val="00CF456B"/>
    <w:rsid w:val="00CF5A22"/>
    <w:rsid w:val="00CF5C64"/>
    <w:rsid w:val="00D0262E"/>
    <w:rsid w:val="00D05E3D"/>
    <w:rsid w:val="00D06139"/>
    <w:rsid w:val="00D062C9"/>
    <w:rsid w:val="00D066C0"/>
    <w:rsid w:val="00D06BCC"/>
    <w:rsid w:val="00D110BD"/>
    <w:rsid w:val="00D11F81"/>
    <w:rsid w:val="00D129CB"/>
    <w:rsid w:val="00D13675"/>
    <w:rsid w:val="00D141E1"/>
    <w:rsid w:val="00D15314"/>
    <w:rsid w:val="00D169A6"/>
    <w:rsid w:val="00D16C13"/>
    <w:rsid w:val="00D17010"/>
    <w:rsid w:val="00D172FD"/>
    <w:rsid w:val="00D17D6C"/>
    <w:rsid w:val="00D2155B"/>
    <w:rsid w:val="00D2331D"/>
    <w:rsid w:val="00D2391B"/>
    <w:rsid w:val="00D23D11"/>
    <w:rsid w:val="00D23DBC"/>
    <w:rsid w:val="00D244B6"/>
    <w:rsid w:val="00D24EF5"/>
    <w:rsid w:val="00D25D34"/>
    <w:rsid w:val="00D2754D"/>
    <w:rsid w:val="00D27B27"/>
    <w:rsid w:val="00D27F1F"/>
    <w:rsid w:val="00D30B8F"/>
    <w:rsid w:val="00D33B3E"/>
    <w:rsid w:val="00D33BE9"/>
    <w:rsid w:val="00D33F93"/>
    <w:rsid w:val="00D34793"/>
    <w:rsid w:val="00D350A4"/>
    <w:rsid w:val="00D3537C"/>
    <w:rsid w:val="00D357FF"/>
    <w:rsid w:val="00D37217"/>
    <w:rsid w:val="00D404DB"/>
    <w:rsid w:val="00D40F3F"/>
    <w:rsid w:val="00D41695"/>
    <w:rsid w:val="00D41AEC"/>
    <w:rsid w:val="00D424C7"/>
    <w:rsid w:val="00D426CD"/>
    <w:rsid w:val="00D429CB"/>
    <w:rsid w:val="00D432AE"/>
    <w:rsid w:val="00D432B3"/>
    <w:rsid w:val="00D43B2A"/>
    <w:rsid w:val="00D43D83"/>
    <w:rsid w:val="00D44996"/>
    <w:rsid w:val="00D47575"/>
    <w:rsid w:val="00D501D5"/>
    <w:rsid w:val="00D5051B"/>
    <w:rsid w:val="00D520D7"/>
    <w:rsid w:val="00D5243B"/>
    <w:rsid w:val="00D52A05"/>
    <w:rsid w:val="00D532F4"/>
    <w:rsid w:val="00D533EC"/>
    <w:rsid w:val="00D56A95"/>
    <w:rsid w:val="00D57B91"/>
    <w:rsid w:val="00D60CD0"/>
    <w:rsid w:val="00D614F9"/>
    <w:rsid w:val="00D61E22"/>
    <w:rsid w:val="00D6250F"/>
    <w:rsid w:val="00D6405F"/>
    <w:rsid w:val="00D66542"/>
    <w:rsid w:val="00D677B9"/>
    <w:rsid w:val="00D70057"/>
    <w:rsid w:val="00D70F16"/>
    <w:rsid w:val="00D72ED4"/>
    <w:rsid w:val="00D72F57"/>
    <w:rsid w:val="00D73290"/>
    <w:rsid w:val="00D7476F"/>
    <w:rsid w:val="00D74DB1"/>
    <w:rsid w:val="00D75B65"/>
    <w:rsid w:val="00D7672D"/>
    <w:rsid w:val="00D76A44"/>
    <w:rsid w:val="00D807A2"/>
    <w:rsid w:val="00D815EF"/>
    <w:rsid w:val="00D818E4"/>
    <w:rsid w:val="00D81F26"/>
    <w:rsid w:val="00D83DBC"/>
    <w:rsid w:val="00D8450E"/>
    <w:rsid w:val="00D85455"/>
    <w:rsid w:val="00D86231"/>
    <w:rsid w:val="00D86F47"/>
    <w:rsid w:val="00D900EE"/>
    <w:rsid w:val="00D9171D"/>
    <w:rsid w:val="00D91923"/>
    <w:rsid w:val="00D9351B"/>
    <w:rsid w:val="00D93753"/>
    <w:rsid w:val="00D93EFB"/>
    <w:rsid w:val="00D94043"/>
    <w:rsid w:val="00D9430D"/>
    <w:rsid w:val="00D9593D"/>
    <w:rsid w:val="00D9632C"/>
    <w:rsid w:val="00D964AB"/>
    <w:rsid w:val="00DA3167"/>
    <w:rsid w:val="00DA3717"/>
    <w:rsid w:val="00DA4DC3"/>
    <w:rsid w:val="00DA77A5"/>
    <w:rsid w:val="00DA78EF"/>
    <w:rsid w:val="00DB02A9"/>
    <w:rsid w:val="00DB0345"/>
    <w:rsid w:val="00DB2787"/>
    <w:rsid w:val="00DB3DBF"/>
    <w:rsid w:val="00DB484F"/>
    <w:rsid w:val="00DB4EEA"/>
    <w:rsid w:val="00DB564B"/>
    <w:rsid w:val="00DB6AA0"/>
    <w:rsid w:val="00DB6BB9"/>
    <w:rsid w:val="00DC03E7"/>
    <w:rsid w:val="00DC04F6"/>
    <w:rsid w:val="00DC0690"/>
    <w:rsid w:val="00DC1B92"/>
    <w:rsid w:val="00DC1D65"/>
    <w:rsid w:val="00DC1EE8"/>
    <w:rsid w:val="00DC3C57"/>
    <w:rsid w:val="00DC3DE3"/>
    <w:rsid w:val="00DC544D"/>
    <w:rsid w:val="00DC5501"/>
    <w:rsid w:val="00DC5969"/>
    <w:rsid w:val="00DC6E90"/>
    <w:rsid w:val="00DC7154"/>
    <w:rsid w:val="00DC7A27"/>
    <w:rsid w:val="00DC7E8A"/>
    <w:rsid w:val="00DD0B64"/>
    <w:rsid w:val="00DD0F78"/>
    <w:rsid w:val="00DD111C"/>
    <w:rsid w:val="00DD1E57"/>
    <w:rsid w:val="00DD2245"/>
    <w:rsid w:val="00DD273C"/>
    <w:rsid w:val="00DD2F9E"/>
    <w:rsid w:val="00DD31C8"/>
    <w:rsid w:val="00DD3BF8"/>
    <w:rsid w:val="00DD3CD6"/>
    <w:rsid w:val="00DD3F28"/>
    <w:rsid w:val="00DD4537"/>
    <w:rsid w:val="00DD4E15"/>
    <w:rsid w:val="00DD75FA"/>
    <w:rsid w:val="00DE194A"/>
    <w:rsid w:val="00DE2304"/>
    <w:rsid w:val="00DE29AB"/>
    <w:rsid w:val="00DE3138"/>
    <w:rsid w:val="00DE37F8"/>
    <w:rsid w:val="00DE4261"/>
    <w:rsid w:val="00DE43E0"/>
    <w:rsid w:val="00DE4FCB"/>
    <w:rsid w:val="00DE5D07"/>
    <w:rsid w:val="00DE6DDE"/>
    <w:rsid w:val="00DE70E8"/>
    <w:rsid w:val="00DE72A7"/>
    <w:rsid w:val="00DE7832"/>
    <w:rsid w:val="00DF05C1"/>
    <w:rsid w:val="00DF07A7"/>
    <w:rsid w:val="00DF1117"/>
    <w:rsid w:val="00DF18FC"/>
    <w:rsid w:val="00DF5C93"/>
    <w:rsid w:val="00DF5D2B"/>
    <w:rsid w:val="00DF623E"/>
    <w:rsid w:val="00DF6D00"/>
    <w:rsid w:val="00DF7463"/>
    <w:rsid w:val="00E00E8E"/>
    <w:rsid w:val="00E03877"/>
    <w:rsid w:val="00E045C5"/>
    <w:rsid w:val="00E05630"/>
    <w:rsid w:val="00E05F9A"/>
    <w:rsid w:val="00E06DBB"/>
    <w:rsid w:val="00E10149"/>
    <w:rsid w:val="00E11340"/>
    <w:rsid w:val="00E113E9"/>
    <w:rsid w:val="00E11EE3"/>
    <w:rsid w:val="00E122A1"/>
    <w:rsid w:val="00E12408"/>
    <w:rsid w:val="00E1328B"/>
    <w:rsid w:val="00E140AA"/>
    <w:rsid w:val="00E1454F"/>
    <w:rsid w:val="00E14A37"/>
    <w:rsid w:val="00E1551C"/>
    <w:rsid w:val="00E16372"/>
    <w:rsid w:val="00E16666"/>
    <w:rsid w:val="00E201E2"/>
    <w:rsid w:val="00E20E11"/>
    <w:rsid w:val="00E20E4D"/>
    <w:rsid w:val="00E20ED6"/>
    <w:rsid w:val="00E21358"/>
    <w:rsid w:val="00E2185F"/>
    <w:rsid w:val="00E2209E"/>
    <w:rsid w:val="00E2249B"/>
    <w:rsid w:val="00E228E9"/>
    <w:rsid w:val="00E22A0D"/>
    <w:rsid w:val="00E2307F"/>
    <w:rsid w:val="00E244F6"/>
    <w:rsid w:val="00E26DBF"/>
    <w:rsid w:val="00E26EB0"/>
    <w:rsid w:val="00E2771E"/>
    <w:rsid w:val="00E308B0"/>
    <w:rsid w:val="00E311EF"/>
    <w:rsid w:val="00E32180"/>
    <w:rsid w:val="00E32B52"/>
    <w:rsid w:val="00E34269"/>
    <w:rsid w:val="00E34948"/>
    <w:rsid w:val="00E37569"/>
    <w:rsid w:val="00E401B2"/>
    <w:rsid w:val="00E41E30"/>
    <w:rsid w:val="00E41EAF"/>
    <w:rsid w:val="00E42234"/>
    <w:rsid w:val="00E42F73"/>
    <w:rsid w:val="00E43685"/>
    <w:rsid w:val="00E43D70"/>
    <w:rsid w:val="00E44816"/>
    <w:rsid w:val="00E44BAB"/>
    <w:rsid w:val="00E466F3"/>
    <w:rsid w:val="00E47B2C"/>
    <w:rsid w:val="00E51259"/>
    <w:rsid w:val="00E51560"/>
    <w:rsid w:val="00E53F3D"/>
    <w:rsid w:val="00E53FC8"/>
    <w:rsid w:val="00E54347"/>
    <w:rsid w:val="00E54808"/>
    <w:rsid w:val="00E55424"/>
    <w:rsid w:val="00E55915"/>
    <w:rsid w:val="00E55BB5"/>
    <w:rsid w:val="00E55CFF"/>
    <w:rsid w:val="00E56A23"/>
    <w:rsid w:val="00E5701C"/>
    <w:rsid w:val="00E616AD"/>
    <w:rsid w:val="00E6242B"/>
    <w:rsid w:val="00E6290F"/>
    <w:rsid w:val="00E64D24"/>
    <w:rsid w:val="00E657C7"/>
    <w:rsid w:val="00E65E79"/>
    <w:rsid w:val="00E66BA2"/>
    <w:rsid w:val="00E67416"/>
    <w:rsid w:val="00E67C3F"/>
    <w:rsid w:val="00E718B6"/>
    <w:rsid w:val="00E7191A"/>
    <w:rsid w:val="00E723BA"/>
    <w:rsid w:val="00E73581"/>
    <w:rsid w:val="00E7450A"/>
    <w:rsid w:val="00E74B3F"/>
    <w:rsid w:val="00E7536D"/>
    <w:rsid w:val="00E7553B"/>
    <w:rsid w:val="00E75F50"/>
    <w:rsid w:val="00E77687"/>
    <w:rsid w:val="00E77FC0"/>
    <w:rsid w:val="00E812EB"/>
    <w:rsid w:val="00E81687"/>
    <w:rsid w:val="00E823CD"/>
    <w:rsid w:val="00E833F7"/>
    <w:rsid w:val="00E83BDF"/>
    <w:rsid w:val="00E84A56"/>
    <w:rsid w:val="00E87A1D"/>
    <w:rsid w:val="00E9094A"/>
    <w:rsid w:val="00E90E06"/>
    <w:rsid w:val="00E91660"/>
    <w:rsid w:val="00E91D35"/>
    <w:rsid w:val="00E920FB"/>
    <w:rsid w:val="00E926A5"/>
    <w:rsid w:val="00E93318"/>
    <w:rsid w:val="00E934F0"/>
    <w:rsid w:val="00E940E5"/>
    <w:rsid w:val="00E94207"/>
    <w:rsid w:val="00E967D1"/>
    <w:rsid w:val="00E97C67"/>
    <w:rsid w:val="00EA17C3"/>
    <w:rsid w:val="00EA1B9B"/>
    <w:rsid w:val="00EA2CAA"/>
    <w:rsid w:val="00EA3864"/>
    <w:rsid w:val="00EA5A12"/>
    <w:rsid w:val="00EA5DE9"/>
    <w:rsid w:val="00EA70BA"/>
    <w:rsid w:val="00EA7475"/>
    <w:rsid w:val="00EA7E2E"/>
    <w:rsid w:val="00EA7F1C"/>
    <w:rsid w:val="00EB0087"/>
    <w:rsid w:val="00EB0C89"/>
    <w:rsid w:val="00EB13A0"/>
    <w:rsid w:val="00EB15B6"/>
    <w:rsid w:val="00EB184F"/>
    <w:rsid w:val="00EB2165"/>
    <w:rsid w:val="00EB2B4A"/>
    <w:rsid w:val="00EB3D06"/>
    <w:rsid w:val="00EB4916"/>
    <w:rsid w:val="00EC00C9"/>
    <w:rsid w:val="00EC0800"/>
    <w:rsid w:val="00EC0DD9"/>
    <w:rsid w:val="00EC123F"/>
    <w:rsid w:val="00EC2649"/>
    <w:rsid w:val="00EC2A2E"/>
    <w:rsid w:val="00EC2D50"/>
    <w:rsid w:val="00EC2D5E"/>
    <w:rsid w:val="00EC31ED"/>
    <w:rsid w:val="00EC3925"/>
    <w:rsid w:val="00EC5836"/>
    <w:rsid w:val="00EC688C"/>
    <w:rsid w:val="00ED06AA"/>
    <w:rsid w:val="00ED0AAB"/>
    <w:rsid w:val="00ED1B88"/>
    <w:rsid w:val="00ED354D"/>
    <w:rsid w:val="00ED57EA"/>
    <w:rsid w:val="00ED5BD4"/>
    <w:rsid w:val="00EE07D3"/>
    <w:rsid w:val="00EE1996"/>
    <w:rsid w:val="00EE1C01"/>
    <w:rsid w:val="00EE21F7"/>
    <w:rsid w:val="00EE22AF"/>
    <w:rsid w:val="00EE2BAE"/>
    <w:rsid w:val="00EE3475"/>
    <w:rsid w:val="00EE37A4"/>
    <w:rsid w:val="00EE4965"/>
    <w:rsid w:val="00EE5620"/>
    <w:rsid w:val="00EE62CC"/>
    <w:rsid w:val="00EE6BBB"/>
    <w:rsid w:val="00EE6FAC"/>
    <w:rsid w:val="00EE7265"/>
    <w:rsid w:val="00EF0171"/>
    <w:rsid w:val="00EF0D4D"/>
    <w:rsid w:val="00EF13FF"/>
    <w:rsid w:val="00EF1B25"/>
    <w:rsid w:val="00EF1DA0"/>
    <w:rsid w:val="00EF4747"/>
    <w:rsid w:val="00EF4BF8"/>
    <w:rsid w:val="00EF4C9B"/>
    <w:rsid w:val="00EF4D82"/>
    <w:rsid w:val="00EF558B"/>
    <w:rsid w:val="00EF6CA6"/>
    <w:rsid w:val="00EF6FA4"/>
    <w:rsid w:val="00F00DD2"/>
    <w:rsid w:val="00F02253"/>
    <w:rsid w:val="00F0260A"/>
    <w:rsid w:val="00F02998"/>
    <w:rsid w:val="00F02CBA"/>
    <w:rsid w:val="00F033B8"/>
    <w:rsid w:val="00F03C2E"/>
    <w:rsid w:val="00F04A66"/>
    <w:rsid w:val="00F04B4B"/>
    <w:rsid w:val="00F04FBA"/>
    <w:rsid w:val="00F0516C"/>
    <w:rsid w:val="00F05724"/>
    <w:rsid w:val="00F05F2B"/>
    <w:rsid w:val="00F062B9"/>
    <w:rsid w:val="00F067A2"/>
    <w:rsid w:val="00F07B9E"/>
    <w:rsid w:val="00F106F8"/>
    <w:rsid w:val="00F1097A"/>
    <w:rsid w:val="00F10A71"/>
    <w:rsid w:val="00F1116F"/>
    <w:rsid w:val="00F11C46"/>
    <w:rsid w:val="00F1263A"/>
    <w:rsid w:val="00F126CB"/>
    <w:rsid w:val="00F12A5E"/>
    <w:rsid w:val="00F147E2"/>
    <w:rsid w:val="00F15B77"/>
    <w:rsid w:val="00F17770"/>
    <w:rsid w:val="00F17E35"/>
    <w:rsid w:val="00F216AC"/>
    <w:rsid w:val="00F21DC5"/>
    <w:rsid w:val="00F2297F"/>
    <w:rsid w:val="00F22F2D"/>
    <w:rsid w:val="00F24837"/>
    <w:rsid w:val="00F24AE3"/>
    <w:rsid w:val="00F2575F"/>
    <w:rsid w:val="00F25A4D"/>
    <w:rsid w:val="00F25D35"/>
    <w:rsid w:val="00F26102"/>
    <w:rsid w:val="00F27565"/>
    <w:rsid w:val="00F277AB"/>
    <w:rsid w:val="00F30B5D"/>
    <w:rsid w:val="00F310D4"/>
    <w:rsid w:val="00F31A29"/>
    <w:rsid w:val="00F31D5A"/>
    <w:rsid w:val="00F3242B"/>
    <w:rsid w:val="00F330A3"/>
    <w:rsid w:val="00F33975"/>
    <w:rsid w:val="00F33DE9"/>
    <w:rsid w:val="00F35E6D"/>
    <w:rsid w:val="00F3619A"/>
    <w:rsid w:val="00F37DCF"/>
    <w:rsid w:val="00F37EE0"/>
    <w:rsid w:val="00F4043B"/>
    <w:rsid w:val="00F40AAA"/>
    <w:rsid w:val="00F40BA7"/>
    <w:rsid w:val="00F40F9D"/>
    <w:rsid w:val="00F41ACD"/>
    <w:rsid w:val="00F425CA"/>
    <w:rsid w:val="00F43E6E"/>
    <w:rsid w:val="00F4446A"/>
    <w:rsid w:val="00F444AE"/>
    <w:rsid w:val="00F4462F"/>
    <w:rsid w:val="00F44F20"/>
    <w:rsid w:val="00F451C4"/>
    <w:rsid w:val="00F45859"/>
    <w:rsid w:val="00F45920"/>
    <w:rsid w:val="00F4629F"/>
    <w:rsid w:val="00F46CB6"/>
    <w:rsid w:val="00F46D94"/>
    <w:rsid w:val="00F472B8"/>
    <w:rsid w:val="00F4756D"/>
    <w:rsid w:val="00F476B1"/>
    <w:rsid w:val="00F47DE8"/>
    <w:rsid w:val="00F50DB0"/>
    <w:rsid w:val="00F50F89"/>
    <w:rsid w:val="00F50F90"/>
    <w:rsid w:val="00F515B0"/>
    <w:rsid w:val="00F5271F"/>
    <w:rsid w:val="00F534BA"/>
    <w:rsid w:val="00F542C1"/>
    <w:rsid w:val="00F5465F"/>
    <w:rsid w:val="00F54B34"/>
    <w:rsid w:val="00F55178"/>
    <w:rsid w:val="00F55613"/>
    <w:rsid w:val="00F55E73"/>
    <w:rsid w:val="00F55EDA"/>
    <w:rsid w:val="00F5668A"/>
    <w:rsid w:val="00F56C80"/>
    <w:rsid w:val="00F56F9A"/>
    <w:rsid w:val="00F56FD0"/>
    <w:rsid w:val="00F56FFF"/>
    <w:rsid w:val="00F57103"/>
    <w:rsid w:val="00F60092"/>
    <w:rsid w:val="00F60E5A"/>
    <w:rsid w:val="00F6103E"/>
    <w:rsid w:val="00F61427"/>
    <w:rsid w:val="00F61A5D"/>
    <w:rsid w:val="00F61C18"/>
    <w:rsid w:val="00F622F7"/>
    <w:rsid w:val="00F62665"/>
    <w:rsid w:val="00F631BA"/>
    <w:rsid w:val="00F6460E"/>
    <w:rsid w:val="00F648E1"/>
    <w:rsid w:val="00F653C7"/>
    <w:rsid w:val="00F65F4B"/>
    <w:rsid w:val="00F671AB"/>
    <w:rsid w:val="00F67A69"/>
    <w:rsid w:val="00F67BA2"/>
    <w:rsid w:val="00F70BFF"/>
    <w:rsid w:val="00F70C9D"/>
    <w:rsid w:val="00F71293"/>
    <w:rsid w:val="00F719D6"/>
    <w:rsid w:val="00F745AA"/>
    <w:rsid w:val="00F74CD9"/>
    <w:rsid w:val="00F75C4E"/>
    <w:rsid w:val="00F75CAF"/>
    <w:rsid w:val="00F76693"/>
    <w:rsid w:val="00F76790"/>
    <w:rsid w:val="00F77D79"/>
    <w:rsid w:val="00F80970"/>
    <w:rsid w:val="00F80A7B"/>
    <w:rsid w:val="00F80D34"/>
    <w:rsid w:val="00F80E5D"/>
    <w:rsid w:val="00F81435"/>
    <w:rsid w:val="00F81E78"/>
    <w:rsid w:val="00F844A5"/>
    <w:rsid w:val="00F851CE"/>
    <w:rsid w:val="00F86056"/>
    <w:rsid w:val="00F91219"/>
    <w:rsid w:val="00F92444"/>
    <w:rsid w:val="00F9288F"/>
    <w:rsid w:val="00F92EE2"/>
    <w:rsid w:val="00F93062"/>
    <w:rsid w:val="00F9393E"/>
    <w:rsid w:val="00F96559"/>
    <w:rsid w:val="00F968F1"/>
    <w:rsid w:val="00F96FD0"/>
    <w:rsid w:val="00F97A78"/>
    <w:rsid w:val="00FA07E6"/>
    <w:rsid w:val="00FA0B20"/>
    <w:rsid w:val="00FA0E79"/>
    <w:rsid w:val="00FA11B5"/>
    <w:rsid w:val="00FA1EF4"/>
    <w:rsid w:val="00FA24E7"/>
    <w:rsid w:val="00FA2645"/>
    <w:rsid w:val="00FA3614"/>
    <w:rsid w:val="00FA48F4"/>
    <w:rsid w:val="00FA495E"/>
    <w:rsid w:val="00FA4E04"/>
    <w:rsid w:val="00FA5E2E"/>
    <w:rsid w:val="00FA5EE6"/>
    <w:rsid w:val="00FA7956"/>
    <w:rsid w:val="00FA7A3A"/>
    <w:rsid w:val="00FA7DD4"/>
    <w:rsid w:val="00FB18CC"/>
    <w:rsid w:val="00FB18E9"/>
    <w:rsid w:val="00FB1BB7"/>
    <w:rsid w:val="00FB1DF7"/>
    <w:rsid w:val="00FB2644"/>
    <w:rsid w:val="00FB2A79"/>
    <w:rsid w:val="00FB2B0F"/>
    <w:rsid w:val="00FB2FCB"/>
    <w:rsid w:val="00FB3032"/>
    <w:rsid w:val="00FB3FB6"/>
    <w:rsid w:val="00FB43C3"/>
    <w:rsid w:val="00FB5230"/>
    <w:rsid w:val="00FB6A28"/>
    <w:rsid w:val="00FB79E0"/>
    <w:rsid w:val="00FB7C55"/>
    <w:rsid w:val="00FB7E75"/>
    <w:rsid w:val="00FC0CED"/>
    <w:rsid w:val="00FC1074"/>
    <w:rsid w:val="00FC1884"/>
    <w:rsid w:val="00FC1DD3"/>
    <w:rsid w:val="00FC226F"/>
    <w:rsid w:val="00FC371D"/>
    <w:rsid w:val="00FC4649"/>
    <w:rsid w:val="00FC464B"/>
    <w:rsid w:val="00FC50BE"/>
    <w:rsid w:val="00FC56EA"/>
    <w:rsid w:val="00FC5F0B"/>
    <w:rsid w:val="00FC70B0"/>
    <w:rsid w:val="00FC72EE"/>
    <w:rsid w:val="00FD1C1E"/>
    <w:rsid w:val="00FD2100"/>
    <w:rsid w:val="00FD2431"/>
    <w:rsid w:val="00FD3CCE"/>
    <w:rsid w:val="00FD436C"/>
    <w:rsid w:val="00FD446D"/>
    <w:rsid w:val="00FD48BD"/>
    <w:rsid w:val="00FD4F2C"/>
    <w:rsid w:val="00FD5042"/>
    <w:rsid w:val="00FD5271"/>
    <w:rsid w:val="00FD56BA"/>
    <w:rsid w:val="00FD6394"/>
    <w:rsid w:val="00FD65B2"/>
    <w:rsid w:val="00FD6C0C"/>
    <w:rsid w:val="00FE0597"/>
    <w:rsid w:val="00FE0E6C"/>
    <w:rsid w:val="00FE1CDC"/>
    <w:rsid w:val="00FE219B"/>
    <w:rsid w:val="00FE29BE"/>
    <w:rsid w:val="00FE31CA"/>
    <w:rsid w:val="00FE3E2E"/>
    <w:rsid w:val="00FE4B03"/>
    <w:rsid w:val="00FE5D74"/>
    <w:rsid w:val="00FE70C3"/>
    <w:rsid w:val="00FF1615"/>
    <w:rsid w:val="00FF1C6A"/>
    <w:rsid w:val="00FF201A"/>
    <w:rsid w:val="00FF23CF"/>
    <w:rsid w:val="00FF2AD9"/>
    <w:rsid w:val="00FF2C8E"/>
    <w:rsid w:val="00FF2EE5"/>
    <w:rsid w:val="00FF2F56"/>
    <w:rsid w:val="00FF359F"/>
    <w:rsid w:val="00FF3AA5"/>
    <w:rsid w:val="00FF3C2D"/>
    <w:rsid w:val="00FF3DCF"/>
    <w:rsid w:val="00FF43C8"/>
    <w:rsid w:val="00FF443E"/>
    <w:rsid w:val="00FF492C"/>
    <w:rsid w:val="00FF4A21"/>
    <w:rsid w:val="00FF5047"/>
    <w:rsid w:val="00FF53C0"/>
    <w:rsid w:val="00FF5AA3"/>
    <w:rsid w:val="00FF5AD8"/>
    <w:rsid w:val="00FF5AE6"/>
    <w:rsid w:val="00FF5E92"/>
    <w:rsid w:val="00FF5EB9"/>
    <w:rsid w:val="00FF7260"/>
    <w:rsid w:val="00FF7E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C6E9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iPriority w:val="99"/>
    <w:semiHidden/>
    <w:unhideWhenUsed/>
    <w:rsid w:val="00424E91"/>
    <w:rPr>
      <w:sz w:val="20"/>
      <w:szCs w:val="20"/>
    </w:rPr>
  </w:style>
  <w:style w:type="character" w:customStyle="1" w:styleId="FootnoteTextChar">
    <w:name w:val="Footnote Text Char"/>
    <w:basedOn w:val="DefaultParagraphFont"/>
    <w:link w:val="FootnoteText"/>
    <w:uiPriority w:val="99"/>
    <w:semiHidden/>
    <w:rsid w:val="00424E91"/>
    <w:rPr>
      <w:rFonts w:ascii="Calibri" w:hAnsi="Calibri" w:cs="Arial"/>
    </w:rPr>
  </w:style>
  <w:style w:type="character" w:styleId="FootnoteReference">
    <w:name w:val="footnote reference"/>
    <w:basedOn w:val="DefaultParagraphFont"/>
    <w:uiPriority w:val="99"/>
    <w:semiHidden/>
    <w:unhideWhenUsed/>
    <w:rsid w:val="00424E91"/>
    <w:rPr>
      <w:vertAlign w:val="superscript"/>
    </w:rPr>
  </w:style>
  <w:style w:type="character" w:customStyle="1" w:styleId="SmallItalics">
    <w:name w:val="Small Italics"/>
    <w:basedOn w:val="DefaultParagraphFont"/>
    <w:uiPriority w:val="4"/>
    <w:qFormat/>
    <w:rsid w:val="00E5701C"/>
    <w:rPr>
      <w:rFonts w:ascii="Candara" w:hAnsi="Candara"/>
      <w:i/>
      <w:sz w:val="20"/>
    </w:rPr>
  </w:style>
  <w:style w:type="table" w:customStyle="1" w:styleId="SummaryTable1">
    <w:name w:val="Summary Table1"/>
    <w:basedOn w:val="TableNormal"/>
    <w:next w:val="TableGrid"/>
    <w:uiPriority w:val="39"/>
    <w:rsid w:val="00F4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7260A"/>
    <w:rPr>
      <w:rFonts w:ascii="Calibri" w:hAnsi="Calibri" w:cs="Arial"/>
      <w:b/>
      <w:caps/>
      <w:sz w:val="32"/>
      <w:szCs w:val="24"/>
    </w:rPr>
  </w:style>
  <w:style w:type="table" w:customStyle="1" w:styleId="Summarybox6">
    <w:name w:val="Summary box6"/>
    <w:basedOn w:val="TableNormal"/>
    <w:next w:val="TableGrid"/>
    <w:uiPriority w:val="59"/>
    <w:rsid w:val="00A726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C2D5E"/>
    <w:rPr>
      <w:rFonts w:ascii="Calibri" w:hAnsi="Calibri" w:cs="Arial"/>
      <w:sz w:val="24"/>
      <w:szCs w:val="24"/>
      <w:u w:val="single"/>
    </w:rPr>
  </w:style>
  <w:style w:type="character" w:customStyle="1" w:styleId="Heading4Char">
    <w:name w:val="Heading 4 Char"/>
    <w:basedOn w:val="DefaultParagraphFont"/>
    <w:link w:val="Heading4"/>
    <w:rsid w:val="00EC2D5E"/>
    <w:rPr>
      <w:rFonts w:ascii="Calibri" w:hAnsi="Calibri" w:cs="Arial"/>
      <w:b/>
      <w:bCs/>
      <w:i/>
      <w:sz w:val="26"/>
      <w:szCs w:val="28"/>
    </w:rPr>
  </w:style>
  <w:style w:type="character" w:customStyle="1" w:styleId="Heading5Char">
    <w:name w:val="Heading 5 Char"/>
    <w:basedOn w:val="DefaultParagraphFont"/>
    <w:link w:val="Heading5"/>
    <w:rsid w:val="00EC2D5E"/>
    <w:rPr>
      <w:rFonts w:ascii="Calibri" w:hAnsi="Calibri" w:cs="Arial"/>
      <w:b/>
      <w:bCs/>
      <w:iCs/>
      <w:sz w:val="26"/>
      <w:szCs w:val="26"/>
    </w:rPr>
  </w:style>
  <w:style w:type="character" w:customStyle="1" w:styleId="Heading6Char">
    <w:name w:val="Heading 6 Char"/>
    <w:basedOn w:val="DefaultParagraphFont"/>
    <w:link w:val="Heading6"/>
    <w:rsid w:val="00EC2D5E"/>
    <w:rPr>
      <w:rFonts w:ascii="Calibri" w:hAnsi="Calibri" w:cs="Arial"/>
      <w:b/>
      <w:bCs/>
      <w:i/>
      <w:sz w:val="24"/>
      <w:szCs w:val="24"/>
    </w:rPr>
  </w:style>
  <w:style w:type="paragraph" w:customStyle="1" w:styleId="msonormal0">
    <w:name w:val="msonormal"/>
    <w:basedOn w:val="Normal"/>
    <w:uiPriority w:val="99"/>
    <w:rsid w:val="00EC2D5E"/>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EC2D5E"/>
    <w:rPr>
      <w:rFonts w:ascii="Calibri" w:hAnsi="Calibri" w:cs="Arial"/>
      <w:sz w:val="24"/>
      <w:szCs w:val="24"/>
    </w:rPr>
  </w:style>
  <w:style w:type="character" w:customStyle="1" w:styleId="TableChar">
    <w:name w:val="Table Char"/>
    <w:basedOn w:val="DefaultParagraphFont"/>
    <w:link w:val="Table"/>
    <w:locked/>
    <w:rsid w:val="006B124E"/>
    <w:rPr>
      <w:rFonts w:ascii="Candara" w:eastAsiaTheme="majorEastAsia" w:hAnsi="Candara" w:cstheme="majorBidi"/>
      <w:szCs w:val="22"/>
      <w:lang w:bidi="en-US"/>
    </w:rPr>
  </w:style>
  <w:style w:type="paragraph" w:customStyle="1" w:styleId="Table">
    <w:name w:val="Table"/>
    <w:basedOn w:val="Normal"/>
    <w:link w:val="TableChar"/>
    <w:qFormat/>
    <w:rsid w:val="006B124E"/>
    <w:pPr>
      <w:jc w:val="left"/>
    </w:pPr>
    <w:rPr>
      <w:rFonts w:ascii="Candara" w:eastAsiaTheme="majorEastAsia" w:hAnsi="Candara" w:cstheme="majorBidi"/>
      <w:sz w:val="20"/>
      <w:szCs w:val="22"/>
      <w:lang w:bidi="en-US"/>
    </w:rPr>
  </w:style>
  <w:style w:type="paragraph" w:customStyle="1" w:styleId="3-SubsectionHeading">
    <w:name w:val="3-Subsection Heading"/>
    <w:basedOn w:val="Heading2"/>
    <w:next w:val="Normal"/>
    <w:link w:val="3-SubsectionHeadingChar"/>
    <w:qFormat/>
    <w:rsid w:val="001A2C4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A2C4E"/>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link w:val="ExecSumBodyTextChar"/>
    <w:uiPriority w:val="99"/>
    <w:qFormat/>
    <w:rsid w:val="00AD0FEE"/>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AD0FEE"/>
    <w:rPr>
      <w:rFonts w:asciiTheme="minorHAnsi" w:hAnsiTheme="minorHAnsi" w:cs="Arial"/>
      <w:snapToGrid w:val="0"/>
      <w:sz w:val="24"/>
      <w:szCs w:val="24"/>
    </w:rPr>
  </w:style>
  <w:style w:type="paragraph" w:customStyle="1" w:styleId="NormalBulletList">
    <w:name w:val="Normal Bullet List"/>
    <w:basedOn w:val="Normal"/>
    <w:uiPriority w:val="3"/>
    <w:qFormat/>
    <w:rsid w:val="00AE4EEA"/>
    <w:pPr>
      <w:numPr>
        <w:numId w:val="40"/>
      </w:numPr>
      <w:spacing w:after="240" w:line="276" w:lineRule="auto"/>
      <w:ind w:left="357" w:hanging="357"/>
      <w:contextualSpacing/>
      <w:jc w:val="left"/>
    </w:pPr>
    <w:rPr>
      <w:rFonts w:ascii="Candara" w:eastAsiaTheme="majorEastAsia" w:hAnsi="Candara" w:cstheme="majorBidi"/>
      <w:szCs w:val="22"/>
      <w:lang w:eastAsia="en-US" w:bidi="en-US"/>
    </w:rPr>
  </w:style>
  <w:style w:type="paragraph" w:customStyle="1" w:styleId="NormalBulletList2">
    <w:name w:val="Normal Bullet List 2"/>
    <w:basedOn w:val="NormalBulletList"/>
    <w:qFormat/>
    <w:rsid w:val="00AE4EEA"/>
    <w:pPr>
      <w:numPr>
        <w:ilvl w:val="1"/>
      </w:numPr>
      <w:spacing w:after="0"/>
      <w:ind w:left="70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841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293737">
      <w:bodyDiv w:val="1"/>
      <w:marLeft w:val="0"/>
      <w:marRight w:val="0"/>
      <w:marTop w:val="0"/>
      <w:marBottom w:val="0"/>
      <w:divBdr>
        <w:top w:val="none" w:sz="0" w:space="0" w:color="auto"/>
        <w:left w:val="none" w:sz="0" w:space="0" w:color="auto"/>
        <w:bottom w:val="none" w:sz="0" w:space="0" w:color="auto"/>
        <w:right w:val="none" w:sz="0" w:space="0" w:color="auto"/>
      </w:divBdr>
    </w:div>
    <w:div w:id="273169065">
      <w:bodyDiv w:val="1"/>
      <w:marLeft w:val="0"/>
      <w:marRight w:val="0"/>
      <w:marTop w:val="0"/>
      <w:marBottom w:val="0"/>
      <w:divBdr>
        <w:top w:val="none" w:sz="0" w:space="0" w:color="auto"/>
        <w:left w:val="none" w:sz="0" w:space="0" w:color="auto"/>
        <w:bottom w:val="none" w:sz="0" w:space="0" w:color="auto"/>
        <w:right w:val="none" w:sz="0" w:space="0" w:color="auto"/>
      </w:divBdr>
    </w:div>
    <w:div w:id="285238197">
      <w:bodyDiv w:val="1"/>
      <w:marLeft w:val="0"/>
      <w:marRight w:val="0"/>
      <w:marTop w:val="0"/>
      <w:marBottom w:val="0"/>
      <w:divBdr>
        <w:top w:val="none" w:sz="0" w:space="0" w:color="auto"/>
        <w:left w:val="none" w:sz="0" w:space="0" w:color="auto"/>
        <w:bottom w:val="none" w:sz="0" w:space="0" w:color="auto"/>
        <w:right w:val="none" w:sz="0" w:space="0" w:color="auto"/>
      </w:divBdr>
      <w:divsChild>
        <w:div w:id="277372078">
          <w:marLeft w:val="0"/>
          <w:marRight w:val="0"/>
          <w:marTop w:val="0"/>
          <w:marBottom w:val="0"/>
          <w:divBdr>
            <w:top w:val="none" w:sz="0" w:space="0" w:color="auto"/>
            <w:left w:val="none" w:sz="0" w:space="0" w:color="auto"/>
            <w:bottom w:val="none" w:sz="0" w:space="0" w:color="auto"/>
            <w:right w:val="none" w:sz="0" w:space="0" w:color="auto"/>
          </w:divBdr>
          <w:divsChild>
            <w:div w:id="14651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5134735">
      <w:bodyDiv w:val="1"/>
      <w:marLeft w:val="0"/>
      <w:marRight w:val="0"/>
      <w:marTop w:val="0"/>
      <w:marBottom w:val="0"/>
      <w:divBdr>
        <w:top w:val="none" w:sz="0" w:space="0" w:color="auto"/>
        <w:left w:val="none" w:sz="0" w:space="0" w:color="auto"/>
        <w:bottom w:val="none" w:sz="0" w:space="0" w:color="auto"/>
        <w:right w:val="none" w:sz="0" w:space="0" w:color="auto"/>
      </w:divBdr>
    </w:div>
    <w:div w:id="515729741">
      <w:bodyDiv w:val="1"/>
      <w:marLeft w:val="0"/>
      <w:marRight w:val="0"/>
      <w:marTop w:val="0"/>
      <w:marBottom w:val="0"/>
      <w:divBdr>
        <w:top w:val="none" w:sz="0" w:space="0" w:color="auto"/>
        <w:left w:val="none" w:sz="0" w:space="0" w:color="auto"/>
        <w:bottom w:val="none" w:sz="0" w:space="0" w:color="auto"/>
        <w:right w:val="none" w:sz="0" w:space="0" w:color="auto"/>
      </w:divBdr>
      <w:divsChild>
        <w:div w:id="1998608094">
          <w:marLeft w:val="0"/>
          <w:marRight w:val="0"/>
          <w:marTop w:val="0"/>
          <w:marBottom w:val="0"/>
          <w:divBdr>
            <w:top w:val="none" w:sz="0" w:space="0" w:color="auto"/>
            <w:left w:val="none" w:sz="0" w:space="0" w:color="auto"/>
            <w:bottom w:val="none" w:sz="0" w:space="0" w:color="auto"/>
            <w:right w:val="none" w:sz="0" w:space="0" w:color="auto"/>
          </w:divBdr>
          <w:divsChild>
            <w:div w:id="11711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0920">
      <w:bodyDiv w:val="1"/>
      <w:marLeft w:val="0"/>
      <w:marRight w:val="0"/>
      <w:marTop w:val="0"/>
      <w:marBottom w:val="0"/>
      <w:divBdr>
        <w:top w:val="none" w:sz="0" w:space="0" w:color="auto"/>
        <w:left w:val="none" w:sz="0" w:space="0" w:color="auto"/>
        <w:bottom w:val="none" w:sz="0" w:space="0" w:color="auto"/>
        <w:right w:val="none" w:sz="0" w:space="0" w:color="auto"/>
      </w:divBdr>
    </w:div>
    <w:div w:id="678312953">
      <w:bodyDiv w:val="1"/>
      <w:marLeft w:val="0"/>
      <w:marRight w:val="0"/>
      <w:marTop w:val="0"/>
      <w:marBottom w:val="0"/>
      <w:divBdr>
        <w:top w:val="none" w:sz="0" w:space="0" w:color="auto"/>
        <w:left w:val="none" w:sz="0" w:space="0" w:color="auto"/>
        <w:bottom w:val="none" w:sz="0" w:space="0" w:color="auto"/>
        <w:right w:val="none" w:sz="0" w:space="0" w:color="auto"/>
      </w:divBdr>
    </w:div>
    <w:div w:id="780221777">
      <w:bodyDiv w:val="1"/>
      <w:marLeft w:val="0"/>
      <w:marRight w:val="0"/>
      <w:marTop w:val="0"/>
      <w:marBottom w:val="0"/>
      <w:divBdr>
        <w:top w:val="none" w:sz="0" w:space="0" w:color="auto"/>
        <w:left w:val="none" w:sz="0" w:space="0" w:color="auto"/>
        <w:bottom w:val="none" w:sz="0" w:space="0" w:color="auto"/>
        <w:right w:val="none" w:sz="0" w:space="0" w:color="auto"/>
      </w:divBdr>
    </w:div>
    <w:div w:id="1049719727">
      <w:bodyDiv w:val="1"/>
      <w:marLeft w:val="0"/>
      <w:marRight w:val="0"/>
      <w:marTop w:val="0"/>
      <w:marBottom w:val="0"/>
      <w:divBdr>
        <w:top w:val="none" w:sz="0" w:space="0" w:color="auto"/>
        <w:left w:val="none" w:sz="0" w:space="0" w:color="auto"/>
        <w:bottom w:val="none" w:sz="0" w:space="0" w:color="auto"/>
        <w:right w:val="none" w:sz="0" w:space="0" w:color="auto"/>
      </w:divBdr>
      <w:divsChild>
        <w:div w:id="1793594581">
          <w:marLeft w:val="0"/>
          <w:marRight w:val="0"/>
          <w:marTop w:val="0"/>
          <w:marBottom w:val="0"/>
          <w:divBdr>
            <w:top w:val="none" w:sz="0" w:space="0" w:color="auto"/>
            <w:left w:val="none" w:sz="0" w:space="0" w:color="auto"/>
            <w:bottom w:val="none" w:sz="0" w:space="0" w:color="auto"/>
            <w:right w:val="none" w:sz="0" w:space="0" w:color="auto"/>
          </w:divBdr>
          <w:divsChild>
            <w:div w:id="69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49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9217">
      <w:bodyDiv w:val="1"/>
      <w:marLeft w:val="0"/>
      <w:marRight w:val="0"/>
      <w:marTop w:val="0"/>
      <w:marBottom w:val="0"/>
      <w:divBdr>
        <w:top w:val="none" w:sz="0" w:space="0" w:color="auto"/>
        <w:left w:val="none" w:sz="0" w:space="0" w:color="auto"/>
        <w:bottom w:val="none" w:sz="0" w:space="0" w:color="auto"/>
        <w:right w:val="none" w:sz="0" w:space="0" w:color="auto"/>
      </w:divBdr>
    </w:div>
    <w:div w:id="1285111812">
      <w:bodyDiv w:val="1"/>
      <w:marLeft w:val="0"/>
      <w:marRight w:val="0"/>
      <w:marTop w:val="0"/>
      <w:marBottom w:val="0"/>
      <w:divBdr>
        <w:top w:val="none" w:sz="0" w:space="0" w:color="auto"/>
        <w:left w:val="none" w:sz="0" w:space="0" w:color="auto"/>
        <w:bottom w:val="none" w:sz="0" w:space="0" w:color="auto"/>
        <w:right w:val="none" w:sz="0" w:space="0" w:color="auto"/>
      </w:divBdr>
    </w:div>
    <w:div w:id="1334408887">
      <w:bodyDiv w:val="1"/>
      <w:marLeft w:val="0"/>
      <w:marRight w:val="0"/>
      <w:marTop w:val="0"/>
      <w:marBottom w:val="0"/>
      <w:divBdr>
        <w:top w:val="none" w:sz="0" w:space="0" w:color="auto"/>
        <w:left w:val="none" w:sz="0" w:space="0" w:color="auto"/>
        <w:bottom w:val="none" w:sz="0" w:space="0" w:color="auto"/>
        <w:right w:val="none" w:sz="0" w:space="0" w:color="auto"/>
      </w:divBdr>
    </w:div>
    <w:div w:id="1365790366">
      <w:bodyDiv w:val="1"/>
      <w:marLeft w:val="0"/>
      <w:marRight w:val="0"/>
      <w:marTop w:val="0"/>
      <w:marBottom w:val="0"/>
      <w:divBdr>
        <w:top w:val="none" w:sz="0" w:space="0" w:color="auto"/>
        <w:left w:val="none" w:sz="0" w:space="0" w:color="auto"/>
        <w:bottom w:val="none" w:sz="0" w:space="0" w:color="auto"/>
        <w:right w:val="none" w:sz="0" w:space="0" w:color="auto"/>
      </w:divBdr>
      <w:divsChild>
        <w:div w:id="541404075">
          <w:marLeft w:val="0"/>
          <w:marRight w:val="0"/>
          <w:marTop w:val="0"/>
          <w:marBottom w:val="0"/>
          <w:divBdr>
            <w:top w:val="none" w:sz="0" w:space="0" w:color="auto"/>
            <w:left w:val="none" w:sz="0" w:space="0" w:color="auto"/>
            <w:bottom w:val="none" w:sz="0" w:space="0" w:color="auto"/>
            <w:right w:val="none" w:sz="0" w:space="0" w:color="auto"/>
          </w:divBdr>
          <w:divsChild>
            <w:div w:id="7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8998">
      <w:bodyDiv w:val="1"/>
      <w:marLeft w:val="0"/>
      <w:marRight w:val="0"/>
      <w:marTop w:val="0"/>
      <w:marBottom w:val="0"/>
      <w:divBdr>
        <w:top w:val="none" w:sz="0" w:space="0" w:color="auto"/>
        <w:left w:val="none" w:sz="0" w:space="0" w:color="auto"/>
        <w:bottom w:val="none" w:sz="0" w:space="0" w:color="auto"/>
        <w:right w:val="none" w:sz="0" w:space="0" w:color="auto"/>
      </w:divBdr>
    </w:div>
    <w:div w:id="1619679858">
      <w:bodyDiv w:val="1"/>
      <w:marLeft w:val="0"/>
      <w:marRight w:val="0"/>
      <w:marTop w:val="0"/>
      <w:marBottom w:val="0"/>
      <w:divBdr>
        <w:top w:val="none" w:sz="0" w:space="0" w:color="auto"/>
        <w:left w:val="none" w:sz="0" w:space="0" w:color="auto"/>
        <w:bottom w:val="none" w:sz="0" w:space="0" w:color="auto"/>
        <w:right w:val="none" w:sz="0" w:space="0" w:color="auto"/>
      </w:divBdr>
    </w:div>
    <w:div w:id="1687055689">
      <w:bodyDiv w:val="1"/>
      <w:marLeft w:val="0"/>
      <w:marRight w:val="0"/>
      <w:marTop w:val="0"/>
      <w:marBottom w:val="0"/>
      <w:divBdr>
        <w:top w:val="none" w:sz="0" w:space="0" w:color="auto"/>
        <w:left w:val="none" w:sz="0" w:space="0" w:color="auto"/>
        <w:bottom w:val="none" w:sz="0" w:space="0" w:color="auto"/>
        <w:right w:val="none" w:sz="0" w:space="0" w:color="auto"/>
      </w:divBdr>
    </w:div>
    <w:div w:id="1837263289">
      <w:bodyDiv w:val="1"/>
      <w:marLeft w:val="0"/>
      <w:marRight w:val="0"/>
      <w:marTop w:val="0"/>
      <w:marBottom w:val="0"/>
      <w:divBdr>
        <w:top w:val="none" w:sz="0" w:space="0" w:color="auto"/>
        <w:left w:val="none" w:sz="0" w:space="0" w:color="auto"/>
        <w:bottom w:val="none" w:sz="0" w:space="0" w:color="auto"/>
        <w:right w:val="none" w:sz="0" w:space="0" w:color="auto"/>
      </w:divBdr>
    </w:div>
    <w:div w:id="1870603283">
      <w:bodyDiv w:val="1"/>
      <w:marLeft w:val="0"/>
      <w:marRight w:val="0"/>
      <w:marTop w:val="0"/>
      <w:marBottom w:val="0"/>
      <w:divBdr>
        <w:top w:val="none" w:sz="0" w:space="0" w:color="auto"/>
        <w:left w:val="none" w:sz="0" w:space="0" w:color="auto"/>
        <w:bottom w:val="none" w:sz="0" w:space="0" w:color="auto"/>
        <w:right w:val="none" w:sz="0" w:space="0" w:color="auto"/>
      </w:divBdr>
    </w:div>
    <w:div w:id="1871916670">
      <w:bodyDiv w:val="1"/>
      <w:marLeft w:val="0"/>
      <w:marRight w:val="0"/>
      <w:marTop w:val="0"/>
      <w:marBottom w:val="0"/>
      <w:divBdr>
        <w:top w:val="none" w:sz="0" w:space="0" w:color="auto"/>
        <w:left w:val="none" w:sz="0" w:space="0" w:color="auto"/>
        <w:bottom w:val="none" w:sz="0" w:space="0" w:color="auto"/>
        <w:right w:val="none" w:sz="0" w:space="0" w:color="auto"/>
      </w:divBdr>
    </w:div>
    <w:div w:id="1877037401">
      <w:bodyDiv w:val="1"/>
      <w:marLeft w:val="0"/>
      <w:marRight w:val="0"/>
      <w:marTop w:val="0"/>
      <w:marBottom w:val="0"/>
      <w:divBdr>
        <w:top w:val="none" w:sz="0" w:space="0" w:color="auto"/>
        <w:left w:val="none" w:sz="0" w:space="0" w:color="auto"/>
        <w:bottom w:val="none" w:sz="0" w:space="0" w:color="auto"/>
        <w:right w:val="none" w:sz="0" w:space="0" w:color="auto"/>
      </w:divBdr>
      <w:divsChild>
        <w:div w:id="611209428">
          <w:marLeft w:val="0"/>
          <w:marRight w:val="0"/>
          <w:marTop w:val="0"/>
          <w:marBottom w:val="0"/>
          <w:divBdr>
            <w:top w:val="none" w:sz="0" w:space="0" w:color="auto"/>
            <w:left w:val="none" w:sz="0" w:space="0" w:color="auto"/>
            <w:bottom w:val="none" w:sz="0" w:space="0" w:color="auto"/>
            <w:right w:val="none" w:sz="0" w:space="0" w:color="auto"/>
          </w:divBdr>
          <w:divsChild>
            <w:div w:id="3284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090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182197">
      <w:bodyDiv w:val="1"/>
      <w:marLeft w:val="0"/>
      <w:marRight w:val="0"/>
      <w:marTop w:val="0"/>
      <w:marBottom w:val="0"/>
      <w:divBdr>
        <w:top w:val="none" w:sz="0" w:space="0" w:color="auto"/>
        <w:left w:val="none" w:sz="0" w:space="0" w:color="auto"/>
        <w:bottom w:val="none" w:sz="0" w:space="0" w:color="auto"/>
        <w:right w:val="none" w:sz="0" w:space="0" w:color="auto"/>
      </w:divBdr>
    </w:div>
    <w:div w:id="2006201137">
      <w:bodyDiv w:val="1"/>
      <w:marLeft w:val="0"/>
      <w:marRight w:val="0"/>
      <w:marTop w:val="0"/>
      <w:marBottom w:val="0"/>
      <w:divBdr>
        <w:top w:val="none" w:sz="0" w:space="0" w:color="auto"/>
        <w:left w:val="none" w:sz="0" w:space="0" w:color="auto"/>
        <w:bottom w:val="none" w:sz="0" w:space="0" w:color="auto"/>
        <w:right w:val="none" w:sz="0" w:space="0" w:color="auto"/>
      </w:divBdr>
    </w:div>
    <w:div w:id="20566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70C3-91BB-47B1-A9CD-169594FF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27053</Words>
  <Characters>149490</Characters>
  <Application>Microsoft Office Word</Application>
  <DocSecurity>0</DocSecurity>
  <Lines>1245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2022-08-25T02:46:00Z</dcterms:created>
  <dcterms:modified xsi:type="dcterms:W3CDTF">2022-08-25T04:40:00Z</dcterms:modified>
</cp:coreProperties>
</file>